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legal(is)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legal(is)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legal(is)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Labaclen,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(i</w:t>
      </w:r>
      <w:r w:rsidR="00140A88" w:rsidRPr="00216D88">
        <w:rPr>
          <w:rFonts w:ascii="Verdana" w:hAnsi="Verdana"/>
          <w:color w:val="000000" w:themeColor="text1"/>
          <w:sz w:val="20"/>
        </w:rPr>
        <w:t>x</w:t>
      </w:r>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(ix)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direitos creditórios, atuais e futuros, detidos e a serem detidos pela Labaclen,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w:t>
      </w:r>
      <w:r w:rsidRPr="00B40DCF">
        <w:rPr>
          <w:rFonts w:ascii="Verdana" w:hAnsi="Verdana" w:cs="Segoe UI"/>
          <w:sz w:val="20"/>
        </w:rPr>
        <w:lastRenderedPageBreak/>
        <w:t>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Conta Vinculada Cartão Labaclen</w:t>
      </w:r>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36960E9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2858</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42445-5</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420B0EA8"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0417</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53237-1</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34B08AF3"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(ix) da Cláusula 6.1 abaixo –, decorrentes de transações com uso </w:t>
      </w:r>
      <w:r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3416</w:t>
      </w:r>
      <w:r w:rsidRPr="0037719D">
        <w:rPr>
          <w:rFonts w:ascii="Verdana" w:hAnsi="Verdana"/>
          <w:color w:val="000000" w:themeColor="text1"/>
          <w:sz w:val="20"/>
        </w:rPr>
        <w:t>, agência</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2101-6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Labalcen,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E46D27">
        <w:rPr>
          <w:rFonts w:ascii="Verdana" w:hAnsi="Verdana"/>
          <w:color w:val="000000"/>
          <w:sz w:val="20"/>
        </w:rPr>
        <w:t>vii</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 xml:space="preserve">devidamente assinado por tais contrapartes, </w:t>
      </w:r>
      <w:r w:rsidRPr="00216D88">
        <w:rPr>
          <w:rFonts w:ascii="Verdana" w:hAnsi="Verdana"/>
          <w:sz w:val="20"/>
        </w:rPr>
        <w:lastRenderedPageBreak/>
        <w:t>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C2DC318"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r w:rsidR="00B63466">
        <w:rPr>
          <w:rFonts w:ascii="Verdana" w:hAnsi="Verdana"/>
          <w:sz w:val="20"/>
        </w:rPr>
        <w:t>[</w:t>
      </w:r>
      <w:r w:rsidR="00B63466" w:rsidRPr="00B63466">
        <w:rPr>
          <w:rFonts w:ascii="Verdana" w:hAnsi="Verdana"/>
          <w:sz w:val="20"/>
          <w:highlight w:val="yellow"/>
        </w:rPr>
        <w:t xml:space="preserve">ao encerramento do período de 4 (quatro) </w:t>
      </w:r>
      <w:r w:rsidR="00B63466" w:rsidRPr="00B63466">
        <w:rPr>
          <w:rFonts w:ascii="Verdana" w:hAnsi="Verdana"/>
          <w:sz w:val="20"/>
          <w:highlight w:val="yellow"/>
        </w:rPr>
        <w:lastRenderedPageBreak/>
        <w:t>meses</w:t>
      </w:r>
      <w:r w:rsidR="00B63466">
        <w:rPr>
          <w:rFonts w:ascii="Verdana" w:hAnsi="Verdana"/>
          <w:sz w:val="20"/>
        </w:rPr>
        <w:t>]</w:t>
      </w:r>
      <w:r w:rsidR="00B63466" w:rsidRPr="00B70042">
        <w:rPr>
          <w:rFonts w:ascii="Verdana" w:hAnsi="Verdana"/>
          <w:sz w:val="20"/>
        </w:rPr>
        <w:t xml:space="preserve"> </w:t>
      </w:r>
      <w:r w:rsidR="00BE25E2" w:rsidRPr="00483565">
        <w:rPr>
          <w:rFonts w:ascii="Verdana" w:hAnsi="Verdana"/>
          <w:sz w:val="20"/>
        </w:rPr>
        <w:t>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1260D073"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 xml:space="preserve">o </w:t>
      </w:r>
      <w:r w:rsidR="00EA68D2">
        <w:rPr>
          <w:rFonts w:ascii="Verdana" w:hAnsi="Verdana"/>
          <w:sz w:val="20"/>
        </w:rPr>
        <w:lastRenderedPageBreak/>
        <w:t>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lastRenderedPageBreak/>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p>
    <w:bookmarkEnd w:id="34"/>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xml:space="preserve">, qualquer prerrogativa sobre os Direitos Cedidos </w:t>
      </w:r>
      <w:r w:rsidRPr="00216D88">
        <w:rPr>
          <w:rFonts w:ascii="Verdana" w:hAnsi="Verdana"/>
          <w:color w:val="000000"/>
          <w:sz w:val="20"/>
        </w:rPr>
        <w:lastRenderedPageBreak/>
        <w:t>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xml:space="preserve">, bem como adotar todas as medidas necessárias junto à CIP </w:t>
      </w:r>
      <w:r w:rsidRPr="00216D88">
        <w:rPr>
          <w:rFonts w:ascii="Verdana" w:hAnsi="Verdana"/>
          <w:color w:val="000000" w:themeColor="text1"/>
          <w:sz w:val="20"/>
        </w:rPr>
        <w:lastRenderedPageBreak/>
        <w:t>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120487AB"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1E757952" w14:textId="77777777" w:rsidR="00207619" w:rsidRDefault="00E903A3" w:rsidP="00FB48C0">
      <w:pPr>
        <w:pStyle w:val="Ttulo2"/>
        <w:numPr>
          <w:ilvl w:val="1"/>
          <w:numId w:val="4"/>
        </w:numPr>
        <w:tabs>
          <w:tab w:val="clear" w:pos="0"/>
          <w:tab w:val="num" w:pos="1276"/>
        </w:tabs>
        <w:spacing w:after="0" w:line="320" w:lineRule="exact"/>
        <w:ind w:left="851" w:firstLine="0"/>
        <w:rPr>
          <w:rFonts w:ascii="Verdana" w:hAnsi="Verdana"/>
          <w:bCs/>
          <w:iCs/>
          <w:sz w:val="20"/>
        </w:rPr>
      </w:pPr>
      <w:r>
        <w:rPr>
          <w:rFonts w:ascii="Verdana" w:hAnsi="Verdana"/>
          <w:bCs/>
          <w:iCs/>
          <w:sz w:val="20"/>
        </w:rPr>
        <w:t>cumprir</w:t>
      </w:r>
      <w:r w:rsidRPr="00216D88">
        <w:rPr>
          <w:rFonts w:ascii="Verdana" w:hAnsi="Verdana"/>
          <w:bCs/>
          <w:iCs/>
          <w:sz w:val="20"/>
        </w:rPr>
        <w:t xml:space="preserve"> </w:t>
      </w:r>
      <w:r w:rsidR="00AD7F88" w:rsidRPr="00216D88">
        <w:rPr>
          <w:rFonts w:ascii="Verdana" w:hAnsi="Verdana"/>
          <w:bCs/>
          <w:iCs/>
          <w:sz w:val="20"/>
        </w:rPr>
        <w:t>a legislação em vigor, em especial, mas não se limitando, a legislação trabalhista, previdenciária e ambiental, zelando sempre para que (i)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não utilize</w:t>
      </w:r>
      <w:r w:rsidR="00254D64">
        <w:rPr>
          <w:rFonts w:ascii="Verdana" w:hAnsi="Verdana"/>
          <w:bCs/>
          <w:iCs/>
          <w:sz w:val="20"/>
        </w:rPr>
        <w:t>m</w:t>
      </w:r>
      <w:r w:rsidR="00AD7F88" w:rsidRPr="00216D88">
        <w:rPr>
          <w:rFonts w:ascii="Verdana" w:hAnsi="Verdana"/>
          <w:bCs/>
          <w:iCs/>
          <w:sz w:val="20"/>
        </w:rPr>
        <w:t>, direta ou indiretamente, trabalho em condições análogas às de escravo ou trabalho infantil; (ii) os trabalhadores da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estejam devidamente registrados nos termos da legislação em vigor; (iii)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cumpra</w:t>
      </w:r>
      <w:r w:rsidR="00254D64">
        <w:rPr>
          <w:rFonts w:ascii="Verdana" w:hAnsi="Verdana"/>
          <w:bCs/>
          <w:iCs/>
          <w:sz w:val="20"/>
        </w:rPr>
        <w:t>m</w:t>
      </w:r>
      <w:r w:rsidR="00AD7F88" w:rsidRPr="00216D88">
        <w:rPr>
          <w:rFonts w:ascii="Verdana" w:hAnsi="Verdana"/>
          <w:bCs/>
          <w:iCs/>
          <w:sz w:val="20"/>
        </w:rPr>
        <w:t xml:space="preserve"> as obrigações decorrentes dos respectivos contratos de trabalho e da legislação trabalhista e previdenciária em vigor; (iv)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cumpra</w:t>
      </w:r>
      <w:r w:rsidR="00254D64">
        <w:rPr>
          <w:rFonts w:ascii="Verdana" w:hAnsi="Verdana"/>
          <w:bCs/>
          <w:iCs/>
          <w:sz w:val="20"/>
        </w:rPr>
        <w:t>m</w:t>
      </w:r>
      <w:r w:rsidR="00AD7F88"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detenha</w:t>
      </w:r>
      <w:r w:rsidR="00254D64">
        <w:rPr>
          <w:rFonts w:ascii="Verdana" w:hAnsi="Verdana"/>
          <w:bCs/>
          <w:iCs/>
          <w:sz w:val="20"/>
        </w:rPr>
        <w:t>m</w:t>
      </w:r>
      <w:r w:rsidR="00AD7F88"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00AD7F88" w:rsidRPr="00216D88">
        <w:rPr>
          <w:rFonts w:ascii="Verdana" w:hAnsi="Verdana"/>
          <w:bCs/>
          <w:iCs/>
          <w:sz w:val="20"/>
        </w:rPr>
        <w:t xml:space="preserve"> Cedente</w:t>
      </w:r>
      <w:r w:rsidR="00254D64">
        <w:rPr>
          <w:rFonts w:ascii="Verdana" w:hAnsi="Verdana"/>
          <w:bCs/>
          <w:iCs/>
          <w:sz w:val="20"/>
        </w:rPr>
        <w:t>s</w:t>
      </w:r>
      <w:r w:rsidR="00AD7F88" w:rsidRPr="00216D88">
        <w:rPr>
          <w:rFonts w:ascii="Verdana" w:hAnsi="Verdana"/>
          <w:bCs/>
          <w:iCs/>
          <w:sz w:val="20"/>
        </w:rPr>
        <w:t xml:space="preserve"> tenha</w:t>
      </w:r>
      <w:r w:rsidR="00254D64">
        <w:rPr>
          <w:rFonts w:ascii="Verdana" w:hAnsi="Verdana"/>
          <w:bCs/>
          <w:iCs/>
          <w:sz w:val="20"/>
        </w:rPr>
        <w:t>m</w:t>
      </w:r>
      <w:r w:rsidR="00AD7F88" w:rsidRPr="00216D88">
        <w:rPr>
          <w:rFonts w:ascii="Verdana" w:hAnsi="Verdana"/>
          <w:bCs/>
          <w:iCs/>
          <w:sz w:val="20"/>
        </w:rPr>
        <w:t xml:space="preserve"> todos os registros necessários, em conformidade com a legislação civil e ambiental aplicável</w:t>
      </w:r>
      <w:r w:rsidR="00207619">
        <w:rPr>
          <w:rFonts w:ascii="Verdana" w:hAnsi="Verdana"/>
          <w:bCs/>
          <w:iCs/>
          <w:sz w:val="20"/>
        </w:rPr>
        <w:t>;</w:t>
      </w:r>
    </w:p>
    <w:p w14:paraId="1BBBF87D" w14:textId="77777777" w:rsidR="00207619" w:rsidRDefault="00207619" w:rsidP="00207619">
      <w:pPr>
        <w:pStyle w:val="PargrafodaLista"/>
        <w:rPr>
          <w:rFonts w:ascii="Verdana" w:hAnsi="Verdana"/>
          <w:bCs/>
          <w:iCs/>
          <w:sz w:val="20"/>
        </w:rPr>
      </w:pPr>
    </w:p>
    <w:p w14:paraId="05334802" w14:textId="52D574C6" w:rsidR="00AD7F88" w:rsidRPr="00207619" w:rsidRDefault="00207619"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r>
        <w:rPr>
          <w:rFonts w:ascii="Verdana" w:hAnsi="Verdana"/>
          <w:color w:val="000000"/>
          <w:sz w:val="20"/>
        </w:rPr>
        <w:t xml:space="preserve"> e</w:t>
      </w:r>
    </w:p>
    <w:p w14:paraId="0D7BF83B" w14:textId="77777777" w:rsidR="00207619" w:rsidRDefault="00207619" w:rsidP="00207619">
      <w:pPr>
        <w:pStyle w:val="PargrafodaLista"/>
        <w:rPr>
          <w:rFonts w:ascii="Verdana" w:hAnsi="Verdana"/>
          <w:bCs/>
          <w:iCs/>
          <w:sz w:val="20"/>
        </w:rPr>
      </w:pPr>
    </w:p>
    <w:p w14:paraId="27B34545" w14:textId="657665B2" w:rsidR="00207619" w:rsidRPr="002E33ED" w:rsidRDefault="00207619"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observar a legislação em vigor, em especial, mas não se limitando, a legislação trabalhista, previdenciária e ambiental, zelando sempre para que (i) </w:t>
      </w:r>
      <w:r>
        <w:rPr>
          <w:rFonts w:ascii="Verdana" w:hAnsi="Verdana"/>
          <w:color w:val="000000"/>
          <w:sz w:val="20"/>
        </w:rPr>
        <w:t>as Cedentes</w:t>
      </w:r>
      <w:r w:rsidRPr="002E33ED">
        <w:rPr>
          <w:rFonts w:ascii="Verdana" w:hAnsi="Verdana"/>
          <w:color w:val="000000"/>
          <w:sz w:val="20"/>
        </w:rPr>
        <w:t xml:space="preserve"> não utilize</w:t>
      </w:r>
      <w:r>
        <w:rPr>
          <w:rFonts w:ascii="Verdana" w:hAnsi="Verdana"/>
          <w:color w:val="000000"/>
          <w:sz w:val="20"/>
        </w:rPr>
        <w:t>m</w:t>
      </w:r>
      <w:r w:rsidRPr="002E33ED">
        <w:rPr>
          <w:rFonts w:ascii="Verdana" w:hAnsi="Verdana"/>
          <w:color w:val="000000"/>
          <w:sz w:val="20"/>
        </w:rPr>
        <w:t xml:space="preserve">, direta ou indiretamente, trabalho em condições análogas às de escravo ou trabalho infantil; (ii) os trabalhadores </w:t>
      </w:r>
      <w:r>
        <w:rPr>
          <w:rFonts w:ascii="Verdana" w:hAnsi="Verdana"/>
          <w:color w:val="000000"/>
          <w:sz w:val="20"/>
        </w:rPr>
        <w:t>das Cedentes</w:t>
      </w:r>
      <w:r w:rsidRPr="002E33ED">
        <w:rPr>
          <w:rFonts w:ascii="Verdana" w:hAnsi="Verdana"/>
          <w:color w:val="000000"/>
          <w:sz w:val="20"/>
        </w:rPr>
        <w:t xml:space="preserve"> estejam devidamente registrados nos termos da legislação em vigor; (iii) </w:t>
      </w:r>
      <w:r>
        <w:rPr>
          <w:rFonts w:ascii="Verdana" w:hAnsi="Verdana"/>
          <w:color w:val="000000"/>
          <w:sz w:val="20"/>
        </w:rPr>
        <w:t>as Cedentes</w:t>
      </w:r>
      <w:r w:rsidRPr="002E33ED">
        <w:rPr>
          <w:rFonts w:ascii="Verdana" w:hAnsi="Verdana"/>
          <w:color w:val="000000"/>
          <w:sz w:val="20"/>
        </w:rPr>
        <w:t xml:space="preserve"> </w:t>
      </w:r>
      <w:r w:rsidRPr="002E33ED">
        <w:rPr>
          <w:rFonts w:ascii="Verdana" w:hAnsi="Verdana"/>
          <w:color w:val="000000"/>
          <w:sz w:val="20"/>
        </w:rPr>
        <w:lastRenderedPageBreak/>
        <w:t>cumpra</w:t>
      </w:r>
      <w:r>
        <w:rPr>
          <w:rFonts w:ascii="Verdana" w:hAnsi="Verdana"/>
          <w:color w:val="000000"/>
          <w:sz w:val="20"/>
        </w:rPr>
        <w:t>m</w:t>
      </w:r>
      <w:r w:rsidRPr="002E33ED">
        <w:rPr>
          <w:rFonts w:ascii="Verdana" w:hAnsi="Verdana"/>
          <w:color w:val="000000"/>
          <w:sz w:val="20"/>
        </w:rPr>
        <w:t xml:space="preserve"> as obrigações decorrentes dos respectivos contratos de trabalho e da legislação trabalhista e previdenciária em vigor; (iv) </w:t>
      </w:r>
      <w:r>
        <w:rPr>
          <w:rFonts w:ascii="Verdana" w:hAnsi="Verdana"/>
          <w:color w:val="000000"/>
          <w:sz w:val="20"/>
        </w:rPr>
        <w:t>as Cedentes</w:t>
      </w:r>
      <w:r w:rsidRPr="002E33ED">
        <w:rPr>
          <w:rFonts w:ascii="Verdana" w:hAnsi="Verdana"/>
          <w:color w:val="000000"/>
          <w:sz w:val="20"/>
        </w:rPr>
        <w:t xml:space="preserve"> cumpra</w:t>
      </w:r>
      <w:r>
        <w:rPr>
          <w:rFonts w:ascii="Verdana" w:hAnsi="Verdana"/>
          <w:color w:val="000000"/>
          <w:sz w:val="20"/>
        </w:rPr>
        <w:t>m</w:t>
      </w:r>
      <w:r w:rsidRPr="002E33ED">
        <w:rPr>
          <w:rFonts w:ascii="Verdana" w:hAnsi="Verdana"/>
          <w:color w:val="000000"/>
          <w:sz w:val="20"/>
        </w:rPr>
        <w:t xml:space="preserve"> a legislação aplicável à proteção do meio ambiente, bem como à saúde e segurança públicas; (v) </w:t>
      </w:r>
      <w:r>
        <w:rPr>
          <w:rFonts w:ascii="Verdana" w:hAnsi="Verdana"/>
          <w:color w:val="000000"/>
          <w:sz w:val="20"/>
        </w:rPr>
        <w:t>as Cedentes</w:t>
      </w:r>
      <w:r w:rsidRPr="002E33ED">
        <w:rPr>
          <w:rFonts w:ascii="Verdana" w:hAnsi="Verdana"/>
          <w:color w:val="000000"/>
          <w:sz w:val="20"/>
        </w:rPr>
        <w:t xml:space="preserve"> detenha</w:t>
      </w:r>
      <w:r>
        <w:rPr>
          <w:rFonts w:ascii="Verdana" w:hAnsi="Verdana"/>
          <w:color w:val="000000"/>
          <w:sz w:val="20"/>
        </w:rPr>
        <w:t>m</w:t>
      </w:r>
      <w:r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w:t>
      </w:r>
      <w:r>
        <w:rPr>
          <w:rFonts w:ascii="Verdana" w:hAnsi="Verdana"/>
          <w:color w:val="000000"/>
          <w:sz w:val="20"/>
        </w:rPr>
        <w:t xml:space="preserve">as Cedentes </w:t>
      </w:r>
      <w:r w:rsidRPr="002E33ED">
        <w:rPr>
          <w:rFonts w:ascii="Verdana" w:hAnsi="Verdana"/>
          <w:color w:val="000000"/>
          <w:sz w:val="20"/>
        </w:rPr>
        <w:t>tenha</w:t>
      </w:r>
      <w:r>
        <w:rPr>
          <w:rFonts w:ascii="Verdana" w:hAnsi="Verdana"/>
          <w:color w:val="000000"/>
          <w:sz w:val="20"/>
        </w:rPr>
        <w:t>m</w:t>
      </w:r>
      <w:r w:rsidRPr="002E33ED">
        <w:rPr>
          <w:rFonts w:ascii="Verdana" w:hAnsi="Verdana"/>
          <w:color w:val="000000"/>
          <w:sz w:val="20"/>
        </w:rPr>
        <w:t xml:space="preserve"> todos os registros necessários, em conformidade com a legislação civil e ambiental aplicável</w:t>
      </w:r>
      <w:r>
        <w:rPr>
          <w:rFonts w:ascii="Verdana" w:hAnsi="Verdana"/>
          <w:color w:val="000000"/>
          <w:sz w:val="20"/>
        </w:rPr>
        <w:t>.</w:t>
      </w:r>
    </w:p>
    <w:p w14:paraId="28B6F259" w14:textId="77777777" w:rsidR="00207619" w:rsidRPr="00216D88" w:rsidRDefault="00207619" w:rsidP="00207619">
      <w:pPr>
        <w:pStyle w:val="Ttulo2"/>
        <w:spacing w:after="0" w:line="320" w:lineRule="exact"/>
        <w:rPr>
          <w:rFonts w:ascii="Verdana" w:hAnsi="Verdana"/>
          <w:bCs/>
          <w:iCs/>
          <w:sz w:val="20"/>
        </w:rPr>
      </w:pP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6" w:name="_DV_M277"/>
      <w:bookmarkStart w:id="37" w:name="_DV_M267"/>
      <w:bookmarkStart w:id="38" w:name="_DV_M242"/>
      <w:bookmarkStart w:id="39" w:name="_DV_M243"/>
      <w:bookmarkStart w:id="40" w:name="_DV_M244"/>
      <w:bookmarkStart w:id="41" w:name="_DV_M245"/>
      <w:bookmarkStart w:id="42" w:name="_DV_M246"/>
      <w:bookmarkEnd w:id="36"/>
      <w:bookmarkEnd w:id="37"/>
      <w:bookmarkEnd w:id="38"/>
      <w:bookmarkEnd w:id="39"/>
      <w:bookmarkEnd w:id="40"/>
      <w:bookmarkEnd w:id="41"/>
      <w:bookmarkEnd w:id="4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w:t>
      </w:r>
      <w:r w:rsidR="00143E35" w:rsidRPr="00216D88">
        <w:rPr>
          <w:rFonts w:ascii="Verdana" w:hAnsi="Verdana"/>
          <w:sz w:val="20"/>
        </w:rPr>
        <w:lastRenderedPageBreak/>
        <w:t xml:space="preserve">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3" w:name="_DV_M281"/>
      <w:bookmarkStart w:id="44" w:name="_DV_M247"/>
      <w:bookmarkStart w:id="45" w:name="_DV_M279"/>
      <w:bookmarkStart w:id="46" w:name="_DV_M282"/>
      <w:bookmarkEnd w:id="43"/>
      <w:bookmarkEnd w:id="44"/>
      <w:bookmarkEnd w:id="45"/>
      <w:bookmarkEnd w:id="46"/>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47" w:name="_DV_M286"/>
      <w:bookmarkStart w:id="48" w:name="_DV_M284"/>
      <w:bookmarkEnd w:id="47"/>
      <w:bookmarkEnd w:id="48"/>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PHD Laboratorio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At.: Lídia Freire Abdalla Nery</w:t>
      </w:r>
    </w:p>
    <w:p w14:paraId="1C206B06"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lastRenderedPageBreak/>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9" w:name="_DV_DPM0"/>
      <w:bookmarkEnd w:id="49"/>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w:t>
      </w:r>
      <w:r w:rsidR="00476D78" w:rsidRPr="00216D88">
        <w:rPr>
          <w:rFonts w:ascii="Verdana" w:hAnsi="Verdana"/>
          <w:color w:val="000000"/>
          <w:sz w:val="20"/>
        </w:rPr>
        <w:lastRenderedPageBreak/>
        <w:t xml:space="preserve">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lastRenderedPageBreak/>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0" w:name="_DV_C693"/>
      <w:r w:rsidRPr="00216D88">
        <w:rPr>
          <w:rFonts w:ascii="Verdana" w:eastAsia="Times New Roman" w:hAnsi="Verdana"/>
          <w:sz w:val="20"/>
          <w:szCs w:val="20"/>
          <w:lang w:eastAsia="en-US"/>
        </w:rPr>
        <w:lastRenderedPageBreak/>
        <w:t>[RESTANTE DA PÁGINA INTENCIONALMENTE DEIXADO EM BRANCO.</w:t>
      </w:r>
      <w:bookmarkEnd w:id="50"/>
      <w:r w:rsidRPr="00216D88">
        <w:rPr>
          <w:rFonts w:ascii="Verdana" w:eastAsia="Times New Roman" w:hAnsi="Verdana"/>
          <w:sz w:val="20"/>
          <w:szCs w:val="20"/>
          <w:lang w:eastAsia="en-US"/>
        </w:rPr>
        <w:t xml:space="preserve"> </w:t>
      </w:r>
      <w:bookmarkStart w:id="5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1"/>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2" w:name="_Hlk118953766"/>
            <w:r w:rsidRPr="00216D88">
              <w:rPr>
                <w:rFonts w:ascii="Verdana" w:hAnsi="Verdana"/>
                <w:b/>
                <w:sz w:val="20"/>
                <w:lang w:eastAsia="ar-SA"/>
              </w:rPr>
              <w:t>Remuneração</w:t>
            </w:r>
            <w:bookmarkEnd w:id="52"/>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53"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3"/>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54"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54"/>
      <w:r w:rsidR="00831531" w:rsidRPr="00216D88">
        <w:rPr>
          <w:rFonts w:ascii="Verdana" w:hAnsi="Verdana"/>
          <w:sz w:val="20"/>
        </w:rPr>
        <w:t xml:space="preserve">, </w:t>
      </w:r>
      <w:bookmarkStart w:id="55"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55"/>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346B" w14:textId="77777777" w:rsidR="005D52D7" w:rsidRDefault="005D52D7" w:rsidP="00143E35">
      <w:pPr>
        <w:spacing w:before="0"/>
      </w:pPr>
      <w:r>
        <w:separator/>
      </w:r>
    </w:p>
  </w:endnote>
  <w:endnote w:type="continuationSeparator" w:id="0">
    <w:p w14:paraId="178D0904" w14:textId="77777777" w:rsidR="005D52D7" w:rsidRDefault="005D52D7" w:rsidP="00143E35">
      <w:pPr>
        <w:spacing w:before="0"/>
      </w:pPr>
      <w:r>
        <w:continuationSeparator/>
      </w:r>
    </w:p>
  </w:endnote>
  <w:endnote w:type="continuationNotice" w:id="1">
    <w:p w14:paraId="3D36B2FE" w14:textId="77777777" w:rsidR="005D52D7" w:rsidRDefault="005D52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EC9C965"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8D705C">
      <w:rPr>
        <w:rFonts w:ascii="Verdana" w:hAnsi="Verdana"/>
        <w:noProof/>
        <w:sz w:val="20"/>
      </w:rPr>
      <w:t>25</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6ADC" w14:textId="77777777" w:rsidR="005D52D7" w:rsidRDefault="005D52D7" w:rsidP="00143E35">
      <w:pPr>
        <w:spacing w:before="0"/>
      </w:pPr>
      <w:r>
        <w:separator/>
      </w:r>
    </w:p>
  </w:footnote>
  <w:footnote w:type="continuationSeparator" w:id="0">
    <w:p w14:paraId="625BABD2" w14:textId="77777777" w:rsidR="005D52D7" w:rsidRDefault="005D52D7" w:rsidP="00143E35">
      <w:pPr>
        <w:spacing w:before="0"/>
      </w:pPr>
      <w:r>
        <w:continuationSeparator/>
      </w:r>
    </w:p>
  </w:footnote>
  <w:footnote w:type="continuationNotice" w:id="1">
    <w:p w14:paraId="0C10FF55" w14:textId="77777777" w:rsidR="005D52D7" w:rsidRDefault="005D52D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2979331">
    <w:abstractNumId w:val="1"/>
  </w:num>
  <w:num w:numId="2" w16cid:durableId="1194080419">
    <w:abstractNumId w:val="2"/>
  </w:num>
  <w:num w:numId="3" w16cid:durableId="530194558">
    <w:abstractNumId w:val="7"/>
  </w:num>
  <w:num w:numId="4" w16cid:durableId="1612972409">
    <w:abstractNumId w:val="3"/>
  </w:num>
  <w:num w:numId="5" w16cid:durableId="75250417">
    <w:abstractNumId w:val="8"/>
  </w:num>
  <w:num w:numId="6" w16cid:durableId="419956728">
    <w:abstractNumId w:val="5"/>
  </w:num>
  <w:num w:numId="7" w16cid:durableId="5444831">
    <w:abstractNumId w:val="6"/>
  </w:num>
  <w:num w:numId="8" w16cid:durableId="2060545521">
    <w:abstractNumId w:val="7"/>
  </w:num>
  <w:num w:numId="9" w16cid:durableId="987130288">
    <w:abstractNumId w:val="11"/>
  </w:num>
  <w:num w:numId="10" w16cid:durableId="338629117">
    <w:abstractNumId w:val="16"/>
  </w:num>
  <w:num w:numId="11" w16cid:durableId="418260420">
    <w:abstractNumId w:val="18"/>
  </w:num>
  <w:num w:numId="12" w16cid:durableId="1662583033">
    <w:abstractNumId w:val="4"/>
  </w:num>
  <w:num w:numId="13" w16cid:durableId="296302314">
    <w:abstractNumId w:val="9"/>
  </w:num>
  <w:num w:numId="14" w16cid:durableId="1107971483">
    <w:abstractNumId w:val="14"/>
  </w:num>
  <w:num w:numId="15" w16cid:durableId="875387114">
    <w:abstractNumId w:val="13"/>
  </w:num>
  <w:num w:numId="16" w16cid:durableId="761296253">
    <w:abstractNumId w:val="15"/>
  </w:num>
  <w:num w:numId="17" w16cid:durableId="1955015838">
    <w:abstractNumId w:val="10"/>
  </w:num>
  <w:num w:numId="18" w16cid:durableId="579608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2793073">
    <w:abstractNumId w:val="12"/>
  </w:num>
  <w:num w:numId="20" w16cid:durableId="116261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E533B"/>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9BBF3-AA92-4133-8346-0D33AB86973F}">
  <ds:schemaRefs>
    <ds:schemaRef ds:uri="http://schemas.openxmlformats.org/officeDocument/2006/bibliography"/>
  </ds:schemaRefs>
</ds:datastoreItem>
</file>

<file path=customXml/itemProps4.xml><?xml version="1.0" encoding="utf-8"?>
<ds:datastoreItem xmlns:ds="http://schemas.openxmlformats.org/officeDocument/2006/customXml" ds:itemID="{0796252C-1DF0-4685-8B72-8E6B6EC30E28}">
  <ds:schemaRefs>
    <ds:schemaRef ds:uri="http://schemas.openxmlformats.org/officeDocument/2006/bibliography"/>
  </ds:schemaRefs>
</ds:datastoreItem>
</file>

<file path=customXml/itemProps5.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12180</Words>
  <Characters>65772</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6</cp:revision>
  <cp:lastPrinted>2018-11-05T14:21:00Z</cp:lastPrinted>
  <dcterms:created xsi:type="dcterms:W3CDTF">2022-11-16T13:16:00Z</dcterms:created>
  <dcterms:modified xsi:type="dcterms:W3CDTF">2022-11-16T13:18:00Z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