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legal(is)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legal(is)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B40DCF">
        <w:rPr>
          <w:rFonts w:ascii="Verdana" w:hAnsi="Verdana"/>
          <w:sz w:val="20"/>
          <w:u w:val="single"/>
        </w:rPr>
        <w:t>Labaclen</w:t>
      </w:r>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legal(is)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legal(is)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legal(is)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Labaclen,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0FC56DC6"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(i</w:t>
      </w:r>
      <w:r w:rsidR="00140A88" w:rsidRPr="00216D88">
        <w:rPr>
          <w:rFonts w:ascii="Verdana" w:hAnsi="Verdana"/>
          <w:color w:val="000000" w:themeColor="text1"/>
          <w:sz w:val="20"/>
        </w:rPr>
        <w:t>x</w:t>
      </w:r>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1EB30EA1"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(ix)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“xv”</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47DDEC74"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direitos creditórios, atuais e futuros, detidos e a serem detidos pela Labaclen,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Labaclen e/ou suas filiais tenham ou venham a ter relacionamento– destacando-se, contudo, que, atualmente, a </w:t>
      </w:r>
      <w:r w:rsidRPr="00B40DCF">
        <w:rPr>
          <w:rFonts w:ascii="Verdana" w:hAnsi="Verdana" w:cs="Segoe UI"/>
          <w:sz w:val="20"/>
        </w:rPr>
        <w:lastRenderedPageBreak/>
        <w:t>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Recebíveis Labaclen</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w:t>
      </w:r>
      <w:r w:rsidR="001C0FFF">
        <w:rPr>
          <w:rFonts w:ascii="Verdana" w:hAnsi="Verdana"/>
          <w:color w:val="000000" w:themeColor="text1"/>
          <w:sz w:val="20"/>
        </w:rPr>
        <w:t>2103-2</w:t>
      </w:r>
      <w:r w:rsidR="001C0FFF">
        <w:rPr>
          <w:rFonts w:ascii="Verdana" w:hAnsi="Verdana"/>
          <w:color w:val="000000" w:themeColor="text1"/>
          <w:sz w:val="20"/>
        </w:rPr>
        <w:t xml:space="preserve">,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w:t>
      </w:r>
      <w:r w:rsidR="00A22D79">
        <w:rPr>
          <w:rFonts w:ascii="Verdana" w:hAnsi="Verdana"/>
          <w:color w:val="000000" w:themeColor="text1"/>
          <w:sz w:val="20"/>
        </w:rPr>
        <w:t xml:space="preserve">6.1, item </w:t>
      </w:r>
      <w:r w:rsidR="00EF2DDA">
        <w:rPr>
          <w:rFonts w:ascii="Verdana" w:hAnsi="Verdana" w:cs="Segoe UI"/>
          <w:iCs/>
          <w:sz w:val="20"/>
        </w:rPr>
        <w:t xml:space="preserve">“xv” </w:t>
      </w:r>
      <w:r w:rsidRPr="00B40DCF">
        <w:rPr>
          <w:rFonts w:ascii="Verdana" w:hAnsi="Verdana" w:cs="Segoe UI"/>
          <w:sz w:val="20"/>
        </w:rPr>
        <w:t>(“</w:t>
      </w:r>
      <w:r w:rsidRPr="00B40DCF">
        <w:rPr>
          <w:rFonts w:ascii="Verdana" w:hAnsi="Verdana" w:cs="Segoe UI"/>
          <w:sz w:val="20"/>
          <w:u w:val="single"/>
        </w:rPr>
        <w:t>Conta Vinculada Cartão Labaclen</w:t>
      </w:r>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448E43DE"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w:t>
      </w:r>
      <w:r w:rsidR="001C0FFF">
        <w:rPr>
          <w:rFonts w:ascii="Verdana" w:hAnsi="Verdana"/>
          <w:color w:val="000000" w:themeColor="text1"/>
          <w:sz w:val="20"/>
        </w:rPr>
        <w:t>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20CE8453"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w:t>
      </w:r>
      <w:r w:rsidR="001C0FFF">
        <w:rPr>
          <w:rFonts w:ascii="Verdana" w:hAnsi="Verdana"/>
          <w:color w:val="000000" w:themeColor="text1"/>
          <w:sz w:val="20"/>
        </w:rPr>
        <w:t>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71D44533"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w:t>
      </w:r>
      <w:r w:rsidRPr="00B40DCF">
        <w:rPr>
          <w:rFonts w:ascii="Verdana" w:hAnsi="Verdana" w:cs="Segoe UI"/>
          <w:sz w:val="20"/>
        </w:rPr>
        <w:lastRenderedPageBreak/>
        <w:t xml:space="preserve">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Labalcen,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r w:rsidR="00E46D27">
        <w:rPr>
          <w:rFonts w:ascii="Verdana" w:hAnsi="Verdana"/>
          <w:color w:val="000000"/>
          <w:sz w:val="20"/>
        </w:rPr>
        <w:t>vii</w:t>
      </w:r>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r w:rsidR="00896BDB" w:rsidRPr="00216D88">
        <w:rPr>
          <w:rFonts w:ascii="Verdana" w:hAnsi="Verdana"/>
          <w:color w:val="000000"/>
          <w:sz w:val="20"/>
        </w:rPr>
        <w:t>ii)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1C0FFF">
      <w:pPr>
        <w:pStyle w:val="Ttulo1"/>
        <w:numPr>
          <w:ilvl w:val="0"/>
          <w:numId w:val="0"/>
        </w:numPr>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xml:space="preserve">, (ii) direitos creditórios de recebíveis de planos de saúde </w:t>
      </w:r>
      <w:r w:rsidR="007C2341" w:rsidRPr="00216D88">
        <w:rPr>
          <w:rFonts w:ascii="Verdana" w:hAnsi="Verdana"/>
          <w:sz w:val="20"/>
        </w:rPr>
        <w:t>e/ou</w:t>
      </w:r>
      <w:r w:rsidR="00E21B65" w:rsidRPr="00216D88">
        <w:rPr>
          <w:rFonts w:ascii="Verdana" w:hAnsi="Verdana"/>
          <w:sz w:val="20"/>
        </w:rPr>
        <w:t xml:space="preserve"> (iii)</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 xml:space="preserve">(iv)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1C0FFF">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(ii)</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(iii)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(ii) a cópia </w:t>
      </w:r>
      <w:r w:rsidR="0070382D" w:rsidRPr="00216D88">
        <w:rPr>
          <w:rFonts w:ascii="Verdana" w:hAnsi="Verdana"/>
          <w:sz w:val="20"/>
        </w:rPr>
        <w:t xml:space="preserve">eletrônica (PDF) </w:t>
      </w:r>
      <w:r w:rsidR="002919DB" w:rsidRPr="00216D88">
        <w:rPr>
          <w:rFonts w:ascii="Verdana" w:hAnsi="Verdana"/>
          <w:sz w:val="20"/>
        </w:rPr>
        <w:t xml:space="preserve">dos boletos enviados às contrapartes com a inserção do texto indicado no item (iii)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r w:rsidR="002919DB" w:rsidRPr="00216D88">
        <w:rPr>
          <w:rFonts w:ascii="Verdana" w:hAnsi="Verdana"/>
          <w:sz w:val="20"/>
        </w:rPr>
        <w:t>i</w:t>
      </w:r>
      <w:r w:rsidRPr="00216D88">
        <w:rPr>
          <w:rFonts w:ascii="Verdana" w:hAnsi="Verdana"/>
          <w:sz w:val="20"/>
        </w:rPr>
        <w:t>ii)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 xml:space="preserve">(ii)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lastRenderedPageBreak/>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(ii)</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(iii)</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 xml:space="preserve">-se, nos termos aqui estabelecidos e nos termos do artigo 19, IV, da Lei 9.514/97, a fazer com que </w:t>
      </w:r>
      <w:r w:rsidRPr="00216D88">
        <w:rPr>
          <w:rFonts w:ascii="Verdana" w:hAnsi="Verdana"/>
          <w:sz w:val="20"/>
        </w:rPr>
        <w:lastRenderedPageBreak/>
        <w:t>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57642D3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Nas 4 (quatro) primeiras apurações da Agenda Mínima de Recebíveis de Cartão, conforme Cláusula 4.5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0B74E483"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os de Saúde, conforme Cláusula 4.5 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 xml:space="preserve">pelas Contas </w:t>
      </w:r>
      <w:r w:rsidR="00500766">
        <w:rPr>
          <w:rFonts w:ascii="Verdana" w:hAnsi="Verdana"/>
          <w:sz w:val="20"/>
        </w:rPr>
        <w:lastRenderedPageBreak/>
        <w:t>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subcredenciadores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F719A58" w14:textId="062CB075"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(ii)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(i</w:t>
      </w:r>
      <w:r w:rsidR="00C449E0" w:rsidRPr="00216D88">
        <w:rPr>
          <w:rFonts w:ascii="Verdana" w:hAnsi="Verdana"/>
          <w:sz w:val="20"/>
        </w:rPr>
        <w:t>ii</w:t>
      </w:r>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lastRenderedPageBreak/>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xml:space="preserve">; e (ii)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lastRenderedPageBreak/>
        <w:t xml:space="preserve">Na hipótese de (i) inadimplemento de quaisquer obrigações pecuniárias decorrentes da Escritura de Emissão, </w:t>
      </w:r>
      <w:r w:rsidR="00C449E0" w:rsidRPr="00216D88">
        <w:rPr>
          <w:rFonts w:ascii="Verdana" w:hAnsi="Verdana"/>
          <w:sz w:val="20"/>
        </w:rPr>
        <w:t>(ii)</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(i</w:t>
      </w:r>
      <w:r w:rsidR="00C449E0" w:rsidRPr="00216D88">
        <w:rPr>
          <w:rFonts w:ascii="Verdana" w:hAnsi="Verdana"/>
          <w:sz w:val="20"/>
        </w:rPr>
        <w:t>ii</w:t>
      </w:r>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1AF09F9D"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w:t>
      </w:r>
      <w:r w:rsidRPr="001C0FFF">
        <w:rPr>
          <w:rFonts w:ascii="Verdana" w:hAnsi="Verdana"/>
          <w:sz w:val="20"/>
        </w:rPr>
        <w:t>ões</w:t>
      </w:r>
      <w:r w:rsidRPr="001C0FFF">
        <w:rPr>
          <w:rFonts w:ascii="Verdana" w:hAnsi="Verdana"/>
          <w:sz w:val="20"/>
        </w:rPr>
        <w:t xml:space="preserve">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e </w:t>
      </w:r>
      <w:r w:rsidR="00700A57" w:rsidRPr="001C0FFF">
        <w:rPr>
          <w:rFonts w:ascii="Verdana" w:hAnsi="Verdana"/>
          <w:sz w:val="20"/>
        </w:rPr>
        <w:t>d</w:t>
      </w:r>
      <w:r w:rsidRPr="001C0FFF">
        <w:rPr>
          <w:rFonts w:ascii="Verdana" w:hAnsi="Verdana"/>
          <w:sz w:val="20"/>
        </w:rPr>
        <w:t xml:space="preserve">a Agenda Mínima. De Recebíveis de Planos de Saúde 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324A2694"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4,50%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r>
      <w:r w:rsidRPr="001C0FFF">
        <w:rPr>
          <w:rFonts w:ascii="Verdana" w:hAnsi="Verdana"/>
          <w:sz w:val="20"/>
        </w:rPr>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lastRenderedPageBreak/>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r>
      <w:r w:rsidRPr="001C0FFF">
        <w:rPr>
          <w:rFonts w:ascii="Verdana" w:hAnsi="Verdana"/>
          <w:sz w:val="20"/>
        </w:rPr>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Labaclen é uma sociedade limitada devidamente constituída e validamente existente de acordo com as leis da República Federativa do Brasil;</w:t>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lastRenderedPageBreak/>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proofErr w:type="gramStart"/>
      <w:r w:rsidR="00A4532D">
        <w:rPr>
          <w:rFonts w:ascii="Verdana" w:hAnsi="Verdana"/>
          <w:sz w:val="20"/>
        </w:rPr>
        <w:t>]</w:t>
      </w:r>
      <w:r w:rsidRPr="00216D88">
        <w:rPr>
          <w:rFonts w:ascii="Verdana" w:hAnsi="Verdana"/>
          <w:sz w:val="20"/>
        </w:rPr>
        <w:t>;</w:t>
      </w:r>
      <w:r w:rsidR="00B70042">
        <w:rPr>
          <w:rFonts w:ascii="Verdana" w:hAnsi="Verdana"/>
          <w:sz w:val="20"/>
        </w:rPr>
        <w:t>[</w:t>
      </w:r>
      <w:proofErr w:type="gramEnd"/>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plano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Esmale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r w:rsidR="00EC3EF0" w:rsidRPr="00216D88">
        <w:rPr>
          <w:rFonts w:ascii="Verdana" w:hAnsi="Verdana"/>
          <w:color w:val="000000" w:themeColor="text1"/>
          <w:sz w:val="20"/>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Care Plus Medicina </w:t>
      </w:r>
      <w:r w:rsidR="00AC6704" w:rsidRPr="00216D88">
        <w:rPr>
          <w:rFonts w:ascii="Verdana" w:hAnsi="Verdana"/>
          <w:color w:val="000000" w:themeColor="text1"/>
          <w:sz w:val="20"/>
        </w:rPr>
        <w:lastRenderedPageBreak/>
        <w:t>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r w:rsidR="009F1F27" w:rsidRPr="00216D88">
        <w:rPr>
          <w:rFonts w:ascii="Verdana" w:hAnsi="Verdana"/>
          <w:color w:val="000000" w:themeColor="text1"/>
          <w:sz w:val="20"/>
        </w:rPr>
        <w:t>Med</w:t>
      </w:r>
      <w:r w:rsidR="00BB0584" w:rsidRPr="00216D88">
        <w:rPr>
          <w:rFonts w:ascii="Verdana" w:hAnsi="Verdana"/>
          <w:color w:val="000000" w:themeColor="text1"/>
          <w:sz w:val="20"/>
        </w:rPr>
        <w:t xml:space="preserve">iservice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r w:rsidR="00BB0584" w:rsidRPr="00216D88">
        <w:rPr>
          <w:rFonts w:ascii="Verdana" w:hAnsi="Verdana"/>
          <w:color w:val="000000" w:themeColor="text1"/>
          <w:sz w:val="20"/>
        </w:rPr>
        <w:t>Eur</w:t>
      </w:r>
      <w:r w:rsidR="00B518DB" w:rsidRPr="00216D88">
        <w:rPr>
          <w:rFonts w:ascii="Verdana" w:hAnsi="Verdana"/>
          <w:color w:val="000000" w:themeColor="text1"/>
          <w:sz w:val="20"/>
        </w:rPr>
        <w:t>op Assistence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Notre Dame Intermédica Saúde S.A.;</w:t>
      </w:r>
      <w:r w:rsidR="00145B38" w:rsidRPr="00216D88">
        <w:rPr>
          <w:rFonts w:ascii="Verdana" w:hAnsi="Verdana"/>
          <w:color w:val="000000" w:themeColor="text1"/>
          <w:sz w:val="20"/>
        </w:rPr>
        <w:t xml:space="preserve"> Alianz Saúde S.A.</w:t>
      </w:r>
      <w:r w:rsidR="00EC3EF0" w:rsidRPr="00216D88">
        <w:rPr>
          <w:rFonts w:ascii="Verdana" w:hAnsi="Verdana"/>
          <w:color w:val="000000" w:themeColor="text1"/>
          <w:sz w:val="20"/>
        </w:rPr>
        <w:t xml:space="preserve">; </w:t>
      </w:r>
      <w:r w:rsidR="00145B38" w:rsidRPr="00216D88">
        <w:rPr>
          <w:rFonts w:ascii="Verdana" w:hAnsi="Verdana"/>
          <w:color w:val="000000" w:themeColor="text1"/>
          <w:sz w:val="20"/>
        </w:rPr>
        <w:t>Omint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Interfederativa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xml:space="preserve">, direta ou indiretamente, trabalho em condições análogas às de escravo ou trabalho infantil; (ii)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(iii)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(iv)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 xml:space="preserve">m, as Normas Anticorrupção, na medida em que </w:t>
      </w:r>
      <w:r w:rsidRPr="002E33ED">
        <w:rPr>
          <w:rFonts w:ascii="Verdana" w:hAnsi="Verdana"/>
          <w:sz w:val="20"/>
        </w:rPr>
        <w:lastRenderedPageBreak/>
        <w:t>(i)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Pr>
          <w:rFonts w:ascii="Verdana" w:hAnsi="Verdana"/>
          <w:sz w:val="20"/>
        </w:rPr>
        <w:t>;</w:t>
      </w:r>
    </w:p>
    <w:bookmarkEnd w:id="34"/>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xml:space="preserve">, sem prejuízo do direito </w:t>
      </w:r>
      <w:proofErr w:type="gramStart"/>
      <w:r w:rsidR="00D0491E" w:rsidRPr="00216D88">
        <w:rPr>
          <w:rFonts w:ascii="Verdana" w:hAnsi="Verdana"/>
          <w:color w:val="000000"/>
          <w:sz w:val="20"/>
        </w:rPr>
        <w:t>do</w:t>
      </w:r>
      <w:proofErr w:type="gramEnd"/>
      <w:r w:rsidR="00D0491E" w:rsidRPr="00216D88">
        <w:rPr>
          <w:rFonts w:ascii="Verdana" w:hAnsi="Verdana"/>
          <w:color w:val="000000"/>
          <w:sz w:val="20"/>
        </w:rPr>
        <w:t xml:space="preserve">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w:t>
      </w:r>
      <w:r w:rsidRPr="00216D88">
        <w:rPr>
          <w:rFonts w:ascii="Verdana" w:hAnsi="Verdana"/>
          <w:color w:val="000000" w:themeColor="text1"/>
          <w:sz w:val="20"/>
        </w:rPr>
        <w:lastRenderedPageBreak/>
        <w:t xml:space="preserve">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w:t>
      </w:r>
      <w:r w:rsidRPr="002E33ED">
        <w:rPr>
          <w:rFonts w:ascii="Verdana" w:hAnsi="Verdana"/>
          <w:color w:val="000000"/>
          <w:sz w:val="20"/>
        </w:rPr>
        <w:lastRenderedPageBreak/>
        <w:t xml:space="preserve">ambientais em vigor; e (iii)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r w:rsidRPr="00EF2DDA">
        <w:rPr>
          <w:rFonts w:ascii="Verdana" w:hAnsi="Verdana"/>
          <w:i/>
          <w:sz w:val="20"/>
        </w:rPr>
        <w:t>Foreign Corrupt Practices Act of 1977</w:t>
      </w:r>
      <w:r w:rsidRPr="00EF2DDA">
        <w:rPr>
          <w:rFonts w:ascii="Verdana" w:hAnsi="Verdana"/>
          <w:sz w:val="20"/>
        </w:rPr>
        <w:t xml:space="preserve">, e a </w:t>
      </w:r>
      <w:r w:rsidRPr="00EF2DDA">
        <w:rPr>
          <w:rFonts w:ascii="Verdana" w:hAnsi="Verdana"/>
          <w:i/>
          <w:sz w:val="20"/>
        </w:rPr>
        <w:t>UK Bribery Act</w:t>
      </w:r>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xml:space="preserve">,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w:t>
      </w:r>
      <w:r w:rsidRPr="00EF2DDA">
        <w:rPr>
          <w:rFonts w:ascii="Verdana" w:hAnsi="Verdana"/>
          <w:color w:val="000000"/>
          <w:sz w:val="20"/>
        </w:rPr>
        <w:lastRenderedPageBreak/>
        <w:t>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2EB99DC4" w14:textId="1D2CECB1" w:rsidR="00DF5BD2" w:rsidRPr="00EF2DDA" w:rsidRDefault="00EF2DD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 xml:space="preserve">realizar a troca de domicílio bancário, </w:t>
      </w:r>
      <w:r>
        <w:rPr>
          <w:rFonts w:ascii="Verdana" w:hAnsi="Verdana"/>
          <w:color w:val="000000"/>
          <w:sz w:val="20"/>
        </w:rPr>
        <w:t>após decorrido o prazo de 4 (quatro) meses contato da assinatura do presente contrato</w:t>
      </w:r>
      <w:r>
        <w:rPr>
          <w:rFonts w:ascii="Verdana" w:hAnsi="Verdana"/>
          <w:color w:val="000000"/>
          <w:sz w:val="20"/>
        </w:rPr>
        <w:t xml:space="preserve">, com relação aos (i) Recebíveis PHD, atualmente depositados </w:t>
      </w:r>
      <w:r>
        <w:rPr>
          <w:rFonts w:ascii="Verdana" w:hAnsi="Verdana"/>
          <w:color w:val="000000" w:themeColor="text1"/>
          <w:sz w:val="20"/>
        </w:rPr>
        <w:t>na conta corrente nº 1830-9</w:t>
      </w:r>
      <w:r w:rsidRPr="0037719D">
        <w:rPr>
          <w:rFonts w:ascii="Verdana" w:hAnsi="Verdana"/>
          <w:color w:val="000000" w:themeColor="text1"/>
          <w:sz w:val="20"/>
        </w:rPr>
        <w:t xml:space="preserve">, agência </w:t>
      </w:r>
      <w:r>
        <w:rPr>
          <w:rFonts w:ascii="Verdana" w:hAnsi="Verdana"/>
          <w:color w:val="000000" w:themeColor="text1"/>
          <w:sz w:val="20"/>
        </w:rPr>
        <w:t>nº 3416</w:t>
      </w:r>
      <w:r>
        <w:rPr>
          <w:rFonts w:ascii="Verdana" w:hAnsi="Verdana"/>
          <w:color w:val="000000" w:themeColor="text1"/>
          <w:sz w:val="20"/>
        </w:rPr>
        <w:t xml:space="preserve">, para a </w:t>
      </w:r>
      <w:r>
        <w:rPr>
          <w:rFonts w:ascii="Verdana" w:hAnsi="Verdana"/>
          <w:color w:val="000000" w:themeColor="text1"/>
          <w:sz w:val="20"/>
        </w:rPr>
        <w:t xml:space="preserve">conta corrente nº 2104-0, </w:t>
      </w:r>
      <w:r w:rsidRPr="0037719D">
        <w:rPr>
          <w:rFonts w:ascii="Verdana" w:hAnsi="Verdana"/>
          <w:color w:val="000000" w:themeColor="text1"/>
          <w:sz w:val="20"/>
        </w:rPr>
        <w:t xml:space="preserve">agência </w:t>
      </w:r>
      <w:r>
        <w:rPr>
          <w:rFonts w:ascii="Verdana" w:hAnsi="Verdana"/>
          <w:color w:val="000000" w:themeColor="text1"/>
          <w:sz w:val="20"/>
        </w:rPr>
        <w:t>nº 3416</w:t>
      </w:r>
      <w:r>
        <w:rPr>
          <w:rFonts w:ascii="Verdana" w:hAnsi="Verdana"/>
          <w:color w:val="000000" w:themeColor="text1"/>
          <w:sz w:val="20"/>
        </w:rPr>
        <w:t>; e (ii)</w:t>
      </w:r>
      <w:r>
        <w:rPr>
          <w:rFonts w:ascii="Verdana" w:hAnsi="Verdana"/>
          <w:color w:val="000000"/>
          <w:sz w:val="20"/>
        </w:rPr>
        <w:t xml:space="preserve"> Recebíveis Labaclen, atualmente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Pr>
          <w:rFonts w:ascii="Verdana" w:hAnsi="Verdana"/>
          <w:color w:val="000000" w:themeColor="text1"/>
          <w:sz w:val="20"/>
        </w:rPr>
        <w:t>nº 1834-1</w:t>
      </w:r>
      <w:r w:rsidRPr="0037719D">
        <w:rPr>
          <w:rFonts w:ascii="Verdana" w:hAnsi="Verdana"/>
          <w:color w:val="000000" w:themeColor="text1"/>
          <w:sz w:val="20"/>
        </w:rPr>
        <w:t xml:space="preserve">, agência </w:t>
      </w:r>
      <w:r>
        <w:rPr>
          <w:rFonts w:ascii="Verdana" w:hAnsi="Verdana"/>
          <w:color w:val="000000" w:themeColor="text1"/>
          <w:sz w:val="20"/>
        </w:rPr>
        <w:t>nº 3416</w:t>
      </w:r>
      <w:r>
        <w:rPr>
          <w:rFonts w:ascii="Verdana" w:hAnsi="Verdana"/>
          <w:color w:val="000000" w:themeColor="text1"/>
          <w:sz w:val="20"/>
        </w:rPr>
        <w:t xml:space="preserve"> para a</w:t>
      </w:r>
      <w:r>
        <w:rPr>
          <w:rFonts w:ascii="Verdana" w:hAnsi="Verdana"/>
          <w:color w:val="000000"/>
          <w:sz w:val="20"/>
        </w:rPr>
        <w:t xml:space="preserve"> </w:t>
      </w:r>
      <w:r>
        <w:rPr>
          <w:rFonts w:ascii="Verdana" w:hAnsi="Verdana"/>
          <w:color w:val="000000" w:themeColor="text1"/>
          <w:sz w:val="20"/>
        </w:rPr>
        <w:t xml:space="preserve">conta corrente nº 2103-2, </w:t>
      </w:r>
      <w:r w:rsidRPr="0037719D">
        <w:rPr>
          <w:rFonts w:ascii="Verdana" w:hAnsi="Verdana"/>
          <w:color w:val="000000" w:themeColor="text1"/>
          <w:sz w:val="20"/>
        </w:rPr>
        <w:t xml:space="preserve">agência </w:t>
      </w:r>
      <w:r>
        <w:rPr>
          <w:rFonts w:ascii="Verdana" w:hAnsi="Verdana"/>
          <w:color w:val="000000" w:themeColor="text1"/>
          <w:sz w:val="20"/>
        </w:rPr>
        <w:t>nº 3416</w:t>
      </w:r>
      <w:r w:rsidR="00BE4886">
        <w:rPr>
          <w:rFonts w:ascii="Verdana" w:hAnsi="Verdana"/>
          <w:color w:val="000000" w:themeColor="text1"/>
          <w:sz w:val="20"/>
        </w:rPr>
        <w:t>.</w:t>
      </w:r>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6" w:name="_DV_M277"/>
      <w:bookmarkStart w:id="37" w:name="_DV_M267"/>
      <w:bookmarkStart w:id="38" w:name="_DV_M242"/>
      <w:bookmarkStart w:id="39" w:name="_DV_M243"/>
      <w:bookmarkStart w:id="40" w:name="_DV_M244"/>
      <w:bookmarkStart w:id="41" w:name="_DV_M245"/>
      <w:bookmarkStart w:id="42" w:name="_DV_M246"/>
      <w:bookmarkEnd w:id="36"/>
      <w:bookmarkEnd w:id="37"/>
      <w:bookmarkEnd w:id="38"/>
      <w:bookmarkEnd w:id="39"/>
      <w:bookmarkEnd w:id="40"/>
      <w:bookmarkEnd w:id="41"/>
      <w:bookmarkEnd w:id="4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(ii)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 xml:space="preserve">em razão dos Direitos </w:t>
      </w:r>
      <w:r w:rsidR="00143E35" w:rsidRPr="00216D88">
        <w:rPr>
          <w:rFonts w:ascii="Verdana" w:hAnsi="Verdana"/>
          <w:sz w:val="20"/>
        </w:rPr>
        <w:lastRenderedPageBreak/>
        <w:t>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3" w:name="_DV_M281"/>
      <w:bookmarkStart w:id="44" w:name="_DV_M247"/>
      <w:bookmarkStart w:id="45" w:name="_DV_M279"/>
      <w:bookmarkStart w:id="46" w:name="_DV_M282"/>
      <w:bookmarkEnd w:id="43"/>
      <w:bookmarkEnd w:id="44"/>
      <w:bookmarkEnd w:id="45"/>
      <w:bookmarkEnd w:id="46"/>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47" w:name="_DV_M286"/>
      <w:bookmarkStart w:id="48" w:name="_DV_M284"/>
      <w:bookmarkEnd w:id="47"/>
      <w:bookmarkEnd w:id="48"/>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lastRenderedPageBreak/>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(iii)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Labaclen Laboratorio de Análises Clínicas e Endocrinologicas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lastRenderedPageBreak/>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4E77D286"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9" w:name="_DV_DPM0"/>
      <w:bookmarkEnd w:id="49"/>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lastRenderedPageBreak/>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lastRenderedPageBreak/>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27061BC3"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0" w:name="_DV_C693"/>
      <w:r w:rsidRPr="00216D88">
        <w:rPr>
          <w:rFonts w:ascii="Verdana" w:eastAsia="Times New Roman" w:hAnsi="Verdana"/>
          <w:sz w:val="20"/>
          <w:szCs w:val="20"/>
          <w:lang w:eastAsia="en-US"/>
        </w:rPr>
        <w:t>[RESTANTE DA PÁGINA INTENCIONALMENTE DEIXADO EM BRANCO.</w:t>
      </w:r>
      <w:bookmarkEnd w:id="50"/>
      <w:r w:rsidRPr="00216D88">
        <w:rPr>
          <w:rFonts w:ascii="Verdana" w:eastAsia="Times New Roman" w:hAnsi="Verdana"/>
          <w:sz w:val="20"/>
          <w:szCs w:val="20"/>
          <w:lang w:eastAsia="en-US"/>
        </w:rPr>
        <w:t xml:space="preserve"> </w:t>
      </w:r>
      <w:bookmarkStart w:id="5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1"/>
    </w:p>
    <w:p w14:paraId="7CF3D955" w14:textId="77777777" w:rsidR="005B3FDB" w:rsidRPr="00B40DCF" w:rsidRDefault="005B3FDB" w:rsidP="001C0FFF">
      <w:pPr>
        <w:ind w:firstLine="0"/>
      </w:pPr>
    </w:p>
    <w:p w14:paraId="6909884B" w14:textId="540082D4"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1C0FFF">
      <w:pPr>
        <w:pStyle w:val="Ttulo1"/>
        <w:numPr>
          <w:ilvl w:val="0"/>
          <w:numId w:val="0"/>
        </w:numPr>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pro rata temporis</w:t>
            </w:r>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2" w:name="_Hlk118953766"/>
            <w:r w:rsidRPr="00216D88">
              <w:rPr>
                <w:rFonts w:ascii="Verdana" w:hAnsi="Verdana"/>
                <w:b/>
                <w:sz w:val="20"/>
                <w:lang w:eastAsia="ar-SA"/>
              </w:rPr>
              <w:t>Remuneração</w:t>
            </w:r>
            <w:bookmarkEnd w:id="52"/>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w:t>
            </w:r>
            <w:r w:rsidRPr="00216D88">
              <w:rPr>
                <w:rFonts w:ascii="Verdana" w:hAnsi="Verdana"/>
                <w:color w:val="000000"/>
                <w:sz w:val="20"/>
              </w:rPr>
              <w:lastRenderedPageBreak/>
              <w:t>divulgadas diariamente pela B3, no informativo diário disponível 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53"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3"/>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legal(is)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54"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54"/>
      <w:r w:rsidR="00831531" w:rsidRPr="00216D88">
        <w:rPr>
          <w:rFonts w:ascii="Verdana" w:hAnsi="Verdana"/>
          <w:sz w:val="20"/>
        </w:rPr>
        <w:t xml:space="preserve">, </w:t>
      </w:r>
      <w:bookmarkStart w:id="55"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55"/>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4355" w14:textId="77777777" w:rsidR="00BF2265" w:rsidRDefault="00BF2265" w:rsidP="00143E35">
      <w:pPr>
        <w:spacing w:before="0"/>
      </w:pPr>
      <w:r>
        <w:separator/>
      </w:r>
    </w:p>
  </w:endnote>
  <w:endnote w:type="continuationSeparator" w:id="0">
    <w:p w14:paraId="5CD10A64" w14:textId="77777777" w:rsidR="00BF2265" w:rsidRDefault="00BF2265" w:rsidP="00143E35">
      <w:pPr>
        <w:spacing w:before="0"/>
      </w:pPr>
      <w:r>
        <w:continuationSeparator/>
      </w:r>
    </w:p>
  </w:endnote>
  <w:endnote w:type="continuationNotice" w:id="1">
    <w:p w14:paraId="41FAE9D6" w14:textId="77777777" w:rsidR="00BF2265" w:rsidRDefault="00BF22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058B" w14:textId="77777777" w:rsidR="00BF2265" w:rsidRDefault="00BF2265" w:rsidP="00143E35">
      <w:pPr>
        <w:spacing w:before="0"/>
      </w:pPr>
      <w:r>
        <w:separator/>
      </w:r>
    </w:p>
  </w:footnote>
  <w:footnote w:type="continuationSeparator" w:id="0">
    <w:p w14:paraId="4441E76F" w14:textId="77777777" w:rsidR="00BF2265" w:rsidRDefault="00BF2265" w:rsidP="00143E35">
      <w:pPr>
        <w:spacing w:before="0"/>
      </w:pPr>
      <w:r>
        <w:continuationSeparator/>
      </w:r>
    </w:p>
  </w:footnote>
  <w:footnote w:type="continuationNotice" w:id="1">
    <w:p w14:paraId="6CCE0FB0" w14:textId="77777777" w:rsidR="00BF2265" w:rsidRDefault="00BF22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7"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8"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748756">
    <w:abstractNumId w:val="1"/>
  </w:num>
  <w:num w:numId="2" w16cid:durableId="874119947">
    <w:abstractNumId w:val="2"/>
  </w:num>
  <w:num w:numId="3" w16cid:durableId="1587105659">
    <w:abstractNumId w:val="7"/>
  </w:num>
  <w:num w:numId="4" w16cid:durableId="86847518">
    <w:abstractNumId w:val="3"/>
  </w:num>
  <w:num w:numId="5" w16cid:durableId="278609268">
    <w:abstractNumId w:val="8"/>
  </w:num>
  <w:num w:numId="6" w16cid:durableId="1680619425">
    <w:abstractNumId w:val="5"/>
  </w:num>
  <w:num w:numId="7" w16cid:durableId="1915123010">
    <w:abstractNumId w:val="6"/>
  </w:num>
  <w:num w:numId="8" w16cid:durableId="1511413396">
    <w:abstractNumId w:val="7"/>
  </w:num>
  <w:num w:numId="9" w16cid:durableId="421488537">
    <w:abstractNumId w:val="11"/>
  </w:num>
  <w:num w:numId="10" w16cid:durableId="1758941964">
    <w:abstractNumId w:val="17"/>
  </w:num>
  <w:num w:numId="11" w16cid:durableId="2038501176">
    <w:abstractNumId w:val="19"/>
  </w:num>
  <w:num w:numId="12" w16cid:durableId="586963932">
    <w:abstractNumId w:val="4"/>
  </w:num>
  <w:num w:numId="13" w16cid:durableId="447238746">
    <w:abstractNumId w:val="9"/>
  </w:num>
  <w:num w:numId="14" w16cid:durableId="750850582">
    <w:abstractNumId w:val="15"/>
  </w:num>
  <w:num w:numId="15" w16cid:durableId="1639144139">
    <w:abstractNumId w:val="14"/>
  </w:num>
  <w:num w:numId="16" w16cid:durableId="454715358">
    <w:abstractNumId w:val="16"/>
  </w:num>
  <w:num w:numId="17" w16cid:durableId="2033339873">
    <w:abstractNumId w:val="10"/>
  </w:num>
  <w:num w:numId="18" w16cid:durableId="7137724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3806376">
    <w:abstractNumId w:val="13"/>
  </w:num>
  <w:num w:numId="20" w16cid:durableId="298733445">
    <w:abstractNumId w:val="0"/>
  </w:num>
  <w:num w:numId="21" w16cid:durableId="816841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0FFF"/>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5F7983"/>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DF5BD2"/>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2.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3.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4.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13564</Words>
  <Characters>73250</Characters>
  <Application>Microsoft Office Word</Application>
  <DocSecurity>0</DocSecurity>
  <Lines>610</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4</cp:revision>
  <cp:lastPrinted>2018-11-05T14:21:00Z</cp:lastPrinted>
  <dcterms:created xsi:type="dcterms:W3CDTF">2022-11-17T20:19:00Z</dcterms:created>
  <dcterms:modified xsi:type="dcterms:W3CDTF">2022-11-17T21:37:00Z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