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336F3587" w:rsidR="00E76B1F" w:rsidRDefault="00E76B1F" w:rsidP="00E61C00">
      <w:pPr>
        <w:pStyle w:val="Recitals"/>
        <w:rPr>
          <w:rFonts w:eastAsia="MS Mincho"/>
        </w:rPr>
      </w:pPr>
      <w:r w:rsidRPr="00E76B1F">
        <w:rPr>
          <w:rFonts w:eastAsia="MS Mincho"/>
        </w:rPr>
        <w:t xml:space="preserve">em [●] de [●]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xml:space="preserve">), celebraram o “Instrumento Particular de Escritura da 2ª (Segunda) Emissão de Debêntures Simples, Não Conversíveis em Ações, em </w:t>
      </w:r>
      <w:r w:rsidR="00DF73EA">
        <w:rPr>
          <w:rFonts w:eastAsia="MS Mincho"/>
        </w:rPr>
        <w:t>Até Três Séries</w:t>
      </w:r>
      <w:r w:rsidRPr="00E76B1F">
        <w:rPr>
          <w:rFonts w:eastAsia="MS Mincho"/>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xml:space="preserve">”), por meio do qual foram estabelecidos os termos e condições da 2ª (segunda) emissão pública de </w:t>
      </w:r>
      <w:r w:rsidR="00327D27">
        <w:rPr>
          <w:rFonts w:eastAsia="MS Mincho"/>
        </w:rPr>
        <w:t>[</w:t>
      </w:r>
      <w:r w:rsidRPr="00E76B1F">
        <w:rPr>
          <w:rFonts w:eastAsia="MS Mincho"/>
        </w:rPr>
        <w:t>60.500 (sessenta mil e quinhentas)</w:t>
      </w:r>
      <w:r w:rsidR="00327D27">
        <w:rPr>
          <w:rFonts w:eastAsia="MS Mincho"/>
        </w:rPr>
        <w:t>]</w:t>
      </w:r>
      <w:r w:rsidRPr="00E76B1F">
        <w:rPr>
          <w:rFonts w:eastAsia="MS Mincho"/>
        </w:rPr>
        <w:t xml:space="preserve">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xml:space="preserve">”), no montante total de </w:t>
      </w:r>
      <w:r w:rsidR="007240F9">
        <w:rPr>
          <w:rFonts w:eastAsia="MS Mincho"/>
        </w:rPr>
        <w:t>[</w:t>
      </w:r>
      <w:r w:rsidRPr="00E76B1F">
        <w:rPr>
          <w:rFonts w:eastAsia="MS Mincho"/>
        </w:rPr>
        <w:t>R$60.500.000,00 (sessenta milhões e quinhentos mil reais)</w:t>
      </w:r>
      <w:r w:rsidR="004A2774">
        <w:rPr>
          <w:rFonts w:eastAsia="MS Mincho"/>
        </w:rPr>
        <w:t>]</w:t>
      </w:r>
      <w:r w:rsidRPr="00E76B1F">
        <w:rPr>
          <w:rFonts w:eastAsia="MS Mincho"/>
        </w:rPr>
        <w:t xml:space="preserve"> na respectiva data de emissão das Debêntures (“</w:t>
      </w:r>
      <w:r w:rsidR="006A07B3">
        <w:rPr>
          <w:rFonts w:eastAsia="MS Mincho"/>
          <w:b/>
          <w:bCs/>
        </w:rPr>
        <w:t>Emissão</w:t>
      </w:r>
      <w:r w:rsidRPr="00E76B1F">
        <w:rPr>
          <w:rFonts w:eastAsia="MS Mincho"/>
        </w:rPr>
        <w:t>”);</w:t>
      </w:r>
    </w:p>
    <w:p w14:paraId="0B2FF6B9" w14:textId="419DA610"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w:t>
      </w:r>
      <w:proofErr w:type="gramStart"/>
      <w:r w:rsidRPr="00E76B1F">
        <w:t>e  comparece</w:t>
      </w:r>
      <w:proofErr w:type="gramEnd"/>
      <w:r w:rsidRPr="00E76B1F">
        <w:t xml:space="preserv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56E0905F" w14:textId="412F7D70" w:rsidR="00D57E63" w:rsidRPr="00750901" w:rsidRDefault="00EB77E7" w:rsidP="00E61C00">
      <w:pPr>
        <w:pStyle w:val="Recitals"/>
      </w:pPr>
      <w:r>
        <w:t>até 01 de dezembro de 2021, a Companhia não obteve o desembolso de no mínimo, metade do valor financiado através da Cédula de Crédito Bancário nº [</w:t>
      </w:r>
      <w:r w:rsidRPr="00EF52BF">
        <w:rPr>
          <w:highlight w:val="yellow"/>
        </w:rPr>
        <w:t>•</w:t>
      </w:r>
      <w:r>
        <w:t>], emitida em [[</w:t>
      </w:r>
      <w:r w:rsidRPr="00EF52BF">
        <w:rPr>
          <w:highlight w:val="yellow"/>
        </w:rPr>
        <w:t>•</w:t>
      </w:r>
      <w:r>
        <w:t>] ou [a ser emitida]] pela Colinas em favor do Banco da Amazônia S.A., para financiamento do Projeto Colinas (“</w:t>
      </w:r>
      <w:r>
        <w:rPr>
          <w:b/>
          <w:bCs/>
        </w:rPr>
        <w:t xml:space="preserve">Financiamento </w:t>
      </w:r>
      <w:r w:rsidRPr="007D7F78">
        <w:rPr>
          <w:b/>
          <w:bCs/>
        </w:rPr>
        <w:t>BASA</w:t>
      </w:r>
      <w:r>
        <w:t>”);</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 xml:space="preserve">Conta Vinculada (conforme definida abaixo), de titularidade da Cedente, a qual receberá a totalidade dos recursos </w:t>
      </w:r>
      <w:r w:rsidRPr="00E76B1F">
        <w:lastRenderedPageBreak/>
        <w:t>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06528180"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r w:rsidR="00327D27">
        <w:rPr>
          <w:rFonts w:cs="Tahoma"/>
          <w:iCs/>
          <w:szCs w:val="20"/>
        </w:rPr>
        <w:t>[</w:t>
      </w:r>
      <w:r w:rsidRPr="00E76B1F">
        <w:rPr>
          <w:rFonts w:cs="Tahoma"/>
          <w:iCs/>
          <w:szCs w:val="20"/>
        </w:rPr>
        <w:t>Caixa Econômica Federal</w:t>
      </w:r>
      <w:r w:rsidRPr="00E76B1F">
        <w:rPr>
          <w:rFonts w:cs="Tahoma"/>
          <w:szCs w:val="20"/>
        </w:rPr>
        <w:t xml:space="preserve"> </w:t>
      </w:r>
      <w:r w:rsidRPr="00E76B1F">
        <w:rPr>
          <w:rFonts w:cs="Tahoma"/>
          <w:iCs/>
          <w:szCs w:val="20"/>
        </w:rPr>
        <w:t>inscrita no CNPJ/ME sob o nº 00.360.305/0001-04</w:t>
      </w:r>
      <w:r w:rsidR="00327D27">
        <w:rPr>
          <w:rFonts w:cs="Tahoma"/>
          <w:iCs/>
          <w:szCs w:val="20"/>
        </w:rPr>
        <w:t>]</w:t>
      </w:r>
      <w:r w:rsidRPr="00E76B1F">
        <w:rPr>
          <w:rFonts w:cs="Tahoma"/>
          <w:iCs/>
          <w:szCs w:val="20"/>
        </w:rPr>
        <w:t xml:space="preserve">. </w:t>
      </w:r>
      <w:r w:rsidR="00327D27">
        <w:rPr>
          <w:rFonts w:cs="Tahoma"/>
          <w:iCs/>
          <w:szCs w:val="20"/>
        </w:rPr>
        <w:t>[</w:t>
      </w:r>
      <w:r w:rsidR="00327D27" w:rsidRPr="00E01B7E">
        <w:rPr>
          <w:rFonts w:cs="Tahoma"/>
          <w:iCs/>
          <w:szCs w:val="20"/>
          <w:highlight w:val="yellow"/>
        </w:rPr>
        <w:t xml:space="preserve">Nota LDR: </w:t>
      </w:r>
      <w:r w:rsidR="00D57E63">
        <w:rPr>
          <w:rFonts w:cs="Tahoma"/>
          <w:iCs/>
          <w:szCs w:val="20"/>
          <w:highlight w:val="yellow"/>
        </w:rPr>
        <w:t>dados a serem confirmados pela LC</w:t>
      </w:r>
      <w:r w:rsidR="00CC2FBC">
        <w:rPr>
          <w:rFonts w:cs="Tahoma"/>
          <w:iCs/>
          <w:szCs w:val="20"/>
          <w:highlight w:val="yellow"/>
        </w:rPr>
        <w:t xml:space="preserve">] </w:t>
      </w:r>
      <w:r w:rsidR="00D57E63" w:rsidRPr="001E46F3">
        <w:rPr>
          <w:rFonts w:cs="Tahoma"/>
          <w:iCs/>
          <w:szCs w:val="20"/>
          <w:highlight w:val="lightGray"/>
        </w:rPr>
        <w:t>[</w:t>
      </w:r>
      <w:r w:rsidR="00D57E63" w:rsidRPr="001E46F3">
        <w:rPr>
          <w:rFonts w:cs="Tahoma"/>
          <w:b/>
          <w:bCs/>
          <w:iCs/>
          <w:szCs w:val="20"/>
          <w:highlight w:val="lightGray"/>
        </w:rPr>
        <w:t>NOTA VR: NOVO CONTRATO EM NEGOCIAÇÃO, DADOS SERÃO ATUALIZADOS OPORTUNAMENTE</w:t>
      </w:r>
      <w:r w:rsidR="00D57E63" w:rsidRPr="001E46F3">
        <w:rPr>
          <w:rFonts w:cs="Tahoma"/>
          <w:iCs/>
          <w:szCs w:val="20"/>
          <w:highlight w:val="lightGray"/>
        </w:rPr>
        <w:t>]</w:t>
      </w:r>
    </w:p>
    <w:p w14:paraId="2913F81C" w14:textId="48A4F7DD"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Pr="00E76B1F">
        <w:rPr>
          <w:rFonts w:cs="Tahoma"/>
        </w:rPr>
        <w:t>n.º 2092-0, agência 0988</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r w:rsidR="00327D27" w:rsidRPr="00E01B7E">
        <w:rPr>
          <w:rFonts w:cs="Tahoma"/>
          <w:iCs/>
          <w:highlight w:val="yellow"/>
        </w:rPr>
        <w:t>[</w:t>
      </w:r>
      <w:r w:rsidR="00327D27" w:rsidRPr="00327D27">
        <w:rPr>
          <w:rFonts w:cs="Tahoma"/>
          <w:iCs/>
          <w:highlight w:val="yellow"/>
        </w:rPr>
        <w:t>Nota LDR:</w:t>
      </w:r>
      <w:r w:rsidR="00D57E63">
        <w:rPr>
          <w:rFonts w:cs="Tahoma"/>
          <w:iCs/>
          <w:highlight w:val="yellow"/>
        </w:rPr>
        <w:t xml:space="preserve"> dados a serem confirmados pela LC</w:t>
      </w:r>
      <w:r w:rsidR="00327D27" w:rsidRPr="00E01B7E">
        <w:rPr>
          <w:rFonts w:cs="Tahoma"/>
          <w:iCs/>
          <w:highlight w:val="yellow"/>
        </w:rPr>
        <w:t>]</w:t>
      </w:r>
      <w:r w:rsidR="00D57E63">
        <w:rPr>
          <w:rFonts w:cs="Tahoma"/>
          <w:iCs/>
        </w:rPr>
        <w:t xml:space="preserve"> </w:t>
      </w:r>
      <w:r w:rsidR="00D57E63" w:rsidRPr="00707D24">
        <w:rPr>
          <w:rFonts w:cs="Tahoma"/>
          <w:iCs/>
          <w:highlight w:val="lightGray"/>
        </w:rPr>
        <w:t>[</w:t>
      </w:r>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798DF527" w14:textId="777FB989"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Pr="00E76B1F">
        <w:rPr>
          <w:rFonts w:cs="Tahoma"/>
        </w:rPr>
        <w:t>n.º 2093-9, agência 0988</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327D27">
        <w:rPr>
          <w:rFonts w:cs="Tahoma"/>
        </w:rPr>
        <w:t xml:space="preserve"> </w:t>
      </w:r>
      <w:r w:rsidR="00327D27" w:rsidRPr="00AD0197">
        <w:rPr>
          <w:rFonts w:cs="Tahoma"/>
          <w:iCs/>
          <w:highlight w:val="yellow"/>
        </w:rPr>
        <w:t>[</w:t>
      </w:r>
      <w:r w:rsidR="00327D27" w:rsidRPr="00327D27">
        <w:rPr>
          <w:rFonts w:cs="Tahoma"/>
          <w:iCs/>
          <w:highlight w:val="yellow"/>
        </w:rPr>
        <w:t>Nota LDR:</w:t>
      </w:r>
      <w:r w:rsidR="00D57E63">
        <w:rPr>
          <w:rFonts w:cs="Tahoma"/>
          <w:iCs/>
          <w:highlight w:val="yellow"/>
        </w:rPr>
        <w:t xml:space="preserve"> dados a serem confirmados pela CL</w:t>
      </w:r>
      <w:r w:rsidR="00327D27" w:rsidRPr="00AD0197">
        <w:rPr>
          <w:rFonts w:cs="Tahoma"/>
          <w:iCs/>
          <w:highlight w:val="yellow"/>
        </w:rPr>
        <w:t>]</w:t>
      </w:r>
      <w:r w:rsidR="00D57E63">
        <w:rPr>
          <w:rFonts w:cs="Tahoma"/>
          <w:iCs/>
        </w:rPr>
        <w:t xml:space="preserve"> </w:t>
      </w:r>
      <w:r w:rsidR="00D57E63" w:rsidRPr="00707D24">
        <w:rPr>
          <w:rFonts w:cs="Tahoma"/>
          <w:iCs/>
          <w:highlight w:val="lightGray"/>
        </w:rPr>
        <w:t>[</w:t>
      </w:r>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473FD8EA" w14:textId="77777777" w:rsidR="000E3D3B" w:rsidRPr="00E76B1F" w:rsidRDefault="000E3D3B" w:rsidP="00D27EDB">
      <w:pPr>
        <w:pStyle w:val="Body2"/>
        <w:rPr>
          <w:rFonts w:cs="Tahoma"/>
          <w:szCs w:val="20"/>
        </w:rPr>
      </w:pPr>
      <w:bookmarkStart w:id="16" w:name="_DV_M37"/>
      <w:bookmarkStart w:id="17" w:name="_DV_M40"/>
      <w:bookmarkStart w:id="18" w:name="_DV_M41"/>
      <w:bookmarkStart w:id="19" w:name="_DV_M45"/>
      <w:bookmarkStart w:id="20" w:name="_DV_M46"/>
      <w:bookmarkEnd w:id="16"/>
      <w:bookmarkEnd w:id="17"/>
      <w:bookmarkEnd w:id="18"/>
      <w:bookmarkEnd w:id="19"/>
      <w:bookmarkEnd w:id="20"/>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1" w:name="_DV_M48"/>
      <w:bookmarkStart w:id="22" w:name="_DV_M49"/>
      <w:bookmarkStart w:id="23" w:name="_DV_M50"/>
      <w:bookmarkEnd w:id="21"/>
      <w:bookmarkEnd w:id="22"/>
      <w:bookmarkEnd w:id="23"/>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2EEC9E2A"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 </w:t>
      </w:r>
      <w:r w:rsidRPr="00E76B1F">
        <w:rPr>
          <w:rFonts w:cs="Tahoma"/>
          <w:szCs w:val="20"/>
        </w:rPr>
        <w:lastRenderedPageBreak/>
        <w:t xml:space="preserve">e/ou (c) fundos de investimentos (que não apliquem recursos em derivativos) geridos por instituições financeiras com </w:t>
      </w:r>
      <w:r w:rsidRPr="00E76B1F">
        <w:rPr>
          <w:rFonts w:cs="Tahoma"/>
          <w:i/>
          <w:szCs w:val="20"/>
        </w:rPr>
        <w:t>rating</w:t>
      </w:r>
      <w:r w:rsidRPr="00E76B1F">
        <w:rPr>
          <w:rFonts w:cs="Tahoma"/>
          <w:szCs w:val="20"/>
        </w:rPr>
        <w:t xml:space="preserve"> local igual ou superior a “AA”, a serem observados nesta ordem de preferência, para os fins deste Contrato e do Contrato de Administração de Contas.</w:t>
      </w:r>
      <w:r w:rsidR="004A2774">
        <w:rPr>
          <w:rFonts w:cs="Tahoma"/>
          <w:szCs w:val="20"/>
        </w:rPr>
        <w:t xml:space="preserve"> [</w:t>
      </w:r>
      <w:r w:rsidR="004A2774" w:rsidRPr="00E01B7E">
        <w:rPr>
          <w:rFonts w:cs="Tahoma"/>
          <w:szCs w:val="20"/>
          <w:highlight w:val="yellow"/>
        </w:rPr>
        <w:t xml:space="preserve">Nota LDR: </w:t>
      </w:r>
      <w:r w:rsidR="00327D27" w:rsidRPr="00E01B7E">
        <w:rPr>
          <w:rFonts w:cs="Tahoma"/>
          <w:szCs w:val="20"/>
          <w:highlight w:val="yellow"/>
        </w:rPr>
        <w:t>Sob confirmação</w:t>
      </w:r>
      <w:r w:rsidR="004A2774">
        <w:rPr>
          <w:rFonts w:cs="Tahoma"/>
          <w:szCs w:val="20"/>
        </w:rPr>
        <w:t>]</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4" w:name="_DV_M56"/>
      <w:bookmarkEnd w:id="24"/>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5" w:name="_Hlk1507589"/>
      <w:bookmarkStart w:id="26" w:name="_Hlk1507560"/>
    </w:p>
    <w:p w14:paraId="6BFECA77" w14:textId="43E53DD8" w:rsidR="000E3D3B" w:rsidRPr="00861F54" w:rsidRDefault="000E3D3B" w:rsidP="00D27EDB">
      <w:pPr>
        <w:pStyle w:val="Level3"/>
      </w:pPr>
      <w:r w:rsidRPr="00861F54">
        <w:lastRenderedPageBreak/>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7" w:name="_DV_M35"/>
      <w:bookmarkEnd w:id="27"/>
    </w:p>
    <w:bookmarkEnd w:id="25"/>
    <w:bookmarkEnd w:id="26"/>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 xml:space="preserve">Os instrumentos, contratos e/ou outros documentos, sejam eles já existentes ou originados em um momento futuro, que evidenciem a titularidade ou que sejam relacionados </w:t>
      </w:r>
      <w:r w:rsidRPr="00861F54">
        <w:lastRenderedPageBreak/>
        <w:t>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7777777" w:rsidR="000E3D3B" w:rsidRPr="00117DA9" w:rsidRDefault="000E3D3B" w:rsidP="00D27EDB">
      <w:pPr>
        <w:pStyle w:val="Level3"/>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 devendo</w:t>
      </w:r>
      <w:r>
        <w:t>,</w:t>
      </w:r>
      <w:r w:rsidRPr="00117DA9">
        <w:t xml:space="preserve"> ainda</w:t>
      </w:r>
      <w:r>
        <w:t>,</w:t>
      </w:r>
      <w:r w:rsidRPr="00117DA9">
        <w:t xml:space="preserve"> a Cedente cumprir o disposto no Art. 290 do Código Civil.</w:t>
      </w:r>
    </w:p>
    <w:bookmarkEnd w:id="38"/>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485F31F7"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xml:space="preserve">, ou qualquer invalidade parcial ou inexequibilidade de </w:t>
      </w:r>
      <w:r w:rsidR="000E3D3B" w:rsidRPr="00861F54">
        <w:lastRenderedPageBreak/>
        <w:t>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39" w:name="_Hlk42175934"/>
      <w:bookmarkStart w:id="4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9"/>
    <w:bookmarkEnd w:id="40"/>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1" w:name="_Hlk504315570"/>
      <w:r w:rsidRPr="00861F54">
        <w:t>:</w:t>
      </w:r>
      <w:bookmarkEnd w:id="41"/>
      <w:r w:rsidRPr="00861F54">
        <w:t xml:space="preserve"> </w:t>
      </w:r>
    </w:p>
    <w:p w14:paraId="7FB34D5A" w14:textId="2B42100B" w:rsidR="000E3D3B" w:rsidRPr="00861F54" w:rsidRDefault="000E3D3B" w:rsidP="00D27EDB">
      <w:pPr>
        <w:pStyle w:val="alpha3"/>
        <w:numPr>
          <w:ilvl w:val="0"/>
          <w:numId w:val="230"/>
        </w:numPr>
      </w:pPr>
      <w:bookmarkStart w:id="42" w:name="_Hlk39600279"/>
      <w:r w:rsidRPr="00861F54">
        <w:t xml:space="preserve">protocolar para registro, em até </w:t>
      </w:r>
      <w:r w:rsidR="00EB77E7">
        <w:t>[</w:t>
      </w:r>
      <w:r w:rsidRPr="00861F54">
        <w:t>2</w:t>
      </w:r>
      <w:r w:rsidR="00CC00F6">
        <w:t>/5</w:t>
      </w:r>
      <w:r w:rsidRPr="00861F54">
        <w:t xml:space="preserve"> (dois</w:t>
      </w:r>
      <w:r w:rsidR="00CC00F6">
        <w:t>/cinco</w:t>
      </w:r>
      <w:r w:rsidRPr="00861F54">
        <w:t>)</w:t>
      </w:r>
      <w:r w:rsidR="00EB77E7">
        <w:t>]</w:t>
      </w:r>
      <w:r w:rsidRPr="00861F54">
        <w:t xml:space="preserve">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2"/>
      <w:r w:rsidRPr="00861F54">
        <w:t>;</w:t>
      </w:r>
      <w:r w:rsidR="00CC00F6">
        <w:t xml:space="preserve"> </w:t>
      </w:r>
      <w:r w:rsidR="00EB77E7" w:rsidRPr="00D27EDB">
        <w:rPr>
          <w:rFonts w:cs="Tahoma"/>
        </w:rPr>
        <w:t>[</w:t>
      </w:r>
      <w:r w:rsidR="00EB77E7" w:rsidRPr="00D27EDB">
        <w:rPr>
          <w:rFonts w:cs="Tahoma"/>
          <w:highlight w:val="yellow"/>
        </w:rPr>
        <w:t>Nota LDR: alteração do prazo a ser confirmado pela XP</w:t>
      </w:r>
      <w:r w:rsidR="00EB77E7" w:rsidRPr="00D27EDB">
        <w:rPr>
          <w:rFonts w:cs="Tahoma"/>
        </w:rPr>
        <w:t>]</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599D5E3F" w:rsidR="000E3D3B" w:rsidRPr="00861F54" w:rsidRDefault="000E3D3B" w:rsidP="00D27EDB">
      <w:pPr>
        <w:pStyle w:val="alpha3"/>
      </w:pPr>
      <w:bookmarkStart w:id="43" w:name="_Hlk42176611"/>
      <w:r w:rsidRPr="00861F54">
        <w:t xml:space="preserve">notificar </w:t>
      </w:r>
      <w:r w:rsidRPr="00804AC4">
        <w:rPr>
          <w:lang w:eastAsia="zh-CN"/>
        </w:rPr>
        <w:t>a ANEEL</w:t>
      </w:r>
      <w:r w:rsidRPr="00861F54">
        <w:t xml:space="preserve">, em até </w:t>
      </w:r>
      <w:r w:rsidR="00EB77E7">
        <w:t>[</w:t>
      </w:r>
      <w:r w:rsidRPr="00861F54">
        <w:t>2</w:t>
      </w:r>
      <w:r w:rsidR="00CC00F6">
        <w:t>/5</w:t>
      </w:r>
      <w:r w:rsidRPr="00861F54">
        <w:t xml:space="preserve"> (dois</w:t>
      </w:r>
      <w:r w:rsidR="00CC00F6">
        <w:t>/cinco</w:t>
      </w:r>
      <w:r w:rsidRPr="00861F54">
        <w:t>)</w:t>
      </w:r>
      <w:r w:rsidR="00EB77E7">
        <w:t>]</w:t>
      </w:r>
      <w:r w:rsidRPr="00861F54">
        <w:t xml:space="preserve">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t>e</w:t>
      </w:r>
      <w:r w:rsidR="00CC00F6">
        <w:t xml:space="preserve"> </w:t>
      </w:r>
      <w:r w:rsidR="00EB77E7">
        <w:rPr>
          <w:rFonts w:cs="Tahoma"/>
        </w:rPr>
        <w:t>[</w:t>
      </w:r>
      <w:r w:rsidR="00EB77E7" w:rsidRPr="00A1378C">
        <w:rPr>
          <w:rFonts w:cs="Tahoma"/>
          <w:highlight w:val="yellow"/>
        </w:rPr>
        <w:t xml:space="preserve">Nota LDR: </w:t>
      </w:r>
      <w:r w:rsidR="00EB77E7">
        <w:rPr>
          <w:rFonts w:cs="Tahoma"/>
          <w:highlight w:val="yellow"/>
        </w:rPr>
        <w:t xml:space="preserve">alteração do </w:t>
      </w:r>
      <w:r w:rsidR="00EB77E7" w:rsidRPr="00A1378C">
        <w:rPr>
          <w:rFonts w:cs="Tahoma"/>
          <w:highlight w:val="yellow"/>
        </w:rPr>
        <w:t>prazo a ser confirmado pel</w:t>
      </w:r>
      <w:r w:rsidR="00EB77E7">
        <w:rPr>
          <w:rFonts w:cs="Tahoma"/>
          <w:highlight w:val="yellow"/>
        </w:rPr>
        <w:t>a</w:t>
      </w:r>
      <w:r w:rsidR="00EB77E7" w:rsidRPr="00A1378C">
        <w:rPr>
          <w:rFonts w:cs="Tahoma"/>
          <w:highlight w:val="yellow"/>
        </w:rPr>
        <w:t xml:space="preserve"> XP</w:t>
      </w:r>
      <w:r w:rsidR="00EB77E7">
        <w:rPr>
          <w:rFonts w:cs="Tahoma"/>
        </w:rPr>
        <w:t>]</w:t>
      </w:r>
      <w:r w:rsidR="00EB77E7">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w:t>
      </w:r>
      <w:r w:rsidRPr="00861F54">
        <w:rPr>
          <w:lang w:eastAsia="zh-CN"/>
        </w:rPr>
        <w:lastRenderedPageBreak/>
        <w:t xml:space="preserve">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4"/>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5" w:name="_Hlk504316843"/>
      <w:r w:rsidRPr="00861F54">
        <w:t>dos Direitos Creditórios Cedidos Fiduciariamente.</w:t>
      </w:r>
      <w:bookmarkEnd w:id="45"/>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49E2DE11"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6"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46"/>
      <w:r w:rsidRPr="00861F54">
        <w:rPr>
          <w:i/>
          <w:lang w:eastAsia="pt-BR"/>
        </w:rPr>
        <w:t xml:space="preserve"> </w:t>
      </w:r>
      <w:bookmarkStart w:id="47" w:name="_Hlk39600387"/>
      <w:r w:rsidRPr="00861F54">
        <w:rPr>
          <w:i/>
          <w:lang w:eastAsia="pt-BR"/>
        </w:rPr>
        <w:t>a</w:t>
      </w:r>
      <w:r w:rsidRPr="00861F54">
        <w:rPr>
          <w:i/>
        </w:rPr>
        <w:t xml:space="preserve">os titulares </w:t>
      </w:r>
      <w:bookmarkStart w:id="48" w:name="_Hlk43251606"/>
      <w:bookmarkEnd w:id="47"/>
      <w:r w:rsidR="005E746E">
        <w:rPr>
          <w:i/>
        </w:rPr>
        <w:t xml:space="preserve">das até </w:t>
      </w:r>
      <w:r w:rsidR="00BB1793">
        <w:rPr>
          <w:i/>
        </w:rPr>
        <w:t>[</w:t>
      </w:r>
      <w:r w:rsidR="005E746E" w:rsidRPr="005E746E">
        <w:rPr>
          <w:i/>
        </w:rPr>
        <w:t>60.500 (sessenta mil e quinhentas)</w:t>
      </w:r>
      <w:r w:rsidR="00C77F1D">
        <w:rPr>
          <w:i/>
        </w:rPr>
        <w:t>]</w:t>
      </w:r>
      <w:r w:rsidR="005E746E" w:rsidRPr="005E746E">
        <w:rPr>
          <w:i/>
        </w:rPr>
        <w:t xml:space="preserve"> debêntures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w:t>
      </w:r>
      <w:r w:rsidRPr="00861F54">
        <w:rPr>
          <w:i/>
        </w:rPr>
        <w:lastRenderedPageBreak/>
        <w:t xml:space="preserve">Outras Avenças de </w:t>
      </w:r>
      <w:r w:rsidR="005E746E" w:rsidRPr="005E746E">
        <w:rPr>
          <w:i/>
        </w:rPr>
        <w:t>[●] de [●] de 2021</w:t>
      </w:r>
      <w:r w:rsidRPr="00861F54">
        <w:rPr>
          <w:i/>
          <w:color w:val="000000"/>
        </w:rPr>
        <w:t xml:space="preserve">. </w:t>
      </w:r>
      <w:bookmarkEnd w:id="48"/>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Pr="00861F54">
        <w:rPr>
          <w:i/>
          <w:color w:val="000000"/>
        </w:rPr>
        <w:t>n.º</w:t>
      </w:r>
      <w:r>
        <w:rPr>
          <w:i/>
          <w:color w:val="000000"/>
        </w:rPr>
        <w:t> </w:t>
      </w:r>
      <w:r w:rsidRPr="00FA1AC4">
        <w:rPr>
          <w:i/>
          <w:iCs/>
        </w:rPr>
        <w:t>2093-9, agência 0988</w:t>
      </w:r>
      <w:r w:rsidRPr="00861F54">
        <w:rPr>
          <w:i/>
          <w:color w:val="000000"/>
        </w:rPr>
        <w:t xml:space="preserve">, </w:t>
      </w:r>
      <w:r>
        <w:rPr>
          <w:i/>
          <w:color w:val="000000"/>
        </w:rPr>
        <w:t>Caixa Econômica Federal</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LDR: conta a ser confirmada</w:t>
      </w:r>
      <w:r w:rsidR="004919BF">
        <w:rPr>
          <w:iCs/>
          <w:color w:val="000000"/>
        </w:rPr>
        <w:t>]</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49" w:name="_DV_M106"/>
      <w:bookmarkStart w:id="50" w:name="_DV_M107"/>
      <w:bookmarkStart w:id="51" w:name="_Toc132460173"/>
      <w:bookmarkStart w:id="52" w:name="_Toc132460543"/>
      <w:bookmarkStart w:id="53" w:name="_Toc132460636"/>
      <w:bookmarkStart w:id="54" w:name="_Toc132461005"/>
      <w:bookmarkStart w:id="55" w:name="_Toc132463954"/>
      <w:bookmarkStart w:id="56" w:name="_Toc132715017"/>
      <w:bookmarkStart w:id="57" w:name="_Toc133242927"/>
      <w:bookmarkStart w:id="58" w:name="_Toc133243199"/>
      <w:bookmarkStart w:id="59" w:name="_Toc133243604"/>
      <w:bookmarkEnd w:id="49"/>
      <w:bookmarkEnd w:id="50"/>
    </w:p>
    <w:p w14:paraId="5F9EA1B5" w14:textId="4CA81563" w:rsidR="000E3D3B" w:rsidRPr="00861F54" w:rsidRDefault="000E3D3B" w:rsidP="00D27EDB">
      <w:pPr>
        <w:pStyle w:val="Level3"/>
      </w:pPr>
      <w:bookmarkStart w:id="60" w:name="_DV_M80"/>
      <w:bookmarkStart w:id="61" w:name="_DV_M206"/>
      <w:bookmarkStart w:id="62" w:name="_DV_M99"/>
      <w:bookmarkStart w:id="63" w:name="_DV_M60"/>
      <w:bookmarkStart w:id="64" w:name="_DV_M61"/>
      <w:bookmarkStart w:id="65" w:name="_DV_M62"/>
      <w:bookmarkStart w:id="66" w:name="_DV_M78"/>
      <w:bookmarkStart w:id="67" w:name="_DV_M100"/>
      <w:bookmarkStart w:id="68" w:name="_DV_M1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w:t>
      </w:r>
      <w:r w:rsidRPr="00861F54">
        <w:lastRenderedPageBreak/>
        <w:t>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9" w:name="_DV_M103"/>
      <w:bookmarkEnd w:id="69"/>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0" w:name="_DV_M104"/>
      <w:bookmarkStart w:id="71" w:name="_Toc132463139"/>
      <w:bookmarkStart w:id="72" w:name="_Toc132463981"/>
      <w:bookmarkStart w:id="73" w:name="_Toc132715047"/>
      <w:bookmarkStart w:id="74" w:name="_Toc133242955"/>
      <w:bookmarkStart w:id="75" w:name="_Toc133243227"/>
      <w:bookmarkStart w:id="76" w:name="_Toc133243635"/>
      <w:bookmarkEnd w:id="70"/>
    </w:p>
    <w:bookmarkEnd w:id="71"/>
    <w:bookmarkEnd w:id="72"/>
    <w:bookmarkEnd w:id="73"/>
    <w:bookmarkEnd w:id="74"/>
    <w:bookmarkEnd w:id="75"/>
    <w:bookmarkEnd w:id="76"/>
    <w:p w14:paraId="3437A745" w14:textId="4B175C39" w:rsidR="000E3D3B" w:rsidRPr="00D2403B" w:rsidRDefault="000E3D3B" w:rsidP="00D27EDB">
      <w:pPr>
        <w:pStyle w:val="Level3"/>
        <w:rPr>
          <w:b/>
        </w:rPr>
      </w:pPr>
      <w:r w:rsidRPr="00861F54">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 xml:space="preserve">será aplicável até que tenham sido verificadas, cumulativamente, as seguintes condições: (a) confirmação, pelo Cessionário, por escrito, que o Evento de Inadimplemento em questão foi solucionado, </w:t>
      </w:r>
      <w:r w:rsidRPr="00861F54">
        <w:lastRenderedPageBreak/>
        <w:t>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77"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78" w:name="_Hlk504346845"/>
      <w:r w:rsidRPr="00861F54">
        <w:t>, a</w:t>
      </w:r>
      <w:bookmarkEnd w:id="78"/>
      <w:r w:rsidRPr="00861F54">
        <w:t>:</w:t>
      </w:r>
      <w:bookmarkEnd w:id="77"/>
    </w:p>
    <w:p w14:paraId="0952ED76" w14:textId="0D654F31" w:rsidR="000E3D3B" w:rsidRDefault="000E3D3B" w:rsidP="00D27EDB">
      <w:pPr>
        <w:pStyle w:val="alpha3"/>
        <w:numPr>
          <w:ilvl w:val="0"/>
          <w:numId w:val="232"/>
        </w:numPr>
      </w:pPr>
      <w:bookmarkStart w:id="79"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0"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0"/>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w:t>
      </w:r>
      <w:r w:rsidRPr="0027413B">
        <w:lastRenderedPageBreak/>
        <w:t xml:space="preserve">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1D6EC38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contado de tal acontecimento, e (</w:t>
      </w:r>
      <w:proofErr w:type="spellStart"/>
      <w:r w:rsidRPr="00EE441C">
        <w:t>ii</w:t>
      </w:r>
      <w:proofErr w:type="spellEnd"/>
      <w:r w:rsidRPr="00EE441C">
        <w:t xml:space="preserve">) acerca da ocorrência de qualquer Ônus que recaia sobre as garantias objeto do presente Contrato,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w:t>
      </w:r>
      <w:r w:rsidRPr="00EE441C">
        <w:lastRenderedPageBreak/>
        <w:t xml:space="preserve">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79"/>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622D5A5" w:rsidR="000E3D3B" w:rsidRPr="00861F54" w:rsidRDefault="000E3D3B" w:rsidP="00D27EDB">
      <w:pPr>
        <w:pStyle w:val="alpha3"/>
      </w:pPr>
      <w:r w:rsidRPr="00861F54">
        <w:t xml:space="preserve">notificar o Cessionário em até </w:t>
      </w:r>
      <w:r w:rsidR="00BB1793">
        <w:t>[</w:t>
      </w:r>
      <w:r w:rsidRPr="00861F54">
        <w:t>1 (um) Dia Útil</w:t>
      </w:r>
      <w:r w:rsidR="00BB1793">
        <w:t>]</w:t>
      </w:r>
      <w:r w:rsidRPr="00861F54">
        <w:t xml:space="preserve">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sem a tanto estar obrigado, cumprir referida avença, ou providenciar o seu cumprimento, sendo certo que a Cedente deverá reembolsar o 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81" w:name="_DV_M138"/>
      <w:bookmarkEnd w:id="81"/>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lastRenderedPageBreak/>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2" w:name="_Hlk74921571"/>
      <w:r w:rsidR="000B57BA">
        <w:t>, observada a Condição Suspensiva</w:t>
      </w:r>
      <w:bookmarkEnd w:id="82"/>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 xml:space="preserve">não existe qualquer pretensão, reclamação, reivindicação, demanda, ação judicial, inquérito, investigação ou processo judicial ou administrativo pendente, </w:t>
      </w:r>
      <w:r>
        <w:lastRenderedPageBreak/>
        <w:t>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83" w:name="_DV_M105"/>
      <w:bookmarkStart w:id="84" w:name="_DV_M111"/>
      <w:bookmarkEnd w:id="83"/>
      <w:bookmarkEnd w:id="84"/>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85" w:name="_DV_M150"/>
      <w:bookmarkStart w:id="86" w:name="_DV_M153"/>
      <w:bookmarkStart w:id="87" w:name="_DV_M154"/>
      <w:bookmarkStart w:id="88" w:name="_DV_M156"/>
      <w:bookmarkEnd w:id="85"/>
      <w:bookmarkEnd w:id="86"/>
      <w:bookmarkEnd w:id="87"/>
      <w:bookmarkEnd w:id="88"/>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lastRenderedPageBreak/>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7A464C65" w:rsidR="000E3D3B" w:rsidRPr="00861F54" w:rsidRDefault="000E3D3B" w:rsidP="00BE2292">
      <w:pPr>
        <w:pStyle w:val="Level2"/>
      </w:pPr>
      <w:r w:rsidRPr="00B96B68">
        <w:rPr>
          <w:b/>
          <w:bCs/>
        </w:rPr>
        <w:t>Cu</w:t>
      </w:r>
      <w:r w:rsidRPr="008F467D">
        <w:rPr>
          <w:b/>
          <w:bCs/>
        </w:rPr>
        <w:t>mprimento Parcial</w:t>
      </w:r>
      <w:bookmarkStart w:id="89"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xml:space="preserve">, nem limitará o direito do Cessionário de as executar </w:t>
      </w:r>
      <w:proofErr w:type="gramStart"/>
      <w:r w:rsidRPr="00861F54">
        <w:t>integralmente</w:t>
      </w:r>
      <w:r>
        <w:t>,</w:t>
      </w:r>
      <w:r w:rsidR="00BF1A22">
        <w:rPr>
          <w:rFonts w:cs="Tahoma"/>
          <w:color w:val="000000"/>
          <w:szCs w:val="20"/>
        </w:rPr>
        <w:t>,</w:t>
      </w:r>
      <w:proofErr w:type="gramEnd"/>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89"/>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w:t>
      </w:r>
      <w:r w:rsidRPr="00861F54">
        <w:lastRenderedPageBreak/>
        <w:t>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xml:space="preserve">) se solicitado pelo </w:t>
      </w:r>
      <w:r w:rsidRPr="00861F54">
        <w:lastRenderedPageBreak/>
        <w:t>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0"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91" w:name="_Toc143582470"/>
      <w:bookmarkStart w:id="92" w:name="_Toc175568531"/>
      <w:bookmarkStart w:id="93" w:name="_Toc204699434"/>
      <w:bookmarkStart w:id="94" w:name="_Toc259396499"/>
      <w:bookmarkStart w:id="95" w:name="_Toc263587931"/>
      <w:bookmarkEnd w:id="90"/>
      <w:r w:rsidRPr="00E61C00">
        <w:rPr>
          <w:b/>
          <w:bCs/>
        </w:rPr>
        <w:t>DISPOSIÇÕES GERAIS</w:t>
      </w:r>
      <w:bookmarkEnd w:id="91"/>
      <w:bookmarkEnd w:id="92"/>
      <w:bookmarkEnd w:id="93"/>
      <w:bookmarkEnd w:id="94"/>
      <w:bookmarkEnd w:id="95"/>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6"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96"/>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97" w:name="_Hlk39601659"/>
      <w:r w:rsidRPr="00861F54">
        <w:t xml:space="preserve">Para os fins do presente Contrato, o </w:t>
      </w:r>
      <w:bookmarkStart w:id="98" w:name="_DV_M160"/>
      <w:bookmarkEnd w:id="98"/>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99" w:name="_Toc80174427"/>
      <w:bookmarkStart w:id="100" w:name="_Toc82867916"/>
      <w:bookmarkEnd w:id="97"/>
    </w:p>
    <w:p w14:paraId="29313AEB" w14:textId="77777777" w:rsidR="000E3D3B" w:rsidRPr="00861F54" w:rsidRDefault="000E3D3B" w:rsidP="00BE2292">
      <w:pPr>
        <w:pStyle w:val="Level2"/>
        <w:rPr>
          <w:rFonts w:eastAsia="SimSun"/>
        </w:rPr>
      </w:pPr>
      <w:bookmarkStart w:id="101" w:name="_DV_M267"/>
      <w:bookmarkStart w:id="102" w:name="_DV_M277"/>
      <w:bookmarkStart w:id="103" w:name="_DV_M278"/>
      <w:bookmarkStart w:id="104" w:name="_DV_M163"/>
      <w:bookmarkStart w:id="105" w:name="_DV_M174"/>
      <w:bookmarkStart w:id="106" w:name="_DV_M195"/>
      <w:bookmarkStart w:id="107" w:name="_DV_M199"/>
      <w:bookmarkStart w:id="108" w:name="_DV_M207"/>
      <w:bookmarkStart w:id="109" w:name="_DV_M209"/>
      <w:bookmarkStart w:id="110" w:name="_DV_M231"/>
      <w:bookmarkStart w:id="111" w:name="_DV_M190"/>
      <w:bookmarkEnd w:id="101"/>
      <w:bookmarkEnd w:id="102"/>
      <w:bookmarkEnd w:id="103"/>
      <w:bookmarkEnd w:id="104"/>
      <w:bookmarkEnd w:id="105"/>
      <w:bookmarkEnd w:id="106"/>
      <w:bookmarkEnd w:id="107"/>
      <w:bookmarkEnd w:id="108"/>
      <w:bookmarkEnd w:id="109"/>
      <w:bookmarkEnd w:id="110"/>
      <w:bookmarkEnd w:id="111"/>
      <w:r w:rsidRPr="00861F54">
        <w:rPr>
          <w:b/>
          <w:bCs/>
        </w:rPr>
        <w:t>Sucessores</w:t>
      </w:r>
      <w:bookmarkEnd w:id="99"/>
      <w:bookmarkEnd w:id="100"/>
      <w:r w:rsidRPr="00861F54">
        <w:t xml:space="preserve">. O presente é irrevogável e irretratável e obriga todas as partes, seus sucessores a qualquer título e seus cessionários autorizados. </w:t>
      </w:r>
      <w:bookmarkStart w:id="112" w:name="_Toc80174430"/>
      <w:bookmarkStart w:id="113"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14" w:name="_Hlk39601720"/>
      <w:r w:rsidRPr="00861F54">
        <w:lastRenderedPageBreak/>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15"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8" w:history="1">
        <w:r w:rsidR="000E3D3B" w:rsidRPr="00AC2923">
          <w:rPr>
            <w:rStyle w:val="Hyperlink"/>
          </w:rPr>
          <w:t>nilton.bertuchi@lyoncapital.com.br</w:t>
        </w:r>
      </w:hyperlink>
      <w:r w:rsidR="000E3D3B">
        <w:t xml:space="preserve"> / </w:t>
      </w:r>
      <w:hyperlink r:id="rId9" w:history="1">
        <w:r w:rsidR="000E3D3B" w:rsidRPr="00AC2923">
          <w:rPr>
            <w:rStyle w:val="Hyperlink"/>
          </w:rPr>
          <w:t>luiz.guilherme@lyoncapital.com.br</w:t>
        </w:r>
      </w:hyperlink>
      <w:r w:rsidR="000E3D3B">
        <w:t xml:space="preserve"> / </w:t>
      </w:r>
      <w:hyperlink r:id="rId10" w:history="1">
        <w:r w:rsidR="000E3D3B" w:rsidRPr="00AC2923">
          <w:rPr>
            <w:rStyle w:val="Hyperlink"/>
          </w:rPr>
          <w:t>beatriz.curi@lyoncapital.com.br</w:t>
        </w:r>
      </w:hyperlink>
      <w:r w:rsidR="000E3D3B">
        <w:t xml:space="preserve"> </w:t>
      </w:r>
      <w:r w:rsidR="00D27EDB">
        <w:br/>
      </w:r>
      <w:r w:rsidR="000E3D3B">
        <w:t>Tel.: (11) 3512-2525</w:t>
      </w:r>
    </w:p>
    <w:bookmarkEnd w:id="115"/>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16" w:name="_Hlk1997668"/>
      <w:bookmarkEnd w:id="114"/>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16"/>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12"/>
      <w:bookmarkEnd w:id="113"/>
      <w:r w:rsidRPr="00861F54">
        <w:t xml:space="preserve">. </w:t>
      </w:r>
      <w:bookmarkStart w:id="117" w:name="_Hlk1997818"/>
      <w:r w:rsidRPr="00861F54">
        <w:t>A tolerância quanto à mora ou inadimplemento será havida como simples liberalidade e não implicará renúncia ou novação, nem prejudicará o posterior exercício de qualquer direito</w:t>
      </w:r>
      <w:bookmarkEnd w:id="117"/>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648F5FAC" w:rsidR="000E3D3B" w:rsidRPr="00861F54" w:rsidRDefault="000E3D3B" w:rsidP="00BE2292">
      <w:pPr>
        <w:pStyle w:val="Level2"/>
        <w:rPr>
          <w:bCs/>
        </w:rPr>
      </w:pPr>
      <w:r w:rsidRPr="00861F54">
        <w:rPr>
          <w:b/>
        </w:rPr>
        <w:lastRenderedPageBreak/>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1A201C7F" w14:textId="05405CA2"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F2307D" w:rsidRPr="00383A16" w14:paraId="7DE94690" w14:textId="77777777" w:rsidTr="00383A16">
        <w:tc>
          <w:tcPr>
            <w:tcW w:w="1694" w:type="pct"/>
            <w:vAlign w:val="center"/>
            <w:hideMark/>
          </w:tcPr>
          <w:p w14:paraId="7C919F78" w14:textId="3DD298AA"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Título</w:t>
            </w:r>
          </w:p>
        </w:tc>
        <w:tc>
          <w:tcPr>
            <w:tcW w:w="3306" w:type="pct"/>
            <w:vAlign w:val="center"/>
            <w:hideMark/>
          </w:tcPr>
          <w:p w14:paraId="799FAE29" w14:textId="62D08050" w:rsidR="00F2307D" w:rsidRPr="00383A16" w:rsidRDefault="00F2307D" w:rsidP="00383A16">
            <w:pPr>
              <w:pStyle w:val="p0"/>
              <w:spacing w:before="40" w:after="40" w:line="252" w:lineRule="auto"/>
              <w:outlineLvl w:val="0"/>
              <w:rPr>
                <w:rFonts w:ascii="Tahoma" w:hAnsi="Tahoma" w:cs="Tahoma"/>
                <w:sz w:val="18"/>
                <w:szCs w:val="18"/>
              </w:rPr>
            </w:pPr>
            <w:r w:rsidRPr="00383A16">
              <w:rPr>
                <w:rFonts w:ascii="Tahoma" w:hAnsi="Tahoma" w:cs="Tahoma"/>
                <w:sz w:val="18"/>
                <w:szCs w:val="18"/>
              </w:rPr>
              <w:t xml:space="preserve">Debêntures simples, não conversíveis em ações, cada uma no valor unitário de R$ 1.000,00 (mil reais), da espécie com garantia real e garantia fidejussória adicional, em </w:t>
            </w:r>
            <w:r w:rsidR="006B6FBC" w:rsidRPr="00383A16">
              <w:rPr>
                <w:rFonts w:ascii="Tahoma" w:hAnsi="Tahoma" w:cs="Tahoma"/>
                <w:sz w:val="18"/>
                <w:szCs w:val="18"/>
              </w:rPr>
              <w:t>até três séries</w:t>
            </w:r>
            <w:r w:rsidRPr="00383A16">
              <w:rPr>
                <w:rFonts w:ascii="Tahoma" w:hAnsi="Tahoma" w:cs="Tahoma"/>
                <w:sz w:val="18"/>
                <w:szCs w:val="18"/>
              </w:rPr>
              <w:t xml:space="preserve">, para distribuição pública, com esforços restritos, por meio do “Instrumento Particular de Escritura da 2ª (Segunda) Emissão de Debêntures Simples, Não Conversíveis em Ações, em </w:t>
            </w:r>
            <w:r w:rsidR="006B6FBC" w:rsidRPr="00383A16">
              <w:rPr>
                <w:rFonts w:ascii="Tahoma" w:hAnsi="Tahoma" w:cs="Tahoma"/>
                <w:sz w:val="18"/>
                <w:szCs w:val="18"/>
              </w:rPr>
              <w:t>Até Três Séries</w:t>
            </w:r>
            <w:r w:rsidRPr="00383A16">
              <w:rPr>
                <w:rFonts w:ascii="Tahoma" w:hAnsi="Tahoma" w:cs="Tahoma"/>
                <w:sz w:val="18"/>
                <w:szCs w:val="18"/>
              </w:rPr>
              <w:t>, da Espécie com Garantia Real e Garantia Adicional Fidejussória, para Distribuição Pública com Esforços Restritos, da LC Energia Holding S.A.”, celebrado entre a Alienante, na qualidade de emissora, o Agente Fiduciário, na qualidade de agente fiduciário e FIP Capital I Fundo de Investimento em Participações Infraestrutura., inscrita no CNPJ/ME sob o n.º </w:t>
            </w:r>
            <w:r w:rsidRPr="00383A16">
              <w:rPr>
                <w:rFonts w:ascii="Tahoma" w:hAnsi="Tahoma" w:cs="Tahoma"/>
                <w:bCs/>
                <w:sz w:val="18"/>
                <w:szCs w:val="18"/>
              </w:rPr>
              <w:t>[●]</w:t>
            </w:r>
            <w:r w:rsidRPr="00383A16">
              <w:rPr>
                <w:rFonts w:ascii="Tahoma" w:hAnsi="Tahoma" w:cs="Tahoma"/>
                <w:sz w:val="18"/>
                <w:szCs w:val="18"/>
              </w:rPr>
              <w:t>, na qualidade de fiadora, em [●] de [●] de 2021.</w:t>
            </w:r>
          </w:p>
        </w:tc>
      </w:tr>
      <w:tr w:rsidR="00F2307D" w:rsidRPr="00383A16" w14:paraId="3FFF16D9" w14:textId="77777777" w:rsidTr="00383A16">
        <w:tc>
          <w:tcPr>
            <w:tcW w:w="1694" w:type="pct"/>
            <w:vAlign w:val="center"/>
          </w:tcPr>
          <w:p w14:paraId="218648A7" w14:textId="7EC05C71"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Valor da Dívida:</w:t>
            </w:r>
          </w:p>
        </w:tc>
        <w:tc>
          <w:tcPr>
            <w:tcW w:w="3306" w:type="pct"/>
            <w:vAlign w:val="center"/>
          </w:tcPr>
          <w:p w14:paraId="379DE8F7" w14:textId="26DC1724" w:rsidR="00F2307D" w:rsidRPr="00383A16" w:rsidRDefault="006B6FBC" w:rsidP="00383A16">
            <w:pPr>
              <w:pStyle w:val="p0"/>
              <w:spacing w:before="40" w:after="40" w:line="252" w:lineRule="auto"/>
              <w:outlineLvl w:val="0"/>
              <w:rPr>
                <w:rFonts w:ascii="Tahoma" w:hAnsi="Tahoma" w:cs="Tahoma"/>
                <w:sz w:val="18"/>
                <w:szCs w:val="18"/>
              </w:rPr>
            </w:pPr>
            <w:r w:rsidRPr="00383A16">
              <w:rPr>
                <w:rFonts w:ascii="Tahoma" w:hAnsi="Tahoma" w:cs="Tahoma"/>
                <w:sz w:val="18"/>
                <w:szCs w:val="18"/>
              </w:rPr>
              <w:t>[</w:t>
            </w:r>
            <w:r w:rsidR="00F2307D" w:rsidRPr="00383A16">
              <w:rPr>
                <w:rFonts w:ascii="Tahoma" w:hAnsi="Tahoma" w:cs="Tahoma"/>
                <w:sz w:val="18"/>
                <w:szCs w:val="18"/>
              </w:rPr>
              <w:t>R$60.500.000,00 (sessenta milhões e quinhentos mil reais)</w:t>
            </w:r>
            <w:r w:rsidRPr="00383A16">
              <w:rPr>
                <w:rFonts w:ascii="Tahoma" w:hAnsi="Tahoma" w:cs="Tahoma"/>
                <w:sz w:val="18"/>
                <w:szCs w:val="18"/>
              </w:rPr>
              <w:t>]</w:t>
            </w:r>
            <w:r w:rsidR="00F2307D" w:rsidRPr="00383A16">
              <w:rPr>
                <w:rFonts w:ascii="Tahoma" w:hAnsi="Tahoma" w:cs="Tahoma"/>
                <w:sz w:val="18"/>
                <w:szCs w:val="18"/>
              </w:rPr>
              <w:t>.</w:t>
            </w:r>
          </w:p>
        </w:tc>
      </w:tr>
      <w:tr w:rsidR="00F2307D" w:rsidRPr="00383A16" w14:paraId="431DFD5E" w14:textId="77777777" w:rsidTr="00383A16">
        <w:tc>
          <w:tcPr>
            <w:tcW w:w="1694" w:type="pct"/>
            <w:vAlign w:val="center"/>
            <w:hideMark/>
          </w:tcPr>
          <w:p w14:paraId="79450343"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Data de Emissão:</w:t>
            </w:r>
          </w:p>
        </w:tc>
        <w:tc>
          <w:tcPr>
            <w:tcW w:w="3306" w:type="pct"/>
            <w:vAlign w:val="center"/>
            <w:hideMark/>
          </w:tcPr>
          <w:p w14:paraId="679B1268" w14:textId="77777777" w:rsidR="00F2307D" w:rsidRPr="00383A16" w:rsidRDefault="00F2307D" w:rsidP="00383A16">
            <w:pPr>
              <w:widowControl w:val="0"/>
              <w:spacing w:before="40" w:after="40" w:line="252" w:lineRule="auto"/>
              <w:rPr>
                <w:rFonts w:cs="Tahoma"/>
                <w:sz w:val="18"/>
                <w:szCs w:val="18"/>
              </w:rPr>
            </w:pPr>
            <w:r w:rsidRPr="00383A16">
              <w:rPr>
                <w:rFonts w:cs="Tahoma"/>
                <w:bCs/>
                <w:sz w:val="18"/>
                <w:szCs w:val="18"/>
              </w:rPr>
              <w:t xml:space="preserve">[●] </w:t>
            </w:r>
            <w:r w:rsidRPr="00383A16">
              <w:rPr>
                <w:rFonts w:cs="Tahoma"/>
                <w:sz w:val="18"/>
                <w:szCs w:val="18"/>
              </w:rPr>
              <w:t xml:space="preserve">de </w:t>
            </w:r>
            <w:r w:rsidRPr="00383A16">
              <w:rPr>
                <w:rFonts w:cs="Tahoma"/>
                <w:bCs/>
                <w:sz w:val="18"/>
                <w:szCs w:val="18"/>
              </w:rPr>
              <w:t xml:space="preserve">[●] </w:t>
            </w:r>
            <w:r w:rsidRPr="00383A16">
              <w:rPr>
                <w:rFonts w:cs="Tahoma"/>
                <w:sz w:val="18"/>
                <w:szCs w:val="18"/>
              </w:rPr>
              <w:t>de 2021.</w:t>
            </w:r>
          </w:p>
        </w:tc>
      </w:tr>
      <w:tr w:rsidR="00F2307D" w:rsidRPr="00383A16" w14:paraId="140F4F3E" w14:textId="77777777" w:rsidTr="00383A16">
        <w:tc>
          <w:tcPr>
            <w:tcW w:w="1694" w:type="pct"/>
            <w:vAlign w:val="center"/>
          </w:tcPr>
          <w:p w14:paraId="119E55FA" w14:textId="6EB3897D"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Vencimento</w:t>
            </w:r>
          </w:p>
        </w:tc>
        <w:tc>
          <w:tcPr>
            <w:tcW w:w="3306" w:type="pct"/>
            <w:vAlign w:val="center"/>
          </w:tcPr>
          <w:p w14:paraId="02550E39" w14:textId="77777777" w:rsidR="00F2307D" w:rsidRPr="00383A16" w:rsidRDefault="00F2307D" w:rsidP="00383A16">
            <w:pPr>
              <w:widowControl w:val="0"/>
              <w:spacing w:before="40" w:after="40" w:line="252" w:lineRule="auto"/>
              <w:rPr>
                <w:rFonts w:cs="Tahoma"/>
                <w:sz w:val="18"/>
                <w:szCs w:val="18"/>
              </w:rPr>
            </w:pPr>
            <w:r w:rsidRPr="00383A16">
              <w:rPr>
                <w:rFonts w:cs="Tahoma"/>
                <w:sz w:val="18"/>
                <w:szCs w:val="18"/>
              </w:rPr>
              <w:t>15 de [●] de 20[●]</w:t>
            </w:r>
          </w:p>
        </w:tc>
      </w:tr>
      <w:tr w:rsidR="00F2307D" w:rsidRPr="00383A16" w14:paraId="74C1636E" w14:textId="77777777" w:rsidTr="00383A16">
        <w:tc>
          <w:tcPr>
            <w:tcW w:w="1694" w:type="pct"/>
            <w:vAlign w:val="center"/>
            <w:hideMark/>
          </w:tcPr>
          <w:p w14:paraId="2A5FA949"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Remuneração:</w:t>
            </w:r>
          </w:p>
        </w:tc>
        <w:tc>
          <w:tcPr>
            <w:tcW w:w="3306" w:type="pct"/>
            <w:vAlign w:val="center"/>
            <w:hideMark/>
          </w:tcPr>
          <w:p w14:paraId="32EE22FF" w14:textId="73D75E3E" w:rsidR="00F2307D" w:rsidRPr="00383A16" w:rsidRDefault="00F2307D" w:rsidP="00383A16">
            <w:pPr>
              <w:pStyle w:val="PargrafodaLista"/>
              <w:widowControl w:val="0"/>
              <w:spacing w:before="40" w:after="40" w:line="252" w:lineRule="auto"/>
              <w:ind w:left="0"/>
              <w:rPr>
                <w:rFonts w:cs="Tahoma"/>
                <w:smallCaps/>
                <w:color w:val="000000"/>
                <w:sz w:val="18"/>
                <w:szCs w:val="18"/>
              </w:rPr>
            </w:pPr>
            <w:r w:rsidRPr="00383A16">
              <w:rPr>
                <w:rFonts w:cs="Tahoma"/>
                <w:sz w:val="18"/>
                <w:szCs w:val="18"/>
              </w:rPr>
              <w:t>Sobre o Valor Nominal Unitário das Debêntures incidirão juros remuneratórios calculados semestralmente e pagos ao final de cada período de capitalização, conforme fórmula descrita na Escritura</w:t>
            </w:r>
            <w:r w:rsidR="00743BE5" w:rsidRPr="00383A16">
              <w:rPr>
                <w:rFonts w:cs="Tahoma"/>
                <w:sz w:val="18"/>
                <w:szCs w:val="18"/>
              </w:rPr>
              <w:t xml:space="preserve"> de Emissão</w:t>
            </w:r>
            <w:r w:rsidRPr="00383A16">
              <w:rPr>
                <w:rFonts w:cs="Tahoma"/>
                <w:sz w:val="18"/>
                <w:szCs w:val="18"/>
              </w:rPr>
              <w:t>.</w:t>
            </w:r>
          </w:p>
        </w:tc>
      </w:tr>
      <w:tr w:rsidR="00F2307D" w:rsidRPr="00383A16" w14:paraId="7DAC2CEB" w14:textId="77777777" w:rsidTr="00383A16">
        <w:tc>
          <w:tcPr>
            <w:tcW w:w="1694" w:type="pct"/>
            <w:vAlign w:val="center"/>
          </w:tcPr>
          <w:p w14:paraId="3A106826"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Encargos</w:t>
            </w:r>
          </w:p>
        </w:tc>
        <w:tc>
          <w:tcPr>
            <w:tcW w:w="3306" w:type="pct"/>
            <w:vAlign w:val="center"/>
          </w:tcPr>
          <w:p w14:paraId="227856F1" w14:textId="77777777" w:rsidR="00F2307D" w:rsidRPr="00383A16" w:rsidRDefault="00F2307D" w:rsidP="00383A16">
            <w:pPr>
              <w:widowControl w:val="0"/>
              <w:spacing w:before="40" w:after="40" w:line="252" w:lineRule="auto"/>
              <w:rPr>
                <w:rFonts w:cs="Tahoma"/>
                <w:sz w:val="18"/>
                <w:szCs w:val="18"/>
              </w:rPr>
            </w:pPr>
            <w:r w:rsidRPr="00383A16">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383A16" w14:paraId="7C7184EC" w14:textId="77777777" w:rsidTr="00383A16">
        <w:tc>
          <w:tcPr>
            <w:tcW w:w="1694" w:type="pct"/>
            <w:vAlign w:val="center"/>
            <w:hideMark/>
          </w:tcPr>
          <w:p w14:paraId="432E7A88"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iCs/>
                <w:color w:val="000000"/>
                <w:sz w:val="18"/>
                <w:szCs w:val="18"/>
              </w:rPr>
              <w:t>Amortização ou Resgate Antecipado</w:t>
            </w:r>
            <w:r w:rsidRPr="00383A16">
              <w:rPr>
                <w:rFonts w:cs="Tahoma"/>
                <w:i/>
                <w:sz w:val="18"/>
                <w:szCs w:val="18"/>
              </w:rPr>
              <w:t>:</w:t>
            </w:r>
          </w:p>
        </w:tc>
        <w:tc>
          <w:tcPr>
            <w:tcW w:w="3306" w:type="pct"/>
            <w:vAlign w:val="center"/>
            <w:hideMark/>
          </w:tcPr>
          <w:p w14:paraId="691F9A5B" w14:textId="284760EB" w:rsidR="00F2307D" w:rsidRPr="00383A16" w:rsidRDefault="00F2307D" w:rsidP="00383A16">
            <w:pPr>
              <w:widowControl w:val="0"/>
              <w:spacing w:before="40" w:after="40" w:line="252" w:lineRule="auto"/>
              <w:ind w:left="-90"/>
              <w:rPr>
                <w:rFonts w:cs="Tahoma"/>
                <w:sz w:val="18"/>
                <w:szCs w:val="18"/>
              </w:rPr>
            </w:pPr>
            <w:r w:rsidRPr="00383A16">
              <w:rPr>
                <w:rFonts w:cs="Tahoma"/>
                <w:color w:val="000000"/>
                <w:sz w:val="18"/>
                <w:szCs w:val="18"/>
              </w:rPr>
              <w:t xml:space="preserve">A Emissora poderá realizar a amortização ou resgate antecipado das Debêntures, nos termos da </w:t>
            </w:r>
            <w:proofErr w:type="gramStart"/>
            <w:r w:rsidRPr="00383A16">
              <w:rPr>
                <w:rFonts w:cs="Tahoma"/>
                <w:color w:val="000000"/>
                <w:sz w:val="18"/>
                <w:szCs w:val="18"/>
              </w:rPr>
              <w:t xml:space="preserve">Escritura </w:t>
            </w:r>
            <w:r w:rsidR="00EF2FC0" w:rsidRPr="00383A16">
              <w:rPr>
                <w:rFonts w:cs="Tahoma"/>
                <w:color w:val="000000"/>
                <w:sz w:val="18"/>
                <w:szCs w:val="18"/>
              </w:rPr>
              <w:t xml:space="preserve"> de</w:t>
            </w:r>
            <w:proofErr w:type="gramEnd"/>
            <w:r w:rsidRPr="00383A16">
              <w:rPr>
                <w:rFonts w:cs="Tahoma"/>
                <w:color w:val="000000"/>
                <w:sz w:val="18"/>
                <w:szCs w:val="18"/>
              </w:rPr>
              <w:t xml:space="preserve"> Emissão ou da lei</w:t>
            </w:r>
            <w:r w:rsidRPr="00383A16">
              <w:rPr>
                <w:rFonts w:cs="Tahoma"/>
                <w:sz w:val="18"/>
                <w:szCs w:val="18"/>
              </w:rPr>
              <w:t xml:space="preserve">. </w:t>
            </w:r>
          </w:p>
        </w:tc>
      </w:tr>
      <w:tr w:rsidR="00F2307D" w:rsidRPr="00383A16" w14:paraId="5C3E31B4" w14:textId="77777777" w:rsidTr="00383A16">
        <w:tc>
          <w:tcPr>
            <w:tcW w:w="1694" w:type="pct"/>
            <w:vAlign w:val="center"/>
            <w:hideMark/>
          </w:tcPr>
          <w:p w14:paraId="2A055935" w14:textId="77777777" w:rsidR="00F2307D" w:rsidRPr="00383A16" w:rsidRDefault="00F2307D" w:rsidP="00383A16">
            <w:pPr>
              <w:widowControl w:val="0"/>
              <w:spacing w:before="40" w:after="40" w:line="252" w:lineRule="auto"/>
              <w:ind w:left="-90"/>
              <w:rPr>
                <w:rFonts w:cs="Tahoma"/>
                <w:i/>
                <w:sz w:val="18"/>
                <w:szCs w:val="18"/>
              </w:rPr>
            </w:pPr>
            <w:r w:rsidRPr="00383A16">
              <w:rPr>
                <w:rFonts w:cs="Tahoma"/>
                <w:i/>
                <w:sz w:val="18"/>
                <w:szCs w:val="18"/>
              </w:rPr>
              <w:t>Outras obrigações garantidas:</w:t>
            </w:r>
          </w:p>
        </w:tc>
        <w:tc>
          <w:tcPr>
            <w:tcW w:w="3306" w:type="pct"/>
            <w:vAlign w:val="center"/>
            <w:hideMark/>
          </w:tcPr>
          <w:p w14:paraId="2A3C0951" w14:textId="1FE732E8" w:rsidR="00F2307D" w:rsidRPr="00383A16" w:rsidRDefault="00F2307D" w:rsidP="00383A16">
            <w:pPr>
              <w:widowControl w:val="0"/>
              <w:spacing w:before="40" w:after="40" w:line="252" w:lineRule="auto"/>
              <w:ind w:left="-90"/>
              <w:rPr>
                <w:rFonts w:cs="Tahoma"/>
                <w:sz w:val="18"/>
                <w:szCs w:val="18"/>
              </w:rPr>
            </w:pPr>
            <w:r w:rsidRPr="00383A16">
              <w:rPr>
                <w:rFonts w:cs="Tahoma"/>
                <w:sz w:val="18"/>
                <w:szCs w:val="18"/>
              </w:rPr>
              <w:t>Todas as obrigações, principais e/ou acessórias, assumidas pela Emissora, decorrentes ou de qualquer forma relacionadas à 2ª Emissão de Debêntures nos termos do “</w:t>
            </w:r>
            <w:r w:rsidRPr="00383A16">
              <w:rPr>
                <w:rFonts w:cs="Tahoma"/>
                <w:i/>
                <w:color w:val="000000" w:themeColor="text1"/>
                <w:sz w:val="18"/>
                <w:szCs w:val="18"/>
              </w:rPr>
              <w:t>Instrumento Particular de Escritura da 2ª (Segunda) Emissão de Debêntures Simples, Não Conversíveis em Ações, em</w:t>
            </w:r>
            <w:r w:rsidR="009F631E" w:rsidRPr="00383A16">
              <w:rPr>
                <w:rFonts w:cs="Tahoma"/>
                <w:i/>
                <w:color w:val="000000" w:themeColor="text1"/>
                <w:sz w:val="18"/>
                <w:szCs w:val="18"/>
              </w:rPr>
              <w:t xml:space="preserve"> Até Três Séries</w:t>
            </w:r>
            <w:r w:rsidRPr="00383A16">
              <w:rPr>
                <w:rFonts w:cs="Tahoma"/>
                <w:i/>
                <w:color w:val="000000" w:themeColor="text1"/>
                <w:sz w:val="18"/>
                <w:szCs w:val="18"/>
              </w:rPr>
              <w:t>, da Espécie com Garantia Real e Com Garantia Adicional Fidejussória, para Distribuição Pública com Esforços Restritos, da LC Energia Holding S.A.</w:t>
            </w:r>
            <w:r w:rsidRPr="00383A16">
              <w:rPr>
                <w:rFonts w:cs="Tahoma"/>
                <w:sz w:val="18"/>
                <w:szCs w:val="18"/>
              </w:rPr>
              <w:t xml:space="preserve">” celebrado entre a Emissora e o Agente Fiduciário, em </w:t>
            </w:r>
            <w:r w:rsidRPr="00383A16">
              <w:rPr>
                <w:rFonts w:cs="Tahoma"/>
                <w:bCs/>
                <w:sz w:val="18"/>
                <w:szCs w:val="18"/>
              </w:rPr>
              <w:t xml:space="preserve">[●] </w:t>
            </w:r>
            <w:r w:rsidRPr="00383A16">
              <w:rPr>
                <w:rFonts w:cs="Tahoma"/>
                <w:sz w:val="18"/>
                <w:szCs w:val="18"/>
              </w:rPr>
              <w:t xml:space="preserve">de </w:t>
            </w:r>
            <w:r w:rsidRPr="00383A16">
              <w:rPr>
                <w:rFonts w:cs="Tahoma"/>
                <w:bCs/>
                <w:sz w:val="18"/>
                <w:szCs w:val="18"/>
              </w:rPr>
              <w:t xml:space="preserve">[●] </w:t>
            </w:r>
            <w:r w:rsidRPr="00383A16">
              <w:rPr>
                <w:rFonts w:cs="Tahoma"/>
                <w:sz w:val="18"/>
                <w:szCs w:val="18"/>
              </w:rPr>
              <w:t>de 2021.</w:t>
            </w:r>
          </w:p>
        </w:tc>
      </w:tr>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06744179" w:rsidR="00EB008F" w:rsidRPr="00383A16" w:rsidRDefault="00EB008F" w:rsidP="00383A16">
      <w:pPr>
        <w:pStyle w:val="Body"/>
        <w:jc w:val="center"/>
        <w:rPr>
          <w:b/>
          <w:bCs/>
        </w:rPr>
      </w:pPr>
      <w:r w:rsidRPr="00383A16">
        <w:rPr>
          <w:b/>
          <w:bCs/>
        </w:rPr>
        <w:t>[</w:t>
      </w:r>
      <w:r w:rsidRPr="00CC2FBC">
        <w:rPr>
          <w:b/>
          <w:bCs/>
          <w:highlight w:val="yellow"/>
        </w:rPr>
        <w:t>Nota LDR: Lyon, favor atualizar após celebração do Contrato de Conta Vinculada</w:t>
      </w:r>
      <w:r w:rsidRPr="00383A16">
        <w:rPr>
          <w:b/>
          <w:bCs/>
        </w:rPr>
        <w:t>]</w:t>
      </w:r>
    </w:p>
    <w:p w14:paraId="54EF0D80" w14:textId="77777777" w:rsidR="00E76B1F" w:rsidRPr="00E76B1F" w:rsidRDefault="00E76B1F" w:rsidP="00383A16">
      <w:pPr>
        <w:pStyle w:val="Body"/>
      </w:pPr>
    </w:p>
    <w:p w14:paraId="78B5E17C" w14:textId="239B3F8B"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Pr="00E76B1F">
        <w:rPr>
          <w:rFonts w:cs="Tahoma"/>
          <w:bCs/>
          <w:szCs w:val="20"/>
        </w:rPr>
        <w:t>Caixa Econômica Federal</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4FEA1636"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Pr="00E76B1F">
        <w:rPr>
          <w:rFonts w:cs="Tahoma"/>
          <w:bCs/>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xml:space="preserve"> (“</w:t>
      </w:r>
      <w:r w:rsidRPr="00E76B1F">
        <w:rPr>
          <w:rFonts w:cs="Tahoma"/>
          <w:b/>
          <w:bCs/>
          <w:szCs w:val="20"/>
        </w:rPr>
        <w:t>Banco</w:t>
      </w:r>
      <w:r w:rsidRPr="00E76B1F">
        <w:rPr>
          <w:rFonts w:cs="Tahoma"/>
          <w:szCs w:val="20"/>
        </w:rPr>
        <w:t>”), agência n.º 0988, conta n.º 2093-9</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18"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18"/>
      <w:r w:rsidRPr="00E76B1F">
        <w:t>(</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5587A568" w:rsidR="00E76B1F" w:rsidRPr="00E76B1F" w:rsidRDefault="00E76B1F" w:rsidP="005B70BD">
      <w:pPr>
        <w:pStyle w:val="Body"/>
        <w:rPr>
          <w:bCs/>
        </w:rPr>
      </w:pPr>
      <w:bookmarkStart w:id="119"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rsidRPr="00837119">
        <w:t xml:space="preserv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242A2B">
        <w:t xml:space="preserve"> </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19"/>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20"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20"/>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21"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21"/>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C70ADEC"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rsidRPr="00837119">
        <w:t xml:space="preserve"> </w:t>
      </w:r>
      <w:r w:rsidR="009F631E">
        <w:t>d</w:t>
      </w:r>
      <w:r w:rsidR="009F631E" w:rsidRPr="00837119">
        <w:t xml:space="preserve">ebêntures </w:t>
      </w:r>
      <w:r w:rsidR="00242A2B" w:rsidRPr="00EE6BA4">
        <w:rPr>
          <w:rFonts w:eastAsia="MS Mincho"/>
          <w:color w:val="000000"/>
        </w:rPr>
        <w:t xml:space="preserve"> 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27AEC5D1"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Pr="00E76B1F">
        <w:t>Caixa Econômica Federal, agência n.º 0988, conta n.º 2093-9</w:t>
      </w:r>
      <w:r w:rsidR="00CD5B74">
        <w:t>]</w:t>
      </w:r>
      <w:r w:rsidRPr="00E76B1F">
        <w:rPr>
          <w:color w:val="000000"/>
        </w:rPr>
        <w:t>, independentemente da sua forma de cobrança</w:t>
      </w:r>
      <w:r w:rsidRPr="00E76B1F">
        <w:t>.</w:t>
      </w:r>
      <w:r w:rsidR="00CD5B74">
        <w:t xml:space="preserve"> [</w:t>
      </w:r>
      <w:r w:rsidR="00CD5B74" w:rsidRPr="00E01B7E">
        <w:rPr>
          <w:highlight w:val="yellow"/>
        </w:rPr>
        <w:t>Nota LDR: conta a ser confirmada</w:t>
      </w:r>
      <w:r w:rsidR="00CD5B74">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595DC120"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rPr>
          <w:rFonts w:eastAsia="MS Mincho"/>
          <w:color w:val="000000"/>
        </w:rPr>
        <w:t>[</w:t>
      </w:r>
      <w:r w:rsidR="009F631E">
        <w:t>60.500</w:t>
      </w:r>
      <w:r w:rsidR="009F631E" w:rsidRPr="00837119">
        <w:t xml:space="preserve"> (</w:t>
      </w:r>
      <w:r w:rsidR="009F631E">
        <w:t>sessenta</w:t>
      </w:r>
      <w:r w:rsidR="009F631E" w:rsidRPr="00837119">
        <w:t xml:space="preserve"> mil</w:t>
      </w:r>
      <w:r w:rsidR="009F631E">
        <w:t xml:space="preserve"> e quinhentas</w:t>
      </w:r>
      <w:r w:rsidR="009F631E" w:rsidRPr="00837119">
        <w:t>)</w:t>
      </w:r>
      <w:r w:rsidR="009F631E">
        <w:t>]</w:t>
      </w:r>
      <w:r w:rsidR="009F631E" w:rsidRPr="00837119">
        <w:t xml:space="preserve"> </w:t>
      </w:r>
      <w:r w:rsidR="009F631E">
        <w:t>d</w:t>
      </w:r>
      <w:r w:rsidR="009F631E" w:rsidRPr="00837119">
        <w:t xml:space="preserve">ebêntures, </w:t>
      </w:r>
      <w:r w:rsidR="009F631E">
        <w:t>todas</w:t>
      </w:r>
      <w:r w:rsidR="00B77651" w:rsidRPr="00EE6BA4">
        <w:rPr>
          <w:rFonts w:eastAsia="MS Mincho"/>
          <w:color w:val="000000"/>
        </w:rPr>
        <w:t xml:space="preserve"> 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default" r:id="rId11"/>
      <w:footerReference w:type="default" r:id="rId12"/>
      <w:headerReference w:type="first" r:id="rId13"/>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charset w:val="00"/>
    <w:family w:val="auto"/>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B97D28" w:rsidRPr="00F9151A" w:rsidRDefault="00B97D28"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F3A" w14:textId="77777777" w:rsidR="00CC2FBC" w:rsidRPr="00D36D38" w:rsidRDefault="00CC2FBC" w:rsidP="00D36D38">
    <w:pPr>
      <w:pStyle w:val="Cabealho"/>
      <w:jc w:val="right"/>
      <w:rPr>
        <w:b/>
        <w:bCs/>
      </w:rPr>
    </w:pPr>
    <w:r w:rsidRPr="00D36D38">
      <w:rPr>
        <w:b/>
        <w:bCs/>
      </w:rPr>
      <w:t>MINUTA LDR</w:t>
    </w:r>
  </w:p>
  <w:p w14:paraId="78DCC50F" w14:textId="63671B18" w:rsidR="00CC2FBC" w:rsidRDefault="00CC2FBC" w:rsidP="00D36D38">
    <w:pPr>
      <w:pStyle w:val="Cabealho"/>
      <w:jc w:val="right"/>
    </w:pPr>
    <w:r>
      <w:fldChar w:fldCharType="begin"/>
    </w:r>
    <w:r>
      <w:instrText xml:space="preserve"> DATE  \@ "dd.MM.yyyy"  \* MERGEFORMAT </w:instrText>
    </w:r>
    <w:r>
      <w:fldChar w:fldCharType="separate"/>
    </w:r>
    <w:r>
      <w:rPr>
        <w:noProof/>
      </w:rPr>
      <w:t>06.07.2021</w:t>
    </w:r>
    <w:r>
      <w:fldChar w:fldCharType="end"/>
    </w:r>
  </w:p>
  <w:p w14:paraId="00E019A3" w14:textId="77777777" w:rsidR="00EA60A6" w:rsidRDefault="00EA6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 G E D ! 5 5 9 8 8 9 9 . 1 3 < / d o c u m e n t i d >  
     < s e n d e r i d > B E A T R I Z . R O C H A < / s e n d e r i d >  
     < s e n d e r e m a i l > B E A T R I Z . R O C H A @ L D R . C O M . B R < / s e n d e r e m a i l >  
     < l a s t m o d i f i e d > 2 0 2 1 - 0 7 - 0 6 T 2 0 : 1 6 : 0 0 . 0 0 0 0 0 0 0 - 0 3 : 0 0 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12204</Words>
  <Characters>71199</Characters>
  <Application>Microsoft Office Word</Application>
  <DocSecurity>0</DocSecurity>
  <PresentationFormat/>
  <Lines>1186</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2021-07-06T23:16:00Z</dcterms:created>
  <dcterms:modified xsi:type="dcterms:W3CDTF">2021-07-06T23:16:00Z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