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4EFF9592" w:rsidR="00484FC0" w:rsidRPr="0084218F" w:rsidRDefault="008609BB" w:rsidP="00307563">
      <w:pPr>
        <w:pStyle w:val="Ttulo"/>
        <w:jc w:val="center"/>
        <w:rPr>
          <w:smallCaps/>
        </w:rPr>
      </w:pPr>
      <w:r>
        <w:t>SEGUNDO</w:t>
      </w:r>
      <w:r w:rsidRPr="0084218F">
        <w:t xml:space="preserve"> </w:t>
      </w:r>
      <w:r w:rsidR="00317B4D" w:rsidRPr="0084218F">
        <w:t xml:space="preserve">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74423C06" w:rsidR="00484FC0"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71D5888E" w:rsidR="00484FC0" w:rsidRDefault="00484FC0" w:rsidP="00307563">
      <w:pPr>
        <w:pStyle w:val="Ttulo"/>
        <w:jc w:val="center"/>
        <w:rPr>
          <w:smallCaps/>
          <w:kern w:val="2"/>
          <w:lang w:eastAsia="zh-CN"/>
        </w:rPr>
      </w:pPr>
    </w:p>
    <w:p w14:paraId="22DABEFC" w14:textId="1437C933" w:rsidR="00484FC0" w:rsidRPr="00307563" w:rsidRDefault="00CC2078" w:rsidP="00307563">
      <w:pPr>
        <w:pStyle w:val="Ttulo"/>
        <w:jc w:val="center"/>
        <w:rPr>
          <w:b w:val="0"/>
          <w:bCs w:val="0"/>
          <w:kern w:val="2"/>
          <w:lang w:eastAsia="zh-CN"/>
        </w:rPr>
      </w:pPr>
      <w:bookmarkStart w:id="0" w:name="_DV_M2"/>
      <w:bookmarkEnd w:id="0"/>
      <w:r w:rsidRPr="0084218F">
        <w:t>LC LINHAS HOLDING LTDA.</w:t>
      </w:r>
      <w:bookmarkStart w:id="1" w:name="_DV_M3"/>
      <w:bookmarkEnd w:id="1"/>
      <w:r w:rsidR="00EA707C">
        <w:br/>
      </w:r>
      <w:r w:rsidR="00484FC0" w:rsidRPr="00307563">
        <w:rPr>
          <w:b w:val="0"/>
          <w:bCs w:val="0"/>
          <w:i/>
          <w:kern w:val="2"/>
          <w:lang w:eastAsia="zh-CN"/>
        </w:rPr>
        <w:t xml:space="preserve">na qualidade de </w:t>
      </w:r>
      <w:bookmarkStart w:id="2" w:name="_DV_M4"/>
      <w:bookmarkEnd w:id="2"/>
      <w:r w:rsidR="00484FC0"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B2E628C" w:rsidR="00484FC0"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7D877776" w14:textId="77777777" w:rsidR="00EA707C" w:rsidRPr="00EA707C" w:rsidRDefault="00EA707C" w:rsidP="00EA707C">
      <w:pPr>
        <w:rPr>
          <w:lang w:eastAsia="zh-CN"/>
        </w:rPr>
      </w:pPr>
    </w:p>
    <w:p w14:paraId="69AE52E9" w14:textId="3BBAC4B1" w:rsidR="00CC2078" w:rsidRPr="00307563" w:rsidRDefault="00CC2078" w:rsidP="00307563">
      <w:pPr>
        <w:pStyle w:val="Ttulo"/>
        <w:jc w:val="center"/>
        <w:rPr>
          <w:b w:val="0"/>
          <w:bCs w:val="0"/>
          <w:i/>
          <w:kern w:val="2"/>
          <w:lang w:eastAsia="zh-CN"/>
        </w:rPr>
      </w:pPr>
      <w:r w:rsidRPr="0084218F">
        <w:t xml:space="preserve">SIMPLIFIC PAVARINI DISTRIBUIDORA DE TÍTULOS E </w:t>
      </w:r>
      <w:r w:rsidR="00EA707C">
        <w:br/>
      </w:r>
      <w:r w:rsidRPr="0084218F">
        <w:t>VALORES MOBILIÁRIOS LTDA.</w:t>
      </w:r>
      <w:r w:rsidR="00EA707C">
        <w:br/>
      </w:r>
      <w:r w:rsidRPr="00307563">
        <w:rPr>
          <w:b w:val="0"/>
          <w:bCs w:val="0"/>
          <w:i/>
          <w:kern w:val="2"/>
          <w:lang w:eastAsia="zh-CN"/>
        </w:rPr>
        <w:t>Agente Fiduciário,</w:t>
      </w:r>
    </w:p>
    <w:p w14:paraId="4A06A1AD" w14:textId="07188BE7" w:rsidR="00484FC0"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6619F12A" w:rsidR="00484FC0" w:rsidRDefault="00484FC0" w:rsidP="00307563">
      <w:pPr>
        <w:pStyle w:val="Ttulo"/>
        <w:jc w:val="center"/>
        <w:rPr>
          <w:kern w:val="2"/>
          <w:lang w:eastAsia="zh-CN"/>
        </w:rPr>
      </w:pPr>
    </w:p>
    <w:p w14:paraId="055B2F8E" w14:textId="19602EC6" w:rsidR="00484FC0" w:rsidRDefault="00D60DA1" w:rsidP="00307563">
      <w:pPr>
        <w:pStyle w:val="Ttulo"/>
        <w:jc w:val="center"/>
        <w:rPr>
          <w:b w:val="0"/>
          <w:bCs w:val="0"/>
          <w:i/>
          <w:kern w:val="2"/>
          <w:lang w:eastAsia="zh-CN"/>
        </w:rPr>
      </w:pPr>
      <w:r w:rsidRPr="0084218F">
        <w:t>LC ENERGIA HOLDING S.A.</w:t>
      </w:r>
      <w:r w:rsidR="00EA707C">
        <w:br/>
      </w:r>
      <w:r w:rsidR="00484FC0" w:rsidRPr="00307563">
        <w:rPr>
          <w:b w:val="0"/>
          <w:bCs w:val="0"/>
          <w:i/>
          <w:kern w:val="2"/>
          <w:lang w:eastAsia="zh-CN"/>
        </w:rPr>
        <w:t>na qualidade de Interveniente Anuente</w:t>
      </w:r>
    </w:p>
    <w:p w14:paraId="11DEED80" w14:textId="5697EDC7" w:rsidR="00307563" w:rsidRDefault="00307563" w:rsidP="00883E60">
      <w:pPr>
        <w:pStyle w:val="Body"/>
        <w:rPr>
          <w:lang w:eastAsia="zh-CN"/>
        </w:rPr>
      </w:pPr>
    </w:p>
    <w:p w14:paraId="1D89D146" w14:textId="77777777" w:rsidR="000506ED" w:rsidRDefault="000506ED" w:rsidP="00883E60">
      <w:pPr>
        <w:pStyle w:val="Body"/>
        <w:rPr>
          <w:lang w:eastAsia="zh-CN"/>
        </w:rPr>
      </w:pPr>
    </w:p>
    <w:p w14:paraId="24E86F8F" w14:textId="040C80DE" w:rsidR="00307563" w:rsidRDefault="00307563" w:rsidP="00883E60">
      <w:pPr>
        <w:pStyle w:val="Body"/>
        <w:rPr>
          <w:lang w:eastAsia="zh-CN"/>
        </w:rPr>
      </w:pPr>
    </w:p>
    <w:p w14:paraId="163BFC62" w14:textId="40E001C4"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00F8569B">
        <w:t>[•]</w:t>
      </w:r>
      <w:r w:rsidR="00631EA8">
        <w:t xml:space="preserve"> de [•] de 2022</w:t>
      </w:r>
    </w:p>
    <w:p w14:paraId="19849E8C" w14:textId="46CBE73C" w:rsidR="00687F68" w:rsidRPr="0084218F" w:rsidRDefault="008609BB" w:rsidP="00307563">
      <w:pPr>
        <w:pStyle w:val="TtuloAnexo"/>
      </w:pPr>
      <w:bookmarkStart w:id="7" w:name="_DV_M9"/>
      <w:bookmarkEnd w:id="7"/>
      <w:r>
        <w:lastRenderedPageBreak/>
        <w:t>SEGUNDO</w:t>
      </w:r>
      <w:r w:rsidRPr="0084218F">
        <w:t xml:space="preserve"> </w:t>
      </w:r>
      <w:r w:rsidR="00672855" w:rsidRPr="0084218F">
        <w:t xml:space="preserve">ADITAMENTO AO </w:t>
      </w:r>
      <w:r w:rsidR="00261A42" w:rsidRPr="0084218F">
        <w:t>CONTRATO</w:t>
      </w:r>
      <w:r w:rsidR="00672855" w:rsidRPr="0084218F">
        <w:t xml:space="preserve"> DE ALIENAÇÃO FIDUCIÁRIA </w:t>
      </w:r>
      <w:r w:rsidR="00EA707C" w:rsidRPr="0084218F">
        <w:t xml:space="preserve">DE </w:t>
      </w:r>
      <w:r w:rsidR="00672855" w:rsidRPr="0084218F">
        <w:t>AÇÕES E OUTRAS AVENÇAS</w:t>
      </w:r>
    </w:p>
    <w:p w14:paraId="5AB3AB76" w14:textId="77777777" w:rsidR="00307563" w:rsidRDefault="00307563" w:rsidP="00883E60">
      <w:pPr>
        <w:pStyle w:val="Body"/>
      </w:pPr>
    </w:p>
    <w:p w14:paraId="4CA7999E" w14:textId="090C9FA8" w:rsidR="00687F68" w:rsidRPr="0084218F" w:rsidRDefault="00672855" w:rsidP="00883E60">
      <w:pPr>
        <w:pStyle w:val="Body"/>
      </w:pPr>
      <w:r w:rsidRPr="0084218F">
        <w:t xml:space="preserve">Pelo presente </w:t>
      </w:r>
      <w:r w:rsidR="00A9290F">
        <w:t>“</w:t>
      </w:r>
      <w:r w:rsidR="008609BB" w:rsidRPr="00A9290F">
        <w:rPr>
          <w:i/>
          <w:iCs/>
        </w:rPr>
        <w:t xml:space="preserve">Segundo </w:t>
      </w:r>
      <w:r w:rsidRPr="00A9290F">
        <w:rPr>
          <w:i/>
          <w:iCs/>
        </w:rPr>
        <w:t xml:space="preserve">Aditamento ao </w:t>
      </w:r>
      <w:r w:rsidR="00261A42" w:rsidRPr="00A9290F">
        <w:rPr>
          <w:i/>
          <w:iCs/>
        </w:rPr>
        <w:t>Contrato</w:t>
      </w:r>
      <w:r w:rsidRPr="00A9290F">
        <w:rPr>
          <w:i/>
          <w:iCs/>
        </w:rPr>
        <w:t xml:space="preserve"> de Alienação Fiduciária</w:t>
      </w:r>
      <w:r w:rsidR="005B712A" w:rsidRPr="00A9290F">
        <w:rPr>
          <w:i/>
          <w:iCs/>
        </w:rPr>
        <w:t xml:space="preserve"> de Ações</w:t>
      </w:r>
      <w:r w:rsidRPr="00A9290F">
        <w:rPr>
          <w:i/>
          <w:iCs/>
        </w:rPr>
        <w:t xml:space="preserve"> e Outras Avenças</w:t>
      </w:r>
      <w:r w:rsidR="00A9290F">
        <w:t>”</w:t>
      </w:r>
      <w:r w:rsidRPr="0084218F">
        <w:t>, doravante denominado simplesmente “</w:t>
      </w:r>
      <w:r w:rsidR="00F8569B">
        <w:rPr>
          <w:b/>
          <w:bCs/>
        </w:rPr>
        <w:t xml:space="preserve">Segundo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77C83123"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59A62996"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14:paraId="2F1DE585" w14:textId="77777777" w:rsidR="00687F68" w:rsidRPr="00883E60" w:rsidRDefault="00672855" w:rsidP="00883E60">
      <w:pPr>
        <w:pStyle w:val="Body"/>
        <w:rPr>
          <w:b/>
          <w:bCs/>
        </w:rPr>
      </w:pPr>
      <w:r w:rsidRPr="00883E60">
        <w:rPr>
          <w:b/>
          <w:bCs/>
        </w:rPr>
        <w:t>CONSIDERANDO QUE:</w:t>
      </w:r>
    </w:p>
    <w:p w14:paraId="6F998139" w14:textId="677CD413" w:rsidR="0051581E" w:rsidRDefault="0051581E" w:rsidP="00883E60">
      <w:pPr>
        <w:pStyle w:val="Recitals"/>
      </w:pPr>
      <w:r w:rsidRPr="0084218F">
        <w:t xml:space="preserve">em 30 de agosto de 2019, a LC Energia, na qualidade de emissora, </w:t>
      </w:r>
      <w:bookmarkStart w:id="16" w:name="_Hlk84589971"/>
      <w:r w:rsidRPr="0084218F">
        <w:t xml:space="preserve">o FIP-IE XP, na qualidade de titular da totalidade das </w:t>
      </w:r>
      <w:r>
        <w:t>D</w:t>
      </w:r>
      <w:r w:rsidRPr="0084218F">
        <w:t>ebêntures da 1ª Emissão</w:t>
      </w:r>
      <w:r>
        <w:t xml:space="preserve"> (conforme definido no Contrato)</w:t>
      </w:r>
      <w:r w:rsidRPr="0084218F">
        <w:t xml:space="preserve"> (“</w:t>
      </w:r>
      <w:r w:rsidRPr="0084218F">
        <w:rPr>
          <w:rFonts w:eastAsia="MS Mincho"/>
          <w:b/>
          <w:bCs/>
        </w:rPr>
        <w:t>Debenturista da 1ª Emissão</w:t>
      </w:r>
      <w:r w:rsidRPr="0084218F">
        <w:rPr>
          <w:rFonts w:eastAsia="MS Mincho"/>
        </w:rPr>
        <w:t>”)</w:t>
      </w:r>
      <w:r w:rsidRPr="0084218F">
        <w:t xml:space="preserve">, os </w:t>
      </w:r>
      <w:r w:rsidRPr="00883E60">
        <w:t>Antigos</w:t>
      </w:r>
      <w:r w:rsidRPr="0084218F">
        <w:t xml:space="preserve"> Alienantes e as </w:t>
      </w:r>
      <w:proofErr w:type="spellStart"/>
      <w:r w:rsidRPr="0084218F">
        <w:t>SPEs</w:t>
      </w:r>
      <w:proofErr w:type="spellEnd"/>
      <w:r w:rsidRPr="0084218F">
        <w:t xml:space="preserve"> (conforme definidas na Escritura da 1ª Emissão), celebraram o “</w:t>
      </w:r>
      <w:r w:rsidRPr="000B2693">
        <w:rPr>
          <w:i/>
          <w:iCs/>
        </w:rPr>
        <w:t>Instrumento Particular de Escritura da Primeira Emissão Privada de Debêntures Conversíveis em Ações, em Série Única, com Garantia Real e com Garantia Fidejussória Adicional, da LC Energia Holding S.A. (antiga Lyon Energia Holding S.A.)</w:t>
      </w:r>
      <w:r w:rsidRPr="00BE031C">
        <w:t>”</w:t>
      </w:r>
      <w:r w:rsidRPr="00BE031C" w:rsidDel="001D46E2">
        <w:t xml:space="preserve"> </w:t>
      </w:r>
      <w:r w:rsidRPr="00BE031C">
        <w:t>(“</w:t>
      </w:r>
      <w:r w:rsidRPr="00BE031C">
        <w:rPr>
          <w:b/>
        </w:rPr>
        <w:t>Escritura</w:t>
      </w:r>
      <w:r w:rsidRPr="0084218F">
        <w:rPr>
          <w:b/>
        </w:rPr>
        <w:t xml:space="preserve"> da 1ª Emissão</w:t>
      </w:r>
      <w:r w:rsidRPr="0084218F">
        <w:t>”), por meio do qual foram estabelecidos os termos e condições da 1ª (primeira) emissão privada de debêntures conversíveis em ações</w:t>
      </w:r>
      <w:r>
        <w:t xml:space="preserve"> da LC Energia </w:t>
      </w:r>
      <w:r w:rsidRPr="0084218F">
        <w:t>(“</w:t>
      </w:r>
      <w:r w:rsidRPr="0084218F">
        <w:rPr>
          <w:b/>
          <w:bCs/>
        </w:rPr>
        <w:t xml:space="preserve">1ª </w:t>
      </w:r>
      <w:r w:rsidRPr="0084218F">
        <w:rPr>
          <w:b/>
        </w:rPr>
        <w:t>Emissão</w:t>
      </w:r>
      <w:r w:rsidRPr="0084218F">
        <w:t>”)</w:t>
      </w:r>
      <w:r>
        <w:t>;</w:t>
      </w:r>
      <w:bookmarkEnd w:id="16"/>
    </w:p>
    <w:p w14:paraId="0301C2E7" w14:textId="1CFA8771" w:rsidR="008F6DA6" w:rsidRPr="00EA707C" w:rsidRDefault="00672855" w:rsidP="007743AE">
      <w:pPr>
        <w:pStyle w:val="Recitals"/>
        <w:rPr>
          <w:b/>
        </w:rPr>
      </w:pPr>
      <w:r w:rsidRPr="0084218F">
        <w:lastRenderedPageBreak/>
        <w:t>por meio do “</w:t>
      </w:r>
      <w:r w:rsidR="00E96CC8" w:rsidRPr="006B12DA">
        <w:rPr>
          <w:i/>
          <w:iCs/>
        </w:rPr>
        <w:t>Contrato</w:t>
      </w:r>
      <w:r w:rsidRPr="006B12DA">
        <w:rPr>
          <w:i/>
          <w:iCs/>
        </w:rPr>
        <w:t xml:space="preserve"> de Alienação Fiduciária de Ações e Outras Avenças</w:t>
      </w:r>
      <w:r w:rsidRPr="0084218F">
        <w:t xml:space="preserve">”,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EA707C">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EA707C">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27A8B7F4" w14:textId="522AB8EA"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6B87FE07" w:rsidR="00E33FC8" w:rsidRPr="0084218F" w:rsidRDefault="0086345A" w:rsidP="00883E60">
      <w:pPr>
        <w:pStyle w:val="Recitals"/>
      </w:pPr>
      <w:r w:rsidRPr="008D1D86">
        <w:rPr>
          <w:rFonts w:cs="Tahoma"/>
          <w:szCs w:val="20"/>
        </w:rPr>
        <w:t xml:space="preserve">em 26 de abril de 2021, conforme a 1ª </w:t>
      </w:r>
      <w:r>
        <w:rPr>
          <w:rFonts w:cs="Tahoma"/>
          <w:szCs w:val="20"/>
        </w:rPr>
        <w:t xml:space="preserve">alteração do contrato social </w:t>
      </w:r>
      <w:r w:rsidRPr="008D1D86">
        <w:rPr>
          <w:rFonts w:cs="Tahoma"/>
          <w:szCs w:val="20"/>
        </w:rPr>
        <w:t>da LC Linhas, foi aprovado o aumento do</w:t>
      </w:r>
      <w:r>
        <w:rPr>
          <w:rFonts w:cs="Tahoma"/>
          <w:szCs w:val="20"/>
        </w:rPr>
        <w:t xml:space="preserve"> capital social da LC Linhas, no qual o </w:t>
      </w:r>
      <w:r w:rsidRPr="008D1D86">
        <w:rPr>
          <w:rFonts w:cs="Tahoma"/>
          <w:szCs w:val="20"/>
        </w:rPr>
        <w:t>Lyon Capital I, enquanto único sócio da LC Linhas, utilizou as ações de emissão da LC Energia, de sua titularidade</w:t>
      </w:r>
      <w:r>
        <w:rPr>
          <w:rFonts w:cs="Tahoma"/>
          <w:szCs w:val="20"/>
        </w:rPr>
        <w:t xml:space="preserve"> e que representam 100% do capital social da LC Energia</w:t>
      </w:r>
      <w:r w:rsidRPr="008D1D86">
        <w:rPr>
          <w:rFonts w:cs="Tahoma"/>
          <w:szCs w:val="20"/>
        </w:rPr>
        <w:t>, como forma de pagamento pela integralização do aumento de capital, tornando a LC Linhas a única detentora da integralidade das ações de emissão da LC Energia</w:t>
      </w:r>
      <w:r w:rsidR="008D0523" w:rsidRPr="0084218F">
        <w:t>;</w:t>
      </w:r>
      <w:r w:rsidR="006B18A9">
        <w:t xml:space="preserve"> </w:t>
      </w:r>
    </w:p>
    <w:p w14:paraId="176C3DEF" w14:textId="5A8CE174" w:rsidR="00156BD1" w:rsidRPr="0084218F" w:rsidRDefault="00672855" w:rsidP="00883E60">
      <w:pPr>
        <w:pStyle w:val="Recitals"/>
        <w:rPr>
          <w:rFonts w:eastAsia="MS Mincho"/>
        </w:rPr>
      </w:pPr>
      <w:r w:rsidRPr="0084218F">
        <w:rPr>
          <w:rFonts w:eastAsia="MS Mincho"/>
        </w:rPr>
        <w:t xml:space="preserve">em </w:t>
      </w:r>
      <w:r w:rsidR="00F61E1F">
        <w:rPr>
          <w:rFonts w:eastAsia="MS Mincho"/>
        </w:rPr>
        <w:t>02</w:t>
      </w:r>
      <w:r w:rsidR="008C6149" w:rsidRPr="0084218F">
        <w:rPr>
          <w:rFonts w:eastAsia="MS Mincho"/>
        </w:rPr>
        <w:t xml:space="preserve"> </w:t>
      </w:r>
      <w:r w:rsidRPr="0084218F">
        <w:rPr>
          <w:rFonts w:eastAsia="MS Mincho"/>
        </w:rPr>
        <w:t xml:space="preserve">de </w:t>
      </w:r>
      <w:r w:rsidR="00F61E1F">
        <w:rPr>
          <w:rFonts w:eastAsia="MS Mincho"/>
        </w:rPr>
        <w:t>agosto</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w:t>
      </w:r>
      <w:r w:rsidR="00B06A75">
        <w:rPr>
          <w:rFonts w:eastAsia="MS Mincho"/>
        </w:rPr>
        <w:t xml:space="preserve">dos debenturistas da </w:t>
      </w:r>
      <w:r w:rsidR="006F1891">
        <w:rPr>
          <w:rFonts w:eastAsia="MS Mincho"/>
        </w:rPr>
        <w:t xml:space="preserve">2ª Emissão </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celebraram o “</w:t>
      </w:r>
      <w:r w:rsidRPr="006B12DA">
        <w:rPr>
          <w:rFonts w:eastAsia="MS Mincho"/>
          <w:i/>
          <w:iCs/>
        </w:rPr>
        <w:t xml:space="preserve">Instrumento Particular de Escritura da 2ª (Segunda) Emissão de Debêntures Simples, Não Conversíveis em Ações, </w:t>
      </w:r>
      <w:r w:rsidR="003C1604" w:rsidRPr="006B12DA">
        <w:rPr>
          <w:rFonts w:eastAsia="MS Mincho"/>
          <w:i/>
          <w:iCs/>
        </w:rPr>
        <w:t xml:space="preserve">em </w:t>
      </w:r>
      <w:r w:rsidR="006F1891" w:rsidRPr="006B12DA">
        <w:rPr>
          <w:rFonts w:eastAsia="MS Mincho"/>
          <w:i/>
          <w:iCs/>
        </w:rPr>
        <w:t xml:space="preserve">Até Três </w:t>
      </w:r>
      <w:r w:rsidR="003C1604" w:rsidRPr="006B12DA">
        <w:rPr>
          <w:rFonts w:eastAsia="MS Mincho"/>
          <w:i/>
          <w:iCs/>
        </w:rPr>
        <w:t>Série</w:t>
      </w:r>
      <w:r w:rsidR="006F1891" w:rsidRPr="006B12DA">
        <w:rPr>
          <w:rFonts w:eastAsia="MS Mincho"/>
          <w:i/>
          <w:iCs/>
        </w:rPr>
        <w:t>s</w:t>
      </w:r>
      <w:r w:rsidR="003C1604" w:rsidRPr="006B12DA">
        <w:rPr>
          <w:rFonts w:eastAsia="MS Mincho"/>
          <w:i/>
          <w:iCs/>
        </w:rPr>
        <w:t xml:space="preserve">, </w:t>
      </w:r>
      <w:r w:rsidRPr="006B12DA">
        <w:rPr>
          <w:rFonts w:eastAsia="MS Mincho"/>
          <w:i/>
          <w:iCs/>
        </w:rPr>
        <w:t xml:space="preserve">da Espécie com Garantia Real e Garantia </w:t>
      </w:r>
      <w:r w:rsidR="003C1604" w:rsidRPr="006B12DA">
        <w:rPr>
          <w:rFonts w:eastAsia="MS Mincho"/>
          <w:i/>
          <w:iCs/>
        </w:rPr>
        <w:t xml:space="preserve">Adicional </w:t>
      </w:r>
      <w:r w:rsidRPr="006B12DA">
        <w:rPr>
          <w:rFonts w:eastAsia="MS Mincho"/>
          <w:i/>
          <w:iCs/>
        </w:rPr>
        <w:t xml:space="preserve">Fidejussória, para Distribuição Pública com Esforços Restritos, da </w:t>
      </w:r>
      <w:r w:rsidR="003C1604" w:rsidRPr="006B12DA">
        <w:rPr>
          <w:rFonts w:eastAsia="MS Mincho"/>
          <w:i/>
          <w:iCs/>
        </w:rPr>
        <w:t>LC Energia Holding</w:t>
      </w:r>
      <w:r w:rsidRPr="006B12DA">
        <w:rPr>
          <w:rFonts w:eastAsia="MS Mincho"/>
          <w:i/>
          <w:iCs/>
        </w:rPr>
        <w:t xml:space="preserve"> S.A</w:t>
      </w:r>
      <w:r w:rsidRPr="0084218F">
        <w:rPr>
          <w:rFonts w:eastAsia="MS Mincho"/>
        </w:rPr>
        <w:t>.</w:t>
      </w:r>
      <w:r w:rsidR="00B06A75">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por meio do qual foram estabelecidos os termos e condições da 2ª (segunda) emissão pública de</w:t>
      </w:r>
      <w:r w:rsidR="00B06A75">
        <w:rPr>
          <w:rFonts w:eastAsia="MS Mincho"/>
        </w:rPr>
        <w:t xml:space="preserve"> debêntures da LC Energia</w:t>
      </w:r>
      <w:r w:rsidR="00A9290F">
        <w:rPr>
          <w:rFonts w:eastAsia="MS Mincho"/>
        </w:rPr>
        <w:t xml:space="preserve">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14:paraId="6114179B" w14:textId="21C8974D" w:rsidR="006F1891" w:rsidRDefault="00156BD1" w:rsidP="00883E60">
      <w:pPr>
        <w:pStyle w:val="Recitals"/>
        <w:rPr>
          <w:rFonts w:eastAsia="MS Mincho"/>
        </w:rPr>
      </w:pPr>
      <w:r w:rsidRPr="0084218F">
        <w:rPr>
          <w:rFonts w:eastAsia="MS Mincho"/>
        </w:rPr>
        <w:t xml:space="preserve">em </w:t>
      </w:r>
      <w:r w:rsidR="00F61E1F">
        <w:rPr>
          <w:rFonts w:eastAsia="MS Mincho"/>
        </w:rPr>
        <w:t>02</w:t>
      </w:r>
      <w:r w:rsidRPr="0084218F">
        <w:rPr>
          <w:rFonts w:eastAsia="MS Mincho"/>
        </w:rPr>
        <w:t xml:space="preserve"> de </w:t>
      </w:r>
      <w:r w:rsidR="00F61E1F">
        <w:rPr>
          <w:rFonts w:eastAsia="MS Mincho"/>
        </w:rPr>
        <w:t>agosto</w:t>
      </w:r>
      <w:r w:rsidRPr="0084218F">
        <w:rPr>
          <w:rFonts w:eastAsia="MS Mincho"/>
        </w:rPr>
        <w:t xml:space="preserve"> de 2021 foi </w:t>
      </w:r>
      <w:r w:rsidR="00F8569B">
        <w:rPr>
          <w:rFonts w:eastAsia="MS Mincho"/>
        </w:rPr>
        <w:t>celebrado o “</w:t>
      </w:r>
      <w:r w:rsidR="00F8569B" w:rsidRPr="006B12DA">
        <w:rPr>
          <w:i/>
          <w:iCs/>
        </w:rPr>
        <w:t>Primeiro Aditamento ao Contrato de Alienação Fiduciária de Ações e Outras Avenças</w:t>
      </w:r>
      <w:r w:rsidR="00F8569B">
        <w:rPr>
          <w:rFonts w:eastAsia="MS Mincho"/>
        </w:rPr>
        <w:t>” (“</w:t>
      </w:r>
      <w:r w:rsidR="00F8569B" w:rsidRPr="00F8569B">
        <w:rPr>
          <w:rFonts w:eastAsia="MS Mincho"/>
          <w:b/>
          <w:bCs/>
        </w:rPr>
        <w:t xml:space="preserve">Primeiro </w:t>
      </w:r>
      <w:r w:rsidR="00F8569B" w:rsidRPr="008C4874">
        <w:rPr>
          <w:rFonts w:eastAsia="MS Mincho"/>
          <w:b/>
          <w:bCs/>
        </w:rPr>
        <w:t>Aditamento</w:t>
      </w:r>
      <w:r w:rsidR="00F8569B">
        <w:rPr>
          <w:rFonts w:eastAsia="MS Mincho"/>
        </w:rPr>
        <w:t xml:space="preserve">”) </w:t>
      </w:r>
      <w:r w:rsidR="00F8569B" w:rsidRPr="00F8569B">
        <w:rPr>
          <w:rFonts w:eastAsia="MS Mincho"/>
        </w:rPr>
        <w:t>entre</w:t>
      </w:r>
      <w:r w:rsidR="00F8569B">
        <w:rPr>
          <w:rFonts w:eastAsia="MS Mincho"/>
        </w:rPr>
        <w:t xml:space="preserve"> as Partes, prevendo o </w:t>
      </w:r>
      <w:r w:rsidRPr="0084218F">
        <w:rPr>
          <w:rFonts w:eastAsia="MS Mincho"/>
        </w:rPr>
        <w:t>compartilhamento das garantias</w:t>
      </w:r>
      <w:r w:rsidR="00B06A75">
        <w:rPr>
          <w:rFonts w:eastAsia="MS Mincho"/>
        </w:rPr>
        <w:t xml:space="preserve"> entre a 1ª Emissão e a 2ª Emissão</w:t>
      </w:r>
      <w:r w:rsidR="006B12DA">
        <w:rPr>
          <w:rFonts w:eastAsia="MS Mincho"/>
        </w:rPr>
        <w:t>;</w:t>
      </w:r>
    </w:p>
    <w:p w14:paraId="4CD3EE0A" w14:textId="3FAC75B4" w:rsidR="008609BB" w:rsidRPr="0084218F" w:rsidRDefault="008C4874" w:rsidP="00883E60">
      <w:pPr>
        <w:pStyle w:val="Recitals"/>
        <w:rPr>
          <w:rFonts w:eastAsia="MS Mincho"/>
        </w:rPr>
      </w:pPr>
      <w:r w:rsidRPr="00905EAF">
        <w:rPr>
          <w:rFonts w:cs="Tahoma"/>
          <w:szCs w:val="20"/>
        </w:rPr>
        <w:t>em virtude de novas condições comerciais acordadas entre a</w:t>
      </w:r>
      <w:r>
        <w:rPr>
          <w:rFonts w:cs="Tahoma"/>
          <w:szCs w:val="20"/>
        </w:rPr>
        <w:t xml:space="preserve"> Emissora e o debenturista da 1ª Emissão, foi celebrado</w:t>
      </w:r>
      <w:r w:rsidR="0051581E">
        <w:rPr>
          <w:rFonts w:cs="Tahoma"/>
          <w:szCs w:val="20"/>
        </w:rPr>
        <w:t xml:space="preserve"> em [•]</w:t>
      </w:r>
      <w:r>
        <w:rPr>
          <w:rFonts w:cs="Tahoma"/>
          <w:szCs w:val="20"/>
        </w:rPr>
        <w:t xml:space="preserve"> </w:t>
      </w:r>
      <w:r w:rsidR="0086345A">
        <w:rPr>
          <w:rFonts w:cs="Tahoma"/>
          <w:szCs w:val="20"/>
        </w:rPr>
        <w:t xml:space="preserve">de [•] de 2022 </w:t>
      </w:r>
      <w:r>
        <w:rPr>
          <w:rFonts w:cs="Tahoma"/>
          <w:szCs w:val="20"/>
        </w:rPr>
        <w:t xml:space="preserve">o </w:t>
      </w:r>
      <w:r w:rsidRPr="008D1D86">
        <w:rPr>
          <w:rFonts w:cs="Tahoma"/>
          <w:i/>
          <w:iCs/>
        </w:rPr>
        <w:t xml:space="preserve">“Primeiro Aditamento ao Instrumento Particular de Escritura da Primeira Emissão Privada de Debêntures, Conversíveis em Ações, em </w:t>
      </w:r>
      <w:r w:rsidR="00CC2F1F">
        <w:rPr>
          <w:rFonts w:cs="Tahoma"/>
          <w:i/>
          <w:iCs/>
        </w:rPr>
        <w:t>Duas Séries</w:t>
      </w:r>
      <w:r w:rsidRPr="008D1D86">
        <w:rPr>
          <w:rFonts w:cs="Tahoma"/>
          <w:i/>
          <w:iCs/>
        </w:rPr>
        <w:t>, com Garantia Real e com Garantia Fidejussória Adicional da LC Energia Holding S.A. (antiga Lyon Energia Holding S.A.)</w:t>
      </w:r>
      <w:r>
        <w:rPr>
          <w:rFonts w:cs="Tahoma"/>
          <w:i/>
          <w:iCs/>
        </w:rPr>
        <w:t xml:space="preserve">” </w:t>
      </w:r>
      <w:r>
        <w:rPr>
          <w:rFonts w:cs="Tahoma"/>
        </w:rPr>
        <w:t>(“</w:t>
      </w:r>
      <w:r>
        <w:rPr>
          <w:rFonts w:cs="Tahoma"/>
          <w:b/>
          <w:bCs/>
        </w:rPr>
        <w:t>Aditamento à Escritura</w:t>
      </w:r>
      <w:r>
        <w:rPr>
          <w:rFonts w:cs="Tahoma"/>
        </w:rPr>
        <w:t xml:space="preserve">”), e, dessa forma, as Partes </w:t>
      </w:r>
      <w:r w:rsidRPr="00905EAF">
        <w:rPr>
          <w:rFonts w:cs="Tahoma"/>
          <w:szCs w:val="20"/>
        </w:rPr>
        <w:t>decidiram ajustar determinadas cláusulas do Contrato, para a</w:t>
      </w:r>
      <w:r>
        <w:rPr>
          <w:rFonts w:cs="Tahoma"/>
          <w:szCs w:val="20"/>
        </w:rPr>
        <w:t>dequar</w:t>
      </w:r>
      <w:r w:rsidRPr="00905EAF">
        <w:rPr>
          <w:rFonts w:cs="Tahoma"/>
          <w:szCs w:val="20"/>
        </w:rPr>
        <w:t xml:space="preserve"> determinados termos e condições, os quais seguem discriminados abaixo</w:t>
      </w:r>
      <w:r>
        <w:rPr>
          <w:rFonts w:cs="Tahoma"/>
          <w:szCs w:val="20"/>
        </w:rPr>
        <w:t>.</w:t>
      </w:r>
    </w:p>
    <w:p w14:paraId="78773272" w14:textId="1E25A894" w:rsidR="00687F68" w:rsidRDefault="00672855" w:rsidP="00883E60">
      <w:pPr>
        <w:pStyle w:val="Body"/>
      </w:pPr>
      <w:r w:rsidRPr="0084218F">
        <w:rPr>
          <w:b/>
        </w:rPr>
        <w:t>RESOLVEM</w:t>
      </w:r>
      <w:r w:rsidRPr="0084218F">
        <w:t xml:space="preserve"> as Partes, de comum acordo e na melhor forma de direito, celebrar este </w:t>
      </w:r>
      <w:r w:rsidR="00F8569B">
        <w:t xml:space="preserve">Segundo </w:t>
      </w:r>
      <w:r w:rsidRPr="0084218F">
        <w:t xml:space="preserve">Aditamento, o qual se regerá pelos seguintes termos e condições. </w:t>
      </w:r>
    </w:p>
    <w:p w14:paraId="7DDEED75" w14:textId="4E1A6669" w:rsidR="00496D82" w:rsidRPr="006B12DA" w:rsidRDefault="00496D82" w:rsidP="006B12DA">
      <w:pPr>
        <w:pStyle w:val="Level1"/>
        <w:keepNext/>
        <w:rPr>
          <w:b/>
          <w:bCs/>
        </w:rPr>
      </w:pPr>
      <w:r w:rsidRPr="006B12DA">
        <w:rPr>
          <w:b/>
          <w:bCs/>
        </w:rPr>
        <w:lastRenderedPageBreak/>
        <w:t xml:space="preserve">ALTERAÇÕES </w:t>
      </w:r>
    </w:p>
    <w:p w14:paraId="41C2D52B" w14:textId="78D0E622" w:rsidR="00315DEE" w:rsidRDefault="00315DEE" w:rsidP="00EA707C">
      <w:pPr>
        <w:pStyle w:val="Level2"/>
      </w:pPr>
      <w:bookmarkStart w:id="17" w:name="_Hlk84596058"/>
      <w:r>
        <w:t>As Partes acordam em alterar o Considerando A do Contrato, de forma a refletir as alterações da 1ª Emissão, que passará a vigorar como</w:t>
      </w:r>
      <w:bookmarkEnd w:id="17"/>
      <w:r>
        <w:t>:</w:t>
      </w:r>
    </w:p>
    <w:p w14:paraId="751577FB" w14:textId="2BB3372D" w:rsidR="00315DEE" w:rsidRPr="006B12DA" w:rsidRDefault="00315DEE" w:rsidP="006B12DA">
      <w:pPr>
        <w:pStyle w:val="Body2"/>
        <w:rPr>
          <w:i/>
          <w:iCs/>
        </w:rPr>
      </w:pPr>
      <w:r w:rsidRPr="00EA707C">
        <w:rPr>
          <w:i/>
          <w:iCs/>
        </w:rPr>
        <w:t>“</w:t>
      </w:r>
      <w:r w:rsidRPr="006B12DA">
        <w:rPr>
          <w:b/>
          <w:bCs/>
          <w:i/>
          <w:iCs/>
        </w:rPr>
        <w:t xml:space="preserve">(A) </w:t>
      </w:r>
      <w:r w:rsidRPr="00EA707C">
        <w:rPr>
          <w:i/>
          <w:iCs/>
        </w:rPr>
        <w:tab/>
      </w:r>
      <w:r w:rsidRPr="006B12DA">
        <w:rPr>
          <w:i/>
          <w:iCs/>
        </w:rPr>
        <w:t>em 30 de agosto de 2019, a LC Energia, na qualidade de emissora, o FIP-IE XP, na qualidade de titular da totalidade das Debêntures da 1ª Emissão (conforme abaixo definido) (“</w:t>
      </w:r>
      <w:r w:rsidRPr="006B12DA">
        <w:rPr>
          <w:b/>
          <w:bCs/>
          <w:i/>
          <w:iCs/>
        </w:rPr>
        <w:t>Debenturista da 1ª Emissão</w:t>
      </w:r>
      <w:r w:rsidRPr="006B12DA">
        <w:rPr>
          <w:i/>
          <w:iCs/>
        </w:rPr>
        <w:t xml:space="preserve">”), os Antigos Alienantes e as </w:t>
      </w:r>
      <w:proofErr w:type="spellStart"/>
      <w:r w:rsidRPr="006B12DA">
        <w:rPr>
          <w:i/>
          <w:iCs/>
        </w:rPr>
        <w:t>SPEs</w:t>
      </w:r>
      <w:proofErr w:type="spellEnd"/>
      <w:r w:rsidRPr="006B12DA">
        <w:rPr>
          <w:i/>
          <w:iCs/>
        </w:rPr>
        <w:t xml:space="preserve"> (conforme definidas abaixo), celebraram o “</w:t>
      </w:r>
      <w:r w:rsidRPr="00EA707C">
        <w:rPr>
          <w:i/>
          <w:iCs/>
        </w:rPr>
        <w:t xml:space="preserve">Instrumento Particular de Escritura da Primeira Emissão Privada de Debêntures Conversíveis em Ações, em </w:t>
      </w:r>
      <w:r w:rsidR="00CC2F1F">
        <w:rPr>
          <w:i/>
          <w:iCs/>
        </w:rPr>
        <w:t>Duas Séries</w:t>
      </w:r>
      <w:r w:rsidRPr="00EA707C">
        <w:rPr>
          <w:i/>
          <w:iCs/>
        </w:rPr>
        <w:t>, com Garantia Real e com Garantia Fidejussória Adicional, da LC Energia Holding S.A. (antiga Lyon Energia Holding S.A.)</w:t>
      </w:r>
      <w:r w:rsidRPr="006B12DA">
        <w:rPr>
          <w:i/>
          <w:iCs/>
        </w:rPr>
        <w:t>”</w:t>
      </w:r>
      <w:r w:rsidR="00CC2F1F">
        <w:rPr>
          <w:i/>
          <w:iCs/>
        </w:rPr>
        <w:t>, conforme aditado</w:t>
      </w:r>
      <w:r w:rsidRPr="006B12DA" w:rsidDel="001D46E2">
        <w:rPr>
          <w:i/>
          <w:iCs/>
        </w:rPr>
        <w:t xml:space="preserve"> </w:t>
      </w:r>
      <w:r w:rsidRPr="006B12DA">
        <w:rPr>
          <w:i/>
          <w:iCs/>
        </w:rPr>
        <w:t>(“</w:t>
      </w:r>
      <w:r w:rsidRPr="006B12DA">
        <w:rPr>
          <w:b/>
          <w:i/>
          <w:iCs/>
        </w:rPr>
        <w:t>Escritura da 1ª Emissão</w:t>
      </w:r>
      <w:r w:rsidRPr="006B12DA">
        <w:rPr>
          <w:i/>
          <w:iCs/>
        </w:rPr>
        <w:t xml:space="preserve">”), por meio do qual foram estabelecidos os termos e condições da 1ª (primeira) emissão privada de debêntures conversíveis em ações, da espécie com garantia real e garantia fidejussória adicional, em </w:t>
      </w:r>
      <w:r w:rsidR="0086345A">
        <w:rPr>
          <w:i/>
          <w:iCs/>
        </w:rPr>
        <w:t>duas séries</w:t>
      </w:r>
      <w:r w:rsidRPr="006B12DA">
        <w:rPr>
          <w:i/>
          <w:iCs/>
        </w:rPr>
        <w:t>, todas nominativas, com valor nominal unitário de R$ 100.000,00 (cem mil reais) na data de sua emissão (“</w:t>
      </w:r>
      <w:r w:rsidRPr="006B12DA">
        <w:rPr>
          <w:b/>
          <w:i/>
          <w:iCs/>
        </w:rPr>
        <w:t>Debêntures da 1ª Emissão</w:t>
      </w:r>
      <w:r w:rsidRPr="006B12DA">
        <w:rPr>
          <w:i/>
          <w:iCs/>
        </w:rPr>
        <w:t xml:space="preserve">”), no montante total de R$ </w:t>
      </w:r>
      <w:r w:rsidR="00F218F6" w:rsidRPr="00F218F6">
        <w:rPr>
          <w:i/>
          <w:iCs/>
        </w:rPr>
        <w:t>110.300.000,00 (cento e dez milhões e trezentos mil reais)]</w:t>
      </w:r>
      <w:r w:rsidRPr="006B12DA">
        <w:rPr>
          <w:i/>
          <w:iCs/>
        </w:rPr>
        <w:t>na respectiva data de emissão das Debêntures da 1ª Emissão (“</w:t>
      </w:r>
      <w:r w:rsidRPr="006B12DA">
        <w:rPr>
          <w:b/>
          <w:bCs/>
          <w:i/>
          <w:iCs/>
        </w:rPr>
        <w:t xml:space="preserve">1ª </w:t>
      </w:r>
      <w:r w:rsidRPr="006B12DA">
        <w:rPr>
          <w:b/>
          <w:i/>
          <w:iCs/>
        </w:rPr>
        <w:t>Emissão</w:t>
      </w:r>
      <w:r w:rsidRPr="006B12DA">
        <w:rPr>
          <w:i/>
          <w:iCs/>
        </w:rPr>
        <w:t>”);</w:t>
      </w:r>
      <w:r w:rsidRPr="00EA707C">
        <w:rPr>
          <w:i/>
          <w:iCs/>
        </w:rPr>
        <w:t>”</w:t>
      </w:r>
    </w:p>
    <w:p w14:paraId="567DCA07" w14:textId="0119A5BC" w:rsidR="00315DEE" w:rsidRDefault="00315DEE" w:rsidP="00EA707C">
      <w:pPr>
        <w:pStyle w:val="Level2"/>
      </w:pPr>
      <w:r w:rsidRPr="008D1D86">
        <w:t>Em decorrência da inclusão da segunda série</w:t>
      </w:r>
      <w:r>
        <w:t xml:space="preserve"> na Escritura da 1ª Emissão</w:t>
      </w:r>
      <w:r w:rsidRPr="008D1D86">
        <w:t>, as Partes decidiram ajustar a</w:t>
      </w:r>
      <w:r>
        <w:t xml:space="preserve"> Cláusula 2.1.2., de forma que a referida cláusula passa a vigorar com a seguinte redação:</w:t>
      </w:r>
    </w:p>
    <w:p w14:paraId="6382C171" w14:textId="5F558890" w:rsidR="00315DEE" w:rsidRPr="00EA707C" w:rsidRDefault="00315DEE" w:rsidP="006B12DA">
      <w:pPr>
        <w:pStyle w:val="Body2"/>
        <w:rPr>
          <w:rFonts w:cs="Tahoma"/>
          <w:i/>
          <w:iCs/>
          <w:color w:val="000000"/>
          <w:szCs w:val="20"/>
        </w:rPr>
      </w:pPr>
      <w:r w:rsidRPr="00EA707C">
        <w:rPr>
          <w:i/>
          <w:iCs/>
        </w:rPr>
        <w:t>“</w:t>
      </w:r>
      <w:r w:rsidRPr="006B12DA">
        <w:rPr>
          <w:b/>
          <w:bCs/>
          <w:i/>
          <w:iCs/>
        </w:rPr>
        <w:t>2.1.2.</w:t>
      </w:r>
      <w:r w:rsidRPr="00EA707C">
        <w:rPr>
          <w:i/>
          <w:iCs/>
        </w:rPr>
        <w:t xml:space="preserve"> </w:t>
      </w:r>
      <w:r w:rsidRPr="00EA707C">
        <w:rPr>
          <w:i/>
          <w:iCs/>
        </w:rPr>
        <w:tab/>
      </w:r>
      <w:r w:rsidRPr="006B12DA">
        <w:rPr>
          <w:i/>
          <w:iCs/>
        </w:rPr>
        <w:t xml:space="preserve">Exclusivamente para fins de verificação pelo Agente Fiduciário as Partes atribuem às Ações o valor de R$10.700.000,00 (dez milhões e setecentos mil reais), com base no seu valor nominal, as quais representam </w:t>
      </w:r>
      <w:r w:rsidR="00AC5650">
        <w:rPr>
          <w:i/>
          <w:iCs/>
        </w:rPr>
        <w:t>9,70</w:t>
      </w:r>
      <w:r w:rsidRPr="006B12DA">
        <w:rPr>
          <w:i/>
          <w:iCs/>
        </w:rPr>
        <w:t>% (</w:t>
      </w:r>
      <w:r w:rsidR="00AC5650">
        <w:rPr>
          <w:i/>
          <w:iCs/>
        </w:rPr>
        <w:t>nove inteiros e setenta centésimos por cento</w:t>
      </w:r>
      <w:r w:rsidRPr="006B12DA">
        <w:rPr>
          <w:i/>
          <w:iCs/>
        </w:rPr>
        <w:t>) do valor total das Debêntures da 1ª Emissão e 7,04% (sete inteiros e quatro centésimos por cento) do valor total das Debêntures da 2ª Emissão.</w:t>
      </w:r>
      <w:r w:rsidRPr="00EA707C">
        <w:rPr>
          <w:i/>
          <w:iCs/>
        </w:rPr>
        <w:t xml:space="preserve">” </w:t>
      </w:r>
    </w:p>
    <w:p w14:paraId="143FDB6E" w14:textId="6F64DB65" w:rsidR="00496D82" w:rsidRDefault="00496D82" w:rsidP="006B12DA">
      <w:pPr>
        <w:pStyle w:val="Level2"/>
      </w:pPr>
      <w:r w:rsidRPr="00496D82">
        <w:t xml:space="preserve">Em virtude das novas condições comerciais acordadas entre a Emissora e o </w:t>
      </w:r>
      <w:r w:rsidR="00427CB6">
        <w:t>d</w:t>
      </w:r>
      <w:r w:rsidRPr="00496D82">
        <w:t xml:space="preserve">ebenturista da 1ª Emissão, </w:t>
      </w:r>
      <w:r w:rsidR="008C4874">
        <w:t xml:space="preserve">conforme o Primeiro Aditamento à Escritura da 1ª Emissão, </w:t>
      </w:r>
      <w:r w:rsidRPr="00496D82">
        <w:t xml:space="preserve">as Partes acordaram em alterar </w:t>
      </w:r>
      <w:r w:rsidR="00427CB6">
        <w:t>a tabela referente às Obrigações Garantidas da 1ª Emissão, constante do</w:t>
      </w:r>
      <w:r w:rsidR="008C4874">
        <w:t xml:space="preserve"> Anexo I do Contrato, </w:t>
      </w:r>
      <w:r w:rsidR="0086345A">
        <w:t>a</w:t>
      </w:r>
      <w:r w:rsidR="008C4874">
        <w:t xml:space="preserve"> qual</w:t>
      </w:r>
      <w:r w:rsidRPr="00496D82">
        <w:t xml:space="preserve"> passará a </w:t>
      </w:r>
      <w:r w:rsidR="008C4874">
        <w:t>vigorar com a seguinte redação</w:t>
      </w:r>
      <w:r>
        <w:t>:</w:t>
      </w:r>
    </w:p>
    <w:tbl>
      <w:tblPr>
        <w:tblW w:w="4327" w:type="pct"/>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5751"/>
      </w:tblGrid>
      <w:tr w:rsidR="00AC5650" w14:paraId="0A5FE7E3" w14:textId="77777777" w:rsidTr="00AC5650">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111FC1F1" w14:textId="706837A0" w:rsidR="00AC5650" w:rsidRDefault="00AC5650">
            <w:pPr>
              <w:widowControl w:val="0"/>
              <w:spacing w:before="40" w:after="40" w:line="252" w:lineRule="auto"/>
              <w:ind w:left="-90"/>
              <w:jc w:val="center"/>
              <w:rPr>
                <w:rFonts w:cs="Tahoma"/>
                <w:b/>
                <w:i/>
                <w:iCs/>
                <w:sz w:val="18"/>
                <w:szCs w:val="18"/>
              </w:rPr>
            </w:pPr>
            <w:r>
              <w:rPr>
                <w:rFonts w:cs="Tahoma"/>
                <w:b/>
                <w:i/>
                <w:iCs/>
                <w:sz w:val="18"/>
                <w:szCs w:val="18"/>
              </w:rPr>
              <w:t>Obrigações Garantidas</w:t>
            </w:r>
            <w:r w:rsidR="00427CB6">
              <w:rPr>
                <w:rFonts w:cs="Tahoma"/>
                <w:b/>
                <w:i/>
                <w:iCs/>
                <w:sz w:val="18"/>
                <w:szCs w:val="18"/>
              </w:rPr>
              <w:t xml:space="preserve"> da 1ª Emissão</w:t>
            </w:r>
          </w:p>
        </w:tc>
      </w:tr>
      <w:tr w:rsidR="00AC5650" w14:paraId="7155A91B"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C4F9ED2" w14:textId="77777777" w:rsidR="00AC5650" w:rsidRDefault="00AC5650">
            <w:pPr>
              <w:widowControl w:val="0"/>
              <w:spacing w:before="40" w:after="40" w:line="252" w:lineRule="auto"/>
              <w:ind w:left="-90"/>
              <w:rPr>
                <w:rFonts w:cs="Tahoma"/>
                <w:i/>
                <w:iCs/>
                <w:sz w:val="18"/>
                <w:szCs w:val="18"/>
              </w:rPr>
            </w:pPr>
            <w:r>
              <w:rPr>
                <w:rFonts w:cs="Tahoma"/>
                <w:i/>
                <w:iCs/>
                <w:sz w:val="18"/>
                <w:szCs w:val="18"/>
              </w:rPr>
              <w:t>Valor total da Emissão:</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358CB056" w14:textId="6F7570D7"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[R$ 110.300.000,00 (cento e dez milhões e trezentos mil reais)]</w:t>
            </w:r>
          </w:p>
        </w:tc>
      </w:tr>
      <w:tr w:rsidR="00AC5650" w14:paraId="71974A35"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7E457727" w14:textId="77777777" w:rsidR="00AC5650" w:rsidRDefault="00AC5650">
            <w:pPr>
              <w:widowControl w:val="0"/>
              <w:spacing w:before="40" w:after="40" w:line="252" w:lineRule="auto"/>
              <w:ind w:left="-90"/>
              <w:rPr>
                <w:rFonts w:cs="Tahoma"/>
                <w:i/>
                <w:iCs/>
                <w:sz w:val="18"/>
                <w:szCs w:val="18"/>
              </w:rPr>
            </w:pPr>
            <w:r>
              <w:rPr>
                <w:rFonts w:cs="Tahoma"/>
                <w:i/>
                <w:iCs/>
                <w:sz w:val="18"/>
                <w:szCs w:val="18"/>
              </w:rPr>
              <w:t>Valor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9F9073B" w14:textId="77777777"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R$ 55.300.000,00 (cinquenta e cinco milhões e trezentos mil reais)</w:t>
            </w:r>
          </w:p>
        </w:tc>
      </w:tr>
      <w:tr w:rsidR="00AC5650" w14:paraId="105C5EAF"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406C30C" w14:textId="77777777" w:rsidR="00AC5650" w:rsidRDefault="00AC5650">
            <w:pPr>
              <w:widowControl w:val="0"/>
              <w:spacing w:before="40" w:after="40" w:line="252" w:lineRule="auto"/>
              <w:ind w:left="-90"/>
              <w:rPr>
                <w:rFonts w:cs="Tahoma"/>
                <w:i/>
                <w:iCs/>
                <w:sz w:val="18"/>
                <w:szCs w:val="18"/>
              </w:rPr>
            </w:pPr>
            <w:r>
              <w:rPr>
                <w:rFonts w:cs="Tahoma"/>
                <w:i/>
                <w:iCs/>
                <w:sz w:val="18"/>
                <w:szCs w:val="18"/>
              </w:rPr>
              <w:t>Valor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2757D80" w14:textId="0776D08F"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[R$55.000.000,00 (cinquenta e cinco milhões de reais)]</w:t>
            </w:r>
          </w:p>
        </w:tc>
      </w:tr>
      <w:tr w:rsidR="00AC5650" w14:paraId="2A0267D0"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42A9287B" w14:textId="77777777" w:rsidR="00AC5650" w:rsidRDefault="00AC5650">
            <w:pPr>
              <w:widowControl w:val="0"/>
              <w:spacing w:before="40" w:after="40" w:line="252" w:lineRule="auto"/>
              <w:ind w:left="-90"/>
              <w:rPr>
                <w:rFonts w:cs="Tahoma"/>
                <w:i/>
                <w:iCs/>
                <w:sz w:val="18"/>
                <w:szCs w:val="18"/>
              </w:rPr>
            </w:pPr>
            <w:r>
              <w:rPr>
                <w:rFonts w:cs="Tahoma"/>
                <w:i/>
                <w:iCs/>
                <w:sz w:val="18"/>
                <w:szCs w:val="18"/>
              </w:rPr>
              <w:t>Data de Emissão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6E82C668" w14:textId="77777777" w:rsidR="00AC5650" w:rsidRDefault="00AC5650">
            <w:pPr>
              <w:widowControl w:val="0"/>
              <w:spacing w:before="40" w:after="40" w:line="252" w:lineRule="auto"/>
              <w:rPr>
                <w:rFonts w:cs="Tahoma"/>
                <w:i/>
                <w:iCs/>
                <w:sz w:val="18"/>
                <w:szCs w:val="18"/>
              </w:rPr>
            </w:pPr>
            <w:r>
              <w:rPr>
                <w:rFonts w:cs="Tahoma"/>
                <w:i/>
                <w:iCs/>
                <w:sz w:val="18"/>
                <w:szCs w:val="18"/>
              </w:rPr>
              <w:t>30 de agosto de 2019.</w:t>
            </w:r>
          </w:p>
        </w:tc>
      </w:tr>
      <w:tr w:rsidR="00AC5650" w14:paraId="4E3B4D2C"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39555CEC" w14:textId="77777777" w:rsidR="00AC5650" w:rsidRDefault="00AC5650">
            <w:pPr>
              <w:widowControl w:val="0"/>
              <w:spacing w:before="40" w:after="40" w:line="252" w:lineRule="auto"/>
              <w:ind w:left="-90"/>
              <w:rPr>
                <w:rFonts w:cs="Tahoma"/>
                <w:i/>
                <w:iCs/>
                <w:sz w:val="18"/>
                <w:szCs w:val="18"/>
              </w:rPr>
            </w:pPr>
            <w:r>
              <w:rPr>
                <w:rFonts w:cs="Tahoma"/>
                <w:i/>
                <w:iCs/>
                <w:sz w:val="18"/>
                <w:szCs w:val="18"/>
              </w:rPr>
              <w:t>Data de Emissão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1ADA92B8" w14:textId="77777777" w:rsidR="00AC5650" w:rsidRDefault="00AC5650">
            <w:pPr>
              <w:widowControl w:val="0"/>
              <w:spacing w:before="40" w:after="40" w:line="252" w:lineRule="auto"/>
              <w:rPr>
                <w:rFonts w:cs="Tahoma"/>
                <w:i/>
                <w:iCs/>
                <w:sz w:val="18"/>
                <w:szCs w:val="18"/>
              </w:rPr>
            </w:pPr>
            <w:r>
              <w:rPr>
                <w:rFonts w:cs="Tahoma"/>
                <w:i/>
                <w:iCs/>
                <w:sz w:val="18"/>
                <w:szCs w:val="18"/>
                <w:highlight w:val="yellow"/>
              </w:rPr>
              <w:t>[•]</w:t>
            </w:r>
          </w:p>
        </w:tc>
      </w:tr>
      <w:tr w:rsidR="00AC5650" w14:paraId="3526B4B0"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40C70E4" w14:textId="77777777" w:rsidR="00AC5650" w:rsidRDefault="00AC5650">
            <w:pPr>
              <w:widowControl w:val="0"/>
              <w:spacing w:before="40" w:after="40" w:line="252" w:lineRule="auto"/>
              <w:ind w:left="-90"/>
              <w:rPr>
                <w:rFonts w:cs="Tahoma"/>
                <w:i/>
                <w:iCs/>
                <w:sz w:val="18"/>
                <w:szCs w:val="18"/>
              </w:rPr>
            </w:pPr>
            <w:r>
              <w:rPr>
                <w:rFonts w:cs="Tahoma"/>
                <w:i/>
                <w:iCs/>
                <w:sz w:val="18"/>
                <w:szCs w:val="18"/>
              </w:rPr>
              <w:t>Quantidade total de Debêntures:</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7C53C7D8" w14:textId="742BB984" w:rsidR="00AC5650" w:rsidRDefault="0086345A">
            <w:pPr>
              <w:widowControl w:val="0"/>
              <w:spacing w:before="40" w:after="40" w:line="252" w:lineRule="auto"/>
              <w:rPr>
                <w:rFonts w:cs="Tahoma"/>
                <w:i/>
                <w:iCs/>
                <w:sz w:val="18"/>
                <w:szCs w:val="18"/>
              </w:rPr>
            </w:pPr>
            <w:r w:rsidRPr="0086345A">
              <w:rPr>
                <w:rFonts w:cs="Tahoma"/>
                <w:i/>
                <w:iCs/>
                <w:sz w:val="18"/>
                <w:szCs w:val="18"/>
              </w:rPr>
              <w:t>1.103 (mil, cento e três) debêntures conversíveis em ações</w:t>
            </w:r>
            <w:r w:rsidRPr="0086345A" w:rsidDel="0086345A">
              <w:rPr>
                <w:rFonts w:cs="Tahoma"/>
                <w:i/>
                <w:iCs/>
                <w:sz w:val="18"/>
                <w:szCs w:val="18"/>
                <w:highlight w:val="yellow"/>
              </w:rPr>
              <w:t xml:space="preserve"> </w:t>
            </w:r>
          </w:p>
        </w:tc>
      </w:tr>
      <w:tr w:rsidR="00AC5650" w14:paraId="3E9FCD8C"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28EE8A4C" w14:textId="77777777" w:rsidR="00AC5650" w:rsidRDefault="00AC5650">
            <w:pPr>
              <w:widowControl w:val="0"/>
              <w:spacing w:before="40" w:after="40" w:line="252" w:lineRule="auto"/>
              <w:ind w:left="-90"/>
              <w:rPr>
                <w:rFonts w:cs="Tahoma"/>
                <w:i/>
                <w:iCs/>
                <w:sz w:val="18"/>
                <w:szCs w:val="18"/>
              </w:rPr>
            </w:pPr>
            <w:r>
              <w:rPr>
                <w:rFonts w:cs="Tahoma"/>
                <w:i/>
                <w:iCs/>
                <w:sz w:val="18"/>
                <w:szCs w:val="18"/>
              </w:rPr>
              <w:t>Quantidade de Debêntures: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623C4E96" w14:textId="4C78E64D" w:rsidR="00AC5650" w:rsidRDefault="00AC5650">
            <w:pPr>
              <w:widowControl w:val="0"/>
              <w:spacing w:before="40" w:after="40" w:line="252" w:lineRule="auto"/>
              <w:rPr>
                <w:rFonts w:cs="Tahoma"/>
                <w:i/>
                <w:iCs/>
                <w:sz w:val="18"/>
                <w:szCs w:val="18"/>
              </w:rPr>
            </w:pPr>
            <w:r>
              <w:rPr>
                <w:rFonts w:cs="Tahoma"/>
                <w:i/>
                <w:iCs/>
                <w:sz w:val="18"/>
                <w:szCs w:val="18"/>
              </w:rPr>
              <w:t>553 (quinhentos e cinquenta e três) debêntures conversíveis em ações.</w:t>
            </w:r>
          </w:p>
        </w:tc>
      </w:tr>
      <w:tr w:rsidR="00AC5650" w14:paraId="3A883690"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39D53C5" w14:textId="69A86D1E" w:rsidR="00AC5650" w:rsidRPr="00AC5650" w:rsidRDefault="00427CB6">
            <w:pPr>
              <w:widowControl w:val="0"/>
              <w:spacing w:before="40" w:after="40" w:line="252" w:lineRule="auto"/>
              <w:ind w:left="-90"/>
              <w:rPr>
                <w:rFonts w:cs="Tahoma"/>
                <w:i/>
                <w:iCs/>
                <w:sz w:val="18"/>
                <w:szCs w:val="18"/>
              </w:rPr>
            </w:pPr>
            <w:r>
              <w:rPr>
                <w:rFonts w:cs="Tahoma"/>
                <w:i/>
                <w:iCs/>
                <w:sz w:val="18"/>
                <w:szCs w:val="18"/>
              </w:rPr>
              <w:lastRenderedPageBreak/>
              <w:t xml:space="preserve"> </w:t>
            </w:r>
            <w:r w:rsidR="00AC5650" w:rsidRPr="00AC5650">
              <w:rPr>
                <w:rFonts w:cs="Tahoma"/>
                <w:i/>
                <w:iCs/>
                <w:sz w:val="18"/>
                <w:szCs w:val="18"/>
              </w:rPr>
              <w:t>Quantidade de Debêntures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15A3733A" w14:textId="552800CC" w:rsidR="00AC5650" w:rsidRPr="00AC5650" w:rsidRDefault="00AC5650">
            <w:pPr>
              <w:widowControl w:val="0"/>
              <w:spacing w:before="40" w:after="40" w:line="252" w:lineRule="auto"/>
              <w:rPr>
                <w:rFonts w:cs="Tahoma"/>
                <w:i/>
                <w:iCs/>
                <w:sz w:val="18"/>
                <w:szCs w:val="18"/>
              </w:rPr>
            </w:pPr>
            <w:r w:rsidRPr="00AC5650">
              <w:rPr>
                <w:rFonts w:cs="Tahoma"/>
                <w:i/>
                <w:iCs/>
                <w:sz w:val="18"/>
                <w:szCs w:val="18"/>
              </w:rPr>
              <w:t xml:space="preserve">550 (quinhentas e cinquenta) debêntures conversíveis em ações. </w:t>
            </w:r>
          </w:p>
        </w:tc>
      </w:tr>
      <w:tr w:rsidR="00AC5650" w14:paraId="36118324"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6A1F886" w14:textId="77777777" w:rsidR="00AC5650" w:rsidRPr="00AC5650" w:rsidRDefault="00AC5650">
            <w:pPr>
              <w:widowControl w:val="0"/>
              <w:spacing w:before="40" w:after="40" w:line="252" w:lineRule="auto"/>
              <w:ind w:left="-90"/>
              <w:rPr>
                <w:rFonts w:cs="Tahoma"/>
                <w:i/>
                <w:iCs/>
                <w:sz w:val="18"/>
                <w:szCs w:val="18"/>
              </w:rPr>
            </w:pPr>
            <w:r w:rsidRPr="00AC5650">
              <w:rPr>
                <w:rFonts w:cs="Tahoma"/>
                <w:i/>
                <w:iCs/>
                <w:sz w:val="18"/>
                <w:szCs w:val="18"/>
              </w:rPr>
              <w:t>Valor Nominal Unitário</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5EC7E7B9" w14:textId="77777777" w:rsidR="00AC5650" w:rsidRPr="00AC5650" w:rsidRDefault="00AC5650">
            <w:pPr>
              <w:widowControl w:val="0"/>
              <w:spacing w:before="40" w:after="40" w:line="252" w:lineRule="auto"/>
              <w:rPr>
                <w:rFonts w:cs="Tahoma"/>
                <w:i/>
                <w:iCs/>
                <w:sz w:val="18"/>
                <w:szCs w:val="18"/>
              </w:rPr>
            </w:pPr>
            <w:r w:rsidRPr="00AC5650">
              <w:rPr>
                <w:rFonts w:cs="Tahoma"/>
                <w:i/>
                <w:iCs/>
                <w:sz w:val="18"/>
                <w:szCs w:val="18"/>
              </w:rPr>
              <w:t>R$ 100.000,00 (cem mil reais).</w:t>
            </w:r>
          </w:p>
        </w:tc>
      </w:tr>
      <w:tr w:rsidR="00AC5650" w14:paraId="63275F9F"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8E0DB3C" w14:textId="77777777" w:rsidR="00AC5650" w:rsidRDefault="00AC5650">
            <w:pPr>
              <w:widowControl w:val="0"/>
              <w:spacing w:before="40" w:after="40" w:line="252" w:lineRule="auto"/>
              <w:ind w:left="-90"/>
              <w:rPr>
                <w:rFonts w:cs="Tahoma"/>
                <w:i/>
                <w:iCs/>
                <w:sz w:val="18"/>
                <w:szCs w:val="18"/>
              </w:rPr>
            </w:pPr>
            <w:r>
              <w:rPr>
                <w:rFonts w:cs="Tahoma"/>
                <w:i/>
                <w:iCs/>
                <w:sz w:val="18"/>
                <w:szCs w:val="18"/>
              </w:rPr>
              <w:t>Data de Vencimento</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54780DC" w14:textId="7AB3705E" w:rsidR="00AC5650" w:rsidRDefault="00AC5650">
            <w:pPr>
              <w:widowControl w:val="0"/>
              <w:spacing w:before="40" w:after="40" w:line="252" w:lineRule="auto"/>
              <w:rPr>
                <w:rFonts w:cs="Tahoma"/>
                <w:i/>
                <w:iCs/>
                <w:sz w:val="18"/>
                <w:szCs w:val="18"/>
              </w:rPr>
            </w:pPr>
            <w:r>
              <w:rPr>
                <w:rFonts w:cs="Tahoma"/>
                <w:i/>
                <w:iCs/>
                <w:sz w:val="18"/>
                <w:szCs w:val="18"/>
              </w:rPr>
              <w:t>15 de dezembro de 2022</w:t>
            </w:r>
          </w:p>
        </w:tc>
      </w:tr>
      <w:tr w:rsidR="00AC5650" w14:paraId="67B12211"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788C3F95" w14:textId="77777777" w:rsidR="00AC5650" w:rsidRDefault="00AC5650">
            <w:pPr>
              <w:widowControl w:val="0"/>
              <w:spacing w:before="40" w:after="40" w:line="252" w:lineRule="auto"/>
              <w:ind w:left="-90"/>
              <w:rPr>
                <w:rFonts w:cs="Tahoma"/>
                <w:i/>
                <w:iCs/>
                <w:sz w:val="18"/>
                <w:szCs w:val="18"/>
              </w:rPr>
            </w:pPr>
            <w:r>
              <w:rPr>
                <w:rFonts w:cs="Tahoma"/>
                <w:i/>
                <w:iCs/>
                <w:sz w:val="18"/>
                <w:szCs w:val="18"/>
              </w:rPr>
              <w:t>Remuneração das Debêntures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37703BC1" w14:textId="4D563EC8" w:rsidR="00AC5650" w:rsidRDefault="00AC5650">
            <w:pPr>
              <w:pStyle w:val="PargrafodaLista"/>
              <w:widowControl w:val="0"/>
              <w:spacing w:before="40" w:after="40" w:line="252" w:lineRule="auto"/>
              <w:ind w:left="0"/>
              <w:rPr>
                <w:rFonts w:cs="Tahoma"/>
                <w:i/>
                <w:iCs/>
                <w:smallCaps/>
                <w:color w:val="000000"/>
                <w:sz w:val="18"/>
                <w:szCs w:val="18"/>
              </w:rPr>
            </w:pPr>
            <w:r>
              <w:rPr>
                <w:rFonts w:cs="Tahoma"/>
                <w:i/>
                <w:iCs/>
                <w:sz w:val="18"/>
                <w:szCs w:val="18"/>
              </w:rPr>
              <w:t xml:space="preserve">Sobre o Valor Nominal Unitário das Debêntures incidirão juros remuneratórios calculados </w:t>
            </w:r>
            <w:r w:rsidR="00A55B56">
              <w:rPr>
                <w:rFonts w:cs="Tahoma"/>
                <w:i/>
                <w:iCs/>
                <w:sz w:val="18"/>
                <w:szCs w:val="18"/>
              </w:rPr>
              <w:t xml:space="preserve">pro rata </w:t>
            </w:r>
            <w:proofErr w:type="spellStart"/>
            <w:r w:rsidR="00A55B56">
              <w:rPr>
                <w:rFonts w:cs="Tahoma"/>
                <w:i/>
                <w:iCs/>
                <w:sz w:val="18"/>
                <w:szCs w:val="18"/>
              </w:rPr>
              <w:t>temporis</w:t>
            </w:r>
            <w:proofErr w:type="spellEnd"/>
            <w:r>
              <w:rPr>
                <w:rFonts w:cs="Tahoma"/>
                <w:i/>
                <w:iCs/>
                <w:sz w:val="18"/>
                <w:szCs w:val="18"/>
              </w:rPr>
              <w:t xml:space="preserve"> e pagos ao final de cada Período de Capitalização (conforme definido na Escritura de Emissão), conforme fórmula descrita na Escritura de Emissão.</w:t>
            </w:r>
          </w:p>
        </w:tc>
      </w:tr>
      <w:tr w:rsidR="00AC5650" w14:paraId="23FEF145"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174E6E8" w14:textId="77777777" w:rsidR="00AC5650" w:rsidRDefault="00AC5650">
            <w:pPr>
              <w:widowControl w:val="0"/>
              <w:spacing w:before="40" w:after="40" w:line="252" w:lineRule="auto"/>
              <w:ind w:left="-90"/>
              <w:rPr>
                <w:rFonts w:cs="Tahoma"/>
                <w:i/>
                <w:iCs/>
                <w:sz w:val="18"/>
                <w:szCs w:val="18"/>
              </w:rPr>
            </w:pPr>
            <w:r>
              <w:rPr>
                <w:rFonts w:cs="Tahoma"/>
                <w:i/>
                <w:iCs/>
                <w:sz w:val="18"/>
                <w:szCs w:val="18"/>
              </w:rPr>
              <w:t>Remuneração das Debêntures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CCB0801" w14:textId="77777777" w:rsidR="00AC5650" w:rsidRDefault="00AC5650">
            <w:pPr>
              <w:pStyle w:val="PargrafodaLista"/>
              <w:widowControl w:val="0"/>
              <w:spacing w:before="40" w:after="40" w:line="252" w:lineRule="auto"/>
              <w:ind w:left="0"/>
              <w:rPr>
                <w:rFonts w:cs="Tahoma"/>
                <w:i/>
                <w:iCs/>
                <w:sz w:val="18"/>
                <w:szCs w:val="22"/>
              </w:rPr>
            </w:pPr>
            <w:r w:rsidRPr="00A9290F">
              <w:rPr>
                <w:i/>
                <w:iCs/>
                <w:sz w:val="18"/>
                <w:szCs w:val="22"/>
              </w:rPr>
              <w:t>Sobre o Valor Nominal Unitário das Debêntures da 2ª Série incidirão juros remuneratórios correspondentes à variação acumulada de 100% (cem por cento) das taxas médias diárias dos DI – Depósitos Interfinanceiros de um dia, “over extra grupo”, expressa na forma percentual ao ano, base 252 (duzentos e cinquenta e dois) Dias Úteis, calculada e divulgada diariamente pela B3 (“</w:t>
            </w:r>
            <w:r w:rsidRPr="00A9290F">
              <w:rPr>
                <w:b/>
                <w:bCs/>
                <w:i/>
                <w:iCs/>
                <w:sz w:val="18"/>
                <w:szCs w:val="22"/>
              </w:rPr>
              <w:t>Taxa DI</w:t>
            </w:r>
            <w:r w:rsidRPr="00A9290F">
              <w:rPr>
                <w:i/>
                <w:iCs/>
                <w:sz w:val="18"/>
                <w:szCs w:val="22"/>
              </w:rPr>
              <w:t>”), acrescida exponencialmente de spread (sobretaxa) de 8% (oito por cento) ao ano, base 252 (duzentos e cinquenta e dois) Dias Úteis (“</w:t>
            </w:r>
            <w:r w:rsidRPr="00A9290F">
              <w:rPr>
                <w:b/>
                <w:bCs/>
                <w:i/>
                <w:iCs/>
                <w:sz w:val="18"/>
                <w:szCs w:val="22"/>
              </w:rPr>
              <w:t>Remuneração da 2ª Série</w:t>
            </w:r>
            <w:r w:rsidRPr="00A9290F">
              <w:rPr>
                <w:i/>
                <w:iCs/>
                <w:sz w:val="18"/>
                <w:szCs w:val="22"/>
              </w:rPr>
              <w:t>” e, em conjunto com a Remuneração da 1ª Série, a “</w:t>
            </w:r>
            <w:r w:rsidRPr="00A9290F">
              <w:rPr>
                <w:b/>
                <w:bCs/>
                <w:i/>
                <w:iCs/>
                <w:sz w:val="18"/>
                <w:szCs w:val="22"/>
              </w:rPr>
              <w:t>Remuneração das Debêntures</w:t>
            </w:r>
            <w:r w:rsidRPr="00A9290F">
              <w:rPr>
                <w:i/>
                <w:iCs/>
                <w:sz w:val="18"/>
                <w:szCs w:val="22"/>
              </w:rPr>
              <w:t xml:space="preserve">”). </w:t>
            </w:r>
            <w:r w:rsidRPr="00A9290F">
              <w:rPr>
                <w:rFonts w:cs="Tahoma"/>
                <w:i/>
                <w:iCs/>
                <w:sz w:val="18"/>
                <w:szCs w:val="22"/>
              </w:rPr>
              <w:t xml:space="preserve">A Remuneração será calculada de forma exponencial e cumulativa pro rata </w:t>
            </w:r>
            <w:proofErr w:type="spellStart"/>
            <w:r w:rsidRPr="00A9290F">
              <w:rPr>
                <w:rFonts w:cs="Tahoma"/>
                <w:i/>
                <w:iCs/>
                <w:sz w:val="18"/>
                <w:szCs w:val="22"/>
              </w:rPr>
              <w:t>temporis</w:t>
            </w:r>
            <w:proofErr w:type="spellEnd"/>
            <w:r w:rsidRPr="00A9290F">
              <w:rPr>
                <w:rFonts w:cs="Tahoma"/>
                <w:i/>
                <w:iCs/>
                <w:sz w:val="18"/>
                <w:szCs w:val="22"/>
              </w:rPr>
              <w:t>, por Dias Úteis decorridos, incidentes sobre o Valor Nominal das Debêntures desde a Data da Primeira Integralização das Debêntures ou da Data de Pagamento da Remuneração das Debêntures da 2ª Série (conforme abaixo definida) imediatamente anterior, conforme o caso, até a próxima Data de Pagamento da Remuneração das Debêntures da 2ª Série. A Remuneração da 2ª Série deverá ser calculada de acordo com</w:t>
            </w:r>
            <w:r>
              <w:rPr>
                <w:rFonts w:cs="Tahoma"/>
                <w:i/>
                <w:iCs/>
                <w:sz w:val="18"/>
                <w:szCs w:val="22"/>
              </w:rPr>
              <w:t xml:space="preserve"> a fórmula constante na Escritura de Emissão. </w:t>
            </w:r>
          </w:p>
        </w:tc>
      </w:tr>
      <w:tr w:rsidR="00AC5650" w14:paraId="117E4D27"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067AB4EB" w14:textId="77777777" w:rsidR="00AC5650" w:rsidRDefault="00AC5650">
            <w:pPr>
              <w:widowControl w:val="0"/>
              <w:spacing w:before="40" w:after="40" w:line="252" w:lineRule="auto"/>
              <w:ind w:left="-90"/>
              <w:rPr>
                <w:rFonts w:cs="Tahoma"/>
                <w:i/>
                <w:iCs/>
                <w:sz w:val="18"/>
                <w:szCs w:val="18"/>
              </w:rPr>
            </w:pPr>
            <w:r>
              <w:rPr>
                <w:rFonts w:cs="Tahoma"/>
                <w:i/>
                <w:iCs/>
                <w:sz w:val="18"/>
                <w:szCs w:val="18"/>
              </w:rPr>
              <w:t>Encargos</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C7B4E79" w14:textId="77777777" w:rsidR="00AC5650" w:rsidRDefault="00AC5650">
            <w:pPr>
              <w:widowControl w:val="0"/>
              <w:spacing w:before="40" w:after="40" w:line="252" w:lineRule="auto"/>
              <w:rPr>
                <w:rFonts w:cs="Tahoma"/>
                <w:i/>
                <w:iCs/>
                <w:sz w:val="18"/>
                <w:szCs w:val="18"/>
              </w:rPr>
            </w:pPr>
            <w:r>
              <w:rPr>
                <w:rFonts w:cs="Tahoma"/>
                <w:i/>
                <w:iCs/>
                <w:color w:val="000000"/>
                <w:sz w:val="18"/>
                <w:szCs w:val="18"/>
              </w:rPr>
              <w:t xml:space="preserve">Ocorrendo impontualidade no pagamento de qualquer valor devido pela Emissora ao Debenturista nos termos da Escritura da 1ª Emissão, sem prejuízo do pagamento da Remuneração, calculada pro rata </w:t>
            </w:r>
            <w:proofErr w:type="spellStart"/>
            <w:r>
              <w:rPr>
                <w:rFonts w:cs="Tahoma"/>
                <w:i/>
                <w:iCs/>
                <w:color w:val="000000"/>
                <w:sz w:val="18"/>
                <w:szCs w:val="18"/>
              </w:rPr>
              <w:t>temporis</w:t>
            </w:r>
            <w:proofErr w:type="spellEnd"/>
            <w:r>
              <w:rPr>
                <w:rFonts w:cs="Tahoma"/>
                <w:i/>
                <w:iCs/>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Pr>
                <w:rFonts w:cs="Tahoma"/>
                <w:i/>
                <w:iCs/>
                <w:color w:val="000000"/>
                <w:sz w:val="18"/>
                <w:szCs w:val="18"/>
              </w:rPr>
              <w:t>temporis</w:t>
            </w:r>
            <w:proofErr w:type="spellEnd"/>
            <w:r>
              <w:rPr>
                <w:rFonts w:cs="Tahoma"/>
                <w:i/>
                <w:iCs/>
                <w:color w:val="000000"/>
                <w:sz w:val="18"/>
                <w:szCs w:val="18"/>
              </w:rPr>
              <w:t xml:space="preserve"> desde a data de inadimplemento até a data do efetivo pagamento; e (</w:t>
            </w:r>
            <w:proofErr w:type="spellStart"/>
            <w:r>
              <w:rPr>
                <w:rFonts w:cs="Tahoma"/>
                <w:i/>
                <w:iCs/>
                <w:color w:val="000000"/>
                <w:sz w:val="18"/>
                <w:szCs w:val="18"/>
              </w:rPr>
              <w:t>ii</w:t>
            </w:r>
            <w:proofErr w:type="spellEnd"/>
            <w:r>
              <w:rPr>
                <w:rFonts w:cs="Tahoma"/>
                <w:i/>
                <w:iCs/>
                <w:color w:val="000000"/>
                <w:sz w:val="18"/>
                <w:szCs w:val="18"/>
              </w:rPr>
              <w:t>) multa moratória de natureza não compensatória de 2% (dois por cento) sobre o valor devido.</w:t>
            </w:r>
          </w:p>
        </w:tc>
      </w:tr>
      <w:tr w:rsidR="00AC5650" w14:paraId="0C34C804"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356298CD" w14:textId="77777777" w:rsidR="00AC5650" w:rsidRDefault="00AC5650">
            <w:pPr>
              <w:widowControl w:val="0"/>
              <w:spacing w:before="40" w:after="40" w:line="252" w:lineRule="auto"/>
              <w:ind w:left="-90"/>
              <w:rPr>
                <w:rFonts w:cs="Tahoma"/>
                <w:i/>
                <w:iCs/>
                <w:sz w:val="18"/>
                <w:szCs w:val="18"/>
              </w:rPr>
            </w:pPr>
            <w:r>
              <w:rPr>
                <w:rFonts w:cs="Tahoma"/>
                <w:i/>
                <w:iCs/>
                <w:sz w:val="18"/>
                <w:szCs w:val="18"/>
              </w:rPr>
              <w:t>Conversibilidade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28CBCD4" w14:textId="6EBA438C" w:rsidR="00AC5650" w:rsidRDefault="00AC5650">
            <w:pPr>
              <w:widowControl w:val="0"/>
              <w:spacing w:before="40" w:after="40" w:line="252" w:lineRule="auto"/>
              <w:rPr>
                <w:rFonts w:cs="Tahoma"/>
                <w:i/>
                <w:iCs/>
                <w:sz w:val="18"/>
                <w:szCs w:val="18"/>
              </w:rPr>
            </w:pPr>
            <w:r>
              <w:rPr>
                <w:rFonts w:cs="Tahoma"/>
                <w:i/>
                <w:iCs/>
                <w:color w:val="000000"/>
                <w:sz w:val="18"/>
                <w:szCs w:val="18"/>
              </w:rPr>
              <w:t xml:space="preserve">[Observado o disposto na Escritura de Emissão, </w:t>
            </w:r>
            <w:r w:rsidRPr="00A9290F">
              <w:rPr>
                <w:i/>
                <w:iCs/>
                <w:sz w:val="18"/>
                <w:szCs w:val="18"/>
              </w:rPr>
              <w:t xml:space="preserve">todas as Debêntures em circulação poderão, a exclusivo critério do Debenturista, ser convertidas em ações ordinárias, nominativas e sem valor nominal, na forma prevista nesta Escritura de Emissão, caso, a partir de [31 de janeiro de 2021] até a Data de Vencimento, a Emissora tenha comprovado, (i) o </w:t>
            </w:r>
            <w:proofErr w:type="spellStart"/>
            <w:r w:rsidRPr="00A9290F">
              <w:rPr>
                <w:i/>
                <w:iCs/>
                <w:sz w:val="18"/>
                <w:szCs w:val="18"/>
              </w:rPr>
              <w:t>completion</w:t>
            </w:r>
            <w:proofErr w:type="spellEnd"/>
            <w:r w:rsidRPr="00A9290F">
              <w:rPr>
                <w:i/>
                <w:iCs/>
                <w:sz w:val="18"/>
                <w:szCs w:val="18"/>
              </w:rPr>
              <w:t xml:space="preserve"> físico de todas as linha de transmissão; (</w:t>
            </w:r>
            <w:proofErr w:type="spellStart"/>
            <w:r w:rsidRPr="00A9290F">
              <w:rPr>
                <w:i/>
                <w:iCs/>
                <w:sz w:val="18"/>
                <w:szCs w:val="18"/>
              </w:rPr>
              <w:t>ii</w:t>
            </w:r>
            <w:proofErr w:type="spellEnd"/>
            <w:r w:rsidRPr="00A9290F">
              <w:rPr>
                <w:i/>
                <w:iCs/>
                <w:sz w:val="18"/>
                <w:szCs w:val="18"/>
              </w:rPr>
              <w:t xml:space="preserve">) o início da operação de todas as </w:t>
            </w:r>
            <w:proofErr w:type="spellStart"/>
            <w:r w:rsidRPr="00A9290F">
              <w:rPr>
                <w:i/>
                <w:iCs/>
                <w:sz w:val="18"/>
                <w:szCs w:val="18"/>
              </w:rPr>
              <w:t>SPEs</w:t>
            </w:r>
            <w:proofErr w:type="spellEnd"/>
            <w:r w:rsidRPr="00A9290F">
              <w:rPr>
                <w:i/>
                <w:iCs/>
                <w:sz w:val="18"/>
                <w:szCs w:val="18"/>
              </w:rPr>
              <w:t xml:space="preserve">, assim entendido pela emissão do Termo de Liberação Definitivo – TLD, pelo Operador Nacional do Sistema – ONS; </w:t>
            </w:r>
            <w:bookmarkStart w:id="18" w:name="_Hlk16606401"/>
            <w:r w:rsidRPr="00A9290F">
              <w:rPr>
                <w:i/>
                <w:iCs/>
                <w:sz w:val="18"/>
                <w:szCs w:val="18"/>
              </w:rPr>
              <w:t>(</w:t>
            </w:r>
            <w:proofErr w:type="spellStart"/>
            <w:r w:rsidRPr="00A9290F">
              <w:rPr>
                <w:i/>
                <w:iCs/>
                <w:sz w:val="18"/>
                <w:szCs w:val="18"/>
              </w:rPr>
              <w:t>iii</w:t>
            </w:r>
            <w:proofErr w:type="spellEnd"/>
            <w:r w:rsidRPr="00A9290F">
              <w:rPr>
                <w:i/>
                <w:iCs/>
                <w:sz w:val="18"/>
                <w:szCs w:val="18"/>
              </w:rPr>
              <w:t xml:space="preserve">) o cumprimento pela Emissora e/ou pela LC Linhas, conforme o caso, ou renúncia pelo Debenturista, de todas as obrigações dispostas na cláusula 5.5. do Contrato de Investimento; e (v) obtenção, pela Emissora, de anuência prévia da ANEEL, em atendimento ao disposto nos Contratos de Concessão e no art. 5.º, inciso I da Resolução Normativa ANEEL n.º 484/2012, conforme os procedimentos previstos no capítulo III de referida resolução normativa e no Contrato de Investimento </w:t>
            </w:r>
            <w:bookmarkEnd w:id="18"/>
            <w:r w:rsidRPr="00A9290F">
              <w:rPr>
                <w:i/>
                <w:iCs/>
                <w:sz w:val="18"/>
                <w:szCs w:val="18"/>
              </w:rPr>
              <w:t>(“</w:t>
            </w:r>
            <w:r w:rsidRPr="00A9290F">
              <w:rPr>
                <w:b/>
                <w:bCs/>
                <w:i/>
                <w:iCs/>
                <w:sz w:val="18"/>
                <w:szCs w:val="18"/>
              </w:rPr>
              <w:t xml:space="preserve">Conversão </w:t>
            </w:r>
            <w:r w:rsidRPr="00A9290F">
              <w:rPr>
                <w:b/>
                <w:bCs/>
                <w:i/>
                <w:iCs/>
                <w:sz w:val="18"/>
                <w:szCs w:val="18"/>
              </w:rPr>
              <w:lastRenderedPageBreak/>
              <w:t>Total Facultativa</w:t>
            </w:r>
            <w:r w:rsidRPr="00A9290F">
              <w:rPr>
                <w:i/>
                <w:iCs/>
                <w:sz w:val="18"/>
                <w:szCs w:val="18"/>
              </w:rPr>
              <w:t>”). A Conversão Total Facultativa poderá ocorrer a partir do 5º (quinto) Dia Útil contado do recebimento, de notificação enviada pela Emissora informando e comprovando a verificação da condição disposta nesta Cláusula 4.17.1 (“</w:t>
            </w:r>
            <w:r w:rsidRPr="00A9290F">
              <w:rPr>
                <w:b/>
                <w:bCs/>
                <w:i/>
                <w:iCs/>
                <w:sz w:val="18"/>
                <w:szCs w:val="18"/>
              </w:rPr>
              <w:t>Data da Conversão Total Facultativa</w:t>
            </w:r>
            <w:r w:rsidRPr="00A9290F">
              <w:rPr>
                <w:i/>
                <w:iCs/>
                <w:sz w:val="18"/>
                <w:szCs w:val="18"/>
              </w:rPr>
              <w:t>”), mediante envio de notificação pelo Debenturista à Emissora</w:t>
            </w:r>
            <w:r w:rsidR="00A9290F">
              <w:rPr>
                <w:i/>
                <w:iCs/>
                <w:sz w:val="18"/>
                <w:szCs w:val="18"/>
              </w:rPr>
              <w:t>.</w:t>
            </w:r>
            <w:r>
              <w:rPr>
                <w:rFonts w:cs="Tahoma"/>
                <w:i/>
                <w:iCs/>
                <w:sz w:val="18"/>
                <w:szCs w:val="18"/>
              </w:rPr>
              <w:t xml:space="preserve"> </w:t>
            </w:r>
            <w:r w:rsidR="0086345A">
              <w:rPr>
                <w:rFonts w:cs="Tahoma"/>
                <w:i/>
                <w:iCs/>
                <w:color w:val="000000"/>
                <w:sz w:val="18"/>
                <w:szCs w:val="18"/>
              </w:rPr>
              <w:t>[</w:t>
            </w:r>
            <w:r w:rsidR="0086345A" w:rsidRPr="00A9290F">
              <w:rPr>
                <w:rFonts w:cs="Tahoma"/>
                <w:i/>
                <w:iCs/>
                <w:color w:val="000000"/>
                <w:sz w:val="18"/>
                <w:szCs w:val="18"/>
                <w:highlight w:val="yellow"/>
              </w:rPr>
              <w:t>Nota LDR: Timing sob discussão das Partes</w:t>
            </w:r>
            <w:r w:rsidR="0086345A">
              <w:rPr>
                <w:rFonts w:cs="Tahoma"/>
                <w:i/>
                <w:iCs/>
                <w:color w:val="000000"/>
                <w:sz w:val="18"/>
                <w:szCs w:val="18"/>
              </w:rPr>
              <w:t>]</w:t>
            </w:r>
          </w:p>
        </w:tc>
      </w:tr>
      <w:tr w:rsidR="00AC5650" w14:paraId="43943B97"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FEA015E" w14:textId="72F72EE6" w:rsidR="00AC5650" w:rsidRDefault="00AC5650">
            <w:pPr>
              <w:widowControl w:val="0"/>
              <w:spacing w:before="40" w:after="40" w:line="252" w:lineRule="auto"/>
              <w:ind w:left="-90"/>
              <w:rPr>
                <w:rFonts w:cs="Tahoma"/>
                <w:i/>
                <w:iCs/>
                <w:sz w:val="18"/>
                <w:szCs w:val="18"/>
              </w:rPr>
            </w:pPr>
            <w:r>
              <w:rPr>
                <w:rFonts w:cs="Tahoma"/>
                <w:i/>
                <w:iCs/>
                <w:color w:val="000000"/>
                <w:sz w:val="18"/>
                <w:szCs w:val="18"/>
              </w:rPr>
              <w:lastRenderedPageBreak/>
              <w:t xml:space="preserve">Amortização: </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F434AAB" w14:textId="47FB5603" w:rsidR="00AC5650" w:rsidRDefault="00AC5650">
            <w:pPr>
              <w:widowControl w:val="0"/>
              <w:spacing w:before="40" w:after="40" w:line="252" w:lineRule="auto"/>
              <w:rPr>
                <w:rFonts w:cs="Tahoma"/>
                <w:i/>
                <w:iCs/>
                <w:sz w:val="18"/>
                <w:szCs w:val="18"/>
              </w:rPr>
            </w:pPr>
            <w:r w:rsidRPr="00A9290F">
              <w:rPr>
                <w:i/>
                <w:iCs/>
                <w:sz w:val="18"/>
                <w:szCs w:val="18"/>
              </w:rPr>
              <w:t xml:space="preserve">Ressalvada a hipótese de Resgate Antecipado Obrigatório Total, de Vencimento Antecipado (conforme hipóteses dispostas na </w:t>
            </w:r>
            <w:r>
              <w:rPr>
                <w:i/>
                <w:iCs/>
                <w:sz w:val="18"/>
                <w:szCs w:val="18"/>
              </w:rPr>
              <w:t>Escritura de Emissão</w:t>
            </w:r>
            <w:r w:rsidRPr="00A9290F">
              <w:rPr>
                <w:i/>
                <w:iCs/>
                <w:sz w:val="18"/>
                <w:szCs w:val="18"/>
              </w:rPr>
              <w:t xml:space="preserve">) e/ou de conversão em ações (conforme </w:t>
            </w:r>
            <w:r>
              <w:rPr>
                <w:i/>
                <w:iCs/>
                <w:sz w:val="18"/>
                <w:szCs w:val="18"/>
              </w:rPr>
              <w:t>a Escritura de Emissão)</w:t>
            </w:r>
            <w:r w:rsidRPr="00A9290F">
              <w:rPr>
                <w:i/>
                <w:iCs/>
                <w:sz w:val="18"/>
                <w:szCs w:val="18"/>
              </w:rPr>
              <w:t>, o Valor Nominal Unitário, será amortizado, integralmente, em uma única parcela, na Data de Vencimento</w:t>
            </w:r>
            <w:r>
              <w:rPr>
                <w:rFonts w:cs="Tahoma"/>
                <w:i/>
                <w:iCs/>
                <w:sz w:val="18"/>
                <w:szCs w:val="18"/>
              </w:rPr>
              <w:t xml:space="preserve">. </w:t>
            </w:r>
          </w:p>
        </w:tc>
      </w:tr>
      <w:tr w:rsidR="00AC5650" w14:paraId="52E5DFCF"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28BEF5E9" w14:textId="77777777" w:rsidR="00AC5650" w:rsidRDefault="00AC5650">
            <w:pPr>
              <w:widowControl w:val="0"/>
              <w:spacing w:before="40" w:after="40" w:line="252" w:lineRule="auto"/>
              <w:ind w:left="-90"/>
              <w:rPr>
                <w:rFonts w:cs="Tahoma"/>
                <w:i/>
                <w:iCs/>
                <w:color w:val="000000"/>
                <w:sz w:val="18"/>
                <w:szCs w:val="18"/>
              </w:rPr>
            </w:pPr>
            <w:r>
              <w:rPr>
                <w:rFonts w:cs="Tahoma"/>
                <w:i/>
                <w:iCs/>
                <w:color w:val="000000"/>
                <w:sz w:val="18"/>
                <w:szCs w:val="18"/>
              </w:rPr>
              <w:t>Resgate Antecipado Obrigatório Total das Debêntures</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0ECAE42" w14:textId="2258DFC1" w:rsidR="00AC5650" w:rsidRDefault="00AC5650">
            <w:pPr>
              <w:widowControl w:val="0"/>
              <w:spacing w:before="40" w:after="40" w:line="252" w:lineRule="auto"/>
              <w:rPr>
                <w:i/>
                <w:iCs/>
                <w:sz w:val="18"/>
                <w:szCs w:val="18"/>
              </w:rPr>
            </w:pPr>
            <w:r w:rsidRPr="00A9290F">
              <w:rPr>
                <w:rFonts w:cs="Tahoma"/>
                <w:i/>
                <w:iCs/>
                <w:sz w:val="18"/>
                <w:szCs w:val="18"/>
              </w:rPr>
              <w:t>A Emissora deverá, após a conclusão da alienação integral das ações da Emissora pela LC Linhas (“</w:t>
            </w:r>
            <w:r w:rsidRPr="00A9290F">
              <w:rPr>
                <w:rFonts w:cs="Tahoma"/>
                <w:b/>
                <w:bCs/>
                <w:i/>
                <w:iCs/>
                <w:sz w:val="18"/>
                <w:szCs w:val="18"/>
              </w:rPr>
              <w:t>Venda</w:t>
            </w:r>
            <w:r w:rsidRPr="00A9290F">
              <w:rPr>
                <w:rFonts w:cs="Tahoma"/>
                <w:i/>
                <w:iCs/>
                <w:sz w:val="18"/>
                <w:szCs w:val="18"/>
              </w:rPr>
              <w:t>”) que deverá ser previamente aprovada pelo Debenturista, incluindo, mas não se limitando, aos documentos definitivos da operação de Venda, realizar o resgate antecipado da totalidade das Debêntures (“</w:t>
            </w:r>
            <w:r w:rsidRPr="00A9290F">
              <w:rPr>
                <w:rFonts w:cs="Tahoma"/>
                <w:b/>
                <w:bCs/>
                <w:i/>
                <w:iCs/>
                <w:sz w:val="18"/>
                <w:szCs w:val="18"/>
              </w:rPr>
              <w:t>Resgate Antecipado Obrigatório Total</w:t>
            </w:r>
            <w:r w:rsidRPr="00A9290F">
              <w:rPr>
                <w:rFonts w:cs="Tahoma"/>
                <w:i/>
                <w:iCs/>
                <w:sz w:val="18"/>
                <w:szCs w:val="18"/>
              </w:rPr>
              <w:t xml:space="preserve">”). Por ocasião do Resgate Antecipado Obrigatório Total, o valor devido pela Emissora será equivalente ao </w:t>
            </w:r>
            <w:r w:rsidRPr="00A9290F">
              <w:rPr>
                <w:rFonts w:cs="Tahoma"/>
                <w:b/>
                <w:bCs/>
                <w:i/>
                <w:iCs/>
                <w:sz w:val="18"/>
                <w:szCs w:val="18"/>
              </w:rPr>
              <w:t>(a)</w:t>
            </w:r>
            <w:r w:rsidRPr="00A9290F">
              <w:rPr>
                <w:rFonts w:cs="Tahoma"/>
                <w:i/>
                <w:iCs/>
                <w:sz w:val="18"/>
                <w:szCs w:val="18"/>
              </w:rPr>
              <w:t xml:space="preserve"> Valor Nominal Unitário das Debêntures a serem resgatadas, acrescido </w:t>
            </w:r>
            <w:r w:rsidRPr="00A9290F">
              <w:rPr>
                <w:rFonts w:cs="Tahoma"/>
                <w:b/>
                <w:bCs/>
                <w:i/>
                <w:iCs/>
                <w:sz w:val="18"/>
                <w:szCs w:val="18"/>
              </w:rPr>
              <w:t>(b)</w:t>
            </w:r>
            <w:r w:rsidRPr="00A9290F">
              <w:rPr>
                <w:rFonts w:cs="Tahoma"/>
                <w:i/>
                <w:iCs/>
                <w:sz w:val="18"/>
                <w:szCs w:val="18"/>
              </w:rPr>
              <w:t xml:space="preserve"> da respectiva Remuneração, calculado pro rata </w:t>
            </w:r>
            <w:proofErr w:type="spellStart"/>
            <w:r w:rsidRPr="00A9290F">
              <w:rPr>
                <w:rFonts w:cs="Tahoma"/>
                <w:i/>
                <w:iCs/>
                <w:sz w:val="18"/>
                <w:szCs w:val="18"/>
              </w:rPr>
              <w:t>temporis</w:t>
            </w:r>
            <w:proofErr w:type="spellEnd"/>
            <w:r w:rsidRPr="00A9290F">
              <w:rPr>
                <w:rFonts w:cs="Tahoma"/>
                <w:i/>
                <w:iCs/>
                <w:sz w:val="18"/>
                <w:szCs w:val="18"/>
              </w:rPr>
              <w:t xml:space="preserve"> desde o respectivo primeiro Período de Capitalização, ou a Data do Pagamento da Remuneração anterior, conforme o caso, até a data do efetivo Resgate Antecipado Obrigatório Total, incidente sobre o Valor Nominal Unitário e demais encargos devidos e não pagos até a data do Resgate Antecipado Obrigatório Total.</w:t>
            </w:r>
            <w:r w:rsidR="0086345A">
              <w:rPr>
                <w:rFonts w:cs="Tahoma"/>
                <w:i/>
                <w:iCs/>
                <w:sz w:val="18"/>
                <w:szCs w:val="18"/>
              </w:rPr>
              <w:t xml:space="preserve"> [</w:t>
            </w:r>
            <w:r w:rsidR="0086345A" w:rsidRPr="00A9290F">
              <w:rPr>
                <w:rFonts w:cs="Tahoma"/>
                <w:i/>
                <w:iCs/>
                <w:sz w:val="18"/>
                <w:szCs w:val="18"/>
                <w:highlight w:val="yellow"/>
              </w:rPr>
              <w:t>Nota LDR: Redação sujeita a ajustes, conforme a Escritura de Emissão</w:t>
            </w:r>
            <w:r w:rsidR="0086345A">
              <w:rPr>
                <w:rFonts w:cs="Tahoma"/>
                <w:i/>
                <w:iCs/>
                <w:sz w:val="18"/>
                <w:szCs w:val="18"/>
              </w:rPr>
              <w:t>]</w:t>
            </w:r>
          </w:p>
        </w:tc>
      </w:tr>
      <w:tr w:rsidR="00AC5650" w14:paraId="6BD1A08B" w14:textId="77777777" w:rsidTr="00AC5650">
        <w:tc>
          <w:tcPr>
            <w:tcW w:w="1181" w:type="pct"/>
            <w:tcBorders>
              <w:top w:val="single" w:sz="6" w:space="0" w:color="auto"/>
              <w:left w:val="single" w:sz="12" w:space="0" w:color="auto"/>
              <w:bottom w:val="single" w:sz="12" w:space="0" w:color="auto"/>
              <w:right w:val="single" w:sz="6" w:space="0" w:color="auto"/>
            </w:tcBorders>
            <w:vAlign w:val="center"/>
            <w:hideMark/>
          </w:tcPr>
          <w:p w14:paraId="57C7ED20" w14:textId="77777777" w:rsidR="00AC5650" w:rsidRDefault="00AC5650">
            <w:pPr>
              <w:widowControl w:val="0"/>
              <w:spacing w:before="40" w:after="40" w:line="252" w:lineRule="auto"/>
              <w:ind w:left="-90"/>
              <w:rPr>
                <w:rFonts w:cs="Tahoma"/>
                <w:i/>
                <w:iCs/>
                <w:sz w:val="18"/>
                <w:szCs w:val="18"/>
              </w:rPr>
            </w:pPr>
            <w:r>
              <w:rPr>
                <w:rFonts w:cs="Tahoma"/>
                <w:i/>
                <w:iCs/>
                <w:sz w:val="18"/>
                <w:szCs w:val="18"/>
              </w:rPr>
              <w:t>Outras obrigações garantidas:</w:t>
            </w:r>
          </w:p>
        </w:tc>
        <w:tc>
          <w:tcPr>
            <w:tcW w:w="3819" w:type="pct"/>
            <w:tcBorders>
              <w:top w:val="single" w:sz="6" w:space="0" w:color="auto"/>
              <w:left w:val="single" w:sz="6" w:space="0" w:color="auto"/>
              <w:bottom w:val="single" w:sz="12" w:space="0" w:color="auto"/>
              <w:right w:val="single" w:sz="12" w:space="0" w:color="auto"/>
            </w:tcBorders>
            <w:vAlign w:val="center"/>
            <w:hideMark/>
          </w:tcPr>
          <w:p w14:paraId="2BE0D82A" w14:textId="101F8563" w:rsidR="00AC5650" w:rsidRDefault="00AC5650">
            <w:pPr>
              <w:widowControl w:val="0"/>
              <w:spacing w:before="40" w:after="40" w:line="252" w:lineRule="auto"/>
              <w:rPr>
                <w:rFonts w:cs="Tahoma"/>
                <w:i/>
                <w:iCs/>
                <w:sz w:val="18"/>
                <w:szCs w:val="18"/>
              </w:rPr>
            </w:pPr>
            <w:r>
              <w:rPr>
                <w:rFonts w:cs="Tahoma"/>
                <w:i/>
                <w:iCs/>
                <w:sz w:val="18"/>
                <w:szCs w:val="18"/>
              </w:rPr>
              <w:t>Todas as obrigações, principais e/ou acessórias, assumidas pela Emissora, decorrentes ou de qualquer forma relacionadas à Emissão nos termos do “Instrumento Particular de Escritura da Primeira Emissão Privada de Debêntures, Conversíveis em Ações, em Duas Séries, com Garantia Real e com Garantia Fidejussória Adicional” celebrado entre a Emissora e o FIP-IE XP em 30 de agosto de 2019, conforme aditado.</w:t>
            </w:r>
          </w:p>
        </w:tc>
      </w:tr>
    </w:tbl>
    <w:p w14:paraId="3A9A73D1" w14:textId="77777777" w:rsidR="00496D82" w:rsidRDefault="00496D82" w:rsidP="00CD0AF5">
      <w:pPr>
        <w:pStyle w:val="Level1"/>
        <w:numPr>
          <w:ilvl w:val="0"/>
          <w:numId w:val="0"/>
        </w:numPr>
      </w:pPr>
    </w:p>
    <w:p w14:paraId="2EBB1305" w14:textId="32FC40AA" w:rsidR="00820CDF" w:rsidRPr="006B12DA" w:rsidRDefault="005A2190">
      <w:pPr>
        <w:pStyle w:val="Level1"/>
        <w:rPr>
          <w:b/>
          <w:bCs/>
          <w:i/>
          <w:iCs/>
        </w:rPr>
      </w:pPr>
      <w:r w:rsidRPr="00EA707C">
        <w:rPr>
          <w:b/>
          <w:bCs/>
        </w:rPr>
        <w:t>DISPOSIÇÕES GERAIS</w:t>
      </w:r>
    </w:p>
    <w:p w14:paraId="5F64115F" w14:textId="5FED5A04" w:rsidR="00687F68" w:rsidRPr="0084218F" w:rsidRDefault="005A2190" w:rsidP="006B12DA">
      <w:pPr>
        <w:pStyle w:val="Level2"/>
      </w:pPr>
      <w:r w:rsidRPr="00905EAF">
        <w:rPr>
          <w:rFonts w:eastAsia="Arial Unicode MS"/>
        </w:rPr>
        <w:t xml:space="preserve">Todos os termos e condições do Contrato que não tenham sido expressamente alterados por este </w:t>
      </w:r>
      <w:r>
        <w:rPr>
          <w:rFonts w:eastAsia="Arial Unicode MS"/>
        </w:rPr>
        <w:t xml:space="preserve">Segundo </w:t>
      </w:r>
      <w:r w:rsidRPr="00905EAF">
        <w:rPr>
          <w:rFonts w:eastAsia="Arial Unicode MS"/>
        </w:rPr>
        <w:t xml:space="preserve">Aditamento são neste ato ratificados e permanecem em pleno vigor e efeito. Dessa forma, o Contrato passa a vigorar conforme contrato de investimento consolidado, constante do </w:t>
      </w:r>
      <w:r w:rsidRPr="00905EAF">
        <w:rPr>
          <w:rFonts w:eastAsia="Arial Unicode MS"/>
          <w:b/>
          <w:bCs/>
        </w:rPr>
        <w:t>Anexo A</w:t>
      </w:r>
      <w:r w:rsidRPr="00905EAF">
        <w:rPr>
          <w:rFonts w:eastAsia="Arial Unicode MS"/>
        </w:rPr>
        <w:t xml:space="preserve"> </w:t>
      </w:r>
      <w:r>
        <w:rPr>
          <w:rFonts w:eastAsia="Arial Unicode MS"/>
        </w:rPr>
        <w:t xml:space="preserve">deste Segundo </w:t>
      </w:r>
      <w:r w:rsidRPr="00905EAF">
        <w:rPr>
          <w:rFonts w:eastAsia="Arial Unicode MS"/>
        </w:rPr>
        <w:t>Aditamento</w:t>
      </w:r>
      <w:r>
        <w:rPr>
          <w:rFonts w:eastAsia="Arial Unicode MS"/>
        </w:rPr>
        <w:t xml:space="preserve">. </w:t>
      </w:r>
    </w:p>
    <w:p w14:paraId="3468CB0C" w14:textId="1CB47E85" w:rsidR="00FD51F3" w:rsidRDefault="005A2190" w:rsidP="00EA707C">
      <w:pPr>
        <w:pStyle w:val="Level2"/>
        <w:rPr>
          <w:rFonts w:eastAsia="Arial Unicode MS"/>
        </w:rPr>
      </w:pPr>
      <w:r w:rsidRPr="00905EAF">
        <w:rPr>
          <w:rFonts w:eastAsia="Arial Unicode MS"/>
        </w:rPr>
        <w:t xml:space="preserve">Os termos iniciados em letras maiúsculas que não estiverem expressamente definidos neste </w:t>
      </w:r>
      <w:r>
        <w:rPr>
          <w:rFonts w:eastAsia="Arial Unicode MS"/>
        </w:rPr>
        <w:t xml:space="preserve">Segundo </w:t>
      </w:r>
      <w:r w:rsidRPr="00905EAF">
        <w:rPr>
          <w:rFonts w:eastAsia="Arial Unicode MS"/>
        </w:rPr>
        <w:t>Aditamento têm o significado a eles atribuídos no Contrato</w:t>
      </w:r>
      <w:r>
        <w:rPr>
          <w:rFonts w:eastAsia="Arial Unicode MS"/>
        </w:rPr>
        <w:t xml:space="preserve">. </w:t>
      </w:r>
    </w:p>
    <w:p w14:paraId="06389550" w14:textId="5403E01B" w:rsidR="005A2190" w:rsidRDefault="00FD51F3" w:rsidP="00EA707C">
      <w:pPr>
        <w:pStyle w:val="Level2"/>
      </w:pPr>
      <w:r w:rsidRPr="0084218F">
        <w:rPr>
          <w:color w:val="000000"/>
        </w:rPr>
        <w:t xml:space="preserve">A Alienante </w:t>
      </w:r>
      <w:r w:rsidRPr="0084218F">
        <w:t xml:space="preserve">deverá (i) protocolar este </w:t>
      </w:r>
      <w:r>
        <w:t>Segundo Aditamento</w:t>
      </w:r>
      <w:r w:rsidRPr="0084218F">
        <w:t xml:space="preserve"> para registro no Cartório de Títulos e </w:t>
      </w:r>
      <w:r w:rsidRPr="0084218F">
        <w:rPr>
          <w:color w:val="000000"/>
        </w:rPr>
        <w:t>Documentos da comarca de São Paulo</w:t>
      </w:r>
      <w:r w:rsidRPr="0084218F">
        <w:t xml:space="preserve"> no prazo de até 1 (um) Dia Útil contado de sua assinatura por todas as Partes; e (</w:t>
      </w:r>
      <w:proofErr w:type="spellStart"/>
      <w:r w:rsidRPr="0084218F">
        <w:t>ii</w:t>
      </w:r>
      <w:proofErr w:type="spellEnd"/>
      <w:r w:rsidRPr="0084218F">
        <w:t xml:space="preserve">) encaminhar aos Debenturistas uma via original deste </w:t>
      </w:r>
      <w:r>
        <w:t xml:space="preserve">Segundo Aditamento </w:t>
      </w:r>
      <w:r w:rsidRPr="0084218F">
        <w:t xml:space="preserve">devidamente registrado no Cartório de Títulos e </w:t>
      </w:r>
      <w:r w:rsidRPr="0084218F">
        <w:rPr>
          <w:color w:val="000000"/>
        </w:rPr>
        <w:t>Documentos da comarca de São Paulo</w:t>
      </w:r>
      <w:r w:rsidRPr="0084218F">
        <w:t>, no prazo de até 2</w:t>
      </w:r>
      <w:r w:rsidR="00AC5650">
        <w:t xml:space="preserve"> </w:t>
      </w:r>
      <w:r w:rsidRPr="0084218F">
        <w:t>(dois) Dias Úteis contado da data de seu registro</w:t>
      </w:r>
      <w:r>
        <w:t>.</w:t>
      </w:r>
      <w:r w:rsidR="00CD0AF5">
        <w:tab/>
      </w:r>
    </w:p>
    <w:p w14:paraId="70C62101" w14:textId="13AF0CB7" w:rsidR="00687F68" w:rsidRDefault="00672855" w:rsidP="00EA707C">
      <w:pPr>
        <w:pStyle w:val="Level2"/>
      </w:pPr>
      <w:r w:rsidRPr="0084218F">
        <w:t xml:space="preserve">Este </w:t>
      </w:r>
      <w:r w:rsidR="00564A86">
        <w:t xml:space="preserve">Segundo </w:t>
      </w:r>
      <w:r w:rsidRPr="0084218F">
        <w:t xml:space="preserve">Aditamento não implica novação, tampouco renúncia pelas Partes de qualquer de seus direitos e obrigações previstos nos contratos de que cada uma é parte, que </w:t>
      </w:r>
      <w:r w:rsidRPr="0084218F">
        <w:lastRenderedPageBreak/>
        <w:t>ficam expressamente ratificados e confirmados, permanecendo em vigor e plenamente aplicáveis todas as demais cláusulas e condições não expressamente alteradas p</w:t>
      </w:r>
      <w:r w:rsidR="00564A86">
        <w:t xml:space="preserve">or este Segundo </w:t>
      </w:r>
      <w:r w:rsidRPr="0084218F">
        <w:t>Aditamento. Todas as disposições do Contrato que não foram expressamente aditadas ou modificadas por meio d</w:t>
      </w:r>
      <w:r w:rsidR="00564A86">
        <w:t xml:space="preserve">este Segundo </w:t>
      </w:r>
      <w:r w:rsidRPr="0084218F">
        <w:t>Aditamento permanecerão em vigor de acordo com os termos do Contrato.</w:t>
      </w:r>
    </w:p>
    <w:p w14:paraId="4D53C157" w14:textId="244CE7B4" w:rsidR="00F43C58" w:rsidRPr="00F8569B" w:rsidRDefault="00F43C58" w:rsidP="00EA707C">
      <w:pPr>
        <w:pStyle w:val="Level2"/>
      </w:pPr>
      <w:r w:rsidRPr="00D011B8">
        <w:t xml:space="preserve">As Partes declaram e reconhecem que este </w:t>
      </w:r>
      <w:r w:rsidR="00564A86">
        <w:t xml:space="preserve">Segundo Aditamento </w:t>
      </w:r>
      <w:r w:rsidRPr="00D011B8">
        <w:t>(e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14:paraId="41FB810D" w14:textId="1C106B49" w:rsidR="00672855" w:rsidRPr="0084218F" w:rsidRDefault="00672855" w:rsidP="00EA707C">
      <w:pPr>
        <w:pStyle w:val="Level2"/>
      </w:pPr>
      <w:r w:rsidRPr="0084218F">
        <w:t>Este</w:t>
      </w:r>
      <w:r w:rsidR="00564A86">
        <w:t xml:space="preserve"> Segundo</w:t>
      </w:r>
      <w:r w:rsidRPr="0084218F">
        <w:t xml:space="preserve"> Aditamento é regido pela legislação brasileira.</w:t>
      </w:r>
    </w:p>
    <w:p w14:paraId="6892AAE9" w14:textId="71824672" w:rsidR="00672855" w:rsidRPr="0084218F" w:rsidRDefault="00564A86" w:rsidP="00EA707C">
      <w:pPr>
        <w:pStyle w:val="Level2"/>
      </w:pPr>
      <w:r w:rsidRPr="0084218F">
        <w:t xml:space="preserve">As Partes elegem o foro da Comarca da capital do Estado de São Paulo, com renúncia expressa de qualquer outro, por mais privilegiado, como competente para dirimir quaisquer controvérsias decorrentes deste </w:t>
      </w:r>
      <w:r>
        <w:t>Segundo Aditamento</w:t>
      </w:r>
      <w:r w:rsidR="00672855" w:rsidRPr="0084218F">
        <w:t>.</w:t>
      </w:r>
    </w:p>
    <w:p w14:paraId="51B137E9" w14:textId="2DD56D97" w:rsidR="00687F68" w:rsidRPr="0084218F" w:rsidRDefault="00672855" w:rsidP="00EA707C">
      <w:pPr>
        <w:pStyle w:val="Body"/>
      </w:pPr>
      <w:r w:rsidRPr="0084218F">
        <w:t xml:space="preserve">E por assim estarem justas e contratadas, as Partes firmam </w:t>
      </w:r>
      <w:r w:rsidR="00564A86">
        <w:t>este Segundo</w:t>
      </w:r>
      <w:r w:rsidRPr="0084218F">
        <w:t xml:space="preserve"> Aditamento </w:t>
      </w:r>
      <w:r w:rsidR="00F43C58">
        <w:rPr>
          <w:rFonts w:cs="Tahoma"/>
          <w:szCs w:val="20"/>
        </w:rPr>
        <w:t>de forma eletrônica</w:t>
      </w:r>
      <w:r w:rsidRPr="0084218F">
        <w:t>, na presença das 2 (duas) testemunhas abaixo.</w:t>
      </w:r>
    </w:p>
    <w:p w14:paraId="60F6B152" w14:textId="77777777" w:rsidR="00687F68" w:rsidRPr="0084218F" w:rsidRDefault="00687F68" w:rsidP="00EA707C">
      <w:pPr>
        <w:pStyle w:val="Body"/>
      </w:pPr>
    </w:p>
    <w:p w14:paraId="15B84511" w14:textId="39DC55E4" w:rsidR="00687F68" w:rsidRPr="0084218F" w:rsidRDefault="00672855" w:rsidP="00EA707C">
      <w:pPr>
        <w:pStyle w:val="Body"/>
        <w:jc w:val="center"/>
      </w:pPr>
      <w:r w:rsidRPr="0084218F">
        <w:t xml:space="preserve">São Paulo, </w:t>
      </w:r>
      <w:r w:rsidR="005A2190">
        <w:t>[•]</w:t>
      </w:r>
      <w:r w:rsidR="0094509B">
        <w:t xml:space="preserve"> de [•] de 2022</w:t>
      </w:r>
      <w:r w:rsidRPr="0084218F">
        <w:t>.</w:t>
      </w:r>
    </w:p>
    <w:p w14:paraId="48B963A2" w14:textId="70128810" w:rsidR="00672855" w:rsidRDefault="00672855" w:rsidP="00EA707C">
      <w:pPr>
        <w:pStyle w:val="Body"/>
        <w:jc w:val="center"/>
        <w:rPr>
          <w:i/>
        </w:rPr>
      </w:pPr>
      <w:r w:rsidRPr="0084218F">
        <w:rPr>
          <w:i/>
        </w:rPr>
        <w:t>(As assinaturas seguem nas páginas seguintes.)</w:t>
      </w:r>
    </w:p>
    <w:p w14:paraId="11FAD43D" w14:textId="77777777" w:rsidR="00883E60" w:rsidRPr="0084218F" w:rsidRDefault="00883E60" w:rsidP="00EA707C">
      <w:pPr>
        <w:pStyle w:val="Body"/>
        <w:jc w:val="center"/>
        <w:rPr>
          <w:i/>
        </w:rPr>
      </w:pPr>
    </w:p>
    <w:p w14:paraId="475B2052" w14:textId="4A4F5D6F" w:rsidR="00A9290F" w:rsidRDefault="00672855" w:rsidP="00EA707C">
      <w:pPr>
        <w:pStyle w:val="Body"/>
        <w:jc w:val="center"/>
        <w:rPr>
          <w:i/>
        </w:rPr>
      </w:pPr>
      <w:r w:rsidRPr="0084218F">
        <w:rPr>
          <w:i/>
        </w:rPr>
        <w:t>(O restante da página foi deixado intencionalmente em branco.)</w:t>
      </w:r>
    </w:p>
    <w:p w14:paraId="61C04BC1" w14:textId="77777777" w:rsidR="00A9290F" w:rsidRDefault="00A9290F">
      <w:pPr>
        <w:spacing w:after="0" w:line="240" w:lineRule="auto"/>
        <w:jc w:val="left"/>
        <w:rPr>
          <w:i/>
          <w:kern w:val="20"/>
        </w:rPr>
      </w:pPr>
      <w:r>
        <w:rPr>
          <w:i/>
        </w:rPr>
        <w:br w:type="page"/>
      </w:r>
    </w:p>
    <w:p w14:paraId="394C6533" w14:textId="2FF2F6B3" w:rsidR="00201511" w:rsidRPr="00562333" w:rsidRDefault="00201511" w:rsidP="0094509B">
      <w:pPr>
        <w:rPr>
          <w:i/>
          <w:iCs/>
        </w:rPr>
      </w:pPr>
      <w:r w:rsidRPr="00562333">
        <w:rPr>
          <w:i/>
          <w:iCs/>
        </w:rPr>
        <w:lastRenderedPageBreak/>
        <w:t xml:space="preserve">Página </w:t>
      </w:r>
      <w:r w:rsidR="001618FE" w:rsidRPr="00562333">
        <w:rPr>
          <w:i/>
          <w:iCs/>
        </w:rPr>
        <w:t xml:space="preserve">(1/5) </w:t>
      </w:r>
      <w:r w:rsidRPr="00562333">
        <w:rPr>
          <w:i/>
          <w:iCs/>
        </w:rPr>
        <w:t xml:space="preserve">de assinaturas do </w:t>
      </w:r>
      <w:r w:rsidR="00496D82">
        <w:rPr>
          <w:i/>
          <w:iCs/>
        </w:rPr>
        <w:t>Segundo</w:t>
      </w:r>
      <w:r w:rsidR="00496D82" w:rsidRPr="00562333">
        <w:rPr>
          <w:i/>
          <w:iCs/>
        </w:rPr>
        <w:t xml:space="preserve"> </w:t>
      </w:r>
      <w:r w:rsidRPr="00562333">
        <w:rPr>
          <w:i/>
          <w:iCs/>
        </w:rPr>
        <w:t>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w:t>
      </w:r>
      <w:r w:rsidR="00564A86">
        <w:rPr>
          <w:i/>
          <w:iCs/>
        </w:rPr>
        <w:t xml:space="preserve"> [•]</w:t>
      </w:r>
      <w:r w:rsidRPr="00562333">
        <w:rPr>
          <w:i/>
          <w:iCs/>
        </w:rPr>
        <w:t xml:space="preserve"> </w:t>
      </w:r>
      <w:r w:rsidR="0094509B">
        <w:rPr>
          <w:i/>
          <w:iCs/>
        </w:rPr>
        <w:t>de [•] de 2022</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3F6B032F" w:rsidR="00D94AAB" w:rsidRDefault="00D94AAB" w:rsidP="00883E60">
      <w:pPr>
        <w:pStyle w:val="Body"/>
        <w:rPr>
          <w:bCs/>
        </w:rPr>
      </w:pPr>
    </w:p>
    <w:p w14:paraId="0765F39A" w14:textId="77777777" w:rsidR="00E22CBB" w:rsidRDefault="00E22CB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482BA8DE" w:rsidR="00201511" w:rsidRPr="00562333" w:rsidRDefault="00201511" w:rsidP="00EA707C">
      <w:pPr>
        <w:pStyle w:val="Body"/>
        <w:rPr>
          <w:i/>
          <w:iCs/>
        </w:rPr>
      </w:pPr>
      <w:r w:rsidRPr="00562333">
        <w:rPr>
          <w:i/>
          <w:iCs/>
        </w:rPr>
        <w:lastRenderedPageBreak/>
        <w:t xml:space="preserve">Página </w:t>
      </w:r>
      <w:r w:rsidR="001618FE" w:rsidRPr="00562333">
        <w:rPr>
          <w:i/>
          <w:iCs/>
        </w:rPr>
        <w:t xml:space="preserve">(2/5) </w:t>
      </w:r>
      <w:r w:rsidRPr="00562333">
        <w:rPr>
          <w:i/>
          <w:iCs/>
        </w:rPr>
        <w:t xml:space="preserve">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94509B">
        <w:rPr>
          <w:i/>
          <w:iCs/>
        </w:rPr>
        <w:t xml:space="preserve"> de [•] de 2022</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14:paraId="22F103A5" w14:textId="6D3F0008" w:rsidR="00D94AAB" w:rsidRDefault="00D94AAB" w:rsidP="00562333">
      <w:pPr>
        <w:pStyle w:val="Body"/>
      </w:pPr>
    </w:p>
    <w:p w14:paraId="24F12FBD" w14:textId="77777777" w:rsidR="00E22CBB" w:rsidRDefault="00E22CB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57DBDCE7" w:rsidR="00201511" w:rsidRPr="00562333" w:rsidRDefault="00201511" w:rsidP="00EA707C">
      <w:pPr>
        <w:pStyle w:val="Body"/>
        <w:rPr>
          <w:i/>
          <w:iCs/>
        </w:rPr>
      </w:pPr>
      <w:r w:rsidRPr="00562333">
        <w:rPr>
          <w:i/>
          <w:iCs/>
        </w:rPr>
        <w:lastRenderedPageBreak/>
        <w:t>Página</w:t>
      </w:r>
      <w:r w:rsidR="001618FE" w:rsidRPr="00562333">
        <w:rPr>
          <w:i/>
          <w:iCs/>
        </w:rPr>
        <w:t xml:space="preserve"> (3/5)</w:t>
      </w:r>
      <w:r w:rsidRPr="00562333">
        <w:rPr>
          <w:i/>
          <w:iCs/>
        </w:rPr>
        <w:t xml:space="preserve"> 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94509B">
        <w:rPr>
          <w:i/>
          <w:iCs/>
        </w:rPr>
        <w:t xml:space="preserve"> de [•] de 2022</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53C130D0" w:rsidR="00201511" w:rsidRDefault="00201511" w:rsidP="00562333">
      <w:pPr>
        <w:pStyle w:val="Body"/>
      </w:pPr>
    </w:p>
    <w:p w14:paraId="357A7C85" w14:textId="77777777" w:rsidR="00E22CBB" w:rsidRPr="009B2F7B" w:rsidRDefault="00E22CBB" w:rsidP="00562333">
      <w:pPr>
        <w:pStyle w:val="Body"/>
      </w:pPr>
    </w:p>
    <w:p w14:paraId="5F212211" w14:textId="3CE22A0A" w:rsidR="00562333" w:rsidRPr="0084218F" w:rsidRDefault="00562333" w:rsidP="00562333">
      <w:pPr>
        <w:pStyle w:val="Body"/>
        <w:rPr>
          <w:bCs/>
        </w:rPr>
      </w:pPr>
      <w:r>
        <w:rPr>
          <w:bCs/>
        </w:rPr>
        <w:t>_________________________________</w:t>
      </w:r>
      <w:r>
        <w:rPr>
          <w:bCs/>
        </w:rPr>
        <w:tab/>
      </w:r>
      <w:r>
        <w:rPr>
          <w:bCs/>
        </w:rPr>
        <w:tab/>
      </w:r>
      <w:r>
        <w:rPr>
          <w:bCs/>
        </w:rPr>
        <w:br/>
        <w:t>Nome:</w:t>
      </w:r>
      <w:r>
        <w:rPr>
          <w:bCs/>
        </w:rPr>
        <w:tab/>
      </w:r>
      <w:r>
        <w:rPr>
          <w:bCs/>
        </w:rPr>
        <w:tab/>
      </w:r>
      <w:r>
        <w:rPr>
          <w:bCs/>
        </w:rPr>
        <w:tab/>
      </w:r>
      <w:r>
        <w:rPr>
          <w:bCs/>
        </w:rPr>
        <w:tab/>
      </w:r>
      <w:r>
        <w:rPr>
          <w:bCs/>
        </w:rPr>
        <w:tab/>
      </w:r>
      <w:r>
        <w:rPr>
          <w:bCs/>
        </w:rPr>
        <w:tab/>
      </w:r>
      <w:r>
        <w:rPr>
          <w:bCs/>
        </w:rPr>
        <w:tab/>
      </w:r>
      <w:r>
        <w:rPr>
          <w:bCs/>
        </w:rPr>
        <w:br/>
        <w:t>Cargo:</w:t>
      </w:r>
      <w:r>
        <w:rPr>
          <w:bCs/>
        </w:rPr>
        <w:tab/>
      </w:r>
      <w:r>
        <w:rPr>
          <w:bCs/>
        </w:rPr>
        <w:tab/>
      </w:r>
      <w:r>
        <w:rPr>
          <w:bCs/>
        </w:rPr>
        <w:tab/>
      </w:r>
      <w:r>
        <w:rPr>
          <w:bCs/>
        </w:rPr>
        <w:tab/>
      </w:r>
      <w:r>
        <w:rPr>
          <w:bCs/>
        </w:rPr>
        <w:tab/>
      </w:r>
      <w:r>
        <w:rPr>
          <w:bCs/>
        </w:rPr>
        <w:tab/>
      </w:r>
      <w:r>
        <w:rPr>
          <w:bCs/>
        </w:rPr>
        <w:tab/>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E22CBB" w:rsidRDefault="00201511" w:rsidP="00883E60">
      <w:pPr>
        <w:rPr>
          <w:rFonts w:cs="Tahoma"/>
          <w:kern w:val="20"/>
          <w:szCs w:val="20"/>
        </w:rPr>
      </w:pPr>
      <w:r w:rsidRPr="00E22CBB">
        <w:rPr>
          <w:rFonts w:cs="Tahoma"/>
          <w:szCs w:val="20"/>
        </w:rPr>
        <w:br w:type="page"/>
      </w:r>
    </w:p>
    <w:p w14:paraId="1DC75794" w14:textId="297E4738" w:rsidR="00201511" w:rsidRPr="00562333" w:rsidRDefault="00201511" w:rsidP="00EA707C">
      <w:pPr>
        <w:pStyle w:val="Body"/>
        <w:rPr>
          <w:i/>
          <w:iCs/>
        </w:rPr>
      </w:pPr>
      <w:r w:rsidRPr="00562333">
        <w:rPr>
          <w:i/>
          <w:iCs/>
        </w:rPr>
        <w:lastRenderedPageBreak/>
        <w:t>Página</w:t>
      </w:r>
      <w:r w:rsidR="001618FE" w:rsidRPr="00562333">
        <w:rPr>
          <w:i/>
          <w:iCs/>
        </w:rPr>
        <w:t xml:space="preserve"> (4/5)</w:t>
      </w:r>
      <w:r w:rsidRPr="00562333">
        <w:rPr>
          <w:i/>
          <w:iCs/>
        </w:rPr>
        <w:t xml:space="preserve"> 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94509B">
        <w:rPr>
          <w:i/>
          <w:iCs/>
        </w:rPr>
        <w:t xml:space="preserve"> de [•] de 2022</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3707D5CE" w:rsidR="00201511" w:rsidRDefault="00201511" w:rsidP="00562333">
      <w:pPr>
        <w:pStyle w:val="Body"/>
        <w:rPr>
          <w:lang w:val="en-US"/>
        </w:rPr>
      </w:pPr>
    </w:p>
    <w:p w14:paraId="42A2115C" w14:textId="77777777" w:rsidR="00E22CBB" w:rsidRDefault="00E22CBB"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E22CBB" w:rsidRDefault="00562333" w:rsidP="00562333">
      <w:pPr>
        <w:pStyle w:val="Body"/>
      </w:pPr>
    </w:p>
    <w:p w14:paraId="26F219A3" w14:textId="77777777" w:rsidR="00201511" w:rsidRPr="00E22CBB" w:rsidRDefault="00201511" w:rsidP="00562333">
      <w:pPr>
        <w:pStyle w:val="Body"/>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3B869358" w:rsidR="00201511" w:rsidRPr="00562333" w:rsidRDefault="00201511" w:rsidP="00EA707C">
      <w:pPr>
        <w:pStyle w:val="Body"/>
        <w:rPr>
          <w:i/>
          <w:iCs/>
        </w:rPr>
      </w:pPr>
      <w:r w:rsidRPr="00562333">
        <w:rPr>
          <w:i/>
          <w:iCs/>
        </w:rPr>
        <w:lastRenderedPageBreak/>
        <w:t xml:space="preserve">Página </w:t>
      </w:r>
      <w:r w:rsidR="001618FE" w:rsidRPr="00562333">
        <w:rPr>
          <w:i/>
          <w:iCs/>
        </w:rPr>
        <w:t xml:space="preserve">(5/5) </w:t>
      </w:r>
      <w:r w:rsidRPr="00562333">
        <w:rPr>
          <w:i/>
          <w:iCs/>
        </w:rPr>
        <w:t xml:space="preserve">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94509B">
        <w:rPr>
          <w:i/>
          <w:iCs/>
        </w:rPr>
        <w:t xml:space="preserve"> de [•] de 2022</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5E80C1E0" w:rsidR="00562333" w:rsidRDefault="00562333" w:rsidP="00562333">
      <w:pPr>
        <w:pStyle w:val="Body"/>
        <w:rPr>
          <w:bCs/>
        </w:rPr>
      </w:pPr>
    </w:p>
    <w:p w14:paraId="0C9A84D9" w14:textId="77777777" w:rsidR="00E22CBB" w:rsidRDefault="00E22CBB" w:rsidP="00562333">
      <w:pPr>
        <w:pStyle w:val="Body"/>
        <w:rPr>
          <w:bCs/>
        </w:rPr>
      </w:pPr>
    </w:p>
    <w:p w14:paraId="299B021E" w14:textId="6DF9A2E7" w:rsidR="00562333"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CEB57D4" w14:textId="77777777" w:rsidR="00EA707C" w:rsidRPr="0084218F" w:rsidRDefault="00EA707C" w:rsidP="00562333">
      <w:pPr>
        <w:pStyle w:val="Body"/>
      </w:pPr>
    </w:p>
    <w:p w14:paraId="22DCDA98" w14:textId="77777777" w:rsidR="00EA707C" w:rsidRDefault="00EA707C">
      <w:pPr>
        <w:spacing w:after="0" w:line="240" w:lineRule="auto"/>
        <w:jc w:val="left"/>
        <w:rPr>
          <w:b/>
          <w:kern w:val="23"/>
          <w:sz w:val="22"/>
        </w:rPr>
      </w:pPr>
      <w:r>
        <w:br w:type="page"/>
      </w:r>
    </w:p>
    <w:p w14:paraId="17BD61E4" w14:textId="77777777" w:rsidR="006B12DA" w:rsidRDefault="00D94AAB" w:rsidP="006B12DA">
      <w:pPr>
        <w:pStyle w:val="TtuloAnexo"/>
        <w:pageBreakBefore w:val="0"/>
      </w:pPr>
      <w:r w:rsidRPr="0084218F">
        <w:lastRenderedPageBreak/>
        <w:t>ANEXO A</w:t>
      </w:r>
      <w:bookmarkStart w:id="19" w:name="_Hlk527409088"/>
    </w:p>
    <w:p w14:paraId="00034294" w14:textId="3EAD41AD" w:rsidR="00201511" w:rsidRPr="0084218F" w:rsidRDefault="00201511" w:rsidP="006B12DA">
      <w:pPr>
        <w:pStyle w:val="TtuloAnexo"/>
        <w:pageBreakBefore w:val="0"/>
      </w:pPr>
      <w:r w:rsidRPr="0084218F">
        <w:t xml:space="preserve">CONTRATO DE ALIENAÇÃO FIDUCIÁRIA DE AÇÕES E OUTRAS AVENÇAS </w:t>
      </w:r>
    </w:p>
    <w:p w14:paraId="3A8C6996" w14:textId="77777777" w:rsidR="00C80414" w:rsidRDefault="00C80414" w:rsidP="00C80414">
      <w:pPr>
        <w:pStyle w:val="Body"/>
      </w:pPr>
      <w:bookmarkStart w:id="20" w:name="_DV_M1"/>
      <w:bookmarkEnd w:id="20"/>
    </w:p>
    <w:p w14:paraId="3ED7A041" w14:textId="016FB33F" w:rsidR="001618FE" w:rsidRPr="0084218F" w:rsidRDefault="00201511" w:rsidP="00C80414">
      <w:pPr>
        <w:pStyle w:val="Body"/>
      </w:pPr>
      <w:r w:rsidRPr="0084218F">
        <w:t xml:space="preserve">Pelo presente </w:t>
      </w:r>
      <w:r w:rsidR="0094509B">
        <w:rPr>
          <w:color w:val="000000"/>
        </w:rPr>
        <w:t>i</w:t>
      </w:r>
      <w:r w:rsidRPr="0084218F">
        <w:rPr>
          <w:color w:val="000000"/>
        </w:rPr>
        <w:t xml:space="preserve">nstrumento </w:t>
      </w:r>
      <w:r w:rsidR="0094509B">
        <w:rPr>
          <w:color w:val="000000"/>
        </w:rPr>
        <w:t>p</w:t>
      </w:r>
      <w:r w:rsidRPr="0084218F">
        <w:rPr>
          <w:color w:val="000000"/>
        </w:rPr>
        <w:t>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53C3BB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 xml:space="preserve">filial na Cidade de São Paulo, Estado de São Paulo, na Rua Joaquim Floriano, nº 466, Bloco B, </w:t>
      </w:r>
      <w:proofErr w:type="gramStart"/>
      <w:r w:rsidRPr="0084218F">
        <w:t>Conjunto</w:t>
      </w:r>
      <w:proofErr w:type="gramEnd"/>
      <w:r w:rsidRPr="0084218F">
        <w:t xml:space="preserve">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21"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21"/>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4C9744CE" w:rsidR="009841BB" w:rsidRPr="0084218F" w:rsidRDefault="009841BB" w:rsidP="00C80414">
      <w:pPr>
        <w:pStyle w:val="Recitals"/>
        <w:numPr>
          <w:ilvl w:val="0"/>
          <w:numId w:val="215"/>
        </w:numPr>
      </w:pPr>
      <w:bookmarkStart w:id="22"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celebraram o “</w:t>
      </w:r>
      <w:r w:rsidRPr="006B12DA">
        <w:rPr>
          <w:i/>
          <w:iCs/>
        </w:rPr>
        <w:t xml:space="preserve">Instrumento Particular de Escritura da Primeira Emissão Privada de Debêntures Conversíveis em Ações, em </w:t>
      </w:r>
      <w:r w:rsidR="00DD3D06">
        <w:rPr>
          <w:i/>
          <w:iCs/>
        </w:rPr>
        <w:t>Duas Séries</w:t>
      </w:r>
      <w:r w:rsidRPr="006B12DA">
        <w:rPr>
          <w:i/>
          <w:iCs/>
        </w:rPr>
        <w:t xml:space="preserve">, com Garantia Real e com Garantia Fidejussória Adicional, da </w:t>
      </w:r>
      <w:r w:rsidR="003212B1" w:rsidRPr="006B12DA">
        <w:rPr>
          <w:i/>
          <w:iCs/>
        </w:rPr>
        <w:t xml:space="preserve">LC Energia Holding S.A. (antiga </w:t>
      </w:r>
      <w:r w:rsidRPr="006B12DA">
        <w:rPr>
          <w:i/>
          <w:iCs/>
        </w:rPr>
        <w:t>Lyon Energia Holding S.A.</w:t>
      </w:r>
      <w:r w:rsidR="003212B1" w:rsidRPr="006B12DA">
        <w:rPr>
          <w:i/>
          <w:iCs/>
        </w:rPr>
        <w:t>)</w:t>
      </w:r>
      <w:r w:rsidR="00DD3D06">
        <w:t>, conforme aditado</w:t>
      </w:r>
      <w:r w:rsidRPr="0084218F">
        <w:t>”</w:t>
      </w:r>
      <w:r w:rsidRPr="0084218F" w:rsidDel="001D46E2">
        <w:t xml:space="preserve"> </w:t>
      </w:r>
      <w:r w:rsidRPr="0084218F">
        <w:t>(“</w:t>
      </w:r>
      <w:r w:rsidRPr="00C80414">
        <w:rPr>
          <w:b/>
        </w:rPr>
        <w:t>Escritura da 1ª Emissão</w:t>
      </w:r>
      <w:r w:rsidRPr="0084218F">
        <w:t xml:space="preserve">”), por meio do qual foram estabelecidos os termos e condições da 1ª (primeira) emissão privada de debêntures conversíveis em ações, da espécie com garantia real e garantia fidejussória adicional, em </w:t>
      </w:r>
      <w:r w:rsidR="0094509B">
        <w:t>duas séries</w:t>
      </w:r>
      <w:r w:rsidRPr="0084218F">
        <w:t xml:space="preserve">, todas nominativas, com valor nominal unitário de R$ 100.000,00 (cem mil reais) na </w:t>
      </w:r>
      <w:r w:rsidRPr="0084218F">
        <w:lastRenderedPageBreak/>
        <w:t>data de sua emissão (“</w:t>
      </w:r>
      <w:r w:rsidRPr="00C80414">
        <w:rPr>
          <w:b/>
        </w:rPr>
        <w:t>Debêntures da 1ª Emissão</w:t>
      </w:r>
      <w:r w:rsidRPr="0084218F">
        <w:t xml:space="preserve">”), no montante total de R$ </w:t>
      </w:r>
      <w:r w:rsidR="00DD3D06">
        <w:t>[R$110.300.000,00 (cento e dez milhões e trezentos mil reais)]</w:t>
      </w:r>
      <w:r w:rsidRPr="0084218F">
        <w:t xml:space="preserve">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5BE46E96" w:rsidR="008E07B6" w:rsidRPr="0084218F" w:rsidRDefault="00DD3D06" w:rsidP="00C80414">
      <w:pPr>
        <w:pStyle w:val="Recitals"/>
      </w:pPr>
      <w:r>
        <w:rPr>
          <w:rFonts w:cs="Tahoma"/>
          <w:szCs w:val="20"/>
        </w:rPr>
        <w:t>em 26 de abril de 2021, conforme a 1ª alteração do contrato social da LC Linhas, foi aprovado o aumento do capital social da LC Linhas, no qual o Lyon Capital I, enquanto único sócio da LC Linhas, utilizou as ações de emissão da LC Energia, de sua titularidade e que representam 100% do capital social da LC Energia, como forma de pagamento pela integralização do aumento de capital, tornando a LC Linhas a única detentora da integralidade das ações de emissão da LC Energia</w:t>
      </w:r>
      <w:r w:rsidR="008E07B6" w:rsidRPr="0084218F">
        <w:t>;</w:t>
      </w:r>
    </w:p>
    <w:p w14:paraId="52D54891" w14:textId="48459F97" w:rsidR="009841BB" w:rsidRPr="0084218F" w:rsidRDefault="009841BB" w:rsidP="00C80414">
      <w:pPr>
        <w:pStyle w:val="Recitals"/>
        <w:rPr>
          <w:rFonts w:eastAsia="MS Mincho"/>
        </w:rPr>
      </w:pPr>
      <w:r w:rsidRPr="0084218F">
        <w:rPr>
          <w:rFonts w:eastAsia="MS Mincho"/>
        </w:rPr>
        <w:t xml:space="preserve">em </w:t>
      </w:r>
      <w:r w:rsidR="0009561B">
        <w:rPr>
          <w:rFonts w:eastAsia="MS Mincho"/>
        </w:rPr>
        <w:t>02</w:t>
      </w:r>
      <w:r w:rsidRPr="0084218F">
        <w:rPr>
          <w:rFonts w:eastAsia="MS Mincho"/>
        </w:rPr>
        <w:t xml:space="preserve"> de </w:t>
      </w:r>
      <w:r w:rsidR="0009561B">
        <w:rPr>
          <w:rFonts w:eastAsia="MS Mincho"/>
        </w:rPr>
        <w:t>agosto</w:t>
      </w:r>
      <w:r w:rsidRPr="0084218F">
        <w:rPr>
          <w:rFonts w:eastAsia="MS Mincho"/>
        </w:rPr>
        <w:t xml:space="preserve">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3"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3"/>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celebraram o “</w:t>
      </w:r>
      <w:r w:rsidRPr="00A9290F">
        <w:rPr>
          <w:rFonts w:eastAsia="MS Mincho"/>
          <w:i/>
          <w:iCs/>
        </w:rPr>
        <w:t xml:space="preserve">Instrumento Particular de Escritura da 2ª (Segunda) Emissão de Debêntures Simples, Não Conversíveis em Ações, em </w:t>
      </w:r>
      <w:r w:rsidR="001618FE" w:rsidRPr="00A9290F">
        <w:rPr>
          <w:rFonts w:eastAsia="MS Mincho"/>
          <w:i/>
          <w:iCs/>
        </w:rPr>
        <w:t xml:space="preserve">Até Três </w:t>
      </w:r>
      <w:r w:rsidRPr="00A9290F">
        <w:rPr>
          <w:rFonts w:eastAsia="MS Mincho"/>
          <w:i/>
          <w:iCs/>
        </w:rPr>
        <w:t>Série</w:t>
      </w:r>
      <w:r w:rsidR="001618FE" w:rsidRPr="00A9290F">
        <w:rPr>
          <w:rFonts w:eastAsia="MS Mincho"/>
          <w:i/>
          <w:iCs/>
        </w:rPr>
        <w:t>s</w:t>
      </w:r>
      <w:r w:rsidRPr="00A9290F">
        <w:rPr>
          <w:rFonts w:eastAsia="MS Mincho"/>
          <w:i/>
          <w:iCs/>
        </w:rPr>
        <w:t>, da Espécie com Garantia Real e Garantia Adicional Fidejussória, para Distribuição Pública com Esforços Restritos, da LC Energia Holding S.A</w:t>
      </w:r>
      <w:r w:rsidRPr="0084218F">
        <w:rPr>
          <w:rFonts w:eastAsia="MS Mincho"/>
        </w:rPr>
        <w:t>.</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14:paraId="5B4DD2FE" w14:textId="0763D360"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xml:space="preserve">” e, </w:t>
      </w:r>
      <w:r w:rsidRPr="0084218F">
        <w:lastRenderedPageBreak/>
        <w:t>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1BB0AEF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4509B">
        <w:t>.</w:t>
      </w:r>
    </w:p>
    <w:bookmarkEnd w:id="22"/>
    <w:p w14:paraId="29D9DCAB" w14:textId="66F35A13"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5392B282"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14:paraId="19A9A157"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C80414">
      <w:pPr>
        <w:pStyle w:val="Body2"/>
        <w:rPr>
          <w:rFonts w:cs="Tahoma"/>
          <w:szCs w:val="20"/>
        </w:rPr>
      </w:pPr>
      <w:bookmarkStart w:id="24" w:name="_DV_M48"/>
      <w:bookmarkStart w:id="25" w:name="_DV_M49"/>
      <w:bookmarkStart w:id="26" w:name="_DV_M50"/>
      <w:bookmarkStart w:id="27" w:name="_Hlk888582"/>
      <w:bookmarkEnd w:id="24"/>
      <w:bookmarkEnd w:id="25"/>
      <w:bookmarkEnd w:id="26"/>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79A0FBCD"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7"/>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w:t>
      </w:r>
      <w:r w:rsidRPr="0084218F">
        <w:rPr>
          <w:rFonts w:cs="Tahoma"/>
          <w:szCs w:val="20"/>
        </w:rPr>
        <w:lastRenderedPageBreak/>
        <w:t>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1DE84F76"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28" w:name="_DV_M56"/>
      <w:bookmarkEnd w:id="28"/>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29"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30" w:name="_DV_M35"/>
      <w:bookmarkEnd w:id="30"/>
    </w:p>
    <w:bookmarkEnd w:id="29"/>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64351032"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w:t>
      </w:r>
      <w:r w:rsidRPr="0084218F">
        <w:lastRenderedPageBreak/>
        <w:t>propriedade fiduciária, o domínio resolúvel e a posse indireta dos direitos sobre os seguintes ativos (“</w:t>
      </w:r>
      <w:r w:rsidRPr="0084218F">
        <w:rPr>
          <w:b/>
          <w:bCs/>
        </w:rPr>
        <w:t>Alienação Fiduciária</w:t>
      </w:r>
      <w:r w:rsidRPr="0084218F">
        <w:t>”): (a) as Ações Alienadas; (b) os Outros Direitos; (c) os Direitos Econômicos;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6F5CDE6A" w:rsidR="006B18A9" w:rsidRPr="0084218F" w:rsidRDefault="00811A77"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com base </w:t>
      </w:r>
      <w:r>
        <w:t xml:space="preserve">no seu valor nominal, as quais representam </w:t>
      </w:r>
      <w:r w:rsidR="001B4D18">
        <w:t>9,70</w:t>
      </w:r>
      <w:r>
        <w:t>% (</w:t>
      </w:r>
      <w:r w:rsidR="001B4D18">
        <w:t>nove inteiros e setenta centésimos por cento</w:t>
      </w:r>
      <w:r>
        <w:t>) do valor total das Debêntures da 1ª Emissão e 7,04% (sete inteiros e quatro centésimos por cento) do valor total das Debêntures da 2ª Emissão</w:t>
      </w:r>
      <w:r w:rsidR="006B18A9">
        <w:t>.</w:t>
      </w:r>
      <w:r w:rsidR="00315DEE">
        <w:t xml:space="preserve"> </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492F9EFC" w:rsidR="00201511" w:rsidRPr="0084218F" w:rsidRDefault="00201511" w:rsidP="00C80414">
      <w:pPr>
        <w:pStyle w:val="Level3"/>
        <w:rPr>
          <w:color w:val="000000"/>
        </w:rPr>
      </w:pPr>
      <w:bookmarkStart w:id="31" w:name="_Hlk71570579"/>
      <w:r w:rsidRPr="0084218F">
        <w:t xml:space="preserve">Para os fins do disposto na Cláusula 2.3, </w:t>
      </w:r>
      <w:r w:rsidR="0030584D" w:rsidRPr="0084218F">
        <w:t>a Alienante</w:t>
      </w:r>
      <w:r w:rsidRPr="0084218F">
        <w:t>, no prazo de 5 (cinco</w:t>
      </w:r>
      <w:r w:rsidR="00C4217D">
        <w:t>/quinze</w:t>
      </w:r>
      <w:r w:rsidRPr="0084218F">
        <w:t>)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w:t>
      </w:r>
    </w:p>
    <w:p w14:paraId="7AAC3DE6" w14:textId="6D33ED51" w:rsidR="00201511" w:rsidRPr="0084218F" w:rsidRDefault="0030584D" w:rsidP="00C80414">
      <w:pPr>
        <w:pStyle w:val="Level2"/>
        <w:rPr>
          <w:color w:val="000000"/>
        </w:rPr>
      </w:pPr>
      <w:bookmarkStart w:id="32" w:name="_Hlk71570693"/>
      <w:bookmarkEnd w:id="31"/>
      <w:r w:rsidRPr="0084218F">
        <w:rPr>
          <w:w w:val="0"/>
        </w:rPr>
        <w:lastRenderedPageBreak/>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2"/>
    </w:p>
    <w:p w14:paraId="0379AE43" w14:textId="5E94AADB" w:rsidR="00201511" w:rsidRPr="0084218F" w:rsidRDefault="00201511" w:rsidP="00C80414">
      <w:pPr>
        <w:pStyle w:val="Level2"/>
      </w:pPr>
      <w:bookmarkStart w:id="33" w:name="_Hlk1501793"/>
      <w:bookmarkStart w:id="34" w:name="_Hlk1501577"/>
      <w:bookmarkStart w:id="35" w:name="_Hlk1508186"/>
      <w:r w:rsidRPr="0084218F">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3"/>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t>s</w:t>
      </w:r>
      <w:r w:rsidRPr="0084218F">
        <w:t xml:space="preserve"> </w:t>
      </w:r>
      <w:bookmarkEnd w:id="34"/>
      <w:r w:rsidR="00023874" w:rsidRPr="0084218F">
        <w:t>Debenturistas</w:t>
      </w:r>
      <w:r w:rsidRPr="0084218F">
        <w:t>.</w:t>
      </w:r>
      <w:bookmarkStart w:id="36" w:name="_DV_M137"/>
      <w:bookmarkStart w:id="37" w:name="_DV_M143"/>
      <w:bookmarkStart w:id="38" w:name="_DV_M152"/>
      <w:bookmarkStart w:id="39" w:name="_DV_M156"/>
      <w:bookmarkStart w:id="40" w:name="_DV_M158"/>
      <w:bookmarkStart w:id="41" w:name="_DV_M161"/>
      <w:bookmarkStart w:id="42" w:name="_DV_M164"/>
      <w:bookmarkStart w:id="43" w:name="_DV_M166"/>
      <w:bookmarkStart w:id="44" w:name="_DV_M167"/>
      <w:bookmarkStart w:id="45" w:name="_DV_M173"/>
      <w:bookmarkStart w:id="46" w:name="_DV_M174"/>
      <w:bookmarkStart w:id="47" w:name="_DV_M176"/>
      <w:bookmarkEnd w:id="36"/>
      <w:bookmarkEnd w:id="37"/>
      <w:bookmarkEnd w:id="38"/>
      <w:bookmarkEnd w:id="39"/>
      <w:bookmarkEnd w:id="40"/>
      <w:bookmarkEnd w:id="41"/>
      <w:bookmarkEnd w:id="42"/>
      <w:bookmarkEnd w:id="43"/>
      <w:bookmarkEnd w:id="44"/>
      <w:bookmarkEnd w:id="45"/>
      <w:bookmarkEnd w:id="46"/>
      <w:bookmarkEnd w:id="47"/>
    </w:p>
    <w:bookmarkEnd w:id="35"/>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2FEAAE8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1 (um) Dia Útil</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no prazo de até 2(dois) Dias Úteis contado da data de seu registro.</w:t>
      </w:r>
    </w:p>
    <w:p w14:paraId="79776516" w14:textId="70D71868"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2 (dois) Dias Úteis da celebração deste Contrato, devendo </w:t>
      </w:r>
      <w:r w:rsidRPr="0084218F">
        <w:t>a Alienante</w:t>
      </w:r>
      <w:r w:rsidR="00201511" w:rsidRPr="0084218F">
        <w:t xml:space="preserve">, no prazo de 1 (um) Dia Útil contado da data de tal averbação, apresentar </w:t>
      </w:r>
      <w:r w:rsidR="00201511" w:rsidRPr="0084218F">
        <w:lastRenderedPageBreak/>
        <w:t>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8" w:name="_Hlk71579214"/>
      <w:r w:rsidR="00201511" w:rsidRPr="0084218F">
        <w:t>Referida averbação deverá refletir a seguinte redação:</w:t>
      </w:r>
      <w:r w:rsidR="00C4217D">
        <w:t xml:space="preserve"> </w:t>
      </w:r>
    </w:p>
    <w:bookmarkEnd w:id="48"/>
    <w:p w14:paraId="40C8A7BC" w14:textId="1320A743"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w:t>
      </w:r>
      <w:r w:rsidRPr="0009561B">
        <w:rPr>
          <w:rFonts w:cs="Tahoma"/>
          <w:i/>
          <w:iCs/>
          <w:szCs w:val="20"/>
        </w:rPr>
        <w:t xml:space="preserve">em </w:t>
      </w:r>
      <w:r w:rsidR="0009561B" w:rsidRPr="0009561B">
        <w:rPr>
          <w:rFonts w:cs="Tahoma"/>
          <w:i/>
          <w:iCs/>
          <w:szCs w:val="20"/>
        </w:rPr>
        <w:t>02</w:t>
      </w:r>
      <w:r w:rsidRPr="0009561B">
        <w:rPr>
          <w:rFonts w:cs="Tahoma"/>
          <w:i/>
          <w:iCs/>
          <w:szCs w:val="20"/>
        </w:rPr>
        <w:t xml:space="preserve"> de </w:t>
      </w:r>
      <w:r w:rsidR="0009561B" w:rsidRPr="0009561B">
        <w:rPr>
          <w:rFonts w:cs="Tahoma"/>
          <w:i/>
          <w:iCs/>
          <w:szCs w:val="20"/>
        </w:rPr>
        <w:t>agosto</w:t>
      </w:r>
      <w:r w:rsidRPr="0009561B">
        <w:rPr>
          <w:rFonts w:cs="Tahoma"/>
          <w:i/>
          <w:iCs/>
          <w:szCs w:val="20"/>
        </w:rPr>
        <w:t xml:space="preserve">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6B12DA">
        <w:rPr>
          <w:rFonts w:cs="Tahoma"/>
          <w:i/>
          <w:iCs/>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49" w:name="_DV_M279"/>
      <w:bookmarkStart w:id="50" w:name="_DV_M281"/>
      <w:bookmarkEnd w:id="49"/>
      <w:bookmarkEnd w:id="50"/>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lastRenderedPageBreak/>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51" w:name="_DV_M234"/>
      <w:bookmarkEnd w:id="51"/>
      <w:r w:rsidRPr="00C80414">
        <w:rPr>
          <w:b/>
          <w:bCs/>
        </w:rPr>
        <w:t xml:space="preserve"> DA GARANTIA</w:t>
      </w:r>
    </w:p>
    <w:p w14:paraId="52997C69" w14:textId="59E47E25" w:rsidR="00E569E2" w:rsidRPr="0084218F" w:rsidRDefault="00201511" w:rsidP="00C80414">
      <w:pPr>
        <w:pStyle w:val="Level2"/>
      </w:pPr>
      <w:bookmarkStart w:id="52" w:name="_DV_M235"/>
      <w:bookmarkStart w:id="53" w:name="_DV_M236"/>
      <w:bookmarkStart w:id="54" w:name="_Ref310605679"/>
      <w:bookmarkEnd w:id="52"/>
      <w:bookmarkEnd w:id="53"/>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6AD52FAF"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14:paraId="35FCF1F2" w14:textId="2D4F1391"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 xml:space="preserve">Sem prejuízo do disposto na Cláusula 5.8 e dos demais direitos que lhe conferirem os Documentos da Operação, a legislação pertinente, </w:t>
      </w:r>
      <w:proofErr w:type="gramStart"/>
      <w:r w:rsidRPr="0084218F">
        <w:t>incluindo</w:t>
      </w:r>
      <w:proofErr w:type="gramEnd"/>
      <w:r w:rsidRPr="0084218F">
        <w:t xml:space="preserve"> mas não se limitando as normas </w:t>
      </w:r>
      <w:r w:rsidRPr="0084218F">
        <w:lastRenderedPageBreak/>
        <w:t>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lastRenderedPageBreak/>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1CB66C76"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55" w:name="_DV_M160"/>
      <w:bookmarkEnd w:id="55"/>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lastRenderedPageBreak/>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56" w:name="_DV_M233"/>
      <w:bookmarkEnd w:id="54"/>
      <w:bookmarkEnd w:id="56"/>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57"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7"/>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lastRenderedPageBreak/>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7C387CEA" w:rsidR="00201511" w:rsidRPr="0084218F" w:rsidRDefault="00201511" w:rsidP="00C80414">
      <w:pPr>
        <w:pStyle w:val="alpha3"/>
      </w:pPr>
      <w:r w:rsidRPr="0084218F">
        <w:t>informar, em até 2 (dois)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r w:rsidRPr="0084218F">
        <w:rPr>
          <w:i/>
        </w:rPr>
        <w:t xml:space="preserve">drag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 xml:space="preserve">prontamente celebrar todos os aditamentos, bem como promover e fazer com que sejam efetuados todos os registros, arquivamentos e averbações necessários </w:t>
      </w:r>
      <w:r w:rsidRPr="0084218F">
        <w:lastRenderedPageBreak/>
        <w:t>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Alienados Fiduciariamente, desde que estejam dentro da legislação aplicável, </w:t>
      </w:r>
      <w:proofErr w:type="gramStart"/>
      <w:r w:rsidRPr="0084218F">
        <w:t>incluindo</w:t>
      </w:r>
      <w:proofErr w:type="gramEnd"/>
      <w:r w:rsidRPr="0084218F">
        <w:t xml:space="preserve">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58" w:name="_DV_M267"/>
      <w:bookmarkStart w:id="59" w:name="_DV_M277"/>
      <w:bookmarkStart w:id="60" w:name="_DV_M278"/>
      <w:bookmarkEnd w:id="58"/>
      <w:bookmarkEnd w:id="59"/>
      <w:bookmarkEnd w:id="60"/>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61" w:name="_DV_M231"/>
      <w:bookmarkEnd w:id="61"/>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2"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3" w:name="_DV_M146"/>
      <w:bookmarkEnd w:id="63"/>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lastRenderedPageBreak/>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4" w:name="WCTOCLevel2Mark48in19Q02"/>
      <w:bookmarkEnd w:id="62"/>
    </w:p>
    <w:bookmarkEnd w:id="64"/>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lastRenderedPageBreak/>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14:paraId="59A860FE" w14:textId="7870C780"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lastRenderedPageBreak/>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65" w:name="_DV_M154"/>
      <w:bookmarkStart w:id="66" w:name="_DV_M163"/>
      <w:bookmarkEnd w:id="65"/>
      <w:bookmarkEnd w:id="66"/>
      <w:r w:rsidRPr="00C80414">
        <w:rPr>
          <w:b/>
          <w:bCs/>
        </w:rPr>
        <w:t>VIGÊNCIA, TÉRMINO, QUITAÇÃO E LIBERAÇÃO</w:t>
      </w:r>
    </w:p>
    <w:p w14:paraId="7073EDB5" w14:textId="77777777" w:rsidR="00201511" w:rsidRPr="0084218F" w:rsidRDefault="00201511" w:rsidP="00C80414">
      <w:pPr>
        <w:pStyle w:val="Level2"/>
        <w:rPr>
          <w:w w:val="0"/>
        </w:rPr>
      </w:pPr>
      <w:bookmarkStart w:id="67" w:name="_DV_M195"/>
      <w:bookmarkStart w:id="68" w:name="_DV_M199"/>
      <w:bookmarkStart w:id="69" w:name="_DV_M207"/>
      <w:bookmarkStart w:id="70" w:name="_DV_M209"/>
      <w:bookmarkStart w:id="71" w:name="_Toc132459983"/>
      <w:bookmarkStart w:id="72" w:name="_Toc132460186"/>
      <w:bookmarkStart w:id="73" w:name="_Toc132463161"/>
      <w:bookmarkStart w:id="74" w:name="_Toc132464003"/>
      <w:bookmarkStart w:id="75" w:name="_Toc132689020"/>
      <w:bookmarkStart w:id="76" w:name="_Toc132689158"/>
      <w:bookmarkStart w:id="77" w:name="_Toc132709334"/>
      <w:bookmarkStart w:id="78" w:name="_Toc132715069"/>
      <w:bookmarkStart w:id="79" w:name="_Toc133231791"/>
      <w:bookmarkStart w:id="80" w:name="_Toc133243656"/>
      <w:bookmarkEnd w:id="67"/>
      <w:bookmarkEnd w:id="68"/>
      <w:bookmarkEnd w:id="69"/>
      <w:bookmarkEnd w:id="70"/>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81" w:name="_Toc132463163"/>
      <w:bookmarkStart w:id="82" w:name="_Toc132464005"/>
      <w:bookmarkStart w:id="83" w:name="_Toc132715071"/>
      <w:bookmarkStart w:id="84" w:name="_Toc133242974"/>
      <w:bookmarkStart w:id="85" w:name="_Toc133243246"/>
      <w:bookmarkStart w:id="86" w:name="_Toc133243658"/>
      <w:bookmarkEnd w:id="71"/>
      <w:bookmarkEnd w:id="72"/>
      <w:bookmarkEnd w:id="73"/>
      <w:bookmarkEnd w:id="74"/>
      <w:bookmarkEnd w:id="75"/>
      <w:bookmarkEnd w:id="76"/>
      <w:bookmarkEnd w:id="77"/>
      <w:bookmarkEnd w:id="78"/>
      <w:bookmarkEnd w:id="79"/>
      <w:bookmarkEnd w:id="80"/>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6BD8074"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7" w:name="_DV_M184"/>
      <w:r w:rsidR="001A170E" w:rsidRPr="00C80414">
        <w:rPr>
          <w:rStyle w:val="Hyperlink"/>
          <w:rFonts w:cs="Tahoma"/>
        </w:rPr>
        <w:t xml:space="preserve"> </w:t>
      </w:r>
    </w:p>
    <w:p w14:paraId="53CA312D" w14:textId="0F933FE4"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8" w:name="_DV_M190"/>
      <w:bookmarkEnd w:id="87"/>
      <w:bookmarkEnd w:id="88"/>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69D3EE4" w14:textId="77777777"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14:paraId="65039284" w14:textId="1EE71D79"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p>
    <w:p w14:paraId="1D4B4BDF" w14:textId="22838DC4" w:rsidR="001A170E" w:rsidRDefault="001A170E" w:rsidP="00C80414">
      <w:pPr>
        <w:pStyle w:val="alpha3"/>
        <w:keepNext/>
        <w:rPr>
          <w:rStyle w:val="Hyperlink"/>
          <w:rFonts w:cs="Tahoma"/>
        </w:rPr>
      </w:pPr>
      <w:r w:rsidRPr="0084218F">
        <w:rPr>
          <w:rFonts w:eastAsia="Arial Unicode MS"/>
        </w:rPr>
        <w:lastRenderedPageBreak/>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81"/>
    <w:bookmarkEnd w:id="82"/>
    <w:bookmarkEnd w:id="83"/>
    <w:bookmarkEnd w:id="84"/>
    <w:bookmarkEnd w:id="85"/>
    <w:bookmarkEnd w:id="86"/>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lastRenderedPageBreak/>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t>* * *</w:t>
      </w:r>
    </w:p>
    <w:p w14:paraId="3056AF4E" w14:textId="77777777" w:rsidR="00201511" w:rsidRPr="0084218F" w:rsidRDefault="00201511" w:rsidP="00C80414">
      <w:pPr>
        <w:pStyle w:val="TtuloAnexo"/>
      </w:pPr>
      <w:r w:rsidRPr="0084218F">
        <w:lastRenderedPageBreak/>
        <w:t>ANEXO I</w:t>
      </w:r>
    </w:p>
    <w:p w14:paraId="1AFB81B0" w14:textId="6D9EFC75" w:rsidR="00201511" w:rsidRDefault="00201511" w:rsidP="00CC6A8A">
      <w:pPr>
        <w:pStyle w:val="SubTtulo0"/>
        <w:jc w:val="center"/>
      </w:pPr>
      <w:r w:rsidRPr="0084218F">
        <w:t>DESCRIÇÃO DAS OBRIGAÇÕES GARANTIDAS</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941"/>
      </w:tblGrid>
      <w:tr w:rsidR="00427CB6" w14:paraId="47663EA7" w14:textId="77777777" w:rsidTr="00427CB6">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C30CE47" w14:textId="0B00EA75" w:rsidR="00427CB6" w:rsidRDefault="00427CB6">
            <w:pPr>
              <w:widowControl w:val="0"/>
              <w:spacing w:before="40" w:after="40" w:line="252" w:lineRule="auto"/>
              <w:ind w:left="-90"/>
              <w:jc w:val="center"/>
              <w:rPr>
                <w:rFonts w:cs="Tahoma"/>
                <w:b/>
                <w:i/>
                <w:iCs/>
                <w:sz w:val="18"/>
                <w:szCs w:val="18"/>
              </w:rPr>
            </w:pPr>
            <w:r>
              <w:rPr>
                <w:rFonts w:cs="Tahoma"/>
                <w:b/>
                <w:i/>
                <w:iCs/>
                <w:sz w:val="18"/>
                <w:szCs w:val="18"/>
              </w:rPr>
              <w:t>Obrigações Garantidas da 1ª Emissão</w:t>
            </w:r>
          </w:p>
        </w:tc>
      </w:tr>
      <w:tr w:rsidR="00427CB6" w14:paraId="1791B4FE"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87E63BC" w14:textId="77777777" w:rsidR="00427CB6" w:rsidRDefault="00427CB6">
            <w:pPr>
              <w:widowControl w:val="0"/>
              <w:spacing w:before="40" w:after="40" w:line="252" w:lineRule="auto"/>
              <w:ind w:left="-90"/>
              <w:rPr>
                <w:rFonts w:cs="Tahoma"/>
                <w:i/>
                <w:iCs/>
                <w:sz w:val="18"/>
                <w:szCs w:val="18"/>
              </w:rPr>
            </w:pPr>
            <w:r>
              <w:rPr>
                <w:rFonts w:cs="Tahoma"/>
                <w:i/>
                <w:iCs/>
                <w:sz w:val="18"/>
                <w:szCs w:val="18"/>
              </w:rPr>
              <w:t>Valor total da Emissão:</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63C4FFAE" w14:textId="5EEE8C47" w:rsidR="00427CB6" w:rsidRDefault="00427CB6">
            <w:pPr>
              <w:pStyle w:val="p0"/>
              <w:spacing w:before="40" w:after="40" w:line="252" w:lineRule="auto"/>
              <w:outlineLvl w:val="0"/>
              <w:rPr>
                <w:rFonts w:ascii="Tahoma" w:hAnsi="Tahoma" w:cs="Tahoma"/>
                <w:i/>
                <w:iCs/>
                <w:sz w:val="18"/>
                <w:szCs w:val="18"/>
              </w:rPr>
            </w:pPr>
            <w:r>
              <w:rPr>
                <w:rFonts w:ascii="Tahoma" w:hAnsi="Tahoma" w:cs="Tahoma"/>
                <w:i/>
                <w:iCs/>
                <w:sz w:val="18"/>
                <w:szCs w:val="18"/>
              </w:rPr>
              <w:t>[R$ 110.300.000,00 (cento e dez milhões e trezentos mil reais)]</w:t>
            </w:r>
          </w:p>
        </w:tc>
      </w:tr>
      <w:tr w:rsidR="00427CB6" w14:paraId="353CA7D2"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4BD934A3" w14:textId="77777777" w:rsidR="00427CB6" w:rsidRDefault="00427CB6">
            <w:pPr>
              <w:widowControl w:val="0"/>
              <w:spacing w:before="40" w:after="40" w:line="252" w:lineRule="auto"/>
              <w:ind w:left="-90"/>
              <w:rPr>
                <w:rFonts w:cs="Tahoma"/>
                <w:i/>
                <w:iCs/>
                <w:sz w:val="18"/>
                <w:szCs w:val="18"/>
              </w:rPr>
            </w:pPr>
            <w:r>
              <w:rPr>
                <w:rFonts w:cs="Tahoma"/>
                <w:i/>
                <w:iCs/>
                <w:sz w:val="18"/>
                <w:szCs w:val="18"/>
              </w:rPr>
              <w:t>Valor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66C52C2D" w14:textId="77777777" w:rsidR="00427CB6" w:rsidRDefault="00427CB6">
            <w:pPr>
              <w:pStyle w:val="p0"/>
              <w:spacing w:before="40" w:after="40" w:line="252" w:lineRule="auto"/>
              <w:outlineLvl w:val="0"/>
              <w:rPr>
                <w:rFonts w:ascii="Tahoma" w:hAnsi="Tahoma" w:cs="Tahoma"/>
                <w:i/>
                <w:iCs/>
                <w:sz w:val="18"/>
                <w:szCs w:val="18"/>
              </w:rPr>
            </w:pPr>
            <w:r>
              <w:rPr>
                <w:rFonts w:ascii="Tahoma" w:hAnsi="Tahoma" w:cs="Tahoma"/>
                <w:i/>
                <w:iCs/>
                <w:sz w:val="18"/>
                <w:szCs w:val="18"/>
              </w:rPr>
              <w:t>R$ 55.300.000,00 (cinquenta e cinco milhões e trezentos mil reais)</w:t>
            </w:r>
          </w:p>
        </w:tc>
      </w:tr>
      <w:tr w:rsidR="00427CB6" w14:paraId="77CBB5BC"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72FEE539" w14:textId="77777777" w:rsidR="00427CB6" w:rsidRDefault="00427CB6">
            <w:pPr>
              <w:widowControl w:val="0"/>
              <w:spacing w:before="40" w:after="40" w:line="252" w:lineRule="auto"/>
              <w:ind w:left="-90"/>
              <w:rPr>
                <w:rFonts w:cs="Tahoma"/>
                <w:i/>
                <w:iCs/>
                <w:sz w:val="18"/>
                <w:szCs w:val="18"/>
              </w:rPr>
            </w:pPr>
            <w:r>
              <w:rPr>
                <w:rFonts w:cs="Tahoma"/>
                <w:i/>
                <w:iCs/>
                <w:sz w:val="18"/>
                <w:szCs w:val="18"/>
              </w:rPr>
              <w:t>Valor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37ACB5EA" w14:textId="00886C25" w:rsidR="00427CB6" w:rsidRDefault="00427CB6">
            <w:pPr>
              <w:pStyle w:val="p0"/>
              <w:spacing w:before="40" w:after="40" w:line="252" w:lineRule="auto"/>
              <w:outlineLvl w:val="0"/>
              <w:rPr>
                <w:rFonts w:ascii="Tahoma" w:hAnsi="Tahoma" w:cs="Tahoma"/>
                <w:i/>
                <w:iCs/>
                <w:sz w:val="18"/>
                <w:szCs w:val="18"/>
              </w:rPr>
            </w:pPr>
            <w:r>
              <w:rPr>
                <w:rFonts w:ascii="Tahoma" w:hAnsi="Tahoma" w:cs="Tahoma"/>
                <w:i/>
                <w:iCs/>
                <w:sz w:val="18"/>
                <w:szCs w:val="18"/>
              </w:rPr>
              <w:t>[R$55.000.000,00 (cinquenta e cinco milhões de reais)]</w:t>
            </w:r>
          </w:p>
        </w:tc>
      </w:tr>
      <w:tr w:rsidR="00427CB6" w14:paraId="4EA33958"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5D07E46E" w14:textId="77777777" w:rsidR="00427CB6" w:rsidRDefault="00427CB6">
            <w:pPr>
              <w:widowControl w:val="0"/>
              <w:spacing w:before="40" w:after="40" w:line="252" w:lineRule="auto"/>
              <w:ind w:left="-90"/>
              <w:rPr>
                <w:rFonts w:cs="Tahoma"/>
                <w:i/>
                <w:iCs/>
                <w:sz w:val="18"/>
                <w:szCs w:val="18"/>
              </w:rPr>
            </w:pPr>
            <w:r>
              <w:rPr>
                <w:rFonts w:cs="Tahoma"/>
                <w:i/>
                <w:iCs/>
                <w:sz w:val="18"/>
                <w:szCs w:val="18"/>
              </w:rPr>
              <w:t>Data de Emissão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12D348F9" w14:textId="77777777" w:rsidR="00427CB6" w:rsidRDefault="00427CB6">
            <w:pPr>
              <w:widowControl w:val="0"/>
              <w:spacing w:before="40" w:after="40" w:line="252" w:lineRule="auto"/>
              <w:rPr>
                <w:rFonts w:cs="Tahoma"/>
                <w:i/>
                <w:iCs/>
                <w:sz w:val="18"/>
                <w:szCs w:val="18"/>
              </w:rPr>
            </w:pPr>
            <w:r>
              <w:rPr>
                <w:rFonts w:cs="Tahoma"/>
                <w:i/>
                <w:iCs/>
                <w:sz w:val="18"/>
                <w:szCs w:val="18"/>
              </w:rPr>
              <w:t>30 de agosto de 2019.</w:t>
            </w:r>
          </w:p>
        </w:tc>
      </w:tr>
      <w:tr w:rsidR="00427CB6" w14:paraId="1208E391"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66DBCA58" w14:textId="77777777" w:rsidR="00427CB6" w:rsidRDefault="00427CB6">
            <w:pPr>
              <w:widowControl w:val="0"/>
              <w:spacing w:before="40" w:after="40" w:line="252" w:lineRule="auto"/>
              <w:ind w:left="-90"/>
              <w:rPr>
                <w:rFonts w:cs="Tahoma"/>
                <w:i/>
                <w:iCs/>
                <w:sz w:val="18"/>
                <w:szCs w:val="18"/>
              </w:rPr>
            </w:pPr>
            <w:r>
              <w:rPr>
                <w:rFonts w:cs="Tahoma"/>
                <w:i/>
                <w:iCs/>
                <w:sz w:val="18"/>
                <w:szCs w:val="18"/>
              </w:rPr>
              <w:t>Data de Emissão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18EE88F5" w14:textId="77777777" w:rsidR="00427CB6" w:rsidRDefault="00427CB6">
            <w:pPr>
              <w:widowControl w:val="0"/>
              <w:spacing w:before="40" w:after="40" w:line="252" w:lineRule="auto"/>
              <w:rPr>
                <w:rFonts w:cs="Tahoma"/>
                <w:i/>
                <w:iCs/>
                <w:sz w:val="18"/>
                <w:szCs w:val="18"/>
              </w:rPr>
            </w:pPr>
            <w:r>
              <w:rPr>
                <w:rFonts w:cs="Tahoma"/>
                <w:i/>
                <w:iCs/>
                <w:sz w:val="18"/>
                <w:szCs w:val="18"/>
                <w:highlight w:val="yellow"/>
              </w:rPr>
              <w:t>[•]</w:t>
            </w:r>
          </w:p>
        </w:tc>
      </w:tr>
      <w:tr w:rsidR="00427CB6" w14:paraId="4421DE4F"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7A0EECDE" w14:textId="77777777" w:rsidR="00427CB6" w:rsidRDefault="00427CB6">
            <w:pPr>
              <w:widowControl w:val="0"/>
              <w:spacing w:before="40" w:after="40" w:line="252" w:lineRule="auto"/>
              <w:ind w:left="-90"/>
              <w:rPr>
                <w:rFonts w:cs="Tahoma"/>
                <w:i/>
                <w:iCs/>
                <w:sz w:val="18"/>
                <w:szCs w:val="18"/>
              </w:rPr>
            </w:pPr>
            <w:r>
              <w:rPr>
                <w:rFonts w:cs="Tahoma"/>
                <w:i/>
                <w:iCs/>
                <w:sz w:val="18"/>
                <w:szCs w:val="18"/>
              </w:rPr>
              <w:t>Quantidade total de Debêntures:</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29A1ED85" w14:textId="0CA96D95" w:rsidR="00427CB6" w:rsidRDefault="009E57C0">
            <w:pPr>
              <w:widowControl w:val="0"/>
              <w:spacing w:before="40" w:after="40" w:line="252" w:lineRule="auto"/>
              <w:rPr>
                <w:rFonts w:cs="Tahoma"/>
                <w:i/>
                <w:iCs/>
                <w:sz w:val="18"/>
                <w:szCs w:val="18"/>
              </w:rPr>
            </w:pPr>
            <w:r w:rsidRPr="009E57C0">
              <w:rPr>
                <w:rFonts w:cs="Tahoma"/>
                <w:i/>
                <w:iCs/>
                <w:sz w:val="18"/>
                <w:szCs w:val="18"/>
              </w:rPr>
              <w:t>1.103 (mil, cento e três) debêntures conversíveis em ações</w:t>
            </w:r>
            <w:r w:rsidRPr="009E57C0" w:rsidDel="009E57C0">
              <w:rPr>
                <w:rFonts w:cs="Tahoma"/>
                <w:i/>
                <w:iCs/>
                <w:sz w:val="18"/>
                <w:szCs w:val="18"/>
                <w:highlight w:val="yellow"/>
              </w:rPr>
              <w:t xml:space="preserve"> </w:t>
            </w:r>
          </w:p>
        </w:tc>
      </w:tr>
      <w:tr w:rsidR="00427CB6" w14:paraId="1961F9AE"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625A521E" w14:textId="77777777" w:rsidR="00427CB6" w:rsidRDefault="00427CB6">
            <w:pPr>
              <w:widowControl w:val="0"/>
              <w:spacing w:before="40" w:after="40" w:line="252" w:lineRule="auto"/>
              <w:ind w:left="-90"/>
              <w:rPr>
                <w:rFonts w:cs="Tahoma"/>
                <w:i/>
                <w:iCs/>
                <w:sz w:val="18"/>
                <w:szCs w:val="18"/>
              </w:rPr>
            </w:pPr>
            <w:r>
              <w:rPr>
                <w:rFonts w:cs="Tahoma"/>
                <w:i/>
                <w:iCs/>
                <w:sz w:val="18"/>
                <w:szCs w:val="18"/>
              </w:rPr>
              <w:t>Quantidade de Debêntures: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3E0D256F" w14:textId="5ADDB210" w:rsidR="00427CB6" w:rsidRDefault="00427CB6">
            <w:pPr>
              <w:widowControl w:val="0"/>
              <w:spacing w:before="40" w:after="40" w:line="252" w:lineRule="auto"/>
              <w:rPr>
                <w:rFonts w:cs="Tahoma"/>
                <w:i/>
                <w:iCs/>
                <w:sz w:val="18"/>
                <w:szCs w:val="18"/>
              </w:rPr>
            </w:pPr>
            <w:r>
              <w:rPr>
                <w:rFonts w:cs="Tahoma"/>
                <w:i/>
                <w:iCs/>
                <w:sz w:val="18"/>
                <w:szCs w:val="18"/>
              </w:rPr>
              <w:t>553 (quinhentos e cinquenta e três) debêntures conversíveis em ações.</w:t>
            </w:r>
          </w:p>
        </w:tc>
      </w:tr>
      <w:tr w:rsidR="00427CB6" w14:paraId="6EC5FF48"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5EB44055" w14:textId="77777777" w:rsidR="00427CB6" w:rsidRDefault="00427CB6">
            <w:pPr>
              <w:widowControl w:val="0"/>
              <w:spacing w:before="40" w:after="40" w:line="252" w:lineRule="auto"/>
              <w:ind w:left="-90"/>
              <w:rPr>
                <w:rFonts w:cs="Tahoma"/>
                <w:i/>
                <w:iCs/>
                <w:sz w:val="18"/>
                <w:szCs w:val="18"/>
              </w:rPr>
            </w:pPr>
            <w:r>
              <w:rPr>
                <w:rFonts w:cs="Tahoma"/>
                <w:i/>
                <w:iCs/>
                <w:sz w:val="18"/>
                <w:szCs w:val="18"/>
              </w:rPr>
              <w:t>Quantidade de Debêntures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4414D897" w14:textId="0604F95A" w:rsidR="00427CB6" w:rsidRDefault="00427CB6">
            <w:pPr>
              <w:widowControl w:val="0"/>
              <w:spacing w:before="40" w:after="40" w:line="252" w:lineRule="auto"/>
              <w:rPr>
                <w:rFonts w:cs="Tahoma"/>
                <w:i/>
                <w:iCs/>
                <w:sz w:val="18"/>
                <w:szCs w:val="18"/>
              </w:rPr>
            </w:pPr>
            <w:r>
              <w:rPr>
                <w:rFonts w:cs="Tahoma"/>
                <w:i/>
                <w:iCs/>
                <w:sz w:val="18"/>
                <w:szCs w:val="18"/>
              </w:rPr>
              <w:t xml:space="preserve">550 (quinhentas e cinquenta) debêntures conversíveis em ações. </w:t>
            </w:r>
          </w:p>
        </w:tc>
      </w:tr>
      <w:tr w:rsidR="00427CB6" w14:paraId="30766AE2"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CDF529C" w14:textId="77777777" w:rsidR="00427CB6" w:rsidRDefault="00427CB6">
            <w:pPr>
              <w:widowControl w:val="0"/>
              <w:spacing w:before="40" w:after="40" w:line="252" w:lineRule="auto"/>
              <w:ind w:left="-90"/>
              <w:rPr>
                <w:rFonts w:cs="Tahoma"/>
                <w:i/>
                <w:iCs/>
                <w:sz w:val="18"/>
                <w:szCs w:val="18"/>
              </w:rPr>
            </w:pPr>
            <w:r>
              <w:rPr>
                <w:rFonts w:cs="Tahoma"/>
                <w:i/>
                <w:iCs/>
                <w:sz w:val="18"/>
                <w:szCs w:val="18"/>
              </w:rPr>
              <w:t>Valor Nominal Unitário</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5E710269" w14:textId="77777777" w:rsidR="00427CB6" w:rsidRDefault="00427CB6">
            <w:pPr>
              <w:widowControl w:val="0"/>
              <w:spacing w:before="40" w:after="40" w:line="252" w:lineRule="auto"/>
              <w:rPr>
                <w:rFonts w:cs="Tahoma"/>
                <w:i/>
                <w:iCs/>
                <w:sz w:val="18"/>
                <w:szCs w:val="18"/>
              </w:rPr>
            </w:pPr>
            <w:r>
              <w:rPr>
                <w:rFonts w:cs="Tahoma"/>
                <w:i/>
                <w:iCs/>
                <w:sz w:val="18"/>
                <w:szCs w:val="18"/>
              </w:rPr>
              <w:t>R$ 100.000,00 (cem mil reais).</w:t>
            </w:r>
          </w:p>
        </w:tc>
      </w:tr>
      <w:tr w:rsidR="00427CB6" w14:paraId="13B22451"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49EF39CA" w14:textId="77777777" w:rsidR="00427CB6" w:rsidRDefault="00427CB6">
            <w:pPr>
              <w:widowControl w:val="0"/>
              <w:spacing w:before="40" w:after="40" w:line="252" w:lineRule="auto"/>
              <w:ind w:left="-90"/>
              <w:rPr>
                <w:rFonts w:cs="Tahoma"/>
                <w:i/>
                <w:iCs/>
                <w:sz w:val="18"/>
                <w:szCs w:val="18"/>
              </w:rPr>
            </w:pPr>
            <w:r>
              <w:rPr>
                <w:rFonts w:cs="Tahoma"/>
                <w:i/>
                <w:iCs/>
                <w:sz w:val="18"/>
                <w:szCs w:val="18"/>
              </w:rPr>
              <w:t>Data de Vencimento</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7988E47A" w14:textId="07DEB24A" w:rsidR="00427CB6" w:rsidRDefault="00427CB6">
            <w:pPr>
              <w:widowControl w:val="0"/>
              <w:spacing w:before="40" w:after="40" w:line="252" w:lineRule="auto"/>
              <w:rPr>
                <w:rFonts w:cs="Tahoma"/>
                <w:i/>
                <w:iCs/>
                <w:sz w:val="18"/>
                <w:szCs w:val="18"/>
              </w:rPr>
            </w:pPr>
            <w:r>
              <w:rPr>
                <w:rFonts w:cs="Tahoma"/>
                <w:i/>
                <w:iCs/>
                <w:sz w:val="18"/>
                <w:szCs w:val="18"/>
              </w:rPr>
              <w:t>15 de dezembro de 2022</w:t>
            </w:r>
          </w:p>
        </w:tc>
      </w:tr>
      <w:tr w:rsidR="00427CB6" w14:paraId="6EA97931"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42804FA" w14:textId="77777777" w:rsidR="00427CB6" w:rsidRDefault="00427CB6">
            <w:pPr>
              <w:widowControl w:val="0"/>
              <w:spacing w:before="40" w:after="40" w:line="252" w:lineRule="auto"/>
              <w:ind w:left="-90"/>
              <w:rPr>
                <w:rFonts w:cs="Tahoma"/>
                <w:i/>
                <w:iCs/>
                <w:sz w:val="18"/>
                <w:szCs w:val="18"/>
              </w:rPr>
            </w:pPr>
            <w:r>
              <w:rPr>
                <w:rFonts w:cs="Tahoma"/>
                <w:i/>
                <w:iCs/>
                <w:sz w:val="18"/>
                <w:szCs w:val="18"/>
              </w:rPr>
              <w:t>Remuneração das Debêntures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7E53C495" w14:textId="6DC2B309" w:rsidR="00427CB6" w:rsidRDefault="00427CB6">
            <w:pPr>
              <w:pStyle w:val="PargrafodaLista"/>
              <w:widowControl w:val="0"/>
              <w:spacing w:before="40" w:after="40" w:line="252" w:lineRule="auto"/>
              <w:ind w:left="0"/>
              <w:rPr>
                <w:rFonts w:cs="Tahoma"/>
                <w:i/>
                <w:iCs/>
                <w:smallCaps/>
                <w:color w:val="000000"/>
                <w:sz w:val="18"/>
                <w:szCs w:val="18"/>
              </w:rPr>
            </w:pPr>
            <w:r>
              <w:rPr>
                <w:rFonts w:cs="Tahoma"/>
                <w:i/>
                <w:iCs/>
                <w:sz w:val="18"/>
                <w:szCs w:val="18"/>
              </w:rPr>
              <w:t>Sobre o Valor Nominal Unitário das Debêntures incidirão juros remuneratórios calculados</w:t>
            </w:r>
            <w:r w:rsidR="00A31E1B">
              <w:rPr>
                <w:rFonts w:cs="Tahoma"/>
                <w:i/>
                <w:iCs/>
                <w:sz w:val="18"/>
                <w:szCs w:val="18"/>
              </w:rPr>
              <w:t xml:space="preserve"> pro rata </w:t>
            </w:r>
            <w:proofErr w:type="spellStart"/>
            <w:r w:rsidR="00A31E1B">
              <w:rPr>
                <w:rFonts w:cs="Tahoma"/>
                <w:i/>
                <w:iCs/>
                <w:sz w:val="18"/>
                <w:szCs w:val="18"/>
              </w:rPr>
              <w:t>temporis</w:t>
            </w:r>
            <w:proofErr w:type="spellEnd"/>
            <w:r>
              <w:rPr>
                <w:rFonts w:cs="Tahoma"/>
                <w:i/>
                <w:iCs/>
                <w:sz w:val="18"/>
                <w:szCs w:val="18"/>
              </w:rPr>
              <w:t xml:space="preserve"> e pagos ao final de cada Período de Capitalização (conforme definido na Escritura de Emissão), conforme fórmula descrita na Escritura de Emissão.</w:t>
            </w:r>
          </w:p>
        </w:tc>
      </w:tr>
      <w:tr w:rsidR="00427CB6" w14:paraId="20204E24"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769B50BF" w14:textId="77777777" w:rsidR="00427CB6" w:rsidRDefault="00427CB6">
            <w:pPr>
              <w:widowControl w:val="0"/>
              <w:spacing w:before="40" w:after="40" w:line="252" w:lineRule="auto"/>
              <w:ind w:left="-90"/>
              <w:rPr>
                <w:rFonts w:cs="Tahoma"/>
                <w:i/>
                <w:iCs/>
                <w:sz w:val="18"/>
                <w:szCs w:val="18"/>
              </w:rPr>
            </w:pPr>
            <w:r>
              <w:rPr>
                <w:rFonts w:cs="Tahoma"/>
                <w:i/>
                <w:iCs/>
                <w:sz w:val="18"/>
                <w:szCs w:val="18"/>
              </w:rPr>
              <w:t>Remuneração das Debêntures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3F75AAA5" w14:textId="77777777" w:rsidR="00427CB6" w:rsidRDefault="00427CB6">
            <w:pPr>
              <w:pStyle w:val="PargrafodaLista"/>
              <w:widowControl w:val="0"/>
              <w:spacing w:before="40" w:after="40" w:line="252" w:lineRule="auto"/>
              <w:ind w:left="0"/>
              <w:rPr>
                <w:rFonts w:cs="Tahoma"/>
                <w:i/>
                <w:iCs/>
                <w:sz w:val="18"/>
                <w:szCs w:val="22"/>
              </w:rPr>
            </w:pPr>
            <w:r w:rsidRPr="00A9290F">
              <w:rPr>
                <w:i/>
                <w:iCs/>
                <w:sz w:val="18"/>
                <w:szCs w:val="22"/>
              </w:rPr>
              <w:t>Sobre o Valor Nominal Unitário das Debêntures da 2ª Série incidirão juros remuneratórios correspondentes à variação acumulada de 100% (cem por cento) das taxas médias diárias dos DI – Depósitos Interfinanceiros de um dia, “over extra grupo”, expressa na forma percentual ao ano, base 252 (duzentos e cinquenta e dois) Dias Úteis, calculada e divulgada diariamente pela B3 (“</w:t>
            </w:r>
            <w:r w:rsidRPr="00A9290F">
              <w:rPr>
                <w:b/>
                <w:bCs/>
                <w:i/>
                <w:iCs/>
                <w:sz w:val="18"/>
                <w:szCs w:val="22"/>
              </w:rPr>
              <w:t>Taxa DI</w:t>
            </w:r>
            <w:r w:rsidRPr="00A9290F">
              <w:rPr>
                <w:i/>
                <w:iCs/>
                <w:sz w:val="18"/>
                <w:szCs w:val="22"/>
              </w:rPr>
              <w:t>”), acrescida exponencialmente de spread (sobretaxa) de 8% (oito por cento) ao ano, base 252 (duzentos e cinquenta e dois) Dias Úteis (“</w:t>
            </w:r>
            <w:r w:rsidRPr="00A9290F">
              <w:rPr>
                <w:b/>
                <w:bCs/>
                <w:i/>
                <w:iCs/>
                <w:sz w:val="18"/>
                <w:szCs w:val="22"/>
              </w:rPr>
              <w:t>Remuneração da 2ª Série</w:t>
            </w:r>
            <w:r w:rsidRPr="00A9290F">
              <w:rPr>
                <w:i/>
                <w:iCs/>
                <w:sz w:val="18"/>
                <w:szCs w:val="22"/>
              </w:rPr>
              <w:t>” e, em conjunto com a Remuneração da 1ª Série, a “</w:t>
            </w:r>
            <w:r w:rsidRPr="00A9290F">
              <w:rPr>
                <w:b/>
                <w:bCs/>
                <w:i/>
                <w:iCs/>
                <w:sz w:val="18"/>
                <w:szCs w:val="22"/>
              </w:rPr>
              <w:t>Remuneração das Debêntures</w:t>
            </w:r>
            <w:r w:rsidRPr="00A9290F">
              <w:rPr>
                <w:i/>
                <w:iCs/>
                <w:sz w:val="18"/>
                <w:szCs w:val="22"/>
              </w:rPr>
              <w:t xml:space="preserve">”). </w:t>
            </w:r>
            <w:r w:rsidRPr="00A9290F">
              <w:rPr>
                <w:rFonts w:cs="Tahoma"/>
                <w:i/>
                <w:iCs/>
                <w:sz w:val="18"/>
                <w:szCs w:val="22"/>
              </w:rPr>
              <w:t xml:space="preserve">A Remuneração será calculada de forma exponencial e cumulativa pro rata </w:t>
            </w:r>
            <w:proofErr w:type="spellStart"/>
            <w:r w:rsidRPr="00A9290F">
              <w:rPr>
                <w:rFonts w:cs="Tahoma"/>
                <w:i/>
                <w:iCs/>
                <w:sz w:val="18"/>
                <w:szCs w:val="22"/>
              </w:rPr>
              <w:t>temporis</w:t>
            </w:r>
            <w:proofErr w:type="spellEnd"/>
            <w:r w:rsidRPr="00A9290F">
              <w:rPr>
                <w:rFonts w:cs="Tahoma"/>
                <w:i/>
                <w:iCs/>
                <w:sz w:val="18"/>
                <w:szCs w:val="22"/>
              </w:rPr>
              <w:t>, por Dias Úteis decorridos, incidentes sobre o Valor Nominal das Debêntures desde a Data da Primeira Integralização das Debêntures ou da Data de Pagamento da Remuneração das Debêntures da 2ª Série (conforme abaixo definida) imediatamente anterior, conforme o caso, até a próxima Data de Pagamento da Remuneração das Debêntures da 2ª Série. A Remuneração da 2ª Série deverá ser calculada de acordo com</w:t>
            </w:r>
            <w:r>
              <w:rPr>
                <w:rFonts w:cs="Tahoma"/>
                <w:i/>
                <w:iCs/>
                <w:sz w:val="18"/>
                <w:szCs w:val="22"/>
              </w:rPr>
              <w:t xml:space="preserve"> a fórmula constante na Escritura de Emissão. </w:t>
            </w:r>
          </w:p>
        </w:tc>
      </w:tr>
      <w:tr w:rsidR="00427CB6" w14:paraId="7D4333D2"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12627886" w14:textId="77777777" w:rsidR="00427CB6" w:rsidRDefault="00427CB6">
            <w:pPr>
              <w:widowControl w:val="0"/>
              <w:spacing w:before="40" w:after="40" w:line="252" w:lineRule="auto"/>
              <w:ind w:left="-90"/>
              <w:rPr>
                <w:rFonts w:cs="Tahoma"/>
                <w:i/>
                <w:iCs/>
                <w:sz w:val="18"/>
                <w:szCs w:val="18"/>
              </w:rPr>
            </w:pPr>
            <w:r>
              <w:rPr>
                <w:rFonts w:cs="Tahoma"/>
                <w:i/>
                <w:iCs/>
                <w:sz w:val="18"/>
                <w:szCs w:val="18"/>
              </w:rPr>
              <w:t>Encargos</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66B65E0E" w14:textId="77777777" w:rsidR="00427CB6" w:rsidRDefault="00427CB6">
            <w:pPr>
              <w:widowControl w:val="0"/>
              <w:spacing w:before="40" w:after="40" w:line="252" w:lineRule="auto"/>
              <w:rPr>
                <w:rFonts w:cs="Tahoma"/>
                <w:i/>
                <w:iCs/>
                <w:sz w:val="18"/>
                <w:szCs w:val="18"/>
              </w:rPr>
            </w:pPr>
            <w:r>
              <w:rPr>
                <w:rFonts w:cs="Tahoma"/>
                <w:i/>
                <w:iCs/>
                <w:color w:val="000000"/>
                <w:sz w:val="18"/>
                <w:szCs w:val="18"/>
              </w:rPr>
              <w:t xml:space="preserve">Ocorrendo impontualidade no pagamento de qualquer valor devido pela Emissora ao Debenturista nos termos da Escritura da 1ª Emissão, sem prejuízo do pagamento da Remuneração, calculada pro rata </w:t>
            </w:r>
            <w:proofErr w:type="spellStart"/>
            <w:r>
              <w:rPr>
                <w:rFonts w:cs="Tahoma"/>
                <w:i/>
                <w:iCs/>
                <w:color w:val="000000"/>
                <w:sz w:val="18"/>
                <w:szCs w:val="18"/>
              </w:rPr>
              <w:t>temporis</w:t>
            </w:r>
            <w:proofErr w:type="spellEnd"/>
            <w:r>
              <w:rPr>
                <w:rFonts w:cs="Tahoma"/>
                <w:i/>
                <w:iCs/>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Pr>
                <w:rFonts w:cs="Tahoma"/>
                <w:i/>
                <w:iCs/>
                <w:color w:val="000000"/>
                <w:sz w:val="18"/>
                <w:szCs w:val="18"/>
              </w:rPr>
              <w:t>temporis</w:t>
            </w:r>
            <w:proofErr w:type="spellEnd"/>
            <w:r>
              <w:rPr>
                <w:rFonts w:cs="Tahoma"/>
                <w:i/>
                <w:iCs/>
                <w:color w:val="000000"/>
                <w:sz w:val="18"/>
                <w:szCs w:val="18"/>
              </w:rPr>
              <w:t xml:space="preserve"> desde a data de inadimplemento até a data do efetivo pagamento; e (</w:t>
            </w:r>
            <w:proofErr w:type="spellStart"/>
            <w:r>
              <w:rPr>
                <w:rFonts w:cs="Tahoma"/>
                <w:i/>
                <w:iCs/>
                <w:color w:val="000000"/>
                <w:sz w:val="18"/>
                <w:szCs w:val="18"/>
              </w:rPr>
              <w:t>ii</w:t>
            </w:r>
            <w:proofErr w:type="spellEnd"/>
            <w:r>
              <w:rPr>
                <w:rFonts w:cs="Tahoma"/>
                <w:i/>
                <w:iCs/>
                <w:color w:val="000000"/>
                <w:sz w:val="18"/>
                <w:szCs w:val="18"/>
              </w:rPr>
              <w:t>) multa moratória de natureza não compensatória de 2% (dois por cento) sobre o valor devido.</w:t>
            </w:r>
          </w:p>
        </w:tc>
      </w:tr>
      <w:tr w:rsidR="00427CB6" w14:paraId="7B5438E4"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1627FF58" w14:textId="77777777" w:rsidR="00427CB6" w:rsidRDefault="00427CB6">
            <w:pPr>
              <w:widowControl w:val="0"/>
              <w:spacing w:before="40" w:after="40" w:line="252" w:lineRule="auto"/>
              <w:ind w:left="-90"/>
              <w:rPr>
                <w:rFonts w:cs="Tahoma"/>
                <w:i/>
                <w:iCs/>
                <w:sz w:val="18"/>
                <w:szCs w:val="18"/>
              </w:rPr>
            </w:pPr>
            <w:r>
              <w:rPr>
                <w:rFonts w:cs="Tahoma"/>
                <w:i/>
                <w:iCs/>
                <w:sz w:val="18"/>
                <w:szCs w:val="18"/>
              </w:rPr>
              <w:lastRenderedPageBreak/>
              <w:t>Conversibilidade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177B96C8" w14:textId="712ED68F" w:rsidR="00427CB6" w:rsidRDefault="00427CB6">
            <w:pPr>
              <w:widowControl w:val="0"/>
              <w:spacing w:before="40" w:after="40" w:line="252" w:lineRule="auto"/>
              <w:rPr>
                <w:rFonts w:cs="Tahoma"/>
                <w:i/>
                <w:iCs/>
                <w:sz w:val="18"/>
                <w:szCs w:val="18"/>
              </w:rPr>
            </w:pPr>
            <w:r>
              <w:rPr>
                <w:rFonts w:cs="Tahoma"/>
                <w:i/>
                <w:iCs/>
                <w:color w:val="000000"/>
                <w:sz w:val="18"/>
                <w:szCs w:val="18"/>
              </w:rPr>
              <w:t xml:space="preserve">[Observado o disposto na Escritura de Emissão, </w:t>
            </w:r>
            <w:r w:rsidRPr="00A9290F">
              <w:rPr>
                <w:i/>
                <w:iCs/>
                <w:sz w:val="18"/>
                <w:szCs w:val="18"/>
              </w:rPr>
              <w:t xml:space="preserve">todas as Debêntures em circulação poderão, a exclusivo critério do Debenturista, ser convertidas em ações ordinárias, nominativas e sem valor nominal, na forma prevista nesta Escritura de Emissão, caso, a partir de [31 de janeiro de 2021] até a Data de Vencimento, a Emissora tenha comprovado, (i) o </w:t>
            </w:r>
            <w:proofErr w:type="spellStart"/>
            <w:r w:rsidRPr="00A9290F">
              <w:rPr>
                <w:i/>
                <w:iCs/>
                <w:sz w:val="18"/>
                <w:szCs w:val="18"/>
              </w:rPr>
              <w:t>completion</w:t>
            </w:r>
            <w:proofErr w:type="spellEnd"/>
            <w:r w:rsidRPr="00A9290F">
              <w:rPr>
                <w:i/>
                <w:iCs/>
                <w:sz w:val="18"/>
                <w:szCs w:val="18"/>
              </w:rPr>
              <w:t xml:space="preserve"> físico de todas as linha de transmissão; (</w:t>
            </w:r>
            <w:proofErr w:type="spellStart"/>
            <w:r w:rsidRPr="00A9290F">
              <w:rPr>
                <w:i/>
                <w:iCs/>
                <w:sz w:val="18"/>
                <w:szCs w:val="18"/>
              </w:rPr>
              <w:t>ii</w:t>
            </w:r>
            <w:proofErr w:type="spellEnd"/>
            <w:r w:rsidRPr="00A9290F">
              <w:rPr>
                <w:i/>
                <w:iCs/>
                <w:sz w:val="18"/>
                <w:szCs w:val="18"/>
              </w:rPr>
              <w:t xml:space="preserve">) o início da operação de todas as </w:t>
            </w:r>
            <w:proofErr w:type="spellStart"/>
            <w:r w:rsidRPr="00A9290F">
              <w:rPr>
                <w:i/>
                <w:iCs/>
                <w:sz w:val="18"/>
                <w:szCs w:val="18"/>
              </w:rPr>
              <w:t>SPEs</w:t>
            </w:r>
            <w:proofErr w:type="spellEnd"/>
            <w:r w:rsidRPr="00A9290F">
              <w:rPr>
                <w:i/>
                <w:iCs/>
                <w:sz w:val="18"/>
                <w:szCs w:val="18"/>
              </w:rPr>
              <w:t>, assim entendido pela emissão do Termo de Liberação Definitivo – TLD, pelo Operador Nacional do Sistema – ONS; (</w:t>
            </w:r>
            <w:proofErr w:type="spellStart"/>
            <w:r w:rsidRPr="00A9290F">
              <w:rPr>
                <w:i/>
                <w:iCs/>
                <w:sz w:val="18"/>
                <w:szCs w:val="18"/>
              </w:rPr>
              <w:t>iii</w:t>
            </w:r>
            <w:proofErr w:type="spellEnd"/>
            <w:r w:rsidRPr="00A9290F">
              <w:rPr>
                <w:i/>
                <w:iCs/>
                <w:sz w:val="18"/>
                <w:szCs w:val="18"/>
              </w:rPr>
              <w:t>) o cumprimento pela Emissora e/ou pela LC Linhas, conforme o caso, ou renúncia pelo Debenturista, de todas as obrigações dispostas na cláusula 5.5. do Contrato de Investimento; e (v) obtenção, pela Emissora, de anuência prévia da ANEEL, em atendimento ao disposto nos Contratos de Concessão e no art. 5.º, inciso I da Resolução Normativa ANEEL n.º 484/2012, conforme os procedimentos previstos no capítulo III de referida resolução normativa e no Contrato de Investimento (“</w:t>
            </w:r>
            <w:r w:rsidRPr="00A9290F">
              <w:rPr>
                <w:b/>
                <w:bCs/>
                <w:i/>
                <w:iCs/>
                <w:sz w:val="18"/>
                <w:szCs w:val="18"/>
              </w:rPr>
              <w:t>Conversão Total Facultativa</w:t>
            </w:r>
            <w:r w:rsidRPr="00A9290F">
              <w:rPr>
                <w:i/>
                <w:iCs/>
                <w:sz w:val="18"/>
                <w:szCs w:val="18"/>
              </w:rPr>
              <w:t>”). A Conversão Total Facultativa poderá ocorrer a partir do 5º (quinto) Dia Útil contado do recebimento, de notificação enviada pela Emissora informando e comprovando a verificação da condição disposta nesta Cláusula 4.17.1 (“</w:t>
            </w:r>
            <w:r w:rsidRPr="00A9290F">
              <w:rPr>
                <w:b/>
                <w:bCs/>
                <w:i/>
                <w:iCs/>
                <w:sz w:val="18"/>
                <w:szCs w:val="18"/>
              </w:rPr>
              <w:t>Data da Conversão Total Facultativa</w:t>
            </w:r>
            <w:r w:rsidRPr="00A9290F">
              <w:rPr>
                <w:i/>
                <w:iCs/>
                <w:sz w:val="18"/>
                <w:szCs w:val="18"/>
              </w:rPr>
              <w:t>”), mediante envio de notificação pelo Debenturista à Emissora</w:t>
            </w:r>
            <w:r w:rsidR="009E57C0">
              <w:rPr>
                <w:i/>
                <w:iCs/>
                <w:sz w:val="18"/>
                <w:szCs w:val="18"/>
              </w:rPr>
              <w:t>.</w:t>
            </w:r>
            <w:r w:rsidR="00A9290F">
              <w:rPr>
                <w:i/>
                <w:iCs/>
                <w:sz w:val="18"/>
                <w:szCs w:val="18"/>
              </w:rPr>
              <w:t xml:space="preserve"> </w:t>
            </w:r>
            <w:r w:rsidR="009E57C0">
              <w:rPr>
                <w:rFonts w:cs="Tahoma"/>
                <w:i/>
                <w:iCs/>
                <w:color w:val="000000"/>
                <w:sz w:val="18"/>
                <w:szCs w:val="18"/>
              </w:rPr>
              <w:t>[</w:t>
            </w:r>
            <w:r w:rsidR="009E57C0" w:rsidRPr="00A9290F">
              <w:rPr>
                <w:rFonts w:cs="Tahoma"/>
                <w:i/>
                <w:iCs/>
                <w:color w:val="000000"/>
                <w:sz w:val="18"/>
                <w:szCs w:val="18"/>
                <w:highlight w:val="yellow"/>
              </w:rPr>
              <w:t>Nota LDR: Timing sob discussão das Partes]</w:t>
            </w:r>
          </w:p>
        </w:tc>
      </w:tr>
      <w:tr w:rsidR="00427CB6" w14:paraId="5B7F3614"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6917728B" w14:textId="732A9835" w:rsidR="00427CB6" w:rsidRDefault="00427CB6">
            <w:pPr>
              <w:widowControl w:val="0"/>
              <w:spacing w:before="40" w:after="40" w:line="252" w:lineRule="auto"/>
              <w:ind w:left="-90"/>
              <w:rPr>
                <w:rFonts w:cs="Tahoma"/>
                <w:i/>
                <w:iCs/>
                <w:sz w:val="18"/>
                <w:szCs w:val="18"/>
              </w:rPr>
            </w:pPr>
            <w:r>
              <w:rPr>
                <w:rFonts w:cs="Tahoma"/>
                <w:i/>
                <w:iCs/>
                <w:color w:val="000000"/>
                <w:sz w:val="18"/>
                <w:szCs w:val="18"/>
              </w:rPr>
              <w:t xml:space="preserve">Amortização: </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4392381B" w14:textId="6F91546C" w:rsidR="00427CB6" w:rsidRDefault="00427CB6">
            <w:pPr>
              <w:widowControl w:val="0"/>
              <w:spacing w:before="40" w:after="40" w:line="252" w:lineRule="auto"/>
              <w:rPr>
                <w:rFonts w:cs="Tahoma"/>
                <w:i/>
                <w:iCs/>
                <w:sz w:val="18"/>
                <w:szCs w:val="18"/>
              </w:rPr>
            </w:pPr>
            <w:r w:rsidRPr="00A9290F">
              <w:rPr>
                <w:i/>
                <w:iCs/>
                <w:sz w:val="18"/>
                <w:szCs w:val="18"/>
              </w:rPr>
              <w:t xml:space="preserve">Ressalvada a hipótese de Resgate Antecipado Obrigatório Total, de Vencimento Antecipado (conforme hipóteses dispostas na </w:t>
            </w:r>
            <w:r>
              <w:rPr>
                <w:i/>
                <w:iCs/>
                <w:sz w:val="18"/>
                <w:szCs w:val="18"/>
              </w:rPr>
              <w:t>Escritura de Emissão</w:t>
            </w:r>
            <w:r w:rsidRPr="00A9290F">
              <w:rPr>
                <w:i/>
                <w:iCs/>
                <w:sz w:val="18"/>
                <w:szCs w:val="18"/>
              </w:rPr>
              <w:t xml:space="preserve">) e/ou de conversão em ações (conforme </w:t>
            </w:r>
            <w:r>
              <w:rPr>
                <w:i/>
                <w:iCs/>
                <w:sz w:val="18"/>
                <w:szCs w:val="18"/>
              </w:rPr>
              <w:t>a Escritura de Emissão)</w:t>
            </w:r>
            <w:r w:rsidRPr="00A9290F">
              <w:rPr>
                <w:i/>
                <w:iCs/>
                <w:sz w:val="18"/>
                <w:szCs w:val="18"/>
              </w:rPr>
              <w:t>, o Valor Nominal Unitário, será amortizado, integralmente, em uma única parcela, na Data de Vencimento</w:t>
            </w:r>
            <w:r>
              <w:rPr>
                <w:rFonts w:cs="Tahoma"/>
                <w:i/>
                <w:iCs/>
                <w:sz w:val="18"/>
                <w:szCs w:val="18"/>
              </w:rPr>
              <w:t xml:space="preserve">. </w:t>
            </w:r>
          </w:p>
        </w:tc>
      </w:tr>
      <w:tr w:rsidR="00427CB6" w14:paraId="52897B5D"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A4A880A" w14:textId="77777777" w:rsidR="00427CB6" w:rsidRDefault="00427CB6">
            <w:pPr>
              <w:widowControl w:val="0"/>
              <w:spacing w:before="40" w:after="40" w:line="252" w:lineRule="auto"/>
              <w:ind w:left="-90"/>
              <w:rPr>
                <w:rFonts w:cs="Tahoma"/>
                <w:i/>
                <w:iCs/>
                <w:color w:val="000000"/>
                <w:sz w:val="18"/>
                <w:szCs w:val="18"/>
              </w:rPr>
            </w:pPr>
            <w:r>
              <w:rPr>
                <w:rFonts w:cs="Tahoma"/>
                <w:i/>
                <w:iCs/>
                <w:color w:val="000000"/>
                <w:sz w:val="18"/>
                <w:szCs w:val="18"/>
              </w:rPr>
              <w:t>Resgate Antecipado Obrigatório Total das Debêntures</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5851BB40" w14:textId="28949988" w:rsidR="00427CB6" w:rsidRDefault="00427CB6">
            <w:pPr>
              <w:widowControl w:val="0"/>
              <w:spacing w:before="40" w:after="40" w:line="252" w:lineRule="auto"/>
              <w:rPr>
                <w:i/>
                <w:iCs/>
                <w:sz w:val="18"/>
                <w:szCs w:val="18"/>
              </w:rPr>
            </w:pPr>
            <w:r w:rsidRPr="00A9290F">
              <w:rPr>
                <w:rFonts w:cs="Tahoma"/>
                <w:i/>
                <w:iCs/>
                <w:sz w:val="18"/>
                <w:szCs w:val="18"/>
              </w:rPr>
              <w:t>A Emissora deverá, após a conclusão da alienação integral das ações da Emissora pela LC Linhas (“</w:t>
            </w:r>
            <w:r w:rsidRPr="00A9290F">
              <w:rPr>
                <w:rFonts w:cs="Tahoma"/>
                <w:b/>
                <w:bCs/>
                <w:i/>
                <w:iCs/>
                <w:sz w:val="18"/>
                <w:szCs w:val="18"/>
              </w:rPr>
              <w:t>Venda</w:t>
            </w:r>
            <w:r w:rsidRPr="00A9290F">
              <w:rPr>
                <w:rFonts w:cs="Tahoma"/>
                <w:i/>
                <w:iCs/>
                <w:sz w:val="18"/>
                <w:szCs w:val="18"/>
              </w:rPr>
              <w:t>”) que deverá ser previamente aprovada pelo Debenturista, incluindo, mas não se limitando, aos documentos definitivos da operação de Venda, realizar o resgate antecipado da totalidade das Debêntures (“</w:t>
            </w:r>
            <w:r w:rsidRPr="00A9290F">
              <w:rPr>
                <w:rFonts w:cs="Tahoma"/>
                <w:b/>
                <w:bCs/>
                <w:i/>
                <w:iCs/>
                <w:sz w:val="18"/>
                <w:szCs w:val="18"/>
              </w:rPr>
              <w:t>Resgate Antecipado Obrigatório Total</w:t>
            </w:r>
            <w:r w:rsidRPr="00A9290F">
              <w:rPr>
                <w:rFonts w:cs="Tahoma"/>
                <w:i/>
                <w:iCs/>
                <w:sz w:val="18"/>
                <w:szCs w:val="18"/>
              </w:rPr>
              <w:t xml:space="preserve">”). Por ocasião do Resgate Antecipado Obrigatório Total, o valor devido pela Emissora será equivalente ao </w:t>
            </w:r>
            <w:r w:rsidRPr="00A9290F">
              <w:rPr>
                <w:rFonts w:cs="Tahoma"/>
                <w:b/>
                <w:bCs/>
                <w:i/>
                <w:iCs/>
                <w:sz w:val="18"/>
                <w:szCs w:val="18"/>
              </w:rPr>
              <w:t>(a)</w:t>
            </w:r>
            <w:r w:rsidRPr="00A9290F">
              <w:rPr>
                <w:rFonts w:cs="Tahoma"/>
                <w:i/>
                <w:iCs/>
                <w:sz w:val="18"/>
                <w:szCs w:val="18"/>
              </w:rPr>
              <w:t xml:space="preserve"> Valor Nominal Unitário das Debêntures a serem resgatadas, acrescido </w:t>
            </w:r>
            <w:r w:rsidRPr="00A9290F">
              <w:rPr>
                <w:rFonts w:cs="Tahoma"/>
                <w:b/>
                <w:bCs/>
                <w:i/>
                <w:iCs/>
                <w:sz w:val="18"/>
                <w:szCs w:val="18"/>
              </w:rPr>
              <w:t>(b)</w:t>
            </w:r>
            <w:r w:rsidRPr="00A9290F">
              <w:rPr>
                <w:rFonts w:cs="Tahoma"/>
                <w:i/>
                <w:iCs/>
                <w:sz w:val="18"/>
                <w:szCs w:val="18"/>
              </w:rPr>
              <w:t xml:space="preserve"> da respectiva Remuneração, calculado pro rata </w:t>
            </w:r>
            <w:proofErr w:type="spellStart"/>
            <w:r w:rsidRPr="00A9290F">
              <w:rPr>
                <w:rFonts w:cs="Tahoma"/>
                <w:i/>
                <w:iCs/>
                <w:sz w:val="18"/>
                <w:szCs w:val="18"/>
              </w:rPr>
              <w:t>temporis</w:t>
            </w:r>
            <w:proofErr w:type="spellEnd"/>
            <w:r w:rsidRPr="00A9290F">
              <w:rPr>
                <w:rFonts w:cs="Tahoma"/>
                <w:i/>
                <w:iCs/>
                <w:sz w:val="18"/>
                <w:szCs w:val="18"/>
              </w:rPr>
              <w:t xml:space="preserve"> desde o respectivo primeiro Período de Capitalização, ou a Data do Pagamento da Remuneração anterior, conforme o caso, até a data do efetivo Resgate Antecipado Obrigatório Total, incidente sobre o Valor Nominal Unitário e demais encargos devidos e não pagos até a data do Resgate Antecipado Obrigatório Total.</w:t>
            </w:r>
            <w:r w:rsidR="005A6CA7">
              <w:rPr>
                <w:rFonts w:cs="Tahoma"/>
                <w:i/>
                <w:iCs/>
                <w:sz w:val="18"/>
                <w:szCs w:val="18"/>
              </w:rPr>
              <w:t xml:space="preserve"> [</w:t>
            </w:r>
            <w:r w:rsidR="005A6CA7" w:rsidRPr="00A9290F">
              <w:rPr>
                <w:rFonts w:cs="Tahoma"/>
                <w:i/>
                <w:iCs/>
                <w:sz w:val="18"/>
                <w:szCs w:val="18"/>
                <w:highlight w:val="yellow"/>
              </w:rPr>
              <w:t>Nota LDR: Redação sujeita a ajustes, conforme versão final da Escritura de Emissão</w:t>
            </w:r>
            <w:r w:rsidR="005A6CA7">
              <w:rPr>
                <w:rFonts w:cs="Tahoma"/>
                <w:i/>
                <w:iCs/>
                <w:sz w:val="18"/>
                <w:szCs w:val="18"/>
              </w:rPr>
              <w:t>]</w:t>
            </w:r>
          </w:p>
        </w:tc>
      </w:tr>
      <w:tr w:rsidR="00427CB6" w14:paraId="3D651DEF" w14:textId="77777777" w:rsidTr="00427CB6">
        <w:tc>
          <w:tcPr>
            <w:tcW w:w="1011" w:type="pct"/>
            <w:tcBorders>
              <w:top w:val="single" w:sz="6" w:space="0" w:color="auto"/>
              <w:left w:val="single" w:sz="12" w:space="0" w:color="auto"/>
              <w:bottom w:val="single" w:sz="12" w:space="0" w:color="auto"/>
              <w:right w:val="single" w:sz="6" w:space="0" w:color="auto"/>
            </w:tcBorders>
            <w:vAlign w:val="center"/>
            <w:hideMark/>
          </w:tcPr>
          <w:p w14:paraId="7F4E74F3" w14:textId="77777777" w:rsidR="00427CB6" w:rsidRDefault="00427CB6">
            <w:pPr>
              <w:widowControl w:val="0"/>
              <w:spacing w:before="40" w:after="40" w:line="252" w:lineRule="auto"/>
              <w:ind w:left="-90"/>
              <w:rPr>
                <w:rFonts w:cs="Tahoma"/>
                <w:i/>
                <w:iCs/>
                <w:sz w:val="18"/>
                <w:szCs w:val="18"/>
              </w:rPr>
            </w:pPr>
            <w:r>
              <w:rPr>
                <w:rFonts w:cs="Tahoma"/>
                <w:i/>
                <w:iCs/>
                <w:sz w:val="18"/>
                <w:szCs w:val="18"/>
              </w:rPr>
              <w:t>Outras obrigações garantidas:</w:t>
            </w:r>
          </w:p>
        </w:tc>
        <w:tc>
          <w:tcPr>
            <w:tcW w:w="3989" w:type="pct"/>
            <w:tcBorders>
              <w:top w:val="single" w:sz="6" w:space="0" w:color="auto"/>
              <w:left w:val="single" w:sz="6" w:space="0" w:color="auto"/>
              <w:bottom w:val="single" w:sz="12" w:space="0" w:color="auto"/>
              <w:right w:val="single" w:sz="12" w:space="0" w:color="auto"/>
            </w:tcBorders>
            <w:vAlign w:val="center"/>
            <w:hideMark/>
          </w:tcPr>
          <w:p w14:paraId="7FE98A21" w14:textId="3560B948" w:rsidR="00427CB6" w:rsidRDefault="00427CB6">
            <w:pPr>
              <w:widowControl w:val="0"/>
              <w:spacing w:before="40" w:after="40" w:line="252" w:lineRule="auto"/>
              <w:rPr>
                <w:rFonts w:cs="Tahoma"/>
                <w:i/>
                <w:iCs/>
                <w:sz w:val="18"/>
                <w:szCs w:val="18"/>
              </w:rPr>
            </w:pPr>
            <w:r>
              <w:rPr>
                <w:rFonts w:cs="Tahoma"/>
                <w:i/>
                <w:iCs/>
                <w:sz w:val="18"/>
                <w:szCs w:val="18"/>
              </w:rPr>
              <w:t>Todas as obrigações, principais e/ou acessórias, assumidas pela Emissora, decorrentes ou de qualquer forma relacionadas à Emissão nos termos do “Instrumento Particular de Escritura da Primeira Emissão Privada de Debêntures, Conversíveis em Ações, em Duas Séries, com Garantia Real e com Garantia Fidejussória Adicional” celebrado entre a Emissora e o FIP-IE XP em 30 de agosto de 2019, conforme aditado.</w:t>
            </w:r>
          </w:p>
        </w:tc>
      </w:tr>
    </w:tbl>
    <w:p w14:paraId="074811B6" w14:textId="15689227" w:rsidR="00EA707C" w:rsidRDefault="00EA707C" w:rsidP="00EA707C"/>
    <w:p w14:paraId="67BBADEB" w14:textId="77777777" w:rsidR="00427CB6" w:rsidRPr="00EA707C" w:rsidRDefault="00427CB6" w:rsidP="00EA707C"/>
    <w:p w14:paraId="157B129F" w14:textId="7D3BABB8" w:rsidR="00201511" w:rsidRPr="0084218F" w:rsidRDefault="00201511" w:rsidP="00EA707C">
      <w:pPr>
        <w:pStyle w:val="Body"/>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EA707C">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38C64E3"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394A3D59"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24B916C5"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0798955C"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9561B">
              <w:rPr>
                <w:rFonts w:cs="Tahoma"/>
                <w:sz w:val="18"/>
                <w:szCs w:val="18"/>
              </w:rPr>
              <w:t xml:space="preserve">, </w:t>
            </w:r>
            <w:r w:rsidR="0009561B" w:rsidRPr="0009561B">
              <w:rPr>
                <w:rFonts w:cs="Tahoma"/>
                <w:sz w:val="18"/>
                <w:szCs w:val="18"/>
              </w:rPr>
              <w:t>sendo 50.000 (cinquenta mil) Debêntures da 1ª Série, sendo 67.000 (sessenta e sete mil) Debêntures da 2ª Série e sendo 35.000 (trinta e cinco mil) Debêntures da 3ª Série</w:t>
            </w:r>
            <w:r w:rsidR="00004EAD"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lastRenderedPageBreak/>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10802B73"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26AF21E"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5BA7C0A2"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09561B">
              <w:rPr>
                <w:rFonts w:cs="Tahoma"/>
                <w:sz w:val="18"/>
                <w:szCs w:val="18"/>
              </w:rPr>
              <w:t>02</w:t>
            </w:r>
            <w:r w:rsidR="0013402B" w:rsidRPr="00CC6A8A">
              <w:rPr>
                <w:rFonts w:cs="Tahoma"/>
                <w:bCs/>
                <w:sz w:val="18"/>
                <w:szCs w:val="18"/>
              </w:rPr>
              <w:t xml:space="preserve"> </w:t>
            </w:r>
            <w:r w:rsidRPr="00CC6A8A">
              <w:rPr>
                <w:rFonts w:cs="Tahoma"/>
                <w:sz w:val="18"/>
                <w:szCs w:val="18"/>
              </w:rPr>
              <w:t xml:space="preserve">de </w:t>
            </w:r>
            <w:r w:rsidR="0009561B">
              <w:rPr>
                <w:rFonts w:cs="Tahoma"/>
                <w:sz w:val="18"/>
                <w:szCs w:val="18"/>
              </w:rPr>
              <w:t>agosto</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361FC408"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9"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9"/>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09561B">
        <w:rPr>
          <w:bCs/>
        </w:rPr>
        <w:t>02</w:t>
      </w:r>
      <w:r w:rsidR="00B80083" w:rsidRPr="0084218F">
        <w:rPr>
          <w:bCs/>
        </w:rPr>
        <w:t xml:space="preserve"> de </w:t>
      </w:r>
      <w:r w:rsidR="0009561B">
        <w:rPr>
          <w:bCs/>
        </w:rPr>
        <w:t>agosto</w:t>
      </w:r>
      <w:r w:rsidR="00B80083" w:rsidRPr="0084218F">
        <w:rPr>
          <w:bCs/>
        </w:rPr>
        <w:t xml:space="preserve">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25854377" w:rsidR="00CC6A8A" w:rsidRDefault="00CC6A8A" w:rsidP="00CC6A8A">
      <w:pPr>
        <w:pStyle w:val="Body"/>
        <w:rPr>
          <w:bCs/>
          <w:lang w:val="en-US"/>
        </w:rPr>
      </w:pPr>
    </w:p>
    <w:p w14:paraId="0479FB22" w14:textId="77777777" w:rsidR="00EA707C" w:rsidRDefault="00EA707C"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9"/>
    </w:p>
    <w:sectPr w:rsidR="00C70E5E" w:rsidRPr="0084218F" w:rsidSect="001E3A90">
      <w:headerReference w:type="default" r:id="rId12"/>
      <w:footerReference w:type="default" r:id="rId13"/>
      <w:head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6859" w14:textId="77777777" w:rsidR="00F86492" w:rsidRDefault="00F86492">
      <w:r>
        <w:separator/>
      </w:r>
    </w:p>
    <w:p w14:paraId="49BD0C8D" w14:textId="77777777" w:rsidR="00F86492" w:rsidRDefault="00F86492"/>
  </w:endnote>
  <w:endnote w:type="continuationSeparator" w:id="0">
    <w:p w14:paraId="6E13458D" w14:textId="77777777" w:rsidR="00F86492" w:rsidRDefault="00F86492">
      <w:r>
        <w:continuationSeparator/>
      </w:r>
    </w:p>
    <w:p w14:paraId="746015A6" w14:textId="77777777" w:rsidR="00F86492" w:rsidRDefault="00F86492"/>
  </w:endnote>
  <w:endnote w:type="continuationNotice" w:id="1">
    <w:p w14:paraId="114DA764" w14:textId="77777777" w:rsidR="00F86492" w:rsidRDefault="00F86492"/>
    <w:p w14:paraId="6B1B5BA0" w14:textId="77777777" w:rsidR="00F86492" w:rsidRDefault="00F86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E69D" w14:textId="77777777" w:rsidR="00F86492" w:rsidRDefault="00F86492">
      <w:r>
        <w:separator/>
      </w:r>
    </w:p>
    <w:p w14:paraId="00AC067B" w14:textId="77777777" w:rsidR="00F86492" w:rsidRDefault="00F86492"/>
  </w:footnote>
  <w:footnote w:type="continuationSeparator" w:id="0">
    <w:p w14:paraId="15F8860E" w14:textId="77777777" w:rsidR="00F86492" w:rsidRDefault="00F86492">
      <w:r>
        <w:continuationSeparator/>
      </w:r>
    </w:p>
    <w:p w14:paraId="7A3B7517" w14:textId="77777777" w:rsidR="00F86492" w:rsidRDefault="00F86492"/>
  </w:footnote>
  <w:footnote w:type="continuationNotice" w:id="1">
    <w:p w14:paraId="075FE5FF" w14:textId="77777777" w:rsidR="00F86492" w:rsidRDefault="00F86492"/>
    <w:p w14:paraId="0507217C" w14:textId="77777777" w:rsidR="00F86492" w:rsidRDefault="00F86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AD57" w14:textId="77777777" w:rsidR="008609BB" w:rsidRPr="001E4688" w:rsidRDefault="008609BB" w:rsidP="006B12DA">
    <w:pPr>
      <w:pStyle w:val="Cabealho"/>
      <w:spacing w:after="0"/>
      <w:jc w:val="right"/>
      <w:rPr>
        <w:i/>
        <w:iCs/>
      </w:rPr>
    </w:pPr>
    <w:r w:rsidRPr="001E4688">
      <w:rPr>
        <w:i/>
        <w:iCs/>
      </w:rPr>
      <w:t>Minuta LDR</w:t>
    </w:r>
  </w:p>
  <w:p w14:paraId="6841D8FD" w14:textId="6E3100E6" w:rsidR="008609BB" w:rsidRPr="001E4688" w:rsidRDefault="008609BB" w:rsidP="006B12DA">
    <w:pPr>
      <w:pStyle w:val="Cabealho"/>
      <w:spacing w:after="0"/>
      <w:jc w:val="right"/>
      <w:rPr>
        <w:i/>
        <w:iCs/>
      </w:rPr>
    </w:pPr>
    <w:r>
      <w:rPr>
        <w:i/>
        <w:iCs/>
      </w:rPr>
      <w:fldChar w:fldCharType="begin"/>
    </w:r>
    <w:r>
      <w:rPr>
        <w:i/>
        <w:iCs/>
      </w:rPr>
      <w:instrText xml:space="preserve"> TIME \@ "dd/MM/yy" </w:instrText>
    </w:r>
    <w:r>
      <w:rPr>
        <w:i/>
        <w:iCs/>
      </w:rPr>
      <w:fldChar w:fldCharType="separate"/>
    </w:r>
    <w:r w:rsidR="00A31E1B">
      <w:rPr>
        <w:i/>
        <w:iCs/>
        <w:noProof/>
      </w:rPr>
      <w:t>18/03/22</w:t>
    </w:r>
    <w:r>
      <w:rPr>
        <w:i/>
        <w:iCs/>
      </w:rPr>
      <w:fldChar w:fldCharType="end"/>
    </w:r>
  </w:p>
  <w:p w14:paraId="7F64F261" w14:textId="77777777" w:rsidR="00355B9E" w:rsidRDefault="00355B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7179B3"/>
    <w:multiLevelType w:val="hybridMultilevel"/>
    <w:tmpl w:val="4BE61F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673F3C"/>
    <w:multiLevelType w:val="multilevel"/>
    <w:tmpl w:val="E2E06F2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iCs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5"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6"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2"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924EFA"/>
    <w:multiLevelType w:val="hybridMultilevel"/>
    <w:tmpl w:val="40B619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7"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4" w15:restartNumberingAfterBreak="0">
    <w:nsid w:val="68FB33FD"/>
    <w:multiLevelType w:val="hybridMultilevel"/>
    <w:tmpl w:val="8EA840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1"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2"/>
  </w:num>
  <w:num w:numId="2">
    <w:abstractNumId w:val="46"/>
  </w:num>
  <w:num w:numId="3">
    <w:abstractNumId w:val="58"/>
  </w:num>
  <w:num w:numId="4">
    <w:abstractNumId w:val="10"/>
  </w:num>
  <w:num w:numId="5">
    <w:abstractNumId w:val="5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6"/>
  </w:num>
  <w:num w:numId="10">
    <w:abstractNumId w:val="23"/>
  </w:num>
  <w:num w:numId="11">
    <w:abstractNumId w:val="52"/>
  </w:num>
  <w:num w:numId="12">
    <w:abstractNumId w:val="0"/>
  </w:num>
  <w:num w:numId="13">
    <w:abstractNumId w:val="54"/>
  </w:num>
  <w:num w:numId="14">
    <w:abstractNumId w:val="25"/>
  </w:num>
  <w:num w:numId="15">
    <w:abstractNumId w:val="2"/>
  </w:num>
  <w:num w:numId="16">
    <w:abstractNumId w:val="82"/>
  </w:num>
  <w:num w:numId="17">
    <w:abstractNumId w:val="62"/>
  </w:num>
  <w:num w:numId="18">
    <w:abstractNumId w:val="21"/>
  </w:num>
  <w:num w:numId="19">
    <w:abstractNumId w:val="38"/>
  </w:num>
  <w:num w:numId="20">
    <w:abstractNumId w:val="30"/>
  </w:num>
  <w:num w:numId="21">
    <w:abstractNumId w:val="49"/>
  </w:num>
  <w:num w:numId="22">
    <w:abstractNumId w:val="84"/>
  </w:num>
  <w:num w:numId="23">
    <w:abstractNumId w:val="33"/>
  </w:num>
  <w:num w:numId="24">
    <w:abstractNumId w:val="18"/>
  </w:num>
  <w:num w:numId="25">
    <w:abstractNumId w:val="47"/>
  </w:num>
  <w:num w:numId="26">
    <w:abstractNumId w:val="35"/>
  </w:num>
  <w:num w:numId="27">
    <w:abstractNumId w:val="92"/>
  </w:num>
  <w:num w:numId="28">
    <w:abstractNumId w:val="89"/>
  </w:num>
  <w:num w:numId="29">
    <w:abstractNumId w:val="24"/>
  </w:num>
  <w:num w:numId="30">
    <w:abstractNumId w:val="45"/>
  </w:num>
  <w:num w:numId="31">
    <w:abstractNumId w:val="51"/>
  </w:num>
  <w:num w:numId="32">
    <w:abstractNumId w:val="48"/>
  </w:num>
  <w:num w:numId="33">
    <w:abstractNumId w:val="17"/>
  </w:num>
  <w:num w:numId="34">
    <w:abstractNumId w:val="86"/>
  </w:num>
  <w:num w:numId="35">
    <w:abstractNumId w:val="93"/>
  </w:num>
  <w:num w:numId="36">
    <w:abstractNumId w:val="61"/>
  </w:num>
  <w:num w:numId="37">
    <w:abstractNumId w:val="40"/>
  </w:num>
  <w:num w:numId="38">
    <w:abstractNumId w:val="94"/>
  </w:num>
  <w:num w:numId="39">
    <w:abstractNumId w:val="83"/>
  </w:num>
  <w:num w:numId="40">
    <w:abstractNumId w:val="77"/>
  </w:num>
  <w:num w:numId="41">
    <w:abstractNumId w:val="14"/>
  </w:num>
  <w:num w:numId="42">
    <w:abstractNumId w:val="7"/>
  </w:num>
  <w:num w:numId="43">
    <w:abstractNumId w:val="65"/>
  </w:num>
  <w:num w:numId="44">
    <w:abstractNumId w:val="60"/>
  </w:num>
  <w:num w:numId="45">
    <w:abstractNumId w:val="90"/>
  </w:num>
  <w:num w:numId="46">
    <w:abstractNumId w:val="66"/>
  </w:num>
  <w:num w:numId="47">
    <w:abstractNumId w:val="56"/>
  </w:num>
  <w:num w:numId="48">
    <w:abstractNumId w:val="85"/>
  </w:num>
  <w:num w:numId="49">
    <w:abstractNumId w:val="79"/>
  </w:num>
  <w:num w:numId="50">
    <w:abstractNumId w:val="12"/>
  </w:num>
  <w:num w:numId="51">
    <w:abstractNumId w:val="29"/>
  </w:num>
  <w:num w:numId="52">
    <w:abstractNumId w:val="64"/>
  </w:num>
  <w:num w:numId="53">
    <w:abstractNumId w:val="72"/>
  </w:num>
  <w:num w:numId="54">
    <w:abstractNumId w:val="6"/>
  </w:num>
  <w:num w:numId="55">
    <w:abstractNumId w:val="34"/>
  </w:num>
  <w:num w:numId="56">
    <w:abstractNumId w:val="75"/>
  </w:num>
  <w:num w:numId="57">
    <w:abstractNumId w:val="28"/>
  </w:num>
  <w:num w:numId="58">
    <w:abstractNumId w:val="39"/>
  </w:num>
  <w:num w:numId="59">
    <w:abstractNumId w:val="78"/>
  </w:num>
  <w:num w:numId="60">
    <w:abstractNumId w:val="27"/>
  </w:num>
  <w:num w:numId="61">
    <w:abstractNumId w:val="53"/>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num>
  <w:num w:numId="67">
    <w:abstractNumId w:val="66"/>
    <w:lvlOverride w:ilvl="0">
      <w:startOverride w:val="1"/>
    </w:lvlOverride>
  </w:num>
  <w:num w:numId="68">
    <w:abstractNumId w:val="66"/>
    <w:lvlOverride w:ilvl="0">
      <w:startOverride w:val="1"/>
    </w:lvlOverride>
  </w:num>
  <w:num w:numId="69">
    <w:abstractNumId w:val="66"/>
    <w:lvlOverride w:ilvl="0">
      <w:startOverride w:val="1"/>
    </w:lvlOverride>
  </w:num>
  <w:num w:numId="70">
    <w:abstractNumId w:val="66"/>
    <w:lvlOverride w:ilvl="0">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2"/>
    </w:lvlOverride>
    <w:lvlOverride w:ilvl="1">
      <w:startOverride w:val="12"/>
    </w:lvlOverride>
  </w:num>
  <w:num w:numId="75">
    <w:abstractNumId w:val="14"/>
    <w:lvlOverride w:ilvl="0">
      <w:startOverride w:val="1"/>
    </w:lvlOverride>
    <w:lvlOverride w:ilvl="1">
      <w:startOverride w:val="1"/>
    </w:lvlOverride>
  </w:num>
  <w:num w:numId="76">
    <w:abstractNumId w:val="73"/>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lvlOverride w:ilvl="0">
      <w:startOverride w:val="2"/>
    </w:lvlOverride>
    <w:lvlOverride w:ilvl="1">
      <w:startOverride w:val="2"/>
    </w:lvlOverride>
  </w:num>
  <w:num w:numId="90">
    <w:abstractNumId w:val="14"/>
  </w:num>
  <w:num w:numId="91">
    <w:abstractNumId w:val="66"/>
  </w:num>
  <w:num w:numId="92">
    <w:abstractNumId w:val="65"/>
  </w:num>
  <w:num w:numId="93">
    <w:abstractNumId w:val="65"/>
  </w:num>
  <w:num w:numId="94">
    <w:abstractNumId w:val="65"/>
  </w:num>
  <w:num w:numId="95">
    <w:abstractNumId w:val="65"/>
  </w:num>
  <w:num w:numId="96">
    <w:abstractNumId w:val="65"/>
  </w:num>
  <w:num w:numId="97">
    <w:abstractNumId w:val="14"/>
  </w:num>
  <w:num w:numId="98">
    <w:abstractNumId w:val="66"/>
  </w:num>
  <w:num w:numId="99">
    <w:abstractNumId w:val="7"/>
  </w:num>
  <w:num w:numId="100">
    <w:abstractNumId w:val="88"/>
  </w:num>
  <w:num w:numId="101">
    <w:abstractNumId w:val="5"/>
  </w:num>
  <w:num w:numId="102">
    <w:abstractNumId w:val="3"/>
  </w:num>
  <w:num w:numId="103">
    <w:abstractNumId w:val="4"/>
  </w:num>
  <w:num w:numId="104">
    <w:abstractNumId w:val="13"/>
  </w:num>
  <w:num w:numId="105">
    <w:abstractNumId w:val="44"/>
  </w:num>
  <w:num w:numId="106">
    <w:abstractNumId w:val="36"/>
  </w:num>
  <w:num w:numId="107">
    <w:abstractNumId w:val="80"/>
  </w:num>
  <w:num w:numId="108">
    <w:abstractNumId w:val="9"/>
  </w:num>
  <w:num w:numId="109">
    <w:abstractNumId w:val="57"/>
  </w:num>
  <w:num w:numId="110">
    <w:abstractNumId w:val="37"/>
  </w:num>
  <w:num w:numId="111">
    <w:abstractNumId w:val="42"/>
  </w:num>
  <w:num w:numId="112">
    <w:abstractNumId w:val="69"/>
  </w:num>
  <w:num w:numId="1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num>
  <w:num w:numId="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num>
  <w:num w:numId="119">
    <w:abstractNumId w:val="14"/>
  </w:num>
  <w:num w:numId="120">
    <w:abstractNumId w:val="7"/>
  </w:num>
  <w:num w:numId="121">
    <w:abstractNumId w:val="65"/>
  </w:num>
  <w:num w:numId="122">
    <w:abstractNumId w:val="65"/>
  </w:num>
  <w:num w:numId="123">
    <w:abstractNumId w:val="65"/>
  </w:num>
  <w:num w:numId="124">
    <w:abstractNumId w:val="65"/>
  </w:num>
  <w:num w:numId="125">
    <w:abstractNumId w:val="65"/>
  </w:num>
  <w:num w:numId="126">
    <w:abstractNumId w:val="27"/>
  </w:num>
  <w:num w:numId="127">
    <w:abstractNumId w:val="27"/>
  </w:num>
  <w:num w:numId="128">
    <w:abstractNumId w:val="27"/>
  </w:num>
  <w:num w:numId="129">
    <w:abstractNumId w:val="27"/>
  </w:num>
  <w:num w:numId="130">
    <w:abstractNumId w:val="27"/>
  </w:num>
  <w:num w:numId="131">
    <w:abstractNumId w:val="27"/>
  </w:num>
  <w:num w:numId="132">
    <w:abstractNumId w:val="27"/>
  </w:num>
  <w:num w:numId="133">
    <w:abstractNumId w:val="27"/>
  </w:num>
  <w:num w:numId="134">
    <w:abstractNumId w:val="49"/>
  </w:num>
  <w:num w:numId="135">
    <w:abstractNumId w:val="84"/>
  </w:num>
  <w:num w:numId="136">
    <w:abstractNumId w:val="33"/>
  </w:num>
  <w:num w:numId="137">
    <w:abstractNumId w:val="18"/>
  </w:num>
  <w:num w:numId="138">
    <w:abstractNumId w:val="47"/>
  </w:num>
  <w:num w:numId="139">
    <w:abstractNumId w:val="35"/>
  </w:num>
  <w:num w:numId="140">
    <w:abstractNumId w:val="92"/>
  </w:num>
  <w:num w:numId="141">
    <w:abstractNumId w:val="92"/>
  </w:num>
  <w:num w:numId="142">
    <w:abstractNumId w:val="92"/>
  </w:num>
  <w:num w:numId="143">
    <w:abstractNumId w:val="92"/>
  </w:num>
  <w:num w:numId="144">
    <w:abstractNumId w:val="92"/>
  </w:num>
  <w:num w:numId="145">
    <w:abstractNumId w:val="92"/>
  </w:num>
  <w:num w:numId="146">
    <w:abstractNumId w:val="89"/>
  </w:num>
  <w:num w:numId="147">
    <w:abstractNumId w:val="91"/>
  </w:num>
  <w:num w:numId="148">
    <w:abstractNumId w:val="45"/>
  </w:num>
  <w:num w:numId="149">
    <w:abstractNumId w:val="51"/>
  </w:num>
  <w:num w:numId="150">
    <w:abstractNumId w:val="48"/>
  </w:num>
  <w:num w:numId="151">
    <w:abstractNumId w:val="17"/>
  </w:num>
  <w:num w:numId="152">
    <w:abstractNumId w:val="86"/>
  </w:num>
  <w:num w:numId="153">
    <w:abstractNumId w:val="93"/>
  </w:num>
  <w:num w:numId="154">
    <w:abstractNumId w:val="61"/>
  </w:num>
  <w:num w:numId="155">
    <w:abstractNumId w:val="40"/>
  </w:num>
  <w:num w:numId="156">
    <w:abstractNumId w:val="94"/>
  </w:num>
  <w:num w:numId="157">
    <w:abstractNumId w:val="83"/>
  </w:num>
  <w:num w:numId="158">
    <w:abstractNumId w:val="77"/>
  </w:num>
  <w:num w:numId="159">
    <w:abstractNumId w:val="14"/>
  </w:num>
  <w:num w:numId="160">
    <w:abstractNumId w:val="14"/>
  </w:num>
  <w:num w:numId="161">
    <w:abstractNumId w:val="14"/>
  </w:num>
  <w:num w:numId="162">
    <w:abstractNumId w:val="14"/>
  </w:num>
  <w:num w:numId="163">
    <w:abstractNumId w:val="14"/>
  </w:num>
  <w:num w:numId="164">
    <w:abstractNumId w:val="14"/>
  </w:num>
  <w:num w:numId="165">
    <w:abstractNumId w:val="14"/>
  </w:num>
  <w:num w:numId="166">
    <w:abstractNumId w:val="14"/>
  </w:num>
  <w:num w:numId="167">
    <w:abstractNumId w:val="14"/>
  </w:num>
  <w:num w:numId="168">
    <w:abstractNumId w:val="7"/>
  </w:num>
  <w:num w:numId="169">
    <w:abstractNumId w:val="55"/>
  </w:num>
  <w:num w:numId="170">
    <w:abstractNumId w:val="55"/>
  </w:num>
  <w:num w:numId="171">
    <w:abstractNumId w:val="55"/>
  </w:num>
  <w:num w:numId="172">
    <w:abstractNumId w:val="65"/>
  </w:num>
  <w:num w:numId="173">
    <w:abstractNumId w:val="43"/>
  </w:num>
  <w:num w:numId="174">
    <w:abstractNumId w:val="50"/>
  </w:num>
  <w:num w:numId="175">
    <w:abstractNumId w:val="19"/>
  </w:num>
  <w:num w:numId="176">
    <w:abstractNumId w:val="87"/>
  </w:num>
  <w:num w:numId="177">
    <w:abstractNumId w:val="70"/>
  </w:num>
  <w:num w:numId="178">
    <w:abstractNumId w:val="81"/>
  </w:num>
  <w:num w:numId="179">
    <w:abstractNumId w:val="68"/>
  </w:num>
  <w:num w:numId="180">
    <w:abstractNumId w:val="6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5"/>
  </w:num>
  <w:num w:numId="182">
    <w:abstractNumId w:val="6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71"/>
  </w:num>
  <w:num w:numId="184">
    <w:abstractNumId w:val="71"/>
  </w:num>
  <w:num w:numId="185">
    <w:abstractNumId w:val="71"/>
  </w:num>
  <w:num w:numId="186">
    <w:abstractNumId w:val="71"/>
  </w:num>
  <w:num w:numId="187">
    <w:abstractNumId w:val="71"/>
  </w:num>
  <w:num w:numId="188">
    <w:abstractNumId w:val="26"/>
  </w:num>
  <w:num w:numId="189">
    <w:abstractNumId w:val="63"/>
  </w:num>
  <w:num w:numId="190">
    <w:abstractNumId w:val="20"/>
  </w:num>
  <w:num w:numId="191">
    <w:abstractNumId w:val="60"/>
  </w:num>
  <w:num w:numId="192">
    <w:abstractNumId w:val="90"/>
  </w:num>
  <w:num w:numId="193">
    <w:abstractNumId w:val="66"/>
  </w:num>
  <w:num w:numId="194">
    <w:abstractNumId w:val="56"/>
  </w:num>
  <w:num w:numId="195">
    <w:abstractNumId w:val="85"/>
  </w:num>
  <w:num w:numId="196">
    <w:abstractNumId w:val="79"/>
  </w:num>
  <w:num w:numId="197">
    <w:abstractNumId w:val="12"/>
  </w:num>
  <w:num w:numId="198">
    <w:abstractNumId w:val="12"/>
  </w:num>
  <w:num w:numId="199">
    <w:abstractNumId w:val="12"/>
  </w:num>
  <w:num w:numId="200">
    <w:abstractNumId w:val="12"/>
  </w:num>
  <w:num w:numId="201">
    <w:abstractNumId w:val="12"/>
  </w:num>
  <w:num w:numId="202">
    <w:abstractNumId w:val="12"/>
  </w:num>
  <w:num w:numId="203">
    <w:abstractNumId w:val="29"/>
  </w:num>
  <w:num w:numId="204">
    <w:abstractNumId w:val="64"/>
  </w:num>
  <w:num w:numId="205">
    <w:abstractNumId w:val="72"/>
  </w:num>
  <w:num w:numId="206">
    <w:abstractNumId w:val="6"/>
  </w:num>
  <w:num w:numId="207">
    <w:abstractNumId w:val="34"/>
  </w:num>
  <w:num w:numId="208">
    <w:abstractNumId w:val="75"/>
  </w:num>
  <w:num w:numId="209">
    <w:abstractNumId w:val="28"/>
  </w:num>
  <w:num w:numId="210">
    <w:abstractNumId w:val="39"/>
  </w:num>
  <w:num w:numId="211">
    <w:abstractNumId w:val="78"/>
  </w:num>
  <w:num w:numId="212">
    <w:abstractNumId w:val="27"/>
  </w:num>
  <w:num w:numId="213">
    <w:abstractNumId w:val="53"/>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
  </w:num>
  <w:num w:numId="218">
    <w:abstractNumId w:val="14"/>
  </w:num>
  <w:num w:numId="219">
    <w:abstractNumId w:val="14"/>
  </w:num>
  <w:num w:numId="220">
    <w:abstractNumId w:val="14"/>
  </w:num>
  <w:num w:numId="221">
    <w:abstractNumId w:val="14"/>
  </w:num>
  <w:num w:numId="222">
    <w:abstractNumId w:val="14"/>
  </w:num>
  <w:num w:numId="223">
    <w:abstractNumId w:val="14"/>
  </w:num>
  <w:num w:numId="224">
    <w:abstractNumId w:val="14"/>
  </w:num>
  <w:num w:numId="225">
    <w:abstractNumId w:val="14"/>
  </w:num>
  <w:num w:numId="226">
    <w:abstractNumId w:val="14"/>
  </w:num>
  <w:num w:numId="227">
    <w:abstractNumId w:val="14"/>
  </w:num>
  <w:num w:numId="228">
    <w:abstractNumId w:val="14"/>
  </w:num>
  <w:num w:numId="229">
    <w:abstractNumId w:val="14"/>
  </w:num>
  <w:num w:numId="230">
    <w:abstractNumId w:val="14"/>
  </w:num>
  <w:num w:numId="231">
    <w:abstractNumId w:val="33"/>
    <w:lvlOverride w:ilvl="0">
      <w:startOverride w:val="1"/>
    </w:lvlOverride>
  </w:num>
  <w:num w:numId="232">
    <w:abstractNumId w:val="33"/>
    <w:lvlOverride w:ilvl="0">
      <w:startOverride w:val="1"/>
    </w:lvlOverride>
  </w:num>
  <w:num w:numId="233">
    <w:abstractNumId w:val="33"/>
    <w:lvlOverride w:ilvl="0">
      <w:startOverride w:val="1"/>
    </w:lvlOverride>
  </w:num>
  <w:num w:numId="234">
    <w:abstractNumId w:val="14"/>
  </w:num>
  <w:num w:numId="235">
    <w:abstractNumId w:val="14"/>
  </w:num>
  <w:num w:numId="236">
    <w:abstractNumId w:val="14"/>
  </w:num>
  <w:num w:numId="237">
    <w:abstractNumId w:val="14"/>
  </w:num>
  <w:num w:numId="238">
    <w:abstractNumId w:val="14"/>
  </w:num>
  <w:num w:numId="239">
    <w:abstractNumId w:val="14"/>
  </w:num>
  <w:num w:numId="240">
    <w:abstractNumId w:val="14"/>
  </w:num>
  <w:num w:numId="241">
    <w:abstractNumId w:val="41"/>
  </w:num>
  <w:num w:numId="242">
    <w:abstractNumId w:val="8"/>
  </w:num>
  <w:num w:numId="243">
    <w:abstractNumId w:val="74"/>
  </w:num>
  <w:num w:numId="244">
    <w:abstractNumId w:val="14"/>
    <w:lvlOverride w:ilvl="0">
      <w:startOverride w:val="2"/>
    </w:lvlOverride>
    <w:lvlOverride w:ilvl="1">
      <w:startOverride w:val="1"/>
    </w:lvlOverride>
    <w:lvlOverride w:ilvl="2">
      <w:startOverride w:val="2"/>
    </w:lvlOverride>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06ED"/>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9561B"/>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1DFE"/>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4D18"/>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58AE"/>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0E9"/>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2F778C"/>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DEE"/>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5B9E"/>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5BD0"/>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6575"/>
    <w:rsid w:val="0042727A"/>
    <w:rsid w:val="004272BC"/>
    <w:rsid w:val="00427CB6"/>
    <w:rsid w:val="00430503"/>
    <w:rsid w:val="00432105"/>
    <w:rsid w:val="004322B3"/>
    <w:rsid w:val="00432785"/>
    <w:rsid w:val="00434859"/>
    <w:rsid w:val="0043499A"/>
    <w:rsid w:val="004354ED"/>
    <w:rsid w:val="004361F4"/>
    <w:rsid w:val="0043654C"/>
    <w:rsid w:val="00442DBD"/>
    <w:rsid w:val="004438D5"/>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96D8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581E"/>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4A86"/>
    <w:rsid w:val="005659E9"/>
    <w:rsid w:val="005659FC"/>
    <w:rsid w:val="00566336"/>
    <w:rsid w:val="00571BCA"/>
    <w:rsid w:val="0057396F"/>
    <w:rsid w:val="005740DB"/>
    <w:rsid w:val="00577CA0"/>
    <w:rsid w:val="00580201"/>
    <w:rsid w:val="0058307F"/>
    <w:rsid w:val="00587511"/>
    <w:rsid w:val="005904A5"/>
    <w:rsid w:val="005909BD"/>
    <w:rsid w:val="00592DE3"/>
    <w:rsid w:val="00593A2E"/>
    <w:rsid w:val="00595371"/>
    <w:rsid w:val="00595F89"/>
    <w:rsid w:val="005A123C"/>
    <w:rsid w:val="005A2190"/>
    <w:rsid w:val="005A2D1D"/>
    <w:rsid w:val="005A3085"/>
    <w:rsid w:val="005A3752"/>
    <w:rsid w:val="005A37D3"/>
    <w:rsid w:val="005A37E9"/>
    <w:rsid w:val="005A3B48"/>
    <w:rsid w:val="005A6CA7"/>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1EA8"/>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223D"/>
    <w:rsid w:val="0069284D"/>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2DA"/>
    <w:rsid w:val="006B1892"/>
    <w:rsid w:val="006B18A9"/>
    <w:rsid w:val="006B1C3B"/>
    <w:rsid w:val="006B2847"/>
    <w:rsid w:val="006B5C46"/>
    <w:rsid w:val="006B7774"/>
    <w:rsid w:val="006C1319"/>
    <w:rsid w:val="006C1C43"/>
    <w:rsid w:val="006C1F54"/>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0777"/>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2A6"/>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3BD1"/>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1A77"/>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09BB"/>
    <w:rsid w:val="00861341"/>
    <w:rsid w:val="00862817"/>
    <w:rsid w:val="0086345A"/>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4874"/>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09B"/>
    <w:rsid w:val="00945EE9"/>
    <w:rsid w:val="00946056"/>
    <w:rsid w:val="009463AB"/>
    <w:rsid w:val="00946C9A"/>
    <w:rsid w:val="00947291"/>
    <w:rsid w:val="0095116B"/>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7C0"/>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1E1B"/>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5B56"/>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90F"/>
    <w:rsid w:val="00A92E78"/>
    <w:rsid w:val="00A9369D"/>
    <w:rsid w:val="00A946C6"/>
    <w:rsid w:val="00A954B7"/>
    <w:rsid w:val="00AA0B58"/>
    <w:rsid w:val="00AA1905"/>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5650"/>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0682D"/>
    <w:rsid w:val="00B06A75"/>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77F23"/>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06F32"/>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C98"/>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2F1F"/>
    <w:rsid w:val="00CC411F"/>
    <w:rsid w:val="00CC463A"/>
    <w:rsid w:val="00CC524E"/>
    <w:rsid w:val="00CC6A8A"/>
    <w:rsid w:val="00CD0AF5"/>
    <w:rsid w:val="00CD0E68"/>
    <w:rsid w:val="00CD20B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D06"/>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2CBB"/>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07C"/>
    <w:rsid w:val="00EA7683"/>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1B7"/>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18F6"/>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1E1F"/>
    <w:rsid w:val="00F62633"/>
    <w:rsid w:val="00F62771"/>
    <w:rsid w:val="00F66E52"/>
    <w:rsid w:val="00F6726A"/>
    <w:rsid w:val="00F702E5"/>
    <w:rsid w:val="00F71DFA"/>
    <w:rsid w:val="00F7215D"/>
    <w:rsid w:val="00F7240E"/>
    <w:rsid w:val="00F72478"/>
    <w:rsid w:val="00F754D5"/>
    <w:rsid w:val="00F774DE"/>
    <w:rsid w:val="00F77CA1"/>
    <w:rsid w:val="00F77F4B"/>
    <w:rsid w:val="00F8084A"/>
    <w:rsid w:val="00F80A2C"/>
    <w:rsid w:val="00F8117F"/>
    <w:rsid w:val="00F82A3E"/>
    <w:rsid w:val="00F85022"/>
    <w:rsid w:val="00F85243"/>
    <w:rsid w:val="00F8569B"/>
    <w:rsid w:val="00F85DC5"/>
    <w:rsid w:val="00F86118"/>
    <w:rsid w:val="00F86492"/>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51F3"/>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 w:type="character" w:customStyle="1" w:styleId="CabealhoChar3">
    <w:name w:val="Cabeçalho Char3"/>
    <w:rsid w:val="008609BB"/>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78108460">
      <w:bodyDiv w:val="1"/>
      <w:marLeft w:val="0"/>
      <w:marRight w:val="0"/>
      <w:marTop w:val="0"/>
      <w:marBottom w:val="0"/>
      <w:divBdr>
        <w:top w:val="none" w:sz="0" w:space="0" w:color="auto"/>
        <w:left w:val="none" w:sz="0" w:space="0" w:color="auto"/>
        <w:bottom w:val="none" w:sz="0" w:space="0" w:color="auto"/>
        <w:right w:val="none" w:sz="0" w:space="0" w:color="auto"/>
      </w:divBdr>
    </w:div>
    <w:div w:id="487328820">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279216308">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Nilton.bertuchi@lyoncapital.com.br" TargetMode="External" Id="rId10"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 G E D ! 5 9 0 4 6 8 7 . 6 < / d o c u m e n t i d >  
     < s e n d e r i d > I S A B E L L A . M I R A N D A < / s e n d e r i d >  
     < s e n d e r e m a i l > I S A B E L L A . M I R A N D A @ L D R . C O M . B R < / s e n d e r e m a i l >  
     < l a s t m o d i f i e d > 2 0 2 2 - 0 3 - 1 8 T 0 9 : 3 9 : 0 0 . 0 0 0 0 0 0 0 - 0 3 : 0 0 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13967</Words>
  <Characters>80068</Characters>
  <Application>Microsoft Office Word</Application>
  <DocSecurity>0</DocSecurity>
  <PresentationFormat/>
  <Lines>667</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2022-03-18T12:39:00Z</dcterms:created>
  <dcterms:modified xsi:type="dcterms:W3CDTF">2022-03-18T12:39:00Z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5596492v22</vt:lpwstr>
  </property>
</Properties>
</file>