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82D5D" w14:textId="4EFF9592" w:rsidR="00484FC0" w:rsidRPr="0084218F" w:rsidRDefault="008609BB" w:rsidP="00307563">
      <w:pPr>
        <w:pStyle w:val="Ttulo"/>
        <w:jc w:val="center"/>
        <w:rPr>
          <w:smallCaps/>
        </w:rPr>
      </w:pPr>
      <w:r>
        <w:t>SEGUNDO</w:t>
      </w:r>
      <w:r w:rsidRPr="0084218F">
        <w:t xml:space="preserve"> </w:t>
      </w:r>
      <w:r w:rsidR="00317B4D" w:rsidRPr="0084218F">
        <w:t xml:space="preserve">ADITAMENTO AO </w:t>
      </w:r>
      <w:r w:rsidR="00402DA3" w:rsidRPr="0084218F">
        <w:t>CONTRATO</w:t>
      </w:r>
      <w:r w:rsidR="00484FC0" w:rsidRPr="0084218F">
        <w:t xml:space="preserve"> DE ALIENAÇÃO FIDUCIÁRIA </w:t>
      </w:r>
      <w:r w:rsidR="005B712A" w:rsidRPr="0084218F">
        <w:t>DE</w:t>
      </w:r>
      <w:r w:rsidR="00484FC0" w:rsidRPr="0084218F">
        <w:t xml:space="preserve"> AÇÕES E OUTRAS AVENÇAS</w:t>
      </w:r>
    </w:p>
    <w:p w14:paraId="5171143D" w14:textId="74423C06" w:rsidR="00484FC0" w:rsidRDefault="00484FC0" w:rsidP="00307563">
      <w:pPr>
        <w:pStyle w:val="Ttulo"/>
        <w:jc w:val="center"/>
        <w:rPr>
          <w:smallCaps/>
          <w:kern w:val="2"/>
          <w:lang w:eastAsia="zh-CN"/>
        </w:rPr>
      </w:pPr>
    </w:p>
    <w:p w14:paraId="7A223EA0" w14:textId="5D8999DF" w:rsidR="00484FC0" w:rsidRPr="0084218F" w:rsidRDefault="00484FC0" w:rsidP="00307563">
      <w:pPr>
        <w:pStyle w:val="Ttulo"/>
        <w:jc w:val="center"/>
        <w:rPr>
          <w:kern w:val="2"/>
          <w:lang w:eastAsia="zh-CN"/>
        </w:rPr>
      </w:pPr>
      <w:r w:rsidRPr="00307563">
        <w:rPr>
          <w:b w:val="0"/>
          <w:bCs w:val="0"/>
          <w:kern w:val="2"/>
          <w:lang w:eastAsia="zh-CN"/>
        </w:rPr>
        <w:t>entre</w:t>
      </w:r>
    </w:p>
    <w:p w14:paraId="0EC9717F" w14:textId="71D5888E" w:rsidR="00484FC0" w:rsidRDefault="00484FC0" w:rsidP="00307563">
      <w:pPr>
        <w:pStyle w:val="Ttulo"/>
        <w:jc w:val="center"/>
        <w:rPr>
          <w:smallCaps/>
          <w:kern w:val="2"/>
          <w:lang w:eastAsia="zh-CN"/>
        </w:rPr>
      </w:pPr>
    </w:p>
    <w:p w14:paraId="22DABEFC" w14:textId="1437C933" w:rsidR="00484FC0" w:rsidRPr="00307563" w:rsidRDefault="00CC2078" w:rsidP="00307563">
      <w:pPr>
        <w:pStyle w:val="Ttulo"/>
        <w:jc w:val="center"/>
        <w:rPr>
          <w:b w:val="0"/>
          <w:bCs w:val="0"/>
          <w:kern w:val="2"/>
          <w:lang w:eastAsia="zh-CN"/>
        </w:rPr>
      </w:pPr>
      <w:bookmarkStart w:id="0" w:name="_DV_M2"/>
      <w:bookmarkEnd w:id="0"/>
      <w:r w:rsidRPr="0084218F">
        <w:t>LC LINHAS HOLDING LTDA.</w:t>
      </w:r>
      <w:bookmarkStart w:id="1" w:name="_DV_M3"/>
      <w:bookmarkEnd w:id="1"/>
      <w:r w:rsidR="00EA707C">
        <w:br/>
      </w:r>
      <w:r w:rsidR="00484FC0" w:rsidRPr="00307563">
        <w:rPr>
          <w:b w:val="0"/>
          <w:bCs w:val="0"/>
          <w:i/>
          <w:kern w:val="2"/>
          <w:lang w:eastAsia="zh-CN"/>
        </w:rPr>
        <w:t xml:space="preserve">na qualidade de </w:t>
      </w:r>
      <w:bookmarkStart w:id="2" w:name="_DV_M4"/>
      <w:bookmarkEnd w:id="2"/>
      <w:r w:rsidR="00484FC0" w:rsidRPr="00307563">
        <w:rPr>
          <w:b w:val="0"/>
          <w:bCs w:val="0"/>
          <w:i/>
          <w:kern w:val="2"/>
          <w:lang w:eastAsia="zh-CN"/>
        </w:rPr>
        <w:t>Alienante,</w:t>
      </w:r>
    </w:p>
    <w:p w14:paraId="3CDD9C6B" w14:textId="7133033C" w:rsidR="00484FC0" w:rsidRPr="0084218F" w:rsidRDefault="00484FC0" w:rsidP="00307563">
      <w:pPr>
        <w:pStyle w:val="Ttulo"/>
        <w:jc w:val="center"/>
        <w:rPr>
          <w:smallCaps/>
          <w:kern w:val="2"/>
          <w:lang w:eastAsia="zh-CN"/>
        </w:rPr>
      </w:pPr>
      <w:bookmarkStart w:id="3" w:name="_DV_M5"/>
      <w:bookmarkStart w:id="4" w:name="_DV_M6"/>
      <w:bookmarkEnd w:id="3"/>
      <w:bookmarkEnd w:id="4"/>
    </w:p>
    <w:p w14:paraId="07C274C7" w14:textId="3B2E628C" w:rsidR="00484FC0" w:rsidRDefault="00261A42" w:rsidP="00307563">
      <w:pPr>
        <w:pStyle w:val="Ttulo"/>
        <w:jc w:val="center"/>
        <w:rPr>
          <w:i/>
          <w:kern w:val="2"/>
          <w:lang w:eastAsia="zh-CN"/>
        </w:rPr>
      </w:pPr>
      <w:r w:rsidRPr="0084218F">
        <w:t>XP INFRA II FUNDO DE INVESTIMENTO EM PARTICIPAÇÕES EM INFRAESTRUTURA</w:t>
      </w:r>
      <w:r w:rsidR="00484FC0" w:rsidRPr="0084218F">
        <w:t>,</w:t>
      </w:r>
      <w:r w:rsidR="00687F68" w:rsidRPr="0084218F">
        <w:br/>
      </w:r>
      <w:r w:rsidRPr="00307563">
        <w:rPr>
          <w:b w:val="0"/>
          <w:bCs w:val="0"/>
          <w:i/>
          <w:kern w:val="2"/>
          <w:lang w:eastAsia="zh-CN"/>
        </w:rPr>
        <w:t>Debenturista</w:t>
      </w:r>
      <w:r w:rsidR="00484FC0" w:rsidRPr="0084218F">
        <w:rPr>
          <w:i/>
          <w:kern w:val="2"/>
          <w:lang w:eastAsia="zh-CN"/>
        </w:rPr>
        <w:t>,</w:t>
      </w:r>
    </w:p>
    <w:p w14:paraId="7D877776" w14:textId="77777777" w:rsidR="00EA707C" w:rsidRPr="00EA707C" w:rsidRDefault="00EA707C" w:rsidP="00EA707C">
      <w:pPr>
        <w:rPr>
          <w:lang w:eastAsia="zh-CN"/>
        </w:rPr>
      </w:pPr>
    </w:p>
    <w:p w14:paraId="69AE52E9" w14:textId="3BBAC4B1" w:rsidR="00CC2078" w:rsidRPr="00307563" w:rsidRDefault="00CC2078" w:rsidP="00307563">
      <w:pPr>
        <w:pStyle w:val="Ttulo"/>
        <w:jc w:val="center"/>
        <w:rPr>
          <w:b w:val="0"/>
          <w:bCs w:val="0"/>
          <w:i/>
          <w:kern w:val="2"/>
          <w:lang w:eastAsia="zh-CN"/>
        </w:rPr>
      </w:pPr>
      <w:r w:rsidRPr="0084218F">
        <w:t xml:space="preserve">SIMPLIFIC PAVARINI DISTRIBUIDORA DE TÍTULOS E </w:t>
      </w:r>
      <w:r w:rsidR="00EA707C">
        <w:br/>
      </w:r>
      <w:r w:rsidRPr="0084218F">
        <w:t>VALORES MOBILIÁRIOS LTDA.</w:t>
      </w:r>
      <w:r w:rsidR="00EA707C">
        <w:br/>
      </w:r>
      <w:r w:rsidRPr="00307563">
        <w:rPr>
          <w:b w:val="0"/>
          <w:bCs w:val="0"/>
          <w:i/>
          <w:kern w:val="2"/>
          <w:lang w:eastAsia="zh-CN"/>
        </w:rPr>
        <w:t>Agente Fiduciário,</w:t>
      </w:r>
    </w:p>
    <w:p w14:paraId="4A06A1AD" w14:textId="07188BE7" w:rsidR="00484FC0" w:rsidRDefault="00484FC0" w:rsidP="00307563">
      <w:pPr>
        <w:pStyle w:val="Ttulo"/>
        <w:jc w:val="center"/>
        <w:rPr>
          <w:smallCaps/>
          <w:kern w:val="2"/>
          <w:lang w:eastAsia="zh-CN"/>
        </w:rPr>
      </w:pPr>
    </w:p>
    <w:p w14:paraId="7B754A34" w14:textId="1BA68B10" w:rsidR="00484FC0" w:rsidRPr="00307563" w:rsidRDefault="00484FC0" w:rsidP="00307563">
      <w:pPr>
        <w:pStyle w:val="Ttulo"/>
        <w:jc w:val="center"/>
        <w:rPr>
          <w:b w:val="0"/>
          <w:bCs w:val="0"/>
          <w:kern w:val="2"/>
          <w:lang w:eastAsia="zh-CN"/>
        </w:rPr>
      </w:pPr>
      <w:r w:rsidRPr="00307563">
        <w:rPr>
          <w:b w:val="0"/>
          <w:bCs w:val="0"/>
          <w:kern w:val="2"/>
          <w:lang w:eastAsia="zh-CN"/>
        </w:rPr>
        <w:t>e, ainda,</w:t>
      </w:r>
    </w:p>
    <w:p w14:paraId="5DAC9D5B" w14:textId="6619F12A" w:rsidR="00484FC0" w:rsidRDefault="00484FC0" w:rsidP="00307563">
      <w:pPr>
        <w:pStyle w:val="Ttulo"/>
        <w:jc w:val="center"/>
        <w:rPr>
          <w:kern w:val="2"/>
          <w:lang w:eastAsia="zh-CN"/>
        </w:rPr>
      </w:pPr>
    </w:p>
    <w:p w14:paraId="055B2F8E" w14:textId="19602EC6" w:rsidR="00484FC0" w:rsidRDefault="00D60DA1" w:rsidP="00307563">
      <w:pPr>
        <w:pStyle w:val="Ttulo"/>
        <w:jc w:val="center"/>
        <w:rPr>
          <w:b w:val="0"/>
          <w:bCs w:val="0"/>
          <w:i/>
          <w:kern w:val="2"/>
          <w:lang w:eastAsia="zh-CN"/>
        </w:rPr>
      </w:pPr>
      <w:r w:rsidRPr="0084218F">
        <w:t>LC ENERGIA HOLDING S.A.</w:t>
      </w:r>
      <w:r w:rsidR="00EA707C">
        <w:br/>
      </w:r>
      <w:r w:rsidR="00484FC0" w:rsidRPr="00307563">
        <w:rPr>
          <w:b w:val="0"/>
          <w:bCs w:val="0"/>
          <w:i/>
          <w:kern w:val="2"/>
          <w:lang w:eastAsia="zh-CN"/>
        </w:rPr>
        <w:t>na qualidade de Interveniente Anuente</w:t>
      </w:r>
    </w:p>
    <w:p w14:paraId="11DEED80" w14:textId="5697EDC7" w:rsidR="00307563" w:rsidRDefault="00307563" w:rsidP="00883E60">
      <w:pPr>
        <w:pStyle w:val="Body"/>
        <w:rPr>
          <w:lang w:eastAsia="zh-CN"/>
        </w:rPr>
      </w:pPr>
    </w:p>
    <w:p w14:paraId="1D89D146" w14:textId="77777777" w:rsidR="000506ED" w:rsidRDefault="000506ED" w:rsidP="00883E60">
      <w:pPr>
        <w:pStyle w:val="Body"/>
        <w:rPr>
          <w:lang w:eastAsia="zh-CN"/>
        </w:rPr>
      </w:pPr>
    </w:p>
    <w:p w14:paraId="24E86F8F" w14:textId="040C80DE" w:rsidR="00307563" w:rsidRDefault="00307563" w:rsidP="00883E60">
      <w:pPr>
        <w:pStyle w:val="Body"/>
        <w:rPr>
          <w:lang w:eastAsia="zh-CN"/>
        </w:rPr>
      </w:pPr>
    </w:p>
    <w:p w14:paraId="163BFC62" w14:textId="74C9AA56" w:rsidR="00484FC0" w:rsidRPr="0084218F" w:rsidRDefault="000325B4" w:rsidP="00307563">
      <w:pPr>
        <w:pStyle w:val="Ttulo"/>
        <w:jc w:val="center"/>
        <w:rPr>
          <w:rFonts w:cs="Tahoma"/>
          <w:smallCaps/>
          <w:kern w:val="2"/>
          <w:sz w:val="20"/>
          <w:szCs w:val="20"/>
          <w:lang w:eastAsia="zh-CN"/>
        </w:rPr>
      </w:pPr>
      <w:r w:rsidRPr="0084218F">
        <w:rPr>
          <w:kern w:val="2"/>
          <w:lang w:eastAsia="zh-CN"/>
        </w:rPr>
        <w:t>Datado de</w:t>
      </w:r>
      <w:r w:rsidRPr="0084218F">
        <w:rPr>
          <w:kern w:val="2"/>
          <w:lang w:eastAsia="zh-CN"/>
        </w:rPr>
        <w:br/>
      </w:r>
      <w:bookmarkStart w:id="5" w:name="_DV_M10"/>
      <w:bookmarkStart w:id="6" w:name="_DV_M11"/>
      <w:bookmarkEnd w:id="5"/>
      <w:bookmarkEnd w:id="6"/>
      <w:r w:rsidR="00F8569B">
        <w:t>[</w:t>
      </w:r>
      <w:r w:rsidR="00DA2FCF">
        <w:t>23</w:t>
      </w:r>
      <w:r w:rsidR="00F8569B">
        <w:t>]</w:t>
      </w:r>
      <w:r w:rsidR="00631EA8">
        <w:t xml:space="preserve"> de [</w:t>
      </w:r>
      <w:r w:rsidR="00DA2FCF">
        <w:t>março</w:t>
      </w:r>
      <w:r w:rsidR="00631EA8">
        <w:t>] de 2022</w:t>
      </w:r>
    </w:p>
    <w:p w14:paraId="19849E8C" w14:textId="46CBE73C" w:rsidR="00687F68" w:rsidRPr="0084218F" w:rsidRDefault="008609BB" w:rsidP="00307563">
      <w:pPr>
        <w:pStyle w:val="TtuloAnexo"/>
      </w:pPr>
      <w:bookmarkStart w:id="7" w:name="_DV_M9"/>
      <w:bookmarkEnd w:id="7"/>
      <w:r>
        <w:lastRenderedPageBreak/>
        <w:t>SEGUNDO</w:t>
      </w:r>
      <w:r w:rsidRPr="0084218F">
        <w:t xml:space="preserve"> </w:t>
      </w:r>
      <w:r w:rsidR="00672855" w:rsidRPr="0084218F">
        <w:t xml:space="preserve">ADITAMENTO AO </w:t>
      </w:r>
      <w:r w:rsidR="00261A42" w:rsidRPr="0084218F">
        <w:t>CONTRATO</w:t>
      </w:r>
      <w:r w:rsidR="00672855" w:rsidRPr="0084218F">
        <w:t xml:space="preserve"> DE ALIENAÇÃO FIDUCIÁRIA </w:t>
      </w:r>
      <w:r w:rsidR="00EA707C" w:rsidRPr="0084218F">
        <w:t xml:space="preserve">DE </w:t>
      </w:r>
      <w:r w:rsidR="00672855" w:rsidRPr="0084218F">
        <w:t>AÇÕES E OUTRAS AVENÇAS</w:t>
      </w:r>
    </w:p>
    <w:p w14:paraId="5AB3AB76" w14:textId="77777777" w:rsidR="00307563" w:rsidRDefault="00307563" w:rsidP="00883E60">
      <w:pPr>
        <w:pStyle w:val="Body"/>
      </w:pPr>
    </w:p>
    <w:p w14:paraId="4CA7999E" w14:textId="090C9FA8" w:rsidR="00687F68" w:rsidRPr="0084218F" w:rsidRDefault="00672855" w:rsidP="00883E60">
      <w:pPr>
        <w:pStyle w:val="Body"/>
      </w:pPr>
      <w:r w:rsidRPr="0084218F">
        <w:t xml:space="preserve">Pelo presente </w:t>
      </w:r>
      <w:r w:rsidR="00A9290F">
        <w:t>“</w:t>
      </w:r>
      <w:r w:rsidR="008609BB" w:rsidRPr="00A9290F">
        <w:rPr>
          <w:i/>
          <w:iCs/>
        </w:rPr>
        <w:t xml:space="preserve">Segundo </w:t>
      </w:r>
      <w:r w:rsidRPr="00A9290F">
        <w:rPr>
          <w:i/>
          <w:iCs/>
        </w:rPr>
        <w:t xml:space="preserve">Aditamento ao </w:t>
      </w:r>
      <w:r w:rsidR="00261A42" w:rsidRPr="00A9290F">
        <w:rPr>
          <w:i/>
          <w:iCs/>
        </w:rPr>
        <w:t>Contrato</w:t>
      </w:r>
      <w:r w:rsidRPr="00A9290F">
        <w:rPr>
          <w:i/>
          <w:iCs/>
        </w:rPr>
        <w:t xml:space="preserve"> de Alienação Fiduciária</w:t>
      </w:r>
      <w:r w:rsidR="005B712A" w:rsidRPr="00A9290F">
        <w:rPr>
          <w:i/>
          <w:iCs/>
        </w:rPr>
        <w:t xml:space="preserve"> de Ações</w:t>
      </w:r>
      <w:r w:rsidRPr="00A9290F">
        <w:rPr>
          <w:i/>
          <w:iCs/>
        </w:rPr>
        <w:t xml:space="preserve"> e Outras Avenças</w:t>
      </w:r>
      <w:r w:rsidR="00A9290F">
        <w:t>”</w:t>
      </w:r>
      <w:r w:rsidRPr="0084218F">
        <w:t>, doravante denominado simplesmente “</w:t>
      </w:r>
      <w:r w:rsidR="00F8569B">
        <w:rPr>
          <w:b/>
          <w:bCs/>
        </w:rPr>
        <w:t xml:space="preserve">Segundo </w:t>
      </w:r>
      <w:r w:rsidRPr="0084218F">
        <w:rPr>
          <w:b/>
          <w:bCs/>
        </w:rPr>
        <w:t>Aditamento</w:t>
      </w:r>
      <w:r w:rsidRPr="0084218F">
        <w:t>”, as partes abaixo qualificadas (cada uma denominada individualmente “</w:t>
      </w:r>
      <w:r w:rsidRPr="0084218F">
        <w:rPr>
          <w:b/>
          <w:bCs/>
        </w:rPr>
        <w:t>Parte</w:t>
      </w:r>
      <w:r w:rsidRPr="0084218F">
        <w:t>” e, conjuntamente, “</w:t>
      </w:r>
      <w:r w:rsidRPr="0084218F">
        <w:rPr>
          <w:b/>
          <w:bCs/>
        </w:rPr>
        <w:t>Partes</w:t>
      </w:r>
      <w:r w:rsidRPr="0084218F">
        <w:t xml:space="preserve">”): </w:t>
      </w:r>
    </w:p>
    <w:p w14:paraId="2C4F43BE" w14:textId="0112ADA3" w:rsidR="00687F68" w:rsidRPr="0084218F" w:rsidRDefault="009837D5" w:rsidP="00883E60">
      <w:pPr>
        <w:pStyle w:val="Parties"/>
      </w:pPr>
      <w:r w:rsidRPr="0084218F">
        <w:rPr>
          <w:b/>
          <w:bCs/>
        </w:rPr>
        <w:t>LC LINHAS HOLDING LTDA.</w:t>
      </w:r>
      <w:r w:rsidRPr="0084218F">
        <w:t>, sociedade limitada com sede na cidade de São Paulo, Estado de São Paulo, na Avenida Presidente Juscelino Kubitschek, nº 2.041, torre D, 23º andar, sala 29, Vila Nova Conceição, CEP 04543-011, inscrita no Cadastro Nacional de Pessoa Jurídica do Ministério da Economia (“</w:t>
      </w:r>
      <w:r w:rsidRPr="0084218F">
        <w:rPr>
          <w:b/>
          <w:bCs/>
        </w:rPr>
        <w:t>CNPJ/ME</w:t>
      </w:r>
      <w:r w:rsidRPr="0084218F">
        <w:t>”) sob o nº 40.776.390/0001-00, neste ato representada nos termos de seu contrato social</w:t>
      </w:r>
      <w:r w:rsidR="006F1891">
        <w:t xml:space="preserve">, na </w:t>
      </w:r>
      <w:r w:rsidR="006F1891" w:rsidRPr="0084218F">
        <w:t xml:space="preserve">qualidade de alienante </w:t>
      </w:r>
      <w:r w:rsidR="006F1891">
        <w:t xml:space="preserve">dos </w:t>
      </w:r>
      <w:r w:rsidR="006F1891" w:rsidRPr="0084218F">
        <w:t xml:space="preserve">Direitos de Participação Alienados Fiduciariamente (conforme definido </w:t>
      </w:r>
      <w:r w:rsidR="006F1891">
        <w:t>no Contrato</w:t>
      </w:r>
      <w:r w:rsidR="006F1891" w:rsidRPr="0084218F">
        <w:t>)</w:t>
      </w:r>
      <w:r w:rsidRPr="0084218F">
        <w:t xml:space="preserve"> (“</w:t>
      </w:r>
      <w:r w:rsidRPr="0084218F">
        <w:rPr>
          <w:b/>
          <w:bCs/>
        </w:rPr>
        <w:t>LC Linhas</w:t>
      </w:r>
      <w:r w:rsidRPr="0084218F">
        <w:t>” ou “</w:t>
      </w:r>
      <w:r w:rsidRPr="0084218F">
        <w:rPr>
          <w:b/>
          <w:bCs/>
        </w:rPr>
        <w:t>Alienante</w:t>
      </w:r>
      <w:r w:rsidRPr="0084218F">
        <w:t>”);</w:t>
      </w:r>
    </w:p>
    <w:p w14:paraId="3C98688B" w14:textId="156BA8B9" w:rsidR="006F1891" w:rsidRPr="001D1651" w:rsidRDefault="00E96CC8" w:rsidP="009B2F7B">
      <w:pPr>
        <w:pStyle w:val="Parties"/>
      </w:pPr>
      <w:bookmarkStart w:id="8" w:name="_Hlk12461213"/>
      <w:bookmarkStart w:id="9" w:name="_Hlk4159438"/>
      <w:r w:rsidRPr="0084218F">
        <w:rPr>
          <w:b/>
          <w:bCs/>
        </w:rPr>
        <w:t>XP INFRA II FUNDO DE INVESTIMENTO EM PARTICIPAÇÕES EM INFRAESTRUTURA</w:t>
      </w:r>
      <w:bookmarkEnd w:id="8"/>
      <w:r w:rsidRPr="0084218F">
        <w:t>, fundo de investimento em participações em infraestrutura inscrito no CNPJ/ME sob o n.º </w:t>
      </w:r>
      <w:bookmarkStart w:id="10" w:name="_Hlk4092956"/>
      <w:r w:rsidRPr="0084218F">
        <w:t>30.317.464/0001-97</w:t>
      </w:r>
      <w:bookmarkEnd w:id="10"/>
      <w:r w:rsidRPr="0084218F">
        <w:t xml:space="preserve">, </w:t>
      </w:r>
      <w:r w:rsidR="006F1891" w:rsidRPr="0084218F">
        <w:t>na qualidade de titular da totalidade das debêntures emitidas no âmbito da 1ª Emissão (conforme definid</w:t>
      </w:r>
      <w:r w:rsidR="006F1891">
        <w:t>o</w:t>
      </w:r>
      <w:r w:rsidR="006F1891" w:rsidRPr="0084218F">
        <w:t xml:space="preserve"> abaixo)</w:t>
      </w:r>
      <w:r w:rsidR="006F1891">
        <w:t xml:space="preserve">, </w:t>
      </w:r>
      <w:r w:rsidRPr="0084218F">
        <w:t xml:space="preserve">neste ato devidamente representado </w:t>
      </w:r>
      <w:bookmarkStart w:id="11" w:name="_Hlk4092967"/>
      <w:r w:rsidRPr="0084218F">
        <w:t>por sua gestora XP Vista Asset Management Ltda.</w:t>
      </w:r>
      <w:bookmarkEnd w:id="11"/>
      <w:r w:rsidR="00D82F1C" w:rsidRPr="0084218F">
        <w:t xml:space="preserve"> (“</w:t>
      </w:r>
      <w:r w:rsidR="00D82F1C" w:rsidRPr="0084218F">
        <w:rPr>
          <w:b/>
          <w:bCs/>
        </w:rPr>
        <w:t>XP Asset</w:t>
      </w:r>
      <w:r w:rsidR="00D82F1C" w:rsidRPr="0084218F">
        <w:t>”)</w:t>
      </w:r>
      <w:r w:rsidRPr="0084218F">
        <w:t xml:space="preserve">, sociedade limitada </w:t>
      </w:r>
      <w:bookmarkStart w:id="12" w:name="_Hlk4093062"/>
      <w:r w:rsidRPr="0084218F">
        <w:t xml:space="preserve">com sede na cidade de São Paulo, Estado de São Paulo, na Avenida Presidente Juscelino Kubitschek, 1909, torre sul, 30.º andar, parte, CEP </w:t>
      </w:r>
      <w:bookmarkEnd w:id="12"/>
      <w:r w:rsidRPr="0084218F">
        <w:t>04543-907, inscrita no CNPJ/ME sob o n.</w:t>
      </w:r>
      <w:bookmarkStart w:id="13" w:name="_Hlk4093075"/>
      <w:r w:rsidRPr="0084218F">
        <w:t>º </w:t>
      </w:r>
      <w:bookmarkStart w:id="14" w:name="_Hlk3274391"/>
      <w:bookmarkEnd w:id="13"/>
      <w:r w:rsidRPr="0084218F">
        <w:t>16.789.525/0001-</w:t>
      </w:r>
      <w:bookmarkEnd w:id="14"/>
      <w:r w:rsidRPr="0084218F">
        <w:t>98, neste ato representada na forma de seu contrato social</w:t>
      </w:r>
      <w:bookmarkEnd w:id="9"/>
      <w:r w:rsidR="00672855" w:rsidRPr="0084218F">
        <w:t xml:space="preserve"> (</w:t>
      </w:r>
      <w:r w:rsidR="005A3085" w:rsidRPr="0084218F">
        <w:t>“</w:t>
      </w:r>
      <w:r w:rsidR="005A3085" w:rsidRPr="0084218F">
        <w:rPr>
          <w:b/>
          <w:bCs/>
        </w:rPr>
        <w:t>FIP-IE XP</w:t>
      </w:r>
      <w:r w:rsidR="005A3085" w:rsidRPr="0084218F">
        <w:t>”</w:t>
      </w:r>
      <w:r w:rsidR="00672855" w:rsidRPr="0084218F">
        <w:t>);</w:t>
      </w:r>
    </w:p>
    <w:p w14:paraId="7A098A41" w14:textId="77C83123" w:rsidR="00CC2078" w:rsidRPr="0084218F" w:rsidRDefault="00CC2078" w:rsidP="009B2F7B">
      <w:pPr>
        <w:pStyle w:val="Parties"/>
      </w:pPr>
      <w:r w:rsidRPr="00F51003">
        <w:rPr>
          <w:b/>
          <w:bCs/>
        </w:rPr>
        <w:t>SIMPLIFIC</w:t>
      </w:r>
      <w:r w:rsidRPr="0084218F">
        <w:rPr>
          <w:b/>
        </w:rPr>
        <w:t xml:space="preserve"> PAVARINI DISTRIBUIDORA DE TÍTULOS E VALORES MOBILIÁRIOS LTDA.</w:t>
      </w:r>
      <w:r w:rsidRPr="0084218F">
        <w:t>, instituição financeira</w:t>
      </w:r>
      <w:r w:rsidR="006F1891">
        <w:t>,</w:t>
      </w:r>
      <w:r w:rsidR="006F1891" w:rsidRPr="003E6ABF">
        <w:t xml:space="preserve"> </w:t>
      </w:r>
      <w:r w:rsidR="006F1891">
        <w:t xml:space="preserve">atuando através de sua </w:t>
      </w:r>
      <w:r w:rsidRPr="0084218F">
        <w:t>filial na Cidade de São Paulo, Estado de São Paulo, na Rua Joaquim Floriano, nº 466, Bloco B, Conjunto 1401, Itaim Bibi, CEP 04534-004</w:t>
      </w:r>
      <w:r w:rsidRPr="0084218F">
        <w:rPr>
          <w:bCs/>
        </w:rPr>
        <w:t>, inscrita no CNPJ/ME sob o nº 15.227.994/0004-01, para representar, perante a</w:t>
      </w:r>
      <w:r w:rsidRPr="0084218F">
        <w:t xml:space="preserve"> Emissora, a comunhão dos interesses dos Debenturistas (conforme definido abaixo), neste ato representada na forma de seu contrato social ("</w:t>
      </w:r>
      <w:r w:rsidRPr="0084218F">
        <w:rPr>
          <w:b/>
          <w:bCs/>
        </w:rPr>
        <w:t>Agente Fiduciário</w:t>
      </w:r>
      <w:r w:rsidRPr="0084218F">
        <w:t>" e em conjunto com o FIP-IE XP, “</w:t>
      </w:r>
      <w:r w:rsidRPr="0084218F">
        <w:rPr>
          <w:b/>
          <w:bCs/>
        </w:rPr>
        <w:t>Fiduciário</w:t>
      </w:r>
      <w:r w:rsidRPr="0084218F">
        <w:t>”);</w:t>
      </w:r>
    </w:p>
    <w:p w14:paraId="3C40C496" w14:textId="28610658" w:rsidR="00687F68" w:rsidRPr="0084218F" w:rsidRDefault="00672855" w:rsidP="009B2F7B">
      <w:pPr>
        <w:pStyle w:val="Body"/>
        <w:rPr>
          <w:color w:val="000000"/>
        </w:rPr>
      </w:pPr>
      <w:r w:rsidRPr="0084218F">
        <w:t>e, na qualidade de interveniente anuente:</w:t>
      </w:r>
    </w:p>
    <w:p w14:paraId="0EC18FE7" w14:textId="59A62996" w:rsidR="00687F68" w:rsidRPr="0084218F" w:rsidRDefault="00B1084D" w:rsidP="009B2F7B">
      <w:pPr>
        <w:pStyle w:val="Parties"/>
      </w:pPr>
      <w:r w:rsidRPr="0084218F">
        <w:rPr>
          <w:b/>
          <w:bCs/>
        </w:rPr>
        <w:t>LC ENERGIA HOLDING S.A.</w:t>
      </w:r>
      <w:bookmarkStart w:id="15" w:name="_Hlk4166663"/>
      <w:r w:rsidRPr="0084218F">
        <w:t>, sociedade por ações com sede na cidade de São Paulo, Estado de São Paulo, na Avenida Presidente Juscelino Kubitschek, 2041, torre D, 23.º andar, sala 12, Vila Nova Conceição, CEP 04543-011, inscrita no CNPJ/ME sob o n.º 32.997.529/0001-18</w:t>
      </w:r>
      <w:bookmarkEnd w:id="15"/>
      <w:r w:rsidRPr="0084218F">
        <w:t>, neste ato representada, na forma de seu estatuto social ("</w:t>
      </w:r>
      <w:r w:rsidRPr="0084218F">
        <w:rPr>
          <w:b/>
          <w:bCs/>
        </w:rPr>
        <w:t>Emissora</w:t>
      </w:r>
      <w:r w:rsidRPr="0084218F">
        <w:t>"</w:t>
      </w:r>
      <w:r w:rsidR="00AF6FF3" w:rsidRPr="0084218F">
        <w:t xml:space="preserve"> ou “</w:t>
      </w:r>
      <w:r w:rsidR="00AF6FF3" w:rsidRPr="0084218F">
        <w:rPr>
          <w:b/>
          <w:bCs/>
        </w:rPr>
        <w:t xml:space="preserve">LC </w:t>
      </w:r>
      <w:r w:rsidR="00847CA1" w:rsidRPr="0084218F">
        <w:rPr>
          <w:b/>
          <w:bCs/>
        </w:rPr>
        <w:t>Energia</w:t>
      </w:r>
      <w:r w:rsidR="00AF6FF3" w:rsidRPr="0084218F">
        <w:t>”</w:t>
      </w:r>
      <w:r w:rsidRPr="0084218F">
        <w:t xml:space="preserve">); </w:t>
      </w:r>
    </w:p>
    <w:p w14:paraId="2F1DE585" w14:textId="77777777" w:rsidR="00687F68" w:rsidRPr="00883E60" w:rsidRDefault="00672855" w:rsidP="00883E60">
      <w:pPr>
        <w:pStyle w:val="Body"/>
        <w:rPr>
          <w:b/>
          <w:bCs/>
        </w:rPr>
      </w:pPr>
      <w:r w:rsidRPr="00883E60">
        <w:rPr>
          <w:b/>
          <w:bCs/>
        </w:rPr>
        <w:t>CONSIDERANDO QUE:</w:t>
      </w:r>
    </w:p>
    <w:p w14:paraId="6F998139" w14:textId="677CD413" w:rsidR="0051581E" w:rsidRDefault="0051581E" w:rsidP="00883E60">
      <w:pPr>
        <w:pStyle w:val="Recitals"/>
      </w:pPr>
      <w:r w:rsidRPr="0084218F">
        <w:t xml:space="preserve">em 30 de agosto de 2019, a LC Energia, na qualidade de emissora, </w:t>
      </w:r>
      <w:bookmarkStart w:id="16" w:name="_Hlk84589971"/>
      <w:r w:rsidRPr="0084218F">
        <w:t xml:space="preserve">o FIP-IE XP, na qualidade de titular da totalidade das </w:t>
      </w:r>
      <w:r>
        <w:t>D</w:t>
      </w:r>
      <w:r w:rsidRPr="0084218F">
        <w:t>ebêntures da 1ª Emissão</w:t>
      </w:r>
      <w:r>
        <w:t xml:space="preserve"> (conforme definido no Contrato)</w:t>
      </w:r>
      <w:r w:rsidRPr="0084218F">
        <w:t xml:space="preserve"> (“</w:t>
      </w:r>
      <w:r w:rsidRPr="0084218F">
        <w:rPr>
          <w:rFonts w:eastAsia="MS Mincho"/>
          <w:b/>
          <w:bCs/>
        </w:rPr>
        <w:t>Debenturista da 1ª Emissão</w:t>
      </w:r>
      <w:r w:rsidRPr="0084218F">
        <w:rPr>
          <w:rFonts w:eastAsia="MS Mincho"/>
        </w:rPr>
        <w:t>”)</w:t>
      </w:r>
      <w:r w:rsidRPr="0084218F">
        <w:t xml:space="preserve">, os </w:t>
      </w:r>
      <w:r w:rsidRPr="00883E60">
        <w:t>Antigos</w:t>
      </w:r>
      <w:r w:rsidRPr="0084218F">
        <w:t xml:space="preserve"> Alienantes e as SPEs (conforme definidas na Escritura da 1ª Emissão), celebraram o “</w:t>
      </w:r>
      <w:r w:rsidRPr="000B2693">
        <w:rPr>
          <w:i/>
          <w:iCs/>
        </w:rPr>
        <w:t>Instrumento Particular de Escritura da Primeira Emissão Privada de Debêntures Conversíveis em Ações, em Série Única, com Garantia Real e com Garantia Fidejussória Adicional, da LC Energia Holding S.A. (antiga Lyon Energia Holding S.A.)</w:t>
      </w:r>
      <w:r w:rsidRPr="00BE031C">
        <w:t>”</w:t>
      </w:r>
      <w:r w:rsidRPr="00BE031C" w:rsidDel="001D46E2">
        <w:t xml:space="preserve"> </w:t>
      </w:r>
      <w:r w:rsidRPr="00BE031C">
        <w:t>(“</w:t>
      </w:r>
      <w:r w:rsidRPr="00BE031C">
        <w:rPr>
          <w:b/>
        </w:rPr>
        <w:t>Escritura</w:t>
      </w:r>
      <w:r w:rsidRPr="0084218F">
        <w:rPr>
          <w:b/>
        </w:rPr>
        <w:t xml:space="preserve"> da 1ª Emissão</w:t>
      </w:r>
      <w:r w:rsidRPr="0084218F">
        <w:t>”), por meio do qual foram estabelecidos os termos e condições da 1ª (primeira) emissão privada de debêntures conversíveis em ações</w:t>
      </w:r>
      <w:r>
        <w:t xml:space="preserve"> da LC Energia </w:t>
      </w:r>
      <w:r w:rsidRPr="0084218F">
        <w:t>(“</w:t>
      </w:r>
      <w:r w:rsidRPr="0084218F">
        <w:rPr>
          <w:b/>
          <w:bCs/>
        </w:rPr>
        <w:t xml:space="preserve">1ª </w:t>
      </w:r>
      <w:r w:rsidRPr="0084218F">
        <w:rPr>
          <w:b/>
        </w:rPr>
        <w:t>Emissão</w:t>
      </w:r>
      <w:r w:rsidRPr="0084218F">
        <w:t>”)</w:t>
      </w:r>
      <w:r>
        <w:t>;</w:t>
      </w:r>
      <w:bookmarkEnd w:id="16"/>
    </w:p>
    <w:p w14:paraId="0301C2E7" w14:textId="1CFA8771" w:rsidR="008F6DA6" w:rsidRPr="00EA707C" w:rsidRDefault="00672855" w:rsidP="007743AE">
      <w:pPr>
        <w:pStyle w:val="Recitals"/>
        <w:rPr>
          <w:b/>
        </w:rPr>
      </w:pPr>
      <w:r w:rsidRPr="0084218F">
        <w:lastRenderedPageBreak/>
        <w:t>por meio do “</w:t>
      </w:r>
      <w:r w:rsidR="00E96CC8" w:rsidRPr="006B12DA">
        <w:rPr>
          <w:i/>
          <w:iCs/>
        </w:rPr>
        <w:t>Contrato</w:t>
      </w:r>
      <w:r w:rsidRPr="006B12DA">
        <w:rPr>
          <w:i/>
          <w:iCs/>
        </w:rPr>
        <w:t xml:space="preserve"> de Alienação Fiduciária de Ações e Outras Avenças</w:t>
      </w:r>
      <w:r w:rsidRPr="0084218F">
        <w:t xml:space="preserve">”, celebrado em </w:t>
      </w:r>
      <w:r w:rsidR="00001934" w:rsidRPr="0084218F">
        <w:t xml:space="preserve">30 </w:t>
      </w:r>
      <w:r w:rsidRPr="0084218F">
        <w:t xml:space="preserve">de </w:t>
      </w:r>
      <w:r w:rsidR="00001934" w:rsidRPr="0084218F">
        <w:t xml:space="preserve">agosto </w:t>
      </w:r>
      <w:r w:rsidRPr="0084218F">
        <w:t>de 20</w:t>
      </w:r>
      <w:r w:rsidR="00001934" w:rsidRPr="0084218F">
        <w:t>19</w:t>
      </w:r>
      <w:r w:rsidRPr="0084218F">
        <w:t xml:space="preserve"> (“</w:t>
      </w:r>
      <w:r w:rsidRPr="00EA707C">
        <w:rPr>
          <w:b/>
        </w:rPr>
        <w:t>Contrato</w:t>
      </w:r>
      <w:r w:rsidRPr="0084218F">
        <w:t xml:space="preserve">”), </w:t>
      </w:r>
      <w:r w:rsidR="00CC2078" w:rsidRPr="0084218F">
        <w:t>a PLM Empreendimentos Imobiliários Ltda. e a Lyon Infraestrutura, Gestão e Desenvolvimento de Projetos Ltda.</w:t>
      </w:r>
      <w:r w:rsidR="00595371" w:rsidRPr="0084218F">
        <w:t xml:space="preserve"> (“</w:t>
      </w:r>
      <w:r w:rsidR="00595371" w:rsidRPr="00EA707C">
        <w:rPr>
          <w:b/>
          <w:bCs/>
        </w:rPr>
        <w:t>Antigos Alienantes</w:t>
      </w:r>
      <w:r w:rsidR="00595371" w:rsidRPr="0084218F">
        <w:t>”)</w:t>
      </w:r>
      <w:r w:rsidRPr="0084218F">
        <w:t xml:space="preserve"> alien</w:t>
      </w:r>
      <w:r w:rsidR="00001934" w:rsidRPr="0084218F">
        <w:t>aram</w:t>
      </w:r>
      <w:r w:rsidRPr="0084218F">
        <w:t xml:space="preserve"> fiduciariamente </w:t>
      </w:r>
      <w:r w:rsidR="00271B79" w:rsidRPr="0084218F">
        <w:t>os Direitos de Participação Alienados Fiduciariamente (conforme definido no Contrato)</w:t>
      </w:r>
      <w:r w:rsidRPr="0084218F">
        <w:t xml:space="preserve">, em favor do </w:t>
      </w:r>
      <w:r w:rsidR="0010717B" w:rsidRPr="0084218F">
        <w:t>FIP-IE XP</w:t>
      </w:r>
      <w:r w:rsidRPr="0084218F">
        <w:t>, para garantia das Obrigações Garantidas</w:t>
      </w:r>
      <w:r w:rsidR="008F6DA6" w:rsidRPr="0084218F">
        <w:t xml:space="preserve"> 1ª Emissão</w:t>
      </w:r>
      <w:r w:rsidRPr="0084218F">
        <w:t xml:space="preserve"> (conforme definid</w:t>
      </w:r>
      <w:r w:rsidR="006F1891">
        <w:t>o</w:t>
      </w:r>
      <w:r w:rsidRPr="0084218F">
        <w:t xml:space="preserve"> no</w:t>
      </w:r>
      <w:r w:rsidR="00271B79" w:rsidRPr="0084218F">
        <w:t xml:space="preserve"> Contrato</w:t>
      </w:r>
      <w:r w:rsidRPr="0084218F">
        <w:t>);</w:t>
      </w:r>
      <w:r w:rsidR="006968A8" w:rsidRPr="0084218F">
        <w:t xml:space="preserve"> </w:t>
      </w:r>
    </w:p>
    <w:p w14:paraId="27A8B7F4" w14:textId="522AB8EA" w:rsidR="006968A8" w:rsidRPr="0084218F" w:rsidRDefault="006968A8" w:rsidP="00883E60">
      <w:pPr>
        <w:pStyle w:val="Recitals"/>
      </w:pPr>
      <w:r w:rsidRPr="0084218F">
        <w:t xml:space="preserve">em 30 de dezembro de 2020, foi concluída a reestruturação societária na Emissora, por meio da qual os Antigos Alienantes transferiram a totalidade das ações de emissão da Emissora para o </w:t>
      </w:r>
      <w:r w:rsidRPr="009B2F7B">
        <w:rPr>
          <w:b/>
        </w:rPr>
        <w:t>LYON CAPITAL I FUNDO DE INVESTIMENTO EM PARTICIPAÇÕES INFRAESTRUTURA</w:t>
      </w:r>
      <w:r w:rsidRPr="0084218F">
        <w:t>, fundo de investimento em participações constituído sob a forma de condomínio fechado, inscrito no CNPJ/ME sob o nº 33.255.924/0001-98, registrado sob o nº 1.880.524 no Livro de Registros B do 6ºOficial de Registro de Títulos e Documentos da Comarca de São Paulo, Estado de São Paulo em 28 de novembro de 2019, neste ato representada na forma de seu regulamento (“</w:t>
      </w:r>
      <w:r w:rsidRPr="0084218F">
        <w:rPr>
          <w:b/>
        </w:rPr>
        <w:t>Lyon Capital I</w:t>
      </w:r>
      <w:r w:rsidRPr="0084218F">
        <w:t>”);</w:t>
      </w:r>
    </w:p>
    <w:p w14:paraId="7AF3062C" w14:textId="6B87FE07" w:rsidR="00E33FC8" w:rsidRPr="0084218F" w:rsidRDefault="0086345A" w:rsidP="00883E60">
      <w:pPr>
        <w:pStyle w:val="Recitals"/>
      </w:pPr>
      <w:r w:rsidRPr="008D1D86">
        <w:rPr>
          <w:rFonts w:cs="Tahoma"/>
          <w:szCs w:val="20"/>
        </w:rPr>
        <w:t xml:space="preserve">em 26 de abril de 2021, conforme a 1ª </w:t>
      </w:r>
      <w:r>
        <w:rPr>
          <w:rFonts w:cs="Tahoma"/>
          <w:szCs w:val="20"/>
        </w:rPr>
        <w:t xml:space="preserve">alteração do contrato social </w:t>
      </w:r>
      <w:r w:rsidRPr="008D1D86">
        <w:rPr>
          <w:rFonts w:cs="Tahoma"/>
          <w:szCs w:val="20"/>
        </w:rPr>
        <w:t>da LC Linhas, foi aprovado o aumento do</w:t>
      </w:r>
      <w:r>
        <w:rPr>
          <w:rFonts w:cs="Tahoma"/>
          <w:szCs w:val="20"/>
        </w:rPr>
        <w:t xml:space="preserve"> capital social da LC Linhas, no qual o </w:t>
      </w:r>
      <w:r w:rsidRPr="008D1D86">
        <w:rPr>
          <w:rFonts w:cs="Tahoma"/>
          <w:szCs w:val="20"/>
        </w:rPr>
        <w:t>Lyon Capital I, enquanto único sócio da LC Linhas, utilizou as ações de emissão da LC Energia, de sua titularidade</w:t>
      </w:r>
      <w:r>
        <w:rPr>
          <w:rFonts w:cs="Tahoma"/>
          <w:szCs w:val="20"/>
        </w:rPr>
        <w:t xml:space="preserve"> e que representam 100% do capital social da LC Energia</w:t>
      </w:r>
      <w:r w:rsidRPr="008D1D86">
        <w:rPr>
          <w:rFonts w:cs="Tahoma"/>
          <w:szCs w:val="20"/>
        </w:rPr>
        <w:t>, como forma de pagamento pela integralização do aumento de capital, tornando a LC Linhas a única detentora da integralidade das ações de emissão da LC Energia</w:t>
      </w:r>
      <w:r w:rsidR="008D0523" w:rsidRPr="0084218F">
        <w:t>;</w:t>
      </w:r>
      <w:r w:rsidR="006B18A9">
        <w:t xml:space="preserve"> </w:t>
      </w:r>
    </w:p>
    <w:p w14:paraId="176C3DEF" w14:textId="5A8CE174" w:rsidR="00156BD1" w:rsidRPr="0084218F" w:rsidRDefault="00672855" w:rsidP="00883E60">
      <w:pPr>
        <w:pStyle w:val="Recitals"/>
        <w:rPr>
          <w:rFonts w:eastAsia="MS Mincho"/>
        </w:rPr>
      </w:pPr>
      <w:r w:rsidRPr="0084218F">
        <w:rPr>
          <w:rFonts w:eastAsia="MS Mincho"/>
        </w:rPr>
        <w:t xml:space="preserve">em </w:t>
      </w:r>
      <w:r w:rsidR="00F61E1F">
        <w:rPr>
          <w:rFonts w:eastAsia="MS Mincho"/>
        </w:rPr>
        <w:t>02</w:t>
      </w:r>
      <w:r w:rsidR="008C6149" w:rsidRPr="0084218F">
        <w:rPr>
          <w:rFonts w:eastAsia="MS Mincho"/>
        </w:rPr>
        <w:t xml:space="preserve"> </w:t>
      </w:r>
      <w:r w:rsidRPr="0084218F">
        <w:rPr>
          <w:rFonts w:eastAsia="MS Mincho"/>
        </w:rPr>
        <w:t xml:space="preserve">de </w:t>
      </w:r>
      <w:r w:rsidR="00F61E1F">
        <w:rPr>
          <w:rFonts w:eastAsia="MS Mincho"/>
        </w:rPr>
        <w:t>agosto</w:t>
      </w:r>
      <w:r w:rsidR="008C6149" w:rsidRPr="0084218F">
        <w:rPr>
          <w:rFonts w:eastAsia="MS Mincho"/>
        </w:rPr>
        <w:t xml:space="preserve"> </w:t>
      </w:r>
      <w:r w:rsidRPr="0084218F">
        <w:rPr>
          <w:rFonts w:eastAsia="MS Mincho"/>
        </w:rPr>
        <w:t xml:space="preserve">de 2021, a </w:t>
      </w:r>
      <w:r w:rsidR="003C1604" w:rsidRPr="0084218F">
        <w:t xml:space="preserve">LC </w:t>
      </w:r>
      <w:r w:rsidR="00847CA1" w:rsidRPr="0084218F">
        <w:t>Energia</w:t>
      </w:r>
      <w:r w:rsidRPr="0084218F">
        <w:rPr>
          <w:rFonts w:eastAsia="MS Mincho"/>
        </w:rPr>
        <w:t xml:space="preserve">, na qualidade de emissora, o Agente Fiduciário, na qualidade de representante </w:t>
      </w:r>
      <w:r w:rsidR="00B06A75">
        <w:rPr>
          <w:rFonts w:eastAsia="MS Mincho"/>
        </w:rPr>
        <w:t xml:space="preserve">dos debenturistas da </w:t>
      </w:r>
      <w:r w:rsidR="006F1891">
        <w:rPr>
          <w:rFonts w:eastAsia="MS Mincho"/>
        </w:rPr>
        <w:t xml:space="preserve">2ª Emissão </w:t>
      </w:r>
      <w:r w:rsidRPr="0084218F">
        <w:rPr>
          <w:rFonts w:eastAsia="MS Mincho"/>
        </w:rPr>
        <w:t xml:space="preserve">, </w:t>
      </w:r>
      <w:r w:rsidR="003C1604" w:rsidRPr="0084218F">
        <w:rPr>
          <w:rFonts w:eastAsia="MS Mincho"/>
        </w:rPr>
        <w:t xml:space="preserve">e o </w:t>
      </w:r>
      <w:r w:rsidR="003C4178" w:rsidRPr="00755BE1">
        <w:rPr>
          <w:bCs/>
        </w:rPr>
        <w:t>Lyon Capital I</w:t>
      </w:r>
      <w:r w:rsidR="003C1604" w:rsidRPr="0084218F">
        <w:rPr>
          <w:rFonts w:eastAsia="MS Mincho"/>
        </w:rPr>
        <w:t xml:space="preserve">, </w:t>
      </w:r>
      <w:r w:rsidRPr="0084218F">
        <w:rPr>
          <w:rFonts w:eastAsia="MS Mincho"/>
        </w:rPr>
        <w:t>celebraram o “</w:t>
      </w:r>
      <w:r w:rsidRPr="006B12DA">
        <w:rPr>
          <w:rFonts w:eastAsia="MS Mincho"/>
          <w:i/>
          <w:iCs/>
        </w:rPr>
        <w:t xml:space="preserve">Instrumento Particular de Escritura da 2ª (Segunda) Emissão de Debêntures Simples, Não Conversíveis em Ações, </w:t>
      </w:r>
      <w:r w:rsidR="003C1604" w:rsidRPr="006B12DA">
        <w:rPr>
          <w:rFonts w:eastAsia="MS Mincho"/>
          <w:i/>
          <w:iCs/>
        </w:rPr>
        <w:t xml:space="preserve">em </w:t>
      </w:r>
      <w:r w:rsidR="006F1891" w:rsidRPr="006B12DA">
        <w:rPr>
          <w:rFonts w:eastAsia="MS Mincho"/>
          <w:i/>
          <w:iCs/>
        </w:rPr>
        <w:t xml:space="preserve">Até Três </w:t>
      </w:r>
      <w:r w:rsidR="003C1604" w:rsidRPr="006B12DA">
        <w:rPr>
          <w:rFonts w:eastAsia="MS Mincho"/>
          <w:i/>
          <w:iCs/>
        </w:rPr>
        <w:t>Série</w:t>
      </w:r>
      <w:r w:rsidR="006F1891" w:rsidRPr="006B12DA">
        <w:rPr>
          <w:rFonts w:eastAsia="MS Mincho"/>
          <w:i/>
          <w:iCs/>
        </w:rPr>
        <w:t>s</w:t>
      </w:r>
      <w:r w:rsidR="003C1604" w:rsidRPr="006B12DA">
        <w:rPr>
          <w:rFonts w:eastAsia="MS Mincho"/>
          <w:i/>
          <w:iCs/>
        </w:rPr>
        <w:t xml:space="preserve">, </w:t>
      </w:r>
      <w:r w:rsidRPr="006B12DA">
        <w:rPr>
          <w:rFonts w:eastAsia="MS Mincho"/>
          <w:i/>
          <w:iCs/>
        </w:rPr>
        <w:t xml:space="preserve">da Espécie com Garantia Real e Garantia </w:t>
      </w:r>
      <w:r w:rsidR="003C1604" w:rsidRPr="006B12DA">
        <w:rPr>
          <w:rFonts w:eastAsia="MS Mincho"/>
          <w:i/>
          <w:iCs/>
        </w:rPr>
        <w:t xml:space="preserve">Adicional </w:t>
      </w:r>
      <w:r w:rsidRPr="006B12DA">
        <w:rPr>
          <w:rFonts w:eastAsia="MS Mincho"/>
          <w:i/>
          <w:iCs/>
        </w:rPr>
        <w:t xml:space="preserve">Fidejussória, para Distribuição Pública com Esforços Restritos, da </w:t>
      </w:r>
      <w:r w:rsidR="003C1604" w:rsidRPr="006B12DA">
        <w:rPr>
          <w:rFonts w:eastAsia="MS Mincho"/>
          <w:i/>
          <w:iCs/>
        </w:rPr>
        <w:t>LC Energia Holding</w:t>
      </w:r>
      <w:r w:rsidRPr="006B12DA">
        <w:rPr>
          <w:rFonts w:eastAsia="MS Mincho"/>
          <w:i/>
          <w:iCs/>
        </w:rPr>
        <w:t xml:space="preserve"> S.A</w:t>
      </w:r>
      <w:r w:rsidRPr="0084218F">
        <w:rPr>
          <w:rFonts w:eastAsia="MS Mincho"/>
        </w:rPr>
        <w:t>.</w:t>
      </w:r>
      <w:r w:rsidR="00B06A75">
        <w:rPr>
          <w:rFonts w:eastAsia="MS Mincho"/>
        </w:rPr>
        <w:t>”</w:t>
      </w:r>
      <w:r w:rsidRPr="0084218F">
        <w:rPr>
          <w:rFonts w:eastAsia="MS Mincho"/>
        </w:rPr>
        <w:t xml:space="preserve"> (“</w:t>
      </w:r>
      <w:r w:rsidRPr="0084218F">
        <w:rPr>
          <w:rFonts w:eastAsia="MS Mincho"/>
          <w:b/>
          <w:bCs/>
        </w:rPr>
        <w:t>Escritura da 2ª Emissão</w:t>
      </w:r>
      <w:r w:rsidRPr="0084218F">
        <w:rPr>
          <w:rFonts w:eastAsia="MS Mincho"/>
        </w:rPr>
        <w:t>”</w:t>
      </w:r>
      <w:r w:rsidR="00AD4F10" w:rsidRPr="0084218F">
        <w:rPr>
          <w:rFonts w:eastAsia="MS Mincho"/>
        </w:rPr>
        <w:t xml:space="preserve"> e, em conjunto com a Escritura da 1ª Emissão</w:t>
      </w:r>
      <w:r w:rsidR="006F1891">
        <w:rPr>
          <w:rFonts w:eastAsia="MS Mincho"/>
        </w:rPr>
        <w:t xml:space="preserve">, as </w:t>
      </w:r>
      <w:r w:rsidR="00AD4F10" w:rsidRPr="0084218F">
        <w:rPr>
          <w:rFonts w:eastAsia="MS Mincho"/>
        </w:rPr>
        <w:t>“</w:t>
      </w:r>
      <w:r w:rsidR="00AD4F10" w:rsidRPr="0084218F">
        <w:rPr>
          <w:rFonts w:eastAsia="MS Mincho"/>
          <w:b/>
          <w:bCs/>
        </w:rPr>
        <w:t>Escrituras de Emissão</w:t>
      </w:r>
      <w:r w:rsidR="00AD4F10" w:rsidRPr="0084218F">
        <w:rPr>
          <w:rFonts w:eastAsia="MS Mincho"/>
        </w:rPr>
        <w:t>”</w:t>
      </w:r>
      <w:r w:rsidRPr="0084218F">
        <w:rPr>
          <w:rFonts w:eastAsia="MS Mincho"/>
        </w:rPr>
        <w:t>), por meio do qual foram estabelecidos os termos e condições da 2ª (segunda) emissão pública de</w:t>
      </w:r>
      <w:r w:rsidR="00B06A75">
        <w:rPr>
          <w:rFonts w:eastAsia="MS Mincho"/>
        </w:rPr>
        <w:t xml:space="preserve"> debêntures da LC Energia</w:t>
      </w:r>
      <w:r w:rsidR="00A9290F">
        <w:rPr>
          <w:rFonts w:eastAsia="MS Mincho"/>
        </w:rPr>
        <w:t xml:space="preserve"> </w:t>
      </w:r>
      <w:r w:rsidRPr="0084218F">
        <w:rPr>
          <w:rFonts w:eastAsia="MS Mincho"/>
        </w:rPr>
        <w:t>(“</w:t>
      </w:r>
      <w:r w:rsidRPr="0084218F">
        <w:rPr>
          <w:rFonts w:eastAsia="MS Mincho"/>
          <w:b/>
          <w:bCs/>
        </w:rPr>
        <w:t>2ª Emissão</w:t>
      </w:r>
      <w:r w:rsidRPr="0084218F">
        <w:rPr>
          <w:rFonts w:eastAsia="MS Mincho"/>
        </w:rPr>
        <w:t>”</w:t>
      </w:r>
      <w:r w:rsidR="00AD4F10" w:rsidRPr="0084218F">
        <w:rPr>
          <w:rFonts w:eastAsia="MS Mincho"/>
        </w:rPr>
        <w:t xml:space="preserve"> e, em conjunto com a 1ª Emissão</w:t>
      </w:r>
      <w:r w:rsidR="006F1891">
        <w:rPr>
          <w:rFonts w:eastAsia="MS Mincho"/>
        </w:rPr>
        <w:t>, as</w:t>
      </w:r>
      <w:r w:rsidR="00AD4F10" w:rsidRPr="0084218F">
        <w:rPr>
          <w:rFonts w:eastAsia="MS Mincho"/>
        </w:rPr>
        <w:t xml:space="preserve"> “</w:t>
      </w:r>
      <w:r w:rsidR="00AD4F10" w:rsidRPr="0084218F">
        <w:rPr>
          <w:rFonts w:eastAsia="MS Mincho"/>
          <w:b/>
          <w:bCs/>
        </w:rPr>
        <w:t>Emissões</w:t>
      </w:r>
      <w:r w:rsidR="00AD4F10" w:rsidRPr="0084218F">
        <w:rPr>
          <w:rFonts w:eastAsia="MS Mincho"/>
        </w:rPr>
        <w:t>”</w:t>
      </w:r>
      <w:r w:rsidRPr="0084218F">
        <w:rPr>
          <w:rFonts w:eastAsia="MS Mincho"/>
        </w:rPr>
        <w:t>);</w:t>
      </w:r>
    </w:p>
    <w:p w14:paraId="6114179B" w14:textId="21C8974D" w:rsidR="006F1891" w:rsidRDefault="00156BD1" w:rsidP="00883E60">
      <w:pPr>
        <w:pStyle w:val="Recitals"/>
        <w:rPr>
          <w:rFonts w:eastAsia="MS Mincho"/>
        </w:rPr>
      </w:pPr>
      <w:r w:rsidRPr="0084218F">
        <w:rPr>
          <w:rFonts w:eastAsia="MS Mincho"/>
        </w:rPr>
        <w:t xml:space="preserve">em </w:t>
      </w:r>
      <w:r w:rsidR="00F61E1F">
        <w:rPr>
          <w:rFonts w:eastAsia="MS Mincho"/>
        </w:rPr>
        <w:t>02</w:t>
      </w:r>
      <w:r w:rsidRPr="0084218F">
        <w:rPr>
          <w:rFonts w:eastAsia="MS Mincho"/>
        </w:rPr>
        <w:t xml:space="preserve"> de </w:t>
      </w:r>
      <w:r w:rsidR="00F61E1F">
        <w:rPr>
          <w:rFonts w:eastAsia="MS Mincho"/>
        </w:rPr>
        <w:t>agosto</w:t>
      </w:r>
      <w:r w:rsidRPr="0084218F">
        <w:rPr>
          <w:rFonts w:eastAsia="MS Mincho"/>
        </w:rPr>
        <w:t xml:space="preserve"> de 2021 foi </w:t>
      </w:r>
      <w:r w:rsidR="00F8569B">
        <w:rPr>
          <w:rFonts w:eastAsia="MS Mincho"/>
        </w:rPr>
        <w:t>celebrado o “</w:t>
      </w:r>
      <w:r w:rsidR="00F8569B" w:rsidRPr="006B12DA">
        <w:rPr>
          <w:i/>
          <w:iCs/>
        </w:rPr>
        <w:t>Primeiro Aditamento ao Contrato de Alienação Fiduciária de Ações e Outras Avenças</w:t>
      </w:r>
      <w:r w:rsidR="00F8569B">
        <w:rPr>
          <w:rFonts w:eastAsia="MS Mincho"/>
        </w:rPr>
        <w:t>” (“</w:t>
      </w:r>
      <w:r w:rsidR="00F8569B" w:rsidRPr="00F8569B">
        <w:rPr>
          <w:rFonts w:eastAsia="MS Mincho"/>
          <w:b/>
          <w:bCs/>
        </w:rPr>
        <w:t xml:space="preserve">Primeiro </w:t>
      </w:r>
      <w:r w:rsidR="00F8569B" w:rsidRPr="008C4874">
        <w:rPr>
          <w:rFonts w:eastAsia="MS Mincho"/>
          <w:b/>
          <w:bCs/>
        </w:rPr>
        <w:t>Aditamento</w:t>
      </w:r>
      <w:r w:rsidR="00F8569B">
        <w:rPr>
          <w:rFonts w:eastAsia="MS Mincho"/>
        </w:rPr>
        <w:t xml:space="preserve">”) </w:t>
      </w:r>
      <w:r w:rsidR="00F8569B" w:rsidRPr="00F8569B">
        <w:rPr>
          <w:rFonts w:eastAsia="MS Mincho"/>
        </w:rPr>
        <w:t>entre</w:t>
      </w:r>
      <w:r w:rsidR="00F8569B">
        <w:rPr>
          <w:rFonts w:eastAsia="MS Mincho"/>
        </w:rPr>
        <w:t xml:space="preserve"> as Partes, prevendo o </w:t>
      </w:r>
      <w:r w:rsidRPr="0084218F">
        <w:rPr>
          <w:rFonts w:eastAsia="MS Mincho"/>
        </w:rPr>
        <w:t>compartilhamento das garantias</w:t>
      </w:r>
      <w:r w:rsidR="00B06A75">
        <w:rPr>
          <w:rFonts w:eastAsia="MS Mincho"/>
        </w:rPr>
        <w:t xml:space="preserve"> entre a 1ª Emissão e a 2ª Emissão</w:t>
      </w:r>
      <w:r w:rsidR="006B12DA">
        <w:rPr>
          <w:rFonts w:eastAsia="MS Mincho"/>
        </w:rPr>
        <w:t>;</w:t>
      </w:r>
    </w:p>
    <w:p w14:paraId="4CD3EE0A" w14:textId="364395D5" w:rsidR="008609BB" w:rsidRPr="0084218F" w:rsidRDefault="008C4874" w:rsidP="00883E60">
      <w:pPr>
        <w:pStyle w:val="Recitals"/>
        <w:rPr>
          <w:rFonts w:eastAsia="MS Mincho"/>
        </w:rPr>
      </w:pPr>
      <w:r w:rsidRPr="00905EAF">
        <w:rPr>
          <w:rFonts w:cs="Tahoma"/>
          <w:szCs w:val="20"/>
        </w:rPr>
        <w:t>em virtude de novas condições comerciais acordadas entre a</w:t>
      </w:r>
      <w:r>
        <w:rPr>
          <w:rFonts w:cs="Tahoma"/>
          <w:szCs w:val="20"/>
        </w:rPr>
        <w:t xml:space="preserve"> Emissora e o debenturista da 1ª Emissão, foi celebrado</w:t>
      </w:r>
      <w:r w:rsidR="0051581E">
        <w:rPr>
          <w:rFonts w:cs="Tahoma"/>
          <w:szCs w:val="20"/>
        </w:rPr>
        <w:t xml:space="preserve"> em [</w:t>
      </w:r>
      <w:r w:rsidR="00DA2FCF">
        <w:rPr>
          <w:rFonts w:cs="Tahoma"/>
          <w:szCs w:val="20"/>
        </w:rPr>
        <w:t>23</w:t>
      </w:r>
      <w:r w:rsidR="0051581E">
        <w:rPr>
          <w:rFonts w:cs="Tahoma"/>
          <w:szCs w:val="20"/>
        </w:rPr>
        <w:t>]</w:t>
      </w:r>
      <w:r>
        <w:rPr>
          <w:rFonts w:cs="Tahoma"/>
          <w:szCs w:val="20"/>
        </w:rPr>
        <w:t xml:space="preserve"> </w:t>
      </w:r>
      <w:r w:rsidR="0086345A">
        <w:rPr>
          <w:rFonts w:cs="Tahoma"/>
          <w:szCs w:val="20"/>
        </w:rPr>
        <w:t xml:space="preserve">de </w:t>
      </w:r>
      <w:r w:rsidR="00DA2FCF">
        <w:rPr>
          <w:rFonts w:cs="Tahoma"/>
          <w:szCs w:val="20"/>
        </w:rPr>
        <w:t>março</w:t>
      </w:r>
      <w:r w:rsidR="0086345A">
        <w:rPr>
          <w:rFonts w:cs="Tahoma"/>
          <w:szCs w:val="20"/>
        </w:rPr>
        <w:t xml:space="preserve"> de 2022 </w:t>
      </w:r>
      <w:r>
        <w:rPr>
          <w:rFonts w:cs="Tahoma"/>
          <w:szCs w:val="20"/>
        </w:rPr>
        <w:t xml:space="preserve">o </w:t>
      </w:r>
      <w:r w:rsidRPr="008D1D86">
        <w:rPr>
          <w:rFonts w:cs="Tahoma"/>
          <w:i/>
          <w:iCs/>
        </w:rPr>
        <w:t xml:space="preserve">“Primeiro Aditamento ao Instrumento Particular de Escritura da Primeira Emissão Privada de Debêntures, Conversíveis em Ações, em </w:t>
      </w:r>
      <w:r w:rsidR="00CC2F1F">
        <w:rPr>
          <w:rFonts w:cs="Tahoma"/>
          <w:i/>
          <w:iCs/>
        </w:rPr>
        <w:t>Duas Séries</w:t>
      </w:r>
      <w:r w:rsidRPr="008D1D86">
        <w:rPr>
          <w:rFonts w:cs="Tahoma"/>
          <w:i/>
          <w:iCs/>
        </w:rPr>
        <w:t>, com Garantia Real e com Garantia Fidejussória Adicional da LC Energia Holding S.A. (antiga Lyon Energia Holding S.A.)</w:t>
      </w:r>
      <w:r>
        <w:rPr>
          <w:rFonts w:cs="Tahoma"/>
          <w:i/>
          <w:iCs/>
        </w:rPr>
        <w:t xml:space="preserve">” </w:t>
      </w:r>
      <w:r>
        <w:rPr>
          <w:rFonts w:cs="Tahoma"/>
        </w:rPr>
        <w:t>(“</w:t>
      </w:r>
      <w:r>
        <w:rPr>
          <w:rFonts w:cs="Tahoma"/>
          <w:b/>
          <w:bCs/>
        </w:rPr>
        <w:t>Aditamento à Escritura</w:t>
      </w:r>
      <w:r>
        <w:rPr>
          <w:rFonts w:cs="Tahoma"/>
        </w:rPr>
        <w:t xml:space="preserve">”), e, dessa forma, as Partes </w:t>
      </w:r>
      <w:r w:rsidRPr="00905EAF">
        <w:rPr>
          <w:rFonts w:cs="Tahoma"/>
          <w:szCs w:val="20"/>
        </w:rPr>
        <w:t>decidiram ajustar determinadas cláusulas do Contrato, para a</w:t>
      </w:r>
      <w:r>
        <w:rPr>
          <w:rFonts w:cs="Tahoma"/>
          <w:szCs w:val="20"/>
        </w:rPr>
        <w:t>dequar</w:t>
      </w:r>
      <w:r w:rsidRPr="00905EAF">
        <w:rPr>
          <w:rFonts w:cs="Tahoma"/>
          <w:szCs w:val="20"/>
        </w:rPr>
        <w:t xml:space="preserve"> determinados termos e condições, os quais seguem discriminados abaixo</w:t>
      </w:r>
      <w:r>
        <w:rPr>
          <w:rFonts w:cs="Tahoma"/>
          <w:szCs w:val="20"/>
        </w:rPr>
        <w:t>.</w:t>
      </w:r>
    </w:p>
    <w:p w14:paraId="78773272" w14:textId="1E25A894" w:rsidR="00687F68" w:rsidRDefault="00672855" w:rsidP="00883E60">
      <w:pPr>
        <w:pStyle w:val="Body"/>
      </w:pPr>
      <w:r w:rsidRPr="0084218F">
        <w:rPr>
          <w:b/>
        </w:rPr>
        <w:t>RESOLVEM</w:t>
      </w:r>
      <w:r w:rsidRPr="0084218F">
        <w:t xml:space="preserve"> as Partes, de comum acordo e na melhor forma de direito, celebrar este </w:t>
      </w:r>
      <w:r w:rsidR="00F8569B">
        <w:t xml:space="preserve">Segundo </w:t>
      </w:r>
      <w:r w:rsidRPr="0084218F">
        <w:t xml:space="preserve">Aditamento, o qual se regerá pelos seguintes termos e condições. </w:t>
      </w:r>
    </w:p>
    <w:p w14:paraId="7DDEED75" w14:textId="4E1A6669" w:rsidR="00496D82" w:rsidRPr="006B12DA" w:rsidRDefault="00496D82" w:rsidP="006B12DA">
      <w:pPr>
        <w:pStyle w:val="Level1"/>
        <w:keepNext/>
        <w:rPr>
          <w:b/>
          <w:bCs/>
        </w:rPr>
      </w:pPr>
      <w:r w:rsidRPr="006B12DA">
        <w:rPr>
          <w:b/>
          <w:bCs/>
        </w:rPr>
        <w:lastRenderedPageBreak/>
        <w:t xml:space="preserve">ALTERAÇÕES </w:t>
      </w:r>
    </w:p>
    <w:p w14:paraId="41C2D52B" w14:textId="78D0E622" w:rsidR="00315DEE" w:rsidRDefault="00315DEE" w:rsidP="00EA707C">
      <w:pPr>
        <w:pStyle w:val="Level2"/>
      </w:pPr>
      <w:bookmarkStart w:id="17" w:name="_Hlk84596058"/>
      <w:r>
        <w:t>As Partes acordam em alterar o Considerando A do Contrato, de forma a refletir as alterações da 1ª Emissão, que passará a vigorar como</w:t>
      </w:r>
      <w:bookmarkEnd w:id="17"/>
      <w:r>
        <w:t>:</w:t>
      </w:r>
    </w:p>
    <w:p w14:paraId="751577FB" w14:textId="2BB3372D" w:rsidR="00315DEE" w:rsidRPr="006B12DA" w:rsidRDefault="00315DEE" w:rsidP="006B12DA">
      <w:pPr>
        <w:pStyle w:val="Body2"/>
        <w:rPr>
          <w:i/>
          <w:iCs/>
        </w:rPr>
      </w:pPr>
      <w:r w:rsidRPr="00EA707C">
        <w:rPr>
          <w:i/>
          <w:iCs/>
        </w:rPr>
        <w:t>“</w:t>
      </w:r>
      <w:r w:rsidRPr="006B12DA">
        <w:rPr>
          <w:b/>
          <w:bCs/>
          <w:i/>
          <w:iCs/>
        </w:rPr>
        <w:t xml:space="preserve">(A) </w:t>
      </w:r>
      <w:r w:rsidRPr="00EA707C">
        <w:rPr>
          <w:i/>
          <w:iCs/>
        </w:rPr>
        <w:tab/>
      </w:r>
      <w:r w:rsidRPr="006B12DA">
        <w:rPr>
          <w:i/>
          <w:iCs/>
        </w:rPr>
        <w:t>em 30 de agosto de 2019, a LC Energia, na qualidade de emissora, o FIP-IE XP, na qualidade de titular da totalidade das Debêntures da 1ª Emissão (conforme abaixo definido) (“</w:t>
      </w:r>
      <w:r w:rsidRPr="006B12DA">
        <w:rPr>
          <w:b/>
          <w:bCs/>
          <w:i/>
          <w:iCs/>
        </w:rPr>
        <w:t>Debenturista da 1ª Emissão</w:t>
      </w:r>
      <w:r w:rsidRPr="006B12DA">
        <w:rPr>
          <w:i/>
          <w:iCs/>
        </w:rPr>
        <w:t>”), os Antigos Alienantes e as SPEs (conforme definidas abaixo), celebraram o “</w:t>
      </w:r>
      <w:r w:rsidRPr="00EA707C">
        <w:rPr>
          <w:i/>
          <w:iCs/>
        </w:rPr>
        <w:t xml:space="preserve">Instrumento Particular de Escritura da Primeira Emissão Privada de Debêntures Conversíveis em Ações, em </w:t>
      </w:r>
      <w:r w:rsidR="00CC2F1F">
        <w:rPr>
          <w:i/>
          <w:iCs/>
        </w:rPr>
        <w:t>Duas Séries</w:t>
      </w:r>
      <w:r w:rsidRPr="00EA707C">
        <w:rPr>
          <w:i/>
          <w:iCs/>
        </w:rPr>
        <w:t>, com Garantia Real e com Garantia Fidejussória Adicional, da LC Energia Holding S.A. (antiga Lyon Energia Holding S.A.)</w:t>
      </w:r>
      <w:r w:rsidRPr="006B12DA">
        <w:rPr>
          <w:i/>
          <w:iCs/>
        </w:rPr>
        <w:t>”</w:t>
      </w:r>
      <w:r w:rsidR="00CC2F1F">
        <w:rPr>
          <w:i/>
          <w:iCs/>
        </w:rPr>
        <w:t>, conforme aditado</w:t>
      </w:r>
      <w:r w:rsidRPr="006B12DA" w:rsidDel="001D46E2">
        <w:rPr>
          <w:i/>
          <w:iCs/>
        </w:rPr>
        <w:t xml:space="preserve"> </w:t>
      </w:r>
      <w:r w:rsidRPr="006B12DA">
        <w:rPr>
          <w:i/>
          <w:iCs/>
        </w:rPr>
        <w:t>(“</w:t>
      </w:r>
      <w:r w:rsidRPr="006B12DA">
        <w:rPr>
          <w:b/>
          <w:i/>
          <w:iCs/>
        </w:rPr>
        <w:t>Escritura da 1ª Emissão</w:t>
      </w:r>
      <w:r w:rsidRPr="006B12DA">
        <w:rPr>
          <w:i/>
          <w:iCs/>
        </w:rPr>
        <w:t xml:space="preserve">”), por meio do qual foram estabelecidos os termos e condições da 1ª (primeira) emissão privada de debêntures conversíveis em ações, da espécie com garantia real e garantia fidejussória adicional, em </w:t>
      </w:r>
      <w:r w:rsidR="0086345A">
        <w:rPr>
          <w:i/>
          <w:iCs/>
        </w:rPr>
        <w:t>duas séries</w:t>
      </w:r>
      <w:r w:rsidRPr="006B12DA">
        <w:rPr>
          <w:i/>
          <w:iCs/>
        </w:rPr>
        <w:t>, todas nominativas, com valor nominal unitário de R$ 100.000,00 (cem mil reais) na data de sua emissão (“</w:t>
      </w:r>
      <w:r w:rsidRPr="006B12DA">
        <w:rPr>
          <w:b/>
          <w:i/>
          <w:iCs/>
        </w:rPr>
        <w:t>Debêntures da 1ª Emissão</w:t>
      </w:r>
      <w:r w:rsidRPr="006B12DA">
        <w:rPr>
          <w:i/>
          <w:iCs/>
        </w:rPr>
        <w:t xml:space="preserve">”), no montante total de R$ </w:t>
      </w:r>
      <w:r w:rsidR="00F218F6" w:rsidRPr="00F218F6">
        <w:rPr>
          <w:i/>
          <w:iCs/>
        </w:rPr>
        <w:t>110.300.000,00 (cento e dez milhões e trezentos mil reais)]</w:t>
      </w:r>
      <w:r w:rsidRPr="006B12DA">
        <w:rPr>
          <w:i/>
          <w:iCs/>
        </w:rPr>
        <w:t>na respectiva data de emissão das Debêntures da 1ª Emissão (“</w:t>
      </w:r>
      <w:r w:rsidRPr="006B12DA">
        <w:rPr>
          <w:b/>
          <w:bCs/>
          <w:i/>
          <w:iCs/>
        </w:rPr>
        <w:t xml:space="preserve">1ª </w:t>
      </w:r>
      <w:r w:rsidRPr="006B12DA">
        <w:rPr>
          <w:b/>
          <w:i/>
          <w:iCs/>
        </w:rPr>
        <w:t>Emissão</w:t>
      </w:r>
      <w:r w:rsidRPr="006B12DA">
        <w:rPr>
          <w:i/>
          <w:iCs/>
        </w:rPr>
        <w:t>”);</w:t>
      </w:r>
      <w:r w:rsidRPr="00EA707C">
        <w:rPr>
          <w:i/>
          <w:iCs/>
        </w:rPr>
        <w:t>”</w:t>
      </w:r>
    </w:p>
    <w:p w14:paraId="567DCA07" w14:textId="0119A5BC" w:rsidR="00315DEE" w:rsidRDefault="00315DEE" w:rsidP="00EA707C">
      <w:pPr>
        <w:pStyle w:val="Level2"/>
      </w:pPr>
      <w:r w:rsidRPr="008D1D86">
        <w:t>Em decorrência da inclusão da segunda série</w:t>
      </w:r>
      <w:r>
        <w:t xml:space="preserve"> na Escritura da 1ª Emissão</w:t>
      </w:r>
      <w:r w:rsidRPr="008D1D86">
        <w:t>, as Partes decidiram ajustar a</w:t>
      </w:r>
      <w:r>
        <w:t xml:space="preserve"> Cláusula 2.1.2., de forma que a referida cláusula passa a vigorar com a seguinte redação:</w:t>
      </w:r>
    </w:p>
    <w:p w14:paraId="6382C171" w14:textId="5F558890" w:rsidR="00315DEE" w:rsidRPr="00EA707C" w:rsidRDefault="00315DEE" w:rsidP="006B12DA">
      <w:pPr>
        <w:pStyle w:val="Body2"/>
        <w:rPr>
          <w:rFonts w:cs="Tahoma"/>
          <w:i/>
          <w:iCs/>
          <w:color w:val="000000"/>
          <w:szCs w:val="20"/>
        </w:rPr>
      </w:pPr>
      <w:r w:rsidRPr="00EA707C">
        <w:rPr>
          <w:i/>
          <w:iCs/>
        </w:rPr>
        <w:t>“</w:t>
      </w:r>
      <w:r w:rsidRPr="006B12DA">
        <w:rPr>
          <w:b/>
          <w:bCs/>
          <w:i/>
          <w:iCs/>
        </w:rPr>
        <w:t>2.1.2.</w:t>
      </w:r>
      <w:r w:rsidRPr="00EA707C">
        <w:rPr>
          <w:i/>
          <w:iCs/>
        </w:rPr>
        <w:t xml:space="preserve"> </w:t>
      </w:r>
      <w:r w:rsidRPr="00EA707C">
        <w:rPr>
          <w:i/>
          <w:iCs/>
        </w:rPr>
        <w:tab/>
      </w:r>
      <w:r w:rsidRPr="006B12DA">
        <w:rPr>
          <w:i/>
          <w:iCs/>
        </w:rPr>
        <w:t xml:space="preserve">Exclusivamente para fins de verificação pelo Agente Fiduciário as Partes atribuem às Ações o valor de R$10.700.000,00 (dez milhões e setecentos mil reais), com base no seu valor nominal, as quais representam </w:t>
      </w:r>
      <w:r w:rsidR="00AC5650">
        <w:rPr>
          <w:i/>
          <w:iCs/>
        </w:rPr>
        <w:t>9,70</w:t>
      </w:r>
      <w:r w:rsidRPr="006B12DA">
        <w:rPr>
          <w:i/>
          <w:iCs/>
        </w:rPr>
        <w:t>% (</w:t>
      </w:r>
      <w:r w:rsidR="00AC5650">
        <w:rPr>
          <w:i/>
          <w:iCs/>
        </w:rPr>
        <w:t>nove inteiros e setenta centésimos por cento</w:t>
      </w:r>
      <w:r w:rsidRPr="006B12DA">
        <w:rPr>
          <w:i/>
          <w:iCs/>
        </w:rPr>
        <w:t>) do valor total das Debêntures da 1ª Emissão e 7,04% (sete inteiros e quatro centésimos por cento) do valor total das Debêntures da 2ª Emissão.</w:t>
      </w:r>
      <w:r w:rsidRPr="00EA707C">
        <w:rPr>
          <w:i/>
          <w:iCs/>
        </w:rPr>
        <w:t xml:space="preserve">” </w:t>
      </w:r>
    </w:p>
    <w:p w14:paraId="143FDB6E" w14:textId="6F64DB65" w:rsidR="00496D82" w:rsidRDefault="00496D82" w:rsidP="006B12DA">
      <w:pPr>
        <w:pStyle w:val="Level2"/>
      </w:pPr>
      <w:r w:rsidRPr="00496D82">
        <w:t xml:space="preserve">Em virtude das novas condições comerciais acordadas entre a Emissora e o </w:t>
      </w:r>
      <w:r w:rsidR="00427CB6">
        <w:t>d</w:t>
      </w:r>
      <w:r w:rsidRPr="00496D82">
        <w:t xml:space="preserve">ebenturista da 1ª Emissão, </w:t>
      </w:r>
      <w:r w:rsidR="008C4874">
        <w:t xml:space="preserve">conforme o Primeiro Aditamento à Escritura da 1ª Emissão, </w:t>
      </w:r>
      <w:r w:rsidRPr="00496D82">
        <w:t xml:space="preserve">as Partes acordaram em alterar </w:t>
      </w:r>
      <w:r w:rsidR="00427CB6">
        <w:t>a tabela referente às Obrigações Garantidas da 1ª Emissão, constante do</w:t>
      </w:r>
      <w:r w:rsidR="008C4874">
        <w:t xml:space="preserve"> Anexo I do Contrato, </w:t>
      </w:r>
      <w:r w:rsidR="0086345A">
        <w:t>a</w:t>
      </w:r>
      <w:r w:rsidR="008C4874">
        <w:t xml:space="preserve"> qual</w:t>
      </w:r>
      <w:r w:rsidRPr="00496D82">
        <w:t xml:space="preserve"> passará a </w:t>
      </w:r>
      <w:r w:rsidR="008C4874">
        <w:t>vigorar com a seguinte redação</w:t>
      </w:r>
      <w:r>
        <w:t>:</w:t>
      </w:r>
    </w:p>
    <w:tbl>
      <w:tblPr>
        <w:tblW w:w="4327" w:type="pct"/>
        <w:tblInd w:w="1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5751"/>
      </w:tblGrid>
      <w:tr w:rsidR="00AC5650" w14:paraId="0A5FE7E3" w14:textId="77777777" w:rsidTr="00AC5650">
        <w:trPr>
          <w:tblHeader/>
        </w:trPr>
        <w:tc>
          <w:tcPr>
            <w:tcW w:w="5000" w:type="pct"/>
            <w:gridSpan w:val="2"/>
            <w:tcBorders>
              <w:top w:val="single" w:sz="12" w:space="0" w:color="auto"/>
              <w:left w:val="single" w:sz="12" w:space="0" w:color="auto"/>
              <w:bottom w:val="single" w:sz="6" w:space="0" w:color="auto"/>
              <w:right w:val="single" w:sz="12" w:space="0" w:color="auto"/>
            </w:tcBorders>
            <w:shd w:val="clear" w:color="auto" w:fill="BFBFBF"/>
            <w:vAlign w:val="center"/>
            <w:hideMark/>
          </w:tcPr>
          <w:p w14:paraId="111FC1F1" w14:textId="706837A0" w:rsidR="00AC5650" w:rsidRDefault="00AC5650">
            <w:pPr>
              <w:widowControl w:val="0"/>
              <w:spacing w:before="40" w:after="40" w:line="252" w:lineRule="auto"/>
              <w:ind w:left="-90"/>
              <w:jc w:val="center"/>
              <w:rPr>
                <w:rFonts w:cs="Tahoma"/>
                <w:b/>
                <w:i/>
                <w:iCs/>
                <w:sz w:val="18"/>
                <w:szCs w:val="18"/>
              </w:rPr>
            </w:pPr>
            <w:r>
              <w:rPr>
                <w:rFonts w:cs="Tahoma"/>
                <w:b/>
                <w:i/>
                <w:iCs/>
                <w:sz w:val="18"/>
                <w:szCs w:val="18"/>
              </w:rPr>
              <w:t>Obrigações Garantidas</w:t>
            </w:r>
            <w:r w:rsidR="00427CB6">
              <w:rPr>
                <w:rFonts w:cs="Tahoma"/>
                <w:b/>
                <w:i/>
                <w:iCs/>
                <w:sz w:val="18"/>
                <w:szCs w:val="18"/>
              </w:rPr>
              <w:t xml:space="preserve"> da 1ª Emissão</w:t>
            </w:r>
          </w:p>
        </w:tc>
      </w:tr>
      <w:tr w:rsidR="00AC5650" w14:paraId="7155A91B" w14:textId="77777777" w:rsidTr="00AC5650">
        <w:tc>
          <w:tcPr>
            <w:tcW w:w="1181" w:type="pct"/>
            <w:tcBorders>
              <w:top w:val="single" w:sz="6" w:space="0" w:color="auto"/>
              <w:left w:val="single" w:sz="12" w:space="0" w:color="auto"/>
              <w:bottom w:val="single" w:sz="6" w:space="0" w:color="auto"/>
              <w:right w:val="single" w:sz="6" w:space="0" w:color="auto"/>
            </w:tcBorders>
            <w:vAlign w:val="center"/>
            <w:hideMark/>
          </w:tcPr>
          <w:p w14:paraId="1C4F9ED2" w14:textId="77777777" w:rsidR="00AC5650" w:rsidRDefault="00AC5650">
            <w:pPr>
              <w:widowControl w:val="0"/>
              <w:spacing w:before="40" w:after="40" w:line="252" w:lineRule="auto"/>
              <w:ind w:left="-90"/>
              <w:rPr>
                <w:rFonts w:cs="Tahoma"/>
                <w:i/>
                <w:iCs/>
                <w:sz w:val="18"/>
                <w:szCs w:val="18"/>
              </w:rPr>
            </w:pPr>
            <w:r>
              <w:rPr>
                <w:rFonts w:cs="Tahoma"/>
                <w:i/>
                <w:iCs/>
                <w:sz w:val="18"/>
                <w:szCs w:val="18"/>
              </w:rPr>
              <w:t>Valor total da Emissão:</w:t>
            </w:r>
          </w:p>
        </w:tc>
        <w:tc>
          <w:tcPr>
            <w:tcW w:w="3819" w:type="pct"/>
            <w:tcBorders>
              <w:top w:val="single" w:sz="6" w:space="0" w:color="auto"/>
              <w:left w:val="single" w:sz="6" w:space="0" w:color="auto"/>
              <w:bottom w:val="single" w:sz="6" w:space="0" w:color="auto"/>
              <w:right w:val="single" w:sz="12" w:space="0" w:color="auto"/>
            </w:tcBorders>
            <w:vAlign w:val="center"/>
            <w:hideMark/>
          </w:tcPr>
          <w:p w14:paraId="358CB056" w14:textId="4C06743D" w:rsidR="00AC5650" w:rsidRDefault="00AC5650">
            <w:pPr>
              <w:pStyle w:val="p0"/>
              <w:spacing w:before="40" w:after="40" w:line="252" w:lineRule="auto"/>
              <w:outlineLvl w:val="0"/>
              <w:rPr>
                <w:rFonts w:ascii="Tahoma" w:hAnsi="Tahoma" w:cs="Tahoma"/>
                <w:i/>
                <w:iCs/>
                <w:sz w:val="18"/>
                <w:szCs w:val="18"/>
              </w:rPr>
            </w:pPr>
            <w:r>
              <w:rPr>
                <w:rFonts w:ascii="Tahoma" w:hAnsi="Tahoma" w:cs="Tahoma"/>
                <w:i/>
                <w:iCs/>
                <w:sz w:val="18"/>
                <w:szCs w:val="18"/>
              </w:rPr>
              <w:t>R$ 110.300.000,00 (cento e dez milhões e trezentos mil reais)</w:t>
            </w:r>
          </w:p>
        </w:tc>
      </w:tr>
      <w:tr w:rsidR="00AC5650" w14:paraId="71974A35" w14:textId="77777777" w:rsidTr="00AC5650">
        <w:tc>
          <w:tcPr>
            <w:tcW w:w="1181" w:type="pct"/>
            <w:tcBorders>
              <w:top w:val="single" w:sz="6" w:space="0" w:color="auto"/>
              <w:left w:val="single" w:sz="12" w:space="0" w:color="auto"/>
              <w:bottom w:val="single" w:sz="6" w:space="0" w:color="auto"/>
              <w:right w:val="single" w:sz="6" w:space="0" w:color="auto"/>
            </w:tcBorders>
            <w:vAlign w:val="center"/>
            <w:hideMark/>
          </w:tcPr>
          <w:p w14:paraId="7E457727" w14:textId="77777777" w:rsidR="00AC5650" w:rsidRDefault="00AC5650">
            <w:pPr>
              <w:widowControl w:val="0"/>
              <w:spacing w:before="40" w:after="40" w:line="252" w:lineRule="auto"/>
              <w:ind w:left="-90"/>
              <w:rPr>
                <w:rFonts w:cs="Tahoma"/>
                <w:i/>
                <w:iCs/>
                <w:sz w:val="18"/>
                <w:szCs w:val="18"/>
              </w:rPr>
            </w:pPr>
            <w:r>
              <w:rPr>
                <w:rFonts w:cs="Tahoma"/>
                <w:i/>
                <w:iCs/>
                <w:sz w:val="18"/>
                <w:szCs w:val="18"/>
              </w:rPr>
              <w:t>Valor da 1ª Série</w:t>
            </w:r>
          </w:p>
        </w:tc>
        <w:tc>
          <w:tcPr>
            <w:tcW w:w="3819" w:type="pct"/>
            <w:tcBorders>
              <w:top w:val="single" w:sz="6" w:space="0" w:color="auto"/>
              <w:left w:val="single" w:sz="6" w:space="0" w:color="auto"/>
              <w:bottom w:val="single" w:sz="6" w:space="0" w:color="auto"/>
              <w:right w:val="single" w:sz="12" w:space="0" w:color="auto"/>
            </w:tcBorders>
            <w:vAlign w:val="center"/>
            <w:hideMark/>
          </w:tcPr>
          <w:p w14:paraId="49F9073B" w14:textId="77777777" w:rsidR="00AC5650" w:rsidRDefault="00AC5650">
            <w:pPr>
              <w:pStyle w:val="p0"/>
              <w:spacing w:before="40" w:after="40" w:line="252" w:lineRule="auto"/>
              <w:outlineLvl w:val="0"/>
              <w:rPr>
                <w:rFonts w:ascii="Tahoma" w:hAnsi="Tahoma" w:cs="Tahoma"/>
                <w:i/>
                <w:iCs/>
                <w:sz w:val="18"/>
                <w:szCs w:val="18"/>
              </w:rPr>
            </w:pPr>
            <w:r>
              <w:rPr>
                <w:rFonts w:ascii="Tahoma" w:hAnsi="Tahoma" w:cs="Tahoma"/>
                <w:i/>
                <w:iCs/>
                <w:sz w:val="18"/>
                <w:szCs w:val="18"/>
              </w:rPr>
              <w:t>R$ 55.300.000,00 (cinquenta e cinco milhões e trezentos mil reais)</w:t>
            </w:r>
          </w:p>
        </w:tc>
      </w:tr>
      <w:tr w:rsidR="00AC5650" w14:paraId="105C5EAF" w14:textId="77777777" w:rsidTr="00AC5650">
        <w:tc>
          <w:tcPr>
            <w:tcW w:w="1181" w:type="pct"/>
            <w:tcBorders>
              <w:top w:val="single" w:sz="6" w:space="0" w:color="auto"/>
              <w:left w:val="single" w:sz="12" w:space="0" w:color="auto"/>
              <w:bottom w:val="single" w:sz="6" w:space="0" w:color="auto"/>
              <w:right w:val="single" w:sz="6" w:space="0" w:color="auto"/>
            </w:tcBorders>
            <w:vAlign w:val="center"/>
            <w:hideMark/>
          </w:tcPr>
          <w:p w14:paraId="5406C30C" w14:textId="77777777" w:rsidR="00AC5650" w:rsidRDefault="00AC5650">
            <w:pPr>
              <w:widowControl w:val="0"/>
              <w:spacing w:before="40" w:after="40" w:line="252" w:lineRule="auto"/>
              <w:ind w:left="-90"/>
              <w:rPr>
                <w:rFonts w:cs="Tahoma"/>
                <w:i/>
                <w:iCs/>
                <w:sz w:val="18"/>
                <w:szCs w:val="18"/>
              </w:rPr>
            </w:pPr>
            <w:r>
              <w:rPr>
                <w:rFonts w:cs="Tahoma"/>
                <w:i/>
                <w:iCs/>
                <w:sz w:val="18"/>
                <w:szCs w:val="18"/>
              </w:rPr>
              <w:t>Valor da 2ª Série</w:t>
            </w:r>
          </w:p>
        </w:tc>
        <w:tc>
          <w:tcPr>
            <w:tcW w:w="3819" w:type="pct"/>
            <w:tcBorders>
              <w:top w:val="single" w:sz="6" w:space="0" w:color="auto"/>
              <w:left w:val="single" w:sz="6" w:space="0" w:color="auto"/>
              <w:bottom w:val="single" w:sz="6" w:space="0" w:color="auto"/>
              <w:right w:val="single" w:sz="12" w:space="0" w:color="auto"/>
            </w:tcBorders>
            <w:vAlign w:val="center"/>
            <w:hideMark/>
          </w:tcPr>
          <w:p w14:paraId="22757D80" w14:textId="35C6B36F" w:rsidR="00AC5650" w:rsidRDefault="00AC5650">
            <w:pPr>
              <w:pStyle w:val="p0"/>
              <w:spacing w:before="40" w:after="40" w:line="252" w:lineRule="auto"/>
              <w:outlineLvl w:val="0"/>
              <w:rPr>
                <w:rFonts w:ascii="Tahoma" w:hAnsi="Tahoma" w:cs="Tahoma"/>
                <w:i/>
                <w:iCs/>
                <w:sz w:val="18"/>
                <w:szCs w:val="18"/>
              </w:rPr>
            </w:pPr>
            <w:r>
              <w:rPr>
                <w:rFonts w:ascii="Tahoma" w:hAnsi="Tahoma" w:cs="Tahoma"/>
                <w:i/>
                <w:iCs/>
                <w:sz w:val="18"/>
                <w:szCs w:val="18"/>
              </w:rPr>
              <w:t>R$55.000.000,00 (cinquenta e cinco milhões de reais)</w:t>
            </w:r>
          </w:p>
        </w:tc>
      </w:tr>
      <w:tr w:rsidR="00AC5650" w14:paraId="2A0267D0" w14:textId="77777777" w:rsidTr="00AC5650">
        <w:tc>
          <w:tcPr>
            <w:tcW w:w="1181" w:type="pct"/>
            <w:tcBorders>
              <w:top w:val="single" w:sz="6" w:space="0" w:color="auto"/>
              <w:left w:val="single" w:sz="12" w:space="0" w:color="auto"/>
              <w:bottom w:val="single" w:sz="6" w:space="0" w:color="auto"/>
              <w:right w:val="single" w:sz="6" w:space="0" w:color="auto"/>
            </w:tcBorders>
            <w:vAlign w:val="center"/>
            <w:hideMark/>
          </w:tcPr>
          <w:p w14:paraId="42A9287B" w14:textId="77777777" w:rsidR="00AC5650" w:rsidRDefault="00AC5650">
            <w:pPr>
              <w:widowControl w:val="0"/>
              <w:spacing w:before="40" w:after="40" w:line="252" w:lineRule="auto"/>
              <w:ind w:left="-90"/>
              <w:rPr>
                <w:rFonts w:cs="Tahoma"/>
                <w:i/>
                <w:iCs/>
                <w:sz w:val="18"/>
                <w:szCs w:val="18"/>
              </w:rPr>
            </w:pPr>
            <w:r>
              <w:rPr>
                <w:rFonts w:cs="Tahoma"/>
                <w:i/>
                <w:iCs/>
                <w:sz w:val="18"/>
                <w:szCs w:val="18"/>
              </w:rPr>
              <w:t>Data de Emissão da 1ª Série:</w:t>
            </w:r>
          </w:p>
        </w:tc>
        <w:tc>
          <w:tcPr>
            <w:tcW w:w="3819" w:type="pct"/>
            <w:tcBorders>
              <w:top w:val="single" w:sz="6" w:space="0" w:color="auto"/>
              <w:left w:val="single" w:sz="6" w:space="0" w:color="auto"/>
              <w:bottom w:val="single" w:sz="6" w:space="0" w:color="auto"/>
              <w:right w:val="single" w:sz="12" w:space="0" w:color="auto"/>
            </w:tcBorders>
            <w:vAlign w:val="center"/>
            <w:hideMark/>
          </w:tcPr>
          <w:p w14:paraId="6E82C668" w14:textId="77777777" w:rsidR="00AC5650" w:rsidRDefault="00AC5650">
            <w:pPr>
              <w:widowControl w:val="0"/>
              <w:spacing w:before="40" w:after="40" w:line="252" w:lineRule="auto"/>
              <w:rPr>
                <w:rFonts w:cs="Tahoma"/>
                <w:i/>
                <w:iCs/>
                <w:sz w:val="18"/>
                <w:szCs w:val="18"/>
              </w:rPr>
            </w:pPr>
            <w:r>
              <w:rPr>
                <w:rFonts w:cs="Tahoma"/>
                <w:i/>
                <w:iCs/>
                <w:sz w:val="18"/>
                <w:szCs w:val="18"/>
              </w:rPr>
              <w:t>30 de agosto de 2019.</w:t>
            </w:r>
          </w:p>
        </w:tc>
      </w:tr>
      <w:tr w:rsidR="00AC5650" w14:paraId="4E3B4D2C" w14:textId="77777777" w:rsidTr="00AC5650">
        <w:tc>
          <w:tcPr>
            <w:tcW w:w="1181" w:type="pct"/>
            <w:tcBorders>
              <w:top w:val="single" w:sz="6" w:space="0" w:color="auto"/>
              <w:left w:val="single" w:sz="12" w:space="0" w:color="auto"/>
              <w:bottom w:val="single" w:sz="6" w:space="0" w:color="auto"/>
              <w:right w:val="single" w:sz="6" w:space="0" w:color="auto"/>
            </w:tcBorders>
            <w:vAlign w:val="center"/>
            <w:hideMark/>
          </w:tcPr>
          <w:p w14:paraId="39555CEC" w14:textId="77777777" w:rsidR="00AC5650" w:rsidRDefault="00AC5650">
            <w:pPr>
              <w:widowControl w:val="0"/>
              <w:spacing w:before="40" w:after="40" w:line="252" w:lineRule="auto"/>
              <w:ind w:left="-90"/>
              <w:rPr>
                <w:rFonts w:cs="Tahoma"/>
                <w:i/>
                <w:iCs/>
                <w:sz w:val="18"/>
                <w:szCs w:val="18"/>
              </w:rPr>
            </w:pPr>
            <w:r>
              <w:rPr>
                <w:rFonts w:cs="Tahoma"/>
                <w:i/>
                <w:iCs/>
                <w:sz w:val="18"/>
                <w:szCs w:val="18"/>
              </w:rPr>
              <w:t>Data de Emissão da 2ª Série:</w:t>
            </w:r>
          </w:p>
        </w:tc>
        <w:tc>
          <w:tcPr>
            <w:tcW w:w="3819" w:type="pct"/>
            <w:tcBorders>
              <w:top w:val="single" w:sz="6" w:space="0" w:color="auto"/>
              <w:left w:val="single" w:sz="6" w:space="0" w:color="auto"/>
              <w:bottom w:val="single" w:sz="6" w:space="0" w:color="auto"/>
              <w:right w:val="single" w:sz="12" w:space="0" w:color="auto"/>
            </w:tcBorders>
            <w:vAlign w:val="center"/>
            <w:hideMark/>
          </w:tcPr>
          <w:p w14:paraId="1ADA92B8" w14:textId="22DE6D70" w:rsidR="00AC5650" w:rsidRDefault="00DA2FCF">
            <w:pPr>
              <w:widowControl w:val="0"/>
              <w:spacing w:before="40" w:after="40" w:line="252" w:lineRule="auto"/>
              <w:rPr>
                <w:rFonts w:cs="Tahoma"/>
                <w:i/>
                <w:iCs/>
                <w:sz w:val="18"/>
                <w:szCs w:val="18"/>
              </w:rPr>
            </w:pPr>
            <w:r w:rsidRPr="00E27C16">
              <w:rPr>
                <w:rFonts w:cs="Tahoma"/>
                <w:i/>
                <w:iCs/>
                <w:sz w:val="18"/>
                <w:szCs w:val="18"/>
              </w:rPr>
              <w:t>24 de março de 2022</w:t>
            </w:r>
          </w:p>
        </w:tc>
      </w:tr>
      <w:tr w:rsidR="00AC5650" w14:paraId="3526B4B0" w14:textId="77777777" w:rsidTr="00AC5650">
        <w:tc>
          <w:tcPr>
            <w:tcW w:w="1181" w:type="pct"/>
            <w:tcBorders>
              <w:top w:val="single" w:sz="6" w:space="0" w:color="auto"/>
              <w:left w:val="single" w:sz="12" w:space="0" w:color="auto"/>
              <w:bottom w:val="single" w:sz="6" w:space="0" w:color="auto"/>
              <w:right w:val="single" w:sz="6" w:space="0" w:color="auto"/>
            </w:tcBorders>
            <w:vAlign w:val="center"/>
            <w:hideMark/>
          </w:tcPr>
          <w:p w14:paraId="540C70E4" w14:textId="77777777" w:rsidR="00AC5650" w:rsidRDefault="00AC5650">
            <w:pPr>
              <w:widowControl w:val="0"/>
              <w:spacing w:before="40" w:after="40" w:line="252" w:lineRule="auto"/>
              <w:ind w:left="-90"/>
              <w:rPr>
                <w:rFonts w:cs="Tahoma"/>
                <w:i/>
                <w:iCs/>
                <w:sz w:val="18"/>
                <w:szCs w:val="18"/>
              </w:rPr>
            </w:pPr>
            <w:r>
              <w:rPr>
                <w:rFonts w:cs="Tahoma"/>
                <w:i/>
                <w:iCs/>
                <w:sz w:val="18"/>
                <w:szCs w:val="18"/>
              </w:rPr>
              <w:t>Quantidade total de Debêntures:</w:t>
            </w:r>
          </w:p>
        </w:tc>
        <w:tc>
          <w:tcPr>
            <w:tcW w:w="3819" w:type="pct"/>
            <w:tcBorders>
              <w:top w:val="single" w:sz="6" w:space="0" w:color="auto"/>
              <w:left w:val="single" w:sz="6" w:space="0" w:color="auto"/>
              <w:bottom w:val="single" w:sz="6" w:space="0" w:color="auto"/>
              <w:right w:val="single" w:sz="12" w:space="0" w:color="auto"/>
            </w:tcBorders>
            <w:vAlign w:val="center"/>
            <w:hideMark/>
          </w:tcPr>
          <w:p w14:paraId="7C53C7D8" w14:textId="742BB984" w:rsidR="00AC5650" w:rsidRDefault="0086345A">
            <w:pPr>
              <w:widowControl w:val="0"/>
              <w:spacing w:before="40" w:after="40" w:line="252" w:lineRule="auto"/>
              <w:rPr>
                <w:rFonts w:cs="Tahoma"/>
                <w:i/>
                <w:iCs/>
                <w:sz w:val="18"/>
                <w:szCs w:val="18"/>
              </w:rPr>
            </w:pPr>
            <w:r w:rsidRPr="0086345A">
              <w:rPr>
                <w:rFonts w:cs="Tahoma"/>
                <w:i/>
                <w:iCs/>
                <w:sz w:val="18"/>
                <w:szCs w:val="18"/>
              </w:rPr>
              <w:t>1.103 (mil, cento e três) debêntures conversíveis em ações</w:t>
            </w:r>
            <w:r w:rsidRPr="0086345A" w:rsidDel="0086345A">
              <w:rPr>
                <w:rFonts w:cs="Tahoma"/>
                <w:i/>
                <w:iCs/>
                <w:sz w:val="18"/>
                <w:szCs w:val="18"/>
                <w:highlight w:val="yellow"/>
              </w:rPr>
              <w:t xml:space="preserve"> </w:t>
            </w:r>
          </w:p>
        </w:tc>
      </w:tr>
      <w:tr w:rsidR="00AC5650" w14:paraId="3E9FCD8C" w14:textId="77777777" w:rsidTr="00AC5650">
        <w:tc>
          <w:tcPr>
            <w:tcW w:w="1181" w:type="pct"/>
            <w:tcBorders>
              <w:top w:val="single" w:sz="6" w:space="0" w:color="auto"/>
              <w:left w:val="single" w:sz="12" w:space="0" w:color="auto"/>
              <w:bottom w:val="single" w:sz="6" w:space="0" w:color="auto"/>
              <w:right w:val="single" w:sz="6" w:space="0" w:color="auto"/>
            </w:tcBorders>
            <w:vAlign w:val="center"/>
            <w:hideMark/>
          </w:tcPr>
          <w:p w14:paraId="28EE8A4C" w14:textId="77777777" w:rsidR="00AC5650" w:rsidRDefault="00AC5650">
            <w:pPr>
              <w:widowControl w:val="0"/>
              <w:spacing w:before="40" w:after="40" w:line="252" w:lineRule="auto"/>
              <w:ind w:left="-90"/>
              <w:rPr>
                <w:rFonts w:cs="Tahoma"/>
                <w:i/>
                <w:iCs/>
                <w:sz w:val="18"/>
                <w:szCs w:val="18"/>
              </w:rPr>
            </w:pPr>
            <w:r>
              <w:rPr>
                <w:rFonts w:cs="Tahoma"/>
                <w:i/>
                <w:iCs/>
                <w:sz w:val="18"/>
                <w:szCs w:val="18"/>
              </w:rPr>
              <w:t>Quantidade de Debêntures: da 1ª Série</w:t>
            </w:r>
          </w:p>
        </w:tc>
        <w:tc>
          <w:tcPr>
            <w:tcW w:w="3819" w:type="pct"/>
            <w:tcBorders>
              <w:top w:val="single" w:sz="6" w:space="0" w:color="auto"/>
              <w:left w:val="single" w:sz="6" w:space="0" w:color="auto"/>
              <w:bottom w:val="single" w:sz="6" w:space="0" w:color="auto"/>
              <w:right w:val="single" w:sz="12" w:space="0" w:color="auto"/>
            </w:tcBorders>
            <w:vAlign w:val="center"/>
            <w:hideMark/>
          </w:tcPr>
          <w:p w14:paraId="623C4E96" w14:textId="4C78E64D" w:rsidR="00AC5650" w:rsidRDefault="00AC5650">
            <w:pPr>
              <w:widowControl w:val="0"/>
              <w:spacing w:before="40" w:after="40" w:line="252" w:lineRule="auto"/>
              <w:rPr>
                <w:rFonts w:cs="Tahoma"/>
                <w:i/>
                <w:iCs/>
                <w:sz w:val="18"/>
                <w:szCs w:val="18"/>
              </w:rPr>
            </w:pPr>
            <w:r>
              <w:rPr>
                <w:rFonts w:cs="Tahoma"/>
                <w:i/>
                <w:iCs/>
                <w:sz w:val="18"/>
                <w:szCs w:val="18"/>
              </w:rPr>
              <w:t>553 (quinhentos e cinquenta e três) debêntures conversíveis em ações.</w:t>
            </w:r>
          </w:p>
        </w:tc>
      </w:tr>
      <w:tr w:rsidR="00AC5650" w14:paraId="3A883690" w14:textId="77777777" w:rsidTr="00AC5650">
        <w:tc>
          <w:tcPr>
            <w:tcW w:w="1181" w:type="pct"/>
            <w:tcBorders>
              <w:top w:val="single" w:sz="6" w:space="0" w:color="auto"/>
              <w:left w:val="single" w:sz="12" w:space="0" w:color="auto"/>
              <w:bottom w:val="single" w:sz="6" w:space="0" w:color="auto"/>
              <w:right w:val="single" w:sz="6" w:space="0" w:color="auto"/>
            </w:tcBorders>
            <w:vAlign w:val="center"/>
            <w:hideMark/>
          </w:tcPr>
          <w:p w14:paraId="139D53C5" w14:textId="69A86D1E" w:rsidR="00AC5650" w:rsidRPr="00AC5650" w:rsidRDefault="00427CB6">
            <w:pPr>
              <w:widowControl w:val="0"/>
              <w:spacing w:before="40" w:after="40" w:line="252" w:lineRule="auto"/>
              <w:ind w:left="-90"/>
              <w:rPr>
                <w:rFonts w:cs="Tahoma"/>
                <w:i/>
                <w:iCs/>
                <w:sz w:val="18"/>
                <w:szCs w:val="18"/>
              </w:rPr>
            </w:pPr>
            <w:r>
              <w:rPr>
                <w:rFonts w:cs="Tahoma"/>
                <w:i/>
                <w:iCs/>
                <w:sz w:val="18"/>
                <w:szCs w:val="18"/>
              </w:rPr>
              <w:lastRenderedPageBreak/>
              <w:t xml:space="preserve"> </w:t>
            </w:r>
            <w:r w:rsidR="00AC5650" w:rsidRPr="00AC5650">
              <w:rPr>
                <w:rFonts w:cs="Tahoma"/>
                <w:i/>
                <w:iCs/>
                <w:sz w:val="18"/>
                <w:szCs w:val="18"/>
              </w:rPr>
              <w:t>Quantidade de Debêntures da 2ª Série:</w:t>
            </w:r>
          </w:p>
        </w:tc>
        <w:tc>
          <w:tcPr>
            <w:tcW w:w="3819" w:type="pct"/>
            <w:tcBorders>
              <w:top w:val="single" w:sz="6" w:space="0" w:color="auto"/>
              <w:left w:val="single" w:sz="6" w:space="0" w:color="auto"/>
              <w:bottom w:val="single" w:sz="6" w:space="0" w:color="auto"/>
              <w:right w:val="single" w:sz="12" w:space="0" w:color="auto"/>
            </w:tcBorders>
            <w:vAlign w:val="center"/>
            <w:hideMark/>
          </w:tcPr>
          <w:p w14:paraId="15A3733A" w14:textId="552800CC" w:rsidR="00AC5650" w:rsidRPr="00AC5650" w:rsidRDefault="00AC5650">
            <w:pPr>
              <w:widowControl w:val="0"/>
              <w:spacing w:before="40" w:after="40" w:line="252" w:lineRule="auto"/>
              <w:rPr>
                <w:rFonts w:cs="Tahoma"/>
                <w:i/>
                <w:iCs/>
                <w:sz w:val="18"/>
                <w:szCs w:val="18"/>
              </w:rPr>
            </w:pPr>
            <w:r w:rsidRPr="00AC5650">
              <w:rPr>
                <w:rFonts w:cs="Tahoma"/>
                <w:i/>
                <w:iCs/>
                <w:sz w:val="18"/>
                <w:szCs w:val="18"/>
              </w:rPr>
              <w:t xml:space="preserve">550 (quinhentas e cinquenta) debêntures conversíveis em ações. </w:t>
            </w:r>
          </w:p>
        </w:tc>
      </w:tr>
      <w:tr w:rsidR="00AC5650" w14:paraId="36118324" w14:textId="77777777" w:rsidTr="00AC5650">
        <w:tc>
          <w:tcPr>
            <w:tcW w:w="1181" w:type="pct"/>
            <w:tcBorders>
              <w:top w:val="single" w:sz="6" w:space="0" w:color="auto"/>
              <w:left w:val="single" w:sz="12" w:space="0" w:color="auto"/>
              <w:bottom w:val="single" w:sz="6" w:space="0" w:color="auto"/>
              <w:right w:val="single" w:sz="6" w:space="0" w:color="auto"/>
            </w:tcBorders>
            <w:vAlign w:val="center"/>
            <w:hideMark/>
          </w:tcPr>
          <w:p w14:paraId="16A1F886" w14:textId="77777777" w:rsidR="00AC5650" w:rsidRPr="00AC5650" w:rsidRDefault="00AC5650">
            <w:pPr>
              <w:widowControl w:val="0"/>
              <w:spacing w:before="40" w:after="40" w:line="252" w:lineRule="auto"/>
              <w:ind w:left="-90"/>
              <w:rPr>
                <w:rFonts w:cs="Tahoma"/>
                <w:i/>
                <w:iCs/>
                <w:sz w:val="18"/>
                <w:szCs w:val="18"/>
              </w:rPr>
            </w:pPr>
            <w:r w:rsidRPr="00AC5650">
              <w:rPr>
                <w:rFonts w:cs="Tahoma"/>
                <w:i/>
                <w:iCs/>
                <w:sz w:val="18"/>
                <w:szCs w:val="18"/>
              </w:rPr>
              <w:t>Valor Nominal Unitário</w:t>
            </w:r>
          </w:p>
        </w:tc>
        <w:tc>
          <w:tcPr>
            <w:tcW w:w="3819" w:type="pct"/>
            <w:tcBorders>
              <w:top w:val="single" w:sz="6" w:space="0" w:color="auto"/>
              <w:left w:val="single" w:sz="6" w:space="0" w:color="auto"/>
              <w:bottom w:val="single" w:sz="6" w:space="0" w:color="auto"/>
              <w:right w:val="single" w:sz="12" w:space="0" w:color="auto"/>
            </w:tcBorders>
            <w:vAlign w:val="center"/>
            <w:hideMark/>
          </w:tcPr>
          <w:p w14:paraId="5EC7E7B9" w14:textId="77777777" w:rsidR="00AC5650" w:rsidRPr="00AC5650" w:rsidRDefault="00AC5650">
            <w:pPr>
              <w:widowControl w:val="0"/>
              <w:spacing w:before="40" w:after="40" w:line="252" w:lineRule="auto"/>
              <w:rPr>
                <w:rFonts w:cs="Tahoma"/>
                <w:i/>
                <w:iCs/>
                <w:sz w:val="18"/>
                <w:szCs w:val="18"/>
              </w:rPr>
            </w:pPr>
            <w:r w:rsidRPr="00AC5650">
              <w:rPr>
                <w:rFonts w:cs="Tahoma"/>
                <w:i/>
                <w:iCs/>
                <w:sz w:val="18"/>
                <w:szCs w:val="18"/>
              </w:rPr>
              <w:t>R$ 100.000,00 (cem mil reais).</w:t>
            </w:r>
          </w:p>
        </w:tc>
      </w:tr>
      <w:tr w:rsidR="00AC5650" w14:paraId="63275F9F" w14:textId="77777777" w:rsidTr="00AC5650">
        <w:tc>
          <w:tcPr>
            <w:tcW w:w="1181" w:type="pct"/>
            <w:tcBorders>
              <w:top w:val="single" w:sz="6" w:space="0" w:color="auto"/>
              <w:left w:val="single" w:sz="12" w:space="0" w:color="auto"/>
              <w:bottom w:val="single" w:sz="6" w:space="0" w:color="auto"/>
              <w:right w:val="single" w:sz="6" w:space="0" w:color="auto"/>
            </w:tcBorders>
            <w:vAlign w:val="center"/>
            <w:hideMark/>
          </w:tcPr>
          <w:p w14:paraId="58E0DB3C" w14:textId="77777777" w:rsidR="00AC5650" w:rsidRDefault="00AC5650">
            <w:pPr>
              <w:widowControl w:val="0"/>
              <w:spacing w:before="40" w:after="40" w:line="252" w:lineRule="auto"/>
              <w:ind w:left="-90"/>
              <w:rPr>
                <w:rFonts w:cs="Tahoma"/>
                <w:i/>
                <w:iCs/>
                <w:sz w:val="18"/>
                <w:szCs w:val="18"/>
              </w:rPr>
            </w:pPr>
            <w:r>
              <w:rPr>
                <w:rFonts w:cs="Tahoma"/>
                <w:i/>
                <w:iCs/>
                <w:sz w:val="18"/>
                <w:szCs w:val="18"/>
              </w:rPr>
              <w:t>Data de Vencimento</w:t>
            </w:r>
          </w:p>
        </w:tc>
        <w:tc>
          <w:tcPr>
            <w:tcW w:w="3819" w:type="pct"/>
            <w:tcBorders>
              <w:top w:val="single" w:sz="6" w:space="0" w:color="auto"/>
              <w:left w:val="single" w:sz="6" w:space="0" w:color="auto"/>
              <w:bottom w:val="single" w:sz="6" w:space="0" w:color="auto"/>
              <w:right w:val="single" w:sz="12" w:space="0" w:color="auto"/>
            </w:tcBorders>
            <w:vAlign w:val="center"/>
            <w:hideMark/>
          </w:tcPr>
          <w:p w14:paraId="454780DC" w14:textId="7AB3705E" w:rsidR="00AC5650" w:rsidRDefault="00AC5650">
            <w:pPr>
              <w:widowControl w:val="0"/>
              <w:spacing w:before="40" w:after="40" w:line="252" w:lineRule="auto"/>
              <w:rPr>
                <w:rFonts w:cs="Tahoma"/>
                <w:i/>
                <w:iCs/>
                <w:sz w:val="18"/>
                <w:szCs w:val="18"/>
              </w:rPr>
            </w:pPr>
            <w:r>
              <w:rPr>
                <w:rFonts w:cs="Tahoma"/>
                <w:i/>
                <w:iCs/>
                <w:sz w:val="18"/>
                <w:szCs w:val="18"/>
              </w:rPr>
              <w:t>15 de dezembro de 2022</w:t>
            </w:r>
          </w:p>
        </w:tc>
      </w:tr>
      <w:tr w:rsidR="00AC5650" w14:paraId="67B12211" w14:textId="77777777" w:rsidTr="00AC5650">
        <w:tc>
          <w:tcPr>
            <w:tcW w:w="1181" w:type="pct"/>
            <w:tcBorders>
              <w:top w:val="single" w:sz="6" w:space="0" w:color="auto"/>
              <w:left w:val="single" w:sz="12" w:space="0" w:color="auto"/>
              <w:bottom w:val="single" w:sz="6" w:space="0" w:color="auto"/>
              <w:right w:val="single" w:sz="6" w:space="0" w:color="auto"/>
            </w:tcBorders>
            <w:vAlign w:val="center"/>
            <w:hideMark/>
          </w:tcPr>
          <w:p w14:paraId="788C3F95" w14:textId="77777777" w:rsidR="00AC5650" w:rsidRDefault="00AC5650">
            <w:pPr>
              <w:widowControl w:val="0"/>
              <w:spacing w:before="40" w:after="40" w:line="252" w:lineRule="auto"/>
              <w:ind w:left="-90"/>
              <w:rPr>
                <w:rFonts w:cs="Tahoma"/>
                <w:i/>
                <w:iCs/>
                <w:sz w:val="18"/>
                <w:szCs w:val="18"/>
              </w:rPr>
            </w:pPr>
            <w:r>
              <w:rPr>
                <w:rFonts w:cs="Tahoma"/>
                <w:i/>
                <w:iCs/>
                <w:sz w:val="18"/>
                <w:szCs w:val="18"/>
              </w:rPr>
              <w:t>Remuneração das Debêntures da 1ª Série</w:t>
            </w:r>
          </w:p>
        </w:tc>
        <w:tc>
          <w:tcPr>
            <w:tcW w:w="3819" w:type="pct"/>
            <w:tcBorders>
              <w:top w:val="single" w:sz="6" w:space="0" w:color="auto"/>
              <w:left w:val="single" w:sz="6" w:space="0" w:color="auto"/>
              <w:bottom w:val="single" w:sz="6" w:space="0" w:color="auto"/>
              <w:right w:val="single" w:sz="12" w:space="0" w:color="auto"/>
            </w:tcBorders>
            <w:vAlign w:val="center"/>
            <w:hideMark/>
          </w:tcPr>
          <w:p w14:paraId="37703BC1" w14:textId="4D563EC8" w:rsidR="00AC5650" w:rsidRDefault="00AC5650">
            <w:pPr>
              <w:pStyle w:val="PargrafodaLista"/>
              <w:widowControl w:val="0"/>
              <w:spacing w:before="40" w:after="40" w:line="252" w:lineRule="auto"/>
              <w:ind w:left="0"/>
              <w:rPr>
                <w:rFonts w:cs="Tahoma"/>
                <w:i/>
                <w:iCs/>
                <w:smallCaps/>
                <w:color w:val="000000"/>
                <w:sz w:val="18"/>
                <w:szCs w:val="18"/>
              </w:rPr>
            </w:pPr>
            <w:r>
              <w:rPr>
                <w:rFonts w:cs="Tahoma"/>
                <w:i/>
                <w:iCs/>
                <w:sz w:val="18"/>
                <w:szCs w:val="18"/>
              </w:rPr>
              <w:t xml:space="preserve">Sobre o Valor Nominal Unitário das Debêntures incidirão juros remuneratórios calculados </w:t>
            </w:r>
            <w:r w:rsidR="00A55B56">
              <w:rPr>
                <w:rFonts w:cs="Tahoma"/>
                <w:i/>
                <w:iCs/>
                <w:sz w:val="18"/>
                <w:szCs w:val="18"/>
              </w:rPr>
              <w:t>pro rata temporis</w:t>
            </w:r>
            <w:r>
              <w:rPr>
                <w:rFonts w:cs="Tahoma"/>
                <w:i/>
                <w:iCs/>
                <w:sz w:val="18"/>
                <w:szCs w:val="18"/>
              </w:rPr>
              <w:t xml:space="preserve"> e pagos ao final de cada Período de Capitalização (conforme definido na Escritura de Emissão), conforme fórmula descrita na Escritura de Emissão.</w:t>
            </w:r>
          </w:p>
        </w:tc>
      </w:tr>
      <w:tr w:rsidR="00AC5650" w14:paraId="23FEF145" w14:textId="77777777" w:rsidTr="00AC5650">
        <w:tc>
          <w:tcPr>
            <w:tcW w:w="1181" w:type="pct"/>
            <w:tcBorders>
              <w:top w:val="single" w:sz="6" w:space="0" w:color="auto"/>
              <w:left w:val="single" w:sz="12" w:space="0" w:color="auto"/>
              <w:bottom w:val="single" w:sz="6" w:space="0" w:color="auto"/>
              <w:right w:val="single" w:sz="6" w:space="0" w:color="auto"/>
            </w:tcBorders>
            <w:vAlign w:val="center"/>
            <w:hideMark/>
          </w:tcPr>
          <w:p w14:paraId="1174E6E8" w14:textId="77777777" w:rsidR="00AC5650" w:rsidRDefault="00AC5650">
            <w:pPr>
              <w:widowControl w:val="0"/>
              <w:spacing w:before="40" w:after="40" w:line="252" w:lineRule="auto"/>
              <w:ind w:left="-90"/>
              <w:rPr>
                <w:rFonts w:cs="Tahoma"/>
                <w:i/>
                <w:iCs/>
                <w:sz w:val="18"/>
                <w:szCs w:val="18"/>
              </w:rPr>
            </w:pPr>
            <w:r>
              <w:rPr>
                <w:rFonts w:cs="Tahoma"/>
                <w:i/>
                <w:iCs/>
                <w:sz w:val="18"/>
                <w:szCs w:val="18"/>
              </w:rPr>
              <w:t>Remuneração das Debêntures da 2ª Série</w:t>
            </w:r>
          </w:p>
        </w:tc>
        <w:tc>
          <w:tcPr>
            <w:tcW w:w="3819" w:type="pct"/>
            <w:tcBorders>
              <w:top w:val="single" w:sz="6" w:space="0" w:color="auto"/>
              <w:left w:val="single" w:sz="6" w:space="0" w:color="auto"/>
              <w:bottom w:val="single" w:sz="6" w:space="0" w:color="auto"/>
              <w:right w:val="single" w:sz="12" w:space="0" w:color="auto"/>
            </w:tcBorders>
            <w:vAlign w:val="center"/>
            <w:hideMark/>
          </w:tcPr>
          <w:p w14:paraId="4CCB0801" w14:textId="4F1D2239" w:rsidR="00AC5650" w:rsidRDefault="00AC5650">
            <w:pPr>
              <w:pStyle w:val="PargrafodaLista"/>
              <w:widowControl w:val="0"/>
              <w:spacing w:before="40" w:after="40" w:line="252" w:lineRule="auto"/>
              <w:ind w:left="0"/>
              <w:rPr>
                <w:rFonts w:cs="Tahoma"/>
                <w:i/>
                <w:iCs/>
                <w:sz w:val="18"/>
                <w:szCs w:val="22"/>
              </w:rPr>
            </w:pPr>
            <w:r w:rsidRPr="00A9290F">
              <w:rPr>
                <w:i/>
                <w:iCs/>
                <w:sz w:val="18"/>
                <w:szCs w:val="22"/>
              </w:rPr>
              <w:t>Sobre o Valor Nominal Unitário das Debêntures da 2ª Série incidirão juros remuneratórios correspondentes à variação acumulada de 100% (cem por cento) das taxas médias diárias dos DI – Depósitos Interfinanceiros de um dia, “over extra grupo”, expressa na forma percentual ao ano, base 252 (duzentos e cinquenta e dois) Dias Úteis, calculada e divulgada diariamente pela B3 (“</w:t>
            </w:r>
            <w:r w:rsidRPr="00A9290F">
              <w:rPr>
                <w:b/>
                <w:bCs/>
                <w:i/>
                <w:iCs/>
                <w:sz w:val="18"/>
                <w:szCs w:val="22"/>
              </w:rPr>
              <w:t>Taxa DI</w:t>
            </w:r>
            <w:r w:rsidRPr="00A9290F">
              <w:rPr>
                <w:i/>
                <w:iCs/>
                <w:sz w:val="18"/>
                <w:szCs w:val="22"/>
              </w:rPr>
              <w:t>”), acrescida exponencialmente de spread (sobretaxa) de 8% (oito por cento) ao ano, base 252 (duzentos e cinquenta e dois) Dias Úteis (“</w:t>
            </w:r>
            <w:r w:rsidRPr="00A9290F">
              <w:rPr>
                <w:b/>
                <w:bCs/>
                <w:i/>
                <w:iCs/>
                <w:sz w:val="18"/>
                <w:szCs w:val="22"/>
              </w:rPr>
              <w:t>Remuneração</w:t>
            </w:r>
            <w:r w:rsidR="003D2B09">
              <w:rPr>
                <w:b/>
                <w:bCs/>
                <w:i/>
                <w:iCs/>
                <w:sz w:val="18"/>
                <w:szCs w:val="22"/>
              </w:rPr>
              <w:t>dptdpt</w:t>
            </w:r>
            <w:r w:rsidRPr="00A9290F">
              <w:rPr>
                <w:b/>
                <w:bCs/>
                <w:i/>
                <w:iCs/>
                <w:sz w:val="18"/>
                <w:szCs w:val="22"/>
              </w:rPr>
              <w:t xml:space="preserve"> da 2ª Série</w:t>
            </w:r>
            <w:r w:rsidRPr="00A9290F">
              <w:rPr>
                <w:i/>
                <w:iCs/>
                <w:sz w:val="18"/>
                <w:szCs w:val="22"/>
              </w:rPr>
              <w:t>” e, em conjunto com a Remuneração da 1ª Série, a “</w:t>
            </w:r>
            <w:r w:rsidRPr="00A9290F">
              <w:rPr>
                <w:b/>
                <w:bCs/>
                <w:i/>
                <w:iCs/>
                <w:sz w:val="18"/>
                <w:szCs w:val="22"/>
              </w:rPr>
              <w:t>Remuneração das Debêntures</w:t>
            </w:r>
            <w:r w:rsidRPr="00A9290F">
              <w:rPr>
                <w:i/>
                <w:iCs/>
                <w:sz w:val="18"/>
                <w:szCs w:val="22"/>
              </w:rPr>
              <w:t xml:space="preserve">”). </w:t>
            </w:r>
            <w:r w:rsidRPr="00A9290F">
              <w:rPr>
                <w:rFonts w:cs="Tahoma"/>
                <w:i/>
                <w:iCs/>
                <w:sz w:val="18"/>
                <w:szCs w:val="22"/>
              </w:rPr>
              <w:t>A Remuneração será calculada de forma exponencial e cumulativa pro rata temporis, por Dias Úteis decorridos, incidentes sobre o Valor Nominal das Debêntures desde a Data da Primeira Integralização das Debêntures ou da Data de Pagamento da Remuneração das Debêntures da 2ª Série (conforme abaixo definida) imediatamente anterior, conforme o caso, até a próxima Data de Pagamento da Remuneração das Debêntures da 2ª Série. A Remuneração da 2ª Série deverá ser calculada de acordo com</w:t>
            </w:r>
            <w:r>
              <w:rPr>
                <w:rFonts w:cs="Tahoma"/>
                <w:i/>
                <w:iCs/>
                <w:sz w:val="18"/>
                <w:szCs w:val="22"/>
              </w:rPr>
              <w:t xml:space="preserve"> a fórmula constante na Escritura de Emissão. </w:t>
            </w:r>
          </w:p>
        </w:tc>
      </w:tr>
      <w:tr w:rsidR="00AC5650" w14:paraId="117E4D27" w14:textId="77777777" w:rsidTr="00AC5650">
        <w:tc>
          <w:tcPr>
            <w:tcW w:w="1181" w:type="pct"/>
            <w:tcBorders>
              <w:top w:val="single" w:sz="6" w:space="0" w:color="auto"/>
              <w:left w:val="single" w:sz="12" w:space="0" w:color="auto"/>
              <w:bottom w:val="single" w:sz="6" w:space="0" w:color="auto"/>
              <w:right w:val="single" w:sz="6" w:space="0" w:color="auto"/>
            </w:tcBorders>
            <w:vAlign w:val="center"/>
            <w:hideMark/>
          </w:tcPr>
          <w:p w14:paraId="067AB4EB" w14:textId="77777777" w:rsidR="00AC5650" w:rsidRDefault="00AC5650">
            <w:pPr>
              <w:widowControl w:val="0"/>
              <w:spacing w:before="40" w:after="40" w:line="252" w:lineRule="auto"/>
              <w:ind w:left="-90"/>
              <w:rPr>
                <w:rFonts w:cs="Tahoma"/>
                <w:i/>
                <w:iCs/>
                <w:sz w:val="18"/>
                <w:szCs w:val="18"/>
              </w:rPr>
            </w:pPr>
            <w:r>
              <w:rPr>
                <w:rFonts w:cs="Tahoma"/>
                <w:i/>
                <w:iCs/>
                <w:sz w:val="18"/>
                <w:szCs w:val="18"/>
              </w:rPr>
              <w:t>Encargos</w:t>
            </w:r>
          </w:p>
        </w:tc>
        <w:tc>
          <w:tcPr>
            <w:tcW w:w="3819" w:type="pct"/>
            <w:tcBorders>
              <w:top w:val="single" w:sz="6" w:space="0" w:color="auto"/>
              <w:left w:val="single" w:sz="6" w:space="0" w:color="auto"/>
              <w:bottom w:val="single" w:sz="6" w:space="0" w:color="auto"/>
              <w:right w:val="single" w:sz="12" w:space="0" w:color="auto"/>
            </w:tcBorders>
            <w:vAlign w:val="center"/>
            <w:hideMark/>
          </w:tcPr>
          <w:p w14:paraId="2C7B4E79" w14:textId="77777777" w:rsidR="00AC5650" w:rsidRDefault="00AC5650">
            <w:pPr>
              <w:widowControl w:val="0"/>
              <w:spacing w:before="40" w:after="40" w:line="252" w:lineRule="auto"/>
              <w:rPr>
                <w:rFonts w:cs="Tahoma"/>
                <w:i/>
                <w:iCs/>
                <w:sz w:val="18"/>
                <w:szCs w:val="18"/>
              </w:rPr>
            </w:pPr>
            <w:r>
              <w:rPr>
                <w:rFonts w:cs="Tahoma"/>
                <w:i/>
                <w:iCs/>
                <w:color w:val="000000"/>
                <w:sz w:val="18"/>
                <w:szCs w:val="18"/>
              </w:rPr>
              <w:t>Ocorrendo impontualidade no pagamento de qualquer valor devido pela Emissora ao Debenturista nos termos da Escritura da 1ª Emissão, sem prejuízo do pagamento da Remuneração, calculada pro rata temporis desde a data de integralização ou da data de pagamento de Remuneração imediatamente anterior, conforme o caso, até a data do efetivo pagamento, incidirão sobre todos e quaisquer valores em atraso, independentemente de aviso, notificação ou interpelação judicial ou extrajudicial, (i) juros de mora de 1% (um por cento) ao mês, calculados pro rata temporis desde a data de inadimplemento até a data do efetivo pagamento; e (ii) multa moratória de natureza não compensatória de 2% (dois por cento) sobre o valor devido.</w:t>
            </w:r>
          </w:p>
        </w:tc>
      </w:tr>
      <w:tr w:rsidR="00AC5650" w14:paraId="0C34C804" w14:textId="77777777" w:rsidTr="00AC5650">
        <w:tc>
          <w:tcPr>
            <w:tcW w:w="1181" w:type="pct"/>
            <w:tcBorders>
              <w:top w:val="single" w:sz="6" w:space="0" w:color="auto"/>
              <w:left w:val="single" w:sz="12" w:space="0" w:color="auto"/>
              <w:bottom w:val="single" w:sz="6" w:space="0" w:color="auto"/>
              <w:right w:val="single" w:sz="6" w:space="0" w:color="auto"/>
            </w:tcBorders>
            <w:vAlign w:val="center"/>
            <w:hideMark/>
          </w:tcPr>
          <w:p w14:paraId="356298CD" w14:textId="77777777" w:rsidR="00AC5650" w:rsidRDefault="00AC5650">
            <w:pPr>
              <w:widowControl w:val="0"/>
              <w:spacing w:before="40" w:after="40" w:line="252" w:lineRule="auto"/>
              <w:ind w:left="-90"/>
              <w:rPr>
                <w:rFonts w:cs="Tahoma"/>
                <w:i/>
                <w:iCs/>
                <w:sz w:val="18"/>
                <w:szCs w:val="18"/>
              </w:rPr>
            </w:pPr>
            <w:r>
              <w:rPr>
                <w:rFonts w:cs="Tahoma"/>
                <w:i/>
                <w:iCs/>
                <w:sz w:val="18"/>
                <w:szCs w:val="18"/>
              </w:rPr>
              <w:t>Conversibilidade</w:t>
            </w:r>
          </w:p>
        </w:tc>
        <w:tc>
          <w:tcPr>
            <w:tcW w:w="3819" w:type="pct"/>
            <w:tcBorders>
              <w:top w:val="single" w:sz="6" w:space="0" w:color="auto"/>
              <w:left w:val="single" w:sz="6" w:space="0" w:color="auto"/>
              <w:bottom w:val="single" w:sz="6" w:space="0" w:color="auto"/>
              <w:right w:val="single" w:sz="12" w:space="0" w:color="auto"/>
            </w:tcBorders>
            <w:vAlign w:val="center"/>
            <w:hideMark/>
          </w:tcPr>
          <w:p w14:paraId="228CBCD4" w14:textId="0D704A8F" w:rsidR="00AC5650" w:rsidRDefault="00AC5650">
            <w:pPr>
              <w:widowControl w:val="0"/>
              <w:spacing w:before="40" w:after="40" w:line="252" w:lineRule="auto"/>
              <w:rPr>
                <w:rFonts w:cs="Tahoma"/>
                <w:i/>
                <w:iCs/>
                <w:sz w:val="18"/>
                <w:szCs w:val="18"/>
              </w:rPr>
            </w:pPr>
            <w:r>
              <w:rPr>
                <w:rFonts w:cs="Tahoma"/>
                <w:i/>
                <w:iCs/>
                <w:color w:val="000000"/>
                <w:sz w:val="18"/>
                <w:szCs w:val="18"/>
              </w:rPr>
              <w:t xml:space="preserve">Observado o disposto na Escritura de Emissão, </w:t>
            </w:r>
            <w:r w:rsidRPr="00A9290F">
              <w:rPr>
                <w:i/>
                <w:iCs/>
                <w:sz w:val="18"/>
                <w:szCs w:val="18"/>
              </w:rPr>
              <w:t xml:space="preserve">todas as Debêntures em circulação poderão, a exclusivo critério do Debenturista, ser convertidas em ações ordinárias, nominativas e sem valor nominal, na forma prevista nesta Escritura de Emissão, </w:t>
            </w:r>
            <w:r w:rsidR="00DA2FCF">
              <w:rPr>
                <w:i/>
                <w:iCs/>
                <w:sz w:val="18"/>
                <w:szCs w:val="18"/>
              </w:rPr>
              <w:t>(</w:t>
            </w:r>
            <w:r w:rsidR="00DA2FCF" w:rsidRPr="00DA2FCF">
              <w:rPr>
                <w:i/>
                <w:iCs/>
                <w:sz w:val="18"/>
                <w:szCs w:val="18"/>
              </w:rPr>
              <w:t>i) a partir de 31 de julho de 2022 até a Data de Vencimento, caso os documentos definitivos da operação da Venda tenham sido celebrados até 31 de maio de 2022; ou (ii) a partir de 31 de maio de 2022 até a Data de Vencimento, na hipótese em que os documentos definitivos da operação da Venda não tenham sido celebrados até a referida data. Em ambos os casos, a Emissora deverá ter comprovado,</w:t>
            </w:r>
            <w:r w:rsidRPr="00A9290F">
              <w:rPr>
                <w:i/>
                <w:iCs/>
                <w:sz w:val="18"/>
                <w:szCs w:val="18"/>
              </w:rPr>
              <w:t xml:space="preserve"> (i) o completion físico de todas as linha de transmissão; (ii) o início da operação de todas as SPEs, assim entendido pela emissão do Termo de Liberação Definitivo – TLD, pelo Operador Nacional do Sistema – ONS; </w:t>
            </w:r>
            <w:bookmarkStart w:id="18" w:name="_Hlk16606401"/>
            <w:r w:rsidRPr="00A9290F">
              <w:rPr>
                <w:i/>
                <w:iCs/>
                <w:sz w:val="18"/>
                <w:szCs w:val="18"/>
              </w:rPr>
              <w:t xml:space="preserve">(iii) o cumprimento pela Emissora e/ou pela LC Linhas, conforme o caso, ou renúncia pelo Debenturista, de todas as obrigações dispostas na cláusula 5.5. do </w:t>
            </w:r>
            <w:r w:rsidRPr="00A9290F">
              <w:rPr>
                <w:i/>
                <w:iCs/>
                <w:sz w:val="18"/>
                <w:szCs w:val="18"/>
              </w:rPr>
              <w:lastRenderedPageBreak/>
              <w:t xml:space="preserve">Contrato de Investimento; e (v) obtenção, pela Emissora, de anuência prévia da ANEEL, em atendimento ao disposto nos Contratos de Concessão e no art. 5.º, inciso I da Resolução Normativa ANEEL n.º 484/2012, conforme os procedimentos previstos no capítulo III de referida resolução normativa e no Contrato de Investimento </w:t>
            </w:r>
            <w:bookmarkEnd w:id="18"/>
            <w:r w:rsidRPr="00A9290F">
              <w:rPr>
                <w:i/>
                <w:iCs/>
                <w:sz w:val="18"/>
                <w:szCs w:val="18"/>
              </w:rPr>
              <w:t>(“</w:t>
            </w:r>
            <w:r w:rsidRPr="00A9290F">
              <w:rPr>
                <w:b/>
                <w:bCs/>
                <w:i/>
                <w:iCs/>
                <w:sz w:val="18"/>
                <w:szCs w:val="18"/>
              </w:rPr>
              <w:t>Conversão Total Facultativa</w:t>
            </w:r>
            <w:r w:rsidRPr="00A9290F">
              <w:rPr>
                <w:i/>
                <w:iCs/>
                <w:sz w:val="18"/>
                <w:szCs w:val="18"/>
              </w:rPr>
              <w:t>”). A Conversão Total Facultativa poderá ocorrer a partir do 5º (quinto) Dia Útil contado do recebimento, de notificação enviada pela Emissora informando e comprovando a verificação da condição disposta nesta Cláusula 4.17.1 (“</w:t>
            </w:r>
            <w:r w:rsidRPr="00A9290F">
              <w:rPr>
                <w:b/>
                <w:bCs/>
                <w:i/>
                <w:iCs/>
                <w:sz w:val="18"/>
                <w:szCs w:val="18"/>
              </w:rPr>
              <w:t>Data da Conversão Total Facultativa</w:t>
            </w:r>
            <w:r w:rsidRPr="00A9290F">
              <w:rPr>
                <w:i/>
                <w:iCs/>
                <w:sz w:val="18"/>
                <w:szCs w:val="18"/>
              </w:rPr>
              <w:t>”), mediante envio de notificação pelo Debenturista à Emissora</w:t>
            </w:r>
            <w:r w:rsidR="00A9290F">
              <w:rPr>
                <w:i/>
                <w:iCs/>
                <w:sz w:val="18"/>
                <w:szCs w:val="18"/>
              </w:rPr>
              <w:t>.</w:t>
            </w:r>
            <w:r>
              <w:rPr>
                <w:rFonts w:cs="Tahoma"/>
                <w:i/>
                <w:iCs/>
                <w:sz w:val="18"/>
                <w:szCs w:val="18"/>
              </w:rPr>
              <w:t xml:space="preserve"> </w:t>
            </w:r>
          </w:p>
        </w:tc>
      </w:tr>
      <w:tr w:rsidR="00AC5650" w14:paraId="43943B97" w14:textId="77777777" w:rsidTr="00AC5650">
        <w:tc>
          <w:tcPr>
            <w:tcW w:w="1181" w:type="pct"/>
            <w:tcBorders>
              <w:top w:val="single" w:sz="6" w:space="0" w:color="auto"/>
              <w:left w:val="single" w:sz="12" w:space="0" w:color="auto"/>
              <w:bottom w:val="single" w:sz="6" w:space="0" w:color="auto"/>
              <w:right w:val="single" w:sz="6" w:space="0" w:color="auto"/>
            </w:tcBorders>
            <w:vAlign w:val="center"/>
            <w:hideMark/>
          </w:tcPr>
          <w:p w14:paraId="5FEA015E" w14:textId="72F72EE6" w:rsidR="00AC5650" w:rsidRDefault="00AC5650">
            <w:pPr>
              <w:widowControl w:val="0"/>
              <w:spacing w:before="40" w:after="40" w:line="252" w:lineRule="auto"/>
              <w:ind w:left="-90"/>
              <w:rPr>
                <w:rFonts w:cs="Tahoma"/>
                <w:i/>
                <w:iCs/>
                <w:sz w:val="18"/>
                <w:szCs w:val="18"/>
              </w:rPr>
            </w:pPr>
            <w:r>
              <w:rPr>
                <w:rFonts w:cs="Tahoma"/>
                <w:i/>
                <w:iCs/>
                <w:color w:val="000000"/>
                <w:sz w:val="18"/>
                <w:szCs w:val="18"/>
              </w:rPr>
              <w:lastRenderedPageBreak/>
              <w:t xml:space="preserve">Amortização: </w:t>
            </w:r>
          </w:p>
        </w:tc>
        <w:tc>
          <w:tcPr>
            <w:tcW w:w="3819" w:type="pct"/>
            <w:tcBorders>
              <w:top w:val="single" w:sz="6" w:space="0" w:color="auto"/>
              <w:left w:val="single" w:sz="6" w:space="0" w:color="auto"/>
              <w:bottom w:val="single" w:sz="6" w:space="0" w:color="auto"/>
              <w:right w:val="single" w:sz="12" w:space="0" w:color="auto"/>
            </w:tcBorders>
            <w:vAlign w:val="center"/>
            <w:hideMark/>
          </w:tcPr>
          <w:p w14:paraId="2F434AAB" w14:textId="47FB5603" w:rsidR="00AC5650" w:rsidRDefault="00AC5650">
            <w:pPr>
              <w:widowControl w:val="0"/>
              <w:spacing w:before="40" w:after="40" w:line="252" w:lineRule="auto"/>
              <w:rPr>
                <w:rFonts w:cs="Tahoma"/>
                <w:i/>
                <w:iCs/>
                <w:sz w:val="18"/>
                <w:szCs w:val="18"/>
              </w:rPr>
            </w:pPr>
            <w:r w:rsidRPr="00A9290F">
              <w:rPr>
                <w:i/>
                <w:iCs/>
                <w:sz w:val="18"/>
                <w:szCs w:val="18"/>
              </w:rPr>
              <w:t xml:space="preserve">Ressalvada a hipótese de Resgate Antecipado Obrigatório Total, de Vencimento Antecipado (conforme hipóteses dispostas na </w:t>
            </w:r>
            <w:r>
              <w:rPr>
                <w:i/>
                <w:iCs/>
                <w:sz w:val="18"/>
                <w:szCs w:val="18"/>
              </w:rPr>
              <w:t>Escritura de Emissão</w:t>
            </w:r>
            <w:r w:rsidRPr="00A9290F">
              <w:rPr>
                <w:i/>
                <w:iCs/>
                <w:sz w:val="18"/>
                <w:szCs w:val="18"/>
              </w:rPr>
              <w:t xml:space="preserve">) e/ou de conversão em ações (conforme </w:t>
            </w:r>
            <w:r>
              <w:rPr>
                <w:i/>
                <w:iCs/>
                <w:sz w:val="18"/>
                <w:szCs w:val="18"/>
              </w:rPr>
              <w:t>a Escritura de Emissão)</w:t>
            </w:r>
            <w:r w:rsidRPr="00A9290F">
              <w:rPr>
                <w:i/>
                <w:iCs/>
                <w:sz w:val="18"/>
                <w:szCs w:val="18"/>
              </w:rPr>
              <w:t>, o Valor Nominal Unitário, será amortizado, integralmente, em uma única parcela, na Data de Vencimento</w:t>
            </w:r>
            <w:r>
              <w:rPr>
                <w:rFonts w:cs="Tahoma"/>
                <w:i/>
                <w:iCs/>
                <w:sz w:val="18"/>
                <w:szCs w:val="18"/>
              </w:rPr>
              <w:t xml:space="preserve">. </w:t>
            </w:r>
          </w:p>
        </w:tc>
      </w:tr>
      <w:tr w:rsidR="00AC5650" w14:paraId="52E5DFCF" w14:textId="77777777" w:rsidTr="00AC5650">
        <w:tc>
          <w:tcPr>
            <w:tcW w:w="1181" w:type="pct"/>
            <w:tcBorders>
              <w:top w:val="single" w:sz="6" w:space="0" w:color="auto"/>
              <w:left w:val="single" w:sz="12" w:space="0" w:color="auto"/>
              <w:bottom w:val="single" w:sz="6" w:space="0" w:color="auto"/>
              <w:right w:val="single" w:sz="6" w:space="0" w:color="auto"/>
            </w:tcBorders>
            <w:vAlign w:val="center"/>
            <w:hideMark/>
          </w:tcPr>
          <w:p w14:paraId="28BEF5E9" w14:textId="77777777" w:rsidR="00AC5650" w:rsidRDefault="00AC5650">
            <w:pPr>
              <w:widowControl w:val="0"/>
              <w:spacing w:before="40" w:after="40" w:line="252" w:lineRule="auto"/>
              <w:ind w:left="-90"/>
              <w:rPr>
                <w:rFonts w:cs="Tahoma"/>
                <w:i/>
                <w:iCs/>
                <w:color w:val="000000"/>
                <w:sz w:val="18"/>
                <w:szCs w:val="18"/>
              </w:rPr>
            </w:pPr>
            <w:r>
              <w:rPr>
                <w:rFonts w:cs="Tahoma"/>
                <w:i/>
                <w:iCs/>
                <w:color w:val="000000"/>
                <w:sz w:val="18"/>
                <w:szCs w:val="18"/>
              </w:rPr>
              <w:t>Resgate Antecipado Obrigatório Total das Debêntures</w:t>
            </w:r>
          </w:p>
        </w:tc>
        <w:tc>
          <w:tcPr>
            <w:tcW w:w="3819" w:type="pct"/>
            <w:tcBorders>
              <w:top w:val="single" w:sz="6" w:space="0" w:color="auto"/>
              <w:left w:val="single" w:sz="6" w:space="0" w:color="auto"/>
              <w:bottom w:val="single" w:sz="6" w:space="0" w:color="auto"/>
              <w:right w:val="single" w:sz="12" w:space="0" w:color="auto"/>
            </w:tcBorders>
            <w:vAlign w:val="center"/>
            <w:hideMark/>
          </w:tcPr>
          <w:p w14:paraId="40ECAE42" w14:textId="5F2D2148" w:rsidR="00AC5650" w:rsidRDefault="00AC5650">
            <w:pPr>
              <w:widowControl w:val="0"/>
              <w:spacing w:before="40" w:after="40" w:line="252" w:lineRule="auto"/>
              <w:rPr>
                <w:i/>
                <w:iCs/>
                <w:sz w:val="18"/>
                <w:szCs w:val="18"/>
              </w:rPr>
            </w:pPr>
            <w:r w:rsidRPr="00A9290F">
              <w:rPr>
                <w:rFonts w:cs="Tahoma"/>
                <w:i/>
                <w:iCs/>
                <w:sz w:val="18"/>
                <w:szCs w:val="18"/>
              </w:rPr>
              <w:t>A Emissora deverá, após a conclusão da alienação integral das ações da Emissora pela LC Linhas (“</w:t>
            </w:r>
            <w:r w:rsidRPr="00A9290F">
              <w:rPr>
                <w:rFonts w:cs="Tahoma"/>
                <w:b/>
                <w:bCs/>
                <w:i/>
                <w:iCs/>
                <w:sz w:val="18"/>
                <w:szCs w:val="18"/>
              </w:rPr>
              <w:t>Venda</w:t>
            </w:r>
            <w:r w:rsidRPr="00A9290F">
              <w:rPr>
                <w:rFonts w:cs="Tahoma"/>
                <w:i/>
                <w:iCs/>
                <w:sz w:val="18"/>
                <w:szCs w:val="18"/>
              </w:rPr>
              <w:t>”) que deverá ser previamente aprovada pelo Debenturista, incluindo, mas não se limitando, aos documentos definitivos da operação de Venda, realizar o resgate antecipado da totalidade das Debêntures (“</w:t>
            </w:r>
            <w:r w:rsidRPr="00A9290F">
              <w:rPr>
                <w:rFonts w:cs="Tahoma"/>
                <w:b/>
                <w:bCs/>
                <w:i/>
                <w:iCs/>
                <w:sz w:val="18"/>
                <w:szCs w:val="18"/>
              </w:rPr>
              <w:t>Resgate Antecipado Obrigatório Total</w:t>
            </w:r>
            <w:r w:rsidRPr="00A9290F">
              <w:rPr>
                <w:rFonts w:cs="Tahoma"/>
                <w:i/>
                <w:iCs/>
                <w:sz w:val="18"/>
                <w:szCs w:val="18"/>
              </w:rPr>
              <w:t xml:space="preserve">”). Por ocasião do Resgate Antecipado Obrigatório Total, o valor devido pela Emissora será equivalente ao </w:t>
            </w:r>
            <w:r w:rsidRPr="00A9290F">
              <w:rPr>
                <w:rFonts w:cs="Tahoma"/>
                <w:b/>
                <w:bCs/>
                <w:i/>
                <w:iCs/>
                <w:sz w:val="18"/>
                <w:szCs w:val="18"/>
              </w:rPr>
              <w:t>(a)</w:t>
            </w:r>
            <w:r w:rsidRPr="00A9290F">
              <w:rPr>
                <w:rFonts w:cs="Tahoma"/>
                <w:i/>
                <w:iCs/>
                <w:sz w:val="18"/>
                <w:szCs w:val="18"/>
              </w:rPr>
              <w:t xml:space="preserve"> Valor Nominal Unitário das Debêntures a serem resgatadas, acrescido </w:t>
            </w:r>
            <w:r w:rsidRPr="00A9290F">
              <w:rPr>
                <w:rFonts w:cs="Tahoma"/>
                <w:b/>
                <w:bCs/>
                <w:i/>
                <w:iCs/>
                <w:sz w:val="18"/>
                <w:szCs w:val="18"/>
              </w:rPr>
              <w:t>(b)</w:t>
            </w:r>
            <w:r w:rsidRPr="00A9290F">
              <w:rPr>
                <w:rFonts w:cs="Tahoma"/>
                <w:i/>
                <w:iCs/>
                <w:sz w:val="18"/>
                <w:szCs w:val="18"/>
              </w:rPr>
              <w:t xml:space="preserve"> da respectiva Remuneração, calculado pro rata temporis desde o respectivo primeiro Período de Capitalização, ou a Data do Pagamento da Remuneração anterior, conforme o caso, até a data do efetivo Resgate Antecipado Obrigatório Total, incidente sobre o Valor Nominal Unitário e demais encargos devidos e não pagos até a data do Resgate Antecipado Obrigatório Total.</w:t>
            </w:r>
            <w:r w:rsidR="0086345A">
              <w:rPr>
                <w:rFonts w:cs="Tahoma"/>
                <w:i/>
                <w:iCs/>
                <w:sz w:val="18"/>
                <w:szCs w:val="18"/>
              </w:rPr>
              <w:t xml:space="preserve"> </w:t>
            </w:r>
          </w:p>
        </w:tc>
      </w:tr>
      <w:tr w:rsidR="00AC5650" w14:paraId="6BD1A08B" w14:textId="77777777" w:rsidTr="00AC5650">
        <w:tc>
          <w:tcPr>
            <w:tcW w:w="1181" w:type="pct"/>
            <w:tcBorders>
              <w:top w:val="single" w:sz="6" w:space="0" w:color="auto"/>
              <w:left w:val="single" w:sz="12" w:space="0" w:color="auto"/>
              <w:bottom w:val="single" w:sz="12" w:space="0" w:color="auto"/>
              <w:right w:val="single" w:sz="6" w:space="0" w:color="auto"/>
            </w:tcBorders>
            <w:vAlign w:val="center"/>
            <w:hideMark/>
          </w:tcPr>
          <w:p w14:paraId="57C7ED20" w14:textId="77777777" w:rsidR="00AC5650" w:rsidRDefault="00AC5650">
            <w:pPr>
              <w:widowControl w:val="0"/>
              <w:spacing w:before="40" w:after="40" w:line="252" w:lineRule="auto"/>
              <w:ind w:left="-90"/>
              <w:rPr>
                <w:rFonts w:cs="Tahoma"/>
                <w:i/>
                <w:iCs/>
                <w:sz w:val="18"/>
                <w:szCs w:val="18"/>
              </w:rPr>
            </w:pPr>
            <w:r>
              <w:rPr>
                <w:rFonts w:cs="Tahoma"/>
                <w:i/>
                <w:iCs/>
                <w:sz w:val="18"/>
                <w:szCs w:val="18"/>
              </w:rPr>
              <w:t>Outras obrigações garantidas:</w:t>
            </w:r>
          </w:p>
        </w:tc>
        <w:tc>
          <w:tcPr>
            <w:tcW w:w="3819" w:type="pct"/>
            <w:tcBorders>
              <w:top w:val="single" w:sz="6" w:space="0" w:color="auto"/>
              <w:left w:val="single" w:sz="6" w:space="0" w:color="auto"/>
              <w:bottom w:val="single" w:sz="12" w:space="0" w:color="auto"/>
              <w:right w:val="single" w:sz="12" w:space="0" w:color="auto"/>
            </w:tcBorders>
            <w:vAlign w:val="center"/>
            <w:hideMark/>
          </w:tcPr>
          <w:p w14:paraId="2BE0D82A" w14:textId="101F8563" w:rsidR="00AC5650" w:rsidRDefault="00AC5650">
            <w:pPr>
              <w:widowControl w:val="0"/>
              <w:spacing w:before="40" w:after="40" w:line="252" w:lineRule="auto"/>
              <w:rPr>
                <w:rFonts w:cs="Tahoma"/>
                <w:i/>
                <w:iCs/>
                <w:sz w:val="18"/>
                <w:szCs w:val="18"/>
              </w:rPr>
            </w:pPr>
            <w:r>
              <w:rPr>
                <w:rFonts w:cs="Tahoma"/>
                <w:i/>
                <w:iCs/>
                <w:sz w:val="18"/>
                <w:szCs w:val="18"/>
              </w:rPr>
              <w:t>Todas as obrigações, principais e/ou acessórias, assumidas pela Emissora, decorrentes ou de qualquer forma relacionadas à Emissão nos termos do “Instrumento Particular de Escritura da Primeira Emissão Privada de Debêntures, Conversíveis em Ações, em Duas Séries, com Garantia Real e com Garantia Fidejussória Adicional” celebrado entre a Emissora e o FIP-IE XP em 30 de agosto de 2019, conforme aditado.</w:t>
            </w:r>
          </w:p>
        </w:tc>
      </w:tr>
    </w:tbl>
    <w:p w14:paraId="3A9A73D1" w14:textId="77777777" w:rsidR="00496D82" w:rsidRDefault="00496D82" w:rsidP="00CD0AF5">
      <w:pPr>
        <w:pStyle w:val="Level1"/>
        <w:numPr>
          <w:ilvl w:val="0"/>
          <w:numId w:val="0"/>
        </w:numPr>
      </w:pPr>
    </w:p>
    <w:p w14:paraId="2EBB1305" w14:textId="32FC40AA" w:rsidR="00820CDF" w:rsidRPr="006B12DA" w:rsidRDefault="005A2190">
      <w:pPr>
        <w:pStyle w:val="Level1"/>
        <w:rPr>
          <w:b/>
          <w:bCs/>
          <w:i/>
          <w:iCs/>
        </w:rPr>
      </w:pPr>
      <w:r w:rsidRPr="00EA707C">
        <w:rPr>
          <w:b/>
          <w:bCs/>
        </w:rPr>
        <w:t>DISPOSIÇÕES GERAIS</w:t>
      </w:r>
    </w:p>
    <w:p w14:paraId="5F64115F" w14:textId="5FED5A04" w:rsidR="00687F68" w:rsidRPr="0084218F" w:rsidRDefault="005A2190" w:rsidP="006B12DA">
      <w:pPr>
        <w:pStyle w:val="Level2"/>
      </w:pPr>
      <w:r w:rsidRPr="00905EAF">
        <w:rPr>
          <w:rFonts w:eastAsia="Arial Unicode MS"/>
        </w:rPr>
        <w:t xml:space="preserve">Todos os termos e condições do Contrato que não tenham sido expressamente alterados por este </w:t>
      </w:r>
      <w:r>
        <w:rPr>
          <w:rFonts w:eastAsia="Arial Unicode MS"/>
        </w:rPr>
        <w:t xml:space="preserve">Segundo </w:t>
      </w:r>
      <w:r w:rsidRPr="00905EAF">
        <w:rPr>
          <w:rFonts w:eastAsia="Arial Unicode MS"/>
        </w:rPr>
        <w:t xml:space="preserve">Aditamento são neste ato ratificados e permanecem em pleno vigor e efeito. Dessa forma, o Contrato passa a vigorar conforme contrato de investimento consolidado, constante do </w:t>
      </w:r>
      <w:r w:rsidRPr="00905EAF">
        <w:rPr>
          <w:rFonts w:eastAsia="Arial Unicode MS"/>
          <w:b/>
          <w:bCs/>
        </w:rPr>
        <w:t>Anexo A</w:t>
      </w:r>
      <w:r w:rsidRPr="00905EAF">
        <w:rPr>
          <w:rFonts w:eastAsia="Arial Unicode MS"/>
        </w:rPr>
        <w:t xml:space="preserve"> </w:t>
      </w:r>
      <w:r>
        <w:rPr>
          <w:rFonts w:eastAsia="Arial Unicode MS"/>
        </w:rPr>
        <w:t xml:space="preserve">deste Segundo </w:t>
      </w:r>
      <w:r w:rsidRPr="00905EAF">
        <w:rPr>
          <w:rFonts w:eastAsia="Arial Unicode MS"/>
        </w:rPr>
        <w:t>Aditamento</w:t>
      </w:r>
      <w:r>
        <w:rPr>
          <w:rFonts w:eastAsia="Arial Unicode MS"/>
        </w:rPr>
        <w:t xml:space="preserve">. </w:t>
      </w:r>
    </w:p>
    <w:p w14:paraId="3468CB0C" w14:textId="1CB47E85" w:rsidR="00FD51F3" w:rsidRDefault="005A2190" w:rsidP="00EA707C">
      <w:pPr>
        <w:pStyle w:val="Level2"/>
        <w:rPr>
          <w:rFonts w:eastAsia="Arial Unicode MS"/>
        </w:rPr>
      </w:pPr>
      <w:r w:rsidRPr="00905EAF">
        <w:rPr>
          <w:rFonts w:eastAsia="Arial Unicode MS"/>
        </w:rPr>
        <w:t xml:space="preserve">Os termos iniciados em letras maiúsculas que não estiverem expressamente definidos neste </w:t>
      </w:r>
      <w:r>
        <w:rPr>
          <w:rFonts w:eastAsia="Arial Unicode MS"/>
        </w:rPr>
        <w:t xml:space="preserve">Segundo </w:t>
      </w:r>
      <w:r w:rsidRPr="00905EAF">
        <w:rPr>
          <w:rFonts w:eastAsia="Arial Unicode MS"/>
        </w:rPr>
        <w:t>Aditamento têm o significado a eles atribuídos no Contrato</w:t>
      </w:r>
      <w:r>
        <w:rPr>
          <w:rFonts w:eastAsia="Arial Unicode MS"/>
        </w:rPr>
        <w:t xml:space="preserve">. </w:t>
      </w:r>
    </w:p>
    <w:p w14:paraId="06389550" w14:textId="5403E01B" w:rsidR="005A2190" w:rsidRDefault="00FD51F3" w:rsidP="00EA707C">
      <w:pPr>
        <w:pStyle w:val="Level2"/>
      </w:pPr>
      <w:r w:rsidRPr="0084218F">
        <w:rPr>
          <w:color w:val="000000"/>
        </w:rPr>
        <w:t xml:space="preserve">A Alienante </w:t>
      </w:r>
      <w:r w:rsidRPr="0084218F">
        <w:t xml:space="preserve">deverá (i) protocolar este </w:t>
      </w:r>
      <w:r>
        <w:t>Segundo Aditamento</w:t>
      </w:r>
      <w:r w:rsidRPr="0084218F">
        <w:t xml:space="preserve"> para registro no Cartório de Títulos e </w:t>
      </w:r>
      <w:r w:rsidRPr="0084218F">
        <w:rPr>
          <w:color w:val="000000"/>
        </w:rPr>
        <w:t>Documentos da comarca de São Paulo</w:t>
      </w:r>
      <w:r w:rsidRPr="0084218F">
        <w:t xml:space="preserve"> no prazo de até 1 (um) Dia Útil contado de sua assinatura por todas as Partes; e (ii) encaminhar aos Debenturistas uma via original deste </w:t>
      </w:r>
      <w:r>
        <w:t xml:space="preserve">Segundo Aditamento </w:t>
      </w:r>
      <w:r w:rsidRPr="0084218F">
        <w:t xml:space="preserve">devidamente registrado no Cartório de Títulos e </w:t>
      </w:r>
      <w:r w:rsidRPr="0084218F">
        <w:rPr>
          <w:color w:val="000000"/>
        </w:rPr>
        <w:t>Documentos da comarca de São Paulo</w:t>
      </w:r>
      <w:r w:rsidRPr="0084218F">
        <w:t>, no prazo de até 2</w:t>
      </w:r>
      <w:r w:rsidR="00AC5650">
        <w:t xml:space="preserve"> </w:t>
      </w:r>
      <w:r w:rsidRPr="0084218F">
        <w:t>(dois) Dias Úteis contado da data de seu registro</w:t>
      </w:r>
      <w:r>
        <w:t>.</w:t>
      </w:r>
      <w:r w:rsidR="00CD0AF5">
        <w:tab/>
      </w:r>
    </w:p>
    <w:p w14:paraId="70C62101" w14:textId="13AF0CB7" w:rsidR="00687F68" w:rsidRDefault="00672855" w:rsidP="00EA707C">
      <w:pPr>
        <w:pStyle w:val="Level2"/>
      </w:pPr>
      <w:r w:rsidRPr="0084218F">
        <w:lastRenderedPageBreak/>
        <w:t xml:space="preserve">Este </w:t>
      </w:r>
      <w:r w:rsidR="00564A86">
        <w:t xml:space="preserve">Segundo </w:t>
      </w:r>
      <w:r w:rsidRPr="0084218F">
        <w:t>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w:t>
      </w:r>
      <w:r w:rsidR="00564A86">
        <w:t xml:space="preserve">or este Segundo </w:t>
      </w:r>
      <w:r w:rsidRPr="0084218F">
        <w:t>Aditamento. Todas as disposições do Contrato que não foram expressamente aditadas ou modificadas por meio d</w:t>
      </w:r>
      <w:r w:rsidR="00564A86">
        <w:t xml:space="preserve">este Segundo </w:t>
      </w:r>
      <w:r w:rsidRPr="0084218F">
        <w:t>Aditamento permanecerão em vigor de acordo com os termos do Contrato.</w:t>
      </w:r>
    </w:p>
    <w:p w14:paraId="4D53C157" w14:textId="244CE7B4" w:rsidR="00F43C58" w:rsidRPr="00F8569B" w:rsidRDefault="00F43C58" w:rsidP="00EA707C">
      <w:pPr>
        <w:pStyle w:val="Level2"/>
      </w:pPr>
      <w:r w:rsidRPr="00D011B8">
        <w:t xml:space="preserve">As Partes declaram e reconhecem que este </w:t>
      </w:r>
      <w:r w:rsidR="00564A86">
        <w:t xml:space="preserve">Segundo Aditamento </w:t>
      </w:r>
      <w:r w:rsidRPr="00D011B8">
        <w:t>(e seus anexos), assinado eletronicamente por meio de assinatura digital com utilização de certificados emitidos conforme parâmetros da Infraestrutura de Chaves Públicas Brasileira (“</w:t>
      </w:r>
      <w:r w:rsidRPr="00934078">
        <w:rPr>
          <w:b/>
          <w:bCs/>
        </w:rPr>
        <w:t>ICP-Brasil</w:t>
      </w:r>
      <w:r w:rsidRPr="00D011B8">
        <w:t>”) é válido e eficaz perante seus signatários, desde já renunciando a qualquer direito de alegar o contrário</w:t>
      </w:r>
      <w:r>
        <w:t>.</w:t>
      </w:r>
    </w:p>
    <w:p w14:paraId="41FB810D" w14:textId="1C106B49" w:rsidR="00672855" w:rsidRPr="0084218F" w:rsidRDefault="00672855" w:rsidP="00EA707C">
      <w:pPr>
        <w:pStyle w:val="Level2"/>
      </w:pPr>
      <w:r w:rsidRPr="0084218F">
        <w:t>Este</w:t>
      </w:r>
      <w:r w:rsidR="00564A86">
        <w:t xml:space="preserve"> Segundo</w:t>
      </w:r>
      <w:r w:rsidRPr="0084218F">
        <w:t xml:space="preserve"> Aditamento é regido pela legislação brasileira.</w:t>
      </w:r>
    </w:p>
    <w:p w14:paraId="6892AAE9" w14:textId="71824672" w:rsidR="00672855" w:rsidRPr="0084218F" w:rsidRDefault="00564A86" w:rsidP="00EA707C">
      <w:pPr>
        <w:pStyle w:val="Level2"/>
      </w:pPr>
      <w:r w:rsidRPr="0084218F">
        <w:t xml:space="preserve">As Partes elegem o foro da Comarca da capital do Estado de São Paulo, com renúncia expressa de qualquer outro, por mais privilegiado, como competente para dirimir quaisquer controvérsias decorrentes deste </w:t>
      </w:r>
      <w:r>
        <w:t>Segundo Aditamento</w:t>
      </w:r>
      <w:r w:rsidR="00672855" w:rsidRPr="0084218F">
        <w:t>.</w:t>
      </w:r>
    </w:p>
    <w:p w14:paraId="51B137E9" w14:textId="2DD56D97" w:rsidR="00687F68" w:rsidRPr="0084218F" w:rsidRDefault="00672855" w:rsidP="00EA707C">
      <w:pPr>
        <w:pStyle w:val="Body"/>
      </w:pPr>
      <w:r w:rsidRPr="0084218F">
        <w:t xml:space="preserve">E por assim estarem justas e contratadas, as Partes firmam </w:t>
      </w:r>
      <w:r w:rsidR="00564A86">
        <w:t>este Segundo</w:t>
      </w:r>
      <w:r w:rsidRPr="0084218F">
        <w:t xml:space="preserve"> Aditamento </w:t>
      </w:r>
      <w:r w:rsidR="00F43C58">
        <w:rPr>
          <w:rFonts w:cs="Tahoma"/>
          <w:szCs w:val="20"/>
        </w:rPr>
        <w:t>de forma eletrônica</w:t>
      </w:r>
      <w:r w:rsidRPr="0084218F">
        <w:t>, na presença das 2 (duas) testemunhas abaixo.</w:t>
      </w:r>
    </w:p>
    <w:p w14:paraId="60F6B152" w14:textId="77777777" w:rsidR="00687F68" w:rsidRPr="0084218F" w:rsidRDefault="00687F68" w:rsidP="00EA707C">
      <w:pPr>
        <w:pStyle w:val="Body"/>
      </w:pPr>
    </w:p>
    <w:p w14:paraId="15B84511" w14:textId="20E3BB82" w:rsidR="00687F68" w:rsidRPr="0084218F" w:rsidRDefault="00672855" w:rsidP="00EA707C">
      <w:pPr>
        <w:pStyle w:val="Body"/>
        <w:jc w:val="center"/>
      </w:pPr>
      <w:r w:rsidRPr="0084218F">
        <w:t xml:space="preserve">São Paulo, </w:t>
      </w:r>
      <w:r w:rsidR="005A2190">
        <w:t>[</w:t>
      </w:r>
      <w:r w:rsidR="00DA2FCF">
        <w:t>23</w:t>
      </w:r>
      <w:r w:rsidR="005A2190">
        <w:t>]</w:t>
      </w:r>
      <w:r w:rsidR="0094509B">
        <w:t xml:space="preserve"> de </w:t>
      </w:r>
      <w:r w:rsidR="00DA2FCF">
        <w:t>março</w:t>
      </w:r>
      <w:r w:rsidR="0094509B">
        <w:t xml:space="preserve"> de 2022</w:t>
      </w:r>
      <w:r w:rsidRPr="0084218F">
        <w:t>.</w:t>
      </w:r>
    </w:p>
    <w:p w14:paraId="48B963A2" w14:textId="70128810" w:rsidR="00672855" w:rsidRDefault="00672855" w:rsidP="00EA707C">
      <w:pPr>
        <w:pStyle w:val="Body"/>
        <w:jc w:val="center"/>
        <w:rPr>
          <w:i/>
        </w:rPr>
      </w:pPr>
      <w:r w:rsidRPr="0084218F">
        <w:rPr>
          <w:i/>
        </w:rPr>
        <w:t>(As assinaturas seguem nas páginas seguintes.)</w:t>
      </w:r>
    </w:p>
    <w:p w14:paraId="11FAD43D" w14:textId="77777777" w:rsidR="00883E60" w:rsidRPr="0084218F" w:rsidRDefault="00883E60" w:rsidP="00EA707C">
      <w:pPr>
        <w:pStyle w:val="Body"/>
        <w:jc w:val="center"/>
        <w:rPr>
          <w:i/>
        </w:rPr>
      </w:pPr>
    </w:p>
    <w:p w14:paraId="475B2052" w14:textId="4A4F5D6F" w:rsidR="00A9290F" w:rsidRDefault="00672855" w:rsidP="00EA707C">
      <w:pPr>
        <w:pStyle w:val="Body"/>
        <w:jc w:val="center"/>
        <w:rPr>
          <w:i/>
        </w:rPr>
      </w:pPr>
      <w:r w:rsidRPr="0084218F">
        <w:rPr>
          <w:i/>
        </w:rPr>
        <w:t>(O restante da página foi deixado intencionalmente em branco.)</w:t>
      </w:r>
    </w:p>
    <w:p w14:paraId="61C04BC1" w14:textId="77777777" w:rsidR="00A9290F" w:rsidRDefault="00A9290F">
      <w:pPr>
        <w:spacing w:after="0" w:line="240" w:lineRule="auto"/>
        <w:jc w:val="left"/>
        <w:rPr>
          <w:i/>
          <w:kern w:val="20"/>
        </w:rPr>
      </w:pPr>
      <w:r>
        <w:rPr>
          <w:i/>
        </w:rPr>
        <w:br w:type="page"/>
      </w:r>
    </w:p>
    <w:p w14:paraId="394C6533" w14:textId="37919CA8" w:rsidR="00201511" w:rsidRPr="00562333" w:rsidRDefault="00201511" w:rsidP="0094509B">
      <w:pPr>
        <w:rPr>
          <w:i/>
          <w:iCs/>
        </w:rPr>
      </w:pPr>
      <w:r w:rsidRPr="00562333">
        <w:rPr>
          <w:i/>
          <w:iCs/>
        </w:rPr>
        <w:lastRenderedPageBreak/>
        <w:t xml:space="preserve">Página </w:t>
      </w:r>
      <w:r w:rsidR="001618FE" w:rsidRPr="00562333">
        <w:rPr>
          <w:i/>
          <w:iCs/>
        </w:rPr>
        <w:t xml:space="preserve">(1/5) </w:t>
      </w:r>
      <w:r w:rsidRPr="00562333">
        <w:rPr>
          <w:i/>
          <w:iCs/>
        </w:rPr>
        <w:t xml:space="preserve">de assinaturas do </w:t>
      </w:r>
      <w:r w:rsidR="00496D82">
        <w:rPr>
          <w:i/>
          <w:iCs/>
        </w:rPr>
        <w:t>Segundo</w:t>
      </w:r>
      <w:r w:rsidR="00496D82" w:rsidRPr="00562333">
        <w:rPr>
          <w:i/>
          <w:iCs/>
        </w:rPr>
        <w:t xml:space="preserve"> </w:t>
      </w:r>
      <w:r w:rsidRPr="00562333">
        <w:rPr>
          <w:i/>
          <w:iCs/>
        </w:rPr>
        <w:t>Aditamento ao Contrato de Alienação Fiduciária de Ações e Outras Avenças celebrado por</w:t>
      </w:r>
      <w:r w:rsidR="001A000C" w:rsidRPr="00562333">
        <w:rPr>
          <w:i/>
          <w:iCs/>
        </w:rPr>
        <w:t xml:space="preserve"> LC Linhas Holding Ltda.</w:t>
      </w:r>
      <w:r w:rsidR="000552D5" w:rsidRPr="00562333">
        <w:rPr>
          <w:i/>
          <w:iCs/>
        </w:rPr>
        <w:t>,</w:t>
      </w:r>
      <w:r w:rsidRPr="00562333">
        <w:rPr>
          <w:i/>
          <w:iCs/>
        </w:rPr>
        <w:t xml:space="preserve"> XP Infra II Fundo de Investimento em Participações em Infraestrutura, </w:t>
      </w:r>
      <w:r w:rsidR="000552D5" w:rsidRPr="00562333">
        <w:rPr>
          <w:i/>
          <w:iCs/>
        </w:rPr>
        <w:t xml:space="preserve">Simplific Pavarini Distribuidora de Títulos e Valores Mobiliários Ltda., </w:t>
      </w:r>
      <w:r w:rsidRPr="00562333">
        <w:rPr>
          <w:i/>
          <w:iCs/>
        </w:rPr>
        <w:t>com a interveniência e anuência da LC Energia Holding S.A., em</w:t>
      </w:r>
      <w:r w:rsidR="00564A86">
        <w:rPr>
          <w:i/>
          <w:iCs/>
        </w:rPr>
        <w:t xml:space="preserve"> [</w:t>
      </w:r>
      <w:r w:rsidR="00DA2FCF">
        <w:rPr>
          <w:i/>
          <w:iCs/>
        </w:rPr>
        <w:t>23</w:t>
      </w:r>
      <w:r w:rsidR="00564A86">
        <w:rPr>
          <w:i/>
          <w:iCs/>
        </w:rPr>
        <w:t>]</w:t>
      </w:r>
      <w:r w:rsidRPr="00562333">
        <w:rPr>
          <w:i/>
          <w:iCs/>
        </w:rPr>
        <w:t xml:space="preserve"> </w:t>
      </w:r>
      <w:r w:rsidR="0094509B">
        <w:rPr>
          <w:i/>
          <w:iCs/>
        </w:rPr>
        <w:t xml:space="preserve">de </w:t>
      </w:r>
      <w:r w:rsidR="00DA2FCF">
        <w:rPr>
          <w:i/>
          <w:iCs/>
        </w:rPr>
        <w:t>março</w:t>
      </w:r>
      <w:r w:rsidR="0094509B">
        <w:rPr>
          <w:i/>
          <w:iCs/>
        </w:rPr>
        <w:t xml:space="preserve"> de 2022</w:t>
      </w:r>
      <w:r w:rsidR="001618FE" w:rsidRPr="00562333">
        <w:rPr>
          <w:i/>
          <w:iCs/>
        </w:rPr>
        <w:t>.</w:t>
      </w:r>
    </w:p>
    <w:p w14:paraId="12DC9DE5" w14:textId="77777777" w:rsidR="00D94AAB" w:rsidRPr="0084218F" w:rsidRDefault="00D94AAB" w:rsidP="00883E60">
      <w:pPr>
        <w:pStyle w:val="Body"/>
        <w:rPr>
          <w:b/>
          <w:bCs/>
        </w:rPr>
      </w:pPr>
    </w:p>
    <w:p w14:paraId="34A22040" w14:textId="49DEA107" w:rsidR="00D94AAB" w:rsidRPr="0084218F" w:rsidRDefault="001A000C" w:rsidP="00883E60">
      <w:pPr>
        <w:pStyle w:val="Body"/>
        <w:jc w:val="center"/>
        <w:rPr>
          <w:b/>
          <w:bCs/>
        </w:rPr>
      </w:pPr>
      <w:r w:rsidRPr="0084218F">
        <w:rPr>
          <w:b/>
          <w:bCs/>
        </w:rPr>
        <w:t>LC LINHAS LTDA.</w:t>
      </w:r>
    </w:p>
    <w:p w14:paraId="2AF41C06" w14:textId="3F6B032F" w:rsidR="00D94AAB" w:rsidRDefault="00D94AAB" w:rsidP="00883E60">
      <w:pPr>
        <w:pStyle w:val="Body"/>
        <w:rPr>
          <w:bCs/>
        </w:rPr>
      </w:pPr>
    </w:p>
    <w:p w14:paraId="0765F39A" w14:textId="77777777" w:rsidR="00E22CBB" w:rsidRDefault="00E22CBB" w:rsidP="00883E60">
      <w:pPr>
        <w:pStyle w:val="Body"/>
        <w:rPr>
          <w:bCs/>
        </w:rPr>
      </w:pPr>
    </w:p>
    <w:p w14:paraId="00A291A0" w14:textId="4CDF2692" w:rsidR="00562333" w:rsidRPr="0084218F" w:rsidRDefault="00883E60" w:rsidP="00883E60">
      <w:pPr>
        <w:pStyle w:val="Body"/>
        <w:rPr>
          <w:bCs/>
        </w:rPr>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sidR="00562333">
        <w:rPr>
          <w:bCs/>
        </w:rPr>
        <w:br/>
        <w:t>Cargo:</w:t>
      </w:r>
      <w:r w:rsidR="00562333">
        <w:rPr>
          <w:bCs/>
        </w:rPr>
        <w:tab/>
      </w:r>
      <w:r w:rsidR="00562333">
        <w:rPr>
          <w:bCs/>
        </w:rPr>
        <w:tab/>
      </w:r>
      <w:r w:rsidR="00562333">
        <w:rPr>
          <w:bCs/>
        </w:rPr>
        <w:tab/>
      </w:r>
      <w:r w:rsidR="00562333">
        <w:rPr>
          <w:bCs/>
        </w:rPr>
        <w:tab/>
      </w:r>
      <w:r w:rsidR="00562333">
        <w:rPr>
          <w:bCs/>
        </w:rPr>
        <w:tab/>
      </w:r>
      <w:r w:rsidR="00562333">
        <w:rPr>
          <w:bCs/>
        </w:rPr>
        <w:tab/>
      </w:r>
      <w:r w:rsidR="00562333">
        <w:rPr>
          <w:bCs/>
        </w:rPr>
        <w:tab/>
        <w:t>Cargo:</w:t>
      </w:r>
    </w:p>
    <w:p w14:paraId="0B690068" w14:textId="77777777" w:rsidR="00D94AAB" w:rsidRPr="0084218F" w:rsidRDefault="00D94AAB" w:rsidP="00883E60">
      <w:pPr>
        <w:pStyle w:val="Body"/>
      </w:pPr>
    </w:p>
    <w:p w14:paraId="07A4D3CA" w14:textId="77777777" w:rsidR="00562333" w:rsidRDefault="00562333">
      <w:pPr>
        <w:spacing w:after="0" w:line="240" w:lineRule="auto"/>
        <w:jc w:val="left"/>
        <w:rPr>
          <w:kern w:val="20"/>
        </w:rPr>
      </w:pPr>
      <w:r>
        <w:br w:type="page"/>
      </w:r>
    </w:p>
    <w:p w14:paraId="42D32F37" w14:textId="1FC424D2" w:rsidR="00201511" w:rsidRPr="00562333" w:rsidRDefault="00201511" w:rsidP="00EA707C">
      <w:pPr>
        <w:pStyle w:val="Body"/>
        <w:rPr>
          <w:i/>
          <w:iCs/>
        </w:rPr>
      </w:pPr>
      <w:r w:rsidRPr="00562333">
        <w:rPr>
          <w:i/>
          <w:iCs/>
        </w:rPr>
        <w:lastRenderedPageBreak/>
        <w:t xml:space="preserve">Página </w:t>
      </w:r>
      <w:r w:rsidR="001618FE" w:rsidRPr="00562333">
        <w:rPr>
          <w:i/>
          <w:iCs/>
        </w:rPr>
        <w:t xml:space="preserve">(2/5) </w:t>
      </w:r>
      <w:r w:rsidRPr="00562333">
        <w:rPr>
          <w:i/>
          <w:iCs/>
        </w:rPr>
        <w:t xml:space="preserve">de assinaturas do </w:t>
      </w:r>
      <w:r w:rsidR="00496D82">
        <w:rPr>
          <w:i/>
          <w:iCs/>
        </w:rPr>
        <w:t>Segundo</w:t>
      </w:r>
      <w:r w:rsidR="00496D82" w:rsidRPr="00562333" w:rsidDel="00496D82">
        <w:rPr>
          <w:i/>
          <w:iCs/>
        </w:rPr>
        <w:t xml:space="preserve"> </w:t>
      </w:r>
      <w:r w:rsidRPr="00562333">
        <w:rPr>
          <w:i/>
          <w:iCs/>
        </w:rPr>
        <w:t xml:space="preserve">Aditamento ao Contrato de Alienação Fiduciária de Ações e Outras Avenças celebrado por </w:t>
      </w:r>
      <w:r w:rsidR="000552D5" w:rsidRPr="00562333">
        <w:rPr>
          <w:i/>
          <w:iCs/>
        </w:rPr>
        <w:t>LC Linhas Holding Ltda., XP Infra II Fundo de Investimento em Participações em Infraestrutura, Simplific Pavarini Distribuidora de Títulos e Valores Mobiliários Ltda., com a interveniência e anuência da LC Energia Holding S.A., em</w:t>
      </w:r>
      <w:r w:rsidR="00564A86">
        <w:rPr>
          <w:i/>
          <w:iCs/>
        </w:rPr>
        <w:t xml:space="preserve"> [</w:t>
      </w:r>
      <w:r w:rsidR="00DA2FCF">
        <w:rPr>
          <w:i/>
          <w:iCs/>
        </w:rPr>
        <w:t>23</w:t>
      </w:r>
      <w:r w:rsidR="00564A86">
        <w:rPr>
          <w:i/>
          <w:iCs/>
        </w:rPr>
        <w:t>]</w:t>
      </w:r>
      <w:r w:rsidR="0094509B">
        <w:rPr>
          <w:i/>
          <w:iCs/>
        </w:rPr>
        <w:t xml:space="preserve"> de </w:t>
      </w:r>
      <w:r w:rsidR="00DA2FCF">
        <w:rPr>
          <w:i/>
          <w:iCs/>
        </w:rPr>
        <w:t>março</w:t>
      </w:r>
      <w:r w:rsidR="0094509B">
        <w:rPr>
          <w:i/>
          <w:iCs/>
        </w:rPr>
        <w:t xml:space="preserve"> de 2022</w:t>
      </w:r>
      <w:r w:rsidR="001618FE" w:rsidRPr="00562333">
        <w:rPr>
          <w:i/>
          <w:iCs/>
        </w:rPr>
        <w:t>.</w:t>
      </w:r>
    </w:p>
    <w:p w14:paraId="23114A3A" w14:textId="77777777" w:rsidR="00D94AAB" w:rsidRPr="0084218F" w:rsidRDefault="00D94AAB" w:rsidP="00562333">
      <w:pPr>
        <w:pStyle w:val="Body"/>
        <w:jc w:val="center"/>
      </w:pPr>
    </w:p>
    <w:p w14:paraId="675284EC" w14:textId="0A89441F" w:rsidR="000552D5" w:rsidRPr="0084218F" w:rsidRDefault="00201511" w:rsidP="00562333">
      <w:pPr>
        <w:pStyle w:val="Body"/>
        <w:jc w:val="center"/>
      </w:pPr>
      <w:r w:rsidRPr="0084218F">
        <w:rPr>
          <w:b/>
          <w:bCs/>
        </w:rPr>
        <w:t>XP INFRA II FUNDO DE INVESTIMENTO EM PARTICIPAÇÕES EM INFRAESTRUTURA</w:t>
      </w:r>
      <w:r w:rsidR="00562333">
        <w:rPr>
          <w:b/>
          <w:bCs/>
        </w:rPr>
        <w:br/>
      </w:r>
      <w:r w:rsidR="000552D5" w:rsidRPr="0084218F">
        <w:t>(representado por sua gestora XP Asset Management)</w:t>
      </w:r>
    </w:p>
    <w:p w14:paraId="22F103A5" w14:textId="6D3F0008" w:rsidR="00D94AAB" w:rsidRDefault="00D94AAB" w:rsidP="00562333">
      <w:pPr>
        <w:pStyle w:val="Body"/>
      </w:pPr>
    </w:p>
    <w:p w14:paraId="24F12FBD" w14:textId="77777777" w:rsidR="00E22CBB" w:rsidRDefault="00E22CBB" w:rsidP="00562333">
      <w:pPr>
        <w:pStyle w:val="Body"/>
      </w:pPr>
    </w:p>
    <w:p w14:paraId="1D1E3CA7" w14:textId="77777777" w:rsidR="00562333" w:rsidRPr="0084218F" w:rsidRDefault="00562333" w:rsidP="00562333">
      <w:pPr>
        <w:pStyle w:val="Body"/>
        <w:rPr>
          <w:bCs/>
        </w:rPr>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t>Cargo:</w:t>
      </w:r>
      <w:r>
        <w:rPr>
          <w:bCs/>
        </w:rPr>
        <w:tab/>
      </w:r>
      <w:r>
        <w:rPr>
          <w:bCs/>
        </w:rPr>
        <w:tab/>
      </w:r>
      <w:r>
        <w:rPr>
          <w:bCs/>
        </w:rPr>
        <w:tab/>
      </w:r>
      <w:r>
        <w:rPr>
          <w:bCs/>
        </w:rPr>
        <w:tab/>
      </w:r>
      <w:r>
        <w:rPr>
          <w:bCs/>
        </w:rPr>
        <w:tab/>
      </w:r>
      <w:r>
        <w:rPr>
          <w:bCs/>
        </w:rPr>
        <w:tab/>
      </w:r>
      <w:r>
        <w:rPr>
          <w:bCs/>
        </w:rPr>
        <w:tab/>
        <w:t>Cargo:</w:t>
      </w:r>
    </w:p>
    <w:p w14:paraId="75F041EE" w14:textId="77777777" w:rsidR="00562333" w:rsidRPr="0084218F" w:rsidRDefault="00562333" w:rsidP="00562333">
      <w:pPr>
        <w:pStyle w:val="Body"/>
      </w:pPr>
    </w:p>
    <w:p w14:paraId="4EF18741" w14:textId="77777777" w:rsidR="00D94AAB" w:rsidRPr="0084218F" w:rsidRDefault="00D94AAB" w:rsidP="00562333">
      <w:pPr>
        <w:pStyle w:val="Body"/>
      </w:pPr>
    </w:p>
    <w:p w14:paraId="22DEBA49" w14:textId="77777777" w:rsidR="00D94AAB" w:rsidRPr="0084218F" w:rsidRDefault="00D94AAB" w:rsidP="00883E60">
      <w:pPr>
        <w:rPr>
          <w:rFonts w:cs="Tahoma"/>
          <w:i/>
          <w:kern w:val="20"/>
          <w:szCs w:val="20"/>
        </w:rPr>
      </w:pPr>
      <w:r w:rsidRPr="0084218F">
        <w:rPr>
          <w:rFonts w:cs="Tahoma"/>
          <w:i/>
          <w:szCs w:val="20"/>
        </w:rPr>
        <w:br w:type="page"/>
      </w:r>
    </w:p>
    <w:p w14:paraId="3AC73B14" w14:textId="2445F2B7" w:rsidR="00201511" w:rsidRPr="00562333" w:rsidRDefault="00201511" w:rsidP="00EA707C">
      <w:pPr>
        <w:pStyle w:val="Body"/>
        <w:rPr>
          <w:i/>
          <w:iCs/>
        </w:rPr>
      </w:pPr>
      <w:r w:rsidRPr="00562333">
        <w:rPr>
          <w:i/>
          <w:iCs/>
        </w:rPr>
        <w:lastRenderedPageBreak/>
        <w:t>Página</w:t>
      </w:r>
      <w:r w:rsidR="001618FE" w:rsidRPr="00562333">
        <w:rPr>
          <w:i/>
          <w:iCs/>
        </w:rPr>
        <w:t xml:space="preserve"> (3/5)</w:t>
      </w:r>
      <w:r w:rsidRPr="00562333">
        <w:rPr>
          <w:i/>
          <w:iCs/>
        </w:rPr>
        <w:t xml:space="preserve"> de assinaturas do </w:t>
      </w:r>
      <w:r w:rsidR="00496D82">
        <w:rPr>
          <w:i/>
          <w:iCs/>
        </w:rPr>
        <w:t>Segundo</w:t>
      </w:r>
      <w:r w:rsidR="00496D82" w:rsidRPr="00562333" w:rsidDel="00496D82">
        <w:rPr>
          <w:i/>
          <w:iCs/>
        </w:rPr>
        <w:t xml:space="preserve"> </w:t>
      </w:r>
      <w:r w:rsidRPr="00562333">
        <w:rPr>
          <w:i/>
          <w:iCs/>
        </w:rPr>
        <w:t xml:space="preserve">Aditamento ao Contrato de Alienação Fiduciária de Ações e Outras Avenças celebrado por </w:t>
      </w:r>
      <w:r w:rsidR="000552D5" w:rsidRPr="00562333">
        <w:rPr>
          <w:i/>
          <w:iCs/>
        </w:rPr>
        <w:t>LC Linhas Holding Ltda., XP Infra II Fundo de Investimento em Participações em Infraestrutura, Simplific Pavarini Distribuidora de Títulos e Valores Mobiliários Ltda., com a interveniência e anuência da LC Energia Holding S.A., em</w:t>
      </w:r>
      <w:r w:rsidR="00564A86">
        <w:rPr>
          <w:i/>
          <w:iCs/>
        </w:rPr>
        <w:t xml:space="preserve"> [</w:t>
      </w:r>
      <w:r w:rsidR="00DA2FCF">
        <w:rPr>
          <w:i/>
          <w:iCs/>
        </w:rPr>
        <w:t>23</w:t>
      </w:r>
      <w:r w:rsidR="00564A86">
        <w:rPr>
          <w:i/>
          <w:iCs/>
        </w:rPr>
        <w:t>]</w:t>
      </w:r>
      <w:r w:rsidR="0094509B">
        <w:rPr>
          <w:i/>
          <w:iCs/>
        </w:rPr>
        <w:t xml:space="preserve"> de </w:t>
      </w:r>
      <w:r w:rsidR="00DA2FCF">
        <w:rPr>
          <w:i/>
          <w:iCs/>
        </w:rPr>
        <w:t>março</w:t>
      </w:r>
      <w:r w:rsidR="0094509B">
        <w:rPr>
          <w:i/>
          <w:iCs/>
        </w:rPr>
        <w:t xml:space="preserve"> de 2022</w:t>
      </w:r>
      <w:r w:rsidR="001618FE" w:rsidRPr="00562333">
        <w:rPr>
          <w:i/>
          <w:iCs/>
        </w:rPr>
        <w:t>.</w:t>
      </w:r>
    </w:p>
    <w:p w14:paraId="1067E16D" w14:textId="77777777" w:rsidR="00201511" w:rsidRPr="0084218F" w:rsidRDefault="00201511" w:rsidP="00562333">
      <w:pPr>
        <w:pStyle w:val="Body"/>
        <w:rPr>
          <w:b/>
          <w:bCs/>
        </w:rPr>
      </w:pPr>
    </w:p>
    <w:p w14:paraId="50E7E4BF" w14:textId="4F071E45" w:rsidR="00201511" w:rsidRPr="009B2F7B" w:rsidRDefault="000552D5" w:rsidP="00562333">
      <w:pPr>
        <w:pStyle w:val="Body"/>
        <w:jc w:val="center"/>
        <w:rPr>
          <w:b/>
          <w:bCs/>
        </w:rPr>
      </w:pPr>
      <w:r w:rsidRPr="009B2F7B">
        <w:rPr>
          <w:b/>
          <w:bCs/>
        </w:rPr>
        <w:t>SIMPLIFIC PAVARINI DISTRIBUIDORA DE TÍTULOS E VALORES MOBILIÁRIOS LTDA.</w:t>
      </w:r>
    </w:p>
    <w:p w14:paraId="6B3F644D" w14:textId="53C130D0" w:rsidR="00201511" w:rsidRDefault="00201511" w:rsidP="00562333">
      <w:pPr>
        <w:pStyle w:val="Body"/>
      </w:pPr>
    </w:p>
    <w:p w14:paraId="357A7C85" w14:textId="77777777" w:rsidR="00E22CBB" w:rsidRPr="009B2F7B" w:rsidRDefault="00E22CBB" w:rsidP="00562333">
      <w:pPr>
        <w:pStyle w:val="Body"/>
      </w:pPr>
    </w:p>
    <w:p w14:paraId="5F212211" w14:textId="3CE22A0A" w:rsidR="00562333" w:rsidRPr="0084218F" w:rsidRDefault="00562333" w:rsidP="00562333">
      <w:pPr>
        <w:pStyle w:val="Body"/>
        <w:rPr>
          <w:bCs/>
        </w:rPr>
      </w:pPr>
      <w:r>
        <w:rPr>
          <w:bCs/>
        </w:rPr>
        <w:t>_________________________________</w:t>
      </w:r>
      <w:r>
        <w:rPr>
          <w:bCs/>
        </w:rPr>
        <w:tab/>
      </w:r>
      <w:r>
        <w:rPr>
          <w:bCs/>
        </w:rPr>
        <w:tab/>
      </w:r>
      <w:r>
        <w:rPr>
          <w:bCs/>
        </w:rPr>
        <w:br/>
        <w:t>Nome:</w:t>
      </w:r>
      <w:r>
        <w:rPr>
          <w:bCs/>
        </w:rPr>
        <w:tab/>
      </w:r>
      <w:r>
        <w:rPr>
          <w:bCs/>
        </w:rPr>
        <w:tab/>
      </w:r>
      <w:r>
        <w:rPr>
          <w:bCs/>
        </w:rPr>
        <w:tab/>
      </w:r>
      <w:r>
        <w:rPr>
          <w:bCs/>
        </w:rPr>
        <w:tab/>
      </w:r>
      <w:r>
        <w:rPr>
          <w:bCs/>
        </w:rPr>
        <w:tab/>
      </w:r>
      <w:r>
        <w:rPr>
          <w:bCs/>
        </w:rPr>
        <w:tab/>
      </w:r>
      <w:r>
        <w:rPr>
          <w:bCs/>
        </w:rPr>
        <w:tab/>
      </w:r>
      <w:r>
        <w:rPr>
          <w:bCs/>
        </w:rPr>
        <w:br/>
        <w:t>Cargo:</w:t>
      </w:r>
      <w:r>
        <w:rPr>
          <w:bCs/>
        </w:rPr>
        <w:tab/>
      </w:r>
      <w:r>
        <w:rPr>
          <w:bCs/>
        </w:rPr>
        <w:tab/>
      </w:r>
      <w:r>
        <w:rPr>
          <w:bCs/>
        </w:rPr>
        <w:tab/>
      </w:r>
      <w:r>
        <w:rPr>
          <w:bCs/>
        </w:rPr>
        <w:tab/>
      </w:r>
      <w:r>
        <w:rPr>
          <w:bCs/>
        </w:rPr>
        <w:tab/>
      </w:r>
      <w:r>
        <w:rPr>
          <w:bCs/>
        </w:rPr>
        <w:tab/>
      </w:r>
      <w:r>
        <w:rPr>
          <w:bCs/>
        </w:rPr>
        <w:tab/>
      </w:r>
    </w:p>
    <w:p w14:paraId="13F94E64" w14:textId="77777777" w:rsidR="00201511" w:rsidRPr="009B2F7B" w:rsidRDefault="00201511" w:rsidP="00562333">
      <w:pPr>
        <w:pStyle w:val="Body"/>
      </w:pPr>
    </w:p>
    <w:p w14:paraId="569B881E" w14:textId="77777777" w:rsidR="00201511" w:rsidRPr="0084218F" w:rsidRDefault="00201511" w:rsidP="00562333">
      <w:pPr>
        <w:pStyle w:val="Body"/>
      </w:pPr>
    </w:p>
    <w:p w14:paraId="0C07BF7C" w14:textId="77777777" w:rsidR="00201511" w:rsidRPr="00E22CBB" w:rsidRDefault="00201511" w:rsidP="00883E60">
      <w:pPr>
        <w:rPr>
          <w:rFonts w:cs="Tahoma"/>
          <w:kern w:val="20"/>
          <w:szCs w:val="20"/>
        </w:rPr>
      </w:pPr>
      <w:r w:rsidRPr="00E22CBB">
        <w:rPr>
          <w:rFonts w:cs="Tahoma"/>
          <w:szCs w:val="20"/>
        </w:rPr>
        <w:br w:type="page"/>
      </w:r>
    </w:p>
    <w:p w14:paraId="1DC75794" w14:textId="1A136C41" w:rsidR="00201511" w:rsidRPr="00562333" w:rsidRDefault="00201511" w:rsidP="00EA707C">
      <w:pPr>
        <w:pStyle w:val="Body"/>
        <w:rPr>
          <w:i/>
          <w:iCs/>
        </w:rPr>
      </w:pPr>
      <w:r w:rsidRPr="00562333">
        <w:rPr>
          <w:i/>
          <w:iCs/>
        </w:rPr>
        <w:lastRenderedPageBreak/>
        <w:t>Página</w:t>
      </w:r>
      <w:r w:rsidR="001618FE" w:rsidRPr="00562333">
        <w:rPr>
          <w:i/>
          <w:iCs/>
        </w:rPr>
        <w:t xml:space="preserve"> (4/5)</w:t>
      </w:r>
      <w:r w:rsidRPr="00562333">
        <w:rPr>
          <w:i/>
          <w:iCs/>
        </w:rPr>
        <w:t xml:space="preserve"> de assinaturas do </w:t>
      </w:r>
      <w:r w:rsidR="00496D82">
        <w:rPr>
          <w:i/>
          <w:iCs/>
        </w:rPr>
        <w:t>Segundo</w:t>
      </w:r>
      <w:r w:rsidR="00496D82" w:rsidRPr="00562333" w:rsidDel="00496D82">
        <w:rPr>
          <w:i/>
          <w:iCs/>
        </w:rPr>
        <w:t xml:space="preserve"> </w:t>
      </w:r>
      <w:r w:rsidRPr="00562333">
        <w:rPr>
          <w:i/>
          <w:iCs/>
        </w:rPr>
        <w:t xml:space="preserve">Aditamento ao Contrato de Alienação Fiduciária de Ações e Outras Avenças celebrado por </w:t>
      </w:r>
      <w:r w:rsidR="000552D5" w:rsidRPr="00562333">
        <w:rPr>
          <w:i/>
          <w:iCs/>
        </w:rPr>
        <w:t>LC Linhas Holding Ltda., XP Infra II Fundo de Investimento em Participações em Infraestrutura, Simplific Pavarini Distribuidora de Títulos e Valores Mobiliários Ltda., com a interveniência e anuência da LC Energia Holding S.A., em</w:t>
      </w:r>
      <w:r w:rsidR="00564A86">
        <w:rPr>
          <w:i/>
          <w:iCs/>
        </w:rPr>
        <w:t xml:space="preserve"> [</w:t>
      </w:r>
      <w:r w:rsidR="00DA2FCF">
        <w:rPr>
          <w:i/>
          <w:iCs/>
        </w:rPr>
        <w:t>23</w:t>
      </w:r>
      <w:r w:rsidR="00564A86">
        <w:rPr>
          <w:i/>
          <w:iCs/>
        </w:rPr>
        <w:t>]</w:t>
      </w:r>
      <w:r w:rsidR="0094509B">
        <w:rPr>
          <w:i/>
          <w:iCs/>
        </w:rPr>
        <w:t xml:space="preserve"> de </w:t>
      </w:r>
      <w:r w:rsidR="00DA2FCF">
        <w:rPr>
          <w:i/>
          <w:iCs/>
        </w:rPr>
        <w:t>março</w:t>
      </w:r>
      <w:r w:rsidR="0094509B">
        <w:rPr>
          <w:i/>
          <w:iCs/>
        </w:rPr>
        <w:t xml:space="preserve"> de 2022</w:t>
      </w:r>
      <w:r w:rsidR="001618FE" w:rsidRPr="00562333">
        <w:rPr>
          <w:i/>
          <w:iCs/>
        </w:rPr>
        <w:t>.</w:t>
      </w:r>
    </w:p>
    <w:p w14:paraId="0D2FF809" w14:textId="1CEE4548" w:rsidR="00D94AAB" w:rsidRPr="0084218F" w:rsidRDefault="00D94AAB" w:rsidP="00562333">
      <w:pPr>
        <w:pStyle w:val="Body"/>
      </w:pPr>
    </w:p>
    <w:p w14:paraId="6FA5AA2C" w14:textId="1A313585" w:rsidR="00201511" w:rsidRPr="0084218F" w:rsidRDefault="000552D5" w:rsidP="00562333">
      <w:pPr>
        <w:pStyle w:val="Body"/>
        <w:jc w:val="center"/>
        <w:rPr>
          <w:b/>
          <w:bCs/>
          <w:lang w:val="en-US"/>
        </w:rPr>
      </w:pPr>
      <w:r w:rsidRPr="0084218F">
        <w:rPr>
          <w:b/>
          <w:bCs/>
          <w:lang w:val="en-US"/>
        </w:rPr>
        <w:t>LC ENERGIA HOLDING S.A.</w:t>
      </w:r>
    </w:p>
    <w:p w14:paraId="417E5790" w14:textId="3707D5CE" w:rsidR="00201511" w:rsidRDefault="00201511" w:rsidP="00562333">
      <w:pPr>
        <w:pStyle w:val="Body"/>
        <w:rPr>
          <w:lang w:val="en-US"/>
        </w:rPr>
      </w:pPr>
    </w:p>
    <w:p w14:paraId="42A2115C" w14:textId="77777777" w:rsidR="00E22CBB" w:rsidRDefault="00E22CBB" w:rsidP="00562333">
      <w:pPr>
        <w:pStyle w:val="Body"/>
        <w:rPr>
          <w:lang w:val="en-US"/>
        </w:rPr>
      </w:pPr>
    </w:p>
    <w:p w14:paraId="69E7AC34" w14:textId="77777777" w:rsidR="00562333" w:rsidRPr="0084218F" w:rsidRDefault="00562333" w:rsidP="00562333">
      <w:pPr>
        <w:pStyle w:val="Body"/>
        <w:rPr>
          <w:bCs/>
        </w:rPr>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t>Cargo:</w:t>
      </w:r>
      <w:r>
        <w:rPr>
          <w:bCs/>
        </w:rPr>
        <w:tab/>
      </w:r>
      <w:r>
        <w:rPr>
          <w:bCs/>
        </w:rPr>
        <w:tab/>
      </w:r>
      <w:r>
        <w:rPr>
          <w:bCs/>
        </w:rPr>
        <w:tab/>
      </w:r>
      <w:r>
        <w:rPr>
          <w:bCs/>
        </w:rPr>
        <w:tab/>
      </w:r>
      <w:r>
        <w:rPr>
          <w:bCs/>
        </w:rPr>
        <w:tab/>
      </w:r>
      <w:r>
        <w:rPr>
          <w:bCs/>
        </w:rPr>
        <w:tab/>
      </w:r>
      <w:r>
        <w:rPr>
          <w:bCs/>
        </w:rPr>
        <w:tab/>
        <w:t>Cargo:</w:t>
      </w:r>
    </w:p>
    <w:p w14:paraId="29D84BFB" w14:textId="77777777" w:rsidR="00562333" w:rsidRPr="00E22CBB" w:rsidRDefault="00562333" w:rsidP="00562333">
      <w:pPr>
        <w:pStyle w:val="Body"/>
      </w:pPr>
    </w:p>
    <w:p w14:paraId="26F219A3" w14:textId="77777777" w:rsidR="00201511" w:rsidRPr="00E22CBB" w:rsidRDefault="00201511" w:rsidP="00562333">
      <w:pPr>
        <w:pStyle w:val="Body"/>
      </w:pPr>
    </w:p>
    <w:p w14:paraId="7BE48E07" w14:textId="3C5B175A" w:rsidR="00201511" w:rsidRPr="0084218F" w:rsidRDefault="00201511" w:rsidP="00883E60">
      <w:pPr>
        <w:rPr>
          <w:rFonts w:cs="Tahoma"/>
          <w:szCs w:val="20"/>
        </w:rPr>
      </w:pPr>
    </w:p>
    <w:p w14:paraId="019F2975" w14:textId="52062147" w:rsidR="00201511" w:rsidRPr="0084218F" w:rsidRDefault="00201511" w:rsidP="00883E60">
      <w:pPr>
        <w:rPr>
          <w:rFonts w:cs="Tahoma"/>
          <w:kern w:val="20"/>
          <w:szCs w:val="20"/>
        </w:rPr>
      </w:pPr>
      <w:r w:rsidRPr="0084218F">
        <w:rPr>
          <w:rFonts w:cs="Tahoma"/>
          <w:szCs w:val="20"/>
        </w:rPr>
        <w:br w:type="page"/>
      </w:r>
    </w:p>
    <w:p w14:paraId="0377907A" w14:textId="2F9C479E" w:rsidR="00201511" w:rsidRPr="00562333" w:rsidRDefault="00201511" w:rsidP="00EA707C">
      <w:pPr>
        <w:pStyle w:val="Body"/>
        <w:rPr>
          <w:i/>
          <w:iCs/>
        </w:rPr>
      </w:pPr>
      <w:r w:rsidRPr="00562333">
        <w:rPr>
          <w:i/>
          <w:iCs/>
        </w:rPr>
        <w:lastRenderedPageBreak/>
        <w:t xml:space="preserve">Página </w:t>
      </w:r>
      <w:r w:rsidR="001618FE" w:rsidRPr="00562333">
        <w:rPr>
          <w:i/>
          <w:iCs/>
        </w:rPr>
        <w:t xml:space="preserve">(5/5) </w:t>
      </w:r>
      <w:r w:rsidRPr="00562333">
        <w:rPr>
          <w:i/>
          <w:iCs/>
        </w:rPr>
        <w:t xml:space="preserve">de assinaturas do </w:t>
      </w:r>
      <w:r w:rsidR="00496D82">
        <w:rPr>
          <w:i/>
          <w:iCs/>
        </w:rPr>
        <w:t>Segundo</w:t>
      </w:r>
      <w:r w:rsidR="00496D82" w:rsidRPr="00562333" w:rsidDel="00496D82">
        <w:rPr>
          <w:i/>
          <w:iCs/>
        </w:rPr>
        <w:t xml:space="preserve"> </w:t>
      </w:r>
      <w:r w:rsidRPr="00562333">
        <w:rPr>
          <w:i/>
          <w:iCs/>
        </w:rPr>
        <w:t xml:space="preserve">Aditamento ao Contrato de Alienação Fiduciária de Ações e Outras Avenças celebrado por </w:t>
      </w:r>
      <w:r w:rsidR="000552D5" w:rsidRPr="00562333">
        <w:rPr>
          <w:i/>
          <w:iCs/>
        </w:rPr>
        <w:t>LC Linhas Holding Ltda., XP Infra II Fundo de Investimento em Participações em Infraestrutura, Simplific Pavarini Distribuidora de Títulos e Valores Mobiliários Ltda., com a interveniência e anuência da LC Energia Holding S.A., em</w:t>
      </w:r>
      <w:r w:rsidR="00564A86">
        <w:rPr>
          <w:i/>
          <w:iCs/>
        </w:rPr>
        <w:t xml:space="preserve"> [</w:t>
      </w:r>
      <w:r w:rsidR="00DA2FCF">
        <w:rPr>
          <w:i/>
          <w:iCs/>
        </w:rPr>
        <w:t>23</w:t>
      </w:r>
      <w:r w:rsidR="00564A86">
        <w:rPr>
          <w:i/>
          <w:iCs/>
        </w:rPr>
        <w:t>]</w:t>
      </w:r>
      <w:r w:rsidR="0094509B">
        <w:rPr>
          <w:i/>
          <w:iCs/>
        </w:rPr>
        <w:t xml:space="preserve"> de</w:t>
      </w:r>
      <w:r w:rsidR="00DA2FCF">
        <w:rPr>
          <w:i/>
          <w:iCs/>
        </w:rPr>
        <w:t xml:space="preserve"> março</w:t>
      </w:r>
      <w:r w:rsidR="0094509B">
        <w:rPr>
          <w:i/>
          <w:iCs/>
        </w:rPr>
        <w:t xml:space="preserve"> de 2022</w:t>
      </w:r>
      <w:r w:rsidR="001618FE" w:rsidRPr="00562333">
        <w:rPr>
          <w:i/>
          <w:iCs/>
        </w:rPr>
        <w:t>.</w:t>
      </w:r>
    </w:p>
    <w:p w14:paraId="50378E57" w14:textId="77777777" w:rsidR="00201511" w:rsidRPr="0084218F" w:rsidRDefault="00201511" w:rsidP="00562333">
      <w:pPr>
        <w:pStyle w:val="Body"/>
      </w:pPr>
    </w:p>
    <w:p w14:paraId="3946B763" w14:textId="77777777" w:rsidR="00562333" w:rsidRPr="0084218F" w:rsidRDefault="00562333" w:rsidP="00562333">
      <w:pPr>
        <w:pStyle w:val="Body"/>
        <w:rPr>
          <w:b/>
        </w:rPr>
      </w:pPr>
      <w:r w:rsidRPr="0084218F">
        <w:rPr>
          <w:b/>
        </w:rPr>
        <w:t>Testemunhas:</w:t>
      </w:r>
    </w:p>
    <w:p w14:paraId="68F62867" w14:textId="5E80C1E0" w:rsidR="00562333" w:rsidRDefault="00562333" w:rsidP="00562333">
      <w:pPr>
        <w:pStyle w:val="Body"/>
        <w:rPr>
          <w:bCs/>
        </w:rPr>
      </w:pPr>
    </w:p>
    <w:p w14:paraId="0C9A84D9" w14:textId="77777777" w:rsidR="00E22CBB" w:rsidRDefault="00E22CBB" w:rsidP="00562333">
      <w:pPr>
        <w:pStyle w:val="Body"/>
        <w:rPr>
          <w:bCs/>
        </w:rPr>
      </w:pPr>
    </w:p>
    <w:p w14:paraId="299B021E" w14:textId="6DF9A2E7" w:rsidR="00562333" w:rsidRDefault="00562333" w:rsidP="00562333">
      <w:pPr>
        <w:pStyle w:val="Body"/>
      </w:pPr>
      <w:r>
        <w:rPr>
          <w:bCs/>
        </w:rPr>
        <w:t>1.</w:t>
      </w:r>
      <w:r>
        <w:rPr>
          <w:bCs/>
        </w:rPr>
        <w:tab/>
        <w:t>___________________________</w:t>
      </w:r>
      <w:r>
        <w:rPr>
          <w:bCs/>
        </w:rPr>
        <w:tab/>
      </w:r>
      <w:r>
        <w:rPr>
          <w:bCs/>
        </w:rPr>
        <w:tab/>
        <w:t>2.</w:t>
      </w:r>
      <w:r>
        <w:rPr>
          <w:bCs/>
        </w:rPr>
        <w:tab/>
        <w:t>___________________________</w:t>
      </w:r>
      <w:r>
        <w:rPr>
          <w:bCs/>
        </w:rPr>
        <w:br/>
      </w:r>
      <w:r>
        <w:rPr>
          <w:bCs/>
        </w:rPr>
        <w:tab/>
      </w:r>
      <w:r w:rsidRPr="0084218F">
        <w:t xml:space="preserve">Nome: </w:t>
      </w:r>
      <w:r>
        <w:tab/>
      </w:r>
      <w:r>
        <w:tab/>
      </w:r>
      <w:r>
        <w:tab/>
      </w:r>
      <w:r>
        <w:tab/>
      </w:r>
      <w:r>
        <w:tab/>
      </w:r>
      <w:r>
        <w:tab/>
      </w:r>
      <w:r>
        <w:tab/>
      </w:r>
      <w:r w:rsidRPr="0084218F">
        <w:t xml:space="preserve">Nome: </w:t>
      </w:r>
      <w:r w:rsidRPr="0084218F">
        <w:br/>
      </w:r>
      <w:r>
        <w:tab/>
      </w:r>
      <w:r w:rsidRPr="0084218F">
        <w:t xml:space="preserve">CPF: </w:t>
      </w:r>
      <w:r>
        <w:tab/>
      </w:r>
      <w:r>
        <w:tab/>
      </w:r>
      <w:r>
        <w:tab/>
      </w:r>
      <w:r>
        <w:tab/>
      </w:r>
      <w:r>
        <w:tab/>
      </w:r>
      <w:r>
        <w:tab/>
      </w:r>
      <w:r>
        <w:tab/>
      </w:r>
      <w:r w:rsidRPr="0084218F">
        <w:t xml:space="preserve">CPF: </w:t>
      </w:r>
    </w:p>
    <w:p w14:paraId="1CEB57D4" w14:textId="77777777" w:rsidR="00EA707C" w:rsidRPr="0084218F" w:rsidRDefault="00EA707C" w:rsidP="00562333">
      <w:pPr>
        <w:pStyle w:val="Body"/>
      </w:pPr>
    </w:p>
    <w:p w14:paraId="22DCDA98" w14:textId="77777777" w:rsidR="00EA707C" w:rsidRDefault="00EA707C">
      <w:pPr>
        <w:spacing w:after="0" w:line="240" w:lineRule="auto"/>
        <w:jc w:val="left"/>
        <w:rPr>
          <w:b/>
          <w:kern w:val="23"/>
          <w:sz w:val="22"/>
        </w:rPr>
      </w:pPr>
      <w:r>
        <w:br w:type="page"/>
      </w:r>
    </w:p>
    <w:p w14:paraId="17BD61E4" w14:textId="77777777" w:rsidR="006B12DA" w:rsidRDefault="00D94AAB" w:rsidP="006B12DA">
      <w:pPr>
        <w:pStyle w:val="TtuloAnexo"/>
        <w:pageBreakBefore w:val="0"/>
      </w:pPr>
      <w:r w:rsidRPr="0084218F">
        <w:lastRenderedPageBreak/>
        <w:t>ANEXO A</w:t>
      </w:r>
      <w:bookmarkStart w:id="19" w:name="_Hlk527409088"/>
    </w:p>
    <w:p w14:paraId="00034294" w14:textId="3EAD41AD" w:rsidR="00201511" w:rsidRPr="0084218F" w:rsidRDefault="00201511" w:rsidP="006B12DA">
      <w:pPr>
        <w:pStyle w:val="TtuloAnexo"/>
        <w:pageBreakBefore w:val="0"/>
      </w:pPr>
      <w:r w:rsidRPr="0084218F">
        <w:t xml:space="preserve">CONTRATO DE ALIENAÇÃO FIDUCIÁRIA DE AÇÕES E OUTRAS AVENÇAS </w:t>
      </w:r>
    </w:p>
    <w:p w14:paraId="3A8C6996" w14:textId="77777777" w:rsidR="00C80414" w:rsidRDefault="00C80414" w:rsidP="00C80414">
      <w:pPr>
        <w:pStyle w:val="Body"/>
      </w:pPr>
      <w:bookmarkStart w:id="20" w:name="_DV_M1"/>
      <w:bookmarkEnd w:id="20"/>
    </w:p>
    <w:p w14:paraId="3ED7A041" w14:textId="016FB33F" w:rsidR="001618FE" w:rsidRPr="0084218F" w:rsidRDefault="00201511" w:rsidP="00C80414">
      <w:pPr>
        <w:pStyle w:val="Body"/>
      </w:pPr>
      <w:r w:rsidRPr="0084218F">
        <w:t xml:space="preserve">Pelo presente </w:t>
      </w:r>
      <w:r w:rsidR="0094509B">
        <w:rPr>
          <w:color w:val="000000"/>
        </w:rPr>
        <w:t>i</w:t>
      </w:r>
      <w:r w:rsidRPr="0084218F">
        <w:rPr>
          <w:color w:val="000000"/>
        </w:rPr>
        <w:t xml:space="preserve">nstrumento </w:t>
      </w:r>
      <w:r w:rsidR="0094509B">
        <w:rPr>
          <w:color w:val="000000"/>
        </w:rPr>
        <w:t>p</w:t>
      </w:r>
      <w:r w:rsidRPr="0084218F">
        <w:rPr>
          <w:color w:val="000000"/>
        </w:rPr>
        <w:t>articular</w:t>
      </w:r>
      <w:r w:rsidR="00E16E74" w:rsidRPr="0084218F">
        <w:rPr>
          <w:color w:val="000000"/>
        </w:rPr>
        <w:t>, as partes abaixo qualificadas (cada uma denominada individualmente “</w:t>
      </w:r>
      <w:r w:rsidR="00E16E74" w:rsidRPr="0084218F">
        <w:rPr>
          <w:b/>
          <w:bCs/>
          <w:color w:val="000000"/>
        </w:rPr>
        <w:t>Parte</w:t>
      </w:r>
      <w:r w:rsidR="00E16E74" w:rsidRPr="0084218F">
        <w:rPr>
          <w:color w:val="000000"/>
        </w:rPr>
        <w:t>” e, conjuntamente, “</w:t>
      </w:r>
      <w:r w:rsidR="00E16E74" w:rsidRPr="0084218F">
        <w:rPr>
          <w:b/>
          <w:bCs/>
          <w:color w:val="000000"/>
        </w:rPr>
        <w:t>Partes</w:t>
      </w:r>
      <w:r w:rsidR="00E16E74" w:rsidRPr="0084218F">
        <w:rPr>
          <w:color w:val="000000"/>
        </w:rPr>
        <w:t>”)</w:t>
      </w:r>
      <w:r w:rsidRPr="0084218F">
        <w:t>:</w:t>
      </w:r>
    </w:p>
    <w:p w14:paraId="08F02529" w14:textId="765B2282" w:rsidR="00201511" w:rsidRPr="0084218F" w:rsidRDefault="008E07B6" w:rsidP="009B2F7B">
      <w:pPr>
        <w:pStyle w:val="Parties"/>
        <w:numPr>
          <w:ilvl w:val="0"/>
          <w:numId w:val="214"/>
        </w:numPr>
      </w:pPr>
      <w:r w:rsidRPr="00C80414">
        <w:rPr>
          <w:b/>
          <w:bCs/>
        </w:rPr>
        <w:t>LC LINHAS HOLDING LTDA.</w:t>
      </w:r>
      <w:r w:rsidRPr="0084218F">
        <w:t>, sociedade limitada com sede na cidade de São Paulo, Estado de São Paulo, na Avenida Presidente Juscelino Kubitschek, nº 2.041, torre D, 23º andar, sala 29, Vila Nova Conceição, CEP 04543-011, inscrita no Cadastro Nacional de Pessoa Jurídica do Ministério da Economia (“</w:t>
      </w:r>
      <w:r w:rsidRPr="00C80414">
        <w:rPr>
          <w:b/>
          <w:bCs/>
        </w:rPr>
        <w:t>CNPJ/ME</w:t>
      </w:r>
      <w:r w:rsidRPr="0084218F">
        <w:t>”) sob o nº 40.776.390/0001-00, neste ato representada nos termos de seu contrato social</w:t>
      </w:r>
      <w:r w:rsidR="001618FE">
        <w:t xml:space="preserve">, na </w:t>
      </w:r>
      <w:r w:rsidR="001618FE" w:rsidRPr="0084218F">
        <w:t xml:space="preserve">qualidade de alienante </w:t>
      </w:r>
      <w:r w:rsidR="001618FE">
        <w:t xml:space="preserve">dos </w:t>
      </w:r>
      <w:r w:rsidR="001618FE" w:rsidRPr="0084218F">
        <w:t xml:space="preserve">Direitos de Participação Alienados Fiduciariamente (conforme definido </w:t>
      </w:r>
      <w:r w:rsidR="001618FE">
        <w:t>no Contrato</w:t>
      </w:r>
      <w:r w:rsidR="001618FE" w:rsidRPr="0084218F">
        <w:t>)</w:t>
      </w:r>
      <w:r w:rsidRPr="0084218F">
        <w:t xml:space="preserve"> (“</w:t>
      </w:r>
      <w:r w:rsidRPr="00C80414">
        <w:rPr>
          <w:b/>
          <w:bCs/>
        </w:rPr>
        <w:t>LC Linhas</w:t>
      </w:r>
      <w:r w:rsidRPr="0084218F">
        <w:t>” ou “</w:t>
      </w:r>
      <w:r w:rsidRPr="00C80414">
        <w:rPr>
          <w:b/>
          <w:bCs/>
        </w:rPr>
        <w:t>Alienante</w:t>
      </w:r>
      <w:r w:rsidRPr="0084218F">
        <w:t xml:space="preserve">”); </w:t>
      </w:r>
    </w:p>
    <w:p w14:paraId="7FCE45C5" w14:textId="0CE6BA25" w:rsidR="00201511" w:rsidRPr="0084218F" w:rsidRDefault="00201511" w:rsidP="009B2F7B">
      <w:pPr>
        <w:pStyle w:val="Parties"/>
      </w:pPr>
      <w:r w:rsidRPr="0084218F">
        <w:rPr>
          <w:b/>
          <w:bCs/>
        </w:rPr>
        <w:t>XP INFRA II FUNDO DE INVESTIMENTO EM PARTICIPAÇÕES EM INFRAESTRUTURA</w:t>
      </w:r>
      <w:r w:rsidRPr="0084218F">
        <w:t xml:space="preserve">, fundo de investimento em participações em infraestrutura inscrito no </w:t>
      </w:r>
      <w:r w:rsidR="0013402B" w:rsidRPr="0084218F">
        <w:t>CNPJ/ME</w:t>
      </w:r>
      <w:r w:rsidRPr="0084218F">
        <w:t xml:space="preserve"> sob o n.º 30.317.464/0001-97, </w:t>
      </w:r>
      <w:r w:rsidR="001618FE" w:rsidRPr="0084218F">
        <w:t>na qualidade de titular da totalidade das debêntures emitidas no âmbito da 1ª Emissão (conforme definid</w:t>
      </w:r>
      <w:r w:rsidR="001618FE">
        <w:t>o</w:t>
      </w:r>
      <w:r w:rsidR="001618FE" w:rsidRPr="0084218F">
        <w:t xml:space="preserve"> abaixo)</w:t>
      </w:r>
      <w:r w:rsidR="001618FE">
        <w:t xml:space="preserve">, </w:t>
      </w:r>
      <w:r w:rsidRPr="0084218F">
        <w:t xml:space="preserve">neste ato devidamente representado por sua gestora, XP Vista Asset Management Ltda., sociedade limitada com sede na cidade de São Paulo, Estado de São Paulo, na Avenida Presidente Juscelino Kubitschek, 1909, torre sul, 30.º andar, parte, CEP 04543-907, inscrita no </w:t>
      </w:r>
      <w:r w:rsidR="0013402B" w:rsidRPr="0084218F">
        <w:t>CNPJ/ME</w:t>
      </w:r>
      <w:r w:rsidRPr="0084218F">
        <w:t xml:space="preserve"> sob o n.º 16.789.525/0001-98, neste ato representada na forma de seu contrato social (</w:t>
      </w:r>
      <w:r w:rsidRPr="0084218F">
        <w:rPr>
          <w:color w:val="000000"/>
        </w:rPr>
        <w:t>"</w:t>
      </w:r>
      <w:r w:rsidRPr="0084218F">
        <w:rPr>
          <w:b/>
          <w:bCs/>
        </w:rPr>
        <w:t>FIP-IE XP</w:t>
      </w:r>
      <w:r w:rsidRPr="0084218F">
        <w:rPr>
          <w:color w:val="000000"/>
        </w:rPr>
        <w:t>"</w:t>
      </w:r>
      <w:r w:rsidRPr="0084218F">
        <w:t>);</w:t>
      </w:r>
      <w:r w:rsidR="0013402B" w:rsidRPr="0084218F">
        <w:t xml:space="preserve"> </w:t>
      </w:r>
    </w:p>
    <w:p w14:paraId="54602326" w14:textId="353C3BB3" w:rsidR="0013402B" w:rsidRPr="0084218F" w:rsidRDefault="008E07B6" w:rsidP="009B2F7B">
      <w:pPr>
        <w:pStyle w:val="Parties"/>
      </w:pPr>
      <w:r w:rsidRPr="0084218F">
        <w:rPr>
          <w:b/>
        </w:rPr>
        <w:t>SIMPLIFIC PAVARINI DISTRIBUIDORA DE TÍTULOS E VALORES MOBILIÁRIOS LTDA.</w:t>
      </w:r>
      <w:r w:rsidRPr="0084218F">
        <w:t>, instituição financeira</w:t>
      </w:r>
      <w:r w:rsidR="001618FE">
        <w:t>,</w:t>
      </w:r>
      <w:r w:rsidR="001618FE" w:rsidRPr="003E6ABF">
        <w:t xml:space="preserve"> </w:t>
      </w:r>
      <w:r w:rsidR="001618FE">
        <w:t>atuando através de sua</w:t>
      </w:r>
      <w:r w:rsidR="001618FE" w:rsidRPr="0084218F" w:rsidDel="001618FE">
        <w:t xml:space="preserve"> </w:t>
      </w:r>
      <w:r w:rsidRPr="0084218F">
        <w:t>filial na Cidade de São Paulo, Estado de São Paulo, na Rua Joaquim Floriano, nº 466, Bloco B, Conjunto 1401, Itaim Bibi, CEP 04534-004</w:t>
      </w:r>
      <w:r w:rsidRPr="0084218F">
        <w:rPr>
          <w:bCs/>
        </w:rPr>
        <w:t>, inscrita no CNPJ/ME sob o nº 15.227.994/0004-01</w:t>
      </w:r>
      <w:r w:rsidR="0013402B" w:rsidRPr="0084218F">
        <w:rPr>
          <w:bCs/>
        </w:rPr>
        <w:t>, para representar, perante a</w:t>
      </w:r>
      <w:r w:rsidR="0013402B" w:rsidRPr="0084218F">
        <w:t xml:space="preserve"> Emissora, a comunhão dos interesses dos Debenturistas (conforme definido abaixo), neste ato representada na forma de seu contrato social ("</w:t>
      </w:r>
      <w:r w:rsidR="0013402B" w:rsidRPr="0084218F">
        <w:rPr>
          <w:b/>
          <w:bCs/>
        </w:rPr>
        <w:t>Agente Fiduciário</w:t>
      </w:r>
      <w:r w:rsidR="0013402B" w:rsidRPr="0084218F">
        <w:t>");</w:t>
      </w:r>
    </w:p>
    <w:p w14:paraId="66A470DC" w14:textId="314F1860" w:rsidR="00201511" w:rsidRPr="0084218F" w:rsidRDefault="00201511" w:rsidP="00C80414">
      <w:pPr>
        <w:pStyle w:val="Body"/>
      </w:pPr>
      <w:r w:rsidRPr="0084218F">
        <w:t>e, como interveniente anuente,</w:t>
      </w:r>
    </w:p>
    <w:p w14:paraId="5907E053" w14:textId="5D04E102" w:rsidR="00201511" w:rsidRPr="0084218F" w:rsidRDefault="0013402B" w:rsidP="009B2F7B">
      <w:pPr>
        <w:pStyle w:val="Parties"/>
      </w:pPr>
      <w:bookmarkStart w:id="21" w:name="_Hlk968583"/>
      <w:r w:rsidRPr="00C4217D">
        <w:rPr>
          <w:b/>
        </w:rPr>
        <w:t>LC</w:t>
      </w:r>
      <w:r w:rsidR="00201511" w:rsidRPr="0084218F">
        <w:rPr>
          <w:b/>
          <w:bCs/>
        </w:rPr>
        <w:t xml:space="preserve"> ENERGIA HOLDING S.A.</w:t>
      </w:r>
      <w:r w:rsidR="00201511" w:rsidRPr="0084218F">
        <w:t xml:space="preserve">, sociedade por ações com sede na cidade de São Paulo, Estado de São Paulo, na Avenida Presidente Juscelino Kubitschek, 2041, torre D, 23.º andar, sala 12, Vila Nova Conceição, CEP 04543-011, inscrita no </w:t>
      </w:r>
      <w:r w:rsidRPr="0084218F">
        <w:t>CNPJ/ME</w:t>
      </w:r>
      <w:r w:rsidR="00201511" w:rsidRPr="0084218F">
        <w:t xml:space="preserve"> sob o n.º 32.997.529/0001-18, neste ato representada na forma de seu estatuto social </w:t>
      </w:r>
      <w:bookmarkEnd w:id="21"/>
      <w:r w:rsidR="00201511" w:rsidRPr="0084218F">
        <w:t>(</w:t>
      </w:r>
      <w:r w:rsidR="00201511" w:rsidRPr="0084218F">
        <w:rPr>
          <w:color w:val="000000"/>
        </w:rPr>
        <w:t>"</w:t>
      </w:r>
      <w:r w:rsidR="003E176E" w:rsidRPr="0084218F">
        <w:rPr>
          <w:b/>
          <w:bCs/>
        </w:rPr>
        <w:t>LC</w:t>
      </w:r>
      <w:r w:rsidR="00201511" w:rsidRPr="0084218F">
        <w:rPr>
          <w:b/>
          <w:bCs/>
        </w:rPr>
        <w:t xml:space="preserve"> Energia</w:t>
      </w:r>
      <w:r w:rsidR="00201511" w:rsidRPr="0084218F">
        <w:rPr>
          <w:color w:val="000000"/>
        </w:rPr>
        <w:t>" ou “</w:t>
      </w:r>
      <w:r w:rsidR="00201511" w:rsidRPr="0084218F">
        <w:rPr>
          <w:b/>
          <w:bCs/>
          <w:color w:val="000000"/>
        </w:rPr>
        <w:t>Emissora</w:t>
      </w:r>
      <w:r w:rsidR="00201511" w:rsidRPr="0084218F">
        <w:rPr>
          <w:color w:val="000000"/>
        </w:rPr>
        <w:t>”</w:t>
      </w:r>
      <w:r w:rsidR="00201511" w:rsidRPr="0084218F">
        <w:t xml:space="preserve">). </w:t>
      </w:r>
    </w:p>
    <w:p w14:paraId="73AD1121" w14:textId="1BCA0439" w:rsidR="009841BB" w:rsidRPr="00C80414" w:rsidRDefault="009841BB" w:rsidP="00C80414">
      <w:pPr>
        <w:pStyle w:val="Body"/>
        <w:rPr>
          <w:b/>
          <w:bCs/>
        </w:rPr>
      </w:pPr>
      <w:r w:rsidRPr="00C80414">
        <w:rPr>
          <w:b/>
          <w:bCs/>
        </w:rPr>
        <w:t>CONSIDERANDO QUE:</w:t>
      </w:r>
    </w:p>
    <w:p w14:paraId="424A4FCE" w14:textId="4C9744CE" w:rsidR="009841BB" w:rsidRPr="0084218F" w:rsidRDefault="009841BB" w:rsidP="00C80414">
      <w:pPr>
        <w:pStyle w:val="Recitals"/>
        <w:numPr>
          <w:ilvl w:val="0"/>
          <w:numId w:val="215"/>
        </w:numPr>
      </w:pPr>
      <w:bookmarkStart w:id="22" w:name="_Hlk451973"/>
      <w:r w:rsidRPr="0084218F">
        <w:t xml:space="preserve">em 30 de agosto de 2019, a LC </w:t>
      </w:r>
      <w:r w:rsidR="00847CA1" w:rsidRPr="0084218F">
        <w:t>Energia</w:t>
      </w:r>
      <w:r w:rsidRPr="0084218F">
        <w:t xml:space="preserve">, na qualidade de emissora, o FIP-IE XP, na qualidade de titular da </w:t>
      </w:r>
      <w:r w:rsidRPr="00C80414">
        <w:t>totalidade</w:t>
      </w:r>
      <w:r w:rsidRPr="0084218F">
        <w:t xml:space="preserve"> das </w:t>
      </w:r>
      <w:r w:rsidR="00F51003">
        <w:t>D</w:t>
      </w:r>
      <w:r w:rsidRPr="0084218F">
        <w:t>ebêntures da 1ª Emissão</w:t>
      </w:r>
      <w:r w:rsidR="00F51003">
        <w:t xml:space="preserve"> (conforme abaixo definido)</w:t>
      </w:r>
      <w:r w:rsidRPr="0084218F">
        <w:t xml:space="preserve"> (“</w:t>
      </w:r>
      <w:r w:rsidRPr="00C80414">
        <w:rPr>
          <w:b/>
          <w:bCs/>
        </w:rPr>
        <w:t>Debenturista da 1ª Emissão</w:t>
      </w:r>
      <w:r w:rsidRPr="0084218F">
        <w:t xml:space="preserve">”), os </w:t>
      </w:r>
      <w:r w:rsidR="00B51BD1" w:rsidRPr="0084218F">
        <w:t xml:space="preserve">Antigos </w:t>
      </w:r>
      <w:r w:rsidRPr="0084218F">
        <w:t xml:space="preserve">Alienantes e as SPEs (conforme definidas </w:t>
      </w:r>
      <w:r w:rsidR="007668FB" w:rsidRPr="0084218F">
        <w:t>abaixo</w:t>
      </w:r>
      <w:r w:rsidRPr="0084218F">
        <w:t>), celebraram o “</w:t>
      </w:r>
      <w:r w:rsidRPr="006B12DA">
        <w:rPr>
          <w:i/>
          <w:iCs/>
        </w:rPr>
        <w:t xml:space="preserve">Instrumento Particular de Escritura da Primeira Emissão Privada de Debêntures Conversíveis em Ações, em </w:t>
      </w:r>
      <w:r w:rsidR="00DD3D06">
        <w:rPr>
          <w:i/>
          <w:iCs/>
        </w:rPr>
        <w:t>Duas Séries</w:t>
      </w:r>
      <w:r w:rsidRPr="006B12DA">
        <w:rPr>
          <w:i/>
          <w:iCs/>
        </w:rPr>
        <w:t xml:space="preserve">, com Garantia Real e com Garantia Fidejussória Adicional, da </w:t>
      </w:r>
      <w:r w:rsidR="003212B1" w:rsidRPr="006B12DA">
        <w:rPr>
          <w:i/>
          <w:iCs/>
        </w:rPr>
        <w:t xml:space="preserve">LC Energia Holding S.A. (antiga </w:t>
      </w:r>
      <w:r w:rsidRPr="006B12DA">
        <w:rPr>
          <w:i/>
          <w:iCs/>
        </w:rPr>
        <w:t>Lyon Energia Holding S.A.</w:t>
      </w:r>
      <w:r w:rsidR="003212B1" w:rsidRPr="006B12DA">
        <w:rPr>
          <w:i/>
          <w:iCs/>
        </w:rPr>
        <w:t>)</w:t>
      </w:r>
      <w:r w:rsidR="00DD3D06">
        <w:t>, conforme aditado</w:t>
      </w:r>
      <w:r w:rsidRPr="0084218F">
        <w:t>”</w:t>
      </w:r>
      <w:r w:rsidRPr="0084218F" w:rsidDel="001D46E2">
        <w:t xml:space="preserve"> </w:t>
      </w:r>
      <w:r w:rsidRPr="0084218F">
        <w:t>(“</w:t>
      </w:r>
      <w:r w:rsidRPr="00C80414">
        <w:rPr>
          <w:b/>
        </w:rPr>
        <w:t>Escritura da 1ª Emissão</w:t>
      </w:r>
      <w:r w:rsidRPr="0084218F">
        <w:t xml:space="preserve">”), por meio do qual foram estabelecidos os termos e condições da 1ª (primeira) emissão privada de debêntures conversíveis em ações, da espécie com garantia real e garantia fidejussória adicional, em </w:t>
      </w:r>
      <w:r w:rsidR="0094509B">
        <w:t>duas séries</w:t>
      </w:r>
      <w:r w:rsidRPr="0084218F">
        <w:t xml:space="preserve">, todas nominativas, com valor nominal unitário de R$ 100.000,00 (cem mil reais) na </w:t>
      </w:r>
      <w:r w:rsidRPr="0084218F">
        <w:lastRenderedPageBreak/>
        <w:t>data de sua emissão (“</w:t>
      </w:r>
      <w:r w:rsidRPr="00C80414">
        <w:rPr>
          <w:b/>
        </w:rPr>
        <w:t>Debêntures da 1ª Emissão</w:t>
      </w:r>
      <w:r w:rsidRPr="0084218F">
        <w:t xml:space="preserve">”), no montante total de R$ </w:t>
      </w:r>
      <w:r w:rsidR="00DD3D06">
        <w:t>[R$110.300.000,00 (cento e dez milhões e trezentos mil reais)]</w:t>
      </w:r>
      <w:r w:rsidRPr="0084218F">
        <w:t xml:space="preserve"> na respectiva data de emissão das Debêntures da 1ª Emissão (“</w:t>
      </w:r>
      <w:r w:rsidRPr="00C80414">
        <w:rPr>
          <w:b/>
          <w:bCs/>
        </w:rPr>
        <w:t xml:space="preserve">1ª </w:t>
      </w:r>
      <w:r w:rsidRPr="00C80414">
        <w:rPr>
          <w:b/>
        </w:rPr>
        <w:t>Emissão</w:t>
      </w:r>
      <w:r w:rsidRPr="0084218F">
        <w:t>”);</w:t>
      </w:r>
    </w:p>
    <w:p w14:paraId="6D4D87AD" w14:textId="02111458" w:rsidR="006968A8" w:rsidRPr="0084218F" w:rsidRDefault="006968A8" w:rsidP="00C80414">
      <w:pPr>
        <w:pStyle w:val="Recitals"/>
      </w:pPr>
      <w:r w:rsidRPr="0084218F">
        <w:t xml:space="preserve">em 30 de dezembro de 2020, foi concluída a reestruturação societária na Emissora, por meio da qual, os Antigos Alienantes transferiram a totalidade das ações de emissão da Emissora para o </w:t>
      </w:r>
      <w:r w:rsidRPr="009B2F7B">
        <w:rPr>
          <w:b/>
        </w:rPr>
        <w:t>LYON CAPITAL I FUNDO DE INVESTIMENTO EM PARTICIPAÇÕES INFRAESTRUTURA</w:t>
      </w:r>
      <w:r w:rsidRPr="0084218F">
        <w:t>, fundo de investimento em participações constituído sob a forma de condomínio fechado, inscrito no CNPJ/ME sob o nº 33.255.924/0001-98, registrado sob o nº 1.880.524 no Livro de Registros B do 6ºOficial de Registro de Títulos e Documentos da Comarca de São Paulo, Estado de São Paulo em 28 de novembro de 2019, neste ato representada na forma de seu regulamento (“</w:t>
      </w:r>
      <w:r w:rsidRPr="0084218F">
        <w:rPr>
          <w:b/>
        </w:rPr>
        <w:t>Lyon Capital I</w:t>
      </w:r>
      <w:r w:rsidRPr="0084218F">
        <w:t>”);</w:t>
      </w:r>
    </w:p>
    <w:p w14:paraId="7710E849" w14:textId="5BE46E96" w:rsidR="008E07B6" w:rsidRPr="0084218F" w:rsidRDefault="00DD3D06" w:rsidP="00C80414">
      <w:pPr>
        <w:pStyle w:val="Recitals"/>
      </w:pPr>
      <w:r>
        <w:rPr>
          <w:rFonts w:cs="Tahoma"/>
          <w:szCs w:val="20"/>
        </w:rPr>
        <w:t>em 26 de abril de 2021, conforme a 1ª alteração do contrato social da LC Linhas, foi aprovado o aumento do capital social da LC Linhas, no qual o Lyon Capital I, enquanto único sócio da LC Linhas, utilizou as ações de emissão da LC Energia, de sua titularidade e que representam 100% do capital social da LC Energia, como forma de pagamento pela integralização do aumento de capital, tornando a LC Linhas a única detentora da integralidade das ações de emissão da LC Energia</w:t>
      </w:r>
      <w:r w:rsidR="008E07B6" w:rsidRPr="0084218F">
        <w:t>;</w:t>
      </w:r>
    </w:p>
    <w:p w14:paraId="52D54891" w14:textId="48459F97" w:rsidR="009841BB" w:rsidRPr="0084218F" w:rsidRDefault="009841BB" w:rsidP="00C80414">
      <w:pPr>
        <w:pStyle w:val="Recitals"/>
        <w:rPr>
          <w:rFonts w:eastAsia="MS Mincho"/>
        </w:rPr>
      </w:pPr>
      <w:r w:rsidRPr="0084218F">
        <w:rPr>
          <w:rFonts w:eastAsia="MS Mincho"/>
        </w:rPr>
        <w:t xml:space="preserve">em </w:t>
      </w:r>
      <w:r w:rsidR="0009561B">
        <w:rPr>
          <w:rFonts w:eastAsia="MS Mincho"/>
        </w:rPr>
        <w:t>02</w:t>
      </w:r>
      <w:r w:rsidRPr="0084218F">
        <w:rPr>
          <w:rFonts w:eastAsia="MS Mincho"/>
        </w:rPr>
        <w:t xml:space="preserve"> de </w:t>
      </w:r>
      <w:r w:rsidR="0009561B">
        <w:rPr>
          <w:rFonts w:eastAsia="MS Mincho"/>
        </w:rPr>
        <w:t>agosto</w:t>
      </w:r>
      <w:r w:rsidRPr="0084218F">
        <w:rPr>
          <w:rFonts w:eastAsia="MS Mincho"/>
        </w:rPr>
        <w:t xml:space="preserve"> de 2021, a </w:t>
      </w:r>
      <w:r w:rsidRPr="0084218F">
        <w:t xml:space="preserve">LC </w:t>
      </w:r>
      <w:r w:rsidR="00847CA1" w:rsidRPr="0084218F">
        <w:t>Energia</w:t>
      </w:r>
      <w:r w:rsidRPr="0084218F">
        <w:rPr>
          <w:rFonts w:eastAsia="MS Mincho"/>
        </w:rPr>
        <w:t xml:space="preserve">, na qualidade de emissora, o Agente Fiduciário, na qualidade de representante dos </w:t>
      </w:r>
      <w:bookmarkStart w:id="23" w:name="_Hlk71587745"/>
      <w:r w:rsidRPr="0084218F">
        <w:rPr>
          <w:rFonts w:eastAsia="MS Mincho"/>
        </w:rPr>
        <w:t xml:space="preserve">subscritores e adquirentes das </w:t>
      </w:r>
      <w:r w:rsidR="00F51003">
        <w:rPr>
          <w:rFonts w:eastAsia="MS Mincho"/>
        </w:rPr>
        <w:t>D</w:t>
      </w:r>
      <w:r w:rsidRPr="0084218F">
        <w:rPr>
          <w:rFonts w:eastAsia="MS Mincho"/>
        </w:rPr>
        <w:t xml:space="preserve">ebêntures </w:t>
      </w:r>
      <w:r w:rsidR="00115485" w:rsidRPr="0084218F">
        <w:rPr>
          <w:rFonts w:eastAsia="MS Mincho"/>
        </w:rPr>
        <w:t>da 2ª Emissã</w:t>
      </w:r>
      <w:bookmarkEnd w:id="23"/>
      <w:r w:rsidR="00115485" w:rsidRPr="0084218F">
        <w:rPr>
          <w:rFonts w:eastAsia="MS Mincho"/>
        </w:rPr>
        <w:t xml:space="preserve">o </w:t>
      </w:r>
      <w:r w:rsidR="00F51003">
        <w:rPr>
          <w:rFonts w:eastAsia="MS Mincho"/>
        </w:rPr>
        <w:t>(conforme definido abaixo)</w:t>
      </w:r>
      <w:r w:rsidR="00F51003" w:rsidRPr="0084218F">
        <w:rPr>
          <w:rFonts w:eastAsia="MS Mincho"/>
        </w:rPr>
        <w:t xml:space="preserve"> </w:t>
      </w:r>
      <w:r w:rsidRPr="0084218F">
        <w:rPr>
          <w:rFonts w:eastAsia="MS Mincho"/>
        </w:rPr>
        <w:t>(“</w:t>
      </w:r>
      <w:r w:rsidRPr="0084218F">
        <w:rPr>
          <w:rFonts w:eastAsia="MS Mincho"/>
          <w:b/>
          <w:bCs/>
        </w:rPr>
        <w:t>Debenturistas da 2ª Emissão</w:t>
      </w:r>
      <w:r w:rsidRPr="0084218F">
        <w:rPr>
          <w:rFonts w:eastAsia="MS Mincho"/>
        </w:rPr>
        <w:t>” e, em conjunto com o Debenturista da 1ª Emissão,</w:t>
      </w:r>
      <w:r w:rsidR="00F51003">
        <w:rPr>
          <w:rFonts w:eastAsia="MS Mincho"/>
        </w:rPr>
        <w:t xml:space="preserve"> os</w:t>
      </w:r>
      <w:r w:rsidRPr="0084218F">
        <w:rPr>
          <w:rFonts w:eastAsia="MS Mincho"/>
        </w:rPr>
        <w:t xml:space="preserve"> “</w:t>
      </w:r>
      <w:r w:rsidRPr="0084218F">
        <w:rPr>
          <w:rFonts w:eastAsia="MS Mincho"/>
          <w:b/>
          <w:bCs/>
        </w:rPr>
        <w:t>Debenturistas</w:t>
      </w:r>
      <w:r w:rsidRPr="0084218F">
        <w:rPr>
          <w:rFonts w:eastAsia="MS Mincho"/>
        </w:rPr>
        <w:t xml:space="preserve">”), e o </w:t>
      </w:r>
      <w:r w:rsidR="003212B1" w:rsidRPr="00542CC0">
        <w:rPr>
          <w:bCs/>
        </w:rPr>
        <w:t>Lyon Capital I</w:t>
      </w:r>
      <w:r w:rsidRPr="0084218F">
        <w:rPr>
          <w:rFonts w:eastAsia="MS Mincho"/>
        </w:rPr>
        <w:t>, celebraram o “</w:t>
      </w:r>
      <w:r w:rsidRPr="00A9290F">
        <w:rPr>
          <w:rFonts w:eastAsia="MS Mincho"/>
          <w:i/>
          <w:iCs/>
        </w:rPr>
        <w:t xml:space="preserve">Instrumento Particular de Escritura da 2ª (Segunda) Emissão de Debêntures Simples, Não Conversíveis em Ações, em </w:t>
      </w:r>
      <w:r w:rsidR="001618FE" w:rsidRPr="00A9290F">
        <w:rPr>
          <w:rFonts w:eastAsia="MS Mincho"/>
          <w:i/>
          <w:iCs/>
        </w:rPr>
        <w:t xml:space="preserve">Até Três </w:t>
      </w:r>
      <w:r w:rsidRPr="00A9290F">
        <w:rPr>
          <w:rFonts w:eastAsia="MS Mincho"/>
          <w:i/>
          <w:iCs/>
        </w:rPr>
        <w:t>Série</w:t>
      </w:r>
      <w:r w:rsidR="001618FE" w:rsidRPr="00A9290F">
        <w:rPr>
          <w:rFonts w:eastAsia="MS Mincho"/>
          <w:i/>
          <w:iCs/>
        </w:rPr>
        <w:t>s</w:t>
      </w:r>
      <w:r w:rsidRPr="00A9290F">
        <w:rPr>
          <w:rFonts w:eastAsia="MS Mincho"/>
          <w:i/>
          <w:iCs/>
        </w:rPr>
        <w:t>, da Espécie com Garantia Real e Garantia Adicional Fidejussória, para Distribuição Pública com Esforços Restritos, da LC Energia Holding S.A</w:t>
      </w:r>
      <w:r w:rsidRPr="0084218F">
        <w:rPr>
          <w:rFonts w:eastAsia="MS Mincho"/>
        </w:rPr>
        <w:t>.</w:t>
      </w:r>
      <w:r w:rsidR="00392E30" w:rsidRPr="0084218F">
        <w:rPr>
          <w:rFonts w:eastAsia="MS Mincho"/>
        </w:rPr>
        <w:t>”</w:t>
      </w:r>
      <w:r w:rsidRPr="0084218F">
        <w:rPr>
          <w:rFonts w:eastAsia="MS Mincho"/>
        </w:rPr>
        <w:t xml:space="preserve"> (“</w:t>
      </w:r>
      <w:r w:rsidRPr="0084218F">
        <w:rPr>
          <w:rFonts w:eastAsia="MS Mincho"/>
          <w:b/>
          <w:bCs/>
        </w:rPr>
        <w:t>Escritura da 2ª Emissão</w:t>
      </w:r>
      <w:r w:rsidRPr="0084218F">
        <w:rPr>
          <w:rFonts w:eastAsia="MS Mincho"/>
        </w:rPr>
        <w:t>” e, em conjunto com a Escritura da 1ª Emissão</w:t>
      </w:r>
      <w:r w:rsidR="00F51003">
        <w:rPr>
          <w:rFonts w:eastAsia="MS Mincho"/>
        </w:rPr>
        <w:t>, as</w:t>
      </w:r>
      <w:r w:rsidRPr="0084218F">
        <w:rPr>
          <w:rFonts w:eastAsia="MS Mincho"/>
        </w:rPr>
        <w:t xml:space="preserve"> “</w:t>
      </w:r>
      <w:r w:rsidRPr="0084218F">
        <w:rPr>
          <w:rFonts w:eastAsia="MS Mincho"/>
          <w:b/>
          <w:bCs/>
        </w:rPr>
        <w:t>Escrituras de Emissão</w:t>
      </w:r>
      <w:r w:rsidRPr="0084218F">
        <w:rPr>
          <w:rFonts w:eastAsia="MS Mincho"/>
        </w:rPr>
        <w:t>”), por meio do qual foram estabelecidos os termos e condições da 2ª (segunda) emissão pública de</w:t>
      </w:r>
      <w:r w:rsidR="000E61E5" w:rsidRPr="0084218F">
        <w:rPr>
          <w:rFonts w:eastAsia="MS Mincho"/>
        </w:rPr>
        <w:t xml:space="preserve"> </w:t>
      </w:r>
      <w:r w:rsidR="00F43C58">
        <w:rPr>
          <w:rFonts w:eastAsia="MS Mincho"/>
        </w:rPr>
        <w:t xml:space="preserve">até </w:t>
      </w:r>
      <w:r w:rsidR="003212B1">
        <w:rPr>
          <w:rFonts w:eastAsia="MS Mincho"/>
        </w:rPr>
        <w:t>152.000</w:t>
      </w:r>
      <w:r w:rsidR="003212B1" w:rsidRPr="0084218F">
        <w:rPr>
          <w:rFonts w:eastAsia="MS Mincho"/>
        </w:rPr>
        <w:t xml:space="preserve"> (</w:t>
      </w:r>
      <w:r w:rsidR="003212B1">
        <w:rPr>
          <w:rFonts w:eastAsia="MS Mincho"/>
        </w:rPr>
        <w:t>cento e cinquenta e duas</w:t>
      </w:r>
      <w:r w:rsidR="003212B1" w:rsidRPr="0084218F">
        <w:rPr>
          <w:rFonts w:eastAsia="MS Mincho"/>
        </w:rPr>
        <w:t xml:space="preserve"> mil)</w:t>
      </w:r>
      <w:r w:rsidR="000E61E5" w:rsidRPr="0084218F">
        <w:rPr>
          <w:rFonts w:eastAsia="MS Mincho"/>
        </w:rPr>
        <w:t xml:space="preserve"> debêntures simples, não conversíveis em ações, da espécie com garantia real e garantia fidejussória adicional, em até </w:t>
      </w:r>
      <w:r w:rsidR="0066289A" w:rsidRPr="0084218F">
        <w:rPr>
          <w:rFonts w:eastAsia="MS Mincho"/>
        </w:rPr>
        <w:t xml:space="preserve">três </w:t>
      </w:r>
      <w:r w:rsidR="000E61E5" w:rsidRPr="0084218F">
        <w:rPr>
          <w:rFonts w:eastAsia="MS Mincho"/>
        </w:rPr>
        <w:t>séries, com esforços restritos de distribuição, todas nominativas e escriturais</w:t>
      </w:r>
      <w:r w:rsidRPr="0084218F">
        <w:rPr>
          <w:rFonts w:eastAsia="MS Mincho"/>
        </w:rPr>
        <w:t xml:space="preserve"> na data de sua emissão (“</w:t>
      </w:r>
      <w:r w:rsidRPr="0084218F">
        <w:rPr>
          <w:rFonts w:eastAsia="MS Mincho"/>
          <w:b/>
          <w:bCs/>
        </w:rPr>
        <w:t>Debêntures da 2ª Emissão</w:t>
      </w:r>
      <w:r w:rsidR="00F51003">
        <w:rPr>
          <w:rFonts w:eastAsia="MS Mincho"/>
          <w:b/>
          <w:bCs/>
        </w:rPr>
        <w:t>”</w:t>
      </w:r>
      <w:r w:rsidRPr="0084218F">
        <w:rPr>
          <w:rFonts w:eastAsia="MS Mincho"/>
          <w:b/>
          <w:bCs/>
        </w:rPr>
        <w:t xml:space="preserve"> </w:t>
      </w:r>
      <w:r w:rsidRPr="0084218F">
        <w:rPr>
          <w:bCs/>
        </w:rPr>
        <w:t>e, em conjunto com as Debêntures da 1ª Emissão</w:t>
      </w:r>
      <w:r w:rsidR="00F51003">
        <w:rPr>
          <w:bCs/>
        </w:rPr>
        <w:t>, as</w:t>
      </w:r>
      <w:r w:rsidRPr="0084218F">
        <w:rPr>
          <w:bCs/>
        </w:rPr>
        <w:t xml:space="preserve"> “</w:t>
      </w:r>
      <w:r w:rsidRPr="0084218F">
        <w:rPr>
          <w:b/>
        </w:rPr>
        <w:t>Debêntures</w:t>
      </w:r>
      <w:r w:rsidRPr="0084218F">
        <w:rPr>
          <w:rFonts w:eastAsia="MS Mincho"/>
        </w:rPr>
        <w:t>”), no montante total de até R$</w:t>
      </w:r>
      <w:r w:rsidR="00415B9B">
        <w:rPr>
          <w:rFonts w:eastAsia="MS Mincho"/>
        </w:rPr>
        <w:t>152</w:t>
      </w:r>
      <w:r w:rsidRPr="0084218F">
        <w:rPr>
          <w:rFonts w:eastAsia="MS Mincho"/>
        </w:rPr>
        <w:t>.</w:t>
      </w:r>
      <w:r w:rsidR="00415B9B">
        <w:rPr>
          <w:rFonts w:eastAsia="MS Mincho"/>
        </w:rPr>
        <w:t>0</w:t>
      </w:r>
      <w:r w:rsidRPr="0084218F">
        <w:rPr>
          <w:rFonts w:eastAsia="MS Mincho"/>
        </w:rPr>
        <w:t>00.000,00 (</w:t>
      </w:r>
      <w:r w:rsidR="00415B9B">
        <w:rPr>
          <w:rFonts w:eastAsia="MS Mincho"/>
        </w:rPr>
        <w:t>cento e cinquenta e dois milhões de reais</w:t>
      </w:r>
      <w:r w:rsidRPr="0084218F">
        <w:rPr>
          <w:rFonts w:eastAsia="MS Mincho"/>
        </w:rPr>
        <w:t>) na respectiva data de emissão das Debêntures da 2ª Emissão (“</w:t>
      </w:r>
      <w:r w:rsidRPr="0084218F">
        <w:rPr>
          <w:rFonts w:eastAsia="MS Mincho"/>
          <w:b/>
          <w:bCs/>
        </w:rPr>
        <w:t>2ª Emissão</w:t>
      </w:r>
      <w:r w:rsidRPr="0084218F">
        <w:rPr>
          <w:rFonts w:eastAsia="MS Mincho"/>
        </w:rPr>
        <w:t>” e, em conjunto com a 1ª Emissão</w:t>
      </w:r>
      <w:r w:rsidR="00F51003">
        <w:rPr>
          <w:rFonts w:eastAsia="MS Mincho"/>
        </w:rPr>
        <w:t>, as</w:t>
      </w:r>
      <w:r w:rsidRPr="0084218F">
        <w:rPr>
          <w:rFonts w:eastAsia="MS Mincho"/>
        </w:rPr>
        <w:t xml:space="preserve"> “</w:t>
      </w:r>
      <w:r w:rsidRPr="0084218F">
        <w:rPr>
          <w:rFonts w:eastAsia="MS Mincho"/>
          <w:b/>
          <w:bCs/>
        </w:rPr>
        <w:t>Emissões</w:t>
      </w:r>
      <w:r w:rsidRPr="0084218F">
        <w:rPr>
          <w:rFonts w:eastAsia="MS Mincho"/>
        </w:rPr>
        <w:t>”);</w:t>
      </w:r>
    </w:p>
    <w:p w14:paraId="5B4DD2FE" w14:textId="0763D360" w:rsidR="009841BB" w:rsidRPr="0084218F" w:rsidRDefault="0030584D" w:rsidP="00C80414">
      <w:pPr>
        <w:pStyle w:val="Recitals"/>
      </w:pPr>
      <w:r w:rsidRPr="0084218F">
        <w:t>a Alienante</w:t>
      </w:r>
      <w:r w:rsidR="009841BB" w:rsidRPr="0084218F">
        <w:t xml:space="preserve"> </w:t>
      </w:r>
      <w:r w:rsidR="000E61E5" w:rsidRPr="0084218F">
        <w:t>é</w:t>
      </w:r>
      <w:r w:rsidR="009841BB" w:rsidRPr="0084218F">
        <w:t xml:space="preserve"> proprietária, nesta data, da totalidade das </w:t>
      </w:r>
      <w:r w:rsidR="008E07B6" w:rsidRPr="0084218F">
        <w:t xml:space="preserve">ações </w:t>
      </w:r>
      <w:r w:rsidR="009841BB" w:rsidRPr="0084218F">
        <w:t xml:space="preserve">ordinárias, nominativas e sem valor nominal de emissão da Emissora representativas de 100% (cem por cento) do capital social total da Emissora, sendo </w:t>
      </w:r>
      <w:r w:rsidR="008E07B6" w:rsidRPr="0084218F">
        <w:t>10.700.000 (dez milhões e setecentas mil)</w:t>
      </w:r>
      <w:r w:rsidR="009841BB" w:rsidRPr="0084218F">
        <w:t xml:space="preserve"> ações de propriedade da L</w:t>
      </w:r>
      <w:r w:rsidR="008E07B6" w:rsidRPr="0084218F">
        <w:t>C Linhas</w:t>
      </w:r>
      <w:r w:rsidR="009841BB" w:rsidRPr="0084218F">
        <w:t xml:space="preserve"> (“</w:t>
      </w:r>
      <w:r w:rsidR="009841BB" w:rsidRPr="0084218F">
        <w:rPr>
          <w:b/>
        </w:rPr>
        <w:t>Ações</w:t>
      </w:r>
      <w:r w:rsidR="009841BB" w:rsidRPr="0084218F">
        <w:t>”);</w:t>
      </w:r>
    </w:p>
    <w:p w14:paraId="53A43ED4" w14:textId="4B248EF7" w:rsidR="009841BB" w:rsidRPr="0084218F" w:rsidRDefault="009841BB" w:rsidP="00C80414">
      <w:pPr>
        <w:pStyle w:val="Recitals"/>
      </w:pPr>
      <w:r w:rsidRPr="0084218F">
        <w:t xml:space="preserve"> </w:t>
      </w:r>
      <w:r w:rsidR="0030584D" w:rsidRPr="0084218F">
        <w:t>a Alienante</w:t>
      </w:r>
      <w:r w:rsidRPr="0084218F">
        <w:t xml:space="preserve"> deseja alienar fiduciariamente em garantia das Obrigações Garantidas, conforme abaixo definido, (i) a totalidade das</w:t>
      </w:r>
      <w:r w:rsidRPr="0084218F">
        <w:rPr>
          <w:b/>
          <w:bCs/>
        </w:rPr>
        <w:t xml:space="preserve"> </w:t>
      </w:r>
      <w:r w:rsidRPr="0084218F">
        <w:t>Ações</w:t>
      </w:r>
      <w:r w:rsidR="00AA462B" w:rsidRPr="0084218F">
        <w:t>, assim como</w:t>
      </w:r>
      <w:r w:rsidRPr="0084218F">
        <w:t xml:space="preserve"> (ii) todas as ações adicionais de emissão da Emissora que venham a ser adquiridas pel</w:t>
      </w:r>
      <w:r w:rsidR="0030584D" w:rsidRPr="0084218F">
        <w:t>a Alienante</w:t>
      </w:r>
      <w:r w:rsidRPr="0084218F">
        <w:t xml:space="preserve"> a partir da presente data, seja a que título for (incluindo em virtude de subscrição, exercício de bônus de subscrição ou opção, compra, permuta, doação, capitalização de lucros ou reservas, bonificação ou qualquer outro modo), (iii) todas as ações derivadas das Ações ou de quaisquer ações adicionais ou que venham a substituí-las a qualquer título (incluindo em função de desdobramento, grupamento, incorporação, fusão, cisão ou qualquer outra forma de reorganização societária envolvendo a Emissora ou as Ações ou outra operação) (as ações adicionais mencionadas nos itens (ii) e (iii) acima, as “</w:t>
      </w:r>
      <w:r w:rsidRPr="0084218F">
        <w:rPr>
          <w:b/>
          <w:bCs/>
        </w:rPr>
        <w:t>Ações Adicionais</w:t>
      </w:r>
      <w:r w:rsidRPr="0084218F">
        <w:t xml:space="preserve">” e, </w:t>
      </w:r>
      <w:r w:rsidRPr="0084218F">
        <w:lastRenderedPageBreak/>
        <w:t>em conjunto com as Ações, as “</w:t>
      </w:r>
      <w:r w:rsidRPr="0084218F">
        <w:rPr>
          <w:b/>
          <w:bCs/>
        </w:rPr>
        <w:t>Ações Alienadas</w:t>
      </w:r>
      <w:r w:rsidRPr="0084218F">
        <w:t xml:space="preserve">”), (iv) </w:t>
      </w:r>
      <w:r w:rsidRPr="0084218F">
        <w:rPr>
          <w:rFonts w:eastAsia="SimSun"/>
        </w:rPr>
        <w:t>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w:t>
      </w:r>
      <w:r w:rsidR="0030584D" w:rsidRPr="0084218F">
        <w:rPr>
          <w:rFonts w:eastAsia="SimSun"/>
        </w:rPr>
        <w:t>a Alienante</w:t>
      </w:r>
      <w:r w:rsidRPr="0084218F">
        <w:t xml:space="preserve"> (“</w:t>
      </w:r>
      <w:r w:rsidRPr="0084218F">
        <w:rPr>
          <w:b/>
          <w:bCs/>
        </w:rPr>
        <w:t>Outros Direitos</w:t>
      </w:r>
      <w:r w:rsidRPr="0084218F">
        <w:t>”), e (v) todos os dividendos, lucros,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Pr="0084218F">
        <w:rPr>
          <w:b/>
          <w:bCs/>
        </w:rPr>
        <w:t>Direitos Econômicos</w:t>
      </w:r>
      <w:r w:rsidRPr="0084218F">
        <w:t>");</w:t>
      </w:r>
    </w:p>
    <w:p w14:paraId="48330702" w14:textId="370AC3BF" w:rsidR="009841BB" w:rsidRPr="0084218F" w:rsidRDefault="009841BB" w:rsidP="00C80414">
      <w:pPr>
        <w:pStyle w:val="Recitals"/>
      </w:pPr>
      <w:r w:rsidRPr="0084218F">
        <w:t>a Alienação Fiduciária (conforme definida abaixo) dos Direitos de Participação Alienados Fiduciariamente</w:t>
      </w:r>
      <w:r w:rsidRPr="0084218F" w:rsidDel="00D82F1C">
        <w:t xml:space="preserve"> </w:t>
      </w:r>
      <w:r w:rsidRPr="0084218F">
        <w:t>(conforme definido abaixo) serão compartilhados entre as Emissões, sem igualdade de condições, sendo as Debêntures da 1ª Emissão subordinadas às Debêntures da 2ª Emissão para fins da garantia</w:t>
      </w:r>
      <w:r w:rsidR="00AA462B" w:rsidRPr="0084218F">
        <w:t>, de modo que, caso os Direitos de Participação Alienados Fiduciariamente</w:t>
      </w:r>
      <w:r w:rsidR="00AA462B" w:rsidRPr="0084218F" w:rsidDel="00D82F1C">
        <w:t xml:space="preserve"> </w:t>
      </w:r>
      <w:r w:rsidR="00AA462B" w:rsidRPr="0084218F">
        <w:t xml:space="preserve">(conforme definido abaixo) venham a ser excutidos, o produto de tal excussão será utilizado prioritariamente à quitação das </w:t>
      </w:r>
      <w:r w:rsidR="00F51003">
        <w:t>O</w:t>
      </w:r>
      <w:r w:rsidR="00AA462B" w:rsidRPr="0084218F">
        <w:t xml:space="preserve">brigações </w:t>
      </w:r>
      <w:r w:rsidR="00F51003">
        <w:t>G</w:t>
      </w:r>
      <w:r w:rsidR="00AA462B" w:rsidRPr="0084218F">
        <w:t xml:space="preserve">arantidas 2ª Emissão </w:t>
      </w:r>
      <w:r w:rsidR="00F51003">
        <w:t>(conforme definido no Contrato)</w:t>
      </w:r>
      <w:r w:rsidR="00F51003" w:rsidRPr="0084218F">
        <w:t xml:space="preserve"> </w:t>
      </w:r>
      <w:r w:rsidR="00AA462B" w:rsidRPr="0084218F">
        <w:t>e, após quitação integral das Obrigações Garantidas 2ª Emissão, o produto de tal excussão será utilizado para a quitação das obrigações garantidas 1ª Emissão</w:t>
      </w:r>
      <w:r w:rsidR="00F51003">
        <w:t xml:space="preserve"> (conforme definido no Contrato)</w:t>
      </w:r>
      <w:r w:rsidRPr="0084218F">
        <w:t>;</w:t>
      </w:r>
      <w:r w:rsidR="00AA462B" w:rsidRPr="0084218F">
        <w:t xml:space="preserve"> e </w:t>
      </w:r>
    </w:p>
    <w:p w14:paraId="68A0B529" w14:textId="1BB0AEF8" w:rsidR="009841BB" w:rsidRPr="0084218F" w:rsidRDefault="00AA462B" w:rsidP="00C80414">
      <w:pPr>
        <w:pStyle w:val="Recitals"/>
      </w:pPr>
      <w:r w:rsidRPr="0084218F">
        <w:t>as Partes dispuseram de tempo e condições adequadas para a avaliação e discussão de todas as cláusulas deste Contrato, cuja celebração, execução e extinção são pautadas pelos princípios da igualdade, probidade, lealdade e boa-fé</w:t>
      </w:r>
      <w:r w:rsidR="0094509B">
        <w:t>.</w:t>
      </w:r>
    </w:p>
    <w:bookmarkEnd w:id="22"/>
    <w:p w14:paraId="29D9DCAB" w14:textId="66F35A13" w:rsidR="00201511" w:rsidRPr="0084218F" w:rsidRDefault="00201511" w:rsidP="00C80414">
      <w:pPr>
        <w:pStyle w:val="Body"/>
      </w:pPr>
      <w:r w:rsidRPr="0084218F">
        <w:rPr>
          <w:b/>
        </w:rPr>
        <w:t>TÊM ENTRE SI JUSTO E ACORDADO</w:t>
      </w:r>
      <w:r w:rsidRPr="0084218F">
        <w:t xml:space="preserve"> o presente Contrato de Alienação Fiduciária de Ações</w:t>
      </w:r>
      <w:r w:rsidR="00F51003">
        <w:t>, Cessão Fiduciária de Direitos Creditórios</w:t>
      </w:r>
      <w:r w:rsidRPr="0084218F">
        <w:t xml:space="preserve"> e Outras Avenças (“</w:t>
      </w:r>
      <w:r w:rsidRPr="0084218F">
        <w:rPr>
          <w:b/>
          <w:bCs/>
        </w:rPr>
        <w:t>Contrato</w:t>
      </w:r>
      <w:r w:rsidRPr="0084218F">
        <w:t>”), que será regido pelas seguintes cláusulas e condições:</w:t>
      </w:r>
    </w:p>
    <w:p w14:paraId="0395F752" w14:textId="77777777" w:rsidR="00201511" w:rsidRPr="00C80414" w:rsidRDefault="00201511" w:rsidP="00C80414">
      <w:pPr>
        <w:pStyle w:val="Level1"/>
        <w:numPr>
          <w:ilvl w:val="0"/>
          <w:numId w:val="216"/>
        </w:numPr>
        <w:rPr>
          <w:b/>
          <w:bCs/>
        </w:rPr>
      </w:pPr>
      <w:r w:rsidRPr="00C80414">
        <w:rPr>
          <w:b/>
          <w:bCs/>
        </w:rPr>
        <w:t>DEFINIÇÕES E INTERPRETAÇÃO</w:t>
      </w:r>
    </w:p>
    <w:p w14:paraId="17EEE594" w14:textId="28428757" w:rsidR="00846D1B" w:rsidRPr="00C80414" w:rsidRDefault="00846D1B" w:rsidP="00C80414">
      <w:pPr>
        <w:pStyle w:val="Level2"/>
        <w:rPr>
          <w:b/>
        </w:rPr>
      </w:pPr>
      <w:r w:rsidRPr="0084218F">
        <w:t>Sem prejuízo de outras definições constantes deste Contrato, os seguintes termos e expressões terão o significado que lhes é a seguir atribuído:</w:t>
      </w:r>
    </w:p>
    <w:p w14:paraId="2AB9181E" w14:textId="5392B282" w:rsidR="00201511" w:rsidRPr="0084218F" w:rsidRDefault="00201511" w:rsidP="00C80414">
      <w:pPr>
        <w:pStyle w:val="Body2"/>
        <w:rPr>
          <w:rFonts w:cs="Tahoma"/>
          <w:szCs w:val="20"/>
        </w:rPr>
      </w:pPr>
      <w:r w:rsidRPr="0084218F">
        <w:rPr>
          <w:rFonts w:cs="Tahoma"/>
          <w:szCs w:val="20"/>
        </w:rPr>
        <w:t>“</w:t>
      </w:r>
      <w:r w:rsidRPr="0084218F">
        <w:rPr>
          <w:rFonts w:cs="Tahoma"/>
          <w:b/>
          <w:bCs/>
          <w:szCs w:val="20"/>
        </w:rPr>
        <w:t>Acordo de Acionistas</w:t>
      </w:r>
      <w:r w:rsidRPr="0084218F">
        <w:rPr>
          <w:rFonts w:cs="Tahoma"/>
          <w:szCs w:val="20"/>
        </w:rPr>
        <w:t xml:space="preserve">” significa o acordo de acionistas celebrado, nesta data, entre </w:t>
      </w:r>
      <w:r w:rsidR="0030584D" w:rsidRPr="0084218F">
        <w:rPr>
          <w:rFonts w:cs="Tahoma"/>
          <w:szCs w:val="20"/>
        </w:rPr>
        <w:t>a Alienante</w:t>
      </w:r>
      <w:r w:rsidRPr="0084218F">
        <w:rPr>
          <w:rFonts w:cs="Tahoma"/>
          <w:szCs w:val="20"/>
        </w:rPr>
        <w:t xml:space="preserve"> e o FIP-IE XP, com a interveniência anuência da Emissora, das SPEs e de outras partes. </w:t>
      </w:r>
    </w:p>
    <w:p w14:paraId="19A9A157" w14:textId="77777777" w:rsidR="00201511" w:rsidRPr="0084218F" w:rsidRDefault="00201511" w:rsidP="00C80414">
      <w:pPr>
        <w:pStyle w:val="Body2"/>
        <w:rPr>
          <w:rFonts w:cs="Tahoma"/>
          <w:szCs w:val="20"/>
        </w:rPr>
      </w:pPr>
      <w:r w:rsidRPr="0084218F">
        <w:rPr>
          <w:rFonts w:cs="Tahoma"/>
          <w:szCs w:val="20"/>
        </w:rPr>
        <w:t>“</w:t>
      </w:r>
      <w:r w:rsidRPr="0084218F">
        <w:rPr>
          <w:rFonts w:cs="Tahoma"/>
          <w:b/>
          <w:bCs/>
          <w:szCs w:val="20"/>
        </w:rPr>
        <w:t>Contrato de Cessão Fiduciária de Créditos</w:t>
      </w:r>
      <w:r w:rsidRPr="0084218F">
        <w:rPr>
          <w:rFonts w:cs="Tahoma"/>
          <w:szCs w:val="20"/>
        </w:rPr>
        <w:t>” significa o Contrato de Cessão Fiduciária e Vinculação de Créditos em Garantia e Outras Avenças celebrado nesta data entre a Emissora e o FIP-IE XP.</w:t>
      </w:r>
    </w:p>
    <w:p w14:paraId="48A630BB" w14:textId="77777777" w:rsidR="00201511" w:rsidRPr="0084218F" w:rsidRDefault="00201511" w:rsidP="00C80414">
      <w:pPr>
        <w:pStyle w:val="Body2"/>
        <w:rPr>
          <w:rFonts w:cs="Tahoma"/>
        </w:rPr>
      </w:pPr>
      <w:r w:rsidRPr="0084218F">
        <w:rPr>
          <w:rFonts w:cs="Tahoma"/>
        </w:rPr>
        <w:t>“</w:t>
      </w:r>
      <w:r w:rsidRPr="0084218F">
        <w:rPr>
          <w:rFonts w:cs="Tahoma"/>
          <w:b/>
          <w:bCs/>
        </w:rPr>
        <w:t>Data de Quitação</w:t>
      </w:r>
      <w:r w:rsidRPr="0084218F">
        <w:rPr>
          <w:rFonts w:cs="Tahoma"/>
        </w:rPr>
        <w:t>” significa a data em que todas as Obrigações Garantidas (conforme abaixo definido), tenham sido integralmente cumpridas.</w:t>
      </w:r>
    </w:p>
    <w:p w14:paraId="139C4C8A" w14:textId="77777777" w:rsidR="00201511" w:rsidRPr="0084218F" w:rsidRDefault="00201511" w:rsidP="00C80414">
      <w:pPr>
        <w:pStyle w:val="Body2"/>
        <w:rPr>
          <w:rFonts w:cs="Tahoma"/>
          <w:szCs w:val="20"/>
        </w:rPr>
      </w:pPr>
      <w:r w:rsidRPr="0084218F">
        <w:rPr>
          <w:rFonts w:cs="Tahoma"/>
          <w:iCs/>
          <w:szCs w:val="20"/>
        </w:rPr>
        <w:t>“</w:t>
      </w:r>
      <w:r w:rsidRPr="0084218F">
        <w:rPr>
          <w:rFonts w:cs="Tahoma"/>
          <w:b/>
          <w:bCs/>
          <w:iCs/>
          <w:szCs w:val="20"/>
        </w:rPr>
        <w:t>Dia Útil</w:t>
      </w:r>
      <w:r w:rsidRPr="0084218F">
        <w:rPr>
          <w:rFonts w:cs="Tahoma"/>
          <w:iCs/>
          <w:szCs w:val="20"/>
        </w:rPr>
        <w:t>” significa qualquer dia em que bancos não são obrigados a funcionar ou são autorizados por Lei a fechar na cidade de São Paulo, estado de São Paulo.</w:t>
      </w:r>
    </w:p>
    <w:p w14:paraId="6997CEAB" w14:textId="254896B6" w:rsidR="00201511" w:rsidRPr="0084218F" w:rsidRDefault="00201511" w:rsidP="00C80414">
      <w:pPr>
        <w:pStyle w:val="Body2"/>
        <w:rPr>
          <w:rFonts w:cs="Tahoma"/>
          <w:szCs w:val="20"/>
        </w:rPr>
      </w:pPr>
      <w:bookmarkStart w:id="24" w:name="_DV_M48"/>
      <w:bookmarkStart w:id="25" w:name="_DV_M49"/>
      <w:bookmarkStart w:id="26" w:name="_DV_M50"/>
      <w:bookmarkStart w:id="27" w:name="_Hlk888582"/>
      <w:bookmarkEnd w:id="24"/>
      <w:bookmarkEnd w:id="25"/>
      <w:bookmarkEnd w:id="26"/>
      <w:r w:rsidRPr="0084218F">
        <w:rPr>
          <w:rFonts w:cs="Tahoma"/>
          <w:szCs w:val="20"/>
        </w:rPr>
        <w:t>“</w:t>
      </w:r>
      <w:r w:rsidRPr="0084218F">
        <w:rPr>
          <w:rFonts w:cs="Tahoma"/>
          <w:b/>
          <w:szCs w:val="20"/>
        </w:rPr>
        <w:t>Documentos da Operação</w:t>
      </w:r>
      <w:r w:rsidR="00C802F2" w:rsidRPr="0084218F">
        <w:rPr>
          <w:rFonts w:cs="Tahoma"/>
          <w:b/>
          <w:szCs w:val="20"/>
        </w:rPr>
        <w:t xml:space="preserve"> da 1ª Emissão</w:t>
      </w:r>
      <w:r w:rsidRPr="0084218F">
        <w:rPr>
          <w:rFonts w:cs="Tahoma"/>
          <w:szCs w:val="20"/>
        </w:rPr>
        <w:t xml:space="preserve">” significa este Contrato, a Escritura </w:t>
      </w:r>
      <w:r w:rsidR="00C802F2" w:rsidRPr="0084218F">
        <w:rPr>
          <w:rFonts w:cs="Tahoma"/>
          <w:szCs w:val="20"/>
        </w:rPr>
        <w:t xml:space="preserve">da 1ª Emissão </w:t>
      </w:r>
      <w:r w:rsidRPr="0084218F">
        <w:rPr>
          <w:rFonts w:cs="Tahoma"/>
          <w:szCs w:val="20"/>
        </w:rPr>
        <w:t>e o Contrato de Cessão Fiduciária de Créditos</w:t>
      </w:r>
      <w:r w:rsidR="00C802F2" w:rsidRPr="0084218F">
        <w:rPr>
          <w:rFonts w:cs="Tahoma"/>
          <w:szCs w:val="20"/>
        </w:rPr>
        <w:t xml:space="preserve"> (conforme definido na Escritura da 1ª Emissão)</w:t>
      </w:r>
      <w:r w:rsidRPr="0084218F">
        <w:rPr>
          <w:rFonts w:cs="Tahoma"/>
          <w:szCs w:val="20"/>
        </w:rPr>
        <w:t>, em conjunto.</w:t>
      </w:r>
    </w:p>
    <w:p w14:paraId="383497B6" w14:textId="79A0FBCD" w:rsidR="00C802F2" w:rsidRPr="0084218F" w:rsidRDefault="00C802F2" w:rsidP="00C80414">
      <w:pPr>
        <w:pStyle w:val="Body2"/>
        <w:rPr>
          <w:rFonts w:cs="Tahoma"/>
          <w:szCs w:val="20"/>
        </w:rPr>
      </w:pPr>
      <w:r w:rsidRPr="0084218F">
        <w:rPr>
          <w:rFonts w:cs="Tahoma"/>
          <w:szCs w:val="20"/>
        </w:rPr>
        <w:lastRenderedPageBreak/>
        <w:t>“</w:t>
      </w:r>
      <w:r w:rsidRPr="0084218F">
        <w:rPr>
          <w:rFonts w:cs="Tahoma"/>
          <w:b/>
          <w:szCs w:val="20"/>
        </w:rPr>
        <w:t>Documentos da Operação da 2ª Emissão</w:t>
      </w:r>
      <w:r w:rsidRPr="0084218F">
        <w:rPr>
          <w:rFonts w:cs="Tahoma"/>
          <w:szCs w:val="20"/>
        </w:rPr>
        <w:t>” significa este Contrato, a Escritura da 2ª Emissão e os Contrato</w:t>
      </w:r>
      <w:r w:rsidR="001618FE">
        <w:rPr>
          <w:rFonts w:cs="Tahoma"/>
          <w:szCs w:val="20"/>
        </w:rPr>
        <w:t>s</w:t>
      </w:r>
      <w:r w:rsidRPr="0084218F">
        <w:rPr>
          <w:rFonts w:cs="Tahoma"/>
          <w:szCs w:val="20"/>
        </w:rPr>
        <w:t xml:space="preserve"> de Garantia (conforme definido na Escritura da 2ª Emissão), em conjunto.</w:t>
      </w:r>
    </w:p>
    <w:p w14:paraId="6AF39B69" w14:textId="350F0071" w:rsidR="00C802F2" w:rsidRPr="0084218F" w:rsidRDefault="00C802F2" w:rsidP="00C80414">
      <w:pPr>
        <w:pStyle w:val="Body2"/>
        <w:rPr>
          <w:rFonts w:cs="Tahoma"/>
          <w:szCs w:val="20"/>
        </w:rPr>
      </w:pPr>
      <w:r w:rsidRPr="0084218F">
        <w:rPr>
          <w:rFonts w:cs="Tahoma"/>
          <w:szCs w:val="20"/>
        </w:rPr>
        <w:t>“</w:t>
      </w:r>
      <w:r w:rsidRPr="0084218F">
        <w:rPr>
          <w:rFonts w:cs="Tahoma"/>
          <w:b/>
          <w:szCs w:val="20"/>
        </w:rPr>
        <w:t>Documentos da Operação</w:t>
      </w:r>
      <w:r w:rsidRPr="0084218F">
        <w:rPr>
          <w:rFonts w:cs="Tahoma"/>
          <w:szCs w:val="20"/>
        </w:rPr>
        <w:t>” significa, em conjunto os Documentos da Operação da 1ª Emissão e os Documentos da Operação da 2ª Emissão.</w:t>
      </w:r>
    </w:p>
    <w:bookmarkEnd w:id="27"/>
    <w:p w14:paraId="5E0EC384" w14:textId="77777777" w:rsidR="00201511" w:rsidRPr="0084218F" w:rsidRDefault="00201511" w:rsidP="00C80414">
      <w:pPr>
        <w:pStyle w:val="Body2"/>
        <w:rPr>
          <w:rFonts w:cs="Tahoma"/>
          <w:szCs w:val="20"/>
        </w:rPr>
      </w:pPr>
      <w:r w:rsidRPr="0084218F">
        <w:rPr>
          <w:rFonts w:cs="Tahoma"/>
          <w:szCs w:val="20"/>
        </w:rPr>
        <w:t>“</w:t>
      </w:r>
      <w:r w:rsidRPr="0084218F">
        <w:rPr>
          <w:rFonts w:cs="Tahoma"/>
          <w:b/>
          <w:bCs/>
          <w:szCs w:val="20"/>
        </w:rPr>
        <w:t>IPCA</w:t>
      </w:r>
      <w:r w:rsidRPr="0084218F">
        <w:rPr>
          <w:rFonts w:cs="Tahoma"/>
          <w:szCs w:val="20"/>
        </w:rPr>
        <w:t>” significa o Índice de Preço ao Consumidor – Amplo, conforme divulgado pelo Instituto Brasileiro de Geografia e Estatística (IBGE).</w:t>
      </w:r>
    </w:p>
    <w:p w14:paraId="238C7BB2" w14:textId="2D21B24C" w:rsidR="00AA462B" w:rsidRPr="0084218F" w:rsidRDefault="00AA462B" w:rsidP="00C80414">
      <w:pPr>
        <w:pStyle w:val="Body2"/>
        <w:rPr>
          <w:rFonts w:cs="Tahoma"/>
          <w:szCs w:val="20"/>
        </w:rPr>
      </w:pPr>
      <w:r w:rsidRPr="0084218F">
        <w:rPr>
          <w:rFonts w:cs="Tahoma"/>
          <w:szCs w:val="20"/>
        </w:rPr>
        <w:t>“</w:t>
      </w:r>
      <w:r w:rsidRPr="0084218F">
        <w:rPr>
          <w:rFonts w:cs="Tahoma"/>
          <w:b/>
          <w:bCs/>
          <w:szCs w:val="20"/>
        </w:rPr>
        <w:t>Obrigações Garantidas 1ª Emissão</w:t>
      </w:r>
      <w:r w:rsidRPr="0084218F">
        <w:rPr>
          <w:rFonts w:cs="Tahoma"/>
          <w:szCs w:val="20"/>
        </w:rPr>
        <w:t>” significa todas as obrigações, principais e acessórias, presentes e futuras da Emissora, das SPEs (conforme definido na Escritura da 1ª Emissão) ou de qualquer das Partes Lyon (conforme definido na Escritura da 1ª Emissão) perante o Debenturista da 1ª Emissão em razão da Escritura de Emissão da 1ª Emissão e dos Instrumentos de Garantia (conforme definido na Escritura da 1ª Emissão), o que inclui, principalmente, mas não se limita a, o pagamento de todo e qualquer valor devido pela Emissora em razão das Debêntures da 1ª Emissão, inclusive Remuneração (conforme definido na Escritura da 1ª Emissão), a conversão das Debêntures da 1ª Emissão, o pagamento dos custos, comissões, encargos e despesas de qualquer natureza, a totalidade das obrigações acessórias, tais como, mas não se limitando, aos Encargos Moratórios (conforme definido na Escritura da 1ª Emissão), multas, indenizações, penalidades, despesas, custas, honorários advocatícios, comissões e demais encargos contratuais e legais previstos e todo e qualquer custo ou despesa incorrido pelo Debenturista da 1ª Emissão em decorrência de processos, procedimentos e/ou outras medidas judiciais ou extrajudiciais necessários à salvaguarda dos direitos e prerrogativas do Debenturista da 1ª Emissão decorrentes das Debêntures da 1ª Emissão, da Escritura da 1ª Emissão e/ou dos Instrumentos de Garantia (conforme definido na Escritura da 1ª Emissão), bem como o ressarcimento de toda e qualquer importância desembolsada por conta da constituição, do aperfeiçoamento e do exercício de direitos e prerrogativas decorrentes das Debêntures</w:t>
      </w:r>
      <w:r w:rsidR="002E066B" w:rsidRPr="0084218F">
        <w:rPr>
          <w:rFonts w:cs="Tahoma"/>
          <w:szCs w:val="20"/>
        </w:rPr>
        <w:t xml:space="preserve"> da 1ª Emissão</w:t>
      </w:r>
      <w:r w:rsidRPr="0084218F">
        <w:rPr>
          <w:rFonts w:cs="Tahoma"/>
          <w:szCs w:val="20"/>
        </w:rPr>
        <w:t xml:space="preserve"> e da execução de garantias prestadas e quaisquer outros acréscimos devidos ao Debenturista</w:t>
      </w:r>
      <w:r w:rsidR="002E066B" w:rsidRPr="0084218F">
        <w:rPr>
          <w:rFonts w:cs="Tahoma"/>
          <w:szCs w:val="20"/>
        </w:rPr>
        <w:t xml:space="preserve"> da 1ª Emissão.</w:t>
      </w:r>
    </w:p>
    <w:p w14:paraId="5F3F51CD" w14:textId="4CD10A5E" w:rsidR="00AA462B" w:rsidRPr="0084218F" w:rsidRDefault="00AA462B" w:rsidP="00C80414">
      <w:pPr>
        <w:pStyle w:val="Body2"/>
        <w:rPr>
          <w:rFonts w:cs="Tahoma"/>
          <w:szCs w:val="20"/>
        </w:rPr>
      </w:pPr>
      <w:r w:rsidRPr="0084218F">
        <w:rPr>
          <w:rFonts w:cs="Tahoma"/>
          <w:szCs w:val="20"/>
        </w:rPr>
        <w:t>“</w:t>
      </w:r>
      <w:r w:rsidRPr="0084218F">
        <w:rPr>
          <w:rFonts w:cs="Tahoma"/>
          <w:b/>
          <w:bCs/>
          <w:szCs w:val="20"/>
        </w:rPr>
        <w:t>Obrigações Garantidas 2ª Emissão</w:t>
      </w:r>
      <w:r w:rsidRPr="0084218F">
        <w:rPr>
          <w:rFonts w:cs="Tahoma"/>
          <w:szCs w:val="20"/>
        </w:rPr>
        <w:t>” significa quaisquer das obrigações principais, acessórias e/ou moratórias, presentes e/ou futuras, assumidas ou que venham a sê-lo, perante os Debenturistas no âmbito da 2ª Emissão, nos termos desta Escritura da 2ª Emissão, o que inclui, mas não se limita</w:t>
      </w:r>
      <w:r w:rsidR="00C4217D">
        <w:rPr>
          <w:rFonts w:cs="Tahoma"/>
          <w:szCs w:val="20"/>
        </w:rPr>
        <w:t xml:space="preserve"> a</w:t>
      </w:r>
      <w:r w:rsidRPr="0084218F">
        <w:rPr>
          <w:rFonts w:cs="Tahoma"/>
          <w:szCs w:val="20"/>
        </w:rPr>
        <w:t xml:space="preserve">, o pagamento das Debêntures da 2ª Emissão, abrangendo o Valor Nominal Unitário (conforme definido na Escritura da 2ª Emissão), Atualização Monetária (conforme definido na Escritura da 2ª Emissão) e Remuneração (conforme definido na Escritura da 2ª Emissão), bem como o ressarcimento de todo e qualquer custo, encargo, despesa ou importância que comprovadamente o Agente Fiduciário, agindo como representante e em benefício dos Debenturistas da 2ª Emissão, venha a desembolsar por conta da constituição e/ou aperfeiçoamento das Garantias (conforme definido na Escritura da 2ª Emissão), e todos e quaisquer outros pagamentos devidos pela Emissora no âmbito da Escritura da 2ª Emissão e dos Contratos de Garantia (conforme definido na Escritura da 2ª Emissão), incluindo o pagamento dos custos, comissões, encargos e despesas da Escritura da 2ª Emissão e a totalidade das obrigações acessórias, tais </w:t>
      </w:r>
      <w:r w:rsidRPr="0084218F">
        <w:rPr>
          <w:rFonts w:cs="Tahoma"/>
          <w:szCs w:val="20"/>
        </w:rPr>
        <w:lastRenderedPageBreak/>
        <w:t>como, mas não se limitando, a encargos moratórios, multas, penalidades, despesas, custas, honorários extrajudiciais ou arbitrados em juízo, indenizações decorrentes de decisões transitadas em julgado, comissões e demais encargos contratuais e legais previstos, bem como todo e qualquer custo ou despesa incorrido pelos Debenturistas da 2ª Emissão em decorrência de processos, procedimentos e/ou outras medidas judiciais ou extrajudiciais necessários à salvaguarda dos direitos e prerrogativas dos Debenturistas da 2ª Emissão e da execução de garantias prestadas e quaisquer outros acréscimos devidos ao Agente Fiduciário, decorrentes da Escritura da 2ª Emissão e dos Contratos de Garantia (conforme definidos na Escritura da 2ª Emissão), devidamente comprovados.</w:t>
      </w:r>
    </w:p>
    <w:p w14:paraId="698C612E" w14:textId="50DC4CEA" w:rsidR="00AA462B" w:rsidRPr="0084218F" w:rsidRDefault="00AA462B" w:rsidP="00C80414">
      <w:pPr>
        <w:pStyle w:val="Body2"/>
        <w:rPr>
          <w:rFonts w:cs="Tahoma"/>
          <w:szCs w:val="20"/>
        </w:rPr>
      </w:pPr>
      <w:r w:rsidRPr="0084218F">
        <w:rPr>
          <w:rFonts w:cs="Tahoma"/>
          <w:szCs w:val="20"/>
        </w:rPr>
        <w:t>“</w:t>
      </w:r>
      <w:r w:rsidRPr="0084218F">
        <w:rPr>
          <w:rFonts w:cs="Tahoma"/>
          <w:b/>
          <w:bCs/>
          <w:szCs w:val="20"/>
        </w:rPr>
        <w:t>Obrigações Garantidas</w:t>
      </w:r>
      <w:r w:rsidRPr="0084218F">
        <w:rPr>
          <w:rFonts w:cs="Tahoma"/>
          <w:szCs w:val="20"/>
        </w:rPr>
        <w:t>” significam as Obrigações Garantidas 1ª Emissão e as Obrigações Garantidas 2ª Emissão em conjunto.</w:t>
      </w:r>
    </w:p>
    <w:p w14:paraId="0E28AB01" w14:textId="1DE84F76" w:rsidR="00201511" w:rsidRPr="0084218F" w:rsidRDefault="00201511" w:rsidP="00C80414">
      <w:pPr>
        <w:pStyle w:val="Body2"/>
        <w:rPr>
          <w:rFonts w:cs="Tahoma"/>
        </w:rPr>
      </w:pPr>
      <w:r w:rsidRPr="0084218F">
        <w:rPr>
          <w:rFonts w:cs="Tahoma"/>
        </w:rPr>
        <w:t>“</w:t>
      </w:r>
      <w:r w:rsidRPr="0084218F">
        <w:rPr>
          <w:rFonts w:cs="Tahoma"/>
          <w:b/>
          <w:bCs/>
        </w:rPr>
        <w:t>Ônus</w:t>
      </w:r>
      <w:r w:rsidRPr="0084218F">
        <w:rPr>
          <w:rFonts w:cs="Tahoma"/>
        </w:rPr>
        <w:t>”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D6B1D1" w14:textId="03180785" w:rsidR="00201511" w:rsidRPr="0084218F" w:rsidRDefault="00201511" w:rsidP="00C80414">
      <w:pPr>
        <w:pStyle w:val="Body2"/>
        <w:rPr>
          <w:rFonts w:cs="Tahoma"/>
        </w:rPr>
      </w:pPr>
      <w:r w:rsidRPr="0084218F">
        <w:rPr>
          <w:rFonts w:cs="Tahoma"/>
        </w:rPr>
        <w:t>“</w:t>
      </w:r>
      <w:r w:rsidRPr="0084218F">
        <w:rPr>
          <w:rFonts w:cs="Tahoma"/>
          <w:b/>
          <w:bCs/>
        </w:rPr>
        <w:t>SPEs</w:t>
      </w:r>
      <w:r w:rsidRPr="0084218F">
        <w:rPr>
          <w:rFonts w:cs="Tahoma"/>
        </w:rPr>
        <w:t xml:space="preserve">” </w:t>
      </w:r>
      <w:r w:rsidRPr="00BE031C">
        <w:rPr>
          <w:rFonts w:cs="Tahoma"/>
        </w:rPr>
        <w:t xml:space="preserve">significa a </w:t>
      </w:r>
      <w:r w:rsidR="00E60731" w:rsidRPr="00307563">
        <w:rPr>
          <w:rFonts w:cs="Tahoma"/>
        </w:rPr>
        <w:t>FS Transmissora de Energia Elétrica S.A.</w:t>
      </w:r>
      <w:r w:rsidRPr="00BE031C">
        <w:rPr>
          <w:rFonts w:cs="Tahoma"/>
        </w:rPr>
        <w:t xml:space="preserve"> (</w:t>
      </w:r>
      <w:r w:rsidR="0013402B" w:rsidRPr="00BE031C">
        <w:rPr>
          <w:rFonts w:cs="Tahoma"/>
        </w:rPr>
        <w:t>CNPJ/ME</w:t>
      </w:r>
      <w:r w:rsidRPr="00BE031C">
        <w:rPr>
          <w:rFonts w:cs="Tahoma"/>
        </w:rPr>
        <w:t xml:space="preserve"> 31.318.293/0001-83), a </w:t>
      </w:r>
      <w:r w:rsidR="00E60731" w:rsidRPr="00307563">
        <w:rPr>
          <w:rFonts w:cs="Tahoma"/>
        </w:rPr>
        <w:t>Colinas Transmissora de Energia Elétrica S.A.</w:t>
      </w:r>
      <w:r w:rsidRPr="00BE031C">
        <w:rPr>
          <w:rFonts w:cs="Tahoma"/>
        </w:rPr>
        <w:t xml:space="preserve"> (</w:t>
      </w:r>
      <w:r w:rsidR="0013402B" w:rsidRPr="00BE031C">
        <w:rPr>
          <w:rFonts w:cs="Tahoma"/>
        </w:rPr>
        <w:t>CNPJ/ME</w:t>
      </w:r>
      <w:r w:rsidRPr="00BE031C">
        <w:rPr>
          <w:rFonts w:cs="Tahoma"/>
        </w:rPr>
        <w:t xml:space="preserve"> 31.326.856/0001-85) e a </w:t>
      </w:r>
      <w:r w:rsidR="00E60731" w:rsidRPr="00307563">
        <w:rPr>
          <w:rFonts w:cs="Tahoma"/>
        </w:rPr>
        <w:t>Simões Transmissora de Energia Elétrica S.A.</w:t>
      </w:r>
      <w:r w:rsidRPr="00BE031C">
        <w:rPr>
          <w:rFonts w:cs="Tahoma"/>
        </w:rPr>
        <w:t xml:space="preserve"> (</w:t>
      </w:r>
      <w:r w:rsidR="0013402B" w:rsidRPr="00BE031C">
        <w:rPr>
          <w:rFonts w:cs="Tahoma"/>
        </w:rPr>
        <w:t>CNPJ/ME</w:t>
      </w:r>
      <w:r w:rsidRPr="00BE031C">
        <w:rPr>
          <w:rFonts w:cs="Tahoma"/>
        </w:rPr>
        <w:t xml:space="preserve"> 31.326.865</w:t>
      </w:r>
      <w:r w:rsidRPr="0084218F">
        <w:rPr>
          <w:rFonts w:cs="Tahoma"/>
        </w:rPr>
        <w:t>/0001-76).</w:t>
      </w:r>
      <w:r w:rsidR="00C4217D">
        <w:rPr>
          <w:rFonts w:cs="Tahoma"/>
        </w:rPr>
        <w:t xml:space="preserve"> </w:t>
      </w:r>
    </w:p>
    <w:p w14:paraId="3ADC36A8" w14:textId="77777777" w:rsidR="00201511" w:rsidRPr="0084218F" w:rsidRDefault="00201511" w:rsidP="00C80414">
      <w:pPr>
        <w:pStyle w:val="Level2"/>
      </w:pPr>
      <w:bookmarkStart w:id="28" w:name="_DV_M56"/>
      <w:bookmarkEnd w:id="28"/>
      <w:r w:rsidRPr="0084218F">
        <w:t>Quando iniciados em letras maiúsculas, os termos e expressões deste Contrato terão os significados aqui atribuídos, sem prejuízo de outros termos e expressões definidos na Escritura ou, ainda, na legislação aplicável. Os termos e expressões aqui definidos manterão seu significado independentemente do seu uso no singular ou no plural, ou no gênero masculino ou feminino, conforme o caso. Os títulos atribuídos às Cláusulas deste Contrato servem apenas como referência e não devem ser considerados para efeitos de interpretação das disposições ali contidas.</w:t>
      </w:r>
    </w:p>
    <w:p w14:paraId="31BDCFA6" w14:textId="5603F05B" w:rsidR="00201511" w:rsidRPr="0084218F" w:rsidRDefault="00201511" w:rsidP="00C80414">
      <w:pPr>
        <w:pStyle w:val="Level2"/>
      </w:pPr>
      <w:bookmarkStart w:id="29" w:name="_Hlk1507560"/>
      <w:r w:rsidRPr="0084218F">
        <w:t>Sem prejuízo das definições estabelecidas nas Cláusula 1.1 e 1.2, os termos iniciados por letra maiúscula utilizados neste Contrato que não estiverem aqui definidos têm o significado que lhes foi atribuído na</w:t>
      </w:r>
      <w:r w:rsidR="007668FB" w:rsidRPr="0084218F">
        <w:t>s</w:t>
      </w:r>
      <w:r w:rsidRPr="0084218F">
        <w:t xml:space="preserve"> Escritura</w:t>
      </w:r>
      <w:r w:rsidR="007668FB" w:rsidRPr="0084218F">
        <w:t>s de Emissão</w:t>
      </w:r>
      <w:r w:rsidRPr="0084218F">
        <w:t xml:space="preserve">, </w:t>
      </w:r>
      <w:r w:rsidR="007668FB" w:rsidRPr="0084218F">
        <w:t>que são</w:t>
      </w:r>
      <w:r w:rsidRPr="0084218F">
        <w:t xml:space="preserve"> parte integrante, complementar e inseparável deste Contrato.</w:t>
      </w:r>
      <w:bookmarkStart w:id="30" w:name="_DV_M35"/>
      <w:bookmarkEnd w:id="30"/>
    </w:p>
    <w:bookmarkEnd w:id="29"/>
    <w:p w14:paraId="32FB2D94" w14:textId="77777777" w:rsidR="00201511" w:rsidRPr="00C80414" w:rsidRDefault="00201511" w:rsidP="00C80414">
      <w:pPr>
        <w:pStyle w:val="Level1"/>
        <w:numPr>
          <w:ilvl w:val="0"/>
          <w:numId w:val="216"/>
        </w:numPr>
        <w:rPr>
          <w:b/>
          <w:bCs/>
        </w:rPr>
      </w:pPr>
      <w:r w:rsidRPr="00C80414">
        <w:rPr>
          <w:b/>
          <w:bCs/>
        </w:rPr>
        <w:t>ALIENAÇÃO FIDUCIÁRIA</w:t>
      </w:r>
    </w:p>
    <w:p w14:paraId="7649CEDC" w14:textId="64351032" w:rsidR="00795F8D" w:rsidRPr="0084218F" w:rsidRDefault="002E0FEC" w:rsidP="00C80414">
      <w:pPr>
        <w:pStyle w:val="Level2"/>
      </w:pPr>
      <w:r w:rsidRPr="0084218F">
        <w:t xml:space="preserve">Em garantia do fiel pagamento e/ou cumprimento de todas as </w:t>
      </w:r>
      <w:r w:rsidR="002E066B" w:rsidRPr="0084218F">
        <w:t>Obrigações Garantidas</w:t>
      </w:r>
      <w:r w:rsidRPr="0084218F">
        <w:t xml:space="preserve">, pelo presente, </w:t>
      </w:r>
      <w:r w:rsidR="0030584D" w:rsidRPr="0084218F">
        <w:t>a Alienante</w:t>
      </w:r>
      <w:r w:rsidRPr="0084218F">
        <w:t xml:space="preserve"> aliena fiduciariamente aos Debenturistas, em caráter irrevogável e irretratável, nos termos do artigo 66-B da Lei n.º 4.728, de 14 de julho de 1965, com redação dada pelo artigo 55 da Lei n.º 10.931, de 2 de agosto de 2004, do Decreto Lei n.º 911, de 1º de outubro de 1969, e do artigo 40 da Lei n.º 6.404, de 15 de dezembro de 1976, conforme em vigor e, no que for aplicável, dos artigos 1.361 e seguintes do Código Civil Brasileiro, a </w:t>
      </w:r>
      <w:r w:rsidRPr="0084218F">
        <w:lastRenderedPageBreak/>
        <w:t>propriedade fiduciária, o domínio resolúvel e a posse indireta dos direitos sobre os seguintes ativos (“</w:t>
      </w:r>
      <w:r w:rsidRPr="0084218F">
        <w:rPr>
          <w:b/>
          <w:bCs/>
        </w:rPr>
        <w:t>Alienação Fiduciária</w:t>
      </w:r>
      <w:r w:rsidRPr="0084218F">
        <w:t>”): (a) as Ações Alienadas; (b) os Outros Direitos; (c) os Direitos Econômicos; e (d) todos os certificados, cautelas e outros documentos relativos às Ações Alienadas e aos Outros Direitos (as Ações Alienadas, os Outros Direitos, em conjunto com os Direitos Econômicos e com os documentos citados na letra (d) acima, doravante denominados "</w:t>
      </w:r>
      <w:r w:rsidRPr="0084218F">
        <w:rPr>
          <w:b/>
          <w:bCs/>
        </w:rPr>
        <w:t>Direitos de Participação Alienados Fiduciariamente</w:t>
      </w:r>
      <w:r w:rsidRPr="0084218F">
        <w:t>")</w:t>
      </w:r>
      <w:r w:rsidR="00D809FB" w:rsidRPr="0084218F">
        <w:t>, observado ainda que os Direitos de Participação da Alienados Fiduciariamente</w:t>
      </w:r>
      <w:r w:rsidR="00D809FB" w:rsidRPr="0084218F" w:rsidDel="00D82F1C">
        <w:t xml:space="preserve"> </w:t>
      </w:r>
      <w:r w:rsidR="00D809FB" w:rsidRPr="0084218F">
        <w:t>serão compartilhados entre as Emissões, sem igualdade de condições em relação às Debêntures, sendo as Debêntures da 1ª Emissão subordinadas às Debêntures da 2ª Emissão para fins da garantia, de modo que, caso os Direitos de Participação da Alienados Fiduciariamente</w:t>
      </w:r>
      <w:r w:rsidR="00D809FB" w:rsidRPr="0084218F" w:rsidDel="00D82F1C">
        <w:t xml:space="preserve"> </w:t>
      </w:r>
      <w:r w:rsidR="00D809FB" w:rsidRPr="0084218F">
        <w:t>venham a ser excutidos, o produto de tal excussão será utilizado prioritariamente à quitação das obrigações garantidas referentes às Debêntures da 2ª Emissão e, após quitação integral das Obrigações Garantidas referente às Debêntures da 2ª Emissão, o produto de tal excussão será utilizado para a quitação das obrigações garantidas referentes às Debêntures da 1ª Emissão</w:t>
      </w:r>
      <w:r w:rsidR="003B0EB6" w:rsidRPr="0084218F">
        <w:t>.</w:t>
      </w:r>
    </w:p>
    <w:p w14:paraId="6738EC15" w14:textId="7D9D1D7B" w:rsidR="00201511" w:rsidRPr="009B2F7B" w:rsidRDefault="00201511" w:rsidP="00C80414">
      <w:pPr>
        <w:pStyle w:val="Level3"/>
        <w:rPr>
          <w:color w:val="000000"/>
        </w:rPr>
      </w:pPr>
      <w:r w:rsidRPr="0084218F">
        <w:t xml:space="preserve">Para fins da legislação aplicável, as principais características das Obrigações Garantidas estão descritas no </w:t>
      </w:r>
      <w:r w:rsidRPr="0084218F">
        <w:rPr>
          <w:u w:val="single"/>
        </w:rPr>
        <w:t>Anexo I</w:t>
      </w:r>
      <w:r w:rsidRPr="0084218F">
        <w:t xml:space="preserve"> ao presente Contrato. As demais características das Obrigações Garantidas estão descritas nos </w:t>
      </w:r>
      <w:r w:rsidR="00C802F2" w:rsidRPr="0084218F">
        <w:t xml:space="preserve">respectivos </w:t>
      </w:r>
      <w:r w:rsidRPr="0084218F">
        <w:t xml:space="preserve">Documentos da Operação, cujas cláusulas e condições as Partes declaram expressamente conhecer e com elas concordar. A descrição ora oferecida das Obrigações Garantidas, conforme previstas e caracterizadas no </w:t>
      </w:r>
      <w:r w:rsidRPr="0084218F">
        <w:rPr>
          <w:u w:val="single"/>
        </w:rPr>
        <w:t>Anexo I</w:t>
      </w:r>
      <w:r w:rsidRPr="0084218F">
        <w:t xml:space="preserve"> deste Contrato visa meramente a atender critérios legais e não restringe ou modifica os direitos do</w:t>
      </w:r>
      <w:r w:rsidR="00ED5CF8" w:rsidRPr="0084218F">
        <w:t>s</w:t>
      </w:r>
      <w:r w:rsidRPr="0084218F">
        <w:t xml:space="preserve"> </w:t>
      </w:r>
      <w:r w:rsidR="00ED5CF8" w:rsidRPr="0084218F">
        <w:t>Debenturistas</w:t>
      </w:r>
      <w:r w:rsidRPr="0084218F">
        <w:t xml:space="preserve"> no âmbito dos </w:t>
      </w:r>
      <w:r w:rsidR="00C802F2" w:rsidRPr="0084218F">
        <w:t xml:space="preserve">respectivos </w:t>
      </w:r>
      <w:r w:rsidRPr="0084218F">
        <w:t>Documentos da Operação.</w:t>
      </w:r>
    </w:p>
    <w:p w14:paraId="0F80F3D8" w14:textId="6F5CDE6A" w:rsidR="006B18A9" w:rsidRPr="0084218F" w:rsidRDefault="00811A77" w:rsidP="00C80414">
      <w:pPr>
        <w:pStyle w:val="Level3"/>
        <w:rPr>
          <w:rFonts w:cs="Tahoma"/>
          <w:color w:val="000000"/>
          <w:szCs w:val="20"/>
        </w:rPr>
      </w:pPr>
      <w:r w:rsidRPr="004F3827">
        <w:t xml:space="preserve">Exclusivamente para fins </w:t>
      </w:r>
      <w:r>
        <w:t>de verificação pelo Agente Fiduciário</w:t>
      </w:r>
      <w:r w:rsidRPr="004F3827">
        <w:t xml:space="preserve"> as Partes atribuem às </w:t>
      </w:r>
      <w:r>
        <w:t>Ações</w:t>
      </w:r>
      <w:r w:rsidRPr="004F3827">
        <w:t xml:space="preserve"> o valor </w:t>
      </w:r>
      <w:r>
        <w:t>de R$10.700.000,00 (dez milhões e setecentos mil reais)</w:t>
      </w:r>
      <w:r w:rsidRPr="004F3827">
        <w:t xml:space="preserve">, com base </w:t>
      </w:r>
      <w:r>
        <w:t xml:space="preserve">no seu valor nominal, as quais representam </w:t>
      </w:r>
      <w:r w:rsidR="001B4D18">
        <w:t>9,70</w:t>
      </w:r>
      <w:r>
        <w:t>% (</w:t>
      </w:r>
      <w:r w:rsidR="001B4D18">
        <w:t>nove inteiros e setenta centésimos por cento</w:t>
      </w:r>
      <w:r>
        <w:t>) do valor total das Debêntures da 1ª Emissão e 7,04% (sete inteiros e quatro centésimos por cento) do valor total das Debêntures da 2ª Emissão</w:t>
      </w:r>
      <w:r w:rsidR="006B18A9">
        <w:t>.</w:t>
      </w:r>
      <w:r w:rsidR="00315DEE">
        <w:t xml:space="preserve"> </w:t>
      </w:r>
    </w:p>
    <w:p w14:paraId="780BA15D" w14:textId="2C609A81" w:rsidR="00201511" w:rsidRPr="0084218F" w:rsidRDefault="00201511" w:rsidP="00C80414">
      <w:pPr>
        <w:pStyle w:val="Level2"/>
      </w:pPr>
      <w:r w:rsidRPr="0084218F">
        <w:t>Em decorrência da presente Alienação Fiduciária e durante todo o prazo do presente Contrato, os Direitos de Participação Alienados Fiduciariamente serão de única e exclusiva propriedade resolúvel do</w:t>
      </w:r>
      <w:r w:rsidR="00ED5CF8" w:rsidRPr="0084218F">
        <w:t>s</w:t>
      </w:r>
      <w:r w:rsidRPr="0084218F">
        <w:t xml:space="preserve"> </w:t>
      </w:r>
      <w:r w:rsidR="00ED5CF8" w:rsidRPr="0084218F">
        <w:t>Debenturistas</w:t>
      </w:r>
      <w:r w:rsidRPr="0084218F">
        <w:t>, independentemente de qualquer aditamento ao presente Contrato.</w:t>
      </w:r>
    </w:p>
    <w:p w14:paraId="6768CF31" w14:textId="42520071" w:rsidR="00201511" w:rsidRPr="0084218F" w:rsidRDefault="0030584D" w:rsidP="00C80414">
      <w:pPr>
        <w:pStyle w:val="Level2"/>
        <w:rPr>
          <w:color w:val="000000"/>
        </w:rPr>
      </w:pPr>
      <w:r w:rsidRPr="0084218F">
        <w:rPr>
          <w:color w:val="000000"/>
        </w:rPr>
        <w:t>A Alienante</w:t>
      </w:r>
      <w:r w:rsidR="00201511" w:rsidRPr="0084218F">
        <w:rPr>
          <w:color w:val="000000"/>
        </w:rPr>
        <w:t xml:space="preserve"> far</w:t>
      </w:r>
      <w:r w:rsidR="008E07B6" w:rsidRPr="0084218F">
        <w:rPr>
          <w:color w:val="000000"/>
        </w:rPr>
        <w:t>á</w:t>
      </w:r>
      <w:r w:rsidR="00201511" w:rsidRPr="0084218F">
        <w:rPr>
          <w:color w:val="000000"/>
        </w:rPr>
        <w:t xml:space="preserve"> com que as Ações Alienadas representem sempre, até o pagamento integral das Obrigações Garantidas, </w:t>
      </w:r>
      <w:r w:rsidR="00201511" w:rsidRPr="0084218F">
        <w:t>100% (cem por cento) do capital social votante e total da Emissora, bem como fará com que os Outros Direitos representem sempre 100% (cem por cento) da participação total em Outros Direitos</w:t>
      </w:r>
      <w:r w:rsidR="00201511" w:rsidRPr="0084218F">
        <w:rPr>
          <w:color w:val="000000"/>
        </w:rPr>
        <w:t xml:space="preserve"> ("</w:t>
      </w:r>
      <w:r w:rsidR="00201511" w:rsidRPr="0084218F">
        <w:rPr>
          <w:b/>
          <w:bCs/>
          <w:color w:val="000000"/>
        </w:rPr>
        <w:t>Percentual Obrigatório</w:t>
      </w:r>
      <w:r w:rsidR="00201511" w:rsidRPr="0084218F">
        <w:rPr>
          <w:color w:val="000000"/>
        </w:rPr>
        <w:t>”).</w:t>
      </w:r>
    </w:p>
    <w:p w14:paraId="78064965" w14:textId="492F9EFC" w:rsidR="00201511" w:rsidRPr="0084218F" w:rsidRDefault="00201511" w:rsidP="00C80414">
      <w:pPr>
        <w:pStyle w:val="Level3"/>
        <w:rPr>
          <w:color w:val="000000"/>
        </w:rPr>
      </w:pPr>
      <w:bookmarkStart w:id="31" w:name="_Hlk71570579"/>
      <w:r w:rsidRPr="0084218F">
        <w:t xml:space="preserve">Para os fins do disposto na Cláusula 2.3, </w:t>
      </w:r>
      <w:r w:rsidR="0030584D" w:rsidRPr="0084218F">
        <w:t>a Alienante</w:t>
      </w:r>
      <w:r w:rsidRPr="0084218F">
        <w:t>, no prazo de 5 (cinco</w:t>
      </w:r>
      <w:r w:rsidR="00C4217D">
        <w:t>/quinze</w:t>
      </w:r>
      <w:r w:rsidRPr="0084218F">
        <w:t>) Dias Úteis contados da subscrição ou aquisição de quaisquer Ações Adicionais, tomar</w:t>
      </w:r>
      <w:r w:rsidR="0030584D" w:rsidRPr="0084218F">
        <w:t>á</w:t>
      </w:r>
      <w:r w:rsidRPr="0084218F">
        <w:t xml:space="preserve"> todas e quaisquer providências necessárias, ou que vierem a ser solicitadas razoavelmente pelo</w:t>
      </w:r>
      <w:r w:rsidR="00ED5CF8" w:rsidRPr="0084218F">
        <w:t>s</w:t>
      </w:r>
      <w:r w:rsidRPr="0084218F">
        <w:t xml:space="preserve"> </w:t>
      </w:r>
      <w:r w:rsidR="00ED5CF8" w:rsidRPr="0084218F">
        <w:t>Debenturistas</w:t>
      </w:r>
      <w:r w:rsidRPr="0084218F">
        <w:t>, para a criação e o aperfeiçoamento da garantia sobre tais Ações Adicionais, incluindo as averbações e registros descritos nas Cláusulas 3.1 e 3.2 e a celebração de um aditamento a este Contrato, a qual celebração será considerada, para todos os fins e efeitos, como meramente declaratória do ônus já constituído nos termos deste Contrato.</w:t>
      </w:r>
    </w:p>
    <w:p w14:paraId="7AAC3DE6" w14:textId="6D33ED51" w:rsidR="00201511" w:rsidRPr="0084218F" w:rsidRDefault="0030584D" w:rsidP="00C80414">
      <w:pPr>
        <w:pStyle w:val="Level2"/>
        <w:rPr>
          <w:color w:val="000000"/>
        </w:rPr>
      </w:pPr>
      <w:bookmarkStart w:id="32" w:name="_Hlk71570693"/>
      <w:bookmarkEnd w:id="31"/>
      <w:r w:rsidRPr="0084218F">
        <w:rPr>
          <w:w w:val="0"/>
        </w:rPr>
        <w:lastRenderedPageBreak/>
        <w:t>A Alienante não poderá</w:t>
      </w:r>
      <w:r w:rsidR="00201511" w:rsidRPr="0084218F">
        <w:rPr>
          <w:w w:val="0"/>
        </w:rPr>
        <w:t xml:space="preserve"> vender, permutar, transferir, onerar ou de qualquer outro modo alienar os Direitos de Participação Alienados Fiduciariamente (inclusive mediante a realização de operações societárias ou outros ajustes que gerem o mesmo efeito) </w:t>
      </w:r>
      <w:r w:rsidR="00201511" w:rsidRPr="0084218F">
        <w:rPr>
          <w:color w:val="000000"/>
          <w:w w:val="0"/>
        </w:rPr>
        <w:t>sem prévia e expressa autorização do</w:t>
      </w:r>
      <w:r w:rsidR="00ED5CF8" w:rsidRPr="0084218F">
        <w:rPr>
          <w:color w:val="000000"/>
          <w:w w:val="0"/>
        </w:rPr>
        <w:t>s Debenturistas.</w:t>
      </w:r>
      <w:bookmarkEnd w:id="32"/>
    </w:p>
    <w:p w14:paraId="0379AE43" w14:textId="5E94AADB" w:rsidR="00201511" w:rsidRPr="0084218F" w:rsidRDefault="00201511" w:rsidP="00C80414">
      <w:pPr>
        <w:pStyle w:val="Level2"/>
      </w:pPr>
      <w:bookmarkStart w:id="33" w:name="_Hlk1501793"/>
      <w:bookmarkStart w:id="34" w:name="_Hlk1501577"/>
      <w:bookmarkStart w:id="35" w:name="_Hlk1508186"/>
      <w:r w:rsidRPr="0084218F">
        <w:t xml:space="preserve">Na hipótese de os Direitos de Participação Alienados Fiduciariamente virem a ser, no todo ou em parte, objeto de penhora, sequestro, arresto, arrolamento, execução ou qualquer medida judicial ou administrativa de efeito similar, a qualquer tempo durante a vigência deste Contrato, </w:t>
      </w:r>
      <w:r w:rsidR="0030584D" w:rsidRPr="0084218F">
        <w:t>a Alienante</w:t>
      </w:r>
      <w:r w:rsidRPr="0084218F">
        <w:t xml:space="preserve"> e/ou a Emissora, conforme o caso, promoverá a substituição, recomposição, reforço, complemento ou suplemento da garantia, em condições aceitáveis ao</w:t>
      </w:r>
      <w:r w:rsidR="00023874" w:rsidRPr="0084218F">
        <w:t>s</w:t>
      </w:r>
      <w:r w:rsidRPr="0084218F">
        <w:t xml:space="preserve"> </w:t>
      </w:r>
      <w:r w:rsidR="00023874" w:rsidRPr="0084218F">
        <w:t>Debenturistas</w:t>
      </w:r>
      <w:r w:rsidRPr="0084218F">
        <w:t xml:space="preserve">, de modo a recompor integralmente a garantia </w:t>
      </w:r>
      <w:bookmarkEnd w:id="33"/>
      <w:r w:rsidRPr="0084218F">
        <w:t>(o "</w:t>
      </w:r>
      <w:r w:rsidRPr="0084218F">
        <w:rPr>
          <w:b/>
          <w:bCs/>
        </w:rPr>
        <w:t>Reforço de Garantia</w:t>
      </w:r>
      <w:r w:rsidRPr="0084218F">
        <w:t xml:space="preserve">"), devendo </w:t>
      </w:r>
      <w:r w:rsidR="0030584D" w:rsidRPr="0084218F">
        <w:t>a Alienante</w:t>
      </w:r>
      <w:r w:rsidRPr="0084218F">
        <w:t xml:space="preserve"> e/ou Emissora notificar o</w:t>
      </w:r>
      <w:r w:rsidR="00023874" w:rsidRPr="0084218F">
        <w:t>s</w:t>
      </w:r>
      <w:r w:rsidRPr="0084218F">
        <w:t xml:space="preserve"> </w:t>
      </w:r>
      <w:r w:rsidR="00023874" w:rsidRPr="0084218F">
        <w:t>Debenturistas</w:t>
      </w:r>
      <w:r w:rsidRPr="0084218F">
        <w:t xml:space="preserve"> da referida medida ou insuficiência dentro de 5 (cinco) Dias Úteis da medida administrativa ou judicial ou da insuficiência. O Reforço de Garantia deverá ser implementado no prazo de 10 (dez) Dias Úteis da anuência prévia do</w:t>
      </w:r>
      <w:r w:rsidR="00023874" w:rsidRPr="0084218F">
        <w:t>s</w:t>
      </w:r>
      <w:r w:rsidRPr="0084218F">
        <w:t xml:space="preserve"> </w:t>
      </w:r>
      <w:bookmarkEnd w:id="34"/>
      <w:r w:rsidR="00023874" w:rsidRPr="0084218F">
        <w:t>Debenturistas</w:t>
      </w:r>
      <w:r w:rsidRPr="0084218F">
        <w:t>.</w:t>
      </w:r>
      <w:bookmarkStart w:id="36" w:name="_DV_M137"/>
      <w:bookmarkStart w:id="37" w:name="_DV_M143"/>
      <w:bookmarkStart w:id="38" w:name="_DV_M152"/>
      <w:bookmarkStart w:id="39" w:name="_DV_M156"/>
      <w:bookmarkStart w:id="40" w:name="_DV_M158"/>
      <w:bookmarkStart w:id="41" w:name="_DV_M161"/>
      <w:bookmarkStart w:id="42" w:name="_DV_M164"/>
      <w:bookmarkStart w:id="43" w:name="_DV_M166"/>
      <w:bookmarkStart w:id="44" w:name="_DV_M167"/>
      <w:bookmarkStart w:id="45" w:name="_DV_M173"/>
      <w:bookmarkStart w:id="46" w:name="_DV_M174"/>
      <w:bookmarkStart w:id="47" w:name="_DV_M176"/>
      <w:bookmarkEnd w:id="36"/>
      <w:bookmarkEnd w:id="37"/>
      <w:bookmarkEnd w:id="38"/>
      <w:bookmarkEnd w:id="39"/>
      <w:bookmarkEnd w:id="40"/>
      <w:bookmarkEnd w:id="41"/>
      <w:bookmarkEnd w:id="42"/>
      <w:bookmarkEnd w:id="43"/>
      <w:bookmarkEnd w:id="44"/>
      <w:bookmarkEnd w:id="45"/>
      <w:bookmarkEnd w:id="46"/>
      <w:bookmarkEnd w:id="47"/>
    </w:p>
    <w:bookmarkEnd w:id="35"/>
    <w:p w14:paraId="3251A38F" w14:textId="33CECE91" w:rsidR="00201511" w:rsidRPr="0084218F" w:rsidRDefault="00201511" w:rsidP="00C80414">
      <w:pPr>
        <w:pStyle w:val="Level2"/>
      </w:pPr>
      <w:r w:rsidRPr="0084218F">
        <w:t xml:space="preserve">Até a quitação integral das Obrigações Garantidas, </w:t>
      </w:r>
      <w:r w:rsidR="0030584D" w:rsidRPr="0084218F">
        <w:t>a Alienante</w:t>
      </w:r>
      <w:r w:rsidRPr="0084218F">
        <w:t xml:space="preserve"> </w:t>
      </w:r>
      <w:r w:rsidR="0066289A" w:rsidRPr="0084218F">
        <w:t xml:space="preserve">adotará </w:t>
      </w:r>
      <w:r w:rsidRPr="0084218F">
        <w:t>todas as medidas e providências necessárias a manter a prioridade absoluta dos direitos do</w:t>
      </w:r>
      <w:r w:rsidR="00023874" w:rsidRPr="0084218F">
        <w:t>s Debenturistas</w:t>
      </w:r>
      <w:r w:rsidRPr="0084218F">
        <w:t xml:space="preserve"> sobre os Direitos de Participação Alienados Fiduciariamente. </w:t>
      </w:r>
    </w:p>
    <w:p w14:paraId="7000AF6B" w14:textId="6F90B537" w:rsidR="00201511" w:rsidRPr="0084218F" w:rsidRDefault="00201511" w:rsidP="00C80414">
      <w:pPr>
        <w:pStyle w:val="Level2"/>
      </w:pPr>
      <w:r w:rsidRPr="0084218F">
        <w:rPr>
          <w:color w:val="000000"/>
        </w:rPr>
        <w:t xml:space="preserve">Na </w:t>
      </w:r>
      <w:r w:rsidRPr="0084218F">
        <w:t>hipótese de qualquer Obrigação Garantida deixar de ser cumprida pontual, integral e fielmente pel</w:t>
      </w:r>
      <w:r w:rsidR="0030584D" w:rsidRPr="0084218F">
        <w:t>a Alienante</w:t>
      </w:r>
      <w:r w:rsidRPr="0084218F">
        <w:t xml:space="preserve"> e/ou pela Emissora, conforme o caso, ou na hipótese de vencimento antecipado das Debêntures</w:t>
      </w:r>
      <w:r w:rsidR="001618FE" w:rsidRPr="001618FE">
        <w:t xml:space="preserve"> </w:t>
      </w:r>
      <w:r w:rsidR="001618FE">
        <w:t>da 1ª Emissão ou das Debêntures da 2ª Emissão</w:t>
      </w:r>
      <w:r w:rsidRPr="0084218F">
        <w:t xml:space="preserve">, </w:t>
      </w:r>
      <w:r w:rsidRPr="0084218F">
        <w:rPr>
          <w:rStyle w:val="DeltaViewDeletion"/>
          <w:rFonts w:eastAsia="Arial Unicode MS" w:cs="Tahoma"/>
          <w:strike w:val="0"/>
          <w:color w:val="auto"/>
          <w:szCs w:val="20"/>
        </w:rPr>
        <w:t>o</w:t>
      </w:r>
      <w:r w:rsidR="00023874" w:rsidRPr="0084218F">
        <w:rPr>
          <w:rStyle w:val="DeltaViewDeletion"/>
          <w:rFonts w:eastAsia="Arial Unicode MS" w:cs="Tahoma"/>
          <w:strike w:val="0"/>
          <w:color w:val="auto"/>
          <w:szCs w:val="20"/>
        </w:rPr>
        <w:t>s Debenturistas</w:t>
      </w:r>
      <w:r w:rsidRPr="0084218F">
        <w:rPr>
          <w:rStyle w:val="DeltaViewDeletion"/>
          <w:rFonts w:eastAsia="Arial Unicode MS" w:cs="Tahoma"/>
          <w:strike w:val="0"/>
          <w:color w:val="auto"/>
          <w:szCs w:val="20"/>
        </w:rPr>
        <w:t xml:space="preserve">, sem prejuízo de qualquer outro direito decorrente dos </w:t>
      </w:r>
      <w:r w:rsidR="00C802F2" w:rsidRPr="0084218F">
        <w:rPr>
          <w:rStyle w:val="DeltaViewDeletion"/>
          <w:rFonts w:eastAsia="Arial Unicode MS" w:cs="Tahoma"/>
          <w:strike w:val="0"/>
          <w:color w:val="auto"/>
          <w:szCs w:val="20"/>
        </w:rPr>
        <w:t xml:space="preserve">respectivos </w:t>
      </w:r>
      <w:r w:rsidRPr="0084218F">
        <w:t>Documentos da Operação</w:t>
      </w:r>
      <w:r w:rsidRPr="0084218F">
        <w:rPr>
          <w:color w:val="000000"/>
        </w:rPr>
        <w:t>, poder</w:t>
      </w:r>
      <w:r w:rsidR="00023874" w:rsidRPr="0084218F">
        <w:rPr>
          <w:color w:val="000000"/>
        </w:rPr>
        <w:t>ão</w:t>
      </w:r>
      <w:r w:rsidRPr="0084218F">
        <w:rPr>
          <w:color w:val="000000"/>
        </w:rPr>
        <w:t>, a seu critério, exercer os direitos e prerrogativas decorrentes da</w:t>
      </w:r>
      <w:r w:rsidR="00023874" w:rsidRPr="0084218F">
        <w:rPr>
          <w:color w:val="000000"/>
        </w:rPr>
        <w:t>s</w:t>
      </w:r>
      <w:r w:rsidRPr="0084218F">
        <w:rPr>
          <w:color w:val="000000"/>
        </w:rPr>
        <w:t xml:space="preserve"> Escritura</w:t>
      </w:r>
      <w:r w:rsidR="00023874" w:rsidRPr="0084218F">
        <w:rPr>
          <w:color w:val="000000"/>
        </w:rPr>
        <w:t>s de Emissão</w:t>
      </w:r>
      <w:r w:rsidRPr="0084218F">
        <w:rPr>
          <w:color w:val="000000"/>
        </w:rPr>
        <w:t xml:space="preserve">, </w:t>
      </w:r>
      <w:r w:rsidR="00023874" w:rsidRPr="0084218F">
        <w:rPr>
          <w:color w:val="000000"/>
        </w:rPr>
        <w:t xml:space="preserve">conforme aplicável, </w:t>
      </w:r>
      <w:r w:rsidRPr="0084218F">
        <w:rPr>
          <w:color w:val="000000"/>
        </w:rPr>
        <w:t xml:space="preserve">deste Contrato ou de lei, em especial a propriedade plena e a posse direta dos Direitos de Participação Alienados Fiduciariamente, para realizar </w:t>
      </w:r>
      <w:r w:rsidRPr="0084218F">
        <w:t>as garantias objeto do presente Contrato</w:t>
      </w:r>
      <w:r w:rsidR="00754753" w:rsidRPr="0084218F">
        <w:t xml:space="preserve">, </w:t>
      </w:r>
      <w:r w:rsidR="00754753" w:rsidRPr="0084218F">
        <w:rPr>
          <w:color w:val="000000"/>
        </w:rPr>
        <w:t xml:space="preserve">observado que os </w:t>
      </w:r>
      <w:r w:rsidR="00754753" w:rsidRPr="0084218F">
        <w:t>Direitos de Participação da Alienados Fiduciariamente</w:t>
      </w:r>
      <w:r w:rsidR="00754753" w:rsidRPr="0084218F" w:rsidDel="00D82F1C">
        <w:t xml:space="preserve"> </w:t>
      </w:r>
      <w:r w:rsidR="00754753" w:rsidRPr="0084218F">
        <w:t>são compartilhados entre as Emissões, sem igualdade de condições em relação às Debêntures, sendo as Debêntures da 1ª Emissão subordinadas às Debêntures da 2ª Emissão para fins da garantia, de modo que, caso os Direitos de Participação da Alienados Fiduciariamente</w:t>
      </w:r>
      <w:r w:rsidR="00754753" w:rsidRPr="0084218F" w:rsidDel="00D82F1C">
        <w:t xml:space="preserve"> </w:t>
      </w:r>
      <w:r w:rsidR="00754753" w:rsidRPr="0084218F">
        <w:t>venham a ser excutidos, o produto de tal excussão será utilizado prioritariamente à quitação das obrigações garantidas referentes às Debêntures da 2ª Emissão e, após quitação integral das Obrigações Garantidas referente às Debêntures da 2ª Emissão, o produto de tal excussão será utilizado para a quitação das obrigações garantidas referentes às Debêntures da 1ª Emissão</w:t>
      </w:r>
      <w:r w:rsidRPr="0084218F">
        <w:rPr>
          <w:color w:val="000000"/>
        </w:rPr>
        <w:t>.</w:t>
      </w:r>
    </w:p>
    <w:p w14:paraId="4253145E" w14:textId="77777777" w:rsidR="00201511" w:rsidRPr="00C80414" w:rsidRDefault="00201511" w:rsidP="00C80414">
      <w:pPr>
        <w:pStyle w:val="Level1"/>
        <w:numPr>
          <w:ilvl w:val="0"/>
          <w:numId w:val="216"/>
        </w:numPr>
        <w:rPr>
          <w:b/>
          <w:bCs/>
        </w:rPr>
      </w:pPr>
      <w:r w:rsidRPr="00C80414">
        <w:rPr>
          <w:b/>
          <w:bCs/>
        </w:rPr>
        <w:t>REGISTRO DA ALIENAÇÃO FIDUCIÁRIA</w:t>
      </w:r>
    </w:p>
    <w:p w14:paraId="476EAE5A" w14:textId="2FEAAE86" w:rsidR="00201511" w:rsidRPr="0084218F" w:rsidRDefault="0030584D" w:rsidP="00C80414">
      <w:pPr>
        <w:pStyle w:val="Level2"/>
      </w:pPr>
      <w:r w:rsidRPr="0084218F">
        <w:rPr>
          <w:color w:val="000000"/>
        </w:rPr>
        <w:t>A Alienante</w:t>
      </w:r>
      <w:r w:rsidR="00201511" w:rsidRPr="0084218F">
        <w:rPr>
          <w:color w:val="000000"/>
        </w:rPr>
        <w:t xml:space="preserve"> </w:t>
      </w:r>
      <w:r w:rsidR="00201511" w:rsidRPr="0084218F">
        <w:t>dever</w:t>
      </w:r>
      <w:r w:rsidR="008E07B6" w:rsidRPr="0084218F">
        <w:t>á</w:t>
      </w:r>
      <w:r w:rsidR="00201511" w:rsidRPr="0084218F">
        <w:t xml:space="preserve"> (i) protocolar este Contrato e seus eventuais aditamentos para registro no Cartório de Títulos e </w:t>
      </w:r>
      <w:r w:rsidR="00201511" w:rsidRPr="0084218F">
        <w:rPr>
          <w:color w:val="000000"/>
        </w:rPr>
        <w:t>Documentos da comarca de São Paulo</w:t>
      </w:r>
      <w:r w:rsidR="00201511" w:rsidRPr="0084218F">
        <w:t xml:space="preserve"> no prazo de até 1 (um) Dia Útil</w:t>
      </w:r>
      <w:r w:rsidR="00BE031C" w:rsidRPr="0084218F">
        <w:t xml:space="preserve"> </w:t>
      </w:r>
      <w:r w:rsidR="00201511" w:rsidRPr="0084218F">
        <w:t>contado de sua assinatura por todas as Partes; e (ii) encaminhar ao</w:t>
      </w:r>
      <w:r w:rsidR="0036210C" w:rsidRPr="0084218F">
        <w:t>s Debenturistas</w:t>
      </w:r>
      <w:r w:rsidR="00201511" w:rsidRPr="0084218F">
        <w:t xml:space="preserve"> uma via original deste Contrato e/ou de seus eventuais aditamentos, conforme aplicável, devidamente registrados no Cartório de Títulos e </w:t>
      </w:r>
      <w:r w:rsidR="00201511" w:rsidRPr="0084218F">
        <w:rPr>
          <w:color w:val="000000"/>
        </w:rPr>
        <w:t>Documentos da comarca de São Paulo</w:t>
      </w:r>
      <w:r w:rsidR="00201511" w:rsidRPr="0084218F">
        <w:t>, no prazo de até 2(dois) Dias Úteis contado da data de seu registro.</w:t>
      </w:r>
    </w:p>
    <w:p w14:paraId="79776516" w14:textId="70D71868" w:rsidR="00201511" w:rsidRDefault="0030584D" w:rsidP="00C80414">
      <w:pPr>
        <w:pStyle w:val="Level2"/>
      </w:pPr>
      <w:r w:rsidRPr="0084218F">
        <w:t>A Alienante</w:t>
      </w:r>
      <w:r w:rsidR="00201511" w:rsidRPr="0084218F">
        <w:t xml:space="preserve"> </w:t>
      </w:r>
      <w:r w:rsidR="00855DCC" w:rsidRPr="0084218F">
        <w:t xml:space="preserve">e </w:t>
      </w:r>
      <w:r w:rsidR="00201511" w:rsidRPr="0084218F">
        <w:t xml:space="preserve">a Emissora averbarão a presente alienação fiduciária no livro de registro de ações nominativas da Emissora dentro de 2 (dois) Dias Úteis da celebração deste Contrato, devendo </w:t>
      </w:r>
      <w:r w:rsidRPr="0084218F">
        <w:t>a Alienante</w:t>
      </w:r>
      <w:r w:rsidR="00201511" w:rsidRPr="0084218F">
        <w:t xml:space="preserve">, no prazo de 1 (um) Dia Útil contado da data de tal averbação, apresentar </w:t>
      </w:r>
      <w:r w:rsidR="00201511" w:rsidRPr="0084218F">
        <w:lastRenderedPageBreak/>
        <w:t>ao</w:t>
      </w:r>
      <w:r w:rsidR="0036210C" w:rsidRPr="0084218F">
        <w:t>s</w:t>
      </w:r>
      <w:r w:rsidR="00201511" w:rsidRPr="0084218F">
        <w:t xml:space="preserve"> </w:t>
      </w:r>
      <w:r w:rsidR="0036210C" w:rsidRPr="0084218F">
        <w:t>Debenturistas</w:t>
      </w:r>
      <w:r w:rsidR="00201511" w:rsidRPr="0084218F">
        <w:t xml:space="preserve"> comprovação da referida averbação mediante cópia autenticada do referido livro de registro de ações nominativas, evidenciando a alienação fiduciária criada. </w:t>
      </w:r>
      <w:bookmarkStart w:id="48" w:name="_Hlk71579214"/>
      <w:r w:rsidR="00201511" w:rsidRPr="0084218F">
        <w:t>Referida averbação deverá refletir a seguinte redação:</w:t>
      </w:r>
      <w:r w:rsidR="00C4217D">
        <w:t xml:space="preserve"> </w:t>
      </w:r>
    </w:p>
    <w:bookmarkEnd w:id="48"/>
    <w:p w14:paraId="40C8A7BC" w14:textId="1320A743" w:rsidR="00201511" w:rsidRPr="0084218F" w:rsidRDefault="00AB65F1" w:rsidP="00C80414">
      <w:pPr>
        <w:pStyle w:val="Body1"/>
        <w:rPr>
          <w:rFonts w:cs="Tahoma"/>
          <w:i/>
          <w:iCs/>
          <w:szCs w:val="20"/>
        </w:rPr>
      </w:pPr>
      <w:r w:rsidRPr="0084218F">
        <w:rPr>
          <w:rFonts w:cs="Tahoma"/>
          <w:i/>
          <w:szCs w:val="20"/>
        </w:rPr>
        <w:t>“N</w:t>
      </w:r>
      <w:r w:rsidRPr="0084218F">
        <w:rPr>
          <w:rFonts w:cs="Tahoma"/>
          <w:i/>
          <w:iCs/>
          <w:szCs w:val="20"/>
        </w:rPr>
        <w:t xml:space="preserve">os termos do Contrato de Alienação Fiduciária de Ações e Outras Avenças, celebrado em </w:t>
      </w:r>
      <w:r w:rsidRPr="0084218F">
        <w:rPr>
          <w:rFonts w:cs="Tahoma"/>
          <w:i/>
          <w:szCs w:val="20"/>
        </w:rPr>
        <w:t>30 de agosto de 2019</w:t>
      </w:r>
      <w:r w:rsidRPr="0084218F">
        <w:rPr>
          <w:rFonts w:cs="Tahoma"/>
          <w:i/>
          <w:iCs/>
          <w:szCs w:val="20"/>
        </w:rPr>
        <w:t xml:space="preserve">, conforme alterado e consolidado pelo 1º Aditamento ao Contrato de Alienação Fiduciária de Ações e Outras Avenças, celebrado </w:t>
      </w:r>
      <w:r w:rsidRPr="0009561B">
        <w:rPr>
          <w:rFonts w:cs="Tahoma"/>
          <w:i/>
          <w:iCs/>
          <w:szCs w:val="20"/>
        </w:rPr>
        <w:t xml:space="preserve">em </w:t>
      </w:r>
      <w:r w:rsidR="0009561B" w:rsidRPr="0009561B">
        <w:rPr>
          <w:rFonts w:cs="Tahoma"/>
          <w:i/>
          <w:iCs/>
          <w:szCs w:val="20"/>
        </w:rPr>
        <w:t>02</w:t>
      </w:r>
      <w:r w:rsidRPr="0009561B">
        <w:rPr>
          <w:rFonts w:cs="Tahoma"/>
          <w:i/>
          <w:iCs/>
          <w:szCs w:val="20"/>
        </w:rPr>
        <w:t xml:space="preserve"> de </w:t>
      </w:r>
      <w:r w:rsidR="0009561B" w:rsidRPr="0009561B">
        <w:rPr>
          <w:rFonts w:cs="Tahoma"/>
          <w:i/>
          <w:iCs/>
          <w:szCs w:val="20"/>
        </w:rPr>
        <w:t>agosto</w:t>
      </w:r>
      <w:r w:rsidRPr="0009561B">
        <w:rPr>
          <w:rFonts w:cs="Tahoma"/>
          <w:i/>
          <w:iCs/>
          <w:szCs w:val="20"/>
        </w:rPr>
        <w:t xml:space="preserve"> de 2021</w:t>
      </w:r>
      <w:r w:rsidRPr="0084218F">
        <w:rPr>
          <w:rFonts w:cs="Tahoma"/>
          <w:bCs/>
          <w:i/>
          <w:szCs w:val="20"/>
        </w:rPr>
        <w:t xml:space="preserve"> </w:t>
      </w:r>
      <w:r w:rsidRPr="0084218F">
        <w:rPr>
          <w:rFonts w:cs="Tahoma"/>
          <w:i/>
          <w:iCs/>
          <w:szCs w:val="20"/>
        </w:rPr>
        <w:t>(“</w:t>
      </w:r>
      <w:r w:rsidRPr="0084218F">
        <w:rPr>
          <w:rFonts w:cs="Tahoma"/>
          <w:b/>
          <w:bCs/>
          <w:i/>
          <w:iCs/>
          <w:szCs w:val="20"/>
        </w:rPr>
        <w:t>Contrato</w:t>
      </w:r>
      <w:r w:rsidRPr="0084218F">
        <w:rPr>
          <w:rFonts w:cs="Tahoma"/>
          <w:i/>
          <w:iCs/>
          <w:szCs w:val="20"/>
        </w:rPr>
        <w:t xml:space="preserve">”), arquivado na sede da </w:t>
      </w:r>
      <w:r w:rsidRPr="0084218F">
        <w:rPr>
          <w:rFonts w:cs="Tahoma"/>
          <w:bCs/>
          <w:i/>
          <w:szCs w:val="20"/>
        </w:rPr>
        <w:t xml:space="preserve">LC Energia Holding S.A. </w:t>
      </w:r>
      <w:r w:rsidRPr="0084218F">
        <w:rPr>
          <w:rFonts w:cs="Tahoma"/>
          <w:i/>
          <w:iCs/>
          <w:szCs w:val="20"/>
        </w:rPr>
        <w:t>(“</w:t>
      </w:r>
      <w:r w:rsidRPr="0084218F">
        <w:rPr>
          <w:rFonts w:cs="Tahoma"/>
          <w:b/>
          <w:bCs/>
          <w:i/>
          <w:iCs/>
          <w:szCs w:val="20"/>
        </w:rPr>
        <w:t>Companhia</w:t>
      </w:r>
      <w:r w:rsidRPr="0084218F">
        <w:rPr>
          <w:rFonts w:cs="Tahoma"/>
          <w:i/>
          <w:iCs/>
          <w:szCs w:val="20"/>
        </w:rPr>
        <w:t>”), a</w:t>
      </w:r>
      <w:r w:rsidRPr="0084218F">
        <w:rPr>
          <w:rFonts w:cs="Tahoma"/>
          <w:i/>
          <w:szCs w:val="20"/>
        </w:rPr>
        <w:t xml:space="preserve"> totalidade das ações do capital da Companhia </w:t>
      </w:r>
      <w:r w:rsidRPr="0084218F">
        <w:rPr>
          <w:rFonts w:cs="Tahoma"/>
          <w:i/>
          <w:iCs/>
          <w:szCs w:val="20"/>
        </w:rPr>
        <w:t xml:space="preserve">pertencentes </w:t>
      </w:r>
      <w:r w:rsidR="0030584D" w:rsidRPr="0084218F">
        <w:rPr>
          <w:rFonts w:cs="Tahoma"/>
          <w:i/>
          <w:iCs/>
          <w:szCs w:val="20"/>
        </w:rPr>
        <w:t xml:space="preserve">à LC Linhas Holding Ltda. </w:t>
      </w:r>
      <w:r w:rsidRPr="0084218F">
        <w:rPr>
          <w:rFonts w:cs="Tahoma"/>
          <w:i/>
          <w:iCs/>
          <w:szCs w:val="20"/>
        </w:rPr>
        <w:t>(“</w:t>
      </w:r>
      <w:r w:rsidRPr="0084218F">
        <w:rPr>
          <w:rFonts w:cs="Tahoma"/>
          <w:b/>
          <w:bCs/>
          <w:i/>
          <w:iCs/>
          <w:szCs w:val="20"/>
        </w:rPr>
        <w:t>Acionistas</w:t>
      </w:r>
      <w:r w:rsidRPr="0084218F">
        <w:rPr>
          <w:rFonts w:cs="Tahoma"/>
          <w:i/>
          <w:iCs/>
          <w:szCs w:val="20"/>
        </w:rPr>
        <w:t xml:space="preserve">”), bem como todos os </w:t>
      </w:r>
      <w:r w:rsidRPr="0084218F">
        <w:rPr>
          <w:rFonts w:cs="Tahoma"/>
          <w:i/>
          <w:szCs w:val="20"/>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Pr="0084218F">
        <w:rPr>
          <w:rFonts w:cs="Tahoma"/>
          <w:i/>
          <w:iCs/>
          <w:szCs w:val="20"/>
        </w:rPr>
        <w:t xml:space="preserve">encontra-se alienados fiduciariamente ao XP Infra II Fundo de Investimento em Participações em Infraestrutura, CNPJ n.º </w:t>
      </w:r>
      <w:r w:rsidRPr="006B12DA">
        <w:rPr>
          <w:rFonts w:cs="Tahoma"/>
          <w:i/>
          <w:iCs/>
          <w:szCs w:val="20"/>
        </w:rPr>
        <w:t>30.317.464/0001-97</w:t>
      </w:r>
      <w:r w:rsidRPr="0084218F">
        <w:rPr>
          <w:rFonts w:cs="Tahoma"/>
          <w:i/>
          <w:iCs/>
          <w:szCs w:val="20"/>
        </w:rPr>
        <w:t xml:space="preserve"> </w:t>
      </w:r>
      <w:r w:rsidRPr="0084218F">
        <w:rPr>
          <w:rFonts w:cs="Tahoma"/>
          <w:i/>
          <w:szCs w:val="20"/>
        </w:rPr>
        <w:t>(</w:t>
      </w:r>
      <w:r w:rsidRPr="0084218F">
        <w:rPr>
          <w:rFonts w:cs="Tahoma"/>
          <w:i/>
          <w:color w:val="000000"/>
          <w:szCs w:val="20"/>
        </w:rPr>
        <w:t>"</w:t>
      </w:r>
      <w:r w:rsidRPr="0084218F">
        <w:rPr>
          <w:rFonts w:cs="Tahoma"/>
          <w:b/>
          <w:bCs/>
          <w:i/>
          <w:szCs w:val="20"/>
        </w:rPr>
        <w:t>FIP-IE XP</w:t>
      </w:r>
      <w:r w:rsidRPr="0084218F">
        <w:rPr>
          <w:rFonts w:cs="Tahoma"/>
          <w:i/>
          <w:color w:val="000000"/>
          <w:szCs w:val="20"/>
        </w:rPr>
        <w:t>"</w:t>
      </w:r>
      <w:r w:rsidRPr="0084218F">
        <w:rPr>
          <w:rFonts w:cs="Tahoma"/>
          <w:i/>
          <w:szCs w:val="20"/>
        </w:rPr>
        <w:t xml:space="preserve">), </w:t>
      </w:r>
      <w:r w:rsidRPr="0084218F">
        <w:rPr>
          <w:rFonts w:cs="Tahoma"/>
          <w:i/>
          <w:iCs/>
          <w:szCs w:val="20"/>
        </w:rPr>
        <w:t>na qualidade de titular da totalidade das debêntures da 1ª emissão realizada pela Companhia, e aos titulares das debêntures da 2ª emissão realizada pela Companhia (“</w:t>
      </w:r>
      <w:r w:rsidRPr="0084218F">
        <w:rPr>
          <w:rFonts w:cs="Tahoma"/>
          <w:b/>
          <w:bCs/>
          <w:i/>
          <w:iCs/>
          <w:szCs w:val="20"/>
        </w:rPr>
        <w:t>Debenturistas 2ª Emissão</w:t>
      </w:r>
      <w:r w:rsidRPr="0084218F">
        <w:rPr>
          <w:rFonts w:cs="Tahoma"/>
          <w:i/>
          <w:iCs/>
          <w:szCs w:val="20"/>
        </w:rPr>
        <w:t xml:space="preserve">”), representados pelo Agente Fiduciário, em garantia do cumprimento das obrigações indicadas nas escrituras das referidas 1ª e 2ª emissões e no Contrato, </w:t>
      </w:r>
      <w:r w:rsidRPr="0084218F">
        <w:rPr>
          <w:rFonts w:cs="Tahoma"/>
          <w:szCs w:val="20"/>
        </w:rPr>
        <w:t xml:space="preserve">sem igualdade de condições, </w:t>
      </w:r>
      <w:r w:rsidRPr="0084218F">
        <w:rPr>
          <w:rFonts w:cs="Tahoma"/>
          <w:i/>
          <w:iCs/>
          <w:szCs w:val="20"/>
        </w:rPr>
        <w:t>sendo as Debêntures da 1ª Emissão subordinadas às Debêntures da 2ª Emissão para fins da garantia, de modo que, caso os direitos alienados no âmbito da Alienação Fiduciária venham a ser excutidos, o produto de tal excussão será utilizado prioritariamente à quitação das obrigações garantidas referentes às Debêntures da 2ª Emissão e, após quitação integral das Obrigações Garantidas, o produto de tal excussão será utilizado para a quitação das obrigações garantidas referentes às Debêntures da 1ª Emissão. As ações, bens e direitos alienados fiduciariamente acima descritos não poderão ser, de qualquer forma, vendidos, cedidos, alienados, gravados ou onerados, sem a prévia e expressa aprovação do FIP-IE XP e dos Debenturistas da 2ª Emissão, exceto se permitido nos termos do Contrato.”</w:t>
      </w:r>
    </w:p>
    <w:p w14:paraId="6CD7A61E" w14:textId="77777777" w:rsidR="00201511" w:rsidRPr="00C80414" w:rsidRDefault="00201511" w:rsidP="00C80414">
      <w:pPr>
        <w:pStyle w:val="Level1"/>
        <w:numPr>
          <w:ilvl w:val="0"/>
          <w:numId w:val="216"/>
        </w:numPr>
        <w:rPr>
          <w:b/>
          <w:bCs/>
        </w:rPr>
      </w:pPr>
      <w:r w:rsidRPr="00C80414">
        <w:rPr>
          <w:b/>
          <w:bCs/>
        </w:rPr>
        <w:t>DIREITO DE VOTO</w:t>
      </w:r>
    </w:p>
    <w:p w14:paraId="0EA3AA81" w14:textId="5C403251" w:rsidR="00201511" w:rsidRPr="0084218F" w:rsidRDefault="00201511" w:rsidP="00C80414">
      <w:pPr>
        <w:pStyle w:val="Level2"/>
      </w:pPr>
      <w:r w:rsidRPr="0084218F">
        <w:t>Sem prejuízo do disposto na</w:t>
      </w:r>
      <w:r w:rsidR="00AB65F1" w:rsidRPr="0084218F">
        <w:t>s</w:t>
      </w:r>
      <w:r w:rsidRPr="0084218F">
        <w:t xml:space="preserve"> Escritura</w:t>
      </w:r>
      <w:r w:rsidR="00AB65F1" w:rsidRPr="0084218F">
        <w:t>s de Emissão</w:t>
      </w:r>
      <w:r w:rsidRPr="0084218F">
        <w:t xml:space="preserve">, enquanto não ocorrer um inadimplemento de qualquer Obrigação Garantida, </w:t>
      </w:r>
      <w:r w:rsidR="0030584D" w:rsidRPr="0084218F">
        <w:t>a Alienante</w:t>
      </w:r>
      <w:r w:rsidRPr="0084218F">
        <w:t xml:space="preserve"> poder</w:t>
      </w:r>
      <w:r w:rsidR="0030584D" w:rsidRPr="0084218F">
        <w:t>á</w:t>
      </w:r>
      <w:r w:rsidRPr="0084218F">
        <w:t xml:space="preserve"> exercer os seus respectivos direitos de voto com relação aos Direitos de Participação Alienados Fiduciariamente nos termos do estatuto social da Emissora, observado o disposto nesta cláusula. Durante a vigência deste Contrato, </w:t>
      </w:r>
      <w:r w:rsidR="0030584D" w:rsidRPr="0084218F">
        <w:t>a Alienante</w:t>
      </w:r>
      <w:r w:rsidRPr="0084218F">
        <w:t xml:space="preserve"> obriga-se a exercer os direitos decorrentes dos Direitos de Participação Alienados Fiduciariamente de forma a não prejudicar o cumprimento das Obrigações Garantidas e os direitos do</w:t>
      </w:r>
      <w:r w:rsidR="00AB65F1" w:rsidRPr="0084218F">
        <w:t>s</w:t>
      </w:r>
      <w:r w:rsidRPr="0084218F">
        <w:t xml:space="preserve"> </w:t>
      </w:r>
      <w:r w:rsidR="00AB65F1" w:rsidRPr="0084218F">
        <w:t>Debenturistas</w:t>
      </w:r>
      <w:r w:rsidRPr="0084218F">
        <w:t>, nos termos da</w:t>
      </w:r>
      <w:r w:rsidR="00AB65F1" w:rsidRPr="0084218F">
        <w:t>s</w:t>
      </w:r>
      <w:r w:rsidRPr="0084218F">
        <w:t xml:space="preserve"> Escritura</w:t>
      </w:r>
      <w:r w:rsidR="00AB65F1" w:rsidRPr="0084218F">
        <w:t>s de Emissão</w:t>
      </w:r>
      <w:r w:rsidRPr="0084218F">
        <w:t xml:space="preserve">, do Contrato de Investimento, do Acordo de Acionistas e deste Contrato, </w:t>
      </w:r>
      <w:r w:rsidR="00AB65F1" w:rsidRPr="0084218F">
        <w:t xml:space="preserve">conforme aplicável, </w:t>
      </w:r>
      <w:r w:rsidRPr="0084218F">
        <w:t>comprometendo-se, ainda, a não votar, e a não aprovar, salvo com expressa anuência do</w:t>
      </w:r>
      <w:r w:rsidR="00AB65F1" w:rsidRPr="0084218F">
        <w:t>s</w:t>
      </w:r>
      <w:r w:rsidRPr="0084218F">
        <w:t xml:space="preserve"> </w:t>
      </w:r>
      <w:r w:rsidR="00AB65F1" w:rsidRPr="0084218F">
        <w:t>Debenturistas,</w:t>
      </w:r>
      <w:r w:rsidRPr="0084218F">
        <w:t xml:space="preserve"> </w:t>
      </w:r>
      <w:r w:rsidR="00AB65F1" w:rsidRPr="0084218F">
        <w:t xml:space="preserve">conforme aplicável, </w:t>
      </w:r>
      <w:r w:rsidRPr="0084218F">
        <w:t>quaisquer deliberações que possam causar um vencimento antecipado das Debêntures, conforme estabelecido na</w:t>
      </w:r>
      <w:r w:rsidR="00AB65F1" w:rsidRPr="0084218F">
        <w:t>s</w:t>
      </w:r>
      <w:r w:rsidRPr="0084218F">
        <w:t xml:space="preserve"> Escritura</w:t>
      </w:r>
      <w:r w:rsidR="00AB65F1" w:rsidRPr="0084218F">
        <w:t>s de Emissão</w:t>
      </w:r>
      <w:r w:rsidRPr="0084218F">
        <w:t>.</w:t>
      </w:r>
    </w:p>
    <w:p w14:paraId="627BBFEB" w14:textId="4E1D9E6E" w:rsidR="00201511" w:rsidRPr="0084218F" w:rsidRDefault="0030584D" w:rsidP="00C80414">
      <w:pPr>
        <w:pStyle w:val="Level3"/>
      </w:pPr>
      <w:bookmarkStart w:id="49" w:name="_DV_M279"/>
      <w:bookmarkStart w:id="50" w:name="_DV_M281"/>
      <w:bookmarkEnd w:id="49"/>
      <w:bookmarkEnd w:id="50"/>
      <w:r w:rsidRPr="0084218F">
        <w:t>A Alienante</w:t>
      </w:r>
      <w:r w:rsidR="00201511" w:rsidRPr="0084218F">
        <w:t xml:space="preserve"> e a Emissora, conforme aplicável, comprometem-se a fazer com que os seus respectivos administradores ou representantes cumpram as condições descritas nesta cláusula.</w:t>
      </w:r>
    </w:p>
    <w:p w14:paraId="51B54554" w14:textId="66591C28" w:rsidR="00201511" w:rsidRPr="0084218F" w:rsidRDefault="00201511" w:rsidP="00C80414">
      <w:pPr>
        <w:pStyle w:val="Level2"/>
      </w:pPr>
      <w:r w:rsidRPr="0084218F">
        <w:lastRenderedPageBreak/>
        <w:t xml:space="preserve">Após qualquer Obrigação Garantida ter sido inadimplida, </w:t>
      </w:r>
      <w:r w:rsidR="0030584D" w:rsidRPr="0084218F">
        <w:t>a Alienante</w:t>
      </w:r>
      <w:r w:rsidRPr="0084218F">
        <w:t xml:space="preserve"> somente exercer</w:t>
      </w:r>
      <w:r w:rsidR="0030584D" w:rsidRPr="0084218F">
        <w:t>á</w:t>
      </w:r>
      <w:r w:rsidRPr="0084218F">
        <w:t xml:space="preserve"> o direito de voto decorrente das Ações Alienadas, em qualquer matéria, com a prévia e expressa anuência do</w:t>
      </w:r>
      <w:r w:rsidR="00795F8D" w:rsidRPr="0084218F">
        <w:t>s Debenturistas</w:t>
      </w:r>
      <w:r w:rsidRPr="0084218F">
        <w:t>.</w:t>
      </w:r>
    </w:p>
    <w:p w14:paraId="2F0E7F50" w14:textId="6C9A5235" w:rsidR="00201511" w:rsidRPr="0084218F" w:rsidRDefault="00201511" w:rsidP="00C80414">
      <w:pPr>
        <w:pStyle w:val="Level2"/>
      </w:pPr>
      <w:r w:rsidRPr="0084218F">
        <w:t>Contanto que nenhuma Obrigação Garantida tenha sido inadimplida ou qualquer Evento de Inadimplemento (conforme definido na</w:t>
      </w:r>
      <w:r w:rsidR="00795F8D" w:rsidRPr="0084218F">
        <w:t>s</w:t>
      </w:r>
      <w:r w:rsidRPr="0084218F">
        <w:t xml:space="preserve"> Escritura</w:t>
      </w:r>
      <w:r w:rsidR="00795F8D" w:rsidRPr="0084218F">
        <w:t>s</w:t>
      </w:r>
      <w:r w:rsidRPr="0084218F">
        <w:t>) tenha ocorrido, todos os dividendos, juros sobre capital próprio e outras distribuições relacionadas às Ações Alienadas e/ou aos Outros Direitos e que estejam em conformidade com os termos deste Contrato deverão ser pagos à Alienante nos termos deste Contrato e poderão ser por eles livremente utilizados. Após qualquer Obrigação Garantida ter sido inadimplida ou qualquer Evento de Inadimplemento ter ocorrido, todos e quaisquer Direitos Econômicos a serem pagos ou atribuídos à Alienante deverão ser entregues diretamente ao</w:t>
      </w:r>
      <w:r w:rsidR="00795F8D" w:rsidRPr="0084218F">
        <w:t>s</w:t>
      </w:r>
      <w:r w:rsidRPr="0084218F">
        <w:t xml:space="preserve"> </w:t>
      </w:r>
      <w:r w:rsidR="00795F8D" w:rsidRPr="0084218F">
        <w:t>Debenturistas</w:t>
      </w:r>
      <w:r w:rsidRPr="0084218F">
        <w:t xml:space="preserve">, </w:t>
      </w:r>
      <w:r w:rsidR="00795F8D" w:rsidRPr="0084218F">
        <w:t xml:space="preserve">observada a Cláusula </w:t>
      </w:r>
      <w:r w:rsidR="00C802F2" w:rsidRPr="0084218F">
        <w:t>5</w:t>
      </w:r>
      <w:r w:rsidR="00795F8D" w:rsidRPr="0084218F">
        <w:t>.1</w:t>
      </w:r>
      <w:r w:rsidR="006A428D" w:rsidRPr="0084218F">
        <w:t>.1</w:t>
      </w:r>
      <w:r w:rsidR="00795F8D" w:rsidRPr="0084218F">
        <w:t xml:space="preserve"> </w:t>
      </w:r>
      <w:r w:rsidR="00C802F2" w:rsidRPr="0084218F">
        <w:t>abaixo</w:t>
      </w:r>
      <w:r w:rsidR="00795F8D" w:rsidRPr="0084218F">
        <w:t xml:space="preserve">, </w:t>
      </w:r>
      <w:r w:rsidRPr="0084218F">
        <w:t>em conta indicada pelo</w:t>
      </w:r>
      <w:r w:rsidR="00795F8D" w:rsidRPr="0084218F">
        <w:t>s Debenturistas, conforme aplicável</w:t>
      </w:r>
      <w:r w:rsidRPr="0084218F">
        <w:t>. Quaisquer valores recebidos pel</w:t>
      </w:r>
      <w:r w:rsidR="0030584D" w:rsidRPr="0084218F">
        <w:t>a Alienante</w:t>
      </w:r>
      <w:r w:rsidRPr="0084218F">
        <w:t xml:space="preserve"> em desacordo com esta cláusula </w:t>
      </w:r>
      <w:r w:rsidR="0066289A" w:rsidRPr="0084218F">
        <w:t>continuar</w:t>
      </w:r>
      <w:r w:rsidR="00C4217D">
        <w:t>ão</w:t>
      </w:r>
      <w:r w:rsidR="0066289A" w:rsidRPr="0084218F">
        <w:t xml:space="preserve"> sujeit</w:t>
      </w:r>
      <w:r w:rsidR="00C4217D">
        <w:t>os</w:t>
      </w:r>
      <w:r w:rsidR="0066289A" w:rsidRPr="0084218F">
        <w:t xml:space="preserve"> </w:t>
      </w:r>
      <w:r w:rsidRPr="0084218F">
        <w:t xml:space="preserve">ao ônus ora criado e </w:t>
      </w:r>
      <w:r w:rsidR="0066289A" w:rsidRPr="0084218F">
        <w:t>dever</w:t>
      </w:r>
      <w:r w:rsidR="00C4217D">
        <w:t>ão</w:t>
      </w:r>
      <w:r w:rsidR="0066289A" w:rsidRPr="0084218F">
        <w:t xml:space="preserve"> </w:t>
      </w:r>
      <w:r w:rsidRPr="0084218F">
        <w:t>ser prontamente entregues ao</w:t>
      </w:r>
      <w:r w:rsidR="00795F8D" w:rsidRPr="0084218F">
        <w:t>s Debenturistas</w:t>
      </w:r>
      <w:r w:rsidRPr="0084218F">
        <w:t>, nos termos desta cláusula.</w:t>
      </w:r>
    </w:p>
    <w:p w14:paraId="05E7F517" w14:textId="77777777" w:rsidR="00201511" w:rsidRPr="00C80414" w:rsidRDefault="00201511" w:rsidP="00C80414">
      <w:pPr>
        <w:pStyle w:val="Level1"/>
        <w:numPr>
          <w:ilvl w:val="0"/>
          <w:numId w:val="216"/>
        </w:numPr>
        <w:rPr>
          <w:b/>
          <w:bCs/>
        </w:rPr>
      </w:pPr>
      <w:r w:rsidRPr="00C80414">
        <w:rPr>
          <w:b/>
          <w:bCs/>
        </w:rPr>
        <w:t>EXCUSSÃO</w:t>
      </w:r>
      <w:bookmarkStart w:id="51" w:name="_DV_M234"/>
      <w:bookmarkEnd w:id="51"/>
      <w:r w:rsidRPr="00C80414">
        <w:rPr>
          <w:b/>
          <w:bCs/>
        </w:rPr>
        <w:t xml:space="preserve"> DA GARANTIA</w:t>
      </w:r>
    </w:p>
    <w:p w14:paraId="52997C69" w14:textId="59E47E25" w:rsidR="00E569E2" w:rsidRPr="0084218F" w:rsidRDefault="00201511" w:rsidP="00C80414">
      <w:pPr>
        <w:pStyle w:val="Level2"/>
      </w:pPr>
      <w:bookmarkStart w:id="52" w:name="_DV_M235"/>
      <w:bookmarkStart w:id="53" w:name="_DV_M236"/>
      <w:bookmarkStart w:id="54" w:name="_Ref310605679"/>
      <w:bookmarkEnd w:id="52"/>
      <w:bookmarkEnd w:id="53"/>
      <w:r w:rsidRPr="0084218F">
        <w:t>Na hipótese de vencimento antecipado das Debêntures, o</w:t>
      </w:r>
      <w:r w:rsidR="00795F8D" w:rsidRPr="0084218F">
        <w:t>s</w:t>
      </w:r>
      <w:r w:rsidRPr="0084218F">
        <w:t xml:space="preserve"> </w:t>
      </w:r>
      <w:r w:rsidR="00795F8D" w:rsidRPr="0084218F">
        <w:t>Debenturistas</w:t>
      </w:r>
      <w:r w:rsidRPr="0084218F">
        <w:t xml:space="preserve"> poder</w:t>
      </w:r>
      <w:r w:rsidR="00795F8D" w:rsidRPr="0084218F">
        <w:t>ão</w:t>
      </w:r>
      <w:r w:rsidRPr="0084218F">
        <w:t>, a qualquer tempo, independentemente de aviso ou notificação judicial ou extrajudicial à Emissora e/ou à Alienante, e sem a necessidade de qualquer consentimento ou anuência d</w:t>
      </w:r>
      <w:r w:rsidR="0030584D" w:rsidRPr="0084218F">
        <w:t>a Alienante</w:t>
      </w:r>
      <w:r w:rsidRPr="0084218F">
        <w:t xml:space="preserve"> ou da Emissora e/ou de qualquer terceiro ou outra providência, e sem prejuízo de qualquer outra medida cabível nos termos dos</w:t>
      </w:r>
      <w:r w:rsidR="00C802F2" w:rsidRPr="0084218F">
        <w:t xml:space="preserve"> respectivos</w:t>
      </w:r>
      <w:r w:rsidRPr="0084218F">
        <w:t xml:space="preserve"> Documentos da Operação, </w:t>
      </w:r>
      <w:r w:rsidR="00795F8D" w:rsidRPr="0084218F">
        <w:t xml:space="preserve">conforme aplicável, observada a Cláusula </w:t>
      </w:r>
      <w:r w:rsidR="00C802F2" w:rsidRPr="0084218F">
        <w:t>5</w:t>
      </w:r>
      <w:r w:rsidR="00795F8D" w:rsidRPr="0084218F">
        <w:t>.1</w:t>
      </w:r>
      <w:r w:rsidR="007668FB" w:rsidRPr="0084218F">
        <w:t>.1</w:t>
      </w:r>
      <w:r w:rsidR="00795F8D" w:rsidRPr="0084218F">
        <w:t xml:space="preserve"> </w:t>
      </w:r>
      <w:r w:rsidR="00C802F2" w:rsidRPr="0084218F">
        <w:t>abaixo</w:t>
      </w:r>
      <w:r w:rsidR="00795F8D" w:rsidRPr="0084218F">
        <w:t xml:space="preserve">, </w:t>
      </w:r>
      <w:r w:rsidRPr="0084218F">
        <w:t>excutir as garantias objeto do presente Contrato</w:t>
      </w:r>
      <w:r w:rsidR="0030584D" w:rsidRPr="0084218F">
        <w:t xml:space="preserve"> e das Escrituras de Emissão</w:t>
      </w:r>
      <w:r w:rsidR="00C4217D">
        <w:t>.</w:t>
      </w:r>
    </w:p>
    <w:p w14:paraId="3BF90EF7" w14:textId="42E97379" w:rsidR="00C802F2" w:rsidRPr="0084218F" w:rsidRDefault="00C802F2" w:rsidP="00C80414">
      <w:pPr>
        <w:pStyle w:val="Level3"/>
      </w:pPr>
      <w:r w:rsidRPr="0084218F">
        <w:rPr>
          <w:color w:val="000000"/>
        </w:rPr>
        <w:t>A presente Alienação Fiduciária é</w:t>
      </w:r>
      <w:r w:rsidRPr="0084218F">
        <w:t xml:space="preserve"> compartilhada entre as Emissões, sem igualdade de condições em relação às Debêntures, sendo as Debêntures da 1ª Emissão subordinadas às Debêntures da 2ª Emissão para fins da garantia, de modo que, caso os Direitos de Participação da Alienados Fiduciariamente</w:t>
      </w:r>
      <w:r w:rsidRPr="0084218F" w:rsidDel="00D82F1C">
        <w:t xml:space="preserve"> </w:t>
      </w:r>
      <w:r w:rsidRPr="0084218F">
        <w:t>venham a ser excutidos, o produto de tal excussão será utilizado prioritariamente à quitação das obrigações garantidas referentes às Debêntures da 2ª Emissão e, após quitação integral das Obrigações Garantidas referente às Debêntures da 2ª Emissão, o produto de tal excussão será utilizado para a quitação das obrigações garantidas referentes às Debêntures da 1ª Emissão.</w:t>
      </w:r>
    </w:p>
    <w:p w14:paraId="025645F2" w14:textId="6AD52FAF" w:rsidR="00E569E2" w:rsidRPr="0084218F" w:rsidRDefault="00E569E2" w:rsidP="00C80414">
      <w:pPr>
        <w:pStyle w:val="Level3"/>
      </w:pPr>
      <w:r w:rsidRPr="0084218F">
        <w:t>A excussão referida na Cláusula 5.1. acima e o compartilhamento da presente Alienação Fiduciária entre as Emissões observarão as deliberações tomadas no âmbito do Acordo entre Credores, Compartilhamento de Garantias e Outras Avenças (“</w:t>
      </w:r>
      <w:r w:rsidRPr="0084218F">
        <w:rPr>
          <w:b/>
          <w:bCs/>
        </w:rPr>
        <w:t>Acordo entre Credores</w:t>
      </w:r>
      <w:r w:rsidRPr="0084218F">
        <w:t xml:space="preserve">”), a ser formalizado entre os Debenturistas da </w:t>
      </w:r>
      <w:r w:rsidR="00BE031C" w:rsidRPr="0084218F">
        <w:t>1ª</w:t>
      </w:r>
      <w:r w:rsidR="00BE031C">
        <w:t> </w:t>
      </w:r>
      <w:r w:rsidRPr="0084218F">
        <w:t>Emissão e os Debenturistas da 2ª Emissão.</w:t>
      </w:r>
    </w:p>
    <w:p w14:paraId="35FCF1F2" w14:textId="2D4F1391" w:rsidR="00201511" w:rsidRPr="0084218F" w:rsidRDefault="00201511" w:rsidP="00C80414">
      <w:pPr>
        <w:pStyle w:val="Level2"/>
      </w:pPr>
      <w:r w:rsidRPr="0084218F">
        <w:t>O cumprimento parcial das Obrigações Garantidas não reduzirá as garantias objeto deste Contrato</w:t>
      </w:r>
      <w:r w:rsidR="0030584D" w:rsidRPr="0084218F">
        <w:t xml:space="preserve"> e das Escrituras de Emissão</w:t>
      </w:r>
      <w:r w:rsidRPr="0084218F">
        <w:t>, nem limitará o direito do</w:t>
      </w:r>
      <w:r w:rsidR="00795F8D" w:rsidRPr="0084218F">
        <w:t>s</w:t>
      </w:r>
      <w:r w:rsidRPr="0084218F">
        <w:t xml:space="preserve"> </w:t>
      </w:r>
      <w:r w:rsidR="00795F8D" w:rsidRPr="0084218F">
        <w:t>Debenturistas</w:t>
      </w:r>
      <w:r w:rsidRPr="0084218F">
        <w:t xml:space="preserve"> de as executar integralmente</w:t>
      </w:r>
      <w:r w:rsidR="00795F8D" w:rsidRPr="0084218F">
        <w:t xml:space="preserve">, observada a Cláusula </w:t>
      </w:r>
      <w:r w:rsidR="00C802F2" w:rsidRPr="0084218F">
        <w:t>5</w:t>
      </w:r>
      <w:r w:rsidR="00795F8D" w:rsidRPr="0084218F">
        <w:t>.1</w:t>
      </w:r>
      <w:r w:rsidR="007668FB" w:rsidRPr="0084218F">
        <w:t>.1</w:t>
      </w:r>
      <w:r w:rsidR="00795F8D" w:rsidRPr="0084218F">
        <w:t xml:space="preserve"> acima</w:t>
      </w:r>
      <w:r w:rsidRPr="0084218F">
        <w:t>.</w:t>
      </w:r>
    </w:p>
    <w:p w14:paraId="361AA831" w14:textId="65A7C405" w:rsidR="00201511" w:rsidRPr="0084218F" w:rsidRDefault="00201511" w:rsidP="00C80414">
      <w:pPr>
        <w:pStyle w:val="Level2"/>
      </w:pPr>
      <w:r w:rsidRPr="0084218F">
        <w:t xml:space="preserve">Sem prejuízo do disposto na Cláusula 5.8 e dos demais direitos que lhe conferirem os Documentos da Operação, a legislação pertinente, incluindo mas não se limitando as normas </w:t>
      </w:r>
      <w:r w:rsidRPr="0084218F">
        <w:lastRenderedPageBreak/>
        <w:t>regulatórias do setor elétrico, o</w:t>
      </w:r>
      <w:r w:rsidR="00795F8D" w:rsidRPr="0084218F">
        <w:t>s</w:t>
      </w:r>
      <w:r w:rsidRPr="0084218F">
        <w:t xml:space="preserve"> </w:t>
      </w:r>
      <w:r w:rsidR="00795F8D" w:rsidRPr="0084218F">
        <w:t>Debenturistas</w:t>
      </w:r>
      <w:r w:rsidRPr="0084218F">
        <w:t xml:space="preserve"> poder</w:t>
      </w:r>
      <w:r w:rsidR="00795F8D" w:rsidRPr="0084218F">
        <w:t>ão</w:t>
      </w:r>
      <w:r w:rsidRPr="0084218F">
        <w:t xml:space="preserve">, </w:t>
      </w:r>
      <w:r w:rsidR="00C802F2" w:rsidRPr="0084218F">
        <w:t xml:space="preserve">observada a Cláusula 5.1.1 acima, </w:t>
      </w:r>
      <w:r w:rsidRPr="0084218F">
        <w:t>para excussão das garantias objeto do presente Contrato:</w:t>
      </w:r>
    </w:p>
    <w:p w14:paraId="718BFC30" w14:textId="77777777" w:rsidR="00201511" w:rsidRPr="0084218F" w:rsidRDefault="00201511" w:rsidP="00C80414">
      <w:pPr>
        <w:pStyle w:val="alpha3"/>
      </w:pPr>
      <w:r w:rsidRPr="0084218F">
        <w:t xml:space="preserve">exercer todos os direitos relativos aos </w:t>
      </w:r>
      <w:r w:rsidRPr="0084218F">
        <w:rPr>
          <w:color w:val="000000"/>
        </w:rPr>
        <w:t>Direitos de Participação Alienados Fiduciariamente</w:t>
      </w:r>
      <w:r w:rsidRPr="0084218F">
        <w:t>, inclusive participar das assembleias gerais, exercer o direito de voto e receber todos os Direitos Econômicos;</w:t>
      </w:r>
    </w:p>
    <w:p w14:paraId="7268C8E9" w14:textId="77777777" w:rsidR="00201511" w:rsidRPr="0084218F" w:rsidRDefault="00201511" w:rsidP="00C80414">
      <w:pPr>
        <w:pStyle w:val="alpha3"/>
      </w:pPr>
      <w:r w:rsidRPr="0084218F">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7CA3AA2A" w14:textId="77777777" w:rsidR="00201511" w:rsidRPr="0084218F" w:rsidRDefault="00201511" w:rsidP="00C80414">
      <w:pPr>
        <w:pStyle w:val="alpha3"/>
      </w:pPr>
      <w:r w:rsidRPr="0084218F">
        <w:t xml:space="preserve">requerer autorizações, aprovações, registros ou averbações junto a agentes de custódia, agentes de registro órgãos regulatórios ou concorrenciais e todo e qualquer órgão ou entidade, pública ou privada, que se fizer necessário, inclusive </w:t>
      </w:r>
      <w:r w:rsidRPr="0084218F">
        <w:rPr>
          <w:color w:val="000000"/>
        </w:rPr>
        <w:t>Agência Nacional de Energia Elétrica – ANEEL</w:t>
      </w:r>
      <w:r w:rsidRPr="0084218F">
        <w:t xml:space="preserve"> e Conselho Administrativo de Defesa Econômica - CADE;</w:t>
      </w:r>
    </w:p>
    <w:p w14:paraId="5450E4AE" w14:textId="2DC3938B" w:rsidR="00201511" w:rsidRPr="0084218F" w:rsidRDefault="00201511" w:rsidP="00C80414">
      <w:pPr>
        <w:pStyle w:val="alpha3"/>
      </w:pPr>
      <w:r w:rsidRPr="0084218F">
        <w:t xml:space="preserve">ceder e transferir ou de qualquer outra forma alienar, no todo ou em parte, os </w:t>
      </w:r>
      <w:r w:rsidRPr="0084218F">
        <w:rPr>
          <w:color w:val="000000"/>
        </w:rPr>
        <w:t>Direitos de Participação Alienados Fiduciariamente</w:t>
      </w:r>
      <w:r w:rsidRPr="0084218F">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Alienante o que porventura sobejar;</w:t>
      </w:r>
    </w:p>
    <w:p w14:paraId="49FDE173" w14:textId="75DD6ECC" w:rsidR="00201511" w:rsidRPr="0084218F" w:rsidRDefault="00201511" w:rsidP="00C80414">
      <w:pPr>
        <w:pStyle w:val="alpha3"/>
      </w:pPr>
      <w:r w:rsidRPr="0084218F">
        <w:t>receber pagamentos e dar quitação de quaisquer outros valores devidos com relação ao Contrato, utilizando os valores recebidos para a satisfação das Obrigações Garantidas e devolvendo à Alienante o que porventura sobejar;</w:t>
      </w:r>
    </w:p>
    <w:p w14:paraId="55408AF0" w14:textId="4AF08B62" w:rsidR="00201511" w:rsidRPr="0084218F" w:rsidRDefault="00201511" w:rsidP="00C80414">
      <w:pPr>
        <w:pStyle w:val="alpha3"/>
      </w:pPr>
      <w:r w:rsidRPr="0084218F">
        <w:rPr>
          <w:color w:val="000000"/>
          <w:w w:val="0"/>
        </w:rPr>
        <w:t>firmar quaisquer documentos e praticar quaisquer atos em nome d</w:t>
      </w:r>
      <w:r w:rsidR="0030584D" w:rsidRPr="0084218F">
        <w:rPr>
          <w:color w:val="000000"/>
          <w:w w:val="0"/>
        </w:rPr>
        <w:t>a Alienante</w:t>
      </w:r>
      <w:r w:rsidRPr="0084218F">
        <w:rPr>
          <w:color w:val="000000"/>
          <w:w w:val="0"/>
        </w:rPr>
        <w:t xml:space="preserve"> e/ou da Emissora relativos à alienação fiduciária objeto do presente Contrato, inclusive aos </w:t>
      </w:r>
      <w:r w:rsidRPr="0084218F">
        <w:rPr>
          <w:color w:val="000000"/>
        </w:rPr>
        <w:t>Direitos de Participação Alienados Fiduciariamente</w:t>
      </w:r>
      <w:r w:rsidRPr="0084218F">
        <w:rPr>
          <w:color w:val="000000"/>
          <w:w w:val="0"/>
        </w:rPr>
        <w:t>, na medida em que sejam os referidos atos ou documentos necessários para constituir, aditar, conservar, manter, formalizar, validar ou realizar a cessão fiduciária objeto do Contrato,</w:t>
      </w:r>
      <w:r w:rsidRPr="0084218F">
        <w:rPr>
          <w:color w:val="000000"/>
        </w:rPr>
        <w:t xml:space="preserve"> </w:t>
      </w:r>
      <w:r w:rsidRPr="0084218F">
        <w:rPr>
          <w:color w:val="000000"/>
          <w:w w:val="0"/>
        </w:rPr>
        <w:t>podendo, ainda, exercer todos os direitos e praticar todos os atos previstos no artigo 1.364 e no parágrafo primeiro do artigo 661 do Código Civil.</w:t>
      </w:r>
    </w:p>
    <w:p w14:paraId="4621C7EE" w14:textId="2E499934" w:rsidR="00201511" w:rsidRPr="0084218F" w:rsidRDefault="00201511" w:rsidP="00C80414">
      <w:pPr>
        <w:pStyle w:val="Level2"/>
      </w:pPr>
      <w:r w:rsidRPr="0084218F">
        <w:t>O</w:t>
      </w:r>
      <w:r w:rsidR="0084142C" w:rsidRPr="0084218F">
        <w:t>s Debenturistas</w:t>
      </w:r>
      <w:r w:rsidRPr="0084218F">
        <w:t xml:space="preserve"> ter</w:t>
      </w:r>
      <w:r w:rsidR="0084142C" w:rsidRPr="0084218F">
        <w:t>ão</w:t>
      </w:r>
      <w:r w:rsidRPr="0084218F">
        <w:t xml:space="preserve"> o direito de imediatamente exercer em relação aos </w:t>
      </w:r>
      <w:r w:rsidRPr="0084218F">
        <w:rPr>
          <w:color w:val="000000"/>
        </w:rPr>
        <w:t>Direitos de Participação Alienados Fiduciariamente</w:t>
      </w:r>
      <w:r w:rsidRPr="0084218F">
        <w:t xml:space="preserve"> todos os poderes que lhe são assegurados pelo presente Contrato e pela legislação vigente, podendo, inclusive, vender e transferir, total ou parcialmente, os </w:t>
      </w:r>
      <w:r w:rsidRPr="0084218F">
        <w:rPr>
          <w:color w:val="000000"/>
        </w:rPr>
        <w:t>Direitos de Participação Alienados Fiduciariamente</w:t>
      </w:r>
      <w:r w:rsidRPr="0084218F">
        <w:t xml:space="preserve"> a qualquer terceiro, conforme preço e outras condições que o</w:t>
      </w:r>
      <w:r w:rsidR="0084142C" w:rsidRPr="0084218F">
        <w:t>s</w:t>
      </w:r>
      <w:r w:rsidRPr="0084218F">
        <w:t xml:space="preserve"> </w:t>
      </w:r>
      <w:r w:rsidR="0084142C" w:rsidRPr="0084218F">
        <w:t>Debenturistas</w:t>
      </w:r>
      <w:r w:rsidRPr="0084218F">
        <w:t xml:space="preserve"> vier</w:t>
      </w:r>
      <w:r w:rsidR="0084142C" w:rsidRPr="0084218F">
        <w:t>em</w:t>
      </w:r>
      <w:r w:rsidRPr="0084218F">
        <w:t xml:space="preserve"> a estabelecer, independentemente de qualquer comunicação à Emissora e/ou à Alienante, observado o disposto na</w:t>
      </w:r>
      <w:r w:rsidR="0084142C" w:rsidRPr="0084218F">
        <w:t>s</w:t>
      </w:r>
      <w:r w:rsidRPr="0084218F">
        <w:t xml:space="preserve"> Cláusula</w:t>
      </w:r>
      <w:r w:rsidR="0084142C" w:rsidRPr="0084218F">
        <w:t>s</w:t>
      </w:r>
      <w:r w:rsidRPr="0084218F">
        <w:t xml:space="preserve"> </w:t>
      </w:r>
      <w:r w:rsidR="00C802F2" w:rsidRPr="0084218F">
        <w:t>5</w:t>
      </w:r>
      <w:r w:rsidR="0084142C" w:rsidRPr="0084218F">
        <w:t xml:space="preserve">.1.1 e </w:t>
      </w:r>
      <w:r w:rsidRPr="0084218F">
        <w:t>5.2</w:t>
      </w:r>
      <w:r w:rsidR="0084142C" w:rsidRPr="0084218F">
        <w:t xml:space="preserve"> acima</w:t>
      </w:r>
      <w:r w:rsidRPr="0084218F">
        <w:t>.</w:t>
      </w:r>
    </w:p>
    <w:p w14:paraId="2A27DE7B" w14:textId="33F41E64" w:rsidR="00201511" w:rsidRPr="0084218F" w:rsidRDefault="00201511" w:rsidP="00C80414">
      <w:pPr>
        <w:pStyle w:val="Level2"/>
      </w:pPr>
      <w:r w:rsidRPr="0084218F">
        <w:t>O</w:t>
      </w:r>
      <w:r w:rsidR="0084142C" w:rsidRPr="0084218F">
        <w:t>s Debenturistas</w:t>
      </w:r>
      <w:r w:rsidRPr="0084218F">
        <w:t xml:space="preserve">, após a satisfação integral das Obrigações Garantidas, </w:t>
      </w:r>
      <w:r w:rsidR="0084142C" w:rsidRPr="0084218F">
        <w:t xml:space="preserve">observada a Cláusula </w:t>
      </w:r>
      <w:r w:rsidR="00C802F2" w:rsidRPr="0084218F">
        <w:t>5</w:t>
      </w:r>
      <w:r w:rsidR="0084142C" w:rsidRPr="0084218F">
        <w:t xml:space="preserve">.1.1 acima, </w:t>
      </w:r>
      <w:r w:rsidRPr="0084218F">
        <w:t>entregar</w:t>
      </w:r>
      <w:r w:rsidR="0084142C" w:rsidRPr="0084218F">
        <w:t>ão</w:t>
      </w:r>
      <w:r w:rsidRPr="0084218F">
        <w:t xml:space="preserve"> à Alienante o valor que porventura sobejar. Caso o produto da excussão seja insuficiente para o pagamento integral do valor total de todas as importâncias devidas, </w:t>
      </w:r>
      <w:r w:rsidR="0030584D" w:rsidRPr="0084218F">
        <w:t>a Alienante permanecerá</w:t>
      </w:r>
      <w:r w:rsidRPr="0084218F">
        <w:t xml:space="preserve"> </w:t>
      </w:r>
      <w:r w:rsidR="00595371" w:rsidRPr="0084218F">
        <w:t xml:space="preserve">responsável </w:t>
      </w:r>
      <w:r w:rsidRPr="0084218F">
        <w:t>pelo saldo devedor e o presente Contrato continuará a viger até a satisfação integral de toda Obrigação Garantida.</w:t>
      </w:r>
    </w:p>
    <w:p w14:paraId="41DA9973" w14:textId="7D0A8C30" w:rsidR="00201511" w:rsidRPr="0084218F" w:rsidRDefault="0030584D" w:rsidP="00C80414">
      <w:pPr>
        <w:pStyle w:val="Level2"/>
      </w:pPr>
      <w:r w:rsidRPr="0084218F">
        <w:lastRenderedPageBreak/>
        <w:t>a Alienante</w:t>
      </w:r>
      <w:r w:rsidR="00201511" w:rsidRPr="0084218F">
        <w:t xml:space="preserve"> reconhece que, devendo a excussão das garantias objeto do presente Contrato ser realizada em condições de celeridade e segurança, poderá o</w:t>
      </w:r>
      <w:r w:rsidR="0084142C" w:rsidRPr="0084218F">
        <w:t>s</w:t>
      </w:r>
      <w:r w:rsidR="00201511" w:rsidRPr="0084218F">
        <w:t xml:space="preserve"> </w:t>
      </w:r>
      <w:r w:rsidR="0084142C" w:rsidRPr="0084218F">
        <w:t xml:space="preserve">Debenturistas, observada a Cláusula </w:t>
      </w:r>
      <w:r w:rsidR="00C802F2" w:rsidRPr="0084218F">
        <w:t>5</w:t>
      </w:r>
      <w:r w:rsidR="0084142C" w:rsidRPr="0084218F">
        <w:t>.1.1 acima,</w:t>
      </w:r>
      <w:r w:rsidR="00201511" w:rsidRPr="0084218F">
        <w:t xml:space="preserve"> aceitar</w:t>
      </w:r>
      <w:r w:rsidR="0084142C" w:rsidRPr="0084218F">
        <w:t>em</w:t>
      </w:r>
      <w:r w:rsidR="00201511" w:rsidRPr="0084218F">
        <w:t xml:space="preserve"> qualquer oferta, no caso de venda ou transferência dos </w:t>
      </w:r>
      <w:r w:rsidR="00201511" w:rsidRPr="0084218F">
        <w:rPr>
          <w:color w:val="000000"/>
        </w:rPr>
        <w:t>Direitos de Participação Alienados Fiduciariamente</w:t>
      </w:r>
      <w:r w:rsidR="00201511" w:rsidRPr="0084218F">
        <w:t>, que não configure preço vil.</w:t>
      </w:r>
    </w:p>
    <w:p w14:paraId="2BB01699" w14:textId="1CB66C76" w:rsidR="00201511" w:rsidRPr="0084218F" w:rsidRDefault="00201511" w:rsidP="00C80414">
      <w:pPr>
        <w:pStyle w:val="Level2"/>
      </w:pPr>
      <w:r w:rsidRPr="0084218F">
        <w:t xml:space="preserve">Na hipótese de mora ou inadimplemento, total ou parcial, de qualquer Obrigação Garantida, ou na hipótese de vencimento antecipado das Debêntures, </w:t>
      </w:r>
      <w:r w:rsidR="007A524F" w:rsidRPr="0084218F">
        <w:t xml:space="preserve">os Debenturistas </w:t>
      </w:r>
      <w:r w:rsidRPr="0084218F">
        <w:t>poder</w:t>
      </w:r>
      <w:r w:rsidR="003C177E" w:rsidRPr="0084218F">
        <w:t>ão</w:t>
      </w:r>
      <w:r w:rsidRPr="0084218F">
        <w:t xml:space="preserve"> praticar todos e quaisquer atos necessários à excussão das garantias objeto do presente Contrato, conforme esta Cláusula 5, </w:t>
      </w:r>
      <w:r w:rsidR="003C177E" w:rsidRPr="0084218F">
        <w:t xml:space="preserve">observada a Cláusula </w:t>
      </w:r>
      <w:r w:rsidR="00C802F2" w:rsidRPr="0084218F">
        <w:t>5</w:t>
      </w:r>
      <w:r w:rsidR="003C177E" w:rsidRPr="0084218F">
        <w:t>.1.1</w:t>
      </w:r>
      <w:r w:rsidR="0084142C" w:rsidRPr="0084218F">
        <w:t xml:space="preserve"> acima</w:t>
      </w:r>
      <w:r w:rsidR="003C177E" w:rsidRPr="0084218F">
        <w:t xml:space="preserve">, </w:t>
      </w:r>
      <w:r w:rsidRPr="0084218F">
        <w:t>podendo inclusive firmar os respectivos contratos, receber valores, receber e dar quitação, transigir, podendo solicitar todas as averbações, registros e autorizações (inclusive autorizações regulatórias) que porventura sejam necessários. Sem prejuízo do disposto acima e do reconhecimento da titularidade fiduciária do</w:t>
      </w:r>
      <w:r w:rsidR="006A428D" w:rsidRPr="0084218F">
        <w:t>s</w:t>
      </w:r>
      <w:r w:rsidRPr="0084218F">
        <w:t xml:space="preserve"> </w:t>
      </w:r>
      <w:r w:rsidR="006A428D" w:rsidRPr="0084218F">
        <w:t>Debenturistas</w:t>
      </w:r>
      <w:r w:rsidRPr="0084218F">
        <w:t xml:space="preserve"> sobre os </w:t>
      </w:r>
      <w:r w:rsidRPr="0084218F">
        <w:rPr>
          <w:color w:val="000000"/>
        </w:rPr>
        <w:t>Direitos de Participação Alienados Fiduciariamente</w:t>
      </w:r>
      <w:r w:rsidRPr="0084218F">
        <w:t xml:space="preserve">, </w:t>
      </w:r>
      <w:r w:rsidR="0030584D" w:rsidRPr="0084218F">
        <w:t>a Alienante</w:t>
      </w:r>
      <w:r w:rsidRPr="0084218F">
        <w:t>, em caráter irrevogável e irretratável, a fim de facilitar a execução deste Contrato, outorgam ao</w:t>
      </w:r>
      <w:r w:rsidR="006A428D" w:rsidRPr="0084218F">
        <w:t>s Debenturistas</w:t>
      </w:r>
      <w:r w:rsidRPr="0084218F">
        <w:t xml:space="preserve">, nesta data, procuração na forma do </w:t>
      </w:r>
      <w:r w:rsidRPr="0084218F">
        <w:rPr>
          <w:u w:val="single"/>
        </w:rPr>
        <w:t>Anexo II</w:t>
      </w:r>
      <w:r w:rsidRPr="0084218F">
        <w:t xml:space="preserve"> deste Contrato, com prazo de vigência de um ano. </w:t>
      </w:r>
      <w:r w:rsidR="0030584D" w:rsidRPr="0084218F">
        <w:t>A Alienante</w:t>
      </w:r>
      <w:r w:rsidRPr="0084218F">
        <w:t xml:space="preserve"> (i) renovarão sucessiva e automaticamente a procuração outorgada e entregará a via original ao</w:t>
      </w:r>
      <w:r w:rsidR="006A428D" w:rsidRPr="0084218F">
        <w:t>s Debenturistas</w:t>
      </w:r>
      <w:r w:rsidRPr="0084218F">
        <w:t xml:space="preserve"> pelo menos 30 (trinta) dias antes do término da vigência da procuração a ser renovada, de modo a manter vigentes os correspondentes poderes durante todo o prazo deste Contrato; e (ii) se solicitado </w:t>
      </w:r>
      <w:r w:rsidR="006A428D" w:rsidRPr="0084218F">
        <w:t>por qualquer dos</w:t>
      </w:r>
      <w:r w:rsidRPr="0084218F">
        <w:t xml:space="preserve"> </w:t>
      </w:r>
      <w:r w:rsidR="006A428D" w:rsidRPr="0084218F">
        <w:t>Debenturistas</w:t>
      </w:r>
      <w:r w:rsidRPr="0084218F">
        <w:t xml:space="preserve">, outorgarão imediatamente procurações idênticas aos </w:t>
      </w:r>
      <w:r w:rsidR="006A428D" w:rsidRPr="0084218F">
        <w:t xml:space="preserve">seus respectivos </w:t>
      </w:r>
      <w:r w:rsidRPr="0084218F">
        <w:t>sucessores ou a qualquer terceiro indicado pelo</w:t>
      </w:r>
      <w:r w:rsidR="006A428D" w:rsidRPr="0084218F">
        <w:t>s Debenturistas, conforme aplicável</w:t>
      </w:r>
      <w:r w:rsidRPr="0084218F">
        <w:t xml:space="preserve">. </w:t>
      </w:r>
      <w:r w:rsidR="0030584D" w:rsidRPr="0084218F">
        <w:t>A Alienante</w:t>
      </w:r>
      <w:r w:rsidRPr="0084218F">
        <w:t xml:space="preserve"> cooperar</w:t>
      </w:r>
      <w:r w:rsidR="0030584D" w:rsidRPr="0084218F">
        <w:t>á</w:t>
      </w:r>
      <w:r w:rsidRPr="0084218F">
        <w:t xml:space="preserve"> com o</w:t>
      </w:r>
      <w:r w:rsidR="006A428D" w:rsidRPr="0084218F">
        <w:t>s Debenturistas</w:t>
      </w:r>
      <w:r w:rsidRPr="0084218F">
        <w:t xml:space="preserve"> em tudo o que se fizer necessário ao cumprimento dos procedimentos aqui estipulados, inclusive no que se refere ao atendimento às exigências legais e regulamentares necessárias à cessão e transferência dos </w:t>
      </w:r>
      <w:r w:rsidRPr="0084218F">
        <w:rPr>
          <w:color w:val="000000"/>
        </w:rPr>
        <w:t>Direitos de Participação Alienados Fiduciariamente</w:t>
      </w:r>
      <w:r w:rsidRPr="0084218F">
        <w:t>. O</w:t>
      </w:r>
      <w:r w:rsidR="006A428D" w:rsidRPr="0084218F">
        <w:t>s Debenturistas</w:t>
      </w:r>
      <w:r w:rsidRPr="0084218F">
        <w:t xml:space="preserve"> far</w:t>
      </w:r>
      <w:r w:rsidR="006A428D" w:rsidRPr="0084218F">
        <w:t>ão</w:t>
      </w:r>
      <w:r w:rsidRPr="0084218F">
        <w:t xml:space="preserve"> uso dos poderes mencionados nesta cláusula e dos conferidos pela procuração apenas para a preservação e excussão das garantias objeto do presente Contrato e satisfação das Obrigações Garantidas, sempre em conformidade com este Contrato e os demais Documentos da Operação.</w:t>
      </w:r>
    </w:p>
    <w:p w14:paraId="7A0F40FA" w14:textId="4C523185" w:rsidR="00201511" w:rsidRPr="0084218F" w:rsidRDefault="006A428D" w:rsidP="00C80414">
      <w:pPr>
        <w:pStyle w:val="Level2"/>
      </w:pPr>
      <w:r w:rsidRPr="0084218F">
        <w:t xml:space="preserve">Observada a Cláusula </w:t>
      </w:r>
      <w:r w:rsidR="00C802F2" w:rsidRPr="0084218F">
        <w:t>5</w:t>
      </w:r>
      <w:r w:rsidRPr="0084218F">
        <w:t>.1.1 acima, os Debenturistas</w:t>
      </w:r>
      <w:r w:rsidR="00201511" w:rsidRPr="0084218F">
        <w:t xml:space="preserve"> poder</w:t>
      </w:r>
      <w:r w:rsidRPr="0084218F">
        <w:t>ão</w:t>
      </w:r>
      <w:r w:rsidR="00201511" w:rsidRPr="0084218F">
        <w:t>,</w:t>
      </w:r>
      <w:r w:rsidR="00201511" w:rsidRPr="0084218F" w:rsidDel="00D748D2">
        <w:t xml:space="preserve"> </w:t>
      </w:r>
      <w:r w:rsidR="00201511" w:rsidRPr="0084218F">
        <w:t xml:space="preserve">a seu exclusivo critério excutir as garantias objeto do presente Contrato </w:t>
      </w:r>
      <w:r w:rsidR="0030584D" w:rsidRPr="0084218F">
        <w:t xml:space="preserve">e das Escrituras de Emissão </w:t>
      </w:r>
      <w:r w:rsidR="00201511" w:rsidRPr="0084218F">
        <w:t xml:space="preserve">separadamente ou em conjunto com uma ou mais das demais garantias que lhes sejam concedidas em decorrência dos </w:t>
      </w:r>
      <w:r w:rsidR="00C802F2" w:rsidRPr="0084218F">
        <w:t xml:space="preserve">respectivos </w:t>
      </w:r>
      <w:r w:rsidR="00201511" w:rsidRPr="0084218F">
        <w:t xml:space="preserve">Documentos da Operação. </w:t>
      </w:r>
      <w:r w:rsidR="00CE7F56" w:rsidRPr="0084218F">
        <w:t>No âmbito de cada uma das Emissões, a</w:t>
      </w:r>
      <w:r w:rsidR="00201511" w:rsidRPr="0084218F">
        <w:t xml:space="preserve"> execução de uma garantia não prejudicará a posterior execução de outra garantia, devendo todas as garantias concedidas, inclusive a presente Alienação Fiduciária, permanecer válidas e eficazes até a integral satisfação de todas as Obrigações Garantidas. No caso d</w:t>
      </w:r>
      <w:r w:rsidR="007A524F" w:rsidRPr="0084218F">
        <w:t>os</w:t>
      </w:r>
      <w:r w:rsidR="00201511" w:rsidRPr="0084218F">
        <w:t xml:space="preserve"> </w:t>
      </w:r>
      <w:r w:rsidR="007A524F" w:rsidRPr="0084218F">
        <w:t>Debenturistas</w:t>
      </w:r>
      <w:r w:rsidR="00201511" w:rsidRPr="0084218F">
        <w:t xml:space="preserve"> vi</w:t>
      </w:r>
      <w:r w:rsidR="007A524F" w:rsidRPr="0084218F">
        <w:t>e</w:t>
      </w:r>
      <w:r w:rsidR="00201511" w:rsidRPr="0084218F">
        <w:t>r</w:t>
      </w:r>
      <w:r w:rsidR="007A524F" w:rsidRPr="0084218F">
        <w:t>em</w:t>
      </w:r>
      <w:r w:rsidR="00201511" w:rsidRPr="0084218F">
        <w:t xml:space="preserve"> a excutir qualquer garantia objeto do presente Contrato, </w:t>
      </w:r>
      <w:r w:rsidR="0030584D" w:rsidRPr="0084218F">
        <w:t>a Alienante</w:t>
      </w:r>
      <w:r w:rsidR="00201511" w:rsidRPr="0084218F">
        <w:t xml:space="preserve"> desde já renuncia a todas as exceções que porventura lhes competirem e obrigam-se a não as opor ao</w:t>
      </w:r>
      <w:r w:rsidR="007A524F" w:rsidRPr="0084218F">
        <w:t>s Debenturistas</w:t>
      </w:r>
      <w:r w:rsidR="00201511" w:rsidRPr="0084218F">
        <w:t>.</w:t>
      </w:r>
    </w:p>
    <w:p w14:paraId="52CA6CFA" w14:textId="785965F5" w:rsidR="00201511" w:rsidRPr="0084218F" w:rsidRDefault="00201511" w:rsidP="00C80414">
      <w:pPr>
        <w:pStyle w:val="Level2"/>
      </w:pPr>
      <w:r w:rsidRPr="0084218F">
        <w:t>Para os fins do presente Contrato, o</w:t>
      </w:r>
      <w:r w:rsidR="007A524F" w:rsidRPr="0084218F">
        <w:t>s</w:t>
      </w:r>
      <w:r w:rsidRPr="0084218F">
        <w:t xml:space="preserve"> </w:t>
      </w:r>
      <w:bookmarkStart w:id="55" w:name="_DV_M160"/>
      <w:bookmarkEnd w:id="55"/>
      <w:r w:rsidR="007A524F" w:rsidRPr="0084218F">
        <w:t>Debenturistas</w:t>
      </w:r>
      <w:r w:rsidRPr="0084218F">
        <w:t xml:space="preserve"> poder</w:t>
      </w:r>
      <w:r w:rsidR="007A524F" w:rsidRPr="0084218F">
        <w:t>ão</w:t>
      </w:r>
      <w:r w:rsidRPr="0084218F">
        <w:t xml:space="preserve"> buscar a execução específica das obrigações aqui previstas, nos termos dos artigos 497 e seguintes, 538 e dos artigos sobre as diversas espécies de execução (artigo 797 e seguintes), todos do Código de Processo Civil.</w:t>
      </w:r>
    </w:p>
    <w:p w14:paraId="7C4851EF" w14:textId="00634E8C" w:rsidR="00201511" w:rsidRPr="0084218F" w:rsidRDefault="00201511" w:rsidP="00C80414">
      <w:pPr>
        <w:pStyle w:val="Level2"/>
      </w:pPr>
      <w:r w:rsidRPr="0084218F">
        <w:lastRenderedPageBreak/>
        <w:t xml:space="preserve">Para fins e efeitos da excussão de que trata esta Cláusula 5, </w:t>
      </w:r>
      <w:r w:rsidR="0030584D" w:rsidRPr="0084218F">
        <w:t>a Alienante</w:t>
      </w:r>
      <w:r w:rsidRPr="0084218F">
        <w:t xml:space="preserve"> e a Emissora renunciam a qualquer direito ou privilégio, legal ou contratual (exceto por normas cogentes ou de ordem pública), que possa afetar a livre e integral exequibilidade e transferência dos Direitos de Participação Alienados Fiduciariamente no caso de sua excussão, estendendo-se tal renúncia, inclusive, a quaisquer direitos de preferência ou outros previstos em lei ou em qualquer documento, incluindo o estatuto social d</w:t>
      </w:r>
      <w:r w:rsidR="0030584D" w:rsidRPr="0084218F">
        <w:t>a Alienante</w:t>
      </w:r>
      <w:r w:rsidRPr="0084218F">
        <w:t xml:space="preserve"> e/ou da Emissora e qualquer contrato ou acordo celebrado ou que venha a ser celebrado.</w:t>
      </w:r>
    </w:p>
    <w:p w14:paraId="1F0EAAC7" w14:textId="47DD5BB9" w:rsidR="00201511" w:rsidRPr="0084218F" w:rsidRDefault="00201511" w:rsidP="00C80414">
      <w:pPr>
        <w:pStyle w:val="Level2"/>
      </w:pPr>
      <w:r w:rsidRPr="0084218F">
        <w:t>Todas as despesas e custos com a execução do presente Contrato (incluindo eventuais emolumentos, avaliações e tributos) serão de responsabilidade exclusiva d</w:t>
      </w:r>
      <w:r w:rsidR="0030584D" w:rsidRPr="0084218F">
        <w:t>a Alienante</w:t>
      </w:r>
      <w:r w:rsidRPr="0084218F">
        <w:t xml:space="preserve"> e serão por elas adiantadas. No caso de </w:t>
      </w:r>
      <w:r w:rsidR="0030584D" w:rsidRPr="0084218F">
        <w:t>a Alienante</w:t>
      </w:r>
      <w:r w:rsidRPr="0084218F">
        <w:t xml:space="preserve"> deixarem de fazer o adiantamento, o</w:t>
      </w:r>
      <w:r w:rsidR="000D0A0F" w:rsidRPr="0084218F">
        <w:t>s Debenturistas</w:t>
      </w:r>
      <w:r w:rsidRPr="0084218F">
        <w:t xml:space="preserve"> poder</w:t>
      </w:r>
      <w:r w:rsidR="000D0A0F" w:rsidRPr="0084218F">
        <w:t>ão</w:t>
      </w:r>
      <w:r w:rsidRPr="0084218F">
        <w:t xml:space="preserve">, a seu critério, realizar os pagamentos e deduzi-los do valor apurado com a excussão dos </w:t>
      </w:r>
      <w:r w:rsidRPr="0084218F">
        <w:rPr>
          <w:color w:val="000000"/>
        </w:rPr>
        <w:t>Direitos de Participação Alienados Fiduciariamente</w:t>
      </w:r>
      <w:r w:rsidRPr="0084218F">
        <w:t>, acrescidas de correção monetária calculada pela variação do IPCA.</w:t>
      </w:r>
    </w:p>
    <w:p w14:paraId="56DB912B" w14:textId="1214B1A2" w:rsidR="00201511" w:rsidRPr="00C80414" w:rsidRDefault="00201511" w:rsidP="00C80414">
      <w:pPr>
        <w:pStyle w:val="Level1"/>
        <w:rPr>
          <w:b/>
          <w:bCs/>
        </w:rPr>
      </w:pPr>
      <w:bookmarkStart w:id="56" w:name="_DV_M233"/>
      <w:bookmarkEnd w:id="54"/>
      <w:bookmarkEnd w:id="56"/>
      <w:r w:rsidRPr="00C80414">
        <w:rPr>
          <w:b/>
          <w:bCs/>
        </w:rPr>
        <w:t>OBRIGAÇÕES D</w:t>
      </w:r>
      <w:r w:rsidR="0030584D" w:rsidRPr="00C80414">
        <w:rPr>
          <w:b/>
          <w:bCs/>
        </w:rPr>
        <w:t>A ALIENANTE</w:t>
      </w:r>
    </w:p>
    <w:p w14:paraId="489AE536" w14:textId="1D12F003" w:rsidR="00201511" w:rsidRPr="0084218F" w:rsidRDefault="00201511" w:rsidP="00C80414">
      <w:pPr>
        <w:pStyle w:val="Level2"/>
      </w:pPr>
      <w:r w:rsidRPr="0084218F">
        <w:t xml:space="preserve">Sem prejuízo das demais obrigações previstas neste Contrato e nos demais Documentos da Operação, </w:t>
      </w:r>
      <w:r w:rsidR="0030584D" w:rsidRPr="0084218F">
        <w:t>a Alienante</w:t>
      </w:r>
      <w:r w:rsidRPr="0084218F">
        <w:t xml:space="preserve"> obriga</w:t>
      </w:r>
      <w:r w:rsidRPr="0084218F">
        <w:noBreakHyphen/>
        <w:t>se a, sempre às suas custas e expensas exclusivas:</w:t>
      </w:r>
    </w:p>
    <w:p w14:paraId="48259209" w14:textId="00B426C0" w:rsidR="00201511" w:rsidRPr="00C80414" w:rsidRDefault="00201511" w:rsidP="00C80414">
      <w:pPr>
        <w:pStyle w:val="alpha3"/>
        <w:numPr>
          <w:ilvl w:val="0"/>
          <w:numId w:val="231"/>
        </w:numPr>
        <w:rPr>
          <w:color w:val="000000"/>
        </w:rPr>
      </w:pPr>
      <w:r w:rsidRPr="0084218F">
        <w:t>assinar, anotar e prontamente entregar, ou fazer com que sejam assinados, anotados e entregues, ao</w:t>
      </w:r>
      <w:r w:rsidR="000D0A0F" w:rsidRPr="0084218F">
        <w:t>s</w:t>
      </w:r>
      <w:r w:rsidRPr="0084218F">
        <w:t xml:space="preserve"> </w:t>
      </w:r>
      <w:r w:rsidR="000D0A0F" w:rsidRPr="0084218F">
        <w:t>Debenturistas</w:t>
      </w:r>
      <w:r w:rsidRPr="0084218F">
        <w:t>, cópias de todos os livros societários, extratos de custódia, bem como tomar todas as demais medidas que o</w:t>
      </w:r>
      <w:r w:rsidR="000D0A0F" w:rsidRPr="0084218F">
        <w:t>s Debenturistas</w:t>
      </w:r>
      <w:r w:rsidRPr="0084218F">
        <w:t xml:space="preserve"> venha</w:t>
      </w:r>
      <w:r w:rsidR="000D0A0F" w:rsidRPr="0084218F">
        <w:t>m</w:t>
      </w:r>
      <w:r w:rsidRPr="0084218F">
        <w:t xml:space="preserve"> razoavelmente a solicitar por </w:t>
      </w:r>
      <w:r w:rsidRPr="00C80414">
        <w:rPr>
          <w:color w:val="000000"/>
        </w:rPr>
        <w:t>escrito, ou que sejam necessárias ou úteis, para (i) proteger os Direitos de Participação Alienados Fiduciariamente, (ii) garantir o cumprimento das obrigações assumidas neste Contrato, ou (iii) garantir a legalidade, validade e exequibilidade deste Contrato;</w:t>
      </w:r>
      <w:bookmarkStart w:id="57" w:name="_Hlk875854"/>
    </w:p>
    <w:p w14:paraId="58F8C528" w14:textId="0A5419F6" w:rsidR="00201511" w:rsidRPr="0084218F" w:rsidRDefault="00201511" w:rsidP="00C80414">
      <w:pPr>
        <w:pStyle w:val="alpha3"/>
        <w:rPr>
          <w:color w:val="000000"/>
        </w:rPr>
      </w:pPr>
      <w:r w:rsidRPr="0084218F">
        <w:rPr>
          <w:color w:val="000000"/>
        </w:rPr>
        <w:t>cumprir e fazer com que seus administradores e empregados cumpram a todas as instruções por escrito emanadas do</w:t>
      </w:r>
      <w:r w:rsidR="000D0A0F" w:rsidRPr="0084218F">
        <w:rPr>
          <w:color w:val="000000"/>
        </w:rPr>
        <w:t>s Debenturistas</w:t>
      </w:r>
      <w:r w:rsidRPr="0084218F">
        <w:rPr>
          <w:color w:val="000000"/>
        </w:rPr>
        <w:t xml:space="preserve"> para reparação e regularização de obrigações em mora ou inadimplidas ou de Evento de Inadimplemento, e/ou para excussão da garantia ora constituída, conforme o caso;</w:t>
      </w:r>
      <w:bookmarkEnd w:id="57"/>
    </w:p>
    <w:p w14:paraId="3DD56707" w14:textId="5774A02F" w:rsidR="00201511" w:rsidRPr="0084218F" w:rsidRDefault="00201511" w:rsidP="00C80414">
      <w:pPr>
        <w:pStyle w:val="alpha3"/>
        <w:rPr>
          <w:color w:val="000000"/>
        </w:rPr>
      </w:pPr>
      <w:r w:rsidRPr="0084218F">
        <w:rPr>
          <w:color w:val="000000"/>
        </w:rPr>
        <w:t xml:space="preserve">manter a garantia ora constituída sempre existente, válida, eficaz, em perfeita ordem e em pleno vigor, sem qualquer restrição ou condição, e os Direitos de Participação Alienados Fiduciariamente livres e desembaraçados de </w:t>
      </w:r>
      <w:r w:rsidRPr="0084218F">
        <w:t xml:space="preserve">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 </w:t>
      </w:r>
      <w:r w:rsidRPr="0084218F">
        <w:rPr>
          <w:color w:val="000000"/>
        </w:rPr>
        <w:t>salvo o Ônus constituído em favor do</w:t>
      </w:r>
      <w:r w:rsidR="000D0A0F" w:rsidRPr="0084218F">
        <w:rPr>
          <w:color w:val="000000"/>
        </w:rPr>
        <w:t>s Debenturistas</w:t>
      </w:r>
      <w:r w:rsidRPr="0084218F">
        <w:rPr>
          <w:color w:val="000000"/>
        </w:rPr>
        <w:t xml:space="preserve"> </w:t>
      </w:r>
      <w:r w:rsidRPr="0084218F">
        <w:t>neste Contrato</w:t>
      </w:r>
      <w:r w:rsidRPr="0084218F">
        <w:rPr>
          <w:color w:val="000000"/>
        </w:rPr>
        <w:t xml:space="preserve">; </w:t>
      </w:r>
    </w:p>
    <w:p w14:paraId="7143F583" w14:textId="77777777" w:rsidR="00201511" w:rsidRPr="0084218F" w:rsidRDefault="00201511" w:rsidP="00C80414">
      <w:pPr>
        <w:pStyle w:val="alpha3"/>
        <w:rPr>
          <w:color w:val="000000"/>
        </w:rPr>
      </w:pPr>
      <w:r w:rsidRPr="0084218F">
        <w:rPr>
          <w:color w:val="000000"/>
        </w:rPr>
        <w:t>manter todas as autorizações necessárias à celebração e ao cumprimento deste Contrato, dos demais Documentos da Operação sempre válidas, eficazes, em perfeita ordem e em pleno vigor;</w:t>
      </w:r>
    </w:p>
    <w:p w14:paraId="332DD73C" w14:textId="30321AE8" w:rsidR="00201511" w:rsidRPr="0084218F" w:rsidRDefault="00201511" w:rsidP="00C80414">
      <w:pPr>
        <w:pStyle w:val="alpha3"/>
        <w:rPr>
          <w:color w:val="000000"/>
        </w:rPr>
      </w:pPr>
      <w:r w:rsidRPr="0084218F">
        <w:rPr>
          <w:color w:val="000000"/>
        </w:rPr>
        <w:lastRenderedPageBreak/>
        <w:t>cumprir fiel e integralmente todas as suas obrigações decorrentes deste Contrato, dos demais Documentos da Operação e de qualquer outro documento relacionado à</w:t>
      </w:r>
      <w:r w:rsidR="00CE7F56" w:rsidRPr="0084218F">
        <w:rPr>
          <w:color w:val="000000"/>
        </w:rPr>
        <w:t>s</w:t>
      </w:r>
      <w:r w:rsidRPr="0084218F">
        <w:rPr>
          <w:color w:val="000000"/>
        </w:rPr>
        <w:t xml:space="preserve"> </w:t>
      </w:r>
      <w:r w:rsidR="00CE7F56" w:rsidRPr="0084218F">
        <w:rPr>
          <w:color w:val="000000"/>
        </w:rPr>
        <w:t xml:space="preserve">Emissões </w:t>
      </w:r>
      <w:r w:rsidRPr="0084218F">
        <w:rPr>
          <w:color w:val="000000"/>
        </w:rPr>
        <w:t>das Debêntures;</w:t>
      </w:r>
    </w:p>
    <w:p w14:paraId="1F750BDD" w14:textId="2DC84A9A" w:rsidR="00201511" w:rsidRPr="0084218F" w:rsidRDefault="00201511" w:rsidP="00C80414">
      <w:pPr>
        <w:pStyle w:val="alpha3"/>
      </w:pPr>
      <w:r w:rsidRPr="0084218F">
        <w:t>defender-se, de forma tempestiva e eficaz, de qualquer ato, ação, procedimento ou processo que possa afetar, no todo ou em parte, os Direitos de Participação Alienados Fiduciariamente ou o cumprimento das Obrigações Garantidas, mantendo o</w:t>
      </w:r>
      <w:r w:rsidR="000D0A0F" w:rsidRPr="0084218F">
        <w:t>s Debenturistas</w:t>
      </w:r>
      <w:r w:rsidRPr="0084218F">
        <w:t xml:space="preserve"> a todo tempo informado</w:t>
      </w:r>
      <w:r w:rsidR="00C4217D">
        <w:t>s</w:t>
      </w:r>
      <w:r w:rsidRPr="0084218F">
        <w:t>, por meio de relatórios descrevendo o ato, ação, procedimento e processo em questão e as medidas tomadas pel</w:t>
      </w:r>
      <w:r w:rsidR="0030584D" w:rsidRPr="0084218F">
        <w:t>a Alienante</w:t>
      </w:r>
      <w:r w:rsidRPr="0084218F">
        <w:t xml:space="preserve">; </w:t>
      </w:r>
    </w:p>
    <w:p w14:paraId="1B7D27A0" w14:textId="7C387CEA" w:rsidR="00201511" w:rsidRPr="0084218F" w:rsidRDefault="00201511" w:rsidP="00C80414">
      <w:pPr>
        <w:pStyle w:val="alpha3"/>
      </w:pPr>
      <w:r w:rsidRPr="0084218F">
        <w:t>informar, em até 2 (dois) Dias Úteis contados da sua ciência ao</w:t>
      </w:r>
      <w:r w:rsidR="000D0A0F" w:rsidRPr="0084218F">
        <w:t>s</w:t>
      </w:r>
      <w:r w:rsidRPr="0084218F">
        <w:t xml:space="preserve"> </w:t>
      </w:r>
      <w:r w:rsidR="000D0A0F" w:rsidRPr="0084218F">
        <w:t>Debenturistas</w:t>
      </w:r>
      <w:r w:rsidRPr="0084218F">
        <w:t xml:space="preserve"> os detalhes de qualquer litígio, arbitragem ou processo administrativo ou judicial iniciado ou pendente que afete ou possa vir a afetar os Direitos de Participa</w:t>
      </w:r>
      <w:r w:rsidRPr="00BE031C">
        <w:t>ção Alienados Fiduciariamente;</w:t>
      </w:r>
    </w:p>
    <w:p w14:paraId="7DEE3535" w14:textId="77777777" w:rsidR="00201511" w:rsidRPr="0084218F" w:rsidRDefault="00201511" w:rsidP="00C80414">
      <w:pPr>
        <w:pStyle w:val="alpha3"/>
      </w:pPr>
      <w:r w:rsidRPr="0084218F">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55B123F0" w14:textId="7498BBB1" w:rsidR="00201511" w:rsidRPr="0084218F" w:rsidRDefault="00201511" w:rsidP="00C80414">
      <w:pPr>
        <w:pStyle w:val="alpha3"/>
      </w:pPr>
      <w:r w:rsidRPr="0084218F">
        <w:t>notificar o FIP-IE XP</w:t>
      </w:r>
      <w:r w:rsidR="00CE7F56" w:rsidRPr="0084218F">
        <w:t xml:space="preserve"> e o Agente Fiduciário</w:t>
      </w:r>
      <w:r w:rsidRPr="0084218F">
        <w:t xml:space="preserve">: (i) a respeito de qualquer acontecimento (incluindo quaisquer perdas em processos judiciais, arbitrais ou administrativos envolvendo a Emissora, </w:t>
      </w:r>
      <w:r w:rsidR="0030584D" w:rsidRPr="0084218F">
        <w:t>a Alienante</w:t>
      </w:r>
      <w:r w:rsidRPr="0084218F">
        <w:t xml:space="preserve"> ou suas sociedades controladas) que possa depreciar ou ameaçar a garantia ora prestada, em até 1 (um) Dia Útil contado de tal acontecimento, e (ii) acerca da ocorrência de qualquer Ônus que recaia sobre as garantias objeto do presente Contrato, em até 1 (um) Dia Útil da referida ocorrência;</w:t>
      </w:r>
    </w:p>
    <w:p w14:paraId="66E66446" w14:textId="77777777" w:rsidR="00201511" w:rsidRPr="0084218F" w:rsidRDefault="00201511" w:rsidP="00C80414">
      <w:pPr>
        <w:pStyle w:val="alpha3"/>
      </w:pPr>
      <w:r w:rsidRPr="0084218F">
        <w:t xml:space="preserve">não celebrar quaisquer acordos de acionistas e nem qualquer contrato que, de qualquer forma, direta ou indiretamente, vincule ou possa criar qualquer ônus ou gravame ou limitação de disposição de ações emitidas pela Emissora, tais como </w:t>
      </w:r>
      <w:r w:rsidRPr="0084218F">
        <w:rPr>
          <w:i/>
        </w:rPr>
        <w:t>tag along</w:t>
      </w:r>
      <w:r w:rsidRPr="0084218F">
        <w:t xml:space="preserve">, </w:t>
      </w:r>
      <w:r w:rsidRPr="0084218F">
        <w:rPr>
          <w:i/>
        </w:rPr>
        <w:t>drag along</w:t>
      </w:r>
      <w:r w:rsidRPr="0084218F">
        <w:t xml:space="preserve"> e direitos de preferência para aquisição ou alienação de ações de emissão da Emissora, ou que regule o exercício do direito de voto;</w:t>
      </w:r>
    </w:p>
    <w:p w14:paraId="6A5F0EC7" w14:textId="1EFD4CA1" w:rsidR="00201511" w:rsidRPr="0084218F" w:rsidRDefault="00201511" w:rsidP="00C80414">
      <w:pPr>
        <w:pStyle w:val="alpha3"/>
      </w:pPr>
      <w:r w:rsidRPr="0084218F">
        <w:t>não celebrar qualquer contrato ou acordo e não tomar qualquer outra medida que possa impedir, restringir ou de qualquer forma limitar os direitos do</w:t>
      </w:r>
      <w:r w:rsidR="00195BFF" w:rsidRPr="0084218F">
        <w:t>s Debenturistas</w:t>
      </w:r>
      <w:r w:rsidRPr="0084218F">
        <w:t xml:space="preserve"> relacionados a este Contrato ou aos Direitos de Participação Alienados Fiduciariamente;</w:t>
      </w:r>
    </w:p>
    <w:p w14:paraId="748AF314" w14:textId="22656C24" w:rsidR="00201511" w:rsidRPr="0084218F" w:rsidRDefault="00201511" w:rsidP="00C80414">
      <w:pPr>
        <w:pStyle w:val="alpha3"/>
      </w:pPr>
      <w:r w:rsidRPr="0084218F">
        <w:t xml:space="preserve">No prazo máximo de 2 (dois) Dias Úteis após tomar conhecimento, notificar o FIP-IE XP </w:t>
      </w:r>
      <w:r w:rsidR="00CE7F56" w:rsidRPr="0084218F">
        <w:t xml:space="preserve">e o Agente Fiduciário </w:t>
      </w:r>
      <w:r w:rsidRPr="0084218F">
        <w:t>sobre (i) qualquer descumprimento, pel</w:t>
      </w:r>
      <w:r w:rsidR="0030584D" w:rsidRPr="0084218F">
        <w:t>a Alienante</w:t>
      </w:r>
      <w:r w:rsidRPr="0084218F">
        <w:t xml:space="preserve"> e/ou pela Emissora, de quaisquer cláusulas, termos ou condições deste Contrato e/ou de qualquer Documento da Operação; e/ou (ii) a ocorrência de qualquer Evento de Inadimplemento</w:t>
      </w:r>
      <w:r w:rsidR="00195BFF" w:rsidRPr="0084218F">
        <w:t xml:space="preserve"> no âmbito da 1ª Emissão ou da 2ª Emissão</w:t>
      </w:r>
      <w:r w:rsidRPr="0084218F">
        <w:t>;</w:t>
      </w:r>
    </w:p>
    <w:p w14:paraId="32CCA0D4" w14:textId="77777777" w:rsidR="00201511" w:rsidRPr="0084218F" w:rsidRDefault="00201511" w:rsidP="00C80414">
      <w:pPr>
        <w:pStyle w:val="alpha3"/>
      </w:pPr>
      <w:r w:rsidRPr="0084218F">
        <w:t xml:space="preserve">prontamente celebrar todos os aditamentos, bem como promover e fazer com que sejam efetuados todos os registros, arquivamentos e averbações necessários </w:t>
      </w:r>
      <w:r w:rsidRPr="0084218F">
        <w:lastRenderedPageBreak/>
        <w:t>para a constituição, preservação e execução da Alienação Fiduciária, consoante este Contrato e da regulamentação aplicável;</w:t>
      </w:r>
    </w:p>
    <w:p w14:paraId="6C5EE339" w14:textId="7CE07A5C" w:rsidR="00201511" w:rsidRPr="0084218F" w:rsidRDefault="00201511" w:rsidP="00C80414">
      <w:pPr>
        <w:pStyle w:val="alpha3"/>
      </w:pPr>
      <w:r w:rsidRPr="0084218F">
        <w:t>cumprir todas as instruções dadas pelo</w:t>
      </w:r>
      <w:r w:rsidR="00195BFF" w:rsidRPr="0084218F">
        <w:t>s</w:t>
      </w:r>
      <w:r w:rsidRPr="0084218F">
        <w:t xml:space="preserve"> </w:t>
      </w:r>
      <w:r w:rsidR="00195BFF" w:rsidRPr="0084218F">
        <w:t>Debenturistas</w:t>
      </w:r>
      <w:r w:rsidRPr="0084218F">
        <w:t xml:space="preserve"> relativas à excussão da presente garantia, prestar toda assistência e celebrar quaisquer documentos adicionais que venham a ser solicitados pelo</w:t>
      </w:r>
      <w:r w:rsidR="00195BFF" w:rsidRPr="0084218F">
        <w:t>s</w:t>
      </w:r>
      <w:r w:rsidRPr="0084218F">
        <w:t xml:space="preserve"> </w:t>
      </w:r>
      <w:r w:rsidR="00195BFF" w:rsidRPr="0084218F">
        <w:t>Debenturistas</w:t>
      </w:r>
      <w:r w:rsidRPr="0084218F">
        <w:t>, que sejam necessários ou convenientes para a preservação ou excussão dos Direitos de Participação Alienados Fiduciariamente, desde que estejam dentro da legislação aplicável, incluindo mas não se limitando as normas regulatórias;</w:t>
      </w:r>
    </w:p>
    <w:p w14:paraId="232EF512" w14:textId="3897AB6D" w:rsidR="00201511" w:rsidRPr="0084218F" w:rsidRDefault="00201511" w:rsidP="00C80414">
      <w:pPr>
        <w:pStyle w:val="alpha3"/>
      </w:pPr>
      <w:r w:rsidRPr="0084218F">
        <w:t>mediante o recebimento de comunicação enviada por escrito pelo</w:t>
      </w:r>
      <w:r w:rsidR="00195BFF" w:rsidRPr="0084218F">
        <w:t>s</w:t>
      </w:r>
      <w:r w:rsidRPr="0084218F">
        <w:t xml:space="preserve"> </w:t>
      </w:r>
      <w:r w:rsidR="00195BFF" w:rsidRPr="0084218F">
        <w:t>Debenturistas</w:t>
      </w:r>
      <w:r w:rsidRPr="0084218F">
        <w:t xml:space="preserve"> na qual declare que ocorreu e persiste um inadimplemento das Obrigações Garantidas, cumprir todas as instruções razoáveis por escrito emanadas do</w:t>
      </w:r>
      <w:r w:rsidR="00195BFF" w:rsidRPr="0084218F">
        <w:t>s</w:t>
      </w:r>
      <w:r w:rsidRPr="0084218F">
        <w:t xml:space="preserve"> </w:t>
      </w:r>
      <w:r w:rsidR="00195BFF" w:rsidRPr="0084218F">
        <w:t>Debenturistas</w:t>
      </w:r>
      <w:r w:rsidRPr="0084218F">
        <w:t xml:space="preserve"> para regularização das Obrigações Garantidas inadimplidas ou para excussão da garantia ora constituída;</w:t>
      </w:r>
    </w:p>
    <w:p w14:paraId="4F71ABA6" w14:textId="77777777" w:rsidR="00201511" w:rsidRPr="0084218F" w:rsidRDefault="00201511" w:rsidP="00C80414">
      <w:pPr>
        <w:pStyle w:val="alpha3"/>
      </w:pPr>
      <w:r w:rsidRPr="0084218F">
        <w:t>manter ou fazer com que sejam mantidos na sede social da Companhia, registros completos e precisos sobre os ativos alienados fiduciariamente e permitir ao Agente Fiduciário inspecionar todos os livros e registros da Companhia com relação aos ativos alienados fiduciariamente e produzir quaisquer cópias de referidos registros durante o horário comercial, conforme venha a ser solicitado por escrito pelo Agente Fiduciário com antecedência de 2 (dois) Dias Úteis, ressalvado que, na ocorrência de um Evento de Inadimplemento, as providências previstas neste item poderão ser tomadas de imediato, independentemente de qualquer aviso prévio.</w:t>
      </w:r>
    </w:p>
    <w:p w14:paraId="7387BF19" w14:textId="6EBE6EA0" w:rsidR="00201511" w:rsidRPr="0084218F" w:rsidRDefault="00201511" w:rsidP="00C80414">
      <w:pPr>
        <w:pStyle w:val="Level2"/>
      </w:pPr>
      <w:r w:rsidRPr="0084218F">
        <w:t>Este Contrato e todas as obrigações d</w:t>
      </w:r>
      <w:r w:rsidR="0030584D" w:rsidRPr="0084218F">
        <w:t>a Alienante</w:t>
      </w:r>
      <w:r w:rsidRPr="0084218F">
        <w:t xml:space="preserve"> relativas a este Contrato permanecerão em vigor enquanto não forem integralmente satisfeitas todas as Obrigações Garantidas. Caso, por qualquer motivo, qualquer pagamento relativo às Debêntures ou à</w:t>
      </w:r>
      <w:r w:rsidR="001618FE">
        <w:t>s</w:t>
      </w:r>
      <w:r w:rsidRPr="0084218F">
        <w:t xml:space="preserve"> Emiss</w:t>
      </w:r>
      <w:r w:rsidR="001618FE">
        <w:t>ões</w:t>
      </w:r>
      <w:r w:rsidRPr="0084218F">
        <w:t xml:space="preserve"> deva ser restituído ou revogado compulsoriamente, este Contrato será restabelecido automaticamente, tendo sua vigência e eficácia recuperadas, devendo voltar a ter efeito integralmente.</w:t>
      </w:r>
    </w:p>
    <w:p w14:paraId="5C416F21" w14:textId="77777777" w:rsidR="00201511" w:rsidRPr="00C80414" w:rsidRDefault="00201511" w:rsidP="00C80414">
      <w:pPr>
        <w:pStyle w:val="Level1"/>
        <w:rPr>
          <w:b/>
          <w:bCs/>
        </w:rPr>
      </w:pPr>
      <w:bookmarkStart w:id="58" w:name="_DV_M267"/>
      <w:bookmarkStart w:id="59" w:name="_DV_M277"/>
      <w:bookmarkStart w:id="60" w:name="_DV_M278"/>
      <w:bookmarkEnd w:id="58"/>
      <w:bookmarkEnd w:id="59"/>
      <w:bookmarkEnd w:id="60"/>
      <w:r w:rsidRPr="00C80414">
        <w:rPr>
          <w:b/>
          <w:bCs/>
        </w:rPr>
        <w:t>DECLARAÇÕES E GARANTIAS</w:t>
      </w:r>
    </w:p>
    <w:p w14:paraId="24E49382" w14:textId="6B91F98E" w:rsidR="00201511" w:rsidRPr="0084218F" w:rsidRDefault="0030584D" w:rsidP="00C80414">
      <w:pPr>
        <w:pStyle w:val="Level2"/>
      </w:pPr>
      <w:r w:rsidRPr="0084218F">
        <w:t>A Alienante</w:t>
      </w:r>
      <w:r w:rsidR="00201511" w:rsidRPr="0084218F">
        <w:t xml:space="preserve"> e a Emissora prestam, nesta data, as seguintes declarações ao</w:t>
      </w:r>
      <w:r w:rsidR="00CB3489" w:rsidRPr="0084218F">
        <w:t>s</w:t>
      </w:r>
      <w:r w:rsidR="00201511" w:rsidRPr="0084218F">
        <w:t xml:space="preserve"> </w:t>
      </w:r>
      <w:r w:rsidR="00CB3489" w:rsidRPr="0084218F">
        <w:t>Debenturistas</w:t>
      </w:r>
      <w:r w:rsidR="00201511" w:rsidRPr="0084218F">
        <w:t>:</w:t>
      </w:r>
      <w:bookmarkStart w:id="61" w:name="_DV_M231"/>
      <w:bookmarkEnd w:id="61"/>
      <w:r w:rsidR="00201511" w:rsidRPr="0084218F">
        <w:t xml:space="preserve"> </w:t>
      </w:r>
    </w:p>
    <w:p w14:paraId="23BEB424" w14:textId="5A1F9B4B" w:rsidR="00201511" w:rsidRPr="0084218F" w:rsidRDefault="0030584D" w:rsidP="00C80414">
      <w:pPr>
        <w:pStyle w:val="alpha3"/>
        <w:numPr>
          <w:ilvl w:val="0"/>
          <w:numId w:val="232"/>
        </w:numPr>
      </w:pPr>
      <w:r w:rsidRPr="0084218F">
        <w:t>a Alienante</w:t>
      </w:r>
      <w:r w:rsidR="00201511" w:rsidRPr="0084218F">
        <w:t xml:space="preserve"> e a Emissora são sociedades regularmente constituídas e existentes de acordo com as leis do Brasil, têm capacidade para celebrar este Contrato, cumprir as suas obrigações e estão devidamente autorizadas a exercer as suas atividades;</w:t>
      </w:r>
    </w:p>
    <w:p w14:paraId="48909D7F" w14:textId="3487B0E9" w:rsidR="00201511" w:rsidRPr="0084218F" w:rsidRDefault="0030584D" w:rsidP="00C80414">
      <w:pPr>
        <w:pStyle w:val="alpha3"/>
      </w:pPr>
      <w:r w:rsidRPr="0084218F">
        <w:rPr>
          <w:color w:val="000000"/>
        </w:rPr>
        <w:t>a Alienante</w:t>
      </w:r>
      <w:r w:rsidR="00201511" w:rsidRPr="0084218F">
        <w:t xml:space="preserve"> e a Emissora</w:t>
      </w:r>
      <w:r w:rsidR="00201511" w:rsidRPr="0084218F">
        <w:rPr>
          <w:color w:val="000000"/>
        </w:rPr>
        <w:t xml:space="preserve"> e</w:t>
      </w:r>
      <w:r w:rsidR="00201511" w:rsidRPr="0084218F">
        <w:t>stão devidamente autorizados a celebrar este Contrato e a cumprir todas as obrigações aqui estabelecidas; todas e quaisquer autorizações, aprovações, consentimentos, societários ou outros, exigidos por lei ou contrato, para a celebração e cumprimento deste Contrato pel</w:t>
      </w:r>
      <w:r w:rsidRPr="0084218F">
        <w:t>a Alienante</w:t>
      </w:r>
      <w:r w:rsidR="00201511" w:rsidRPr="0084218F">
        <w:t xml:space="preserve"> e pela Emissora foram devidamente obtidos e estão em vigor;</w:t>
      </w:r>
      <w:bookmarkStart w:id="62" w:name="WCTOCLevel2Mark47in19Q02"/>
    </w:p>
    <w:p w14:paraId="14C0668B" w14:textId="714FAFD5" w:rsidR="00201511" w:rsidRPr="0084218F" w:rsidRDefault="00201511" w:rsidP="00C80414">
      <w:pPr>
        <w:pStyle w:val="alpha3"/>
      </w:pPr>
      <w:r w:rsidRPr="0084218F">
        <w:t>os representantes legais d</w:t>
      </w:r>
      <w:r w:rsidR="0030584D" w:rsidRPr="0084218F">
        <w:t>a Alienante</w:t>
      </w:r>
      <w:r w:rsidRPr="0084218F">
        <w:t xml:space="preserve"> e da Emissora que assinam o presente Contrato e os demais </w:t>
      </w:r>
      <w:bookmarkStart w:id="63" w:name="_DV_M146"/>
      <w:bookmarkEnd w:id="63"/>
      <w:r w:rsidRPr="0084218F">
        <w:t xml:space="preserve">Documentos da Operação têm poderes para tanto, </w:t>
      </w:r>
      <w:r w:rsidRPr="0084218F">
        <w:rPr>
          <w:lang w:eastAsia="pt-BR"/>
        </w:rPr>
        <w:t xml:space="preserve">tendo assinado tais documentos regularmente e tendo vinculado </w:t>
      </w:r>
      <w:r w:rsidR="0030584D" w:rsidRPr="0084218F">
        <w:rPr>
          <w:lang w:eastAsia="pt-BR"/>
        </w:rPr>
        <w:t>a Alienante</w:t>
      </w:r>
      <w:r w:rsidRPr="0084218F">
        <w:rPr>
          <w:lang w:eastAsia="pt-BR"/>
        </w:rPr>
        <w:t xml:space="preserve"> e a Emissora; </w:t>
      </w:r>
      <w:r w:rsidRPr="0084218F">
        <w:lastRenderedPageBreak/>
        <w:t>o presente Contrato e os demais Documentos da Operação</w:t>
      </w:r>
      <w:r w:rsidRPr="0084218F">
        <w:rPr>
          <w:lang w:eastAsia="pt-BR"/>
        </w:rPr>
        <w:t xml:space="preserve"> constituem </w:t>
      </w:r>
      <w:r w:rsidRPr="0084218F">
        <w:t>obrigações válidas e eficazes d</w:t>
      </w:r>
      <w:r w:rsidR="0030584D" w:rsidRPr="0084218F">
        <w:t>a Alienante</w:t>
      </w:r>
      <w:r w:rsidRPr="0084218F">
        <w:t xml:space="preserve"> e da Emissora, sendo exequíveis consoante</w:t>
      </w:r>
      <w:r w:rsidRPr="0084218F">
        <w:rPr>
          <w:lang w:eastAsia="pt-BR"/>
        </w:rPr>
        <w:t xml:space="preserve"> suas respectivas cláusulas e condições</w:t>
      </w:r>
      <w:r w:rsidRPr="0084218F">
        <w:t>;</w:t>
      </w:r>
    </w:p>
    <w:p w14:paraId="61803ADA" w14:textId="19196ACE" w:rsidR="00201511" w:rsidRPr="0084218F" w:rsidRDefault="00201511" w:rsidP="00C80414">
      <w:pPr>
        <w:pStyle w:val="alpha3"/>
      </w:pPr>
      <w:r w:rsidRPr="0084218F">
        <w:t>todos os consentimentos, licenças, autorizações e aprovações necessários à sua boa ordem, legal, administrativa e operacional, e à celebração deste Contrato, dos demais Documentos da Operação e seus respectivos cumprimentos pel</w:t>
      </w:r>
      <w:r w:rsidR="0030584D" w:rsidRPr="0084218F">
        <w:t>a Alienante</w:t>
      </w:r>
      <w:r w:rsidRPr="0084218F">
        <w:t xml:space="preserve"> e pela Emissora foram devidamente obtidos e encontram-se em pleno vigor;</w:t>
      </w:r>
    </w:p>
    <w:p w14:paraId="3B7BBE71" w14:textId="16F3D106" w:rsidR="00201511" w:rsidRPr="0084218F" w:rsidRDefault="00201511" w:rsidP="00C80414">
      <w:pPr>
        <w:pStyle w:val="alpha3"/>
      </w:pPr>
      <w:r w:rsidRPr="0084218F">
        <w:t>o presente Contrato foi devidamente celebrado por representantes legais d</w:t>
      </w:r>
      <w:r w:rsidR="0030584D" w:rsidRPr="0084218F">
        <w:t>a Alienante</w:t>
      </w:r>
      <w:r w:rsidRPr="0084218F">
        <w:t xml:space="preserve"> e da Emissora, os quais têm poderes para assumir, em nome d</w:t>
      </w:r>
      <w:r w:rsidR="0030584D" w:rsidRPr="0084218F">
        <w:t>a Alienante</w:t>
      </w:r>
      <w:r w:rsidRPr="0084218F">
        <w:t xml:space="preserve"> e da Emissora, as obrigações neles estabelecidas, incluindo o poder de outorgar mandatos, constituindo o presente Contrato uma obrigação lícita e válida, exequível contra </w:t>
      </w:r>
      <w:r w:rsidR="0030584D" w:rsidRPr="0084218F">
        <w:t>a Alienante</w:t>
      </w:r>
      <w:r w:rsidRPr="0084218F">
        <w:t xml:space="preserve"> e a Emissora,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0BA628A" w14:textId="77777777" w:rsidR="00201511" w:rsidRPr="0084218F" w:rsidRDefault="00201511" w:rsidP="00C80414">
      <w:pPr>
        <w:pStyle w:val="alpha3"/>
      </w:pPr>
      <w:r w:rsidRPr="0084218F">
        <w:t>estão, assim como suas respectivas controladas, em dia com o pagamento de todas as obrigações de natureza tributária (municipal, estadual e federal), trabalhista, previdenciária, ambiental e de quaisquer outras obrigações impostas por lei;</w:t>
      </w:r>
    </w:p>
    <w:p w14:paraId="67218CE8" w14:textId="22A68FF3" w:rsidR="00201511" w:rsidRPr="0084218F" w:rsidRDefault="00201511" w:rsidP="00C80414">
      <w:pPr>
        <w:pStyle w:val="alpha3"/>
      </w:pPr>
      <w:r w:rsidRPr="0084218F">
        <w:t>o presente Contrato constitui obrigação d</w:t>
      </w:r>
      <w:r w:rsidR="0030584D" w:rsidRPr="0084218F">
        <w:t>a Alienante</w:t>
      </w:r>
      <w:r w:rsidRPr="0084218F">
        <w:t xml:space="preserve"> e da Emissora válida, legal, exequível e oponível em relação a quaisquer terceiros;</w:t>
      </w:r>
    </w:p>
    <w:p w14:paraId="445B85AF" w14:textId="25719939" w:rsidR="00201511" w:rsidRPr="0084218F" w:rsidRDefault="00201511" w:rsidP="00C80414">
      <w:pPr>
        <w:pStyle w:val="alpha3"/>
      </w:pPr>
      <w:r w:rsidRPr="0084218F">
        <w:t>nem a celebração deste Contrato, nem sua execução, violam (i) quaisquer disposições do estatuto social ou de qualquer resolução ou deliberação societária d</w:t>
      </w:r>
      <w:r w:rsidR="0030584D" w:rsidRPr="0084218F">
        <w:t>a Alienante</w:t>
      </w:r>
      <w:r w:rsidRPr="0084218F">
        <w:t xml:space="preserve"> e da Emissora, (ii) qualquer lei; e (iii) quaisquer contratos, acordos, atos ou negócios jurídicos, sentenças judiciais, arbitrais ou atos administrativos, qualquer que seja a sua natureza, a que </w:t>
      </w:r>
      <w:r w:rsidR="0030584D" w:rsidRPr="0084218F">
        <w:t>a Alienante</w:t>
      </w:r>
      <w:r w:rsidRPr="0084218F">
        <w:t>, a Emissora ou os Direitos de Participação Alienados Fiduciariamente estejam vinculados;</w:t>
      </w:r>
      <w:bookmarkStart w:id="64" w:name="WCTOCLevel2Mark48in19Q02"/>
      <w:bookmarkEnd w:id="62"/>
    </w:p>
    <w:bookmarkEnd w:id="64"/>
    <w:p w14:paraId="3DEABFA5" w14:textId="0961077C" w:rsidR="00201511" w:rsidRPr="0084218F" w:rsidRDefault="0030584D" w:rsidP="00C80414">
      <w:pPr>
        <w:pStyle w:val="alpha3"/>
      </w:pPr>
      <w:r w:rsidRPr="0084218F">
        <w:t>A Alienante</w:t>
      </w:r>
      <w:r w:rsidR="00201511" w:rsidRPr="0084218F">
        <w:t>, imediatamente antes da celebração do presente Contrato, era a legítima titular dos Direitos de Participação Alienados Fiduciariamente, livres e desembaraçados de Ônus, tendo o</w:t>
      </w:r>
      <w:r w:rsidR="00CB3489" w:rsidRPr="0084218F">
        <w:t>s Debenturistas</w:t>
      </w:r>
      <w:r w:rsidR="00201511" w:rsidRPr="0084218F">
        <w:t xml:space="preserve">, mediante a celebração do presente Contrato, adquirido a propriedade fiduciária dos Direitos de Participação Alienados Fiduciariamente; </w:t>
      </w:r>
    </w:p>
    <w:p w14:paraId="7860AF0D" w14:textId="52201202" w:rsidR="00201511" w:rsidRPr="0084218F" w:rsidRDefault="00201511" w:rsidP="00C80414">
      <w:pPr>
        <w:pStyle w:val="alpha3"/>
      </w:pPr>
      <w:r w:rsidRPr="0084218F">
        <w:t xml:space="preserve">não existe qualquer disposição ou cláusula em qualquer acordo, contrato ou avença de que </w:t>
      </w:r>
      <w:r w:rsidR="0030584D" w:rsidRPr="0084218F">
        <w:t>a Alienante</w:t>
      </w:r>
      <w:r w:rsidRPr="0084218F">
        <w:t xml:space="preserve"> ou a Emissora sejam parte, ou qualquer impedimento de qualquer natureza, que vede ou limite, de qualquer forma, a constituição e manutenção da alienação fiduciária em garantia sobre os Direitos de Participação Alienados Fiduciariamente;</w:t>
      </w:r>
    </w:p>
    <w:p w14:paraId="1B39C2C8" w14:textId="209BDD4C" w:rsidR="00201511" w:rsidRPr="0084218F" w:rsidRDefault="00201511" w:rsidP="00C80414">
      <w:pPr>
        <w:pStyle w:val="alpha3"/>
      </w:pPr>
      <w:r w:rsidRPr="0084218F">
        <w:t>os Direitos de Participação Alienados Fiduciariamente, enquanto alienados fiduciariamente em garantia e no caso de inadimplemento, são e continuarão a ser de propriedade (fiduciária ou plena, respectivamente) única e exclusiva do</w:t>
      </w:r>
      <w:r w:rsidR="00CB3489" w:rsidRPr="0084218F">
        <w:t>s</w:t>
      </w:r>
      <w:r w:rsidRPr="0084218F">
        <w:t xml:space="preserve"> </w:t>
      </w:r>
      <w:r w:rsidR="00CB3489" w:rsidRPr="0084218F">
        <w:t>Debenturistas</w:t>
      </w:r>
      <w:r w:rsidRPr="0084218F">
        <w:t>, na qualidade de titular</w:t>
      </w:r>
      <w:r w:rsidR="00CB3489" w:rsidRPr="0084218F">
        <w:t>es</w:t>
      </w:r>
      <w:r w:rsidRPr="0084218F">
        <w:t xml:space="preserve"> da totalidade das Debêntures;</w:t>
      </w:r>
    </w:p>
    <w:p w14:paraId="13D2BF53" w14:textId="7830C5EA" w:rsidR="00201511" w:rsidRPr="0084218F" w:rsidRDefault="00201511" w:rsidP="00C80414">
      <w:pPr>
        <w:pStyle w:val="alpha3"/>
      </w:pPr>
      <w:r w:rsidRPr="0084218F">
        <w:lastRenderedPageBreak/>
        <w:t>a celebração deste Contrato é compatível com a condição econômico-financeira d</w:t>
      </w:r>
      <w:r w:rsidR="0030584D" w:rsidRPr="0084218F">
        <w:t>a Alienante</w:t>
      </w:r>
      <w:r w:rsidRPr="0084218F">
        <w:t>, de forma que a Alienação Fiduciária não afetará sua capacidade de honrar com quaisquer de suas obrigações, conforme as mesmas venham a se tornar devidas;</w:t>
      </w:r>
    </w:p>
    <w:p w14:paraId="59A860FE" w14:textId="7870C780" w:rsidR="00201511" w:rsidRPr="0084218F" w:rsidRDefault="00201511" w:rsidP="00C80414">
      <w:pPr>
        <w:pStyle w:val="alpha3"/>
        <w:rPr>
          <w:lang w:eastAsia="pt-BR"/>
        </w:rPr>
      </w:pPr>
      <w:r w:rsidRPr="0084218F">
        <w:rPr>
          <w:lang w:eastAsia="pt-BR"/>
        </w:rP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w:t>
      </w:r>
      <w:r w:rsidRPr="0084218F">
        <w:t>Direitos de Participação Alienados Fiduciariamente</w:t>
      </w:r>
      <w:r w:rsidRPr="0084218F">
        <w:rPr>
          <w:lang w:eastAsia="pt-BR"/>
        </w:rPr>
        <w:t xml:space="preserve"> e à Alienação Fiduciária ora constituída que, por si ou em conjunto com qualquer outro, tenha afetado ou possa vir a afetar, por qualquer forma, a presente garantia e/ou a capacidade da Emissora e d</w:t>
      </w:r>
      <w:r w:rsidR="0030584D" w:rsidRPr="0084218F">
        <w:rPr>
          <w:lang w:eastAsia="pt-BR"/>
        </w:rPr>
        <w:t>a Alienante</w:t>
      </w:r>
      <w:r w:rsidRPr="0084218F">
        <w:rPr>
          <w:lang w:eastAsia="pt-BR"/>
        </w:rPr>
        <w:t xml:space="preserve"> de efetuar os pagamentos ou de honrar suas demais obrigações previstas neste Contrato e nos Documentos da Operação;</w:t>
      </w:r>
    </w:p>
    <w:p w14:paraId="5FF2259C" w14:textId="77777777" w:rsidR="00201511" w:rsidRPr="0084218F" w:rsidRDefault="00201511" w:rsidP="00C80414">
      <w:pPr>
        <w:pStyle w:val="alpha3"/>
        <w:rPr>
          <w:lang w:eastAsia="pt-BR"/>
        </w:rPr>
      </w:pPr>
      <w:r w:rsidRPr="0084218F">
        <w:t>as Ações Alienadas e os Outros Direitos foram e sempre serão devidamente autorizados e validamente emitidos e estão e sempre estarão totalmente integralizados;</w:t>
      </w:r>
    </w:p>
    <w:p w14:paraId="1043D083" w14:textId="77777777" w:rsidR="00201511" w:rsidRPr="0084218F" w:rsidRDefault="00201511" w:rsidP="00C80414">
      <w:pPr>
        <w:pStyle w:val="alpha3"/>
        <w:rPr>
          <w:lang w:eastAsia="pt-BR"/>
        </w:rPr>
      </w:pPr>
      <w:r w:rsidRPr="0084218F">
        <w:t>não há e não haverá, com relação aos Direitos de Participação Alienados Fiduciariamente quaisquer bônus de subscrição, direitos de preferência de terceiros, opções, reservas de ações ou acordos ou contratos referentes a emissão, aquisição, alienação, resgate, amortização, oneração ou exercício de direito de voto ou que restrinjam a transferência dos Direitos de Participação Alienados Fiduciariamente, salvo pela presente Alienação Fiduciária;</w:t>
      </w:r>
    </w:p>
    <w:p w14:paraId="47F2B215" w14:textId="77777777" w:rsidR="00201511" w:rsidRPr="0084218F" w:rsidRDefault="00201511" w:rsidP="00C80414">
      <w:pPr>
        <w:pStyle w:val="alpha3"/>
        <w:rPr>
          <w:lang w:eastAsia="pt-BR"/>
        </w:rPr>
      </w:pPr>
      <w:r w:rsidRPr="0084218F">
        <w:t>os Direitos de Participação Alienados Fiduciariamente representam e sempre representarão, durante a vigência deste Contrato, o Percentual Obrigatório;</w:t>
      </w:r>
    </w:p>
    <w:p w14:paraId="46E027DD" w14:textId="1AA6E70A" w:rsidR="00201511" w:rsidRPr="0084218F" w:rsidRDefault="00201511" w:rsidP="00C80414">
      <w:pPr>
        <w:pStyle w:val="alpha3"/>
      </w:pPr>
      <w:r w:rsidRPr="0084218F">
        <w:t xml:space="preserve">devido a sua condição de acionista detentora de 100% (cem por cento) do capital social total e votante da Emissora, </w:t>
      </w:r>
      <w:r w:rsidR="0030584D" w:rsidRPr="0084218F">
        <w:t>a Alienante</w:t>
      </w:r>
      <w:r w:rsidRPr="0084218F">
        <w:t xml:space="preserve"> </w:t>
      </w:r>
      <w:r w:rsidR="001C18B1" w:rsidRPr="0084218F">
        <w:t>é</w:t>
      </w:r>
      <w:r w:rsidRPr="0084218F">
        <w:t xml:space="preserve"> terceira interessada na liquidação das Obrigações Garantidas e reconhecem a legitimidade da presente Alienação Fiduciária em benefício do</w:t>
      </w:r>
      <w:r w:rsidR="00AB13F8" w:rsidRPr="0084218F">
        <w:t>s</w:t>
      </w:r>
      <w:r w:rsidRPr="0084218F">
        <w:t xml:space="preserve"> </w:t>
      </w:r>
      <w:r w:rsidR="00AB13F8" w:rsidRPr="0084218F">
        <w:t>Debenturistas</w:t>
      </w:r>
      <w:r w:rsidRPr="0084218F">
        <w:t>;</w:t>
      </w:r>
    </w:p>
    <w:p w14:paraId="08F3F916" w14:textId="51D4CAF6" w:rsidR="00201511" w:rsidRPr="0084218F" w:rsidRDefault="00201511" w:rsidP="00C80414">
      <w:pPr>
        <w:pStyle w:val="alpha3"/>
        <w:rPr>
          <w:lang w:eastAsia="pt-BR"/>
        </w:rPr>
      </w:pPr>
      <w:r w:rsidRPr="0084218F">
        <w:t>cumpre e faze cumprir, assim como suas respectivas Afiliadas (conforme definidas na</w:t>
      </w:r>
      <w:r w:rsidR="00AB13F8" w:rsidRPr="0084218F">
        <w:t>s</w:t>
      </w:r>
      <w:r w:rsidRPr="0084218F">
        <w:t xml:space="preserve"> Escritura</w:t>
      </w:r>
      <w:r w:rsidR="00AB13F8" w:rsidRPr="0084218F">
        <w:t>s de Emissão</w:t>
      </w:r>
      <w:r w:rsidRPr="0084218F">
        <w:t xml:space="preserve">), empregados e eventuais subcontratados agindo em seu nome e benefício,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w:t>
      </w:r>
      <w:r w:rsidRPr="0084218F">
        <w:rPr>
          <w:i/>
        </w:rPr>
        <w:t>U.S. Foreign Corrupt Practices Act of</w:t>
      </w:r>
      <w:r w:rsidRPr="0084218F">
        <w:t xml:space="preserve"> </w:t>
      </w:r>
      <w:r w:rsidRPr="0084218F">
        <w:rPr>
          <w:i/>
        </w:rPr>
        <w:t>1977</w:t>
      </w:r>
      <w:r w:rsidRPr="0084218F">
        <w:t xml:space="preserve"> e o </w:t>
      </w:r>
      <w:r w:rsidRPr="0084218F">
        <w:rPr>
          <w:i/>
        </w:rPr>
        <w:t>U.K. Bribery Act</w:t>
      </w:r>
      <w:r w:rsidRPr="0084218F">
        <w:t xml:space="preserve"> ("</w:t>
      </w:r>
      <w:r w:rsidRPr="0084218F">
        <w:rPr>
          <w:b/>
          <w:bCs/>
        </w:rPr>
        <w:t>Legislação Anticorrupção</w:t>
      </w:r>
      <w:r w:rsidRPr="0084218F">
        <w:t>"), bem como (a) mantêm políticas e procedimentos internos objetivando a divulgação e o integral cumprimento da Legislação Anticorrupção; (b) dão pleno conhecimento da Legislação Anticorrupção a todos os profissionais com quem venham a se relacionar, previamente ao início de sua atuação; (c) não violaram, assim como suas respectivas Afiliadas, empregados e eventuais subcontratados agindo em seu nome e benefício, a Legislação Anticorrupção; e (d) comunicará o</w:t>
      </w:r>
      <w:r w:rsidR="00AB13F8" w:rsidRPr="0084218F">
        <w:t>s</w:t>
      </w:r>
      <w:r w:rsidRPr="0084218F">
        <w:t xml:space="preserve"> </w:t>
      </w:r>
      <w:r w:rsidR="00AB13F8" w:rsidRPr="0084218F">
        <w:t>Debenturistas, conforme aplicável</w:t>
      </w:r>
      <w:r w:rsidRPr="0084218F">
        <w:t xml:space="preserve"> (nos termos da</w:t>
      </w:r>
      <w:r w:rsidR="00AB13F8" w:rsidRPr="0084218F">
        <w:t>s</w:t>
      </w:r>
      <w:r w:rsidRPr="0084218F">
        <w:t xml:space="preserve"> Escritura</w:t>
      </w:r>
      <w:r w:rsidR="00AB13F8" w:rsidRPr="0084218F">
        <w:t>s de Emissão</w:t>
      </w:r>
      <w:r w:rsidRPr="0084218F">
        <w:t>)</w:t>
      </w:r>
      <w:r w:rsidR="00AB13F8" w:rsidRPr="0084218F">
        <w:t>,</w:t>
      </w:r>
      <w:r w:rsidRPr="0084218F">
        <w:t xml:space="preserve"> caso tenham conhecimento de qualquer ato ou fato relacionado ao disposto neste inciso que viole a Legislação Anticorrupção; e</w:t>
      </w:r>
    </w:p>
    <w:p w14:paraId="3CF553B9" w14:textId="77777777" w:rsidR="00201511" w:rsidRPr="0084218F" w:rsidRDefault="00201511" w:rsidP="00C80414">
      <w:pPr>
        <w:pStyle w:val="alpha3"/>
        <w:rPr>
          <w:lang w:eastAsia="pt-BR"/>
        </w:rPr>
      </w:pPr>
      <w:r w:rsidRPr="0084218F">
        <w:lastRenderedPageBreak/>
        <w:t>não existem, nesta data, contra si ou empresas pertencentes ao seu grupo econômico condenação em processos judiciais ou administrativos relacionados a infrações ou crimes ambientais ou ao emprego de trabalho escravo ou infantil.</w:t>
      </w:r>
    </w:p>
    <w:p w14:paraId="66AE4E17" w14:textId="294AEADA" w:rsidR="00201511" w:rsidRPr="0084218F" w:rsidRDefault="00201511" w:rsidP="00C80414">
      <w:pPr>
        <w:pStyle w:val="Level2"/>
      </w:pPr>
      <w:r w:rsidRPr="0084218F">
        <w:t>As declarações e garantias prestadas neste Contrato subsistirão até o pagamento integral e plena quitação das Obrigações Garantidas, ficando as declarantes responsáveis por eventuais prejuízos que decorram da inveracidade ou inexatidão de tais declarações, sem prejuízo do direito do</w:t>
      </w:r>
      <w:r w:rsidR="001A170E" w:rsidRPr="0084218F">
        <w:t>s Debenturistas</w:t>
      </w:r>
      <w:r w:rsidRPr="0084218F">
        <w:t xml:space="preserve">, </w:t>
      </w:r>
      <w:r w:rsidR="001A170E" w:rsidRPr="0084218F">
        <w:t xml:space="preserve">observada a Cláusula </w:t>
      </w:r>
      <w:r w:rsidR="00CE7F56" w:rsidRPr="0084218F">
        <w:t>5</w:t>
      </w:r>
      <w:r w:rsidR="001A170E" w:rsidRPr="0084218F">
        <w:t xml:space="preserve">.1.1 acima, </w:t>
      </w:r>
      <w:r w:rsidRPr="0084218F">
        <w:t>de declarar vencidas antecipadamente as Obrigações Garantidas e de excutir as garantias objeto do presente Contrato.</w:t>
      </w:r>
    </w:p>
    <w:p w14:paraId="5DE3F0E0" w14:textId="77777777" w:rsidR="00201511" w:rsidRPr="00C80414" w:rsidRDefault="00201511" w:rsidP="00C80414">
      <w:pPr>
        <w:pStyle w:val="Level1"/>
        <w:rPr>
          <w:b/>
          <w:bCs/>
        </w:rPr>
      </w:pPr>
      <w:bookmarkStart w:id="65" w:name="_DV_M154"/>
      <w:bookmarkStart w:id="66" w:name="_DV_M163"/>
      <w:bookmarkEnd w:id="65"/>
      <w:bookmarkEnd w:id="66"/>
      <w:r w:rsidRPr="00C80414">
        <w:rPr>
          <w:b/>
          <w:bCs/>
        </w:rPr>
        <w:t>VIGÊNCIA, TÉRMINO, QUITAÇÃO E LIBERAÇÃO</w:t>
      </w:r>
    </w:p>
    <w:p w14:paraId="7073EDB5" w14:textId="77777777" w:rsidR="00201511" w:rsidRPr="0084218F" w:rsidRDefault="00201511" w:rsidP="00C80414">
      <w:pPr>
        <w:pStyle w:val="Level2"/>
        <w:rPr>
          <w:w w:val="0"/>
        </w:rPr>
      </w:pPr>
      <w:bookmarkStart w:id="67" w:name="_DV_M195"/>
      <w:bookmarkStart w:id="68" w:name="_DV_M199"/>
      <w:bookmarkStart w:id="69" w:name="_DV_M207"/>
      <w:bookmarkStart w:id="70" w:name="_DV_M209"/>
      <w:bookmarkStart w:id="71" w:name="_Toc132459983"/>
      <w:bookmarkStart w:id="72" w:name="_Toc132460186"/>
      <w:bookmarkStart w:id="73" w:name="_Toc132463161"/>
      <w:bookmarkStart w:id="74" w:name="_Toc132464003"/>
      <w:bookmarkStart w:id="75" w:name="_Toc132689020"/>
      <w:bookmarkStart w:id="76" w:name="_Toc132689158"/>
      <w:bookmarkStart w:id="77" w:name="_Toc132709334"/>
      <w:bookmarkStart w:id="78" w:name="_Toc132715069"/>
      <w:bookmarkStart w:id="79" w:name="_Toc133231791"/>
      <w:bookmarkStart w:id="80" w:name="_Toc133243656"/>
      <w:bookmarkEnd w:id="67"/>
      <w:bookmarkEnd w:id="68"/>
      <w:bookmarkEnd w:id="69"/>
      <w:bookmarkEnd w:id="70"/>
      <w:r w:rsidRPr="0084218F">
        <w:t xml:space="preserve">Este Contrato permanecerá em vigor e os </w:t>
      </w:r>
      <w:r w:rsidRPr="0084218F">
        <w:rPr>
          <w:color w:val="000000"/>
        </w:rPr>
        <w:t xml:space="preserve">Direitos de Participação Alienados Fiduciariamente </w:t>
      </w:r>
      <w:r w:rsidRPr="0084218F">
        <w:t xml:space="preserve">permanecerão sujeitos às disposições deste Contrato até </w:t>
      </w:r>
      <w:r w:rsidRPr="0084218F">
        <w:rPr>
          <w:w w:val="0"/>
        </w:rPr>
        <w:t>o integral cumprimento de todas as Obrigações Garantidas.</w:t>
      </w:r>
    </w:p>
    <w:p w14:paraId="20E1463D" w14:textId="65D3F1AC" w:rsidR="00201511" w:rsidRPr="0084218F" w:rsidRDefault="00201511" w:rsidP="00C80414">
      <w:pPr>
        <w:pStyle w:val="Level2"/>
        <w:rPr>
          <w:w w:val="0"/>
        </w:rPr>
      </w:pPr>
      <w:r w:rsidRPr="0084218F">
        <w:t xml:space="preserve">O presente Contrato expirará e os </w:t>
      </w:r>
      <w:r w:rsidRPr="0084218F">
        <w:rPr>
          <w:color w:val="000000"/>
        </w:rPr>
        <w:t xml:space="preserve">Direitos de Participação Alienados Fiduciariamente </w:t>
      </w:r>
      <w:r w:rsidRPr="0084218F">
        <w:t>serão liberados, às expensas d</w:t>
      </w:r>
      <w:r w:rsidR="0030584D" w:rsidRPr="0084218F">
        <w:t>a Alienante</w:t>
      </w:r>
      <w:r w:rsidRPr="0084218F">
        <w:t>, com a consequente resolução da propriedade fiduciária do</w:t>
      </w:r>
      <w:r w:rsidR="001A170E" w:rsidRPr="0084218F">
        <w:t>s</w:t>
      </w:r>
      <w:r w:rsidRPr="0084218F">
        <w:t xml:space="preserve"> </w:t>
      </w:r>
      <w:r w:rsidR="001A170E" w:rsidRPr="0084218F">
        <w:t>Debenturistas</w:t>
      </w:r>
      <w:r w:rsidRPr="0084218F">
        <w:t xml:space="preserve"> sobre tais direitos e com a transferência de sua propriedade definitiva para </w:t>
      </w:r>
      <w:r w:rsidR="0030584D" w:rsidRPr="0084218F">
        <w:t>a Alienante</w:t>
      </w:r>
      <w:r w:rsidRPr="0084218F">
        <w:t>, na Data de Quitação. O</w:t>
      </w:r>
      <w:r w:rsidR="001A170E" w:rsidRPr="0084218F">
        <w:t>s</w:t>
      </w:r>
      <w:r w:rsidRPr="0084218F">
        <w:t xml:space="preserve"> </w:t>
      </w:r>
      <w:r w:rsidR="001A170E" w:rsidRPr="0084218F">
        <w:t>Debenturistas</w:t>
      </w:r>
      <w:r w:rsidRPr="0084218F">
        <w:t xml:space="preserve"> entregar</w:t>
      </w:r>
      <w:r w:rsidR="001A170E" w:rsidRPr="0084218F">
        <w:t>ão</w:t>
      </w:r>
      <w:r w:rsidRPr="0084218F">
        <w:t xml:space="preserve"> à Alienante o termo de quitação, em até 2 (dois) Dias Úteis contados do respectivo pedido para evidenciar a expiração deste Contrato e a liberação de que trata esta Cláusula 8.2.</w:t>
      </w:r>
    </w:p>
    <w:p w14:paraId="0F0A47AB" w14:textId="77777777" w:rsidR="00201511" w:rsidRPr="00C80414" w:rsidRDefault="00201511" w:rsidP="00C80414">
      <w:pPr>
        <w:pStyle w:val="Level1"/>
        <w:rPr>
          <w:b/>
          <w:bCs/>
        </w:rPr>
      </w:pPr>
      <w:bookmarkStart w:id="81" w:name="_Toc132463163"/>
      <w:bookmarkStart w:id="82" w:name="_Toc132464005"/>
      <w:bookmarkStart w:id="83" w:name="_Toc132715071"/>
      <w:bookmarkStart w:id="84" w:name="_Toc133242974"/>
      <w:bookmarkStart w:id="85" w:name="_Toc133243246"/>
      <w:bookmarkStart w:id="86" w:name="_Toc133243658"/>
      <w:bookmarkEnd w:id="71"/>
      <w:bookmarkEnd w:id="72"/>
      <w:bookmarkEnd w:id="73"/>
      <w:bookmarkEnd w:id="74"/>
      <w:bookmarkEnd w:id="75"/>
      <w:bookmarkEnd w:id="76"/>
      <w:bookmarkEnd w:id="77"/>
      <w:bookmarkEnd w:id="78"/>
      <w:bookmarkEnd w:id="79"/>
      <w:bookmarkEnd w:id="80"/>
      <w:r w:rsidRPr="00C80414">
        <w:rPr>
          <w:b/>
          <w:bCs/>
        </w:rPr>
        <w:t>NOTIFICAÇÕES</w:t>
      </w:r>
    </w:p>
    <w:p w14:paraId="0A373EB8" w14:textId="77777777" w:rsidR="00201511" w:rsidRPr="0084218F" w:rsidRDefault="00201511" w:rsidP="00C80414">
      <w:pPr>
        <w:pStyle w:val="Level2"/>
      </w:pPr>
      <w:r w:rsidRPr="0084218F">
        <w:t>As comunicações a serem enviadas pelas Partes para os fins deste Contrato deverão ser encaminhadas para os seguintes endereços:</w:t>
      </w:r>
    </w:p>
    <w:p w14:paraId="0321B904" w14:textId="66BD8074" w:rsidR="00201511" w:rsidRPr="00C80414" w:rsidRDefault="00201511" w:rsidP="00C80414">
      <w:pPr>
        <w:pStyle w:val="alpha3"/>
        <w:numPr>
          <w:ilvl w:val="0"/>
          <w:numId w:val="233"/>
        </w:numPr>
        <w:rPr>
          <w:rStyle w:val="Hyperlink"/>
        </w:rPr>
      </w:pPr>
      <w:r w:rsidRPr="00C80414">
        <w:rPr>
          <w:rFonts w:eastAsia="Arial Unicode MS"/>
        </w:rPr>
        <w:t>Se a comunicação for para o FIP-IE XP:</w:t>
      </w:r>
      <w:bookmarkStart w:id="87" w:name="_DV_M184"/>
      <w:r w:rsidR="001A170E" w:rsidRPr="00C80414">
        <w:rPr>
          <w:rStyle w:val="Hyperlink"/>
          <w:rFonts w:cs="Tahoma"/>
        </w:rPr>
        <w:t xml:space="preserve"> </w:t>
      </w:r>
    </w:p>
    <w:p w14:paraId="53CA312D" w14:textId="0F933FE4" w:rsidR="00201511" w:rsidRPr="0084218F" w:rsidRDefault="00201511" w:rsidP="00C80414">
      <w:pPr>
        <w:pStyle w:val="Body3"/>
        <w:jc w:val="left"/>
        <w:rPr>
          <w:rFonts w:cs="Tahoma"/>
          <w:szCs w:val="20"/>
        </w:rPr>
      </w:pPr>
      <w:r w:rsidRPr="0084218F">
        <w:rPr>
          <w:rFonts w:cs="Tahoma"/>
          <w:b/>
          <w:iCs/>
          <w:szCs w:val="20"/>
        </w:rPr>
        <w:t>XP INFRA II FUNDO DE INVESTIMENTO EM PARTICIPAÇÕES EM INFRAESTRUTURA</w:t>
      </w:r>
      <w:r w:rsidR="00C80414">
        <w:rPr>
          <w:rFonts w:cs="Tahoma"/>
          <w:b/>
          <w:iCs/>
          <w:szCs w:val="20"/>
        </w:rPr>
        <w:br/>
      </w:r>
      <w:r w:rsidRPr="0084218F">
        <w:rPr>
          <w:rFonts w:cs="Tahoma"/>
          <w:szCs w:val="20"/>
        </w:rPr>
        <w:t>Av. Chedid Janfet, 75, Torre Sul 30º andar</w:t>
      </w:r>
      <w:r w:rsidR="00C80414">
        <w:rPr>
          <w:rFonts w:cs="Tahoma"/>
          <w:szCs w:val="20"/>
        </w:rPr>
        <w:br/>
      </w:r>
      <w:r w:rsidRPr="0084218F">
        <w:rPr>
          <w:rFonts w:cs="Tahoma"/>
          <w:szCs w:val="20"/>
        </w:rPr>
        <w:t>Vila Olímpia, São Paulo- SP | CEP: 04551-065</w:t>
      </w:r>
      <w:r w:rsidR="00C80414">
        <w:rPr>
          <w:rFonts w:cs="Tahoma"/>
          <w:szCs w:val="20"/>
        </w:rPr>
        <w:br/>
      </w:r>
      <w:bookmarkStart w:id="88" w:name="_DV_M190"/>
      <w:bookmarkEnd w:id="87"/>
      <w:bookmarkEnd w:id="88"/>
      <w:r w:rsidRPr="0084218F">
        <w:rPr>
          <w:rFonts w:eastAsia="Arial Unicode MS" w:cs="Tahoma"/>
          <w:szCs w:val="20"/>
        </w:rPr>
        <w:t xml:space="preserve">At.: </w:t>
      </w:r>
      <w:r w:rsidRPr="0084218F">
        <w:rPr>
          <w:rFonts w:cs="Tahoma"/>
          <w:szCs w:val="20"/>
        </w:rPr>
        <w:t>Túlio Azevêdo Machado e André Evangelista Rocha</w:t>
      </w:r>
      <w:r w:rsidR="00C80414">
        <w:rPr>
          <w:rFonts w:cs="Tahoma"/>
          <w:szCs w:val="20"/>
        </w:rPr>
        <w:br/>
      </w:r>
      <w:r w:rsidRPr="0084218F">
        <w:rPr>
          <w:rFonts w:eastAsia="Arial Unicode MS" w:cs="Tahoma"/>
          <w:szCs w:val="20"/>
        </w:rPr>
        <w:t xml:space="preserve">Tel.: </w:t>
      </w:r>
      <w:r w:rsidRPr="0084218F">
        <w:rPr>
          <w:rFonts w:cs="Tahoma"/>
          <w:szCs w:val="20"/>
        </w:rPr>
        <w:t>(11) 4871-4432</w:t>
      </w:r>
      <w:r w:rsidR="00C80414">
        <w:rPr>
          <w:rFonts w:cs="Tahoma"/>
          <w:szCs w:val="20"/>
        </w:rPr>
        <w:br/>
      </w:r>
      <w:r w:rsidRPr="0084218F">
        <w:rPr>
          <w:rFonts w:eastAsia="Arial Unicode MS" w:cs="Tahoma"/>
          <w:szCs w:val="20"/>
        </w:rPr>
        <w:t xml:space="preserve">E-mail: </w:t>
      </w:r>
      <w:hyperlink r:id="rId8" w:history="1">
        <w:r w:rsidRPr="0084218F">
          <w:rPr>
            <w:rStyle w:val="Hyperlink"/>
            <w:rFonts w:cs="Tahoma"/>
            <w:szCs w:val="20"/>
          </w:rPr>
          <w:t>tulio.machado@xpasset.com.br</w:t>
        </w:r>
      </w:hyperlink>
      <w:r w:rsidRPr="0084218F">
        <w:rPr>
          <w:rStyle w:val="Hyperlink"/>
          <w:rFonts w:cs="Tahoma"/>
          <w:szCs w:val="20"/>
        </w:rPr>
        <w:t xml:space="preserve">; </w:t>
      </w:r>
      <w:hyperlink r:id="rId9" w:history="1">
        <w:r w:rsidRPr="0084218F">
          <w:rPr>
            <w:rStyle w:val="Hyperlink"/>
            <w:rFonts w:cs="Tahoma"/>
            <w:szCs w:val="20"/>
          </w:rPr>
          <w:t>andre.rocha@xpasset.com.br</w:t>
        </w:r>
      </w:hyperlink>
      <w:r w:rsidR="001A170E" w:rsidRPr="0084218F">
        <w:rPr>
          <w:rStyle w:val="Hyperlink"/>
          <w:rFonts w:cs="Tahoma"/>
          <w:szCs w:val="20"/>
        </w:rPr>
        <w:t xml:space="preserve"> </w:t>
      </w:r>
    </w:p>
    <w:p w14:paraId="77B2BF7D" w14:textId="21BD1DFE" w:rsidR="00201511" w:rsidRPr="0084218F" w:rsidRDefault="00201511" w:rsidP="00C80414">
      <w:pPr>
        <w:pStyle w:val="alpha3"/>
        <w:rPr>
          <w:rFonts w:eastAsia="Arial Unicode MS"/>
          <w:color w:val="000000"/>
        </w:rPr>
      </w:pPr>
      <w:r w:rsidRPr="0084218F">
        <w:rPr>
          <w:rFonts w:eastAsia="Arial Unicode MS"/>
        </w:rPr>
        <w:t xml:space="preserve">Se a comunicação for para </w:t>
      </w:r>
      <w:r w:rsidR="0030584D" w:rsidRPr="0084218F">
        <w:rPr>
          <w:rFonts w:eastAsia="Arial Unicode MS"/>
        </w:rPr>
        <w:t>a Alienante</w:t>
      </w:r>
      <w:r w:rsidRPr="0084218F">
        <w:rPr>
          <w:rFonts w:eastAsia="Arial Unicode MS"/>
        </w:rPr>
        <w:t xml:space="preserve"> ou para a </w:t>
      </w:r>
      <w:r w:rsidRPr="0084218F">
        <w:rPr>
          <w:rFonts w:eastAsia="Arial Unicode MS"/>
          <w:color w:val="000000"/>
        </w:rPr>
        <w:t>Emissora:</w:t>
      </w:r>
      <w:r w:rsidR="001A170E" w:rsidRPr="0084218F">
        <w:rPr>
          <w:rFonts w:eastAsia="Arial Unicode MS"/>
          <w:color w:val="000000"/>
        </w:rPr>
        <w:t xml:space="preserve"> </w:t>
      </w:r>
    </w:p>
    <w:p w14:paraId="669D3EE4" w14:textId="77777777" w:rsidR="003212B1" w:rsidRDefault="001A170E" w:rsidP="00C80414">
      <w:pPr>
        <w:pStyle w:val="Body3"/>
        <w:jc w:val="left"/>
        <w:rPr>
          <w:rFonts w:eastAsia="Arial Unicode MS" w:cs="Tahoma"/>
          <w:szCs w:val="20"/>
        </w:rPr>
      </w:pPr>
      <w:r w:rsidRPr="0084218F">
        <w:rPr>
          <w:rFonts w:cs="Tahoma"/>
          <w:b/>
          <w:szCs w:val="20"/>
          <w:lang w:val="en-US"/>
        </w:rPr>
        <w:t xml:space="preserve">LC </w:t>
      </w:r>
      <w:r w:rsidR="00201511" w:rsidRPr="0084218F">
        <w:rPr>
          <w:rFonts w:cs="Tahoma"/>
          <w:b/>
          <w:szCs w:val="20"/>
          <w:lang w:val="en-US"/>
        </w:rPr>
        <w:t>ENERGIA HOLDING S.A.</w:t>
      </w:r>
      <w:r w:rsidR="00A17FD0">
        <w:rPr>
          <w:rFonts w:cs="Tahoma"/>
          <w:b/>
          <w:szCs w:val="20"/>
          <w:lang w:val="en-US"/>
        </w:rPr>
        <w:t>/ LC LINHAS HOLDING LTDA.</w:t>
      </w:r>
      <w:r w:rsidR="001C18B1" w:rsidRPr="0084218F">
        <w:rPr>
          <w:rFonts w:cs="Tahoma"/>
          <w:b/>
          <w:szCs w:val="20"/>
          <w:lang w:val="en-US"/>
        </w:rPr>
        <w:t xml:space="preserve"> </w:t>
      </w:r>
      <w:r w:rsidR="00C80414">
        <w:rPr>
          <w:rFonts w:cs="Tahoma"/>
          <w:b/>
          <w:szCs w:val="20"/>
          <w:lang w:val="en-US"/>
        </w:rPr>
        <w:br/>
      </w:r>
      <w:r w:rsidR="00201511" w:rsidRPr="0084218F">
        <w:rPr>
          <w:rFonts w:eastAsia="Arial Unicode MS" w:cs="Tahoma"/>
          <w:szCs w:val="20"/>
        </w:rPr>
        <w:t>Avenida Presidente Juscelino Kubitschek, nº 2.041, 23° andar, Torre D, Vila Nova Conceição, CEP 04543-011</w:t>
      </w:r>
    </w:p>
    <w:p w14:paraId="65039284" w14:textId="1EE71D79" w:rsidR="00201511" w:rsidRPr="0084218F" w:rsidRDefault="00201511" w:rsidP="00C80414">
      <w:pPr>
        <w:pStyle w:val="Body3"/>
        <w:jc w:val="left"/>
        <w:rPr>
          <w:rStyle w:val="Ttulo5Char3"/>
          <w:rFonts w:cs="Tahoma"/>
          <w:b w:val="0"/>
          <w:sz w:val="20"/>
          <w:szCs w:val="20"/>
        </w:rPr>
      </w:pPr>
      <w:r w:rsidRPr="0084218F">
        <w:rPr>
          <w:rFonts w:eastAsia="Arial Unicode MS" w:cs="Tahoma"/>
          <w:szCs w:val="20"/>
        </w:rPr>
        <w:t xml:space="preserve">At.: </w:t>
      </w:r>
      <w:r w:rsidR="003212B1">
        <w:rPr>
          <w:rFonts w:cs="Tahoma"/>
          <w:szCs w:val="20"/>
        </w:rPr>
        <w:t>Nilton Bertuchi / Luiz Guilherme</w:t>
      </w:r>
      <w:r w:rsidR="00C80414">
        <w:rPr>
          <w:rFonts w:cs="Tahoma"/>
          <w:szCs w:val="20"/>
        </w:rPr>
        <w:br/>
      </w:r>
      <w:r w:rsidRPr="0084218F">
        <w:rPr>
          <w:rFonts w:eastAsia="Arial Unicode MS" w:cs="Tahoma"/>
          <w:szCs w:val="20"/>
        </w:rPr>
        <w:t xml:space="preserve">Tel.: </w:t>
      </w:r>
      <w:r w:rsidRPr="0084218F">
        <w:rPr>
          <w:rFonts w:cs="Tahoma"/>
          <w:szCs w:val="20"/>
        </w:rPr>
        <w:t>(11)3512-2525</w:t>
      </w:r>
      <w:r w:rsidR="00C80414">
        <w:rPr>
          <w:rFonts w:cs="Tahoma"/>
          <w:szCs w:val="20"/>
        </w:rPr>
        <w:br/>
      </w:r>
      <w:r w:rsidRPr="0084218F">
        <w:rPr>
          <w:rFonts w:eastAsia="Arial Unicode MS" w:cs="Tahoma"/>
          <w:szCs w:val="20"/>
        </w:rPr>
        <w:t xml:space="preserve">E-mail: </w:t>
      </w:r>
      <w:hyperlink r:id="rId10" w:history="1">
        <w:r w:rsidRPr="0084218F">
          <w:rPr>
            <w:rStyle w:val="Hyperlink"/>
            <w:rFonts w:eastAsia="Arial Unicode MS" w:cs="Tahoma"/>
            <w:szCs w:val="20"/>
          </w:rPr>
          <w:t>Nilton.bertuchi@lyoncapital.com.br</w:t>
        </w:r>
      </w:hyperlink>
      <w:r w:rsidRPr="0084218F">
        <w:rPr>
          <w:rStyle w:val="Hyperlink"/>
          <w:rFonts w:eastAsia="Arial Unicode MS" w:cs="Tahoma"/>
          <w:szCs w:val="20"/>
        </w:rPr>
        <w:t xml:space="preserve">; </w:t>
      </w:r>
      <w:hyperlink r:id="rId11" w:history="1">
        <w:r w:rsidRPr="0084218F">
          <w:rPr>
            <w:rStyle w:val="Hyperlink"/>
            <w:rFonts w:eastAsia="Arial Unicode MS" w:cs="Tahoma"/>
            <w:szCs w:val="20"/>
          </w:rPr>
          <w:t>Luiz.guilherme@lyoncapital.com.br</w:t>
        </w:r>
      </w:hyperlink>
      <w:r w:rsidRPr="0084218F">
        <w:rPr>
          <w:rFonts w:eastAsia="Arial Unicode MS" w:cs="Tahoma"/>
          <w:szCs w:val="20"/>
        </w:rPr>
        <w:t xml:space="preserve"> </w:t>
      </w:r>
    </w:p>
    <w:p w14:paraId="1D4B4BDF" w14:textId="22838DC4" w:rsidR="001A170E" w:rsidRDefault="001A170E" w:rsidP="00C80414">
      <w:pPr>
        <w:pStyle w:val="alpha3"/>
        <w:keepNext/>
        <w:rPr>
          <w:rStyle w:val="Hyperlink"/>
          <w:rFonts w:cs="Tahoma"/>
        </w:rPr>
      </w:pPr>
      <w:r w:rsidRPr="0084218F">
        <w:rPr>
          <w:rFonts w:eastAsia="Arial Unicode MS"/>
        </w:rPr>
        <w:lastRenderedPageBreak/>
        <w:t>Se a comunicação for para o Agente Fiduciário:</w:t>
      </w:r>
      <w:r w:rsidRPr="0084218F">
        <w:rPr>
          <w:rStyle w:val="Hyperlink"/>
          <w:rFonts w:cs="Tahoma"/>
        </w:rPr>
        <w:t xml:space="preserve"> </w:t>
      </w:r>
    </w:p>
    <w:p w14:paraId="1F9D2178" w14:textId="5CDDD20E" w:rsidR="001A170E" w:rsidRPr="0084218F" w:rsidRDefault="001C18B1" w:rsidP="00C80414">
      <w:pPr>
        <w:pStyle w:val="Body3"/>
        <w:jc w:val="left"/>
        <w:rPr>
          <w:rStyle w:val="Ttulo5Char3"/>
          <w:rFonts w:cs="Tahoma"/>
          <w:b w:val="0"/>
          <w:sz w:val="20"/>
          <w:szCs w:val="20"/>
        </w:rPr>
      </w:pPr>
      <w:r w:rsidRPr="0084218F">
        <w:rPr>
          <w:b/>
        </w:rPr>
        <w:t>SIMPLIFIC PAVARINI DISTRIBUIDORA DE TÍTULOS E VALORES MOBILIÁRIOS LTDA.</w:t>
      </w:r>
      <w:r w:rsidRPr="0084218F" w:rsidDel="001C18B1">
        <w:rPr>
          <w:bCs/>
        </w:rPr>
        <w:t xml:space="preserve"> </w:t>
      </w:r>
      <w:r w:rsidR="00C80414">
        <w:rPr>
          <w:bCs/>
        </w:rPr>
        <w:br/>
      </w:r>
      <w:r w:rsidRPr="0084218F">
        <w:rPr>
          <w:w w:val="0"/>
        </w:rPr>
        <w:t>Rua Joaquim Floriano 466, Bloco B, Conj 1401, Itaim Bibi</w:t>
      </w:r>
      <w:r w:rsidR="00C80414">
        <w:rPr>
          <w:w w:val="0"/>
        </w:rPr>
        <w:br/>
      </w:r>
      <w:r w:rsidRPr="0084218F">
        <w:rPr>
          <w:w w:val="0"/>
        </w:rPr>
        <w:t>CEP 04534-002, São Paulo, SP</w:t>
      </w:r>
      <w:r w:rsidR="00C80414">
        <w:rPr>
          <w:w w:val="0"/>
        </w:rPr>
        <w:br/>
      </w:r>
      <w:r w:rsidR="001A170E" w:rsidRPr="0084218F">
        <w:rPr>
          <w:rStyle w:val="Hyperlink"/>
          <w:rFonts w:cs="Tahoma"/>
          <w:szCs w:val="20"/>
        </w:rPr>
        <w:t xml:space="preserve">At.: </w:t>
      </w:r>
      <w:r w:rsidRPr="0084218F">
        <w:rPr>
          <w:w w:val="0"/>
        </w:rPr>
        <w:t>Matheus Gomes Faria / Pedro Paulo Farme D’Amoed Fernandes de Oliveira</w:t>
      </w:r>
      <w:r w:rsidRPr="0084218F" w:rsidDel="001C18B1">
        <w:rPr>
          <w:bCs/>
        </w:rPr>
        <w:t xml:space="preserve"> </w:t>
      </w:r>
      <w:r w:rsidR="00C80414">
        <w:rPr>
          <w:bCs/>
        </w:rPr>
        <w:br/>
      </w:r>
      <w:r w:rsidR="001A170E" w:rsidRPr="0084218F">
        <w:rPr>
          <w:rStyle w:val="Hyperlink"/>
          <w:rFonts w:cs="Tahoma"/>
          <w:szCs w:val="20"/>
        </w:rPr>
        <w:t xml:space="preserve">Tel.: </w:t>
      </w:r>
      <w:r w:rsidRPr="0084218F">
        <w:rPr>
          <w:w w:val="0"/>
        </w:rPr>
        <w:t>(11) 3090-0447</w:t>
      </w:r>
      <w:r w:rsidRPr="0084218F" w:rsidDel="001C18B1">
        <w:rPr>
          <w:bCs/>
        </w:rPr>
        <w:t xml:space="preserve"> </w:t>
      </w:r>
      <w:r w:rsidR="00C80414">
        <w:rPr>
          <w:bCs/>
        </w:rPr>
        <w:br/>
      </w:r>
      <w:r w:rsidR="001A170E" w:rsidRPr="0084218F">
        <w:rPr>
          <w:rStyle w:val="Hyperlink"/>
          <w:rFonts w:cs="Tahoma"/>
          <w:szCs w:val="20"/>
        </w:rPr>
        <w:t xml:space="preserve">E-mail: </w:t>
      </w:r>
      <w:r w:rsidRPr="0084218F">
        <w:rPr>
          <w:w w:val="0"/>
        </w:rPr>
        <w:t>spestruturacao@simplificpavarini.com.br</w:t>
      </w:r>
      <w:r w:rsidRPr="0084218F" w:rsidDel="001C18B1">
        <w:rPr>
          <w:bCs/>
        </w:rPr>
        <w:t xml:space="preserve"> </w:t>
      </w:r>
    </w:p>
    <w:bookmarkEnd w:id="81"/>
    <w:bookmarkEnd w:id="82"/>
    <w:bookmarkEnd w:id="83"/>
    <w:bookmarkEnd w:id="84"/>
    <w:bookmarkEnd w:id="85"/>
    <w:bookmarkEnd w:id="86"/>
    <w:p w14:paraId="5518BC47" w14:textId="77777777" w:rsidR="00201511" w:rsidRPr="0084218F" w:rsidRDefault="00201511" w:rsidP="00C80414">
      <w:pPr>
        <w:pStyle w:val="Level2"/>
      </w:pPr>
      <w:r w:rsidRPr="0084218F">
        <w:t>As comunicações serão consideradas entregues quando recebidas sob protocolo ou com aviso de recebimento.</w:t>
      </w:r>
    </w:p>
    <w:p w14:paraId="45004E35" w14:textId="77777777" w:rsidR="00201511" w:rsidRPr="0084218F" w:rsidRDefault="00201511" w:rsidP="00C80414">
      <w:pPr>
        <w:pStyle w:val="Level2"/>
      </w:pPr>
      <w:r w:rsidRPr="0084218F">
        <w:t>As comunicações feitas por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w:t>
      </w:r>
    </w:p>
    <w:p w14:paraId="1FB0519C" w14:textId="77777777" w:rsidR="00201511" w:rsidRPr="0084218F" w:rsidRDefault="00201511" w:rsidP="00C80414">
      <w:pPr>
        <w:pStyle w:val="Level2"/>
      </w:pPr>
      <w:r w:rsidRPr="0084218F">
        <w:t>A mudança de qualquer dos endereços acima por qualquer das Partes deverá ser imediatamente comunicada às demais Partes.</w:t>
      </w:r>
    </w:p>
    <w:p w14:paraId="511CE10D" w14:textId="77777777" w:rsidR="00201511" w:rsidRPr="00C80414" w:rsidRDefault="00201511" w:rsidP="00C80414">
      <w:pPr>
        <w:pStyle w:val="Level1"/>
        <w:rPr>
          <w:b/>
          <w:bCs/>
        </w:rPr>
      </w:pPr>
      <w:r w:rsidRPr="00C80414">
        <w:rPr>
          <w:b/>
          <w:bCs/>
        </w:rPr>
        <w:t>RENÚNCIAS E NULIDADE PARCIAL</w:t>
      </w:r>
    </w:p>
    <w:p w14:paraId="01EA929E" w14:textId="77777777" w:rsidR="00201511" w:rsidRPr="0084218F" w:rsidRDefault="00201511" w:rsidP="00C80414">
      <w:pPr>
        <w:pStyle w:val="Level2"/>
      </w:pPr>
      <w:r w:rsidRPr="0084218F">
        <w:t>Cada Parte reconhece que (a) os direitos e medidas resultantes deste Contrato e dos Documentos da Operação são cumulativos e podem ser exercidos separada ou simultaneamente, e não excluem quaisquer outros direitos ou medidas previstos em lei ou por qualquer outro contrato; (b) a renúncia, por qualquer Parte, a qualquer desses direitos somente será válida se formalizada por escrito; (c) a renúncia de um direito será interpretada restritivamente, não sendo considerada como renúncia a qualquer outro direito; e (d) a nulidade ou invalidade de qualquer das cláusulas contratuais aqui previstas não prejudicará a validade e eficácia das demais cláusulas e disposições deste Contrato.</w:t>
      </w:r>
    </w:p>
    <w:p w14:paraId="7C7BEF73" w14:textId="406BB831" w:rsidR="00201511" w:rsidRPr="0084218F" w:rsidRDefault="001C18B1" w:rsidP="00C80414">
      <w:pPr>
        <w:pStyle w:val="Level2"/>
      </w:pPr>
      <w:r w:rsidRPr="0084218F">
        <w:t>A Alienante não poderá</w:t>
      </w:r>
      <w:r w:rsidR="00201511" w:rsidRPr="0084218F">
        <w:t xml:space="preserve"> renunciar, alterar, novar ou dispor de qualquer dos direitos, garantias e prerrogativas de sua titularidade relativos aos </w:t>
      </w:r>
      <w:r w:rsidR="00201511" w:rsidRPr="0084218F">
        <w:rPr>
          <w:color w:val="000000"/>
        </w:rPr>
        <w:t>Direitos de Participação Alienados Fiduciariamente</w:t>
      </w:r>
      <w:r w:rsidR="00201511" w:rsidRPr="0084218F">
        <w:t xml:space="preserve"> sem a prévia e expressa autorização, por escrito, do</w:t>
      </w:r>
      <w:r w:rsidR="008E3658" w:rsidRPr="0084218F">
        <w:t>s</w:t>
      </w:r>
      <w:r w:rsidR="00201511" w:rsidRPr="0084218F">
        <w:t xml:space="preserve"> </w:t>
      </w:r>
      <w:r w:rsidR="008E3658" w:rsidRPr="0084218F">
        <w:t>Debenturistas</w:t>
      </w:r>
      <w:r w:rsidR="00201511" w:rsidRPr="0084218F">
        <w:t>.</w:t>
      </w:r>
    </w:p>
    <w:p w14:paraId="7DAC1C35" w14:textId="77777777" w:rsidR="00201511" w:rsidRPr="00C80414" w:rsidRDefault="00201511" w:rsidP="00C80414">
      <w:pPr>
        <w:pStyle w:val="Level1"/>
        <w:rPr>
          <w:b/>
          <w:bCs/>
        </w:rPr>
      </w:pPr>
      <w:r w:rsidRPr="00C80414">
        <w:rPr>
          <w:b/>
          <w:bCs/>
        </w:rPr>
        <w:t>SOBREVIVÊNCIA E TOLERÂNCIA</w:t>
      </w:r>
    </w:p>
    <w:p w14:paraId="2B76A40C" w14:textId="232C9717" w:rsidR="00201511" w:rsidRPr="0084218F" w:rsidRDefault="00201511" w:rsidP="00C80414">
      <w:pPr>
        <w:pStyle w:val="Level2"/>
        <w:rPr>
          <w:b/>
        </w:rPr>
      </w:pPr>
      <w:r w:rsidRPr="0084218F">
        <w:t>Não obstante a ocorrência de um inadimplemento de Obrigação Garantida ou de um Evento de Inadimplemento, todos os acordos, declarações e garantias objeto deste Contrato e dos demais Documentos da Operação permanecerão em pleno vigor até o cumprimento integral de todas as Obrigações Garantidas.</w:t>
      </w:r>
    </w:p>
    <w:p w14:paraId="2C90C75E" w14:textId="77777777" w:rsidR="00201511" w:rsidRPr="0084218F" w:rsidRDefault="00201511" w:rsidP="00C80414">
      <w:pPr>
        <w:pStyle w:val="Level2"/>
        <w:rPr>
          <w:b/>
        </w:rPr>
      </w:pPr>
      <w:r w:rsidRPr="0084218F">
        <w:t>Caso, por qualquer motivo, este Contrato venha a ser executado parcialmente, todas as suas condições e cláusulas permanecerão em vigor, não obstante a execução parcial, até o integral cumprimento das Obrigações Garantidas.</w:t>
      </w:r>
    </w:p>
    <w:p w14:paraId="5D9CD397" w14:textId="411C4EAA" w:rsidR="00201511" w:rsidRPr="0084218F" w:rsidRDefault="00201511" w:rsidP="00C80414">
      <w:pPr>
        <w:pStyle w:val="Level2"/>
      </w:pPr>
      <w:r w:rsidRPr="0084218F">
        <w:t>A tolerância de uma Parte quanto à mora de outra Parte será havida como simples liberalidade e não induzirá novação nem constituirá precedente invocável pela outra Parte para evitar o cumprimento de suas obrigações.</w:t>
      </w:r>
    </w:p>
    <w:p w14:paraId="73FD8E12" w14:textId="77777777" w:rsidR="00201511" w:rsidRPr="00C80414" w:rsidRDefault="00201511" w:rsidP="00C80414">
      <w:pPr>
        <w:pStyle w:val="Level1"/>
        <w:rPr>
          <w:b/>
          <w:bCs/>
        </w:rPr>
      </w:pPr>
      <w:r w:rsidRPr="00C80414">
        <w:rPr>
          <w:b/>
          <w:bCs/>
        </w:rPr>
        <w:lastRenderedPageBreak/>
        <w:t>DESPESAS</w:t>
      </w:r>
    </w:p>
    <w:p w14:paraId="76B29B1E" w14:textId="410CAA08" w:rsidR="00201511" w:rsidRPr="0084218F" w:rsidRDefault="00201511" w:rsidP="00C80414">
      <w:pPr>
        <w:pStyle w:val="Level2"/>
      </w:pPr>
      <w:r w:rsidRPr="0084218F">
        <w:t>Todos e quaisquer custos, despesas, taxas e tributos das averbações e registros aqui previstos serão de responsabilidade única e exclusiva d</w:t>
      </w:r>
      <w:r w:rsidR="0030584D" w:rsidRPr="0084218F">
        <w:t>a Alienante</w:t>
      </w:r>
      <w:r w:rsidRPr="0084218F">
        <w:t xml:space="preserve"> e da Emissora. Não obstante, o</w:t>
      </w:r>
      <w:r w:rsidR="008E3658" w:rsidRPr="0084218F">
        <w:t>s</w:t>
      </w:r>
      <w:r w:rsidRPr="0084218F">
        <w:t xml:space="preserve"> </w:t>
      </w:r>
      <w:r w:rsidR="008E3658" w:rsidRPr="0084218F">
        <w:t>Debenturistas</w:t>
      </w:r>
      <w:r w:rsidRPr="0084218F">
        <w:t xml:space="preserve"> poder</w:t>
      </w:r>
      <w:r w:rsidR="008E3658" w:rsidRPr="0084218F">
        <w:t>ão</w:t>
      </w:r>
      <w:r w:rsidRPr="0084218F">
        <w:t xml:space="preserve">, caso </w:t>
      </w:r>
      <w:r w:rsidR="0030584D" w:rsidRPr="0084218F">
        <w:t>a Alienante</w:t>
      </w:r>
      <w:r w:rsidRPr="0084218F">
        <w:t xml:space="preserve"> e a Emissora não o façam, a seu exclusivo critério e às custas e expensas d</w:t>
      </w:r>
      <w:r w:rsidR="0030584D" w:rsidRPr="0084218F">
        <w:t>a Alienante</w:t>
      </w:r>
      <w:r w:rsidRPr="0084218F">
        <w:t xml:space="preserve"> e/ou da Emissora, sem prejuízo de descumprimento de obrigação não pecuniária pel</w:t>
      </w:r>
      <w:r w:rsidR="0030584D" w:rsidRPr="0084218F">
        <w:t>a Alienante</w:t>
      </w:r>
      <w:r w:rsidRPr="0084218F">
        <w:t xml:space="preserve"> e/ou pela Emissora, providenciar os registros e demais formalidades aqui previstos em nome d</w:t>
      </w:r>
      <w:r w:rsidR="0030584D" w:rsidRPr="0084218F">
        <w:t>a Alienante</w:t>
      </w:r>
      <w:r w:rsidRPr="0084218F">
        <w:t xml:space="preserve"> e da Emissora, as quais reconhecem desde já como sendo líquidas, certas e exigíveis as notas de débito que venham a ser emitidas pelo</w:t>
      </w:r>
      <w:r w:rsidR="008E3658" w:rsidRPr="0084218F">
        <w:t>s</w:t>
      </w:r>
      <w:r w:rsidRPr="0084218F">
        <w:t xml:space="preserve"> </w:t>
      </w:r>
      <w:r w:rsidR="008E3658" w:rsidRPr="0084218F">
        <w:t>Debenturistas</w:t>
      </w:r>
      <w:r w:rsidRPr="0084218F">
        <w:t xml:space="preserve"> para pagamento de qualquer custo, despesa, taxa e tributo correspondente. </w:t>
      </w:r>
      <w:r w:rsidR="0030584D" w:rsidRPr="0084218F">
        <w:t>A Alienante</w:t>
      </w:r>
      <w:r w:rsidRPr="0084218F">
        <w:t xml:space="preserve"> e/ou a Emissora deverão reembolsar o</w:t>
      </w:r>
      <w:r w:rsidR="008E3658" w:rsidRPr="0084218F">
        <w:t>s</w:t>
      </w:r>
      <w:r w:rsidRPr="0084218F">
        <w:t xml:space="preserve"> </w:t>
      </w:r>
      <w:r w:rsidR="008E3658" w:rsidRPr="0084218F">
        <w:t>Debenturistas, conforme aplicável,</w:t>
      </w:r>
      <w:r w:rsidRPr="0084218F">
        <w:t xml:space="preserve"> por tais custos, despesas, taxas e tributos comprovados, no prazo de até 3 (três) Dias Úteis contados do recebimento da respectiva nota de débito enviada pelo</w:t>
      </w:r>
      <w:r w:rsidR="008E3658" w:rsidRPr="0084218F">
        <w:t>s</w:t>
      </w:r>
      <w:r w:rsidRPr="0084218F">
        <w:t xml:space="preserve"> </w:t>
      </w:r>
      <w:r w:rsidR="008E3658" w:rsidRPr="0084218F">
        <w:t>Debenturistas</w:t>
      </w:r>
      <w:r w:rsidRPr="0084218F">
        <w:t>,</w:t>
      </w:r>
      <w:r w:rsidR="008E3658" w:rsidRPr="0084218F">
        <w:t xml:space="preserve"> conforme aplicável,</w:t>
      </w:r>
      <w:r w:rsidRPr="0084218F">
        <w:t xml:space="preserve"> acompanhada do respectivo comprovante de tais custos, sob pena de incorrer em multa moratória equivalente a 10% (dez por cento) do valor devido.</w:t>
      </w:r>
    </w:p>
    <w:p w14:paraId="3B21C217" w14:textId="77777777" w:rsidR="00201511" w:rsidRPr="00C80414" w:rsidRDefault="00201511" w:rsidP="00C80414">
      <w:pPr>
        <w:pStyle w:val="Level1"/>
        <w:rPr>
          <w:b/>
          <w:bCs/>
        </w:rPr>
      </w:pPr>
      <w:r w:rsidRPr="00C80414">
        <w:rPr>
          <w:b/>
          <w:bCs/>
        </w:rPr>
        <w:t>CESSÃO OU TRANSFERÊNCIA</w:t>
      </w:r>
    </w:p>
    <w:p w14:paraId="70FAF53E" w14:textId="22F3E2A6" w:rsidR="00201511" w:rsidRPr="0084218F" w:rsidRDefault="00201511" w:rsidP="00C80414">
      <w:pPr>
        <w:pStyle w:val="Level2"/>
      </w:pPr>
      <w:r w:rsidRPr="0084218F">
        <w:t>É proibida a cessão, por qualquer das Partes, de direitos ou obrigações decorrentes deste Contrato, no todo ou em parte, exceto a cessão ou transferência pelo</w:t>
      </w:r>
      <w:r w:rsidR="008E3658" w:rsidRPr="0084218F">
        <w:t>s Debenturistas</w:t>
      </w:r>
      <w:r w:rsidRPr="0084218F">
        <w:t xml:space="preserve"> de direitos ou obrigações, ou de sua posição jurídica neste Contrato, no todo ou em parte, a terceiros que venham a adquirir Debêntures, inclusive a agente fiduciário que venha a ser nomeado.</w:t>
      </w:r>
    </w:p>
    <w:p w14:paraId="04E475E1" w14:textId="77777777" w:rsidR="00201511" w:rsidRPr="00C80414" w:rsidRDefault="00201511" w:rsidP="00C80414">
      <w:pPr>
        <w:pStyle w:val="Level1"/>
        <w:rPr>
          <w:b/>
          <w:bCs/>
        </w:rPr>
      </w:pPr>
      <w:r w:rsidRPr="00C80414">
        <w:rPr>
          <w:b/>
          <w:bCs/>
        </w:rPr>
        <w:t>IRREVOGABILIDADE E SUCESSÃO</w:t>
      </w:r>
    </w:p>
    <w:p w14:paraId="2D01DB3B" w14:textId="77777777" w:rsidR="00201511" w:rsidRPr="0084218F" w:rsidRDefault="00201511" w:rsidP="00C80414">
      <w:pPr>
        <w:pStyle w:val="Level2"/>
      </w:pPr>
      <w:r w:rsidRPr="0084218F">
        <w:t>Os direitos e obrigações constituídos por este Contrato são irrevogáveis e irretratáveis e obrigam as Partes, seus sucessores a qualquer título e seus cessionários autorizados.</w:t>
      </w:r>
    </w:p>
    <w:p w14:paraId="409F9A6D" w14:textId="77777777" w:rsidR="00201511" w:rsidRPr="00C80414" w:rsidRDefault="00201511" w:rsidP="00C80414">
      <w:pPr>
        <w:pStyle w:val="Level1"/>
        <w:rPr>
          <w:b/>
          <w:bCs/>
        </w:rPr>
      </w:pPr>
      <w:r w:rsidRPr="00C80414">
        <w:rPr>
          <w:b/>
          <w:bCs/>
        </w:rPr>
        <w:t>ALTERAÇÕES</w:t>
      </w:r>
    </w:p>
    <w:p w14:paraId="418E390A" w14:textId="77777777" w:rsidR="00201511" w:rsidRPr="0084218F" w:rsidRDefault="00201511" w:rsidP="00C80414">
      <w:pPr>
        <w:pStyle w:val="Level2"/>
      </w:pPr>
      <w:r w:rsidRPr="0084218F">
        <w:t>Toda e qualquer alteração do presente Contrato somente será válida se for celebrada por escrito e assinada por todas as Partes.</w:t>
      </w:r>
    </w:p>
    <w:p w14:paraId="12815028" w14:textId="77777777" w:rsidR="00201511" w:rsidRPr="00C80414" w:rsidRDefault="00201511" w:rsidP="00C80414">
      <w:pPr>
        <w:pStyle w:val="Level1"/>
        <w:rPr>
          <w:b/>
          <w:bCs/>
        </w:rPr>
      </w:pPr>
      <w:r w:rsidRPr="00C80414">
        <w:rPr>
          <w:b/>
          <w:bCs/>
        </w:rPr>
        <w:t>FORO</w:t>
      </w:r>
    </w:p>
    <w:p w14:paraId="65DBC3E8" w14:textId="77777777" w:rsidR="00201511" w:rsidRPr="0084218F" w:rsidRDefault="00201511" w:rsidP="00C80414">
      <w:pPr>
        <w:pStyle w:val="Level2"/>
        <w:rPr>
          <w:color w:val="000000"/>
        </w:rPr>
      </w:pPr>
      <w:r w:rsidRPr="0084218F">
        <w:t>As Partes elegem o foro da Comarca da capital do Estado de São Paulo, com renúncia expressa de qualquer outro, por mais privilegiado, como competente para dirimir quaisquer controvérsias decorrentes deste Contrato.</w:t>
      </w:r>
    </w:p>
    <w:p w14:paraId="3666CCB2" w14:textId="77777777" w:rsidR="00201511" w:rsidRPr="0084218F" w:rsidRDefault="00201511" w:rsidP="00C80414">
      <w:pPr>
        <w:pStyle w:val="Body"/>
        <w:jc w:val="center"/>
        <w:rPr>
          <w:color w:val="000000"/>
        </w:rPr>
      </w:pPr>
    </w:p>
    <w:p w14:paraId="06C35EFC" w14:textId="77777777" w:rsidR="00C80414" w:rsidRDefault="00DE1BB4" w:rsidP="00C80414">
      <w:pPr>
        <w:pStyle w:val="Body"/>
        <w:jc w:val="center"/>
      </w:pPr>
      <w:r w:rsidRPr="0084218F">
        <w:t>* * *</w:t>
      </w:r>
    </w:p>
    <w:p w14:paraId="3056AF4E" w14:textId="77777777" w:rsidR="00201511" w:rsidRPr="0084218F" w:rsidRDefault="00201511" w:rsidP="00C80414">
      <w:pPr>
        <w:pStyle w:val="TtuloAnexo"/>
      </w:pPr>
      <w:r w:rsidRPr="0084218F">
        <w:lastRenderedPageBreak/>
        <w:t>ANEXO I</w:t>
      </w:r>
    </w:p>
    <w:p w14:paraId="1AFB81B0" w14:textId="6D9EFC75" w:rsidR="00201511" w:rsidRDefault="00201511" w:rsidP="00CC6A8A">
      <w:pPr>
        <w:pStyle w:val="SubTtulo0"/>
        <w:jc w:val="center"/>
      </w:pPr>
      <w:r w:rsidRPr="0084218F">
        <w:t>DESCRIÇÃO DAS OBRIGAÇÕES GARANTIDAS</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6941"/>
      </w:tblGrid>
      <w:tr w:rsidR="00427CB6" w:rsidRPr="00E27C16" w14:paraId="47663EA7" w14:textId="77777777" w:rsidTr="00427CB6">
        <w:trPr>
          <w:tblHeader/>
        </w:trPr>
        <w:tc>
          <w:tcPr>
            <w:tcW w:w="5000" w:type="pct"/>
            <w:gridSpan w:val="2"/>
            <w:tcBorders>
              <w:top w:val="single" w:sz="12" w:space="0" w:color="auto"/>
              <w:left w:val="single" w:sz="12" w:space="0" w:color="auto"/>
              <w:bottom w:val="single" w:sz="6" w:space="0" w:color="auto"/>
              <w:right w:val="single" w:sz="12" w:space="0" w:color="auto"/>
            </w:tcBorders>
            <w:shd w:val="clear" w:color="auto" w:fill="BFBFBF"/>
            <w:vAlign w:val="center"/>
            <w:hideMark/>
          </w:tcPr>
          <w:p w14:paraId="0C30CE47" w14:textId="0B00EA75" w:rsidR="00427CB6" w:rsidRPr="00E27C16" w:rsidRDefault="00427CB6">
            <w:pPr>
              <w:widowControl w:val="0"/>
              <w:spacing w:before="40" w:after="40" w:line="252" w:lineRule="auto"/>
              <w:ind w:left="-90"/>
              <w:jc w:val="center"/>
              <w:rPr>
                <w:rFonts w:cs="Tahoma"/>
                <w:b/>
                <w:sz w:val="18"/>
                <w:szCs w:val="18"/>
              </w:rPr>
            </w:pPr>
            <w:r w:rsidRPr="00E27C16">
              <w:rPr>
                <w:rFonts w:cs="Tahoma"/>
                <w:b/>
                <w:sz w:val="18"/>
                <w:szCs w:val="18"/>
              </w:rPr>
              <w:t>Obrigações Garantidas da 1ª Emissão</w:t>
            </w:r>
          </w:p>
        </w:tc>
      </w:tr>
      <w:tr w:rsidR="00427CB6" w:rsidRPr="00E27C16" w14:paraId="1791B4FE" w14:textId="77777777" w:rsidTr="00427CB6">
        <w:tc>
          <w:tcPr>
            <w:tcW w:w="1011" w:type="pct"/>
            <w:tcBorders>
              <w:top w:val="single" w:sz="6" w:space="0" w:color="auto"/>
              <w:left w:val="single" w:sz="12" w:space="0" w:color="auto"/>
              <w:bottom w:val="single" w:sz="6" w:space="0" w:color="auto"/>
              <w:right w:val="single" w:sz="6" w:space="0" w:color="auto"/>
            </w:tcBorders>
            <w:vAlign w:val="center"/>
            <w:hideMark/>
          </w:tcPr>
          <w:p w14:paraId="387E63BC" w14:textId="77777777" w:rsidR="00427CB6" w:rsidRPr="00E27C16" w:rsidRDefault="00427CB6">
            <w:pPr>
              <w:widowControl w:val="0"/>
              <w:spacing w:before="40" w:after="40" w:line="252" w:lineRule="auto"/>
              <w:ind w:left="-90"/>
              <w:rPr>
                <w:rFonts w:cs="Tahoma"/>
                <w:sz w:val="18"/>
                <w:szCs w:val="18"/>
              </w:rPr>
            </w:pPr>
            <w:r w:rsidRPr="00E27C16">
              <w:rPr>
                <w:rFonts w:cs="Tahoma"/>
                <w:sz w:val="18"/>
                <w:szCs w:val="18"/>
              </w:rPr>
              <w:t>Valor total da Emissão:</w:t>
            </w:r>
          </w:p>
        </w:tc>
        <w:tc>
          <w:tcPr>
            <w:tcW w:w="3989" w:type="pct"/>
            <w:tcBorders>
              <w:top w:val="single" w:sz="6" w:space="0" w:color="auto"/>
              <w:left w:val="single" w:sz="6" w:space="0" w:color="auto"/>
              <w:bottom w:val="single" w:sz="6" w:space="0" w:color="auto"/>
              <w:right w:val="single" w:sz="12" w:space="0" w:color="auto"/>
            </w:tcBorders>
            <w:vAlign w:val="center"/>
            <w:hideMark/>
          </w:tcPr>
          <w:p w14:paraId="63C4FFAE" w14:textId="5EEE8C47" w:rsidR="00427CB6" w:rsidRPr="00E27C16" w:rsidRDefault="00427CB6">
            <w:pPr>
              <w:pStyle w:val="p0"/>
              <w:spacing w:before="40" w:after="40" w:line="252" w:lineRule="auto"/>
              <w:outlineLvl w:val="0"/>
              <w:rPr>
                <w:rFonts w:ascii="Tahoma" w:hAnsi="Tahoma" w:cs="Tahoma"/>
                <w:sz w:val="18"/>
                <w:szCs w:val="18"/>
              </w:rPr>
            </w:pPr>
            <w:r w:rsidRPr="00E27C16">
              <w:rPr>
                <w:rFonts w:ascii="Tahoma" w:hAnsi="Tahoma" w:cs="Tahoma"/>
                <w:sz w:val="18"/>
                <w:szCs w:val="18"/>
              </w:rPr>
              <w:t>[R$ 110.300.000,00 (cento e dez milhões e trezentos mil reais)]</w:t>
            </w:r>
          </w:p>
        </w:tc>
      </w:tr>
      <w:tr w:rsidR="00427CB6" w:rsidRPr="00E27C16" w14:paraId="353CA7D2" w14:textId="77777777" w:rsidTr="00427CB6">
        <w:tc>
          <w:tcPr>
            <w:tcW w:w="1011" w:type="pct"/>
            <w:tcBorders>
              <w:top w:val="single" w:sz="6" w:space="0" w:color="auto"/>
              <w:left w:val="single" w:sz="12" w:space="0" w:color="auto"/>
              <w:bottom w:val="single" w:sz="6" w:space="0" w:color="auto"/>
              <w:right w:val="single" w:sz="6" w:space="0" w:color="auto"/>
            </w:tcBorders>
            <w:vAlign w:val="center"/>
            <w:hideMark/>
          </w:tcPr>
          <w:p w14:paraId="4BD934A3" w14:textId="77777777" w:rsidR="00427CB6" w:rsidRPr="00E27C16" w:rsidRDefault="00427CB6">
            <w:pPr>
              <w:widowControl w:val="0"/>
              <w:spacing w:before="40" w:after="40" w:line="252" w:lineRule="auto"/>
              <w:ind w:left="-90"/>
              <w:rPr>
                <w:rFonts w:cs="Tahoma"/>
                <w:sz w:val="18"/>
                <w:szCs w:val="18"/>
              </w:rPr>
            </w:pPr>
            <w:r w:rsidRPr="00E27C16">
              <w:rPr>
                <w:rFonts w:cs="Tahoma"/>
                <w:sz w:val="18"/>
                <w:szCs w:val="18"/>
              </w:rPr>
              <w:t>Valor da 1ª Série</w:t>
            </w:r>
          </w:p>
        </w:tc>
        <w:tc>
          <w:tcPr>
            <w:tcW w:w="3989" w:type="pct"/>
            <w:tcBorders>
              <w:top w:val="single" w:sz="6" w:space="0" w:color="auto"/>
              <w:left w:val="single" w:sz="6" w:space="0" w:color="auto"/>
              <w:bottom w:val="single" w:sz="6" w:space="0" w:color="auto"/>
              <w:right w:val="single" w:sz="12" w:space="0" w:color="auto"/>
            </w:tcBorders>
            <w:vAlign w:val="center"/>
            <w:hideMark/>
          </w:tcPr>
          <w:p w14:paraId="66C52C2D" w14:textId="77777777" w:rsidR="00427CB6" w:rsidRPr="00E27C16" w:rsidRDefault="00427CB6">
            <w:pPr>
              <w:pStyle w:val="p0"/>
              <w:spacing w:before="40" w:after="40" w:line="252" w:lineRule="auto"/>
              <w:outlineLvl w:val="0"/>
              <w:rPr>
                <w:rFonts w:ascii="Tahoma" w:hAnsi="Tahoma" w:cs="Tahoma"/>
                <w:sz w:val="18"/>
                <w:szCs w:val="18"/>
              </w:rPr>
            </w:pPr>
            <w:r w:rsidRPr="00E27C16">
              <w:rPr>
                <w:rFonts w:ascii="Tahoma" w:hAnsi="Tahoma" w:cs="Tahoma"/>
                <w:sz w:val="18"/>
                <w:szCs w:val="18"/>
              </w:rPr>
              <w:t>R$ 55.300.000,00 (cinquenta e cinco milhões e trezentos mil reais)</w:t>
            </w:r>
          </w:p>
        </w:tc>
      </w:tr>
      <w:tr w:rsidR="00427CB6" w:rsidRPr="00E27C16" w14:paraId="77CBB5BC" w14:textId="77777777" w:rsidTr="00427CB6">
        <w:tc>
          <w:tcPr>
            <w:tcW w:w="1011" w:type="pct"/>
            <w:tcBorders>
              <w:top w:val="single" w:sz="6" w:space="0" w:color="auto"/>
              <w:left w:val="single" w:sz="12" w:space="0" w:color="auto"/>
              <w:bottom w:val="single" w:sz="6" w:space="0" w:color="auto"/>
              <w:right w:val="single" w:sz="6" w:space="0" w:color="auto"/>
            </w:tcBorders>
            <w:vAlign w:val="center"/>
            <w:hideMark/>
          </w:tcPr>
          <w:p w14:paraId="72FEE539" w14:textId="77777777" w:rsidR="00427CB6" w:rsidRPr="00E27C16" w:rsidRDefault="00427CB6">
            <w:pPr>
              <w:widowControl w:val="0"/>
              <w:spacing w:before="40" w:after="40" w:line="252" w:lineRule="auto"/>
              <w:ind w:left="-90"/>
              <w:rPr>
                <w:rFonts w:cs="Tahoma"/>
                <w:sz w:val="18"/>
                <w:szCs w:val="18"/>
              </w:rPr>
            </w:pPr>
            <w:r w:rsidRPr="00E27C16">
              <w:rPr>
                <w:rFonts w:cs="Tahoma"/>
                <w:sz w:val="18"/>
                <w:szCs w:val="18"/>
              </w:rPr>
              <w:t>Valor da 2ª Série</w:t>
            </w:r>
          </w:p>
        </w:tc>
        <w:tc>
          <w:tcPr>
            <w:tcW w:w="3989" w:type="pct"/>
            <w:tcBorders>
              <w:top w:val="single" w:sz="6" w:space="0" w:color="auto"/>
              <w:left w:val="single" w:sz="6" w:space="0" w:color="auto"/>
              <w:bottom w:val="single" w:sz="6" w:space="0" w:color="auto"/>
              <w:right w:val="single" w:sz="12" w:space="0" w:color="auto"/>
            </w:tcBorders>
            <w:vAlign w:val="center"/>
            <w:hideMark/>
          </w:tcPr>
          <w:p w14:paraId="37ACB5EA" w14:textId="00886C25" w:rsidR="00427CB6" w:rsidRPr="00E27C16" w:rsidRDefault="00427CB6">
            <w:pPr>
              <w:pStyle w:val="p0"/>
              <w:spacing w:before="40" w:after="40" w:line="252" w:lineRule="auto"/>
              <w:outlineLvl w:val="0"/>
              <w:rPr>
                <w:rFonts w:ascii="Tahoma" w:hAnsi="Tahoma" w:cs="Tahoma"/>
                <w:sz w:val="18"/>
                <w:szCs w:val="18"/>
              </w:rPr>
            </w:pPr>
            <w:r w:rsidRPr="00E27C16">
              <w:rPr>
                <w:rFonts w:ascii="Tahoma" w:hAnsi="Tahoma" w:cs="Tahoma"/>
                <w:sz w:val="18"/>
                <w:szCs w:val="18"/>
              </w:rPr>
              <w:t>[R$55.000.000,00 (cinquenta e cinco milhões de reais)]</w:t>
            </w:r>
          </w:p>
        </w:tc>
      </w:tr>
      <w:tr w:rsidR="00427CB6" w:rsidRPr="00E27C16" w14:paraId="4EA33958" w14:textId="77777777" w:rsidTr="00427CB6">
        <w:tc>
          <w:tcPr>
            <w:tcW w:w="1011" w:type="pct"/>
            <w:tcBorders>
              <w:top w:val="single" w:sz="6" w:space="0" w:color="auto"/>
              <w:left w:val="single" w:sz="12" w:space="0" w:color="auto"/>
              <w:bottom w:val="single" w:sz="6" w:space="0" w:color="auto"/>
              <w:right w:val="single" w:sz="6" w:space="0" w:color="auto"/>
            </w:tcBorders>
            <w:vAlign w:val="center"/>
            <w:hideMark/>
          </w:tcPr>
          <w:p w14:paraId="5D07E46E" w14:textId="77777777" w:rsidR="00427CB6" w:rsidRPr="00E27C16" w:rsidRDefault="00427CB6">
            <w:pPr>
              <w:widowControl w:val="0"/>
              <w:spacing w:before="40" w:after="40" w:line="252" w:lineRule="auto"/>
              <w:ind w:left="-90"/>
              <w:rPr>
                <w:rFonts w:cs="Tahoma"/>
                <w:sz w:val="18"/>
                <w:szCs w:val="18"/>
              </w:rPr>
            </w:pPr>
            <w:r w:rsidRPr="00E27C16">
              <w:rPr>
                <w:rFonts w:cs="Tahoma"/>
                <w:sz w:val="18"/>
                <w:szCs w:val="18"/>
              </w:rPr>
              <w:t>Data de Emissão da 1ª Série:</w:t>
            </w:r>
          </w:p>
        </w:tc>
        <w:tc>
          <w:tcPr>
            <w:tcW w:w="3989" w:type="pct"/>
            <w:tcBorders>
              <w:top w:val="single" w:sz="6" w:space="0" w:color="auto"/>
              <w:left w:val="single" w:sz="6" w:space="0" w:color="auto"/>
              <w:bottom w:val="single" w:sz="6" w:space="0" w:color="auto"/>
              <w:right w:val="single" w:sz="12" w:space="0" w:color="auto"/>
            </w:tcBorders>
            <w:vAlign w:val="center"/>
            <w:hideMark/>
          </w:tcPr>
          <w:p w14:paraId="12D348F9" w14:textId="77777777" w:rsidR="00427CB6" w:rsidRPr="00E27C16" w:rsidRDefault="00427CB6">
            <w:pPr>
              <w:widowControl w:val="0"/>
              <w:spacing w:before="40" w:after="40" w:line="252" w:lineRule="auto"/>
              <w:rPr>
                <w:rFonts w:cs="Tahoma"/>
                <w:sz w:val="18"/>
                <w:szCs w:val="18"/>
              </w:rPr>
            </w:pPr>
            <w:r w:rsidRPr="00E27C16">
              <w:rPr>
                <w:rFonts w:cs="Tahoma"/>
                <w:sz w:val="18"/>
                <w:szCs w:val="18"/>
              </w:rPr>
              <w:t>30 de agosto de 2019.</w:t>
            </w:r>
          </w:p>
        </w:tc>
      </w:tr>
      <w:tr w:rsidR="00427CB6" w:rsidRPr="00E27C16" w14:paraId="1208E391" w14:textId="77777777" w:rsidTr="00427CB6">
        <w:tc>
          <w:tcPr>
            <w:tcW w:w="1011" w:type="pct"/>
            <w:tcBorders>
              <w:top w:val="single" w:sz="6" w:space="0" w:color="auto"/>
              <w:left w:val="single" w:sz="12" w:space="0" w:color="auto"/>
              <w:bottom w:val="single" w:sz="6" w:space="0" w:color="auto"/>
              <w:right w:val="single" w:sz="6" w:space="0" w:color="auto"/>
            </w:tcBorders>
            <w:vAlign w:val="center"/>
            <w:hideMark/>
          </w:tcPr>
          <w:p w14:paraId="66DBCA58" w14:textId="77777777" w:rsidR="00427CB6" w:rsidRPr="00E27C16" w:rsidRDefault="00427CB6">
            <w:pPr>
              <w:widowControl w:val="0"/>
              <w:spacing w:before="40" w:after="40" w:line="252" w:lineRule="auto"/>
              <w:ind w:left="-90"/>
              <w:rPr>
                <w:rFonts w:cs="Tahoma"/>
                <w:sz w:val="18"/>
                <w:szCs w:val="18"/>
              </w:rPr>
            </w:pPr>
            <w:r w:rsidRPr="00E27C16">
              <w:rPr>
                <w:rFonts w:cs="Tahoma"/>
                <w:sz w:val="18"/>
                <w:szCs w:val="18"/>
              </w:rPr>
              <w:t>Data de Emissão da 2ª Série:</w:t>
            </w:r>
          </w:p>
        </w:tc>
        <w:tc>
          <w:tcPr>
            <w:tcW w:w="3989" w:type="pct"/>
            <w:tcBorders>
              <w:top w:val="single" w:sz="6" w:space="0" w:color="auto"/>
              <w:left w:val="single" w:sz="6" w:space="0" w:color="auto"/>
              <w:bottom w:val="single" w:sz="6" w:space="0" w:color="auto"/>
              <w:right w:val="single" w:sz="12" w:space="0" w:color="auto"/>
            </w:tcBorders>
            <w:vAlign w:val="center"/>
            <w:hideMark/>
          </w:tcPr>
          <w:p w14:paraId="18EE88F5" w14:textId="197443DB" w:rsidR="00427CB6" w:rsidRPr="00E27C16" w:rsidRDefault="00DA2FCF">
            <w:pPr>
              <w:widowControl w:val="0"/>
              <w:spacing w:before="40" w:after="40" w:line="252" w:lineRule="auto"/>
              <w:rPr>
                <w:rFonts w:cs="Tahoma"/>
                <w:sz w:val="18"/>
                <w:szCs w:val="18"/>
              </w:rPr>
            </w:pPr>
            <w:r w:rsidRPr="00E27C16">
              <w:rPr>
                <w:rFonts w:cs="Tahoma"/>
                <w:sz w:val="18"/>
                <w:szCs w:val="18"/>
              </w:rPr>
              <w:t>24 de março de 2022</w:t>
            </w:r>
          </w:p>
        </w:tc>
      </w:tr>
      <w:tr w:rsidR="00427CB6" w:rsidRPr="00E27C16" w14:paraId="4421DE4F" w14:textId="77777777" w:rsidTr="00427CB6">
        <w:tc>
          <w:tcPr>
            <w:tcW w:w="1011" w:type="pct"/>
            <w:tcBorders>
              <w:top w:val="single" w:sz="6" w:space="0" w:color="auto"/>
              <w:left w:val="single" w:sz="12" w:space="0" w:color="auto"/>
              <w:bottom w:val="single" w:sz="6" w:space="0" w:color="auto"/>
              <w:right w:val="single" w:sz="6" w:space="0" w:color="auto"/>
            </w:tcBorders>
            <w:vAlign w:val="center"/>
            <w:hideMark/>
          </w:tcPr>
          <w:p w14:paraId="7A0EECDE" w14:textId="77777777" w:rsidR="00427CB6" w:rsidRPr="00E27C16" w:rsidRDefault="00427CB6">
            <w:pPr>
              <w:widowControl w:val="0"/>
              <w:spacing w:before="40" w:after="40" w:line="252" w:lineRule="auto"/>
              <w:ind w:left="-90"/>
              <w:rPr>
                <w:rFonts w:cs="Tahoma"/>
                <w:sz w:val="18"/>
                <w:szCs w:val="18"/>
              </w:rPr>
            </w:pPr>
            <w:r w:rsidRPr="00E27C16">
              <w:rPr>
                <w:rFonts w:cs="Tahoma"/>
                <w:sz w:val="18"/>
                <w:szCs w:val="18"/>
              </w:rPr>
              <w:t>Quantidade total de Debêntures:</w:t>
            </w:r>
          </w:p>
        </w:tc>
        <w:tc>
          <w:tcPr>
            <w:tcW w:w="3989" w:type="pct"/>
            <w:tcBorders>
              <w:top w:val="single" w:sz="6" w:space="0" w:color="auto"/>
              <w:left w:val="single" w:sz="6" w:space="0" w:color="auto"/>
              <w:bottom w:val="single" w:sz="6" w:space="0" w:color="auto"/>
              <w:right w:val="single" w:sz="12" w:space="0" w:color="auto"/>
            </w:tcBorders>
            <w:vAlign w:val="center"/>
            <w:hideMark/>
          </w:tcPr>
          <w:p w14:paraId="29A1ED85" w14:textId="0CA96D95" w:rsidR="00427CB6" w:rsidRPr="00E27C16" w:rsidRDefault="009E57C0">
            <w:pPr>
              <w:widowControl w:val="0"/>
              <w:spacing w:before="40" w:after="40" w:line="252" w:lineRule="auto"/>
              <w:rPr>
                <w:rFonts w:cs="Tahoma"/>
                <w:sz w:val="18"/>
                <w:szCs w:val="18"/>
              </w:rPr>
            </w:pPr>
            <w:r w:rsidRPr="00E27C16">
              <w:rPr>
                <w:rFonts w:cs="Tahoma"/>
                <w:sz w:val="18"/>
                <w:szCs w:val="18"/>
              </w:rPr>
              <w:t>1.103 (mil, cento e três) debêntures conversíveis em ações</w:t>
            </w:r>
            <w:r w:rsidRPr="00E27C16" w:rsidDel="009E57C0">
              <w:rPr>
                <w:rFonts w:cs="Tahoma"/>
                <w:sz w:val="18"/>
                <w:szCs w:val="18"/>
                <w:highlight w:val="yellow"/>
              </w:rPr>
              <w:t xml:space="preserve"> </w:t>
            </w:r>
          </w:p>
        </w:tc>
      </w:tr>
      <w:tr w:rsidR="00427CB6" w:rsidRPr="00E27C16" w14:paraId="1961F9AE" w14:textId="77777777" w:rsidTr="00427CB6">
        <w:tc>
          <w:tcPr>
            <w:tcW w:w="1011" w:type="pct"/>
            <w:tcBorders>
              <w:top w:val="single" w:sz="6" w:space="0" w:color="auto"/>
              <w:left w:val="single" w:sz="12" w:space="0" w:color="auto"/>
              <w:bottom w:val="single" w:sz="6" w:space="0" w:color="auto"/>
              <w:right w:val="single" w:sz="6" w:space="0" w:color="auto"/>
            </w:tcBorders>
            <w:vAlign w:val="center"/>
            <w:hideMark/>
          </w:tcPr>
          <w:p w14:paraId="625A521E" w14:textId="77777777" w:rsidR="00427CB6" w:rsidRPr="00E27C16" w:rsidRDefault="00427CB6">
            <w:pPr>
              <w:widowControl w:val="0"/>
              <w:spacing w:before="40" w:after="40" w:line="252" w:lineRule="auto"/>
              <w:ind w:left="-90"/>
              <w:rPr>
                <w:rFonts w:cs="Tahoma"/>
                <w:sz w:val="18"/>
                <w:szCs w:val="18"/>
              </w:rPr>
            </w:pPr>
            <w:r w:rsidRPr="00E27C16">
              <w:rPr>
                <w:rFonts w:cs="Tahoma"/>
                <w:sz w:val="18"/>
                <w:szCs w:val="18"/>
              </w:rPr>
              <w:t>Quantidade de Debêntures: da 1ª Série</w:t>
            </w:r>
          </w:p>
        </w:tc>
        <w:tc>
          <w:tcPr>
            <w:tcW w:w="3989" w:type="pct"/>
            <w:tcBorders>
              <w:top w:val="single" w:sz="6" w:space="0" w:color="auto"/>
              <w:left w:val="single" w:sz="6" w:space="0" w:color="auto"/>
              <w:bottom w:val="single" w:sz="6" w:space="0" w:color="auto"/>
              <w:right w:val="single" w:sz="12" w:space="0" w:color="auto"/>
            </w:tcBorders>
            <w:vAlign w:val="center"/>
            <w:hideMark/>
          </w:tcPr>
          <w:p w14:paraId="3E0D256F" w14:textId="5ADDB210" w:rsidR="00427CB6" w:rsidRPr="00E27C16" w:rsidRDefault="00427CB6">
            <w:pPr>
              <w:widowControl w:val="0"/>
              <w:spacing w:before="40" w:after="40" w:line="252" w:lineRule="auto"/>
              <w:rPr>
                <w:rFonts w:cs="Tahoma"/>
                <w:sz w:val="18"/>
                <w:szCs w:val="18"/>
              </w:rPr>
            </w:pPr>
            <w:r w:rsidRPr="00E27C16">
              <w:rPr>
                <w:rFonts w:cs="Tahoma"/>
                <w:sz w:val="18"/>
                <w:szCs w:val="18"/>
              </w:rPr>
              <w:t>553 (quinhentos e cinquenta e três) debêntures conversíveis em ações.</w:t>
            </w:r>
          </w:p>
        </w:tc>
      </w:tr>
      <w:tr w:rsidR="00427CB6" w:rsidRPr="00E27C16" w14:paraId="6EC5FF48" w14:textId="77777777" w:rsidTr="00427CB6">
        <w:tc>
          <w:tcPr>
            <w:tcW w:w="1011" w:type="pct"/>
            <w:tcBorders>
              <w:top w:val="single" w:sz="6" w:space="0" w:color="auto"/>
              <w:left w:val="single" w:sz="12" w:space="0" w:color="auto"/>
              <w:bottom w:val="single" w:sz="6" w:space="0" w:color="auto"/>
              <w:right w:val="single" w:sz="6" w:space="0" w:color="auto"/>
            </w:tcBorders>
            <w:vAlign w:val="center"/>
            <w:hideMark/>
          </w:tcPr>
          <w:p w14:paraId="5EB44055" w14:textId="77777777" w:rsidR="00427CB6" w:rsidRPr="00E27C16" w:rsidRDefault="00427CB6">
            <w:pPr>
              <w:widowControl w:val="0"/>
              <w:spacing w:before="40" w:after="40" w:line="252" w:lineRule="auto"/>
              <w:ind w:left="-90"/>
              <w:rPr>
                <w:rFonts w:cs="Tahoma"/>
                <w:sz w:val="18"/>
                <w:szCs w:val="18"/>
              </w:rPr>
            </w:pPr>
            <w:r w:rsidRPr="00E27C16">
              <w:rPr>
                <w:rFonts w:cs="Tahoma"/>
                <w:sz w:val="18"/>
                <w:szCs w:val="18"/>
              </w:rPr>
              <w:t>Quantidade de Debêntures da 2ª Série:</w:t>
            </w:r>
          </w:p>
        </w:tc>
        <w:tc>
          <w:tcPr>
            <w:tcW w:w="3989" w:type="pct"/>
            <w:tcBorders>
              <w:top w:val="single" w:sz="6" w:space="0" w:color="auto"/>
              <w:left w:val="single" w:sz="6" w:space="0" w:color="auto"/>
              <w:bottom w:val="single" w:sz="6" w:space="0" w:color="auto"/>
              <w:right w:val="single" w:sz="12" w:space="0" w:color="auto"/>
            </w:tcBorders>
            <w:vAlign w:val="center"/>
            <w:hideMark/>
          </w:tcPr>
          <w:p w14:paraId="4414D897" w14:textId="0604F95A" w:rsidR="00427CB6" w:rsidRPr="00E27C16" w:rsidRDefault="00427CB6">
            <w:pPr>
              <w:widowControl w:val="0"/>
              <w:spacing w:before="40" w:after="40" w:line="252" w:lineRule="auto"/>
              <w:rPr>
                <w:rFonts w:cs="Tahoma"/>
                <w:sz w:val="18"/>
                <w:szCs w:val="18"/>
              </w:rPr>
            </w:pPr>
            <w:r w:rsidRPr="00E27C16">
              <w:rPr>
                <w:rFonts w:cs="Tahoma"/>
                <w:sz w:val="18"/>
                <w:szCs w:val="18"/>
              </w:rPr>
              <w:t xml:space="preserve">550 (quinhentas e cinquenta) debêntures conversíveis em ações. </w:t>
            </w:r>
          </w:p>
        </w:tc>
      </w:tr>
      <w:tr w:rsidR="00427CB6" w:rsidRPr="00E27C16" w14:paraId="30766AE2" w14:textId="77777777" w:rsidTr="00427CB6">
        <w:tc>
          <w:tcPr>
            <w:tcW w:w="1011" w:type="pct"/>
            <w:tcBorders>
              <w:top w:val="single" w:sz="6" w:space="0" w:color="auto"/>
              <w:left w:val="single" w:sz="12" w:space="0" w:color="auto"/>
              <w:bottom w:val="single" w:sz="6" w:space="0" w:color="auto"/>
              <w:right w:val="single" w:sz="6" w:space="0" w:color="auto"/>
            </w:tcBorders>
            <w:vAlign w:val="center"/>
            <w:hideMark/>
          </w:tcPr>
          <w:p w14:paraId="3CDF529C" w14:textId="77777777" w:rsidR="00427CB6" w:rsidRPr="00E27C16" w:rsidRDefault="00427CB6">
            <w:pPr>
              <w:widowControl w:val="0"/>
              <w:spacing w:before="40" w:after="40" w:line="252" w:lineRule="auto"/>
              <w:ind w:left="-90"/>
              <w:rPr>
                <w:rFonts w:cs="Tahoma"/>
                <w:sz w:val="18"/>
                <w:szCs w:val="18"/>
              </w:rPr>
            </w:pPr>
            <w:r w:rsidRPr="00E27C16">
              <w:rPr>
                <w:rFonts w:cs="Tahoma"/>
                <w:sz w:val="18"/>
                <w:szCs w:val="18"/>
              </w:rPr>
              <w:t>Valor Nominal Unitário</w:t>
            </w:r>
          </w:p>
        </w:tc>
        <w:tc>
          <w:tcPr>
            <w:tcW w:w="3989" w:type="pct"/>
            <w:tcBorders>
              <w:top w:val="single" w:sz="6" w:space="0" w:color="auto"/>
              <w:left w:val="single" w:sz="6" w:space="0" w:color="auto"/>
              <w:bottom w:val="single" w:sz="6" w:space="0" w:color="auto"/>
              <w:right w:val="single" w:sz="12" w:space="0" w:color="auto"/>
            </w:tcBorders>
            <w:vAlign w:val="center"/>
            <w:hideMark/>
          </w:tcPr>
          <w:p w14:paraId="5E710269" w14:textId="77777777" w:rsidR="00427CB6" w:rsidRPr="00E27C16" w:rsidRDefault="00427CB6">
            <w:pPr>
              <w:widowControl w:val="0"/>
              <w:spacing w:before="40" w:after="40" w:line="252" w:lineRule="auto"/>
              <w:rPr>
                <w:rFonts w:cs="Tahoma"/>
                <w:sz w:val="18"/>
                <w:szCs w:val="18"/>
              </w:rPr>
            </w:pPr>
            <w:r w:rsidRPr="00E27C16">
              <w:rPr>
                <w:rFonts w:cs="Tahoma"/>
                <w:sz w:val="18"/>
                <w:szCs w:val="18"/>
              </w:rPr>
              <w:t>R$ 100.000,00 (cem mil reais).</w:t>
            </w:r>
          </w:p>
        </w:tc>
      </w:tr>
      <w:tr w:rsidR="00427CB6" w:rsidRPr="00E27C16" w14:paraId="13B22451" w14:textId="77777777" w:rsidTr="00427CB6">
        <w:tc>
          <w:tcPr>
            <w:tcW w:w="1011" w:type="pct"/>
            <w:tcBorders>
              <w:top w:val="single" w:sz="6" w:space="0" w:color="auto"/>
              <w:left w:val="single" w:sz="12" w:space="0" w:color="auto"/>
              <w:bottom w:val="single" w:sz="6" w:space="0" w:color="auto"/>
              <w:right w:val="single" w:sz="6" w:space="0" w:color="auto"/>
            </w:tcBorders>
            <w:vAlign w:val="center"/>
            <w:hideMark/>
          </w:tcPr>
          <w:p w14:paraId="49EF39CA" w14:textId="77777777" w:rsidR="00427CB6" w:rsidRPr="00E27C16" w:rsidRDefault="00427CB6">
            <w:pPr>
              <w:widowControl w:val="0"/>
              <w:spacing w:before="40" w:after="40" w:line="252" w:lineRule="auto"/>
              <w:ind w:left="-90"/>
              <w:rPr>
                <w:rFonts w:cs="Tahoma"/>
                <w:sz w:val="18"/>
                <w:szCs w:val="18"/>
              </w:rPr>
            </w:pPr>
            <w:r w:rsidRPr="00E27C16">
              <w:rPr>
                <w:rFonts w:cs="Tahoma"/>
                <w:sz w:val="18"/>
                <w:szCs w:val="18"/>
              </w:rPr>
              <w:t>Data de Vencimento</w:t>
            </w:r>
          </w:p>
        </w:tc>
        <w:tc>
          <w:tcPr>
            <w:tcW w:w="3989" w:type="pct"/>
            <w:tcBorders>
              <w:top w:val="single" w:sz="6" w:space="0" w:color="auto"/>
              <w:left w:val="single" w:sz="6" w:space="0" w:color="auto"/>
              <w:bottom w:val="single" w:sz="6" w:space="0" w:color="auto"/>
              <w:right w:val="single" w:sz="12" w:space="0" w:color="auto"/>
            </w:tcBorders>
            <w:vAlign w:val="center"/>
            <w:hideMark/>
          </w:tcPr>
          <w:p w14:paraId="7988E47A" w14:textId="07DEB24A" w:rsidR="00427CB6" w:rsidRPr="00E27C16" w:rsidRDefault="00427CB6">
            <w:pPr>
              <w:widowControl w:val="0"/>
              <w:spacing w:before="40" w:after="40" w:line="252" w:lineRule="auto"/>
              <w:rPr>
                <w:rFonts w:cs="Tahoma"/>
                <w:sz w:val="18"/>
                <w:szCs w:val="18"/>
              </w:rPr>
            </w:pPr>
            <w:r w:rsidRPr="00E27C16">
              <w:rPr>
                <w:rFonts w:cs="Tahoma"/>
                <w:sz w:val="18"/>
                <w:szCs w:val="18"/>
              </w:rPr>
              <w:t>15 de dezembro de 2022</w:t>
            </w:r>
          </w:p>
        </w:tc>
      </w:tr>
      <w:tr w:rsidR="00427CB6" w:rsidRPr="00E27C16" w14:paraId="6EA97931" w14:textId="77777777" w:rsidTr="00427CB6">
        <w:tc>
          <w:tcPr>
            <w:tcW w:w="1011" w:type="pct"/>
            <w:tcBorders>
              <w:top w:val="single" w:sz="6" w:space="0" w:color="auto"/>
              <w:left w:val="single" w:sz="12" w:space="0" w:color="auto"/>
              <w:bottom w:val="single" w:sz="6" w:space="0" w:color="auto"/>
              <w:right w:val="single" w:sz="6" w:space="0" w:color="auto"/>
            </w:tcBorders>
            <w:vAlign w:val="center"/>
            <w:hideMark/>
          </w:tcPr>
          <w:p w14:paraId="342804FA" w14:textId="77777777" w:rsidR="00427CB6" w:rsidRPr="00E27C16" w:rsidRDefault="00427CB6">
            <w:pPr>
              <w:widowControl w:val="0"/>
              <w:spacing w:before="40" w:after="40" w:line="252" w:lineRule="auto"/>
              <w:ind w:left="-90"/>
              <w:rPr>
                <w:rFonts w:cs="Tahoma"/>
                <w:sz w:val="18"/>
                <w:szCs w:val="18"/>
              </w:rPr>
            </w:pPr>
            <w:r w:rsidRPr="00E27C16">
              <w:rPr>
                <w:rFonts w:cs="Tahoma"/>
                <w:sz w:val="18"/>
                <w:szCs w:val="18"/>
              </w:rPr>
              <w:t>Remuneração das Debêntures da 1ª Série</w:t>
            </w:r>
          </w:p>
        </w:tc>
        <w:tc>
          <w:tcPr>
            <w:tcW w:w="3989" w:type="pct"/>
            <w:tcBorders>
              <w:top w:val="single" w:sz="6" w:space="0" w:color="auto"/>
              <w:left w:val="single" w:sz="6" w:space="0" w:color="auto"/>
              <w:bottom w:val="single" w:sz="6" w:space="0" w:color="auto"/>
              <w:right w:val="single" w:sz="12" w:space="0" w:color="auto"/>
            </w:tcBorders>
            <w:vAlign w:val="center"/>
            <w:hideMark/>
          </w:tcPr>
          <w:p w14:paraId="7E53C495" w14:textId="6DC2B309" w:rsidR="00427CB6" w:rsidRPr="00E27C16" w:rsidRDefault="00427CB6">
            <w:pPr>
              <w:pStyle w:val="PargrafodaLista"/>
              <w:widowControl w:val="0"/>
              <w:spacing w:before="40" w:after="40" w:line="252" w:lineRule="auto"/>
              <w:ind w:left="0"/>
              <w:rPr>
                <w:rFonts w:cs="Tahoma"/>
                <w:smallCaps/>
                <w:color w:val="000000"/>
                <w:sz w:val="18"/>
                <w:szCs w:val="18"/>
              </w:rPr>
            </w:pPr>
            <w:r w:rsidRPr="00E27C16">
              <w:rPr>
                <w:rFonts w:cs="Tahoma"/>
                <w:sz w:val="18"/>
                <w:szCs w:val="18"/>
              </w:rPr>
              <w:t>Sobre o Valor Nominal Unitário das Debêntures incidirão juros remuneratórios calculados</w:t>
            </w:r>
            <w:r w:rsidR="00A31E1B" w:rsidRPr="00E27C16">
              <w:rPr>
                <w:rFonts w:cs="Tahoma"/>
                <w:sz w:val="18"/>
                <w:szCs w:val="18"/>
              </w:rPr>
              <w:t xml:space="preserve"> pro rata temporis</w:t>
            </w:r>
            <w:r w:rsidRPr="00E27C16">
              <w:rPr>
                <w:rFonts w:cs="Tahoma"/>
                <w:sz w:val="18"/>
                <w:szCs w:val="18"/>
              </w:rPr>
              <w:t xml:space="preserve"> e pagos ao final de cada Período de Capitalização (conforme definido na Escritura de Emissão), conforme fórmula descrita na Escritura de Emissão.</w:t>
            </w:r>
          </w:p>
        </w:tc>
      </w:tr>
      <w:tr w:rsidR="00427CB6" w:rsidRPr="00E27C16" w14:paraId="20204E24" w14:textId="77777777" w:rsidTr="00427CB6">
        <w:tc>
          <w:tcPr>
            <w:tcW w:w="1011" w:type="pct"/>
            <w:tcBorders>
              <w:top w:val="single" w:sz="6" w:space="0" w:color="auto"/>
              <w:left w:val="single" w:sz="12" w:space="0" w:color="auto"/>
              <w:bottom w:val="single" w:sz="6" w:space="0" w:color="auto"/>
              <w:right w:val="single" w:sz="6" w:space="0" w:color="auto"/>
            </w:tcBorders>
            <w:vAlign w:val="center"/>
            <w:hideMark/>
          </w:tcPr>
          <w:p w14:paraId="769B50BF" w14:textId="77777777" w:rsidR="00427CB6" w:rsidRPr="00E27C16" w:rsidRDefault="00427CB6">
            <w:pPr>
              <w:widowControl w:val="0"/>
              <w:spacing w:before="40" w:after="40" w:line="252" w:lineRule="auto"/>
              <w:ind w:left="-90"/>
              <w:rPr>
                <w:rFonts w:cs="Tahoma"/>
                <w:sz w:val="18"/>
                <w:szCs w:val="18"/>
              </w:rPr>
            </w:pPr>
            <w:r w:rsidRPr="00E27C16">
              <w:rPr>
                <w:rFonts w:cs="Tahoma"/>
                <w:sz w:val="18"/>
                <w:szCs w:val="18"/>
              </w:rPr>
              <w:t>Remuneração das Debêntures da 2ª Série</w:t>
            </w:r>
          </w:p>
        </w:tc>
        <w:tc>
          <w:tcPr>
            <w:tcW w:w="3989" w:type="pct"/>
            <w:tcBorders>
              <w:top w:val="single" w:sz="6" w:space="0" w:color="auto"/>
              <w:left w:val="single" w:sz="6" w:space="0" w:color="auto"/>
              <w:bottom w:val="single" w:sz="6" w:space="0" w:color="auto"/>
              <w:right w:val="single" w:sz="12" w:space="0" w:color="auto"/>
            </w:tcBorders>
            <w:vAlign w:val="center"/>
            <w:hideMark/>
          </w:tcPr>
          <w:p w14:paraId="3F75AAA5" w14:textId="77777777" w:rsidR="00427CB6" w:rsidRPr="00E27C16" w:rsidRDefault="00427CB6">
            <w:pPr>
              <w:pStyle w:val="PargrafodaLista"/>
              <w:widowControl w:val="0"/>
              <w:spacing w:before="40" w:after="40" w:line="252" w:lineRule="auto"/>
              <w:ind w:left="0"/>
              <w:rPr>
                <w:rFonts w:cs="Tahoma"/>
                <w:sz w:val="18"/>
                <w:szCs w:val="22"/>
              </w:rPr>
            </w:pPr>
            <w:r w:rsidRPr="00E27C16">
              <w:rPr>
                <w:sz w:val="18"/>
                <w:szCs w:val="22"/>
              </w:rPr>
              <w:t>Sobre o Valor Nominal Unitário das Debêntures da 2ª Série incidirão juros remuneratórios correspondentes à variação acumulada de 100% (cem por cento) das taxas médias diárias dos DI – Depósitos Interfinanceiros de um dia, “over extra grupo”, expressa na forma percentual ao ano, base 252 (duzentos e cinquenta e dois) Dias Úteis, calculada e divulgada diariamente pela B3 (“</w:t>
            </w:r>
            <w:r w:rsidRPr="00E27C16">
              <w:rPr>
                <w:b/>
                <w:bCs/>
                <w:sz w:val="18"/>
                <w:szCs w:val="22"/>
              </w:rPr>
              <w:t>Taxa DI</w:t>
            </w:r>
            <w:r w:rsidRPr="00E27C16">
              <w:rPr>
                <w:sz w:val="18"/>
                <w:szCs w:val="22"/>
              </w:rPr>
              <w:t>”), acrescida exponencialmente de spread (sobretaxa) de 8% (oito por cento) ao ano, base 252 (duzentos e cinquenta e dois) Dias Úteis (“</w:t>
            </w:r>
            <w:r w:rsidRPr="00E27C16">
              <w:rPr>
                <w:b/>
                <w:bCs/>
                <w:sz w:val="18"/>
                <w:szCs w:val="22"/>
              </w:rPr>
              <w:t>Remuneração da 2ª Série</w:t>
            </w:r>
            <w:r w:rsidRPr="00E27C16">
              <w:rPr>
                <w:sz w:val="18"/>
                <w:szCs w:val="22"/>
              </w:rPr>
              <w:t>” e, em conjunto com a Remuneração da 1ª Série, a “</w:t>
            </w:r>
            <w:r w:rsidRPr="00E27C16">
              <w:rPr>
                <w:b/>
                <w:bCs/>
                <w:sz w:val="18"/>
                <w:szCs w:val="22"/>
              </w:rPr>
              <w:t>Remuneração das Debêntures</w:t>
            </w:r>
            <w:r w:rsidRPr="00E27C16">
              <w:rPr>
                <w:sz w:val="18"/>
                <w:szCs w:val="22"/>
              </w:rPr>
              <w:t xml:space="preserve">”). </w:t>
            </w:r>
            <w:r w:rsidRPr="00E27C16">
              <w:rPr>
                <w:rFonts w:cs="Tahoma"/>
                <w:sz w:val="18"/>
                <w:szCs w:val="22"/>
              </w:rPr>
              <w:t xml:space="preserve">A Remuneração será calculada de forma exponencial e cumulativa pro rata temporis, por Dias Úteis decorridos, incidentes sobre o Valor Nominal das Debêntures desde a Data da Primeira Integralização das Debêntures ou da Data de Pagamento da Remuneração das Debêntures da 2ª Série (conforme abaixo definida) imediatamente anterior, conforme o caso, até a próxima Data de Pagamento da Remuneração das Debêntures da 2ª Série. A Remuneração da 2ª Série deverá ser calculada de acordo com a fórmula constante na Escritura de Emissão. </w:t>
            </w:r>
          </w:p>
        </w:tc>
      </w:tr>
      <w:tr w:rsidR="00427CB6" w:rsidRPr="00E27C16" w14:paraId="7D4333D2" w14:textId="77777777" w:rsidTr="00427CB6">
        <w:tc>
          <w:tcPr>
            <w:tcW w:w="1011" w:type="pct"/>
            <w:tcBorders>
              <w:top w:val="single" w:sz="6" w:space="0" w:color="auto"/>
              <w:left w:val="single" w:sz="12" w:space="0" w:color="auto"/>
              <w:bottom w:val="single" w:sz="6" w:space="0" w:color="auto"/>
              <w:right w:val="single" w:sz="6" w:space="0" w:color="auto"/>
            </w:tcBorders>
            <w:vAlign w:val="center"/>
            <w:hideMark/>
          </w:tcPr>
          <w:p w14:paraId="12627886" w14:textId="77777777" w:rsidR="00427CB6" w:rsidRPr="00E27C16" w:rsidRDefault="00427CB6">
            <w:pPr>
              <w:widowControl w:val="0"/>
              <w:spacing w:before="40" w:after="40" w:line="252" w:lineRule="auto"/>
              <w:ind w:left="-90"/>
              <w:rPr>
                <w:rFonts w:cs="Tahoma"/>
                <w:sz w:val="18"/>
                <w:szCs w:val="18"/>
              </w:rPr>
            </w:pPr>
            <w:r w:rsidRPr="00E27C16">
              <w:rPr>
                <w:rFonts w:cs="Tahoma"/>
                <w:sz w:val="18"/>
                <w:szCs w:val="18"/>
              </w:rPr>
              <w:t>Encargos</w:t>
            </w:r>
          </w:p>
        </w:tc>
        <w:tc>
          <w:tcPr>
            <w:tcW w:w="3989" w:type="pct"/>
            <w:tcBorders>
              <w:top w:val="single" w:sz="6" w:space="0" w:color="auto"/>
              <w:left w:val="single" w:sz="6" w:space="0" w:color="auto"/>
              <w:bottom w:val="single" w:sz="6" w:space="0" w:color="auto"/>
              <w:right w:val="single" w:sz="12" w:space="0" w:color="auto"/>
            </w:tcBorders>
            <w:vAlign w:val="center"/>
            <w:hideMark/>
          </w:tcPr>
          <w:p w14:paraId="66B65E0E" w14:textId="77777777" w:rsidR="00427CB6" w:rsidRPr="00E27C16" w:rsidRDefault="00427CB6">
            <w:pPr>
              <w:widowControl w:val="0"/>
              <w:spacing w:before="40" w:after="40" w:line="252" w:lineRule="auto"/>
              <w:rPr>
                <w:rFonts w:cs="Tahoma"/>
                <w:sz w:val="18"/>
                <w:szCs w:val="18"/>
              </w:rPr>
            </w:pPr>
            <w:r w:rsidRPr="00E27C16">
              <w:rPr>
                <w:rFonts w:cs="Tahoma"/>
                <w:color w:val="000000"/>
                <w:sz w:val="18"/>
                <w:szCs w:val="18"/>
              </w:rPr>
              <w:t>Ocorrendo impontualidade no pagamento de qualquer valor devido pela Emissora ao Debenturista nos termos da Escritura da 1ª Emissão, sem prejuízo do pagamento da Remuneração, calculada pro rata temporis desde a data de integralização ou da data de pagamento de Remuneração imediatamente anterior, conforme o caso, até a data do efetivo pagamento, incidirão sobre todos e quaisquer valores em atraso, independentemente de aviso, notificação ou interpelação judicial ou extrajudicial, (i) juros de mora de 1% (um por cento) ao mês, calculados pro rata temporis desde a data de inadimplemento até a data do efetivo pagamento; e (ii) multa moratória de natureza não compensatória de 2% (dois por cento) sobre o valor devido.</w:t>
            </w:r>
          </w:p>
        </w:tc>
      </w:tr>
      <w:tr w:rsidR="00427CB6" w:rsidRPr="00E27C16" w14:paraId="7B5438E4" w14:textId="77777777" w:rsidTr="00427CB6">
        <w:tc>
          <w:tcPr>
            <w:tcW w:w="1011" w:type="pct"/>
            <w:tcBorders>
              <w:top w:val="single" w:sz="6" w:space="0" w:color="auto"/>
              <w:left w:val="single" w:sz="12" w:space="0" w:color="auto"/>
              <w:bottom w:val="single" w:sz="6" w:space="0" w:color="auto"/>
              <w:right w:val="single" w:sz="6" w:space="0" w:color="auto"/>
            </w:tcBorders>
            <w:vAlign w:val="center"/>
            <w:hideMark/>
          </w:tcPr>
          <w:p w14:paraId="1627FF58" w14:textId="77777777" w:rsidR="00427CB6" w:rsidRPr="00E27C16" w:rsidRDefault="00427CB6">
            <w:pPr>
              <w:widowControl w:val="0"/>
              <w:spacing w:before="40" w:after="40" w:line="252" w:lineRule="auto"/>
              <w:ind w:left="-90"/>
              <w:rPr>
                <w:rFonts w:cs="Tahoma"/>
                <w:sz w:val="18"/>
                <w:szCs w:val="18"/>
              </w:rPr>
            </w:pPr>
            <w:r w:rsidRPr="00E27C16">
              <w:rPr>
                <w:rFonts w:cs="Tahoma"/>
                <w:sz w:val="18"/>
                <w:szCs w:val="18"/>
              </w:rPr>
              <w:lastRenderedPageBreak/>
              <w:t>Conversibilidade</w:t>
            </w:r>
          </w:p>
        </w:tc>
        <w:tc>
          <w:tcPr>
            <w:tcW w:w="3989" w:type="pct"/>
            <w:tcBorders>
              <w:top w:val="single" w:sz="6" w:space="0" w:color="auto"/>
              <w:left w:val="single" w:sz="6" w:space="0" w:color="auto"/>
              <w:bottom w:val="single" w:sz="6" w:space="0" w:color="auto"/>
              <w:right w:val="single" w:sz="12" w:space="0" w:color="auto"/>
            </w:tcBorders>
            <w:vAlign w:val="center"/>
            <w:hideMark/>
          </w:tcPr>
          <w:p w14:paraId="177B96C8" w14:textId="7034B570" w:rsidR="00427CB6" w:rsidRPr="00E27C16" w:rsidRDefault="00427CB6">
            <w:pPr>
              <w:widowControl w:val="0"/>
              <w:spacing w:before="40" w:after="40" w:line="252" w:lineRule="auto"/>
              <w:rPr>
                <w:rFonts w:cs="Tahoma"/>
                <w:sz w:val="18"/>
                <w:szCs w:val="18"/>
              </w:rPr>
            </w:pPr>
            <w:r w:rsidRPr="00E27C16">
              <w:rPr>
                <w:rFonts w:cs="Tahoma"/>
                <w:color w:val="000000"/>
                <w:sz w:val="18"/>
                <w:szCs w:val="18"/>
              </w:rPr>
              <w:t xml:space="preserve">Observado o disposto na Escritura de Emissão, </w:t>
            </w:r>
            <w:r w:rsidRPr="00E27C16">
              <w:rPr>
                <w:sz w:val="18"/>
                <w:szCs w:val="18"/>
              </w:rPr>
              <w:t xml:space="preserve">todas as Debêntures em circulação poderão, a exclusivo critério do Debenturista, ser convertidas em ações ordinárias, nominativas e sem valor nominal, na forma prevista nesta Escritura de Emissão, </w:t>
            </w:r>
            <w:r w:rsidR="00F4137B" w:rsidRPr="00E27C16">
              <w:rPr>
                <w:sz w:val="18"/>
                <w:szCs w:val="18"/>
              </w:rPr>
              <w:t>(i) a partir de 31 de julho de 2022 até a Data de Vencimento, caso os documentos definitivos da operação da Venda tenham sido celebrados até 31 de maio de 2022; ou (ii) a partir de 31 de maio de 2022 até a Data de Vencimento, na hipótese em que os documentos definitivos da operação da Venda não tenham sido celebrados até a referida data. Em ambos os casos, a Emissora deverá ter comprovado,</w:t>
            </w:r>
            <w:r w:rsidRPr="00E27C16">
              <w:rPr>
                <w:sz w:val="18"/>
                <w:szCs w:val="18"/>
              </w:rPr>
              <w:t xml:space="preserve"> (i) o completion físico de todas as linha de transmissão; (ii) o início da operação de todas as SPEs, assim entendido pela emissão do Termo de Liberação Definitivo – TLD, pelo Operador Nacional do Sistema – ONS; (iii) o cumprimento pela Emissora e/ou pela LC Linhas, conforme o caso, ou renúncia pelo Debenturista, de todas as obrigações dispostas na cláusula 5.5. do Contrato de Investimento; e (v) obtenção, pela Emissora, de anuência prévia da ANEEL, em atendimento ao disposto nos Contratos de Concessão e no art. 5.º, inciso I da Resolução Normativa ANEEL n.º 484/2012, conforme os procedimentos previstos no capítulo III de referida resolução normativa e no Contrato de Investimento (“</w:t>
            </w:r>
            <w:r w:rsidRPr="00E27C16">
              <w:rPr>
                <w:b/>
                <w:bCs/>
                <w:sz w:val="18"/>
                <w:szCs w:val="18"/>
              </w:rPr>
              <w:t>Conversão Total Facultativa</w:t>
            </w:r>
            <w:r w:rsidRPr="00E27C16">
              <w:rPr>
                <w:sz w:val="18"/>
                <w:szCs w:val="18"/>
              </w:rPr>
              <w:t>”). A Conversão Total Facultativa poderá ocorrer a partir do 5º (quinto) Dia Útil contado do recebimento, de notificação enviada pela Emissora informando e comprovando a verificação da condição disposta nesta Cláusula 4.17.1 (“</w:t>
            </w:r>
            <w:r w:rsidRPr="00E27C16">
              <w:rPr>
                <w:b/>
                <w:bCs/>
                <w:sz w:val="18"/>
                <w:szCs w:val="18"/>
              </w:rPr>
              <w:t>Data da Conversão Total Facultativa</w:t>
            </w:r>
            <w:r w:rsidRPr="00E27C16">
              <w:rPr>
                <w:sz w:val="18"/>
                <w:szCs w:val="18"/>
              </w:rPr>
              <w:t>”), mediante envio de notificação pelo Debenturista à Emissora</w:t>
            </w:r>
            <w:r w:rsidR="009E57C0" w:rsidRPr="00E27C16">
              <w:rPr>
                <w:sz w:val="18"/>
                <w:szCs w:val="18"/>
              </w:rPr>
              <w:t>.</w:t>
            </w:r>
            <w:r w:rsidR="00A9290F" w:rsidRPr="00E27C16">
              <w:rPr>
                <w:sz w:val="18"/>
                <w:szCs w:val="18"/>
              </w:rPr>
              <w:t xml:space="preserve"> </w:t>
            </w:r>
          </w:p>
        </w:tc>
      </w:tr>
      <w:tr w:rsidR="00427CB6" w:rsidRPr="00E27C16" w14:paraId="5B7F3614" w14:textId="77777777" w:rsidTr="00427CB6">
        <w:tc>
          <w:tcPr>
            <w:tcW w:w="1011" w:type="pct"/>
            <w:tcBorders>
              <w:top w:val="single" w:sz="6" w:space="0" w:color="auto"/>
              <w:left w:val="single" w:sz="12" w:space="0" w:color="auto"/>
              <w:bottom w:val="single" w:sz="6" w:space="0" w:color="auto"/>
              <w:right w:val="single" w:sz="6" w:space="0" w:color="auto"/>
            </w:tcBorders>
            <w:vAlign w:val="center"/>
            <w:hideMark/>
          </w:tcPr>
          <w:p w14:paraId="6917728B" w14:textId="732A9835" w:rsidR="00427CB6" w:rsidRPr="00E27C16" w:rsidRDefault="00427CB6">
            <w:pPr>
              <w:widowControl w:val="0"/>
              <w:spacing w:before="40" w:after="40" w:line="252" w:lineRule="auto"/>
              <w:ind w:left="-90"/>
              <w:rPr>
                <w:rFonts w:cs="Tahoma"/>
                <w:sz w:val="18"/>
                <w:szCs w:val="18"/>
              </w:rPr>
            </w:pPr>
            <w:r w:rsidRPr="00E27C16">
              <w:rPr>
                <w:rFonts w:cs="Tahoma"/>
                <w:color w:val="000000"/>
                <w:sz w:val="18"/>
                <w:szCs w:val="18"/>
              </w:rPr>
              <w:t xml:space="preserve">Amortização: </w:t>
            </w:r>
          </w:p>
        </w:tc>
        <w:tc>
          <w:tcPr>
            <w:tcW w:w="3989" w:type="pct"/>
            <w:tcBorders>
              <w:top w:val="single" w:sz="6" w:space="0" w:color="auto"/>
              <w:left w:val="single" w:sz="6" w:space="0" w:color="auto"/>
              <w:bottom w:val="single" w:sz="6" w:space="0" w:color="auto"/>
              <w:right w:val="single" w:sz="12" w:space="0" w:color="auto"/>
            </w:tcBorders>
            <w:vAlign w:val="center"/>
            <w:hideMark/>
          </w:tcPr>
          <w:p w14:paraId="4392381B" w14:textId="6F91546C" w:rsidR="00427CB6" w:rsidRPr="00E27C16" w:rsidRDefault="00427CB6">
            <w:pPr>
              <w:widowControl w:val="0"/>
              <w:spacing w:before="40" w:after="40" w:line="252" w:lineRule="auto"/>
              <w:rPr>
                <w:rFonts w:cs="Tahoma"/>
                <w:sz w:val="18"/>
                <w:szCs w:val="18"/>
              </w:rPr>
            </w:pPr>
            <w:r w:rsidRPr="00E27C16">
              <w:rPr>
                <w:sz w:val="18"/>
                <w:szCs w:val="18"/>
              </w:rPr>
              <w:t>Ressalvada a hipótese de Resgate Antecipado Obrigatório Total, de Vencimento Antecipado (conforme hipóteses dispostas na Escritura de Emissão) e/ou de conversão em ações (conforme a Escritura de Emissão), o Valor Nominal Unitário, será amortizado, integralmente, em uma única parcela, na Data de Vencimento</w:t>
            </w:r>
            <w:r w:rsidRPr="00E27C16">
              <w:rPr>
                <w:rFonts w:cs="Tahoma"/>
                <w:sz w:val="18"/>
                <w:szCs w:val="18"/>
              </w:rPr>
              <w:t xml:space="preserve">. </w:t>
            </w:r>
          </w:p>
        </w:tc>
      </w:tr>
      <w:tr w:rsidR="00427CB6" w:rsidRPr="00E27C16" w14:paraId="52897B5D" w14:textId="77777777" w:rsidTr="00427CB6">
        <w:tc>
          <w:tcPr>
            <w:tcW w:w="1011" w:type="pct"/>
            <w:tcBorders>
              <w:top w:val="single" w:sz="6" w:space="0" w:color="auto"/>
              <w:left w:val="single" w:sz="12" w:space="0" w:color="auto"/>
              <w:bottom w:val="single" w:sz="6" w:space="0" w:color="auto"/>
              <w:right w:val="single" w:sz="6" w:space="0" w:color="auto"/>
            </w:tcBorders>
            <w:vAlign w:val="center"/>
            <w:hideMark/>
          </w:tcPr>
          <w:p w14:paraId="3A4A880A" w14:textId="77777777" w:rsidR="00427CB6" w:rsidRPr="00E27C16" w:rsidRDefault="00427CB6">
            <w:pPr>
              <w:widowControl w:val="0"/>
              <w:spacing w:before="40" w:after="40" w:line="252" w:lineRule="auto"/>
              <w:ind w:left="-90"/>
              <w:rPr>
                <w:rFonts w:cs="Tahoma"/>
                <w:color w:val="000000"/>
                <w:sz w:val="18"/>
                <w:szCs w:val="18"/>
              </w:rPr>
            </w:pPr>
            <w:r w:rsidRPr="00E27C16">
              <w:rPr>
                <w:rFonts w:cs="Tahoma"/>
                <w:color w:val="000000"/>
                <w:sz w:val="18"/>
                <w:szCs w:val="18"/>
              </w:rPr>
              <w:t>Resgate Antecipado Obrigatório Total das Debêntures</w:t>
            </w:r>
          </w:p>
        </w:tc>
        <w:tc>
          <w:tcPr>
            <w:tcW w:w="3989" w:type="pct"/>
            <w:tcBorders>
              <w:top w:val="single" w:sz="6" w:space="0" w:color="auto"/>
              <w:left w:val="single" w:sz="6" w:space="0" w:color="auto"/>
              <w:bottom w:val="single" w:sz="6" w:space="0" w:color="auto"/>
              <w:right w:val="single" w:sz="12" w:space="0" w:color="auto"/>
            </w:tcBorders>
            <w:vAlign w:val="center"/>
            <w:hideMark/>
          </w:tcPr>
          <w:p w14:paraId="5851BB40" w14:textId="018AC314" w:rsidR="00427CB6" w:rsidRPr="00E27C16" w:rsidRDefault="00427CB6">
            <w:pPr>
              <w:widowControl w:val="0"/>
              <w:spacing w:before="40" w:after="40" w:line="252" w:lineRule="auto"/>
              <w:rPr>
                <w:sz w:val="18"/>
                <w:szCs w:val="18"/>
              </w:rPr>
            </w:pPr>
            <w:r w:rsidRPr="00E27C16">
              <w:rPr>
                <w:rFonts w:cs="Tahoma"/>
                <w:sz w:val="18"/>
                <w:szCs w:val="18"/>
              </w:rPr>
              <w:t>A Emissora deverá, após a conclusão da alienação integral das ações da Emissora pela LC Linhas (“</w:t>
            </w:r>
            <w:r w:rsidRPr="00E27C16">
              <w:rPr>
                <w:rFonts w:cs="Tahoma"/>
                <w:b/>
                <w:bCs/>
                <w:sz w:val="18"/>
                <w:szCs w:val="18"/>
              </w:rPr>
              <w:t>Venda</w:t>
            </w:r>
            <w:r w:rsidRPr="00E27C16">
              <w:rPr>
                <w:rFonts w:cs="Tahoma"/>
                <w:sz w:val="18"/>
                <w:szCs w:val="18"/>
              </w:rPr>
              <w:t>”) que deverá ser previamente aprovada pelo Debenturista, incluindo, mas não se limitando, aos documentos definitivos da operação de Venda, realizar o resgate antecipado da totalidade das Debêntures (“</w:t>
            </w:r>
            <w:r w:rsidRPr="00E27C16">
              <w:rPr>
                <w:rFonts w:cs="Tahoma"/>
                <w:b/>
                <w:bCs/>
                <w:sz w:val="18"/>
                <w:szCs w:val="18"/>
              </w:rPr>
              <w:t>Resgate Antecipado Obrigatório Total</w:t>
            </w:r>
            <w:r w:rsidRPr="00E27C16">
              <w:rPr>
                <w:rFonts w:cs="Tahoma"/>
                <w:sz w:val="18"/>
                <w:szCs w:val="18"/>
              </w:rPr>
              <w:t xml:space="preserve">”). Por ocasião do Resgate Antecipado Obrigatório Total, o valor devido pela Emissora será equivalente ao </w:t>
            </w:r>
            <w:r w:rsidRPr="00E27C16">
              <w:rPr>
                <w:rFonts w:cs="Tahoma"/>
                <w:b/>
                <w:bCs/>
                <w:sz w:val="18"/>
                <w:szCs w:val="18"/>
              </w:rPr>
              <w:t>(a)</w:t>
            </w:r>
            <w:r w:rsidRPr="00E27C16">
              <w:rPr>
                <w:rFonts w:cs="Tahoma"/>
                <w:sz w:val="18"/>
                <w:szCs w:val="18"/>
              </w:rPr>
              <w:t xml:space="preserve"> Valor Nominal Unitário das Debêntures a serem resgatadas, acrescido </w:t>
            </w:r>
            <w:r w:rsidRPr="00E27C16">
              <w:rPr>
                <w:rFonts w:cs="Tahoma"/>
                <w:b/>
                <w:bCs/>
                <w:sz w:val="18"/>
                <w:szCs w:val="18"/>
              </w:rPr>
              <w:t>(b)</w:t>
            </w:r>
            <w:r w:rsidRPr="00E27C16">
              <w:rPr>
                <w:rFonts w:cs="Tahoma"/>
                <w:sz w:val="18"/>
                <w:szCs w:val="18"/>
              </w:rPr>
              <w:t xml:space="preserve"> da respectiva Remuneração, calculado pro rata temporis desde o respectivo primeiro Período de Capitalização, ou a Data do Pagamento da Remuneração anterior, conforme o caso, até a data do efetivo Resgate Antecipado Obrigatório Total, incidente sobre o Valor Nominal Unitário e demais encargos devidos e não pagos até a data do Resgate Antecipado Obrigatório Total.</w:t>
            </w:r>
          </w:p>
        </w:tc>
      </w:tr>
      <w:tr w:rsidR="00427CB6" w:rsidRPr="00E27C16" w14:paraId="3D651DEF" w14:textId="77777777" w:rsidTr="00427CB6">
        <w:tc>
          <w:tcPr>
            <w:tcW w:w="1011" w:type="pct"/>
            <w:tcBorders>
              <w:top w:val="single" w:sz="6" w:space="0" w:color="auto"/>
              <w:left w:val="single" w:sz="12" w:space="0" w:color="auto"/>
              <w:bottom w:val="single" w:sz="12" w:space="0" w:color="auto"/>
              <w:right w:val="single" w:sz="6" w:space="0" w:color="auto"/>
            </w:tcBorders>
            <w:vAlign w:val="center"/>
            <w:hideMark/>
          </w:tcPr>
          <w:p w14:paraId="7F4E74F3" w14:textId="77777777" w:rsidR="00427CB6" w:rsidRPr="00E27C16" w:rsidRDefault="00427CB6">
            <w:pPr>
              <w:widowControl w:val="0"/>
              <w:spacing w:before="40" w:after="40" w:line="252" w:lineRule="auto"/>
              <w:ind w:left="-90"/>
              <w:rPr>
                <w:rFonts w:cs="Tahoma"/>
                <w:sz w:val="18"/>
                <w:szCs w:val="18"/>
              </w:rPr>
            </w:pPr>
            <w:r w:rsidRPr="00E27C16">
              <w:rPr>
                <w:rFonts w:cs="Tahoma"/>
                <w:sz w:val="18"/>
                <w:szCs w:val="18"/>
              </w:rPr>
              <w:t>Outras obrigações garantidas:</w:t>
            </w:r>
          </w:p>
        </w:tc>
        <w:tc>
          <w:tcPr>
            <w:tcW w:w="3989" w:type="pct"/>
            <w:tcBorders>
              <w:top w:val="single" w:sz="6" w:space="0" w:color="auto"/>
              <w:left w:val="single" w:sz="6" w:space="0" w:color="auto"/>
              <w:bottom w:val="single" w:sz="12" w:space="0" w:color="auto"/>
              <w:right w:val="single" w:sz="12" w:space="0" w:color="auto"/>
            </w:tcBorders>
            <w:vAlign w:val="center"/>
            <w:hideMark/>
          </w:tcPr>
          <w:p w14:paraId="7FE98A21" w14:textId="3560B948" w:rsidR="00427CB6" w:rsidRPr="00E27C16" w:rsidRDefault="00427CB6">
            <w:pPr>
              <w:widowControl w:val="0"/>
              <w:spacing w:before="40" w:after="40" w:line="252" w:lineRule="auto"/>
              <w:rPr>
                <w:rFonts w:cs="Tahoma"/>
                <w:sz w:val="18"/>
                <w:szCs w:val="18"/>
              </w:rPr>
            </w:pPr>
            <w:r w:rsidRPr="00E27C16">
              <w:rPr>
                <w:rFonts w:cs="Tahoma"/>
                <w:sz w:val="18"/>
                <w:szCs w:val="18"/>
              </w:rPr>
              <w:t>Todas as obrigações, principais e/ou acessórias, assumidas pela Emissora, decorrentes ou de qualquer forma relacionadas à Emissão nos termos do “Instrumento Particular de Escritura da Primeira Emissão Privada de Debêntures, Conversíveis em Ações, em Duas Séries, com Garantia Real e com Garantia Fidejussória Adicional” celebrado entre a Emissora e o FIP-IE XP em 30 de agosto de 2019, conforme aditado.</w:t>
            </w:r>
          </w:p>
        </w:tc>
      </w:tr>
    </w:tbl>
    <w:p w14:paraId="074811B6" w14:textId="15689227" w:rsidR="00EA707C" w:rsidRDefault="00EA707C" w:rsidP="00EA707C"/>
    <w:p w14:paraId="67BBADEB" w14:textId="77777777" w:rsidR="00427CB6" w:rsidRPr="00EA707C" w:rsidRDefault="00427CB6" w:rsidP="00EA707C"/>
    <w:p w14:paraId="157B129F" w14:textId="7D3BABB8" w:rsidR="00201511" w:rsidRPr="0084218F" w:rsidRDefault="00201511" w:rsidP="00EA707C">
      <w:pPr>
        <w:pStyle w:val="Body"/>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5752"/>
      </w:tblGrid>
      <w:tr w:rsidR="00004EAD" w:rsidRPr="0084218F" w14:paraId="5C68BC42" w14:textId="77777777" w:rsidTr="00EA707C">
        <w:trPr>
          <w:tblHeader/>
        </w:trPr>
        <w:tc>
          <w:tcPr>
            <w:tcW w:w="5000" w:type="pct"/>
            <w:gridSpan w:val="2"/>
            <w:tcBorders>
              <w:top w:val="single" w:sz="12" w:space="0" w:color="auto"/>
              <w:left w:val="single" w:sz="12" w:space="0" w:color="auto"/>
              <w:bottom w:val="single" w:sz="6" w:space="0" w:color="auto"/>
              <w:right w:val="single" w:sz="12" w:space="0" w:color="auto"/>
            </w:tcBorders>
            <w:shd w:val="clear" w:color="auto" w:fill="BFBFBF"/>
            <w:vAlign w:val="center"/>
            <w:hideMark/>
          </w:tcPr>
          <w:p w14:paraId="0621DEB0" w14:textId="538C64E3" w:rsidR="00004EAD" w:rsidRPr="00CC6A8A" w:rsidRDefault="00004EAD" w:rsidP="00CC6A8A">
            <w:pPr>
              <w:widowControl w:val="0"/>
              <w:spacing w:before="40" w:after="40" w:line="252" w:lineRule="auto"/>
              <w:ind w:left="-90"/>
              <w:jc w:val="center"/>
              <w:rPr>
                <w:rFonts w:cs="Tahoma"/>
                <w:b/>
                <w:sz w:val="18"/>
                <w:szCs w:val="18"/>
              </w:rPr>
            </w:pPr>
            <w:r w:rsidRPr="00CC6A8A">
              <w:rPr>
                <w:rFonts w:cs="Tahoma"/>
                <w:b/>
                <w:sz w:val="18"/>
                <w:szCs w:val="18"/>
              </w:rPr>
              <w:t>Obrigações Garantidas – 2ª Emissão</w:t>
            </w:r>
            <w:r w:rsidR="00A108C7" w:rsidRPr="00CC6A8A">
              <w:rPr>
                <w:rFonts w:cs="Tahoma"/>
                <w:b/>
                <w:sz w:val="18"/>
                <w:szCs w:val="18"/>
              </w:rPr>
              <w:t xml:space="preserve"> </w:t>
            </w:r>
          </w:p>
        </w:tc>
      </w:tr>
      <w:tr w:rsidR="00004EAD" w:rsidRPr="0084218F" w14:paraId="3CC59260"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390B2444"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Valor da Emissão: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7B7B1AF1" w14:textId="394A3D59" w:rsidR="00004EAD" w:rsidRPr="00CC6A8A" w:rsidRDefault="00F43C58" w:rsidP="00CC6A8A">
            <w:pPr>
              <w:pStyle w:val="p0"/>
              <w:spacing w:before="40" w:after="40" w:line="252" w:lineRule="auto"/>
              <w:outlineLvl w:val="0"/>
              <w:rPr>
                <w:rFonts w:ascii="Tahoma" w:hAnsi="Tahoma" w:cs="Tahoma"/>
                <w:sz w:val="18"/>
                <w:szCs w:val="18"/>
              </w:rPr>
            </w:pPr>
            <w:r>
              <w:rPr>
                <w:rFonts w:ascii="Tahoma" w:hAnsi="Tahoma" w:cs="Tahoma"/>
                <w:sz w:val="18"/>
                <w:szCs w:val="18"/>
              </w:rPr>
              <w:t xml:space="preserve">Até </w:t>
            </w:r>
            <w:r w:rsidR="00004EAD" w:rsidRPr="00CC6A8A">
              <w:rPr>
                <w:rFonts w:ascii="Tahoma" w:hAnsi="Tahoma" w:cs="Tahoma"/>
                <w:sz w:val="18"/>
                <w:szCs w:val="18"/>
              </w:rPr>
              <w:t>R$</w:t>
            </w:r>
            <w:r w:rsidR="00415B9B">
              <w:rPr>
                <w:rFonts w:ascii="Tahoma" w:hAnsi="Tahoma" w:cs="Tahoma"/>
                <w:sz w:val="18"/>
                <w:szCs w:val="18"/>
              </w:rPr>
              <w:t>152</w:t>
            </w:r>
            <w:r w:rsidR="00004EAD" w:rsidRPr="00CC6A8A">
              <w:rPr>
                <w:rFonts w:ascii="Tahoma" w:hAnsi="Tahoma" w:cs="Tahoma"/>
                <w:sz w:val="18"/>
                <w:szCs w:val="18"/>
              </w:rPr>
              <w:t>.</w:t>
            </w:r>
            <w:r w:rsidR="00415B9B">
              <w:rPr>
                <w:rFonts w:ascii="Tahoma" w:hAnsi="Tahoma" w:cs="Tahoma"/>
                <w:sz w:val="18"/>
                <w:szCs w:val="18"/>
              </w:rPr>
              <w:t>0</w:t>
            </w:r>
            <w:r w:rsidR="00004EAD" w:rsidRPr="00CC6A8A">
              <w:rPr>
                <w:rFonts w:ascii="Tahoma" w:hAnsi="Tahoma" w:cs="Tahoma"/>
                <w:sz w:val="18"/>
                <w:szCs w:val="18"/>
              </w:rPr>
              <w:t>00.000,00 (</w:t>
            </w:r>
            <w:r w:rsidR="00415B9B">
              <w:rPr>
                <w:rFonts w:ascii="Tahoma" w:hAnsi="Tahoma" w:cs="Tahoma"/>
                <w:sz w:val="18"/>
                <w:szCs w:val="18"/>
              </w:rPr>
              <w:t>cento e cinquenta e dois milhões de reais</w:t>
            </w:r>
            <w:r w:rsidR="00004EAD" w:rsidRPr="00CC6A8A">
              <w:rPr>
                <w:rFonts w:ascii="Tahoma" w:hAnsi="Tahoma" w:cs="Tahoma"/>
                <w:sz w:val="18"/>
                <w:szCs w:val="18"/>
              </w:rPr>
              <w:t>).</w:t>
            </w:r>
          </w:p>
        </w:tc>
      </w:tr>
      <w:tr w:rsidR="00004EAD" w:rsidRPr="0084218F" w14:paraId="36669D40"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028D4C6A"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Data de Emissão: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01B92254" w14:textId="24B916C5" w:rsidR="00004EAD" w:rsidRPr="00CC6A8A" w:rsidRDefault="003212B1" w:rsidP="00CC6A8A">
            <w:pPr>
              <w:widowControl w:val="0"/>
              <w:spacing w:before="40" w:after="40" w:line="252" w:lineRule="auto"/>
              <w:rPr>
                <w:rFonts w:cs="Tahoma"/>
                <w:sz w:val="18"/>
                <w:szCs w:val="18"/>
              </w:rPr>
            </w:pPr>
            <w:r>
              <w:rPr>
                <w:rFonts w:cs="Tahoma"/>
                <w:bCs/>
                <w:sz w:val="18"/>
                <w:szCs w:val="18"/>
              </w:rPr>
              <w:t>29</w:t>
            </w:r>
            <w:r w:rsidRPr="00CC6A8A">
              <w:rPr>
                <w:rFonts w:cs="Tahoma"/>
                <w:bCs/>
                <w:sz w:val="18"/>
                <w:szCs w:val="18"/>
              </w:rPr>
              <w:t xml:space="preserve"> </w:t>
            </w:r>
            <w:r w:rsidR="00004EAD" w:rsidRPr="00CC6A8A">
              <w:rPr>
                <w:rFonts w:cs="Tahoma"/>
                <w:sz w:val="18"/>
                <w:szCs w:val="18"/>
              </w:rPr>
              <w:t xml:space="preserve">de </w:t>
            </w:r>
            <w:r>
              <w:rPr>
                <w:rFonts w:cs="Tahoma"/>
                <w:bCs/>
                <w:sz w:val="18"/>
                <w:szCs w:val="18"/>
              </w:rPr>
              <w:t>julho</w:t>
            </w:r>
            <w:r w:rsidRPr="00CC6A8A">
              <w:rPr>
                <w:rFonts w:cs="Tahoma"/>
                <w:bCs/>
                <w:sz w:val="18"/>
                <w:szCs w:val="18"/>
              </w:rPr>
              <w:t xml:space="preserve"> </w:t>
            </w:r>
            <w:r w:rsidR="00004EAD" w:rsidRPr="00CC6A8A">
              <w:rPr>
                <w:rFonts w:cs="Tahoma"/>
                <w:sz w:val="18"/>
                <w:szCs w:val="18"/>
              </w:rPr>
              <w:t>de 2021.</w:t>
            </w:r>
          </w:p>
        </w:tc>
      </w:tr>
      <w:tr w:rsidR="00004EAD" w:rsidRPr="0084218F" w14:paraId="375EB927"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19AB7B96"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Quantidade de Debêntures:</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62B0E56F" w14:textId="0798955C" w:rsidR="00004EAD" w:rsidRPr="00CC6A8A" w:rsidRDefault="00F43C58" w:rsidP="00CC6A8A">
            <w:pPr>
              <w:widowControl w:val="0"/>
              <w:spacing w:before="40" w:after="40" w:line="252" w:lineRule="auto"/>
              <w:rPr>
                <w:rFonts w:cs="Tahoma"/>
                <w:sz w:val="18"/>
                <w:szCs w:val="18"/>
              </w:rPr>
            </w:pPr>
            <w:r>
              <w:rPr>
                <w:rFonts w:cs="Tahoma"/>
                <w:sz w:val="18"/>
                <w:szCs w:val="18"/>
              </w:rPr>
              <w:t xml:space="preserve">Até </w:t>
            </w:r>
            <w:r w:rsidR="00415B9B">
              <w:rPr>
                <w:rFonts w:cs="Tahoma"/>
                <w:sz w:val="18"/>
                <w:szCs w:val="18"/>
              </w:rPr>
              <w:t>152</w:t>
            </w:r>
            <w:r w:rsidR="00004EAD" w:rsidRPr="00CC6A8A">
              <w:rPr>
                <w:rFonts w:cs="Tahoma"/>
                <w:sz w:val="18"/>
                <w:szCs w:val="18"/>
              </w:rPr>
              <w:t>.</w:t>
            </w:r>
            <w:r w:rsidR="00415B9B">
              <w:rPr>
                <w:rFonts w:cs="Tahoma"/>
                <w:sz w:val="18"/>
                <w:szCs w:val="18"/>
              </w:rPr>
              <w:t>0</w:t>
            </w:r>
            <w:r w:rsidR="00004EAD" w:rsidRPr="00CC6A8A">
              <w:rPr>
                <w:rFonts w:cs="Tahoma"/>
                <w:sz w:val="18"/>
                <w:szCs w:val="18"/>
              </w:rPr>
              <w:t>00 (</w:t>
            </w:r>
            <w:r w:rsidR="00415B9B">
              <w:rPr>
                <w:rFonts w:cs="Tahoma"/>
                <w:sz w:val="18"/>
                <w:szCs w:val="18"/>
              </w:rPr>
              <w:t>cento e cinquenta e duas mil</w:t>
            </w:r>
            <w:r w:rsidR="00004EAD" w:rsidRPr="00CC6A8A">
              <w:rPr>
                <w:rFonts w:cs="Tahoma"/>
                <w:sz w:val="18"/>
                <w:szCs w:val="18"/>
              </w:rPr>
              <w:t xml:space="preserve">) debêntures simples, não conversíveis em ações, em </w:t>
            </w:r>
            <w:r w:rsidR="001C18B1" w:rsidRPr="00CC6A8A">
              <w:rPr>
                <w:rFonts w:cs="Tahoma"/>
                <w:sz w:val="18"/>
                <w:szCs w:val="18"/>
              </w:rPr>
              <w:t>até três séries</w:t>
            </w:r>
            <w:r w:rsidR="0009561B">
              <w:rPr>
                <w:rFonts w:cs="Tahoma"/>
                <w:sz w:val="18"/>
                <w:szCs w:val="18"/>
              </w:rPr>
              <w:t xml:space="preserve">, </w:t>
            </w:r>
            <w:r w:rsidR="0009561B" w:rsidRPr="0009561B">
              <w:rPr>
                <w:rFonts w:cs="Tahoma"/>
                <w:sz w:val="18"/>
                <w:szCs w:val="18"/>
              </w:rPr>
              <w:t xml:space="preserve">sendo 50.000 (cinquenta mil) Debêntures da 1ª Série, sendo 67.000 (sessenta e sete mil) Debêntures da 2ª Série e sendo 35.000 (trinta e cinco mil) Debêntures </w:t>
            </w:r>
            <w:r w:rsidR="0009561B" w:rsidRPr="0009561B">
              <w:rPr>
                <w:rFonts w:cs="Tahoma"/>
                <w:sz w:val="18"/>
                <w:szCs w:val="18"/>
              </w:rPr>
              <w:lastRenderedPageBreak/>
              <w:t>da 3ª Série</w:t>
            </w:r>
            <w:r w:rsidR="00004EAD" w:rsidRPr="00CC6A8A">
              <w:rPr>
                <w:rFonts w:cs="Tahoma"/>
                <w:sz w:val="18"/>
                <w:szCs w:val="18"/>
              </w:rPr>
              <w:t>.</w:t>
            </w:r>
          </w:p>
        </w:tc>
      </w:tr>
      <w:tr w:rsidR="00004EAD" w:rsidRPr="0084218F" w14:paraId="239F8DDD"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47F1E13D"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lastRenderedPageBreak/>
              <w:t>Valor Nominal Unitário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255AB35C" w14:textId="05A526C7" w:rsidR="00004EAD" w:rsidRPr="00CC6A8A" w:rsidRDefault="00004EAD" w:rsidP="00CC6A8A">
            <w:pPr>
              <w:widowControl w:val="0"/>
              <w:spacing w:before="40" w:after="40" w:line="252" w:lineRule="auto"/>
              <w:rPr>
                <w:rFonts w:cs="Tahoma"/>
                <w:sz w:val="18"/>
                <w:szCs w:val="18"/>
              </w:rPr>
            </w:pPr>
            <w:r w:rsidRPr="00CC6A8A">
              <w:rPr>
                <w:rFonts w:cs="Tahoma"/>
                <w:sz w:val="18"/>
                <w:szCs w:val="18"/>
              </w:rPr>
              <w:t>R$ 1.000,00 (mil reais).</w:t>
            </w:r>
          </w:p>
        </w:tc>
      </w:tr>
      <w:tr w:rsidR="00004EAD" w:rsidRPr="0084218F" w14:paraId="5C8E2A0F" w14:textId="77777777" w:rsidTr="00CC6A8A">
        <w:tc>
          <w:tcPr>
            <w:tcW w:w="1694" w:type="pct"/>
            <w:tcBorders>
              <w:top w:val="single" w:sz="6" w:space="0" w:color="auto"/>
              <w:left w:val="single" w:sz="12" w:space="0" w:color="auto"/>
              <w:bottom w:val="single" w:sz="6" w:space="0" w:color="auto"/>
              <w:right w:val="single" w:sz="6" w:space="0" w:color="auto"/>
            </w:tcBorders>
            <w:vAlign w:val="center"/>
          </w:tcPr>
          <w:p w14:paraId="3B122F07" w14:textId="10802B73"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Prazo</w:t>
            </w:r>
            <w:r w:rsidR="003212B1">
              <w:rPr>
                <w:rFonts w:cs="Tahoma"/>
                <w:i/>
                <w:sz w:val="18"/>
                <w:szCs w:val="18"/>
              </w:rPr>
              <w:t xml:space="preserve"> e Data de Vencimento</w:t>
            </w:r>
          </w:p>
        </w:tc>
        <w:tc>
          <w:tcPr>
            <w:tcW w:w="3306" w:type="pct"/>
            <w:tcBorders>
              <w:top w:val="single" w:sz="6" w:space="0" w:color="auto"/>
              <w:left w:val="single" w:sz="6" w:space="0" w:color="auto"/>
              <w:bottom w:val="single" w:sz="6" w:space="0" w:color="auto"/>
              <w:right w:val="single" w:sz="12" w:space="0" w:color="auto"/>
            </w:tcBorders>
            <w:vAlign w:val="center"/>
          </w:tcPr>
          <w:p w14:paraId="43A2EDEB" w14:textId="026AF21E" w:rsidR="00004EAD" w:rsidRPr="00CC6A8A" w:rsidRDefault="003212B1" w:rsidP="00CC6A8A">
            <w:pPr>
              <w:widowControl w:val="0"/>
              <w:spacing w:before="40" w:after="40" w:line="252" w:lineRule="auto"/>
              <w:rPr>
                <w:rFonts w:cs="Tahoma"/>
                <w:sz w:val="18"/>
                <w:szCs w:val="18"/>
              </w:rPr>
            </w:pPr>
            <w:r>
              <w:rPr>
                <w:rFonts w:cs="Tahoma"/>
                <w:sz w:val="18"/>
                <w:szCs w:val="18"/>
              </w:rPr>
              <w:t>8052 (oito mil e cinquenta e dois dias)</w:t>
            </w:r>
            <w:r w:rsidR="00A81F67">
              <w:rPr>
                <w:rFonts w:cs="Tahoma"/>
                <w:sz w:val="18"/>
                <w:szCs w:val="18"/>
              </w:rPr>
              <w:t xml:space="preserve">, vencendo-se, portanto, em </w:t>
            </w:r>
            <w:r w:rsidR="00004EAD" w:rsidRPr="00CC6A8A">
              <w:rPr>
                <w:rFonts w:cs="Tahoma"/>
                <w:sz w:val="18"/>
                <w:szCs w:val="18"/>
              </w:rPr>
              <w:t xml:space="preserve">15 de </w:t>
            </w:r>
            <w:r w:rsidR="00415B9B">
              <w:rPr>
                <w:rFonts w:cs="Tahoma"/>
                <w:sz w:val="18"/>
                <w:szCs w:val="18"/>
              </w:rPr>
              <w:t>agosto</w:t>
            </w:r>
            <w:r w:rsidR="00004EAD" w:rsidRPr="00CC6A8A">
              <w:rPr>
                <w:rFonts w:cs="Tahoma"/>
                <w:sz w:val="18"/>
                <w:szCs w:val="18"/>
              </w:rPr>
              <w:t xml:space="preserve"> de 20</w:t>
            </w:r>
            <w:r w:rsidR="00415B9B">
              <w:rPr>
                <w:rFonts w:cs="Tahoma"/>
                <w:sz w:val="18"/>
                <w:szCs w:val="18"/>
              </w:rPr>
              <w:t>43</w:t>
            </w:r>
          </w:p>
        </w:tc>
      </w:tr>
      <w:tr w:rsidR="00004EAD" w:rsidRPr="0084218F" w14:paraId="01D79E41"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54F06B8C"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Remuneração: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265ABB7E" w14:textId="7FE8A19F" w:rsidR="00004EAD" w:rsidRPr="00CC6A8A" w:rsidRDefault="00004EAD" w:rsidP="00CC6A8A">
            <w:pPr>
              <w:pStyle w:val="PargrafodaLista"/>
              <w:widowControl w:val="0"/>
              <w:spacing w:before="40" w:after="40" w:line="252" w:lineRule="auto"/>
              <w:ind w:left="0"/>
              <w:rPr>
                <w:rFonts w:cs="Tahoma"/>
                <w:smallCaps/>
                <w:color w:val="000000"/>
                <w:sz w:val="18"/>
                <w:szCs w:val="18"/>
              </w:rPr>
            </w:pPr>
            <w:r w:rsidRPr="00CC6A8A">
              <w:rPr>
                <w:rFonts w:cs="Tahoma"/>
                <w:sz w:val="18"/>
                <w:szCs w:val="18"/>
              </w:rPr>
              <w:t>Sobre o Valor Nominal Unitário das Debêntures incidirão juros remuneratórios calculados semestralmente e pagos ao final de cada período de capitalização, conforme fórmula descrita na Escritura</w:t>
            </w:r>
            <w:r w:rsidR="001C18B1" w:rsidRPr="00CC6A8A">
              <w:rPr>
                <w:rFonts w:cs="Tahoma"/>
                <w:sz w:val="18"/>
                <w:szCs w:val="18"/>
              </w:rPr>
              <w:t xml:space="preserve"> da 2ª Emissão</w:t>
            </w:r>
            <w:r w:rsidRPr="00CC6A8A">
              <w:rPr>
                <w:rFonts w:cs="Tahoma"/>
                <w:sz w:val="18"/>
                <w:szCs w:val="18"/>
              </w:rPr>
              <w:t>.</w:t>
            </w:r>
          </w:p>
        </w:tc>
      </w:tr>
      <w:tr w:rsidR="00004EAD" w:rsidRPr="0084218F" w14:paraId="37E59E37" w14:textId="77777777" w:rsidTr="00CC6A8A">
        <w:tc>
          <w:tcPr>
            <w:tcW w:w="1694" w:type="pct"/>
            <w:tcBorders>
              <w:top w:val="single" w:sz="6" w:space="0" w:color="auto"/>
              <w:left w:val="single" w:sz="12" w:space="0" w:color="auto"/>
              <w:bottom w:val="single" w:sz="6" w:space="0" w:color="auto"/>
              <w:right w:val="single" w:sz="6" w:space="0" w:color="auto"/>
            </w:tcBorders>
            <w:vAlign w:val="center"/>
          </w:tcPr>
          <w:p w14:paraId="47DED00C"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Encargos</w:t>
            </w:r>
          </w:p>
        </w:tc>
        <w:tc>
          <w:tcPr>
            <w:tcW w:w="3306" w:type="pct"/>
            <w:tcBorders>
              <w:top w:val="single" w:sz="6" w:space="0" w:color="auto"/>
              <w:left w:val="single" w:sz="6" w:space="0" w:color="auto"/>
              <w:bottom w:val="single" w:sz="6" w:space="0" w:color="auto"/>
              <w:right w:val="single" w:sz="12" w:space="0" w:color="auto"/>
            </w:tcBorders>
            <w:vAlign w:val="center"/>
          </w:tcPr>
          <w:p w14:paraId="49E02B30" w14:textId="2E2590B7" w:rsidR="00004EAD" w:rsidRPr="00CC6A8A" w:rsidRDefault="004B4ED6" w:rsidP="00CC6A8A">
            <w:pPr>
              <w:widowControl w:val="0"/>
              <w:spacing w:before="40" w:after="40" w:line="252" w:lineRule="auto"/>
              <w:rPr>
                <w:rFonts w:cs="Tahoma"/>
                <w:sz w:val="18"/>
                <w:szCs w:val="18"/>
              </w:rPr>
            </w:pPr>
            <w:r w:rsidRPr="00CC6A8A">
              <w:rPr>
                <w:rFonts w:cs="Tahoma"/>
                <w:sz w:val="18"/>
                <w:szCs w:val="18"/>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w:t>
            </w:r>
          </w:p>
        </w:tc>
      </w:tr>
      <w:tr w:rsidR="00004EAD" w:rsidRPr="0084218F" w14:paraId="74379657" w14:textId="77777777" w:rsidTr="00CC6A8A">
        <w:tc>
          <w:tcPr>
            <w:tcW w:w="1694" w:type="pct"/>
            <w:tcBorders>
              <w:top w:val="single" w:sz="6" w:space="0" w:color="auto"/>
              <w:left w:val="single" w:sz="12" w:space="0" w:color="auto"/>
              <w:bottom w:val="single" w:sz="6" w:space="0" w:color="auto"/>
              <w:right w:val="single" w:sz="6" w:space="0" w:color="auto"/>
            </w:tcBorders>
            <w:vAlign w:val="center"/>
          </w:tcPr>
          <w:p w14:paraId="7EF36C48"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Conversibilidade</w:t>
            </w:r>
          </w:p>
        </w:tc>
        <w:tc>
          <w:tcPr>
            <w:tcW w:w="3306" w:type="pct"/>
            <w:tcBorders>
              <w:top w:val="single" w:sz="6" w:space="0" w:color="auto"/>
              <w:left w:val="single" w:sz="6" w:space="0" w:color="auto"/>
              <w:bottom w:val="single" w:sz="6" w:space="0" w:color="auto"/>
              <w:right w:val="single" w:sz="12" w:space="0" w:color="auto"/>
            </w:tcBorders>
            <w:vAlign w:val="center"/>
          </w:tcPr>
          <w:p w14:paraId="5B8E1139" w14:textId="0BBE57F6" w:rsidR="00004EAD" w:rsidRPr="00CC6A8A" w:rsidRDefault="004B4ED6" w:rsidP="00CC6A8A">
            <w:pPr>
              <w:widowControl w:val="0"/>
              <w:spacing w:before="40" w:after="40" w:line="252" w:lineRule="auto"/>
              <w:rPr>
                <w:rFonts w:cs="Tahoma"/>
                <w:sz w:val="18"/>
                <w:szCs w:val="18"/>
              </w:rPr>
            </w:pPr>
            <w:r w:rsidRPr="00CC6A8A">
              <w:rPr>
                <w:rFonts w:cs="Tahoma"/>
                <w:iCs/>
                <w:color w:val="000000"/>
                <w:sz w:val="18"/>
                <w:szCs w:val="18"/>
              </w:rPr>
              <w:t>As Debêntures serão simples, não conversíveis em ações de emissão da Emissora.</w:t>
            </w:r>
          </w:p>
        </w:tc>
      </w:tr>
      <w:tr w:rsidR="00004EAD" w:rsidRPr="0084218F" w14:paraId="5E76400D"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138F7142"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iCs/>
                <w:color w:val="000000"/>
                <w:sz w:val="18"/>
                <w:szCs w:val="18"/>
              </w:rPr>
              <w:t>Amortização ou Resgate Antecipado</w:t>
            </w:r>
            <w:r w:rsidRPr="00CC6A8A">
              <w:rPr>
                <w:rFonts w:cs="Tahoma"/>
                <w:i/>
                <w:sz w:val="18"/>
                <w:szCs w:val="18"/>
              </w:rPr>
              <w:t>:</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00F8A8F4" w14:textId="40EBE815" w:rsidR="00004EAD" w:rsidRPr="00CC6A8A" w:rsidRDefault="00004EAD" w:rsidP="00CC6A8A">
            <w:pPr>
              <w:widowControl w:val="0"/>
              <w:spacing w:before="40" w:after="40" w:line="252" w:lineRule="auto"/>
              <w:rPr>
                <w:rFonts w:cs="Tahoma"/>
                <w:sz w:val="18"/>
                <w:szCs w:val="18"/>
              </w:rPr>
            </w:pPr>
            <w:r w:rsidRPr="00CC6A8A">
              <w:rPr>
                <w:rFonts w:cs="Tahoma"/>
                <w:color w:val="000000"/>
                <w:sz w:val="18"/>
                <w:szCs w:val="18"/>
              </w:rPr>
              <w:t xml:space="preserve">A Emissora poderá realizar </w:t>
            </w:r>
            <w:r w:rsidR="004B4ED6" w:rsidRPr="00CC6A8A">
              <w:rPr>
                <w:rFonts w:cs="Tahoma"/>
                <w:color w:val="000000"/>
                <w:sz w:val="18"/>
                <w:szCs w:val="18"/>
              </w:rPr>
              <w:t>a</w:t>
            </w:r>
            <w:r w:rsidRPr="00CC6A8A">
              <w:rPr>
                <w:rFonts w:cs="Tahoma"/>
                <w:color w:val="000000"/>
                <w:sz w:val="18"/>
                <w:szCs w:val="18"/>
              </w:rPr>
              <w:t xml:space="preserve"> amortização ou resgate antecipado das Debêntures, </w:t>
            </w:r>
            <w:r w:rsidR="004B4ED6" w:rsidRPr="00CC6A8A">
              <w:rPr>
                <w:rFonts w:cs="Tahoma"/>
                <w:color w:val="000000"/>
                <w:sz w:val="18"/>
                <w:szCs w:val="18"/>
              </w:rPr>
              <w:t>nos termos d</w:t>
            </w:r>
            <w:r w:rsidRPr="00CC6A8A">
              <w:rPr>
                <w:rFonts w:cs="Tahoma"/>
                <w:color w:val="000000"/>
                <w:sz w:val="18"/>
                <w:szCs w:val="18"/>
              </w:rPr>
              <w:t xml:space="preserve">a Escritura </w:t>
            </w:r>
            <w:r w:rsidR="004B4ED6" w:rsidRPr="00CC6A8A">
              <w:rPr>
                <w:rFonts w:cs="Tahoma"/>
                <w:color w:val="000000"/>
                <w:sz w:val="18"/>
                <w:szCs w:val="18"/>
              </w:rPr>
              <w:t xml:space="preserve">da 2ª Emissão </w:t>
            </w:r>
            <w:r w:rsidRPr="00CC6A8A">
              <w:rPr>
                <w:rFonts w:cs="Tahoma"/>
                <w:color w:val="000000"/>
                <w:sz w:val="18"/>
                <w:szCs w:val="18"/>
              </w:rPr>
              <w:t xml:space="preserve">ou </w:t>
            </w:r>
            <w:r w:rsidR="004B4ED6" w:rsidRPr="00CC6A8A">
              <w:rPr>
                <w:rFonts w:cs="Tahoma"/>
                <w:color w:val="000000"/>
                <w:sz w:val="18"/>
                <w:szCs w:val="18"/>
              </w:rPr>
              <w:t>d</w:t>
            </w:r>
            <w:r w:rsidRPr="00CC6A8A">
              <w:rPr>
                <w:rFonts w:cs="Tahoma"/>
                <w:color w:val="000000"/>
                <w:sz w:val="18"/>
                <w:szCs w:val="18"/>
              </w:rPr>
              <w:t>a lei</w:t>
            </w:r>
            <w:r w:rsidRPr="00CC6A8A">
              <w:rPr>
                <w:rFonts w:cs="Tahoma"/>
                <w:sz w:val="18"/>
                <w:szCs w:val="18"/>
              </w:rPr>
              <w:t xml:space="preserve">. </w:t>
            </w:r>
          </w:p>
        </w:tc>
      </w:tr>
      <w:tr w:rsidR="00004EAD" w:rsidRPr="0084218F" w14:paraId="2D6783D5" w14:textId="77777777" w:rsidTr="00CC6A8A">
        <w:tc>
          <w:tcPr>
            <w:tcW w:w="1694" w:type="pct"/>
            <w:tcBorders>
              <w:top w:val="single" w:sz="6" w:space="0" w:color="auto"/>
              <w:left w:val="single" w:sz="12" w:space="0" w:color="auto"/>
              <w:bottom w:val="single" w:sz="12" w:space="0" w:color="auto"/>
              <w:right w:val="single" w:sz="6" w:space="0" w:color="auto"/>
            </w:tcBorders>
            <w:vAlign w:val="center"/>
            <w:hideMark/>
          </w:tcPr>
          <w:p w14:paraId="79842164"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Outras obrigações garantidas:</w:t>
            </w:r>
          </w:p>
        </w:tc>
        <w:tc>
          <w:tcPr>
            <w:tcW w:w="3306" w:type="pct"/>
            <w:tcBorders>
              <w:top w:val="single" w:sz="6" w:space="0" w:color="auto"/>
              <w:left w:val="single" w:sz="6" w:space="0" w:color="auto"/>
              <w:bottom w:val="single" w:sz="12" w:space="0" w:color="auto"/>
              <w:right w:val="single" w:sz="12" w:space="0" w:color="auto"/>
            </w:tcBorders>
            <w:vAlign w:val="center"/>
            <w:hideMark/>
          </w:tcPr>
          <w:p w14:paraId="5D01E97F" w14:textId="5BA7C0A2" w:rsidR="00004EAD" w:rsidRPr="00CC6A8A" w:rsidRDefault="00004EAD" w:rsidP="00CC6A8A">
            <w:pPr>
              <w:widowControl w:val="0"/>
              <w:spacing w:before="40" w:after="40" w:line="252" w:lineRule="auto"/>
              <w:rPr>
                <w:rFonts w:cs="Tahoma"/>
                <w:sz w:val="18"/>
                <w:szCs w:val="18"/>
              </w:rPr>
            </w:pPr>
            <w:r w:rsidRPr="00CC6A8A">
              <w:rPr>
                <w:rFonts w:cs="Tahoma"/>
                <w:sz w:val="18"/>
                <w:szCs w:val="18"/>
              </w:rPr>
              <w:t xml:space="preserve">Todas as obrigações, principais e/ou acessórias, assumidas pela Emissora, decorrentes ou de qualquer forma relacionadas à </w:t>
            </w:r>
            <w:r w:rsidR="0013402B" w:rsidRPr="00CC6A8A">
              <w:rPr>
                <w:rFonts w:cs="Tahoma"/>
                <w:sz w:val="18"/>
                <w:szCs w:val="18"/>
              </w:rPr>
              <w:t>2ª E</w:t>
            </w:r>
            <w:r w:rsidRPr="00CC6A8A">
              <w:rPr>
                <w:rFonts w:cs="Tahoma"/>
                <w:sz w:val="18"/>
                <w:szCs w:val="18"/>
              </w:rPr>
              <w:t>missão d</w:t>
            </w:r>
            <w:r w:rsidR="0013402B" w:rsidRPr="00CC6A8A">
              <w:rPr>
                <w:rFonts w:cs="Tahoma"/>
                <w:sz w:val="18"/>
                <w:szCs w:val="18"/>
              </w:rPr>
              <w:t>e</w:t>
            </w:r>
            <w:r w:rsidRPr="00CC6A8A">
              <w:rPr>
                <w:rFonts w:cs="Tahoma"/>
                <w:sz w:val="18"/>
                <w:szCs w:val="18"/>
              </w:rPr>
              <w:t xml:space="preserve"> Debêntures nos termos do “</w:t>
            </w:r>
            <w:r w:rsidR="0013402B" w:rsidRPr="00CC6A8A">
              <w:rPr>
                <w:rFonts w:cs="Tahoma"/>
                <w:i/>
                <w:color w:val="000000" w:themeColor="text1"/>
                <w:sz w:val="18"/>
                <w:szCs w:val="18"/>
              </w:rPr>
              <w:t xml:space="preserve">Instrumento Particular de Escritura da 2ª (Segunda) Emissão de Debêntures Simples, Não Conversíveis em Ações, em </w:t>
            </w:r>
            <w:r w:rsidR="001C18B1" w:rsidRPr="00CC6A8A">
              <w:rPr>
                <w:rFonts w:cs="Tahoma"/>
                <w:i/>
                <w:color w:val="000000" w:themeColor="text1"/>
                <w:sz w:val="18"/>
                <w:szCs w:val="18"/>
              </w:rPr>
              <w:t>Até Três Séries</w:t>
            </w:r>
            <w:r w:rsidR="0013402B" w:rsidRPr="00CC6A8A">
              <w:rPr>
                <w:rFonts w:cs="Tahoma"/>
                <w:i/>
                <w:color w:val="000000" w:themeColor="text1"/>
                <w:sz w:val="18"/>
                <w:szCs w:val="18"/>
              </w:rPr>
              <w:t>, da Espécie com Garantia Real e Com Garantia Adicional Fidejussória, para Distribuição Pública com Esforços Restritos, da LC Energia Holding S.A.</w:t>
            </w:r>
            <w:r w:rsidRPr="00CC6A8A">
              <w:rPr>
                <w:rFonts w:cs="Tahoma"/>
                <w:sz w:val="18"/>
                <w:szCs w:val="18"/>
              </w:rPr>
              <w:t>” celebrado entre a Emissora</w:t>
            </w:r>
            <w:r w:rsidR="00A81F67">
              <w:rPr>
                <w:rFonts w:cs="Tahoma"/>
                <w:sz w:val="18"/>
                <w:szCs w:val="18"/>
              </w:rPr>
              <w:t>, o Fiador</w:t>
            </w:r>
            <w:r w:rsidRPr="00CC6A8A">
              <w:rPr>
                <w:rFonts w:cs="Tahoma"/>
                <w:sz w:val="18"/>
                <w:szCs w:val="18"/>
              </w:rPr>
              <w:t xml:space="preserve"> </w:t>
            </w:r>
            <w:r w:rsidR="0013402B" w:rsidRPr="00CC6A8A">
              <w:rPr>
                <w:rFonts w:cs="Tahoma"/>
                <w:sz w:val="18"/>
                <w:szCs w:val="18"/>
              </w:rPr>
              <w:t xml:space="preserve">e o Agente Fiduciário, </w:t>
            </w:r>
            <w:r w:rsidRPr="00CC6A8A">
              <w:rPr>
                <w:rFonts w:cs="Tahoma"/>
                <w:sz w:val="18"/>
                <w:szCs w:val="18"/>
              </w:rPr>
              <w:t xml:space="preserve">em </w:t>
            </w:r>
            <w:r w:rsidR="0009561B">
              <w:rPr>
                <w:rFonts w:cs="Tahoma"/>
                <w:sz w:val="18"/>
                <w:szCs w:val="18"/>
              </w:rPr>
              <w:t>02</w:t>
            </w:r>
            <w:r w:rsidR="0013402B" w:rsidRPr="00CC6A8A">
              <w:rPr>
                <w:rFonts w:cs="Tahoma"/>
                <w:bCs/>
                <w:sz w:val="18"/>
                <w:szCs w:val="18"/>
              </w:rPr>
              <w:t xml:space="preserve"> </w:t>
            </w:r>
            <w:r w:rsidRPr="00CC6A8A">
              <w:rPr>
                <w:rFonts w:cs="Tahoma"/>
                <w:sz w:val="18"/>
                <w:szCs w:val="18"/>
              </w:rPr>
              <w:t xml:space="preserve">de </w:t>
            </w:r>
            <w:r w:rsidR="0009561B">
              <w:rPr>
                <w:rFonts w:cs="Tahoma"/>
                <w:sz w:val="18"/>
                <w:szCs w:val="18"/>
              </w:rPr>
              <w:t>agosto</w:t>
            </w:r>
            <w:r w:rsidR="0013402B" w:rsidRPr="00CC6A8A">
              <w:rPr>
                <w:rFonts w:cs="Tahoma"/>
                <w:bCs/>
                <w:sz w:val="18"/>
                <w:szCs w:val="18"/>
              </w:rPr>
              <w:t xml:space="preserve"> </w:t>
            </w:r>
            <w:r w:rsidRPr="00CC6A8A">
              <w:rPr>
                <w:rFonts w:cs="Tahoma"/>
                <w:sz w:val="18"/>
                <w:szCs w:val="18"/>
              </w:rPr>
              <w:t xml:space="preserve">de </w:t>
            </w:r>
            <w:r w:rsidR="0013402B" w:rsidRPr="00CC6A8A">
              <w:rPr>
                <w:rFonts w:cs="Tahoma"/>
                <w:sz w:val="18"/>
                <w:szCs w:val="18"/>
              </w:rPr>
              <w:t>2021</w:t>
            </w:r>
            <w:r w:rsidRPr="00CC6A8A">
              <w:rPr>
                <w:rFonts w:cs="Tahoma"/>
                <w:sz w:val="18"/>
                <w:szCs w:val="18"/>
              </w:rPr>
              <w:t>.</w:t>
            </w:r>
          </w:p>
        </w:tc>
      </w:tr>
    </w:tbl>
    <w:p w14:paraId="7537B02C" w14:textId="77777777" w:rsidR="00004EAD" w:rsidRPr="0084218F" w:rsidRDefault="00004EAD" w:rsidP="00CC6A8A">
      <w:pPr>
        <w:pStyle w:val="Body"/>
      </w:pPr>
    </w:p>
    <w:p w14:paraId="0F77B2FC" w14:textId="35837CE3" w:rsidR="00201511" w:rsidRPr="0084218F" w:rsidRDefault="004F6662" w:rsidP="00CC6A8A">
      <w:pPr>
        <w:pStyle w:val="TtuloAnexo"/>
      </w:pPr>
      <w:r w:rsidRPr="0084218F">
        <w:lastRenderedPageBreak/>
        <w:t>ANEXO II</w:t>
      </w:r>
    </w:p>
    <w:p w14:paraId="7E1A2A4F" w14:textId="393EB3C6" w:rsidR="00201511" w:rsidRPr="0084218F" w:rsidRDefault="004F6662" w:rsidP="00CC6A8A">
      <w:pPr>
        <w:pStyle w:val="SubTtulo0"/>
        <w:jc w:val="center"/>
      </w:pPr>
      <w:r w:rsidRPr="0084218F">
        <w:t>MODELO DE PROCURAÇÃO</w:t>
      </w:r>
    </w:p>
    <w:p w14:paraId="4CD624D1" w14:textId="77777777" w:rsidR="00201511" w:rsidRPr="0084218F" w:rsidRDefault="00201511" w:rsidP="00CC6A8A">
      <w:pPr>
        <w:pStyle w:val="Body"/>
      </w:pPr>
    </w:p>
    <w:p w14:paraId="4E4F332D" w14:textId="361FC408" w:rsidR="00201511" w:rsidRPr="0084218F" w:rsidRDefault="00201511" w:rsidP="00CC6A8A">
      <w:pPr>
        <w:pStyle w:val="Body"/>
        <w:rPr>
          <w:color w:val="000000"/>
        </w:rPr>
      </w:pPr>
      <w:r w:rsidRPr="0084218F">
        <w:rPr>
          <w:color w:val="000000"/>
        </w:rPr>
        <w:t>Pelo presente instrumento particular de mandato,</w:t>
      </w:r>
      <w:r w:rsidRPr="0084218F">
        <w:t xml:space="preserve"> </w:t>
      </w:r>
      <w:r w:rsidR="001C18B1" w:rsidRPr="0084218F">
        <w:rPr>
          <w:b/>
          <w:bCs/>
        </w:rPr>
        <w:t>LC LINHAS HOLDING LTDA.</w:t>
      </w:r>
      <w:r w:rsidR="001C18B1" w:rsidRPr="0084218F">
        <w:t>, sociedade limitada com sede na cidade de São Paulo, Estado de São Paulo, na Avenida Presidente Juscelino Kubitschek, nº 2.041, torre D, 23º andar, sala 29, Vila Nova Conceição, CEP 04543-011, inscrita no Cadastro Nacional de Pessoa Jurídica do Ministério da Economia (“</w:t>
      </w:r>
      <w:r w:rsidR="001C18B1" w:rsidRPr="0084218F">
        <w:rPr>
          <w:b/>
          <w:bCs/>
        </w:rPr>
        <w:t>CNPJ/ME</w:t>
      </w:r>
      <w:r w:rsidR="001C18B1" w:rsidRPr="0084218F">
        <w:t>”) sob o nº 40.776.390/0001-00, neste ato representada nos termos de seu contrato social (“</w:t>
      </w:r>
      <w:r w:rsidR="001C18B1" w:rsidRPr="0084218F">
        <w:rPr>
          <w:b/>
          <w:bCs/>
        </w:rPr>
        <w:t>LC Linhas</w:t>
      </w:r>
      <w:r w:rsidR="001C18B1" w:rsidRPr="0084218F">
        <w:t>” ou “</w:t>
      </w:r>
      <w:r w:rsidR="001C18B1" w:rsidRPr="0084218F">
        <w:rPr>
          <w:b/>
          <w:bCs/>
        </w:rPr>
        <w:t>Outorgante</w:t>
      </w:r>
      <w:r w:rsidR="001C18B1" w:rsidRPr="0084218F">
        <w:t>”)</w:t>
      </w:r>
      <w:r w:rsidRPr="0084218F">
        <w:t>; nomeia e constitu</w:t>
      </w:r>
      <w:r w:rsidR="001C18B1" w:rsidRPr="0084218F">
        <w:t>i</w:t>
      </w:r>
      <w:r w:rsidRPr="0084218F">
        <w:t xml:space="preserve"> seu bastante procurador </w:t>
      </w:r>
      <w:r w:rsidRPr="0084218F">
        <w:rPr>
          <w:b/>
          <w:bCs/>
        </w:rPr>
        <w:t>XP INFRA II FUNDO DE INVESTIMENTO EM PARTICIPAÇÕES EM INFRAESTRUTURA</w:t>
      </w:r>
      <w:r w:rsidRPr="0084218F">
        <w:t>, fundo de investimento em participações em infraestrutura inscrito no CNPJ/M</w:t>
      </w:r>
      <w:r w:rsidR="004F6662" w:rsidRPr="0084218F">
        <w:t>E</w:t>
      </w:r>
      <w:r w:rsidRPr="0084218F">
        <w:t xml:space="preserve"> sob o n.º 30.317.464/0001-97, representado por sua gestora, XP Vista Asset Management Ltda., sociedade limitada com sede na cidade de São Paulo, Estado de São Paulo, na Avenida Presidente Juscelino Kubitschek, 1909, torre sul, 30.º andar, parte, CEP 04543-907, inscrita no CNPJ/M</w:t>
      </w:r>
      <w:r w:rsidR="004F6662" w:rsidRPr="0084218F">
        <w:t>E</w:t>
      </w:r>
      <w:r w:rsidRPr="0084218F">
        <w:t xml:space="preserve"> sob o n.º 16.789.525/0001-98</w:t>
      </w:r>
      <w:r w:rsidR="004F6662" w:rsidRPr="0084218F">
        <w:t xml:space="preserve">, </w:t>
      </w:r>
      <w:bookmarkStart w:id="89" w:name="_Hlk71620812"/>
      <w:r w:rsidR="004F6662" w:rsidRPr="0084218F">
        <w:t xml:space="preserve">e </w:t>
      </w:r>
      <w:r w:rsidR="001C18B1" w:rsidRPr="0084218F">
        <w:rPr>
          <w:b/>
        </w:rPr>
        <w:t>SIMPLIFIC PAVARINI DISTRIBUIDORA DE TÍTULOS E VALORES MOBILIÁRIOS LTDA.</w:t>
      </w:r>
      <w:r w:rsidR="001C18B1" w:rsidRPr="0084218F">
        <w:t>, instituição financeira com filial na Cidade de São Paulo, Estado de São Paulo, na Rua Joaquim Floriano, nº 466, Bloco B, Conjunto 1401, Itaim Bibi, CEP 04534-004</w:t>
      </w:r>
      <w:r w:rsidR="001C18B1" w:rsidRPr="0084218F">
        <w:rPr>
          <w:bCs/>
        </w:rPr>
        <w:t>, inscrita no CNPJ/ME sob o nº 15.227.994/0004-01</w:t>
      </w:r>
      <w:r w:rsidR="004F6662" w:rsidRPr="0084218F">
        <w:rPr>
          <w:bCs/>
        </w:rPr>
        <w:t>, para representar, perante a</w:t>
      </w:r>
      <w:r w:rsidR="004F6662" w:rsidRPr="0084218F">
        <w:t xml:space="preserve"> Emissora, a comunhão dos interesses dos Debenturistas (conforme definido abaixo), neste ato representada na forma de seu contrato social]</w:t>
      </w:r>
      <w:r w:rsidRPr="0084218F">
        <w:t xml:space="preserve"> (</w:t>
      </w:r>
      <w:r w:rsidR="004F6662" w:rsidRPr="0084218F">
        <w:t>em conjunto, os</w:t>
      </w:r>
      <w:bookmarkEnd w:id="89"/>
      <w:r w:rsidR="004F6662" w:rsidRPr="0084218F">
        <w:t xml:space="preserve"> </w:t>
      </w:r>
      <w:r w:rsidRPr="0084218F">
        <w:t>“</w:t>
      </w:r>
      <w:r w:rsidRPr="0084218F">
        <w:rPr>
          <w:b/>
          <w:bCs/>
        </w:rPr>
        <w:t>Outorgado</w:t>
      </w:r>
      <w:r w:rsidR="004F6662" w:rsidRPr="0084218F">
        <w:rPr>
          <w:b/>
          <w:bCs/>
        </w:rPr>
        <w:t>s</w:t>
      </w:r>
      <w:r w:rsidRPr="0084218F">
        <w:t xml:space="preserve">”), </w:t>
      </w:r>
      <w:r w:rsidRPr="0084218F">
        <w:rPr>
          <w:color w:val="000000"/>
        </w:rPr>
        <w:t>conferindo-lhe plenos e especiais poderes para praticar todo e qualquer ato ou ação necessários para a execução do Contrato de Alienação Fiduciária de Ações e Outras Avenças, celebrado entre as Outorgantes e o</w:t>
      </w:r>
      <w:r w:rsidR="0013402B" w:rsidRPr="0084218F">
        <w:rPr>
          <w:color w:val="000000"/>
        </w:rPr>
        <w:t>s</w:t>
      </w:r>
      <w:r w:rsidRPr="0084218F">
        <w:rPr>
          <w:color w:val="000000"/>
        </w:rPr>
        <w:t xml:space="preserve"> Outorgado</w:t>
      </w:r>
      <w:r w:rsidR="0013402B" w:rsidRPr="0084218F">
        <w:rPr>
          <w:color w:val="000000"/>
        </w:rPr>
        <w:t>s</w:t>
      </w:r>
      <w:r w:rsidRPr="0084218F">
        <w:rPr>
          <w:color w:val="000000"/>
        </w:rPr>
        <w:t xml:space="preserve">, com a interveniência anuência da </w:t>
      </w:r>
      <w:r w:rsidR="003E176E" w:rsidRPr="0084218F">
        <w:rPr>
          <w:color w:val="000000"/>
        </w:rPr>
        <w:t>LC</w:t>
      </w:r>
      <w:r w:rsidRPr="0084218F">
        <w:rPr>
          <w:color w:val="000000"/>
        </w:rPr>
        <w:t xml:space="preserve"> Energia Holding S.A., CNPJ/M</w:t>
      </w:r>
      <w:r w:rsidR="004F6662" w:rsidRPr="0084218F">
        <w:rPr>
          <w:color w:val="000000"/>
        </w:rPr>
        <w:t>E</w:t>
      </w:r>
      <w:r w:rsidRPr="0084218F">
        <w:rPr>
          <w:color w:val="000000"/>
        </w:rPr>
        <w:t xml:space="preserve"> n.º </w:t>
      </w:r>
      <w:r w:rsidRPr="0084218F">
        <w:t>32.997.529/0001-18</w:t>
      </w:r>
      <w:r w:rsidRPr="0084218F">
        <w:rPr>
          <w:color w:val="000000"/>
        </w:rPr>
        <w:t xml:space="preserve">, em </w:t>
      </w:r>
      <w:r w:rsidRPr="0084218F">
        <w:t>30 de agosto de 2019</w:t>
      </w:r>
      <w:r w:rsidR="00B80083" w:rsidRPr="0084218F">
        <w:t xml:space="preserve">, conforme alterado em </w:t>
      </w:r>
      <w:r w:rsidR="0009561B">
        <w:rPr>
          <w:bCs/>
        </w:rPr>
        <w:t>02</w:t>
      </w:r>
      <w:r w:rsidR="00B80083" w:rsidRPr="0084218F">
        <w:rPr>
          <w:bCs/>
        </w:rPr>
        <w:t xml:space="preserve"> de </w:t>
      </w:r>
      <w:r w:rsidR="0009561B">
        <w:rPr>
          <w:bCs/>
        </w:rPr>
        <w:t>agosto</w:t>
      </w:r>
      <w:r w:rsidR="00B80083" w:rsidRPr="0084218F">
        <w:rPr>
          <w:bCs/>
        </w:rPr>
        <w:t xml:space="preserve"> de 2021</w:t>
      </w:r>
      <w:r w:rsidRPr="0084218F">
        <w:rPr>
          <w:color w:val="000000"/>
        </w:rPr>
        <w:t xml:space="preserve"> (“</w:t>
      </w:r>
      <w:r w:rsidRPr="0084218F">
        <w:rPr>
          <w:b/>
          <w:bCs/>
          <w:color w:val="000000"/>
        </w:rPr>
        <w:t>Contrato de Alienação Fiduciária</w:t>
      </w:r>
      <w:r w:rsidRPr="0084218F">
        <w:rPr>
          <w:color w:val="000000"/>
        </w:rPr>
        <w:t>”), inclusive poderes para:</w:t>
      </w:r>
    </w:p>
    <w:p w14:paraId="5D27D422" w14:textId="77777777" w:rsidR="00201511" w:rsidRPr="0084218F" w:rsidRDefault="00201511" w:rsidP="00CC6A8A">
      <w:pPr>
        <w:pStyle w:val="alpha2"/>
      </w:pPr>
      <w:r w:rsidRPr="0084218F">
        <w:t>exercer todos os direitos relativos aos Direitos de Participação Alienados Fiduciariamente, inclusive participar das assembleias gerais, exercer o direito de voto e receber todos os Direitos Econômicos;</w:t>
      </w:r>
    </w:p>
    <w:p w14:paraId="52A1E3B9" w14:textId="77777777" w:rsidR="00201511" w:rsidRPr="0084218F" w:rsidRDefault="00201511" w:rsidP="00CC6A8A">
      <w:pPr>
        <w:pStyle w:val="alpha2"/>
      </w:pPr>
      <w:r w:rsidRPr="0084218F">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40956870" w14:textId="77777777" w:rsidR="00201511" w:rsidRPr="0084218F" w:rsidRDefault="00201511" w:rsidP="00CC6A8A">
      <w:pPr>
        <w:pStyle w:val="alpha2"/>
      </w:pPr>
      <w:r w:rsidRPr="0084218F">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75DC70A7" w14:textId="77777777" w:rsidR="00201511" w:rsidRPr="0084218F" w:rsidRDefault="00201511" w:rsidP="00CC6A8A">
      <w:pPr>
        <w:pStyle w:val="alpha2"/>
      </w:pPr>
      <w:r w:rsidRPr="0084218F">
        <w:t>ceder e transferir ou de qualquer outra forma alienar, no todo ou em parte, os Direitos de Participação Alienados Fiduciariamente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às Outorgantes o que porventura sobejar;</w:t>
      </w:r>
    </w:p>
    <w:p w14:paraId="73591558" w14:textId="77777777" w:rsidR="00201511" w:rsidRPr="0084218F" w:rsidRDefault="00201511" w:rsidP="00CC6A8A">
      <w:pPr>
        <w:pStyle w:val="alpha2"/>
      </w:pPr>
      <w:r w:rsidRPr="0084218F">
        <w:t>receber pagamentos e dar quitação de quaisquer outros valores devidos com relação ao Contrato, utilizando os valores recebidos para a satisfação das Obrigações Garantidas e devolvendo às Outorgantes o que porventura sobejar;</w:t>
      </w:r>
    </w:p>
    <w:p w14:paraId="538EA052" w14:textId="77777777" w:rsidR="00201511" w:rsidRPr="0084218F" w:rsidRDefault="00201511" w:rsidP="00CC6A8A">
      <w:pPr>
        <w:pStyle w:val="alpha2"/>
      </w:pPr>
      <w:r w:rsidRPr="0084218F">
        <w:rPr>
          <w:w w:val="0"/>
        </w:rPr>
        <w:lastRenderedPageBreak/>
        <w:t xml:space="preserve">firmar quaisquer documentos e praticar quaisquer atos em nome das Outorgantes relativos à alienação fiduciária objeto do presente Contrato, inclusive aos </w:t>
      </w:r>
      <w:r w:rsidRPr="0084218F">
        <w:t>Direitos de Participação Alienados Fiduciariamente</w:t>
      </w:r>
      <w:r w:rsidRPr="0084218F">
        <w:rPr>
          <w:w w:val="0"/>
        </w:rPr>
        <w:t>, na medida em que sejam os referidos atos ou documentos necessários para constituir, aditar, conservar, manter, formalizar, validar ou realizar a cessão fiduciária objeto do Contrato,</w:t>
      </w:r>
      <w:r w:rsidRPr="0084218F">
        <w:t xml:space="preserve"> </w:t>
      </w:r>
      <w:r w:rsidRPr="0084218F">
        <w:rPr>
          <w:w w:val="0"/>
        </w:rPr>
        <w:t>podendo, ainda, exercer todos os direitos e praticar todos os atos previstos no artigo 1.364 e no parágrafo primeiro do artigo 661 do Código Civil; e</w:t>
      </w:r>
    </w:p>
    <w:p w14:paraId="749FF426" w14:textId="77777777" w:rsidR="00201511" w:rsidRPr="0084218F" w:rsidRDefault="00201511" w:rsidP="00CC6A8A">
      <w:pPr>
        <w:pStyle w:val="alpha2"/>
      </w:pPr>
      <w:r w:rsidRPr="0084218F">
        <w:t>representar as Outorgantes perante quaisquer terceiros e quaisquer órgãos e autoridades públicas das esferas federal, estaduais e municipais, bem como a Agência Nacional de Energia Elétrica – ANEEL e quaisquer outras agências reguladoras,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6CADB482" w14:textId="214A9A8A" w:rsidR="00201511" w:rsidRPr="0084218F" w:rsidRDefault="00201511" w:rsidP="00CC6A8A">
      <w:pPr>
        <w:pStyle w:val="Body"/>
      </w:pPr>
      <w:r w:rsidRPr="0084218F">
        <w:t>Os termos utilizados no presente instrumento de mandato iniciados por maiúscula, que não tenham sido aqui definidos, terão o significado respectivamente atribuído a tais termos no Contrato de Alienação Fiduciária e/ou na</w:t>
      </w:r>
      <w:r w:rsidR="004F6662" w:rsidRPr="0084218F">
        <w:t>s</w:t>
      </w:r>
      <w:r w:rsidRPr="0084218F">
        <w:t xml:space="preserve"> Escritura</w:t>
      </w:r>
      <w:r w:rsidR="004F6662" w:rsidRPr="0084218F">
        <w:t>s de Emissão</w:t>
      </w:r>
      <w:r w:rsidRPr="0084218F">
        <w:t>.</w:t>
      </w:r>
    </w:p>
    <w:p w14:paraId="23339629" w14:textId="7492B3FA" w:rsidR="00201511" w:rsidRPr="0084218F" w:rsidRDefault="00201511" w:rsidP="00CC6A8A">
      <w:pPr>
        <w:pStyle w:val="Body"/>
      </w:pPr>
      <w:r w:rsidRPr="0084218F">
        <w:t>Os poderes outorgados pelo presente instrumento são adicionais em relação aos poderes outorgados pelas Outorgantes ao</w:t>
      </w:r>
      <w:r w:rsidR="004F6662" w:rsidRPr="0084218F">
        <w:t>s</w:t>
      </w:r>
      <w:r w:rsidRPr="0084218F">
        <w:t xml:space="preserve"> Outorgado</w:t>
      </w:r>
      <w:r w:rsidR="004F6662" w:rsidRPr="0084218F">
        <w:t>s</w:t>
      </w:r>
      <w:r w:rsidRPr="0084218F">
        <w:t xml:space="preserve"> por meio do Contrato de Alienação Fiduciária ou de quaisquer outros documentos e não cancelam nem revogam referidos poderes.</w:t>
      </w:r>
    </w:p>
    <w:p w14:paraId="6289D1EE" w14:textId="381537DE" w:rsidR="00201511" w:rsidRPr="0084218F" w:rsidRDefault="00201511" w:rsidP="00CC6A8A">
      <w:pPr>
        <w:pStyle w:val="Body"/>
      </w:pPr>
      <w:r w:rsidRPr="0084218F">
        <w:t>O</w:t>
      </w:r>
      <w:r w:rsidR="004F6662" w:rsidRPr="0084218F">
        <w:t>s</w:t>
      </w:r>
      <w:r w:rsidRPr="0084218F">
        <w:t xml:space="preserve"> Outorgado</w:t>
      </w:r>
      <w:r w:rsidR="004F6662" w:rsidRPr="0084218F">
        <w:t>s</w:t>
      </w:r>
      <w:r w:rsidRPr="0084218F">
        <w:t xml:space="preserve"> ora nomeado</w:t>
      </w:r>
      <w:r w:rsidR="004F6662" w:rsidRPr="0084218F">
        <w:t>s</w:t>
      </w:r>
      <w:r w:rsidRPr="0084218F">
        <w:t xml:space="preserve"> pelo presente instrumento poder</w:t>
      </w:r>
      <w:r w:rsidR="004F6662" w:rsidRPr="0084218F">
        <w:t>ão</w:t>
      </w:r>
      <w:r w:rsidRPr="0084218F">
        <w:t xml:space="preserve"> substabelecer os poderes ora outorgados, no todo ou em parte, com reserva de iguais para si.</w:t>
      </w:r>
    </w:p>
    <w:p w14:paraId="3CDDBC9E" w14:textId="5F6DD86E" w:rsidR="00201511" w:rsidRPr="0084218F" w:rsidRDefault="00201511" w:rsidP="00CC6A8A">
      <w:pPr>
        <w:pStyle w:val="Body"/>
      </w:pPr>
      <w:r w:rsidRPr="0084218F">
        <w:t>Esta procuração é irrevogável e irretratável, conforme o disposto no artigo 684 do Código Civil, e permanecerá em vigor pelo que por último ocorrer dentre: o término de um prazo de um ano contado da data de assinatura da presente ou até que as Outorgantes outorguem ao</w:t>
      </w:r>
      <w:r w:rsidR="004F6662" w:rsidRPr="0084218F">
        <w:t>s</w:t>
      </w:r>
      <w:r w:rsidRPr="0084218F">
        <w:t xml:space="preserve"> Outorgado</w:t>
      </w:r>
      <w:r w:rsidR="004F6662" w:rsidRPr="0084218F">
        <w:t>s</w:t>
      </w:r>
      <w:r w:rsidRPr="0084218F">
        <w:t xml:space="preserve"> uma nova procuração para substituí-la, consoante o Contrato de Alienação Fiduciária.</w:t>
      </w:r>
    </w:p>
    <w:p w14:paraId="2199D32A" w14:textId="77777777" w:rsidR="00201511" w:rsidRPr="0084218F" w:rsidRDefault="00201511" w:rsidP="00CC6A8A">
      <w:pPr>
        <w:pStyle w:val="Body"/>
      </w:pPr>
    </w:p>
    <w:p w14:paraId="2546BCF7" w14:textId="77777777" w:rsidR="00201511" w:rsidRPr="009B2F7B" w:rsidRDefault="00201511" w:rsidP="00CC6A8A">
      <w:pPr>
        <w:pStyle w:val="Body"/>
        <w:rPr>
          <w:lang w:val="en-US"/>
        </w:rPr>
      </w:pPr>
      <w:r w:rsidRPr="009B2F7B">
        <w:rPr>
          <w:lang w:val="en-US"/>
        </w:rPr>
        <w:t>[data]</w:t>
      </w:r>
    </w:p>
    <w:p w14:paraId="45518A32" w14:textId="77777777" w:rsidR="004F6662" w:rsidRPr="009B2F7B" w:rsidRDefault="004F6662" w:rsidP="00CC6A8A">
      <w:pPr>
        <w:pStyle w:val="Body"/>
        <w:rPr>
          <w:b/>
          <w:bCs/>
          <w:lang w:val="en-US"/>
        </w:rPr>
      </w:pPr>
    </w:p>
    <w:p w14:paraId="1F30B397" w14:textId="5358C1A9" w:rsidR="00201511" w:rsidRDefault="001C18B1" w:rsidP="00CC6A8A">
      <w:pPr>
        <w:pStyle w:val="Body"/>
        <w:jc w:val="center"/>
        <w:rPr>
          <w:b/>
          <w:lang w:val="en-US"/>
        </w:rPr>
      </w:pPr>
      <w:r w:rsidRPr="009B2F7B">
        <w:rPr>
          <w:b/>
          <w:lang w:val="en-US"/>
        </w:rPr>
        <w:t>LC LINHAS HOLDING LTDA.</w:t>
      </w:r>
    </w:p>
    <w:p w14:paraId="0F0A4930" w14:textId="25854377" w:rsidR="00CC6A8A" w:rsidRDefault="00CC6A8A" w:rsidP="00CC6A8A">
      <w:pPr>
        <w:pStyle w:val="Body"/>
        <w:rPr>
          <w:bCs/>
          <w:lang w:val="en-US"/>
        </w:rPr>
      </w:pPr>
    </w:p>
    <w:p w14:paraId="0479FB22" w14:textId="77777777" w:rsidR="00EA707C" w:rsidRDefault="00EA707C" w:rsidP="00CC6A8A">
      <w:pPr>
        <w:pStyle w:val="Body"/>
        <w:rPr>
          <w:bCs/>
          <w:lang w:val="en-US"/>
        </w:rPr>
      </w:pPr>
    </w:p>
    <w:p w14:paraId="5D1D1E20" w14:textId="2CC1D456" w:rsidR="00C70E5E" w:rsidRPr="0084218F" w:rsidRDefault="00B325A1" w:rsidP="00B325A1">
      <w:pPr>
        <w:pStyle w:val="Body"/>
        <w:jc w:val="left"/>
        <w:rPr>
          <w:rFonts w:cs="Tahoma"/>
          <w:szCs w:val="20"/>
        </w:rPr>
      </w:pPr>
      <w:r>
        <w:rPr>
          <w:bCs/>
        </w:rPr>
        <w:t>_________________________________</w:t>
      </w:r>
      <w:r>
        <w:rPr>
          <w:bCs/>
        </w:rPr>
        <w:tab/>
      </w:r>
      <w:r>
        <w:rPr>
          <w:bCs/>
        </w:rPr>
        <w:tab/>
        <w:t>_________________________________</w:t>
      </w:r>
      <w:r>
        <w:rPr>
          <w:bCs/>
        </w:rPr>
        <w:br/>
        <w:t xml:space="preserve">Nome: </w:t>
      </w:r>
      <w:r w:rsidRPr="0084218F">
        <w:rPr>
          <w:bCs/>
        </w:rPr>
        <w:t>[●]</w:t>
      </w:r>
      <w:r>
        <w:rPr>
          <w:bCs/>
        </w:rPr>
        <w:tab/>
      </w:r>
      <w:r>
        <w:rPr>
          <w:bCs/>
        </w:rPr>
        <w:tab/>
      </w:r>
      <w:r>
        <w:rPr>
          <w:bCs/>
        </w:rPr>
        <w:tab/>
      </w:r>
      <w:r>
        <w:rPr>
          <w:bCs/>
        </w:rPr>
        <w:tab/>
      </w:r>
      <w:r>
        <w:rPr>
          <w:bCs/>
        </w:rPr>
        <w:tab/>
      </w:r>
      <w:r>
        <w:rPr>
          <w:bCs/>
        </w:rPr>
        <w:tab/>
        <w:t xml:space="preserve">Nome: </w:t>
      </w:r>
      <w:r w:rsidRPr="0084218F">
        <w:rPr>
          <w:bCs/>
        </w:rPr>
        <w:t>[●]</w:t>
      </w:r>
      <w:r>
        <w:rPr>
          <w:bCs/>
        </w:rPr>
        <w:br/>
        <w:t xml:space="preserve">Cargo: </w:t>
      </w:r>
      <w:r w:rsidRPr="0084218F">
        <w:rPr>
          <w:bCs/>
        </w:rPr>
        <w:t>[●]</w:t>
      </w:r>
      <w:r>
        <w:rPr>
          <w:bCs/>
        </w:rPr>
        <w:tab/>
      </w:r>
      <w:r>
        <w:rPr>
          <w:bCs/>
        </w:rPr>
        <w:tab/>
      </w:r>
      <w:r>
        <w:rPr>
          <w:bCs/>
        </w:rPr>
        <w:tab/>
      </w:r>
      <w:r>
        <w:rPr>
          <w:bCs/>
        </w:rPr>
        <w:tab/>
      </w:r>
      <w:r>
        <w:rPr>
          <w:bCs/>
        </w:rPr>
        <w:tab/>
      </w:r>
      <w:r>
        <w:rPr>
          <w:bCs/>
        </w:rPr>
        <w:tab/>
        <w:t xml:space="preserve">Cargo: </w:t>
      </w:r>
      <w:r w:rsidRPr="0084218F">
        <w:rPr>
          <w:bCs/>
        </w:rPr>
        <w:t>[●]</w:t>
      </w:r>
      <w:bookmarkEnd w:id="19"/>
    </w:p>
    <w:sectPr w:rsidR="00C70E5E" w:rsidRPr="0084218F" w:rsidSect="001E3A90">
      <w:headerReference w:type="default" r:id="rId12"/>
      <w:footerReference w:type="default" r:id="rId13"/>
      <w:headerReference w:type="first" r:id="rId14"/>
      <w:pgSz w:w="11906" w:h="16838" w:code="9"/>
      <w:pgMar w:top="1985"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16859" w14:textId="77777777" w:rsidR="00F86492" w:rsidRDefault="00F86492">
      <w:r>
        <w:separator/>
      </w:r>
    </w:p>
    <w:p w14:paraId="49BD0C8D" w14:textId="77777777" w:rsidR="00F86492" w:rsidRDefault="00F86492"/>
  </w:endnote>
  <w:endnote w:type="continuationSeparator" w:id="0">
    <w:p w14:paraId="6E13458D" w14:textId="77777777" w:rsidR="00F86492" w:rsidRDefault="00F86492">
      <w:r>
        <w:continuationSeparator/>
      </w:r>
    </w:p>
    <w:p w14:paraId="746015A6" w14:textId="77777777" w:rsidR="00F86492" w:rsidRDefault="00F86492"/>
  </w:endnote>
  <w:endnote w:type="continuationNotice" w:id="1">
    <w:p w14:paraId="114DA764" w14:textId="77777777" w:rsidR="00F86492" w:rsidRDefault="00F86492"/>
    <w:p w14:paraId="6B1B5BA0" w14:textId="77777777" w:rsidR="00F86492" w:rsidRDefault="00F864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25158362"/>
      <w:docPartObj>
        <w:docPartGallery w:val="Page Numbers (Bottom of Page)"/>
        <w:docPartUnique/>
      </w:docPartObj>
    </w:sdtPr>
    <w:sdtEndPr/>
    <w:sdtContent>
      <w:p w14:paraId="4EB3B922" w14:textId="1AC944E6" w:rsidR="001618FE" w:rsidRPr="00687F68" w:rsidRDefault="001618FE">
        <w:pPr>
          <w:pStyle w:val="Rodap"/>
          <w:jc w:val="center"/>
          <w:rPr>
            <w:sz w:val="20"/>
            <w:szCs w:val="20"/>
          </w:rPr>
        </w:pPr>
        <w:r w:rsidRPr="00687F68">
          <w:rPr>
            <w:sz w:val="20"/>
            <w:szCs w:val="20"/>
          </w:rPr>
          <w:fldChar w:fldCharType="begin"/>
        </w:r>
        <w:r w:rsidRPr="00687F68">
          <w:rPr>
            <w:sz w:val="20"/>
            <w:szCs w:val="20"/>
          </w:rPr>
          <w:instrText>PAGE   \* MERGEFORMAT</w:instrText>
        </w:r>
        <w:r w:rsidRPr="00687F68">
          <w:rPr>
            <w:sz w:val="20"/>
            <w:szCs w:val="20"/>
          </w:rPr>
          <w:fldChar w:fldCharType="separate"/>
        </w:r>
        <w:r w:rsidRPr="00687F68">
          <w:rPr>
            <w:sz w:val="20"/>
            <w:szCs w:val="20"/>
          </w:rPr>
          <w:t>2</w:t>
        </w:r>
        <w:r w:rsidRPr="00687F68">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0E69D" w14:textId="77777777" w:rsidR="00F86492" w:rsidRDefault="00F86492">
      <w:r>
        <w:separator/>
      </w:r>
    </w:p>
    <w:p w14:paraId="00AC067B" w14:textId="77777777" w:rsidR="00F86492" w:rsidRDefault="00F86492"/>
  </w:footnote>
  <w:footnote w:type="continuationSeparator" w:id="0">
    <w:p w14:paraId="15F8860E" w14:textId="77777777" w:rsidR="00F86492" w:rsidRDefault="00F86492">
      <w:r>
        <w:continuationSeparator/>
      </w:r>
    </w:p>
    <w:p w14:paraId="7A3B7517" w14:textId="77777777" w:rsidR="00F86492" w:rsidRDefault="00F86492"/>
  </w:footnote>
  <w:footnote w:type="continuationNotice" w:id="1">
    <w:p w14:paraId="075FE5FF" w14:textId="77777777" w:rsidR="00F86492" w:rsidRDefault="00F86492"/>
    <w:p w14:paraId="0507217C" w14:textId="77777777" w:rsidR="00F86492" w:rsidRDefault="00F864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D3BD" w14:textId="0E43C7BB" w:rsidR="001618FE" w:rsidRPr="00F9151A" w:rsidRDefault="001618FE" w:rsidP="00F9151A">
    <w:pPr>
      <w:pStyle w:val="Cabealho"/>
      <w:jc w:val="right"/>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D8FD" w14:textId="07FE9750" w:rsidR="008609BB" w:rsidRPr="001E4688" w:rsidRDefault="008609BB" w:rsidP="006B12DA">
    <w:pPr>
      <w:pStyle w:val="Cabealho"/>
      <w:spacing w:after="0"/>
      <w:jc w:val="right"/>
      <w:rPr>
        <w:i/>
        <w:iCs/>
      </w:rPr>
    </w:pPr>
  </w:p>
  <w:p w14:paraId="7F64F261" w14:textId="77777777" w:rsidR="00355B9E" w:rsidRDefault="00355B9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BEB5E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8"/>
    <w:multiLevelType w:val="multilevel"/>
    <w:tmpl w:val="2F24D25E"/>
    <w:lvl w:ilvl="0">
      <w:start w:val="1"/>
      <w:numFmt w:val="decimal"/>
      <w:pStyle w:val="TITLE-Pledge"/>
      <w:lvlText w:val="%1."/>
      <w:lvlJc w:val="left"/>
      <w:pPr>
        <w:ind w:left="360" w:hanging="360"/>
      </w:pPr>
      <w:rPr>
        <w:b/>
      </w:rPr>
    </w:lvl>
    <w:lvl w:ilvl="1">
      <w:start w:val="1"/>
      <w:numFmt w:val="decimal"/>
      <w:pStyle w:val="CLAUSE-Pledge"/>
      <w:lvlText w:val="%1.%2."/>
      <w:lvlJc w:val="left"/>
      <w:pPr>
        <w:ind w:left="432" w:hanging="432"/>
      </w:pPr>
      <w:rPr>
        <w:b/>
      </w:rPr>
    </w:lvl>
    <w:lvl w:ilvl="2">
      <w:start w:val="1"/>
      <w:numFmt w:val="decimal"/>
      <w:pStyle w:val="SUBCLAUSE-Pledge"/>
      <w:lvlText w:val="%1.%2.%3."/>
      <w:lvlJc w:val="left"/>
      <w:pPr>
        <w:ind w:left="1224" w:hanging="504"/>
      </w:pPr>
      <w:rPr>
        <w:b/>
      </w:rPr>
    </w:lvl>
    <w:lvl w:ilvl="3">
      <w:start w:val="1"/>
      <w:numFmt w:val="lowerRoman"/>
      <w:lvlText w:val="%4."/>
      <w:lvlJc w:val="right"/>
      <w:pPr>
        <w:ind w:left="1440" w:hanging="360"/>
      </w:pPr>
    </w:lvl>
    <w:lvl w:ilvl="4">
      <w:start w:val="1"/>
      <w:numFmt w:val="lowerLetter"/>
      <w:lvlText w:val="(%5)"/>
      <w:lvlJc w:val="left"/>
      <w:pPr>
        <w:ind w:left="2232" w:hanging="792"/>
      </w:pPr>
      <w:rPr>
        <w:rFonts w:ascii="Georgia" w:eastAsia="Times New Roman" w:hAnsi="Georgia" w:cs="Georgia"/>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3" w15:restartNumberingAfterBreak="0">
    <w:nsid w:val="0000001D"/>
    <w:multiLevelType w:val="multilevel"/>
    <w:tmpl w:val="6F00DDDE"/>
    <w:lvl w:ilvl="0">
      <w:start w:val="1"/>
      <w:numFmt w:val="decimal"/>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4"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5"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C7179B3"/>
    <w:multiLevelType w:val="hybridMultilevel"/>
    <w:tmpl w:val="4BE61F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109B45F1"/>
    <w:multiLevelType w:val="multilevel"/>
    <w:tmpl w:val="B6F45082"/>
    <w:lvl w:ilvl="0">
      <w:start w:val="1"/>
      <w:numFmt w:val="decimal"/>
      <w:pStyle w:val="DDTtulo1"/>
      <w:lvlText w:val="Section %1."/>
      <w:lvlJc w:val="left"/>
      <w:pPr>
        <w:ind w:left="360" w:hanging="360"/>
      </w:pPr>
      <w:rPr>
        <w:rFonts w:hint="default"/>
      </w:rPr>
    </w:lvl>
    <w:lvl w:ilvl="1">
      <w:start w:val="1"/>
      <w:numFmt w:val="decimal"/>
      <w:pStyle w:val="DDTtulo2"/>
      <w:lvlText w:val="%1.%2."/>
      <w:lvlJc w:val="left"/>
      <w:pPr>
        <w:ind w:left="1000"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lang w:val="en-GB"/>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DTtulo3"/>
      <w:lvlText w:val="%1.%2.%3."/>
      <w:lvlJc w:val="left"/>
      <w:pPr>
        <w:ind w:left="1638" w:hanging="504"/>
      </w:pPr>
      <w:rPr>
        <w:b w:val="0"/>
        <w:lang w:val="en-US"/>
      </w:rPr>
    </w:lvl>
    <w:lvl w:ilvl="3">
      <w:start w:val="1"/>
      <w:numFmt w:val="decimal"/>
      <w:pStyle w:val="DD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11917E5"/>
    <w:multiLevelType w:val="hybridMultilevel"/>
    <w:tmpl w:val="78503118"/>
    <w:name w:val="Scheme 12(a) UK10"/>
    <w:lvl w:ilvl="0" w:tplc="7CF2CEA4">
      <w:start w:val="1"/>
      <w:numFmt w:val="lowerLetter"/>
      <w:lvlText w:val="(%1)"/>
      <w:lvlJc w:val="left"/>
      <w:pPr>
        <w:ind w:left="720" w:hanging="360"/>
      </w:pPr>
      <w:rPr>
        <w:rFonts w:hint="default"/>
      </w:rPr>
    </w:lvl>
    <w:lvl w:ilvl="1" w:tplc="EB14E600" w:tentative="1">
      <w:start w:val="1"/>
      <w:numFmt w:val="lowerLetter"/>
      <w:lvlText w:val="%2."/>
      <w:lvlJc w:val="left"/>
      <w:pPr>
        <w:ind w:left="1440" w:hanging="360"/>
      </w:pPr>
    </w:lvl>
    <w:lvl w:ilvl="2" w:tplc="4FC4ABBE" w:tentative="1">
      <w:start w:val="1"/>
      <w:numFmt w:val="lowerRoman"/>
      <w:lvlText w:val="%3."/>
      <w:lvlJc w:val="right"/>
      <w:pPr>
        <w:ind w:left="2160" w:hanging="180"/>
      </w:pPr>
    </w:lvl>
    <w:lvl w:ilvl="3" w:tplc="1B747320" w:tentative="1">
      <w:start w:val="1"/>
      <w:numFmt w:val="decimal"/>
      <w:lvlText w:val="%4."/>
      <w:lvlJc w:val="left"/>
      <w:pPr>
        <w:ind w:left="2880" w:hanging="360"/>
      </w:pPr>
    </w:lvl>
    <w:lvl w:ilvl="4" w:tplc="078CDF4E" w:tentative="1">
      <w:start w:val="1"/>
      <w:numFmt w:val="lowerLetter"/>
      <w:lvlText w:val="%5."/>
      <w:lvlJc w:val="left"/>
      <w:pPr>
        <w:ind w:left="3600" w:hanging="360"/>
      </w:pPr>
    </w:lvl>
    <w:lvl w:ilvl="5" w:tplc="469AD3FC" w:tentative="1">
      <w:start w:val="1"/>
      <w:numFmt w:val="lowerRoman"/>
      <w:lvlText w:val="%6."/>
      <w:lvlJc w:val="right"/>
      <w:pPr>
        <w:ind w:left="4320" w:hanging="180"/>
      </w:pPr>
    </w:lvl>
    <w:lvl w:ilvl="6" w:tplc="09623230" w:tentative="1">
      <w:start w:val="1"/>
      <w:numFmt w:val="decimal"/>
      <w:lvlText w:val="%7."/>
      <w:lvlJc w:val="left"/>
      <w:pPr>
        <w:ind w:left="5040" w:hanging="360"/>
      </w:pPr>
    </w:lvl>
    <w:lvl w:ilvl="7" w:tplc="AE6611FE" w:tentative="1">
      <w:start w:val="1"/>
      <w:numFmt w:val="lowerLetter"/>
      <w:lvlText w:val="%8."/>
      <w:lvlJc w:val="left"/>
      <w:pPr>
        <w:ind w:left="5760" w:hanging="360"/>
      </w:pPr>
    </w:lvl>
    <w:lvl w:ilvl="8" w:tplc="78F4AA4E" w:tentative="1">
      <w:start w:val="1"/>
      <w:numFmt w:val="lowerRoman"/>
      <w:lvlText w:val="%9."/>
      <w:lvlJc w:val="right"/>
      <w:pPr>
        <w:ind w:left="6480" w:hanging="180"/>
      </w:p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2673F3C"/>
    <w:multiLevelType w:val="multilevel"/>
    <w:tmpl w:val="E2E06F28"/>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iCs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5"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15A93729"/>
    <w:multiLevelType w:val="hybridMultilevel"/>
    <w:tmpl w:val="9498087A"/>
    <w:lvl w:ilvl="0" w:tplc="6D20C880">
      <w:start w:val="1"/>
      <w:numFmt w:val="upperRoman"/>
      <w:pStyle w:val="ExhibitMMSecurity"/>
      <w:lvlText w:val="Exhibit %1 - "/>
      <w:lvlJc w:val="left"/>
      <w:pPr>
        <w:ind w:left="720" w:hanging="360"/>
      </w:pPr>
      <w:rPr>
        <w:rFonts w:ascii="Verdana" w:hAnsi="Verdana" w:hint="default"/>
        <w:b/>
        <w:i w:val="0"/>
        <w:caps/>
        <w:strike w:val="0"/>
        <w:dstrike w:val="0"/>
        <w:vanish w:val="0"/>
        <w:sz w:val="20"/>
        <w:u w:val="singl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9"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C0115E3"/>
    <w:multiLevelType w:val="multilevel"/>
    <w:tmpl w:val="18F263FA"/>
    <w:name w:val="List"/>
    <w:lvl w:ilvl="0">
      <w:start w:val="1"/>
      <w:numFmt w:val="decimal"/>
      <w:pStyle w:val="ListArabic1"/>
      <w:lvlText w:val="(%1)"/>
      <w:lvlJc w:val="left"/>
      <w:pPr>
        <w:tabs>
          <w:tab w:val="num" w:pos="624"/>
        </w:tabs>
        <w:ind w:left="624" w:hanging="624"/>
      </w:pPr>
      <w:rPr>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1EF42800"/>
    <w:multiLevelType w:val="hybridMultilevel"/>
    <w:tmpl w:val="9AB81756"/>
    <w:lvl w:ilvl="0" w:tplc="0CC2ED50">
      <w:start w:val="1"/>
      <w:numFmt w:val="bullet"/>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EFA26CC"/>
    <w:multiLevelType w:val="hybridMultilevel"/>
    <w:tmpl w:val="2946D6D8"/>
    <w:lvl w:ilvl="0" w:tplc="714E3EC4">
      <w:start w:val="1"/>
      <w:numFmt w:val="upperRoman"/>
      <w:pStyle w:val="FWParties"/>
      <w:lvlText w:val="%1."/>
      <w:lvlJc w:val="left"/>
      <w:pPr>
        <w:tabs>
          <w:tab w:val="num" w:pos="720"/>
        </w:tabs>
        <w:ind w:left="720" w:hanging="720"/>
      </w:pPr>
      <w:rPr>
        <w:rFonts w:ascii="Times New Roman" w:eastAsia="Times New Roman" w:hAnsi="Times New Roman" w:cs="Times New Roman"/>
        <w:b/>
      </w:rPr>
    </w:lvl>
    <w:lvl w:ilvl="1" w:tplc="FB601580">
      <w:start w:val="1"/>
      <w:numFmt w:val="lowerLetter"/>
      <w:lvlText w:val="%2."/>
      <w:lvlJc w:val="left"/>
      <w:pPr>
        <w:tabs>
          <w:tab w:val="num" w:pos="1440"/>
        </w:tabs>
        <w:ind w:left="1440" w:hanging="360"/>
      </w:pPr>
    </w:lvl>
    <w:lvl w:ilvl="2" w:tplc="4FF6DFAC">
      <w:start w:val="1"/>
      <w:numFmt w:val="lowerLetter"/>
      <w:lvlText w:val="(%3)"/>
      <w:lvlJc w:val="left"/>
      <w:pPr>
        <w:ind w:left="2700" w:hanging="720"/>
      </w:pPr>
      <w:rPr>
        <w:rFonts w:cs="Times New Roman" w:hint="default"/>
        <w:b w:val="0"/>
      </w:rPr>
    </w:lvl>
    <w:lvl w:ilvl="3" w:tplc="B97448B4">
      <w:start w:val="1"/>
      <w:numFmt w:val="decimal"/>
      <w:lvlText w:val="%4."/>
      <w:lvlJc w:val="left"/>
      <w:pPr>
        <w:tabs>
          <w:tab w:val="num" w:pos="2880"/>
        </w:tabs>
        <w:ind w:left="2880" w:hanging="360"/>
      </w:pPr>
    </w:lvl>
    <w:lvl w:ilvl="4" w:tplc="89867FA8" w:tentative="1">
      <w:start w:val="1"/>
      <w:numFmt w:val="lowerLetter"/>
      <w:lvlText w:val="%5."/>
      <w:lvlJc w:val="left"/>
      <w:pPr>
        <w:tabs>
          <w:tab w:val="num" w:pos="3600"/>
        </w:tabs>
        <w:ind w:left="3600" w:hanging="360"/>
      </w:pPr>
    </w:lvl>
    <w:lvl w:ilvl="5" w:tplc="C532BD6A" w:tentative="1">
      <w:start w:val="1"/>
      <w:numFmt w:val="lowerRoman"/>
      <w:lvlText w:val="%6."/>
      <w:lvlJc w:val="right"/>
      <w:pPr>
        <w:tabs>
          <w:tab w:val="num" w:pos="4320"/>
        </w:tabs>
        <w:ind w:left="4320" w:hanging="180"/>
      </w:pPr>
    </w:lvl>
    <w:lvl w:ilvl="6" w:tplc="2EFE1E88" w:tentative="1">
      <w:start w:val="1"/>
      <w:numFmt w:val="decimal"/>
      <w:lvlText w:val="%7."/>
      <w:lvlJc w:val="left"/>
      <w:pPr>
        <w:tabs>
          <w:tab w:val="num" w:pos="5040"/>
        </w:tabs>
        <w:ind w:left="5040" w:hanging="360"/>
      </w:pPr>
    </w:lvl>
    <w:lvl w:ilvl="7" w:tplc="B1FA6D74" w:tentative="1">
      <w:start w:val="1"/>
      <w:numFmt w:val="lowerLetter"/>
      <w:lvlText w:val="%8."/>
      <w:lvlJc w:val="left"/>
      <w:pPr>
        <w:tabs>
          <w:tab w:val="num" w:pos="5760"/>
        </w:tabs>
        <w:ind w:left="5760" w:hanging="360"/>
      </w:pPr>
    </w:lvl>
    <w:lvl w:ilvl="8" w:tplc="56043ECA" w:tentative="1">
      <w:start w:val="1"/>
      <w:numFmt w:val="lowerRoman"/>
      <w:lvlText w:val="%9."/>
      <w:lvlJc w:val="right"/>
      <w:pPr>
        <w:tabs>
          <w:tab w:val="num" w:pos="6480"/>
        </w:tabs>
        <w:ind w:left="6480" w:hanging="180"/>
      </w:pPr>
    </w:lvl>
  </w:abstractNum>
  <w:abstractNum w:abstractNumId="26"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2F708B8"/>
    <w:multiLevelType w:val="hybridMultilevel"/>
    <w:tmpl w:val="CB923184"/>
    <w:lvl w:ilvl="0" w:tplc="A8EE4C58">
      <w:start w:val="1"/>
      <w:numFmt w:val="upperRoman"/>
      <w:pStyle w:val="UCRoman1"/>
      <w:lvlText w:val="%1."/>
      <w:lvlJc w:val="left"/>
      <w:pPr>
        <w:tabs>
          <w:tab w:val="num" w:pos="567"/>
        </w:tabs>
        <w:ind w:left="0" w:firstLine="0"/>
      </w:pPr>
      <w:rPr>
        <w:rFonts w:ascii="Tahoma" w:hAnsi="Tahoma" w:hint="default"/>
        <w:b/>
        <w:i w:val="0"/>
        <w:sz w:val="20"/>
      </w:rPr>
    </w:lvl>
    <w:lvl w:ilvl="1" w:tplc="268AC5D0" w:tentative="1">
      <w:start w:val="1"/>
      <w:numFmt w:val="lowerLetter"/>
      <w:lvlText w:val="%2."/>
      <w:lvlJc w:val="left"/>
      <w:pPr>
        <w:tabs>
          <w:tab w:val="num" w:pos="1440"/>
        </w:tabs>
        <w:ind w:left="1440" w:hanging="360"/>
      </w:pPr>
    </w:lvl>
    <w:lvl w:ilvl="2" w:tplc="50BCAE08" w:tentative="1">
      <w:start w:val="1"/>
      <w:numFmt w:val="lowerRoman"/>
      <w:lvlText w:val="%3."/>
      <w:lvlJc w:val="right"/>
      <w:pPr>
        <w:tabs>
          <w:tab w:val="num" w:pos="2160"/>
        </w:tabs>
        <w:ind w:left="2160" w:hanging="180"/>
      </w:pPr>
    </w:lvl>
    <w:lvl w:ilvl="3" w:tplc="03A4F028" w:tentative="1">
      <w:start w:val="1"/>
      <w:numFmt w:val="decimal"/>
      <w:lvlText w:val="%4."/>
      <w:lvlJc w:val="left"/>
      <w:pPr>
        <w:tabs>
          <w:tab w:val="num" w:pos="2880"/>
        </w:tabs>
        <w:ind w:left="2880" w:hanging="360"/>
      </w:pPr>
    </w:lvl>
    <w:lvl w:ilvl="4" w:tplc="C2248376" w:tentative="1">
      <w:start w:val="1"/>
      <w:numFmt w:val="lowerLetter"/>
      <w:lvlText w:val="%5."/>
      <w:lvlJc w:val="left"/>
      <w:pPr>
        <w:tabs>
          <w:tab w:val="num" w:pos="3600"/>
        </w:tabs>
        <w:ind w:left="3600" w:hanging="360"/>
      </w:pPr>
    </w:lvl>
    <w:lvl w:ilvl="5" w:tplc="CB4819B0" w:tentative="1">
      <w:start w:val="1"/>
      <w:numFmt w:val="lowerRoman"/>
      <w:lvlText w:val="%6."/>
      <w:lvlJc w:val="right"/>
      <w:pPr>
        <w:tabs>
          <w:tab w:val="num" w:pos="4320"/>
        </w:tabs>
        <w:ind w:left="4320" w:hanging="180"/>
      </w:pPr>
    </w:lvl>
    <w:lvl w:ilvl="6" w:tplc="C9A6A3D6" w:tentative="1">
      <w:start w:val="1"/>
      <w:numFmt w:val="decimal"/>
      <w:lvlText w:val="%7."/>
      <w:lvlJc w:val="left"/>
      <w:pPr>
        <w:tabs>
          <w:tab w:val="num" w:pos="5040"/>
        </w:tabs>
        <w:ind w:left="5040" w:hanging="360"/>
      </w:pPr>
    </w:lvl>
    <w:lvl w:ilvl="7" w:tplc="C930B05E" w:tentative="1">
      <w:start w:val="1"/>
      <w:numFmt w:val="lowerLetter"/>
      <w:lvlText w:val="%8."/>
      <w:lvlJc w:val="left"/>
      <w:pPr>
        <w:tabs>
          <w:tab w:val="num" w:pos="5760"/>
        </w:tabs>
        <w:ind w:left="5760" w:hanging="360"/>
      </w:pPr>
    </w:lvl>
    <w:lvl w:ilvl="8" w:tplc="93BE7A1A" w:tentative="1">
      <w:start w:val="1"/>
      <w:numFmt w:val="lowerRoman"/>
      <w:lvlText w:val="%9."/>
      <w:lvlJc w:val="right"/>
      <w:pPr>
        <w:tabs>
          <w:tab w:val="num" w:pos="6480"/>
        </w:tabs>
        <w:ind w:left="6480" w:hanging="180"/>
      </w:pPr>
    </w:lvl>
  </w:abstractNum>
  <w:abstractNum w:abstractNumId="28"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0"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1AB2F87"/>
    <w:multiLevelType w:val="hybridMultilevel"/>
    <w:tmpl w:val="206AC25E"/>
    <w:name w:val="Corporate1"/>
    <w:lvl w:ilvl="0" w:tplc="D258FC44">
      <w:start w:val="1"/>
      <w:numFmt w:val="lowerRoman"/>
      <w:lvlText w:val="(%1)"/>
      <w:lvlJc w:val="left"/>
      <w:pPr>
        <w:ind w:left="1080" w:hanging="720"/>
      </w:pPr>
      <w:rPr>
        <w:rFonts w:cs="Times New Roman" w:hint="default"/>
      </w:rPr>
    </w:lvl>
    <w:lvl w:ilvl="1" w:tplc="54B8A562" w:tentative="1">
      <w:start w:val="1"/>
      <w:numFmt w:val="lowerLetter"/>
      <w:lvlText w:val="%2."/>
      <w:lvlJc w:val="left"/>
      <w:pPr>
        <w:ind w:left="1440" w:hanging="360"/>
      </w:pPr>
      <w:rPr>
        <w:rFonts w:cs="Times New Roman"/>
      </w:rPr>
    </w:lvl>
    <w:lvl w:ilvl="2" w:tplc="34A272D0" w:tentative="1">
      <w:start w:val="1"/>
      <w:numFmt w:val="lowerRoman"/>
      <w:lvlText w:val="%3."/>
      <w:lvlJc w:val="right"/>
      <w:pPr>
        <w:ind w:left="2160" w:hanging="180"/>
      </w:pPr>
      <w:rPr>
        <w:rFonts w:cs="Times New Roman"/>
      </w:rPr>
    </w:lvl>
    <w:lvl w:ilvl="3" w:tplc="274AABDE" w:tentative="1">
      <w:start w:val="1"/>
      <w:numFmt w:val="decimal"/>
      <w:lvlText w:val="%4."/>
      <w:lvlJc w:val="left"/>
      <w:pPr>
        <w:ind w:left="2880" w:hanging="360"/>
      </w:pPr>
      <w:rPr>
        <w:rFonts w:cs="Times New Roman"/>
      </w:rPr>
    </w:lvl>
    <w:lvl w:ilvl="4" w:tplc="0122CE26" w:tentative="1">
      <w:start w:val="1"/>
      <w:numFmt w:val="lowerLetter"/>
      <w:lvlText w:val="%5."/>
      <w:lvlJc w:val="left"/>
      <w:pPr>
        <w:ind w:left="3600" w:hanging="360"/>
      </w:pPr>
      <w:rPr>
        <w:rFonts w:cs="Times New Roman"/>
      </w:rPr>
    </w:lvl>
    <w:lvl w:ilvl="5" w:tplc="FFFAAE60" w:tentative="1">
      <w:start w:val="1"/>
      <w:numFmt w:val="lowerRoman"/>
      <w:lvlText w:val="%6."/>
      <w:lvlJc w:val="right"/>
      <w:pPr>
        <w:ind w:left="4320" w:hanging="180"/>
      </w:pPr>
      <w:rPr>
        <w:rFonts w:cs="Times New Roman"/>
      </w:rPr>
    </w:lvl>
    <w:lvl w:ilvl="6" w:tplc="4EBE1E76" w:tentative="1">
      <w:start w:val="1"/>
      <w:numFmt w:val="decimal"/>
      <w:lvlText w:val="%7."/>
      <w:lvlJc w:val="left"/>
      <w:pPr>
        <w:ind w:left="5040" w:hanging="360"/>
      </w:pPr>
      <w:rPr>
        <w:rFonts w:cs="Times New Roman"/>
      </w:rPr>
    </w:lvl>
    <w:lvl w:ilvl="7" w:tplc="208ACA0C" w:tentative="1">
      <w:start w:val="1"/>
      <w:numFmt w:val="lowerLetter"/>
      <w:lvlText w:val="%8."/>
      <w:lvlJc w:val="left"/>
      <w:pPr>
        <w:ind w:left="5760" w:hanging="360"/>
      </w:pPr>
      <w:rPr>
        <w:rFonts w:cs="Times New Roman"/>
      </w:rPr>
    </w:lvl>
    <w:lvl w:ilvl="8" w:tplc="AE8A59B2" w:tentative="1">
      <w:start w:val="1"/>
      <w:numFmt w:val="lowerRoman"/>
      <w:lvlText w:val="%9."/>
      <w:lvlJc w:val="right"/>
      <w:pPr>
        <w:ind w:left="6480" w:hanging="180"/>
      </w:pPr>
      <w:rPr>
        <w:rFonts w:cs="Times New Roman"/>
      </w:rPr>
    </w:lvl>
  </w:abstractNum>
  <w:abstractNum w:abstractNumId="32"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4"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6"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3C891955"/>
    <w:multiLevelType w:val="hybridMultilevel"/>
    <w:tmpl w:val="A9A2259A"/>
    <w:lvl w:ilvl="0" w:tplc="35D6D5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E3F4077"/>
    <w:multiLevelType w:val="hybridMultilevel"/>
    <w:tmpl w:val="0608CCEA"/>
    <w:lvl w:ilvl="0" w:tplc="16004FD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1924EFA"/>
    <w:multiLevelType w:val="hybridMultilevel"/>
    <w:tmpl w:val="40B619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26A231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3"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4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E4B4E3E"/>
    <w:multiLevelType w:val="multilevel"/>
    <w:tmpl w:val="B57AC18C"/>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b w:val="0"/>
        <w:i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0"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5C94775"/>
    <w:multiLevelType w:val="hybridMultilevel"/>
    <w:tmpl w:val="52D2BF72"/>
    <w:lvl w:ilvl="0" w:tplc="EDAA3D12">
      <w:start w:val="1"/>
      <w:numFmt w:val="decimal"/>
      <w:pStyle w:val="ListaPrembulo"/>
      <w:lvlText w:val="%1)"/>
      <w:lvlJc w:val="left"/>
      <w:pPr>
        <w:ind w:left="757"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53"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67761D5"/>
    <w:multiLevelType w:val="hybridMultilevel"/>
    <w:tmpl w:val="D426677E"/>
    <w:lvl w:ilvl="0" w:tplc="DBD04E0A">
      <w:start w:val="1"/>
      <w:numFmt w:val="upperRoman"/>
      <w:pStyle w:val="para"/>
      <w:lvlText w:val="%1."/>
      <w:lvlJc w:val="left"/>
      <w:pPr>
        <w:ind w:left="720" w:hanging="360"/>
      </w:pPr>
      <w:rPr>
        <w:rFont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56"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57" w15:restartNumberingAfterBreak="0">
    <w:nsid w:val="57400170"/>
    <w:multiLevelType w:val="multilevel"/>
    <w:tmpl w:val="019AD48A"/>
    <w:lvl w:ilvl="0">
      <w:start w:val="2"/>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8" w15:restartNumberingAfterBreak="0">
    <w:nsid w:val="596F394A"/>
    <w:multiLevelType w:val="multilevel"/>
    <w:tmpl w:val="314EC7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AOAltHead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5AF5305C"/>
    <w:multiLevelType w:val="multilevel"/>
    <w:tmpl w:val="F1B2F25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MMSecurity"/>
      <w:isLgl/>
      <w:lvlText w:val="%1.%2."/>
      <w:lvlJc w:val="left"/>
      <w:pPr>
        <w:ind w:left="3403" w:firstLine="0"/>
      </w:pPr>
      <w:rPr>
        <w:rFonts w:ascii="Verdana" w:hAnsi="Verdana" w:hint="default"/>
        <w:b/>
        <w:i w:val="0"/>
        <w:sz w:val="20"/>
      </w:rPr>
    </w:lvl>
    <w:lvl w:ilvl="2">
      <w:start w:val="1"/>
      <w:numFmt w:val="decimal"/>
      <w:pStyle w:val="3MMSecurity"/>
      <w:isLgl/>
      <w:lvlText w:val="%1.%2.%3."/>
      <w:lvlJc w:val="left"/>
      <w:pPr>
        <w:ind w:left="709" w:hanging="709"/>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701"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1"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BF10661"/>
    <w:multiLevelType w:val="hybridMultilevel"/>
    <w:tmpl w:val="532663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FCB4379"/>
    <w:multiLevelType w:val="multilevel"/>
    <w:tmpl w:val="CC80E6F6"/>
    <w:lvl w:ilvl="0">
      <w:start w:val="1"/>
      <w:numFmt w:val="upperLetter"/>
      <w:pStyle w:val="Recitals"/>
      <w:lvlText w:val="(%1)"/>
      <w:lvlJc w:val="left"/>
      <w:pPr>
        <w:tabs>
          <w:tab w:val="num" w:pos="567"/>
        </w:tabs>
        <w:ind w:left="0" w:firstLine="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67"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9" w15:restartNumberingAfterBreak="0">
    <w:nsid w:val="638F37F3"/>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70"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7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73" w15:restartNumberingAfterBreak="0">
    <w:nsid w:val="67207E2C"/>
    <w:multiLevelType w:val="multilevel"/>
    <w:tmpl w:val="4A1A1616"/>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4" w15:restartNumberingAfterBreak="0">
    <w:nsid w:val="68FB33FD"/>
    <w:multiLevelType w:val="hybridMultilevel"/>
    <w:tmpl w:val="8EA840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6B1D1232"/>
    <w:multiLevelType w:val="multilevel"/>
    <w:tmpl w:val="1D7EBB2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1"/>
        <w:szCs w:val="21"/>
        <w:vertAlign w:val="baseline"/>
      </w:rPr>
    </w:lvl>
    <w:lvl w:ilvl="3">
      <w:start w:val="1"/>
      <w:numFmt w:val="lowerRoman"/>
      <w:lvlText w:val="(%4)"/>
      <w:lvlJc w:val="left"/>
      <w:pPr>
        <w:tabs>
          <w:tab w:val="num" w:pos="1956"/>
        </w:tabs>
        <w:ind w:left="1956" w:hanging="680"/>
      </w:pPr>
      <w:rPr>
        <w:rFonts w:ascii="Tahoma" w:hAnsi="Tahoma" w:cs="Times New Roman" w:hint="default"/>
        <w:b w:val="0"/>
        <w:i w:val="0"/>
        <w:sz w:val="22"/>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rPr>
        <w:rFonts w:cs="Times New Roman" w:hint="default"/>
      </w:rPr>
    </w:lvl>
    <w:lvl w:ilvl="7">
      <w:start w:val="1"/>
      <w:numFmt w:val="none"/>
      <w:lvlText w:val=""/>
      <w:lvlJc w:val="left"/>
      <w:pPr>
        <w:tabs>
          <w:tab w:val="num" w:pos="3288"/>
        </w:tabs>
        <w:ind w:left="3288" w:hanging="680"/>
      </w:pPr>
      <w:rPr>
        <w:rFonts w:cs="Times New Roman" w:hint="default"/>
      </w:rPr>
    </w:lvl>
    <w:lvl w:ilvl="8">
      <w:start w:val="1"/>
      <w:numFmt w:val="none"/>
      <w:lvlText w:val=""/>
      <w:lvlJc w:val="left"/>
      <w:pPr>
        <w:tabs>
          <w:tab w:val="num" w:pos="3288"/>
        </w:tabs>
        <w:ind w:left="3288" w:hanging="680"/>
      </w:pPr>
      <w:rPr>
        <w:rFonts w:cs="Times New Roman" w:hint="default"/>
      </w:rPr>
    </w:lvl>
  </w:abstractNum>
  <w:abstractNum w:abstractNumId="77"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80"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81"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8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8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8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8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91"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3"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D8D668F"/>
    <w:multiLevelType w:val="hybridMultilevel"/>
    <w:tmpl w:val="56BCDB48"/>
    <w:lvl w:ilvl="0" w:tplc="B2BEC596">
      <w:start w:val="1"/>
      <w:numFmt w:val="lowerRoman"/>
      <w:pStyle w:val="LIST-Pledge"/>
      <w:lvlText w:val="(%1)"/>
      <w:lvlJc w:val="left"/>
      <w:pPr>
        <w:ind w:left="720" w:hanging="360"/>
      </w:pPr>
    </w:lvl>
    <w:lvl w:ilvl="1" w:tplc="98A6C446">
      <w:start w:val="1"/>
      <w:numFmt w:val="lowerLetter"/>
      <w:lvlText w:val="%2."/>
      <w:lvlJc w:val="left"/>
      <w:pPr>
        <w:ind w:left="1440" w:hanging="360"/>
      </w:pPr>
    </w:lvl>
    <w:lvl w:ilvl="2" w:tplc="433E2ABC">
      <w:start w:val="1"/>
      <w:numFmt w:val="lowerRoman"/>
      <w:lvlText w:val="%3."/>
      <w:lvlJc w:val="right"/>
      <w:pPr>
        <w:ind w:left="2160" w:hanging="180"/>
      </w:pPr>
    </w:lvl>
    <w:lvl w:ilvl="3" w:tplc="F3BCFB16">
      <w:start w:val="1"/>
      <w:numFmt w:val="decimal"/>
      <w:lvlText w:val="%4."/>
      <w:lvlJc w:val="left"/>
      <w:pPr>
        <w:ind w:left="2880" w:hanging="360"/>
      </w:pPr>
    </w:lvl>
    <w:lvl w:ilvl="4" w:tplc="3AA07322">
      <w:start w:val="1"/>
      <w:numFmt w:val="lowerLetter"/>
      <w:lvlText w:val="%5."/>
      <w:lvlJc w:val="left"/>
      <w:pPr>
        <w:ind w:left="3600" w:hanging="360"/>
      </w:pPr>
    </w:lvl>
    <w:lvl w:ilvl="5" w:tplc="692E6610">
      <w:start w:val="1"/>
      <w:numFmt w:val="lowerRoman"/>
      <w:lvlText w:val="%6."/>
      <w:lvlJc w:val="right"/>
      <w:pPr>
        <w:ind w:left="4320" w:hanging="180"/>
      </w:pPr>
    </w:lvl>
    <w:lvl w:ilvl="6" w:tplc="1434919C">
      <w:start w:val="1"/>
      <w:numFmt w:val="decimal"/>
      <w:lvlText w:val="%7."/>
      <w:lvlJc w:val="left"/>
      <w:pPr>
        <w:ind w:left="5040" w:hanging="360"/>
      </w:pPr>
    </w:lvl>
    <w:lvl w:ilvl="7" w:tplc="71A65C8A">
      <w:start w:val="1"/>
      <w:numFmt w:val="lowerLetter"/>
      <w:lvlText w:val="%8."/>
      <w:lvlJc w:val="left"/>
      <w:pPr>
        <w:ind w:left="5760" w:hanging="360"/>
      </w:pPr>
    </w:lvl>
    <w:lvl w:ilvl="8" w:tplc="95E6FC10">
      <w:start w:val="1"/>
      <w:numFmt w:val="lowerRoman"/>
      <w:lvlText w:val="%9."/>
      <w:lvlJc w:val="right"/>
      <w:pPr>
        <w:ind w:left="6480" w:hanging="180"/>
      </w:pPr>
    </w:lvl>
  </w:abstractNum>
  <w:num w:numId="1">
    <w:abstractNumId w:val="22"/>
  </w:num>
  <w:num w:numId="2">
    <w:abstractNumId w:val="46"/>
  </w:num>
  <w:num w:numId="3">
    <w:abstractNumId w:val="58"/>
  </w:num>
  <w:num w:numId="4">
    <w:abstractNumId w:val="10"/>
  </w:num>
  <w:num w:numId="5">
    <w:abstractNumId w:val="5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76"/>
  </w:num>
  <w:num w:numId="10">
    <w:abstractNumId w:val="23"/>
  </w:num>
  <w:num w:numId="11">
    <w:abstractNumId w:val="52"/>
  </w:num>
  <w:num w:numId="12">
    <w:abstractNumId w:val="0"/>
  </w:num>
  <w:num w:numId="13">
    <w:abstractNumId w:val="54"/>
  </w:num>
  <w:num w:numId="14">
    <w:abstractNumId w:val="25"/>
  </w:num>
  <w:num w:numId="15">
    <w:abstractNumId w:val="2"/>
  </w:num>
  <w:num w:numId="16">
    <w:abstractNumId w:val="82"/>
  </w:num>
  <w:num w:numId="17">
    <w:abstractNumId w:val="62"/>
  </w:num>
  <w:num w:numId="18">
    <w:abstractNumId w:val="21"/>
  </w:num>
  <w:num w:numId="19">
    <w:abstractNumId w:val="38"/>
  </w:num>
  <w:num w:numId="20">
    <w:abstractNumId w:val="30"/>
  </w:num>
  <w:num w:numId="21">
    <w:abstractNumId w:val="49"/>
  </w:num>
  <w:num w:numId="22">
    <w:abstractNumId w:val="84"/>
  </w:num>
  <w:num w:numId="23">
    <w:abstractNumId w:val="33"/>
  </w:num>
  <w:num w:numId="24">
    <w:abstractNumId w:val="18"/>
  </w:num>
  <w:num w:numId="25">
    <w:abstractNumId w:val="47"/>
  </w:num>
  <w:num w:numId="26">
    <w:abstractNumId w:val="35"/>
  </w:num>
  <w:num w:numId="27">
    <w:abstractNumId w:val="92"/>
  </w:num>
  <w:num w:numId="28">
    <w:abstractNumId w:val="89"/>
  </w:num>
  <w:num w:numId="29">
    <w:abstractNumId w:val="24"/>
  </w:num>
  <w:num w:numId="30">
    <w:abstractNumId w:val="45"/>
  </w:num>
  <w:num w:numId="31">
    <w:abstractNumId w:val="51"/>
  </w:num>
  <w:num w:numId="32">
    <w:abstractNumId w:val="48"/>
  </w:num>
  <w:num w:numId="33">
    <w:abstractNumId w:val="17"/>
  </w:num>
  <w:num w:numId="34">
    <w:abstractNumId w:val="86"/>
  </w:num>
  <w:num w:numId="35">
    <w:abstractNumId w:val="93"/>
  </w:num>
  <w:num w:numId="36">
    <w:abstractNumId w:val="61"/>
  </w:num>
  <w:num w:numId="37">
    <w:abstractNumId w:val="40"/>
  </w:num>
  <w:num w:numId="38">
    <w:abstractNumId w:val="94"/>
  </w:num>
  <w:num w:numId="39">
    <w:abstractNumId w:val="83"/>
  </w:num>
  <w:num w:numId="40">
    <w:abstractNumId w:val="77"/>
  </w:num>
  <w:num w:numId="41">
    <w:abstractNumId w:val="14"/>
  </w:num>
  <w:num w:numId="42">
    <w:abstractNumId w:val="7"/>
  </w:num>
  <w:num w:numId="43">
    <w:abstractNumId w:val="65"/>
  </w:num>
  <w:num w:numId="44">
    <w:abstractNumId w:val="60"/>
  </w:num>
  <w:num w:numId="45">
    <w:abstractNumId w:val="90"/>
  </w:num>
  <w:num w:numId="46">
    <w:abstractNumId w:val="66"/>
  </w:num>
  <w:num w:numId="47">
    <w:abstractNumId w:val="56"/>
  </w:num>
  <w:num w:numId="48">
    <w:abstractNumId w:val="85"/>
  </w:num>
  <w:num w:numId="49">
    <w:abstractNumId w:val="79"/>
  </w:num>
  <w:num w:numId="50">
    <w:abstractNumId w:val="12"/>
  </w:num>
  <w:num w:numId="51">
    <w:abstractNumId w:val="29"/>
  </w:num>
  <w:num w:numId="52">
    <w:abstractNumId w:val="64"/>
  </w:num>
  <w:num w:numId="53">
    <w:abstractNumId w:val="72"/>
  </w:num>
  <w:num w:numId="54">
    <w:abstractNumId w:val="6"/>
  </w:num>
  <w:num w:numId="55">
    <w:abstractNumId w:val="34"/>
  </w:num>
  <w:num w:numId="56">
    <w:abstractNumId w:val="75"/>
  </w:num>
  <w:num w:numId="57">
    <w:abstractNumId w:val="28"/>
  </w:num>
  <w:num w:numId="58">
    <w:abstractNumId w:val="39"/>
  </w:num>
  <w:num w:numId="59">
    <w:abstractNumId w:val="78"/>
  </w:num>
  <w:num w:numId="60">
    <w:abstractNumId w:val="27"/>
  </w:num>
  <w:num w:numId="61">
    <w:abstractNumId w:val="53"/>
  </w:num>
  <w:num w:numId="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6"/>
    <w:lvlOverride w:ilvl="0">
      <w:startOverride w:val="1"/>
    </w:lvlOverride>
  </w:num>
  <w:num w:numId="67">
    <w:abstractNumId w:val="66"/>
    <w:lvlOverride w:ilvl="0">
      <w:startOverride w:val="1"/>
    </w:lvlOverride>
  </w:num>
  <w:num w:numId="68">
    <w:abstractNumId w:val="66"/>
    <w:lvlOverride w:ilvl="0">
      <w:startOverride w:val="1"/>
    </w:lvlOverride>
  </w:num>
  <w:num w:numId="69">
    <w:abstractNumId w:val="66"/>
    <w:lvlOverride w:ilvl="0">
      <w:startOverride w:val="1"/>
    </w:lvlOverride>
  </w:num>
  <w:num w:numId="70">
    <w:abstractNumId w:val="66"/>
    <w:lvlOverride w:ilvl="0">
      <w:startOverride w:val="1"/>
    </w:lvlOverride>
  </w:num>
  <w:num w:numId="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2"/>
    </w:lvlOverride>
    <w:lvlOverride w:ilvl="1">
      <w:startOverride w:val="12"/>
    </w:lvlOverride>
  </w:num>
  <w:num w:numId="75">
    <w:abstractNumId w:val="14"/>
    <w:lvlOverride w:ilvl="0">
      <w:startOverride w:val="1"/>
    </w:lvlOverride>
    <w:lvlOverride w:ilvl="1">
      <w:startOverride w:val="1"/>
    </w:lvlOverride>
  </w:num>
  <w:num w:numId="76">
    <w:abstractNumId w:val="73"/>
  </w:num>
  <w:num w:numId="7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6"/>
    <w:lvlOverride w:ilvl="0">
      <w:startOverride w:val="1"/>
    </w:lvlOverride>
  </w:num>
  <w:num w:numId="81">
    <w:abstractNumId w:val="14"/>
  </w:num>
  <w:num w:numId="82">
    <w:abstractNumId w:val="14"/>
  </w:num>
  <w:num w:numId="83">
    <w:abstractNumId w:val="14"/>
  </w:num>
  <w:num w:numId="84">
    <w:abstractNumId w:val="14"/>
  </w:num>
  <w:num w:numId="85">
    <w:abstractNumId w:val="14"/>
  </w:num>
  <w:num w:numId="86">
    <w:abstractNumId w:val="14"/>
  </w:num>
  <w:num w:numId="87">
    <w:abstractNumId w:val="14"/>
  </w:num>
  <w:num w:numId="88">
    <w:abstractNumId w:val="14"/>
  </w:num>
  <w:num w:numId="89">
    <w:abstractNumId w:val="14"/>
    <w:lvlOverride w:ilvl="0">
      <w:startOverride w:val="2"/>
    </w:lvlOverride>
    <w:lvlOverride w:ilvl="1">
      <w:startOverride w:val="2"/>
    </w:lvlOverride>
  </w:num>
  <w:num w:numId="90">
    <w:abstractNumId w:val="14"/>
  </w:num>
  <w:num w:numId="91">
    <w:abstractNumId w:val="66"/>
  </w:num>
  <w:num w:numId="92">
    <w:abstractNumId w:val="65"/>
  </w:num>
  <w:num w:numId="93">
    <w:abstractNumId w:val="65"/>
  </w:num>
  <w:num w:numId="94">
    <w:abstractNumId w:val="65"/>
  </w:num>
  <w:num w:numId="95">
    <w:abstractNumId w:val="65"/>
  </w:num>
  <w:num w:numId="96">
    <w:abstractNumId w:val="65"/>
  </w:num>
  <w:num w:numId="97">
    <w:abstractNumId w:val="14"/>
  </w:num>
  <w:num w:numId="98">
    <w:abstractNumId w:val="66"/>
  </w:num>
  <w:num w:numId="99">
    <w:abstractNumId w:val="7"/>
  </w:num>
  <w:num w:numId="100">
    <w:abstractNumId w:val="88"/>
  </w:num>
  <w:num w:numId="101">
    <w:abstractNumId w:val="5"/>
  </w:num>
  <w:num w:numId="102">
    <w:abstractNumId w:val="3"/>
  </w:num>
  <w:num w:numId="103">
    <w:abstractNumId w:val="4"/>
  </w:num>
  <w:num w:numId="104">
    <w:abstractNumId w:val="13"/>
  </w:num>
  <w:num w:numId="105">
    <w:abstractNumId w:val="44"/>
  </w:num>
  <w:num w:numId="106">
    <w:abstractNumId w:val="36"/>
  </w:num>
  <w:num w:numId="107">
    <w:abstractNumId w:val="80"/>
  </w:num>
  <w:num w:numId="108">
    <w:abstractNumId w:val="9"/>
  </w:num>
  <w:num w:numId="109">
    <w:abstractNumId w:val="57"/>
  </w:num>
  <w:num w:numId="110">
    <w:abstractNumId w:val="37"/>
  </w:num>
  <w:num w:numId="111">
    <w:abstractNumId w:val="42"/>
  </w:num>
  <w:num w:numId="112">
    <w:abstractNumId w:val="69"/>
  </w:num>
  <w:num w:numId="11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2"/>
  </w:num>
  <w:num w:numId="1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7"/>
  </w:num>
  <w:num w:numId="1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7"/>
  </w:num>
  <w:num w:numId="119">
    <w:abstractNumId w:val="14"/>
  </w:num>
  <w:num w:numId="120">
    <w:abstractNumId w:val="7"/>
  </w:num>
  <w:num w:numId="121">
    <w:abstractNumId w:val="65"/>
  </w:num>
  <w:num w:numId="122">
    <w:abstractNumId w:val="65"/>
  </w:num>
  <w:num w:numId="123">
    <w:abstractNumId w:val="65"/>
  </w:num>
  <w:num w:numId="124">
    <w:abstractNumId w:val="65"/>
  </w:num>
  <w:num w:numId="125">
    <w:abstractNumId w:val="65"/>
  </w:num>
  <w:num w:numId="126">
    <w:abstractNumId w:val="27"/>
  </w:num>
  <w:num w:numId="127">
    <w:abstractNumId w:val="27"/>
  </w:num>
  <w:num w:numId="128">
    <w:abstractNumId w:val="27"/>
  </w:num>
  <w:num w:numId="129">
    <w:abstractNumId w:val="27"/>
  </w:num>
  <w:num w:numId="130">
    <w:abstractNumId w:val="27"/>
  </w:num>
  <w:num w:numId="131">
    <w:abstractNumId w:val="27"/>
  </w:num>
  <w:num w:numId="132">
    <w:abstractNumId w:val="27"/>
  </w:num>
  <w:num w:numId="133">
    <w:abstractNumId w:val="27"/>
  </w:num>
  <w:num w:numId="134">
    <w:abstractNumId w:val="49"/>
  </w:num>
  <w:num w:numId="135">
    <w:abstractNumId w:val="84"/>
  </w:num>
  <w:num w:numId="136">
    <w:abstractNumId w:val="33"/>
  </w:num>
  <w:num w:numId="137">
    <w:abstractNumId w:val="18"/>
  </w:num>
  <w:num w:numId="138">
    <w:abstractNumId w:val="47"/>
  </w:num>
  <w:num w:numId="139">
    <w:abstractNumId w:val="35"/>
  </w:num>
  <w:num w:numId="140">
    <w:abstractNumId w:val="92"/>
  </w:num>
  <w:num w:numId="141">
    <w:abstractNumId w:val="92"/>
  </w:num>
  <w:num w:numId="142">
    <w:abstractNumId w:val="92"/>
  </w:num>
  <w:num w:numId="143">
    <w:abstractNumId w:val="92"/>
  </w:num>
  <w:num w:numId="144">
    <w:abstractNumId w:val="92"/>
  </w:num>
  <w:num w:numId="145">
    <w:abstractNumId w:val="92"/>
  </w:num>
  <w:num w:numId="146">
    <w:abstractNumId w:val="89"/>
  </w:num>
  <w:num w:numId="147">
    <w:abstractNumId w:val="91"/>
  </w:num>
  <w:num w:numId="148">
    <w:abstractNumId w:val="45"/>
  </w:num>
  <w:num w:numId="149">
    <w:abstractNumId w:val="51"/>
  </w:num>
  <w:num w:numId="150">
    <w:abstractNumId w:val="48"/>
  </w:num>
  <w:num w:numId="151">
    <w:abstractNumId w:val="17"/>
  </w:num>
  <w:num w:numId="152">
    <w:abstractNumId w:val="86"/>
  </w:num>
  <w:num w:numId="153">
    <w:abstractNumId w:val="93"/>
  </w:num>
  <w:num w:numId="154">
    <w:abstractNumId w:val="61"/>
  </w:num>
  <w:num w:numId="155">
    <w:abstractNumId w:val="40"/>
  </w:num>
  <w:num w:numId="156">
    <w:abstractNumId w:val="94"/>
  </w:num>
  <w:num w:numId="157">
    <w:abstractNumId w:val="83"/>
  </w:num>
  <w:num w:numId="158">
    <w:abstractNumId w:val="77"/>
  </w:num>
  <w:num w:numId="159">
    <w:abstractNumId w:val="14"/>
  </w:num>
  <w:num w:numId="160">
    <w:abstractNumId w:val="14"/>
  </w:num>
  <w:num w:numId="161">
    <w:abstractNumId w:val="14"/>
  </w:num>
  <w:num w:numId="162">
    <w:abstractNumId w:val="14"/>
  </w:num>
  <w:num w:numId="163">
    <w:abstractNumId w:val="14"/>
  </w:num>
  <w:num w:numId="164">
    <w:abstractNumId w:val="14"/>
  </w:num>
  <w:num w:numId="165">
    <w:abstractNumId w:val="14"/>
  </w:num>
  <w:num w:numId="166">
    <w:abstractNumId w:val="14"/>
  </w:num>
  <w:num w:numId="167">
    <w:abstractNumId w:val="14"/>
  </w:num>
  <w:num w:numId="168">
    <w:abstractNumId w:val="7"/>
  </w:num>
  <w:num w:numId="169">
    <w:abstractNumId w:val="55"/>
  </w:num>
  <w:num w:numId="170">
    <w:abstractNumId w:val="55"/>
  </w:num>
  <w:num w:numId="171">
    <w:abstractNumId w:val="55"/>
  </w:num>
  <w:num w:numId="172">
    <w:abstractNumId w:val="65"/>
  </w:num>
  <w:num w:numId="173">
    <w:abstractNumId w:val="43"/>
  </w:num>
  <w:num w:numId="174">
    <w:abstractNumId w:val="50"/>
  </w:num>
  <w:num w:numId="175">
    <w:abstractNumId w:val="19"/>
  </w:num>
  <w:num w:numId="176">
    <w:abstractNumId w:val="87"/>
  </w:num>
  <w:num w:numId="177">
    <w:abstractNumId w:val="70"/>
  </w:num>
  <w:num w:numId="178">
    <w:abstractNumId w:val="81"/>
  </w:num>
  <w:num w:numId="179">
    <w:abstractNumId w:val="68"/>
  </w:num>
  <w:num w:numId="180">
    <w:abstractNumId w:val="67"/>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1">
    <w:abstractNumId w:val="15"/>
  </w:num>
  <w:num w:numId="182">
    <w:abstractNumId w:val="67"/>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3">
    <w:abstractNumId w:val="71"/>
  </w:num>
  <w:num w:numId="184">
    <w:abstractNumId w:val="71"/>
  </w:num>
  <w:num w:numId="185">
    <w:abstractNumId w:val="71"/>
  </w:num>
  <w:num w:numId="186">
    <w:abstractNumId w:val="71"/>
  </w:num>
  <w:num w:numId="187">
    <w:abstractNumId w:val="71"/>
  </w:num>
  <w:num w:numId="188">
    <w:abstractNumId w:val="26"/>
  </w:num>
  <w:num w:numId="189">
    <w:abstractNumId w:val="63"/>
  </w:num>
  <w:num w:numId="190">
    <w:abstractNumId w:val="20"/>
  </w:num>
  <w:num w:numId="191">
    <w:abstractNumId w:val="60"/>
  </w:num>
  <w:num w:numId="192">
    <w:abstractNumId w:val="90"/>
  </w:num>
  <w:num w:numId="193">
    <w:abstractNumId w:val="66"/>
  </w:num>
  <w:num w:numId="194">
    <w:abstractNumId w:val="56"/>
  </w:num>
  <w:num w:numId="195">
    <w:abstractNumId w:val="85"/>
  </w:num>
  <w:num w:numId="196">
    <w:abstractNumId w:val="79"/>
  </w:num>
  <w:num w:numId="197">
    <w:abstractNumId w:val="12"/>
  </w:num>
  <w:num w:numId="198">
    <w:abstractNumId w:val="12"/>
  </w:num>
  <w:num w:numId="199">
    <w:abstractNumId w:val="12"/>
  </w:num>
  <w:num w:numId="200">
    <w:abstractNumId w:val="12"/>
  </w:num>
  <w:num w:numId="201">
    <w:abstractNumId w:val="12"/>
  </w:num>
  <w:num w:numId="202">
    <w:abstractNumId w:val="12"/>
  </w:num>
  <w:num w:numId="203">
    <w:abstractNumId w:val="29"/>
  </w:num>
  <w:num w:numId="204">
    <w:abstractNumId w:val="64"/>
  </w:num>
  <w:num w:numId="205">
    <w:abstractNumId w:val="72"/>
  </w:num>
  <w:num w:numId="206">
    <w:abstractNumId w:val="6"/>
  </w:num>
  <w:num w:numId="207">
    <w:abstractNumId w:val="34"/>
  </w:num>
  <w:num w:numId="208">
    <w:abstractNumId w:val="75"/>
  </w:num>
  <w:num w:numId="209">
    <w:abstractNumId w:val="28"/>
  </w:num>
  <w:num w:numId="210">
    <w:abstractNumId w:val="39"/>
  </w:num>
  <w:num w:numId="211">
    <w:abstractNumId w:val="78"/>
  </w:num>
  <w:num w:numId="212">
    <w:abstractNumId w:val="27"/>
  </w:num>
  <w:num w:numId="213">
    <w:abstractNumId w:val="53"/>
  </w:num>
  <w:num w:numId="2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4"/>
  </w:num>
  <w:num w:numId="218">
    <w:abstractNumId w:val="14"/>
  </w:num>
  <w:num w:numId="219">
    <w:abstractNumId w:val="14"/>
  </w:num>
  <w:num w:numId="220">
    <w:abstractNumId w:val="14"/>
  </w:num>
  <w:num w:numId="221">
    <w:abstractNumId w:val="14"/>
  </w:num>
  <w:num w:numId="222">
    <w:abstractNumId w:val="14"/>
  </w:num>
  <w:num w:numId="223">
    <w:abstractNumId w:val="14"/>
  </w:num>
  <w:num w:numId="224">
    <w:abstractNumId w:val="14"/>
  </w:num>
  <w:num w:numId="225">
    <w:abstractNumId w:val="14"/>
  </w:num>
  <w:num w:numId="226">
    <w:abstractNumId w:val="14"/>
  </w:num>
  <w:num w:numId="227">
    <w:abstractNumId w:val="14"/>
  </w:num>
  <w:num w:numId="228">
    <w:abstractNumId w:val="14"/>
  </w:num>
  <w:num w:numId="229">
    <w:abstractNumId w:val="14"/>
  </w:num>
  <w:num w:numId="230">
    <w:abstractNumId w:val="14"/>
  </w:num>
  <w:num w:numId="231">
    <w:abstractNumId w:val="33"/>
    <w:lvlOverride w:ilvl="0">
      <w:startOverride w:val="1"/>
    </w:lvlOverride>
  </w:num>
  <w:num w:numId="232">
    <w:abstractNumId w:val="33"/>
    <w:lvlOverride w:ilvl="0">
      <w:startOverride w:val="1"/>
    </w:lvlOverride>
  </w:num>
  <w:num w:numId="233">
    <w:abstractNumId w:val="33"/>
    <w:lvlOverride w:ilvl="0">
      <w:startOverride w:val="1"/>
    </w:lvlOverride>
  </w:num>
  <w:num w:numId="234">
    <w:abstractNumId w:val="14"/>
  </w:num>
  <w:num w:numId="235">
    <w:abstractNumId w:val="14"/>
  </w:num>
  <w:num w:numId="236">
    <w:abstractNumId w:val="14"/>
  </w:num>
  <w:num w:numId="237">
    <w:abstractNumId w:val="14"/>
  </w:num>
  <w:num w:numId="238">
    <w:abstractNumId w:val="14"/>
  </w:num>
  <w:num w:numId="239">
    <w:abstractNumId w:val="14"/>
  </w:num>
  <w:num w:numId="240">
    <w:abstractNumId w:val="14"/>
  </w:num>
  <w:num w:numId="241">
    <w:abstractNumId w:val="41"/>
  </w:num>
  <w:num w:numId="242">
    <w:abstractNumId w:val="8"/>
  </w:num>
  <w:num w:numId="243">
    <w:abstractNumId w:val="74"/>
  </w:num>
  <w:num w:numId="244">
    <w:abstractNumId w:val="14"/>
    <w:lvlOverride w:ilvl="0">
      <w:startOverride w:val="2"/>
    </w:lvlOverride>
    <w:lvlOverride w:ilvl="1">
      <w:startOverride w:val="1"/>
    </w:lvlOverride>
    <w:lvlOverride w:ilvl="2">
      <w:startOverride w:val="2"/>
    </w:lvlOverride>
  </w:num>
  <w:numIdMacAtCleanup w:val="2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removePersonalInformation/>
  <w:removeDateAndTime/>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defaultTabStop w:val="720"/>
  <w:hyphenationZone w:val="425"/>
  <w:drawingGridHorizontalSpacing w:val="12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41249616_2"/>
  </w:docVars>
  <w:rsids>
    <w:rsidRoot w:val="00D55BEE"/>
    <w:rsid w:val="00000D1B"/>
    <w:rsid w:val="00001457"/>
    <w:rsid w:val="00001934"/>
    <w:rsid w:val="000039CD"/>
    <w:rsid w:val="0000413D"/>
    <w:rsid w:val="00004B48"/>
    <w:rsid w:val="00004EAD"/>
    <w:rsid w:val="000050E9"/>
    <w:rsid w:val="00006359"/>
    <w:rsid w:val="00006D3A"/>
    <w:rsid w:val="0000712E"/>
    <w:rsid w:val="000114E5"/>
    <w:rsid w:val="00011E36"/>
    <w:rsid w:val="000120D6"/>
    <w:rsid w:val="00012E84"/>
    <w:rsid w:val="00014E75"/>
    <w:rsid w:val="00015182"/>
    <w:rsid w:val="0001584B"/>
    <w:rsid w:val="0001599A"/>
    <w:rsid w:val="000213EB"/>
    <w:rsid w:val="00021AB0"/>
    <w:rsid w:val="00021E1D"/>
    <w:rsid w:val="00022468"/>
    <w:rsid w:val="00023874"/>
    <w:rsid w:val="00024D07"/>
    <w:rsid w:val="00025C3C"/>
    <w:rsid w:val="00025C75"/>
    <w:rsid w:val="0003013F"/>
    <w:rsid w:val="00030961"/>
    <w:rsid w:val="00030DAF"/>
    <w:rsid w:val="000325B4"/>
    <w:rsid w:val="00033A9A"/>
    <w:rsid w:val="00034BC0"/>
    <w:rsid w:val="00035E59"/>
    <w:rsid w:val="00036A9C"/>
    <w:rsid w:val="00037A07"/>
    <w:rsid w:val="00040839"/>
    <w:rsid w:val="000409C6"/>
    <w:rsid w:val="00041C3F"/>
    <w:rsid w:val="000436B1"/>
    <w:rsid w:val="000438E8"/>
    <w:rsid w:val="0004438B"/>
    <w:rsid w:val="000460E6"/>
    <w:rsid w:val="00050456"/>
    <w:rsid w:val="000506ED"/>
    <w:rsid w:val="00054155"/>
    <w:rsid w:val="000552D5"/>
    <w:rsid w:val="000577B7"/>
    <w:rsid w:val="00060061"/>
    <w:rsid w:val="00060C3E"/>
    <w:rsid w:val="0006483A"/>
    <w:rsid w:val="0006513B"/>
    <w:rsid w:val="000662E5"/>
    <w:rsid w:val="000678DA"/>
    <w:rsid w:val="00071108"/>
    <w:rsid w:val="00071248"/>
    <w:rsid w:val="00071B90"/>
    <w:rsid w:val="0007227D"/>
    <w:rsid w:val="00072945"/>
    <w:rsid w:val="00072FD2"/>
    <w:rsid w:val="00073A45"/>
    <w:rsid w:val="00073A9E"/>
    <w:rsid w:val="00074221"/>
    <w:rsid w:val="00074909"/>
    <w:rsid w:val="000749E5"/>
    <w:rsid w:val="00074E41"/>
    <w:rsid w:val="00076756"/>
    <w:rsid w:val="00076BDA"/>
    <w:rsid w:val="000814D8"/>
    <w:rsid w:val="00081B9D"/>
    <w:rsid w:val="000832D2"/>
    <w:rsid w:val="00083A84"/>
    <w:rsid w:val="000847DE"/>
    <w:rsid w:val="00084A61"/>
    <w:rsid w:val="0008548D"/>
    <w:rsid w:val="0008568F"/>
    <w:rsid w:val="000908D1"/>
    <w:rsid w:val="00091C13"/>
    <w:rsid w:val="00094AC9"/>
    <w:rsid w:val="0009561B"/>
    <w:rsid w:val="000A0CC5"/>
    <w:rsid w:val="000A0F08"/>
    <w:rsid w:val="000A1C05"/>
    <w:rsid w:val="000A2005"/>
    <w:rsid w:val="000A28FA"/>
    <w:rsid w:val="000A33EA"/>
    <w:rsid w:val="000A3F68"/>
    <w:rsid w:val="000A6033"/>
    <w:rsid w:val="000B0D03"/>
    <w:rsid w:val="000B10DA"/>
    <w:rsid w:val="000B2F8F"/>
    <w:rsid w:val="000B3219"/>
    <w:rsid w:val="000B456E"/>
    <w:rsid w:val="000B5637"/>
    <w:rsid w:val="000B73C6"/>
    <w:rsid w:val="000B76DF"/>
    <w:rsid w:val="000C261D"/>
    <w:rsid w:val="000C4C2D"/>
    <w:rsid w:val="000C53B2"/>
    <w:rsid w:val="000C5B6C"/>
    <w:rsid w:val="000C67BF"/>
    <w:rsid w:val="000C6AF0"/>
    <w:rsid w:val="000C6E48"/>
    <w:rsid w:val="000C7E32"/>
    <w:rsid w:val="000D0A0F"/>
    <w:rsid w:val="000D0BD8"/>
    <w:rsid w:val="000D190F"/>
    <w:rsid w:val="000D2DB1"/>
    <w:rsid w:val="000D3B08"/>
    <w:rsid w:val="000D45C9"/>
    <w:rsid w:val="000E0B8A"/>
    <w:rsid w:val="000E1A3C"/>
    <w:rsid w:val="000E21FC"/>
    <w:rsid w:val="000E32B6"/>
    <w:rsid w:val="000E5758"/>
    <w:rsid w:val="000E5E47"/>
    <w:rsid w:val="000E61D6"/>
    <w:rsid w:val="000E61E5"/>
    <w:rsid w:val="000E64E2"/>
    <w:rsid w:val="000E6F9D"/>
    <w:rsid w:val="000E72AF"/>
    <w:rsid w:val="000E7BB8"/>
    <w:rsid w:val="000F01EA"/>
    <w:rsid w:val="000F11D6"/>
    <w:rsid w:val="000F37E1"/>
    <w:rsid w:val="000F5B7D"/>
    <w:rsid w:val="000F6B41"/>
    <w:rsid w:val="001001D8"/>
    <w:rsid w:val="001015B4"/>
    <w:rsid w:val="00101B33"/>
    <w:rsid w:val="00102186"/>
    <w:rsid w:val="0010223B"/>
    <w:rsid w:val="00102988"/>
    <w:rsid w:val="00102EB9"/>
    <w:rsid w:val="00103A0A"/>
    <w:rsid w:val="0010552F"/>
    <w:rsid w:val="00105DE6"/>
    <w:rsid w:val="00106959"/>
    <w:rsid w:val="0010717B"/>
    <w:rsid w:val="001116FA"/>
    <w:rsid w:val="00113921"/>
    <w:rsid w:val="00113C9B"/>
    <w:rsid w:val="00113CB3"/>
    <w:rsid w:val="00114CA2"/>
    <w:rsid w:val="00115485"/>
    <w:rsid w:val="00115C99"/>
    <w:rsid w:val="00116055"/>
    <w:rsid w:val="001213A4"/>
    <w:rsid w:val="0012152D"/>
    <w:rsid w:val="00121651"/>
    <w:rsid w:val="001244C0"/>
    <w:rsid w:val="001255AE"/>
    <w:rsid w:val="00125B92"/>
    <w:rsid w:val="001336BF"/>
    <w:rsid w:val="00133713"/>
    <w:rsid w:val="0013402B"/>
    <w:rsid w:val="00134B8A"/>
    <w:rsid w:val="0013575C"/>
    <w:rsid w:val="00136341"/>
    <w:rsid w:val="00140FD4"/>
    <w:rsid w:val="00143BF7"/>
    <w:rsid w:val="00144738"/>
    <w:rsid w:val="00146C81"/>
    <w:rsid w:val="00150911"/>
    <w:rsid w:val="001516B1"/>
    <w:rsid w:val="00151E91"/>
    <w:rsid w:val="00152E66"/>
    <w:rsid w:val="00153E92"/>
    <w:rsid w:val="001549AE"/>
    <w:rsid w:val="00155B41"/>
    <w:rsid w:val="0015631B"/>
    <w:rsid w:val="00156BD1"/>
    <w:rsid w:val="001618FE"/>
    <w:rsid w:val="001638FB"/>
    <w:rsid w:val="001642CA"/>
    <w:rsid w:val="00165B5C"/>
    <w:rsid w:val="00166E19"/>
    <w:rsid w:val="00166E66"/>
    <w:rsid w:val="00167769"/>
    <w:rsid w:val="0017073F"/>
    <w:rsid w:val="00170FD1"/>
    <w:rsid w:val="00171476"/>
    <w:rsid w:val="00171F94"/>
    <w:rsid w:val="00173055"/>
    <w:rsid w:val="00173B97"/>
    <w:rsid w:val="00174031"/>
    <w:rsid w:val="001741E1"/>
    <w:rsid w:val="001747B5"/>
    <w:rsid w:val="00175965"/>
    <w:rsid w:val="00175F73"/>
    <w:rsid w:val="00176694"/>
    <w:rsid w:val="00176E4C"/>
    <w:rsid w:val="00180180"/>
    <w:rsid w:val="00181AEC"/>
    <w:rsid w:val="00181DFE"/>
    <w:rsid w:val="00182365"/>
    <w:rsid w:val="00183F71"/>
    <w:rsid w:val="00185CCA"/>
    <w:rsid w:val="00190B49"/>
    <w:rsid w:val="00191489"/>
    <w:rsid w:val="0019238F"/>
    <w:rsid w:val="00192B36"/>
    <w:rsid w:val="00193394"/>
    <w:rsid w:val="001935C6"/>
    <w:rsid w:val="001943DF"/>
    <w:rsid w:val="00195BFF"/>
    <w:rsid w:val="001A000C"/>
    <w:rsid w:val="001A0087"/>
    <w:rsid w:val="001A03C3"/>
    <w:rsid w:val="001A170E"/>
    <w:rsid w:val="001A1C55"/>
    <w:rsid w:val="001A1F7D"/>
    <w:rsid w:val="001A53BA"/>
    <w:rsid w:val="001A6271"/>
    <w:rsid w:val="001A65C4"/>
    <w:rsid w:val="001A66E4"/>
    <w:rsid w:val="001B07CD"/>
    <w:rsid w:val="001B185D"/>
    <w:rsid w:val="001B30B4"/>
    <w:rsid w:val="001B3A07"/>
    <w:rsid w:val="001B3C7A"/>
    <w:rsid w:val="001B4D18"/>
    <w:rsid w:val="001B6585"/>
    <w:rsid w:val="001B6963"/>
    <w:rsid w:val="001C0BF0"/>
    <w:rsid w:val="001C18B1"/>
    <w:rsid w:val="001C1A50"/>
    <w:rsid w:val="001C2726"/>
    <w:rsid w:val="001C4B81"/>
    <w:rsid w:val="001C58B5"/>
    <w:rsid w:val="001C5C31"/>
    <w:rsid w:val="001C63D7"/>
    <w:rsid w:val="001D1216"/>
    <w:rsid w:val="001D17A5"/>
    <w:rsid w:val="001D46E2"/>
    <w:rsid w:val="001D6889"/>
    <w:rsid w:val="001D6B98"/>
    <w:rsid w:val="001E02BE"/>
    <w:rsid w:val="001E07E5"/>
    <w:rsid w:val="001E0D26"/>
    <w:rsid w:val="001E18F7"/>
    <w:rsid w:val="001E28AD"/>
    <w:rsid w:val="001E3A4F"/>
    <w:rsid w:val="001E3A90"/>
    <w:rsid w:val="001E4D70"/>
    <w:rsid w:val="001E5A40"/>
    <w:rsid w:val="001E5F8B"/>
    <w:rsid w:val="001F1D4D"/>
    <w:rsid w:val="001F279C"/>
    <w:rsid w:val="001F3244"/>
    <w:rsid w:val="001F3871"/>
    <w:rsid w:val="001F4052"/>
    <w:rsid w:val="001F44AD"/>
    <w:rsid w:val="001F51E5"/>
    <w:rsid w:val="001F58E5"/>
    <w:rsid w:val="001F7A3A"/>
    <w:rsid w:val="00200FBF"/>
    <w:rsid w:val="00201511"/>
    <w:rsid w:val="0020163B"/>
    <w:rsid w:val="00201857"/>
    <w:rsid w:val="0020250E"/>
    <w:rsid w:val="00202D0A"/>
    <w:rsid w:val="00203D87"/>
    <w:rsid w:val="0020432B"/>
    <w:rsid w:val="002058AE"/>
    <w:rsid w:val="002063C8"/>
    <w:rsid w:val="00207F8A"/>
    <w:rsid w:val="00212F02"/>
    <w:rsid w:val="00213B87"/>
    <w:rsid w:val="00214676"/>
    <w:rsid w:val="00214723"/>
    <w:rsid w:val="002147C9"/>
    <w:rsid w:val="00214A40"/>
    <w:rsid w:val="00215096"/>
    <w:rsid w:val="00215B52"/>
    <w:rsid w:val="00215D20"/>
    <w:rsid w:val="00216775"/>
    <w:rsid w:val="002216D5"/>
    <w:rsid w:val="002238D8"/>
    <w:rsid w:val="00223D85"/>
    <w:rsid w:val="00226C92"/>
    <w:rsid w:val="00227DA2"/>
    <w:rsid w:val="002306A9"/>
    <w:rsid w:val="00230DCA"/>
    <w:rsid w:val="002333E8"/>
    <w:rsid w:val="0023384F"/>
    <w:rsid w:val="00234E34"/>
    <w:rsid w:val="002350CA"/>
    <w:rsid w:val="00235D11"/>
    <w:rsid w:val="002370EC"/>
    <w:rsid w:val="00240A53"/>
    <w:rsid w:val="00240F3C"/>
    <w:rsid w:val="002412D7"/>
    <w:rsid w:val="0024205C"/>
    <w:rsid w:val="00242BCF"/>
    <w:rsid w:val="00243968"/>
    <w:rsid w:val="0024406B"/>
    <w:rsid w:val="00245FA1"/>
    <w:rsid w:val="00246CC8"/>
    <w:rsid w:val="00247891"/>
    <w:rsid w:val="002478B4"/>
    <w:rsid w:val="00251B9A"/>
    <w:rsid w:val="00252024"/>
    <w:rsid w:val="00252351"/>
    <w:rsid w:val="00254131"/>
    <w:rsid w:val="00254779"/>
    <w:rsid w:val="00255192"/>
    <w:rsid w:val="00256361"/>
    <w:rsid w:val="0025789E"/>
    <w:rsid w:val="002602DE"/>
    <w:rsid w:val="002612AA"/>
    <w:rsid w:val="00261A42"/>
    <w:rsid w:val="00263208"/>
    <w:rsid w:val="0026553A"/>
    <w:rsid w:val="0026555E"/>
    <w:rsid w:val="00265818"/>
    <w:rsid w:val="002666AD"/>
    <w:rsid w:val="00267078"/>
    <w:rsid w:val="0026762F"/>
    <w:rsid w:val="00267BDB"/>
    <w:rsid w:val="00267E6C"/>
    <w:rsid w:val="00271B52"/>
    <w:rsid w:val="00271B79"/>
    <w:rsid w:val="00271BC8"/>
    <w:rsid w:val="00271E45"/>
    <w:rsid w:val="00273789"/>
    <w:rsid w:val="00273A71"/>
    <w:rsid w:val="0027631D"/>
    <w:rsid w:val="0027753D"/>
    <w:rsid w:val="00277AC5"/>
    <w:rsid w:val="00277BBD"/>
    <w:rsid w:val="00277CF6"/>
    <w:rsid w:val="0028022E"/>
    <w:rsid w:val="002807C6"/>
    <w:rsid w:val="00281578"/>
    <w:rsid w:val="0028177B"/>
    <w:rsid w:val="002819CE"/>
    <w:rsid w:val="00281AE6"/>
    <w:rsid w:val="00281FCF"/>
    <w:rsid w:val="002824D4"/>
    <w:rsid w:val="002835BA"/>
    <w:rsid w:val="00283633"/>
    <w:rsid w:val="00283DF6"/>
    <w:rsid w:val="00285C68"/>
    <w:rsid w:val="0029480B"/>
    <w:rsid w:val="00296D5F"/>
    <w:rsid w:val="002A0A2C"/>
    <w:rsid w:val="002A1FFD"/>
    <w:rsid w:val="002A475B"/>
    <w:rsid w:val="002A5857"/>
    <w:rsid w:val="002A63FE"/>
    <w:rsid w:val="002A7B89"/>
    <w:rsid w:val="002B003D"/>
    <w:rsid w:val="002B1ABD"/>
    <w:rsid w:val="002B28B0"/>
    <w:rsid w:val="002B2B5D"/>
    <w:rsid w:val="002B31BC"/>
    <w:rsid w:val="002B4ACC"/>
    <w:rsid w:val="002B6AE8"/>
    <w:rsid w:val="002C0B42"/>
    <w:rsid w:val="002C0D1F"/>
    <w:rsid w:val="002C1BB4"/>
    <w:rsid w:val="002C2986"/>
    <w:rsid w:val="002C30E9"/>
    <w:rsid w:val="002C3ED8"/>
    <w:rsid w:val="002C5F6B"/>
    <w:rsid w:val="002C66A9"/>
    <w:rsid w:val="002D0626"/>
    <w:rsid w:val="002D0E2D"/>
    <w:rsid w:val="002D235E"/>
    <w:rsid w:val="002D2486"/>
    <w:rsid w:val="002D2C88"/>
    <w:rsid w:val="002D3272"/>
    <w:rsid w:val="002D5958"/>
    <w:rsid w:val="002D693C"/>
    <w:rsid w:val="002D7074"/>
    <w:rsid w:val="002E01DF"/>
    <w:rsid w:val="002E066B"/>
    <w:rsid w:val="002E0FEC"/>
    <w:rsid w:val="002E1A18"/>
    <w:rsid w:val="002E1B7D"/>
    <w:rsid w:val="002E304C"/>
    <w:rsid w:val="002E36D9"/>
    <w:rsid w:val="002E3FF0"/>
    <w:rsid w:val="002E44A4"/>
    <w:rsid w:val="002E4666"/>
    <w:rsid w:val="002E54FE"/>
    <w:rsid w:val="002E6964"/>
    <w:rsid w:val="002F0294"/>
    <w:rsid w:val="002F1DA9"/>
    <w:rsid w:val="002F34FF"/>
    <w:rsid w:val="002F4D27"/>
    <w:rsid w:val="002F52F0"/>
    <w:rsid w:val="002F5AAE"/>
    <w:rsid w:val="002F691D"/>
    <w:rsid w:val="002F778C"/>
    <w:rsid w:val="00301631"/>
    <w:rsid w:val="00301EB4"/>
    <w:rsid w:val="00302717"/>
    <w:rsid w:val="00303F38"/>
    <w:rsid w:val="00305044"/>
    <w:rsid w:val="0030584D"/>
    <w:rsid w:val="003074AA"/>
    <w:rsid w:val="00307563"/>
    <w:rsid w:val="00307617"/>
    <w:rsid w:val="00307E48"/>
    <w:rsid w:val="00310E75"/>
    <w:rsid w:val="003126FD"/>
    <w:rsid w:val="003128C7"/>
    <w:rsid w:val="0031309D"/>
    <w:rsid w:val="00315DEE"/>
    <w:rsid w:val="00315F3D"/>
    <w:rsid w:val="00316102"/>
    <w:rsid w:val="0031759F"/>
    <w:rsid w:val="00317B4D"/>
    <w:rsid w:val="00317F73"/>
    <w:rsid w:val="003212B1"/>
    <w:rsid w:val="00321925"/>
    <w:rsid w:val="00322837"/>
    <w:rsid w:val="00323F03"/>
    <w:rsid w:val="003241A4"/>
    <w:rsid w:val="00324361"/>
    <w:rsid w:val="00324DEA"/>
    <w:rsid w:val="003250D6"/>
    <w:rsid w:val="003259DF"/>
    <w:rsid w:val="00325C04"/>
    <w:rsid w:val="00326821"/>
    <w:rsid w:val="00326BA0"/>
    <w:rsid w:val="00327A86"/>
    <w:rsid w:val="003330AD"/>
    <w:rsid w:val="00334210"/>
    <w:rsid w:val="00337952"/>
    <w:rsid w:val="00340D82"/>
    <w:rsid w:val="00341D63"/>
    <w:rsid w:val="00341E42"/>
    <w:rsid w:val="00341ED6"/>
    <w:rsid w:val="00341F32"/>
    <w:rsid w:val="00342237"/>
    <w:rsid w:val="00344837"/>
    <w:rsid w:val="00346DE6"/>
    <w:rsid w:val="0034736F"/>
    <w:rsid w:val="003504D7"/>
    <w:rsid w:val="00351899"/>
    <w:rsid w:val="00352E5C"/>
    <w:rsid w:val="00352EF8"/>
    <w:rsid w:val="00354AD0"/>
    <w:rsid w:val="00354D09"/>
    <w:rsid w:val="00355B9E"/>
    <w:rsid w:val="00357B33"/>
    <w:rsid w:val="00357C4E"/>
    <w:rsid w:val="00360316"/>
    <w:rsid w:val="003606D8"/>
    <w:rsid w:val="003616E9"/>
    <w:rsid w:val="00361B79"/>
    <w:rsid w:val="0036210C"/>
    <w:rsid w:val="0036246C"/>
    <w:rsid w:val="0036284F"/>
    <w:rsid w:val="00364AFE"/>
    <w:rsid w:val="00367A46"/>
    <w:rsid w:val="00370573"/>
    <w:rsid w:val="00370D34"/>
    <w:rsid w:val="00373294"/>
    <w:rsid w:val="00373AE1"/>
    <w:rsid w:val="00375D9A"/>
    <w:rsid w:val="003772C3"/>
    <w:rsid w:val="00382105"/>
    <w:rsid w:val="00382970"/>
    <w:rsid w:val="00382F9E"/>
    <w:rsid w:val="003852A8"/>
    <w:rsid w:val="003864BE"/>
    <w:rsid w:val="003877BC"/>
    <w:rsid w:val="00387AE2"/>
    <w:rsid w:val="00387B64"/>
    <w:rsid w:val="00390561"/>
    <w:rsid w:val="00390852"/>
    <w:rsid w:val="00390E33"/>
    <w:rsid w:val="00392E30"/>
    <w:rsid w:val="0039333D"/>
    <w:rsid w:val="00394AD5"/>
    <w:rsid w:val="00396985"/>
    <w:rsid w:val="003975A1"/>
    <w:rsid w:val="003976B0"/>
    <w:rsid w:val="003A1A08"/>
    <w:rsid w:val="003A1A90"/>
    <w:rsid w:val="003A208C"/>
    <w:rsid w:val="003A400D"/>
    <w:rsid w:val="003A4591"/>
    <w:rsid w:val="003A51FF"/>
    <w:rsid w:val="003B0EB6"/>
    <w:rsid w:val="003B1EFA"/>
    <w:rsid w:val="003B22D0"/>
    <w:rsid w:val="003B24FE"/>
    <w:rsid w:val="003B42E6"/>
    <w:rsid w:val="003B7673"/>
    <w:rsid w:val="003C1604"/>
    <w:rsid w:val="003C177E"/>
    <w:rsid w:val="003C2CAE"/>
    <w:rsid w:val="003C3854"/>
    <w:rsid w:val="003C4178"/>
    <w:rsid w:val="003C65ED"/>
    <w:rsid w:val="003C6689"/>
    <w:rsid w:val="003C76EB"/>
    <w:rsid w:val="003C7996"/>
    <w:rsid w:val="003D1820"/>
    <w:rsid w:val="003D1CBF"/>
    <w:rsid w:val="003D2B09"/>
    <w:rsid w:val="003D2E3B"/>
    <w:rsid w:val="003D32F5"/>
    <w:rsid w:val="003D7E41"/>
    <w:rsid w:val="003E077F"/>
    <w:rsid w:val="003E0AB4"/>
    <w:rsid w:val="003E176E"/>
    <w:rsid w:val="003E1EE4"/>
    <w:rsid w:val="003E33D4"/>
    <w:rsid w:val="003E48AE"/>
    <w:rsid w:val="003E58FE"/>
    <w:rsid w:val="003E6154"/>
    <w:rsid w:val="003E683F"/>
    <w:rsid w:val="003E69F0"/>
    <w:rsid w:val="003F0A74"/>
    <w:rsid w:val="003F1DD6"/>
    <w:rsid w:val="003F2B12"/>
    <w:rsid w:val="003F4B83"/>
    <w:rsid w:val="003F5BD0"/>
    <w:rsid w:val="003F6289"/>
    <w:rsid w:val="003F6546"/>
    <w:rsid w:val="003F74B8"/>
    <w:rsid w:val="003F78FC"/>
    <w:rsid w:val="00400500"/>
    <w:rsid w:val="00401545"/>
    <w:rsid w:val="0040279A"/>
    <w:rsid w:val="00402A80"/>
    <w:rsid w:val="00402DA3"/>
    <w:rsid w:val="00407149"/>
    <w:rsid w:val="00407271"/>
    <w:rsid w:val="00411DF3"/>
    <w:rsid w:val="00415B9B"/>
    <w:rsid w:val="0041619D"/>
    <w:rsid w:val="00416B2E"/>
    <w:rsid w:val="004171E4"/>
    <w:rsid w:val="004178C0"/>
    <w:rsid w:val="004222D0"/>
    <w:rsid w:val="00422A30"/>
    <w:rsid w:val="0042374C"/>
    <w:rsid w:val="004239CE"/>
    <w:rsid w:val="00426575"/>
    <w:rsid w:val="0042727A"/>
    <w:rsid w:val="004272BC"/>
    <w:rsid w:val="00427CB6"/>
    <w:rsid w:val="00430503"/>
    <w:rsid w:val="00432105"/>
    <w:rsid w:val="004322B3"/>
    <w:rsid w:val="00432785"/>
    <w:rsid w:val="00434859"/>
    <w:rsid w:val="0043499A"/>
    <w:rsid w:val="004354ED"/>
    <w:rsid w:val="004361F4"/>
    <w:rsid w:val="0043654C"/>
    <w:rsid w:val="00442DBD"/>
    <w:rsid w:val="004438D5"/>
    <w:rsid w:val="00445D81"/>
    <w:rsid w:val="0044673C"/>
    <w:rsid w:val="00446B37"/>
    <w:rsid w:val="004479FB"/>
    <w:rsid w:val="0045011C"/>
    <w:rsid w:val="00450403"/>
    <w:rsid w:val="0045052E"/>
    <w:rsid w:val="00450FCE"/>
    <w:rsid w:val="00452D53"/>
    <w:rsid w:val="00456CE9"/>
    <w:rsid w:val="00456ECD"/>
    <w:rsid w:val="00456FCA"/>
    <w:rsid w:val="00460988"/>
    <w:rsid w:val="004612AA"/>
    <w:rsid w:val="00461845"/>
    <w:rsid w:val="00463069"/>
    <w:rsid w:val="0046375D"/>
    <w:rsid w:val="00463B04"/>
    <w:rsid w:val="00463F19"/>
    <w:rsid w:val="00464D6E"/>
    <w:rsid w:val="00465113"/>
    <w:rsid w:val="0046554D"/>
    <w:rsid w:val="004657EE"/>
    <w:rsid w:val="004659F9"/>
    <w:rsid w:val="00465DE7"/>
    <w:rsid w:val="0046781E"/>
    <w:rsid w:val="00470722"/>
    <w:rsid w:val="00470D10"/>
    <w:rsid w:val="00471C6F"/>
    <w:rsid w:val="004733EE"/>
    <w:rsid w:val="00473C47"/>
    <w:rsid w:val="00474884"/>
    <w:rsid w:val="00474C31"/>
    <w:rsid w:val="004761BB"/>
    <w:rsid w:val="00476340"/>
    <w:rsid w:val="004804AE"/>
    <w:rsid w:val="00480866"/>
    <w:rsid w:val="00480B62"/>
    <w:rsid w:val="0048141D"/>
    <w:rsid w:val="0048230F"/>
    <w:rsid w:val="004828F5"/>
    <w:rsid w:val="00483481"/>
    <w:rsid w:val="004835C6"/>
    <w:rsid w:val="00484FC0"/>
    <w:rsid w:val="00485460"/>
    <w:rsid w:val="00485A5C"/>
    <w:rsid w:val="0049035A"/>
    <w:rsid w:val="004923DD"/>
    <w:rsid w:val="00492DE5"/>
    <w:rsid w:val="004930B2"/>
    <w:rsid w:val="0049351A"/>
    <w:rsid w:val="00495055"/>
    <w:rsid w:val="00495405"/>
    <w:rsid w:val="00495E1C"/>
    <w:rsid w:val="004966F2"/>
    <w:rsid w:val="00496D82"/>
    <w:rsid w:val="004A07AD"/>
    <w:rsid w:val="004A0C3B"/>
    <w:rsid w:val="004A3A50"/>
    <w:rsid w:val="004A3A9D"/>
    <w:rsid w:val="004A4989"/>
    <w:rsid w:val="004A4A48"/>
    <w:rsid w:val="004A61DB"/>
    <w:rsid w:val="004A7A90"/>
    <w:rsid w:val="004B0768"/>
    <w:rsid w:val="004B0EEB"/>
    <w:rsid w:val="004B4524"/>
    <w:rsid w:val="004B48DB"/>
    <w:rsid w:val="004B4B47"/>
    <w:rsid w:val="004B4ED6"/>
    <w:rsid w:val="004B5941"/>
    <w:rsid w:val="004B59D4"/>
    <w:rsid w:val="004B684D"/>
    <w:rsid w:val="004B6FEA"/>
    <w:rsid w:val="004C0607"/>
    <w:rsid w:val="004C080C"/>
    <w:rsid w:val="004C1633"/>
    <w:rsid w:val="004C26E2"/>
    <w:rsid w:val="004C3A71"/>
    <w:rsid w:val="004C3CA0"/>
    <w:rsid w:val="004C5A1D"/>
    <w:rsid w:val="004D0147"/>
    <w:rsid w:val="004D4EAD"/>
    <w:rsid w:val="004D58FD"/>
    <w:rsid w:val="004D7B8B"/>
    <w:rsid w:val="004E1044"/>
    <w:rsid w:val="004E2ECD"/>
    <w:rsid w:val="004E6F34"/>
    <w:rsid w:val="004E7097"/>
    <w:rsid w:val="004E7316"/>
    <w:rsid w:val="004F162D"/>
    <w:rsid w:val="004F2111"/>
    <w:rsid w:val="004F2128"/>
    <w:rsid w:val="004F2E77"/>
    <w:rsid w:val="004F38E1"/>
    <w:rsid w:val="004F5DED"/>
    <w:rsid w:val="004F6662"/>
    <w:rsid w:val="004F6769"/>
    <w:rsid w:val="004F7A65"/>
    <w:rsid w:val="0050032B"/>
    <w:rsid w:val="005006B3"/>
    <w:rsid w:val="0050073D"/>
    <w:rsid w:val="00500C95"/>
    <w:rsid w:val="00503A99"/>
    <w:rsid w:val="00505DE0"/>
    <w:rsid w:val="00505F33"/>
    <w:rsid w:val="00506122"/>
    <w:rsid w:val="00510BD9"/>
    <w:rsid w:val="00510EF3"/>
    <w:rsid w:val="00512FA0"/>
    <w:rsid w:val="00513D1F"/>
    <w:rsid w:val="00514EB1"/>
    <w:rsid w:val="0051581E"/>
    <w:rsid w:val="005162D0"/>
    <w:rsid w:val="00517A64"/>
    <w:rsid w:val="00522CFC"/>
    <w:rsid w:val="00525FB7"/>
    <w:rsid w:val="00527141"/>
    <w:rsid w:val="0052793F"/>
    <w:rsid w:val="00530C6C"/>
    <w:rsid w:val="005310FA"/>
    <w:rsid w:val="005313F3"/>
    <w:rsid w:val="005316CE"/>
    <w:rsid w:val="00531AFF"/>
    <w:rsid w:val="005328B8"/>
    <w:rsid w:val="00532D3E"/>
    <w:rsid w:val="0053472E"/>
    <w:rsid w:val="00537401"/>
    <w:rsid w:val="005374D0"/>
    <w:rsid w:val="00540827"/>
    <w:rsid w:val="00541B26"/>
    <w:rsid w:val="00541C02"/>
    <w:rsid w:val="005435C4"/>
    <w:rsid w:val="00543DD0"/>
    <w:rsid w:val="0054538B"/>
    <w:rsid w:val="00545B2B"/>
    <w:rsid w:val="00545D38"/>
    <w:rsid w:val="00546272"/>
    <w:rsid w:val="00546A4C"/>
    <w:rsid w:val="00550069"/>
    <w:rsid w:val="0055044A"/>
    <w:rsid w:val="00551448"/>
    <w:rsid w:val="005532AC"/>
    <w:rsid w:val="00553514"/>
    <w:rsid w:val="00554F26"/>
    <w:rsid w:val="005569ED"/>
    <w:rsid w:val="00556A59"/>
    <w:rsid w:val="0055730B"/>
    <w:rsid w:val="0056065A"/>
    <w:rsid w:val="00562333"/>
    <w:rsid w:val="0056294E"/>
    <w:rsid w:val="005634FC"/>
    <w:rsid w:val="00564A86"/>
    <w:rsid w:val="005659E9"/>
    <w:rsid w:val="005659FC"/>
    <w:rsid w:val="00566336"/>
    <w:rsid w:val="00571BCA"/>
    <w:rsid w:val="0057396F"/>
    <w:rsid w:val="005740DB"/>
    <w:rsid w:val="00577CA0"/>
    <w:rsid w:val="00580201"/>
    <w:rsid w:val="0058307F"/>
    <w:rsid w:val="00587511"/>
    <w:rsid w:val="005904A5"/>
    <w:rsid w:val="005909BD"/>
    <w:rsid w:val="00592DE3"/>
    <w:rsid w:val="00593A2E"/>
    <w:rsid w:val="00595371"/>
    <w:rsid w:val="00595F89"/>
    <w:rsid w:val="005A123C"/>
    <w:rsid w:val="005A2190"/>
    <w:rsid w:val="005A2D1D"/>
    <w:rsid w:val="005A3085"/>
    <w:rsid w:val="005A3752"/>
    <w:rsid w:val="005A37D3"/>
    <w:rsid w:val="005A37E9"/>
    <w:rsid w:val="005A3B48"/>
    <w:rsid w:val="005A6CA7"/>
    <w:rsid w:val="005A7943"/>
    <w:rsid w:val="005B0B8F"/>
    <w:rsid w:val="005B321E"/>
    <w:rsid w:val="005B34EE"/>
    <w:rsid w:val="005B4997"/>
    <w:rsid w:val="005B5F58"/>
    <w:rsid w:val="005B712A"/>
    <w:rsid w:val="005B78C4"/>
    <w:rsid w:val="005C03DB"/>
    <w:rsid w:val="005C1893"/>
    <w:rsid w:val="005C2367"/>
    <w:rsid w:val="005C2E9C"/>
    <w:rsid w:val="005C4C3E"/>
    <w:rsid w:val="005C4CBE"/>
    <w:rsid w:val="005C6D90"/>
    <w:rsid w:val="005D1CDF"/>
    <w:rsid w:val="005D2B87"/>
    <w:rsid w:val="005D7143"/>
    <w:rsid w:val="005E2C93"/>
    <w:rsid w:val="005E544A"/>
    <w:rsid w:val="005E5D94"/>
    <w:rsid w:val="005E5E02"/>
    <w:rsid w:val="005F094A"/>
    <w:rsid w:val="005F2A60"/>
    <w:rsid w:val="005F2F27"/>
    <w:rsid w:val="005F561E"/>
    <w:rsid w:val="005F5B70"/>
    <w:rsid w:val="0060035E"/>
    <w:rsid w:val="0060276B"/>
    <w:rsid w:val="0060482E"/>
    <w:rsid w:val="0060535E"/>
    <w:rsid w:val="006063BF"/>
    <w:rsid w:val="006066D0"/>
    <w:rsid w:val="00607994"/>
    <w:rsid w:val="00607B6A"/>
    <w:rsid w:val="006104EF"/>
    <w:rsid w:val="0061103D"/>
    <w:rsid w:val="00612F74"/>
    <w:rsid w:val="00613D7E"/>
    <w:rsid w:val="0061410A"/>
    <w:rsid w:val="00615AD2"/>
    <w:rsid w:val="00620F6D"/>
    <w:rsid w:val="006215FC"/>
    <w:rsid w:val="00621687"/>
    <w:rsid w:val="006224DA"/>
    <w:rsid w:val="006233E2"/>
    <w:rsid w:val="00623F15"/>
    <w:rsid w:val="00625949"/>
    <w:rsid w:val="00625A22"/>
    <w:rsid w:val="00627808"/>
    <w:rsid w:val="006308E1"/>
    <w:rsid w:val="00631C09"/>
    <w:rsid w:val="00631EA8"/>
    <w:rsid w:val="00632330"/>
    <w:rsid w:val="0063439F"/>
    <w:rsid w:val="00634CAA"/>
    <w:rsid w:val="00635188"/>
    <w:rsid w:val="00635A75"/>
    <w:rsid w:val="006361E7"/>
    <w:rsid w:val="006363C0"/>
    <w:rsid w:val="00636425"/>
    <w:rsid w:val="00636761"/>
    <w:rsid w:val="00636F71"/>
    <w:rsid w:val="00640D8C"/>
    <w:rsid w:val="0064101C"/>
    <w:rsid w:val="00641264"/>
    <w:rsid w:val="0064184A"/>
    <w:rsid w:val="00641CD4"/>
    <w:rsid w:val="00643420"/>
    <w:rsid w:val="00643B15"/>
    <w:rsid w:val="00643D6D"/>
    <w:rsid w:val="0064499E"/>
    <w:rsid w:val="00645A5D"/>
    <w:rsid w:val="00646F24"/>
    <w:rsid w:val="0064721A"/>
    <w:rsid w:val="006505EA"/>
    <w:rsid w:val="00652089"/>
    <w:rsid w:val="006538DD"/>
    <w:rsid w:val="00654170"/>
    <w:rsid w:val="006541E8"/>
    <w:rsid w:val="00655595"/>
    <w:rsid w:val="0065664A"/>
    <w:rsid w:val="00660138"/>
    <w:rsid w:val="00662432"/>
    <w:rsid w:val="00662665"/>
    <w:rsid w:val="0066289A"/>
    <w:rsid w:val="00663E4D"/>
    <w:rsid w:val="0066490F"/>
    <w:rsid w:val="006649C0"/>
    <w:rsid w:val="00666228"/>
    <w:rsid w:val="00666B1B"/>
    <w:rsid w:val="0067039F"/>
    <w:rsid w:val="00672855"/>
    <w:rsid w:val="006739BB"/>
    <w:rsid w:val="006744CC"/>
    <w:rsid w:val="00674B31"/>
    <w:rsid w:val="00675203"/>
    <w:rsid w:val="00676BAB"/>
    <w:rsid w:val="00676FB5"/>
    <w:rsid w:val="006777C4"/>
    <w:rsid w:val="0068068C"/>
    <w:rsid w:val="00682952"/>
    <w:rsid w:val="006858EA"/>
    <w:rsid w:val="00687F68"/>
    <w:rsid w:val="006914F5"/>
    <w:rsid w:val="0069223D"/>
    <w:rsid w:val="0069284D"/>
    <w:rsid w:val="00693179"/>
    <w:rsid w:val="00693274"/>
    <w:rsid w:val="00693EC6"/>
    <w:rsid w:val="00695E35"/>
    <w:rsid w:val="006968A8"/>
    <w:rsid w:val="00696C65"/>
    <w:rsid w:val="00696D73"/>
    <w:rsid w:val="00697AFD"/>
    <w:rsid w:val="006A1C00"/>
    <w:rsid w:val="006A1F46"/>
    <w:rsid w:val="006A253E"/>
    <w:rsid w:val="006A393B"/>
    <w:rsid w:val="006A428D"/>
    <w:rsid w:val="006A43C8"/>
    <w:rsid w:val="006A5B60"/>
    <w:rsid w:val="006B0D8F"/>
    <w:rsid w:val="006B12DA"/>
    <w:rsid w:val="006B1892"/>
    <w:rsid w:val="006B18A9"/>
    <w:rsid w:val="006B1C3B"/>
    <w:rsid w:val="006B2847"/>
    <w:rsid w:val="006B5C46"/>
    <w:rsid w:val="006B7774"/>
    <w:rsid w:val="006C1319"/>
    <w:rsid w:val="006C1C43"/>
    <w:rsid w:val="006C1F54"/>
    <w:rsid w:val="006C3A81"/>
    <w:rsid w:val="006C54D1"/>
    <w:rsid w:val="006C5EAD"/>
    <w:rsid w:val="006C62D6"/>
    <w:rsid w:val="006C71E0"/>
    <w:rsid w:val="006C76D8"/>
    <w:rsid w:val="006C7E54"/>
    <w:rsid w:val="006D1553"/>
    <w:rsid w:val="006D6743"/>
    <w:rsid w:val="006D714F"/>
    <w:rsid w:val="006D7C97"/>
    <w:rsid w:val="006E0492"/>
    <w:rsid w:val="006E31FD"/>
    <w:rsid w:val="006E56CF"/>
    <w:rsid w:val="006E6F38"/>
    <w:rsid w:val="006F0A9B"/>
    <w:rsid w:val="006F0B67"/>
    <w:rsid w:val="006F1891"/>
    <w:rsid w:val="006F22C4"/>
    <w:rsid w:val="006F37AA"/>
    <w:rsid w:val="006F3922"/>
    <w:rsid w:val="006F6255"/>
    <w:rsid w:val="00700457"/>
    <w:rsid w:val="00705CFE"/>
    <w:rsid w:val="00705F32"/>
    <w:rsid w:val="007078BA"/>
    <w:rsid w:val="00710777"/>
    <w:rsid w:val="007115BC"/>
    <w:rsid w:val="00715DB6"/>
    <w:rsid w:val="0072000F"/>
    <w:rsid w:val="007236EE"/>
    <w:rsid w:val="007241C1"/>
    <w:rsid w:val="007246A3"/>
    <w:rsid w:val="007249D3"/>
    <w:rsid w:val="00725446"/>
    <w:rsid w:val="007268D9"/>
    <w:rsid w:val="00727221"/>
    <w:rsid w:val="007279C5"/>
    <w:rsid w:val="00727DCD"/>
    <w:rsid w:val="007312E0"/>
    <w:rsid w:val="007315EF"/>
    <w:rsid w:val="0073242B"/>
    <w:rsid w:val="007327A5"/>
    <w:rsid w:val="00732D86"/>
    <w:rsid w:val="00733051"/>
    <w:rsid w:val="007332A6"/>
    <w:rsid w:val="007336B0"/>
    <w:rsid w:val="00736F6B"/>
    <w:rsid w:val="007433A4"/>
    <w:rsid w:val="00745C11"/>
    <w:rsid w:val="00746F9D"/>
    <w:rsid w:val="007470B1"/>
    <w:rsid w:val="00747B65"/>
    <w:rsid w:val="00751317"/>
    <w:rsid w:val="00752BB1"/>
    <w:rsid w:val="007532CE"/>
    <w:rsid w:val="00754753"/>
    <w:rsid w:val="00755A45"/>
    <w:rsid w:val="00755BE1"/>
    <w:rsid w:val="00757861"/>
    <w:rsid w:val="0076026F"/>
    <w:rsid w:val="00762BA5"/>
    <w:rsid w:val="00763B85"/>
    <w:rsid w:val="0076558E"/>
    <w:rsid w:val="00765FF0"/>
    <w:rsid w:val="00766252"/>
    <w:rsid w:val="00766851"/>
    <w:rsid w:val="007668FB"/>
    <w:rsid w:val="007700CA"/>
    <w:rsid w:val="007700EE"/>
    <w:rsid w:val="007742E6"/>
    <w:rsid w:val="0077604B"/>
    <w:rsid w:val="007762E9"/>
    <w:rsid w:val="007768B8"/>
    <w:rsid w:val="00777711"/>
    <w:rsid w:val="007808BE"/>
    <w:rsid w:val="00781427"/>
    <w:rsid w:val="00782B16"/>
    <w:rsid w:val="00783E5E"/>
    <w:rsid w:val="0078496A"/>
    <w:rsid w:val="00785F53"/>
    <w:rsid w:val="007873C7"/>
    <w:rsid w:val="00787580"/>
    <w:rsid w:val="00791AAF"/>
    <w:rsid w:val="00792127"/>
    <w:rsid w:val="00793BD1"/>
    <w:rsid w:val="00795F8D"/>
    <w:rsid w:val="00796739"/>
    <w:rsid w:val="00796A01"/>
    <w:rsid w:val="00797409"/>
    <w:rsid w:val="007A2225"/>
    <w:rsid w:val="007A3187"/>
    <w:rsid w:val="007A3439"/>
    <w:rsid w:val="007A3E2B"/>
    <w:rsid w:val="007A524F"/>
    <w:rsid w:val="007A6F2E"/>
    <w:rsid w:val="007A7220"/>
    <w:rsid w:val="007B1EB5"/>
    <w:rsid w:val="007B2509"/>
    <w:rsid w:val="007B2F9B"/>
    <w:rsid w:val="007B3879"/>
    <w:rsid w:val="007B6296"/>
    <w:rsid w:val="007B7304"/>
    <w:rsid w:val="007C0F84"/>
    <w:rsid w:val="007C1811"/>
    <w:rsid w:val="007C285A"/>
    <w:rsid w:val="007C28DB"/>
    <w:rsid w:val="007C3374"/>
    <w:rsid w:val="007C3D93"/>
    <w:rsid w:val="007C4345"/>
    <w:rsid w:val="007C49CA"/>
    <w:rsid w:val="007C4B99"/>
    <w:rsid w:val="007C4D7E"/>
    <w:rsid w:val="007C609C"/>
    <w:rsid w:val="007C7C41"/>
    <w:rsid w:val="007D0827"/>
    <w:rsid w:val="007D0CBB"/>
    <w:rsid w:val="007D2989"/>
    <w:rsid w:val="007D2A33"/>
    <w:rsid w:val="007D3E4B"/>
    <w:rsid w:val="007D44B4"/>
    <w:rsid w:val="007D5ADE"/>
    <w:rsid w:val="007D602F"/>
    <w:rsid w:val="007E0345"/>
    <w:rsid w:val="007E0AAC"/>
    <w:rsid w:val="007E0FBF"/>
    <w:rsid w:val="007F2990"/>
    <w:rsid w:val="007F41F5"/>
    <w:rsid w:val="007F526C"/>
    <w:rsid w:val="007F5D82"/>
    <w:rsid w:val="007F5E93"/>
    <w:rsid w:val="007F7DBE"/>
    <w:rsid w:val="00800A3C"/>
    <w:rsid w:val="00801B5F"/>
    <w:rsid w:val="008022D8"/>
    <w:rsid w:val="00804027"/>
    <w:rsid w:val="008047E3"/>
    <w:rsid w:val="00804DFB"/>
    <w:rsid w:val="00804E38"/>
    <w:rsid w:val="00804E97"/>
    <w:rsid w:val="008057DE"/>
    <w:rsid w:val="00805D51"/>
    <w:rsid w:val="008063D0"/>
    <w:rsid w:val="0080777E"/>
    <w:rsid w:val="0081107B"/>
    <w:rsid w:val="00811538"/>
    <w:rsid w:val="00811A77"/>
    <w:rsid w:val="00812E82"/>
    <w:rsid w:val="00814D9A"/>
    <w:rsid w:val="00815FC8"/>
    <w:rsid w:val="00816043"/>
    <w:rsid w:val="00816CC5"/>
    <w:rsid w:val="00820588"/>
    <w:rsid w:val="00820CDF"/>
    <w:rsid w:val="00822199"/>
    <w:rsid w:val="008241AA"/>
    <w:rsid w:val="008250A2"/>
    <w:rsid w:val="00825D9F"/>
    <w:rsid w:val="00826211"/>
    <w:rsid w:val="00826D10"/>
    <w:rsid w:val="00827DD7"/>
    <w:rsid w:val="00830891"/>
    <w:rsid w:val="008324DC"/>
    <w:rsid w:val="00833D19"/>
    <w:rsid w:val="00834AA0"/>
    <w:rsid w:val="00834B00"/>
    <w:rsid w:val="0083787E"/>
    <w:rsid w:val="0084142C"/>
    <w:rsid w:val="0084218F"/>
    <w:rsid w:val="008425C2"/>
    <w:rsid w:val="00842ACD"/>
    <w:rsid w:val="0084470F"/>
    <w:rsid w:val="00846838"/>
    <w:rsid w:val="00846D1B"/>
    <w:rsid w:val="008475CC"/>
    <w:rsid w:val="00847CA1"/>
    <w:rsid w:val="00850B8A"/>
    <w:rsid w:val="0085130B"/>
    <w:rsid w:val="00853C74"/>
    <w:rsid w:val="008542D9"/>
    <w:rsid w:val="00855B83"/>
    <w:rsid w:val="00855DCC"/>
    <w:rsid w:val="00856101"/>
    <w:rsid w:val="0085680C"/>
    <w:rsid w:val="00856BD7"/>
    <w:rsid w:val="00857F31"/>
    <w:rsid w:val="00860329"/>
    <w:rsid w:val="00860984"/>
    <w:rsid w:val="008609BB"/>
    <w:rsid w:val="00861341"/>
    <w:rsid w:val="00862817"/>
    <w:rsid w:val="0086345A"/>
    <w:rsid w:val="00864E6B"/>
    <w:rsid w:val="00865E7A"/>
    <w:rsid w:val="00870439"/>
    <w:rsid w:val="008705FD"/>
    <w:rsid w:val="00871875"/>
    <w:rsid w:val="00871C74"/>
    <w:rsid w:val="008727D6"/>
    <w:rsid w:val="00873840"/>
    <w:rsid w:val="00875A32"/>
    <w:rsid w:val="00875D09"/>
    <w:rsid w:val="00876118"/>
    <w:rsid w:val="008800D2"/>
    <w:rsid w:val="00880227"/>
    <w:rsid w:val="00880FDD"/>
    <w:rsid w:val="0088192F"/>
    <w:rsid w:val="00882946"/>
    <w:rsid w:val="008830F9"/>
    <w:rsid w:val="00883E60"/>
    <w:rsid w:val="00886CF9"/>
    <w:rsid w:val="008873FC"/>
    <w:rsid w:val="008877D2"/>
    <w:rsid w:val="00887EFF"/>
    <w:rsid w:val="00890C9A"/>
    <w:rsid w:val="00891419"/>
    <w:rsid w:val="00892D10"/>
    <w:rsid w:val="0089356D"/>
    <w:rsid w:val="0089382A"/>
    <w:rsid w:val="00893925"/>
    <w:rsid w:val="008A0882"/>
    <w:rsid w:val="008A0B1B"/>
    <w:rsid w:val="008A13E2"/>
    <w:rsid w:val="008A13E5"/>
    <w:rsid w:val="008A1B00"/>
    <w:rsid w:val="008A1E77"/>
    <w:rsid w:val="008A3104"/>
    <w:rsid w:val="008A3442"/>
    <w:rsid w:val="008A4A2D"/>
    <w:rsid w:val="008A7255"/>
    <w:rsid w:val="008A7A73"/>
    <w:rsid w:val="008B0157"/>
    <w:rsid w:val="008B0444"/>
    <w:rsid w:val="008B0942"/>
    <w:rsid w:val="008B2A65"/>
    <w:rsid w:val="008B3DE4"/>
    <w:rsid w:val="008B3DF7"/>
    <w:rsid w:val="008B5A0C"/>
    <w:rsid w:val="008B65F7"/>
    <w:rsid w:val="008C0299"/>
    <w:rsid w:val="008C05F3"/>
    <w:rsid w:val="008C09E1"/>
    <w:rsid w:val="008C253E"/>
    <w:rsid w:val="008C37AF"/>
    <w:rsid w:val="008C4874"/>
    <w:rsid w:val="008C6149"/>
    <w:rsid w:val="008C7213"/>
    <w:rsid w:val="008C73A4"/>
    <w:rsid w:val="008C7C48"/>
    <w:rsid w:val="008D0523"/>
    <w:rsid w:val="008D1A4A"/>
    <w:rsid w:val="008D2275"/>
    <w:rsid w:val="008D26E7"/>
    <w:rsid w:val="008D3CFB"/>
    <w:rsid w:val="008D48E9"/>
    <w:rsid w:val="008D4911"/>
    <w:rsid w:val="008D4A73"/>
    <w:rsid w:val="008D50DB"/>
    <w:rsid w:val="008D74CE"/>
    <w:rsid w:val="008E03A2"/>
    <w:rsid w:val="008E07B6"/>
    <w:rsid w:val="008E0828"/>
    <w:rsid w:val="008E19FB"/>
    <w:rsid w:val="008E270F"/>
    <w:rsid w:val="008E2F99"/>
    <w:rsid w:val="008E3658"/>
    <w:rsid w:val="008E608F"/>
    <w:rsid w:val="008E7098"/>
    <w:rsid w:val="008E7305"/>
    <w:rsid w:val="008F0055"/>
    <w:rsid w:val="008F1999"/>
    <w:rsid w:val="008F335A"/>
    <w:rsid w:val="008F3C80"/>
    <w:rsid w:val="008F4D71"/>
    <w:rsid w:val="008F5E31"/>
    <w:rsid w:val="008F6DA6"/>
    <w:rsid w:val="008F7F58"/>
    <w:rsid w:val="00900024"/>
    <w:rsid w:val="0090239B"/>
    <w:rsid w:val="00902CFE"/>
    <w:rsid w:val="00904319"/>
    <w:rsid w:val="00905501"/>
    <w:rsid w:val="00905B36"/>
    <w:rsid w:val="0091102B"/>
    <w:rsid w:val="00911F5E"/>
    <w:rsid w:val="0091301A"/>
    <w:rsid w:val="00913293"/>
    <w:rsid w:val="009135EF"/>
    <w:rsid w:val="009164A9"/>
    <w:rsid w:val="009226D0"/>
    <w:rsid w:val="00922F7E"/>
    <w:rsid w:val="00925D9B"/>
    <w:rsid w:val="00925EBE"/>
    <w:rsid w:val="009262DE"/>
    <w:rsid w:val="00926CB5"/>
    <w:rsid w:val="0093016A"/>
    <w:rsid w:val="0093185E"/>
    <w:rsid w:val="00932411"/>
    <w:rsid w:val="00933A48"/>
    <w:rsid w:val="00933A8F"/>
    <w:rsid w:val="009351C3"/>
    <w:rsid w:val="009368A5"/>
    <w:rsid w:val="00941310"/>
    <w:rsid w:val="009419F8"/>
    <w:rsid w:val="00941EBE"/>
    <w:rsid w:val="009447F7"/>
    <w:rsid w:val="0094509B"/>
    <w:rsid w:val="00945EE9"/>
    <w:rsid w:val="00946056"/>
    <w:rsid w:val="009463AB"/>
    <w:rsid w:val="00946C9A"/>
    <w:rsid w:val="00947291"/>
    <w:rsid w:val="0095116B"/>
    <w:rsid w:val="00951994"/>
    <w:rsid w:val="00951D41"/>
    <w:rsid w:val="0095225E"/>
    <w:rsid w:val="00953A29"/>
    <w:rsid w:val="0095401C"/>
    <w:rsid w:val="009545F2"/>
    <w:rsid w:val="00956504"/>
    <w:rsid w:val="009565F4"/>
    <w:rsid w:val="00956764"/>
    <w:rsid w:val="00956D8E"/>
    <w:rsid w:val="00960C39"/>
    <w:rsid w:val="009629DD"/>
    <w:rsid w:val="00962F6C"/>
    <w:rsid w:val="00964661"/>
    <w:rsid w:val="0096578A"/>
    <w:rsid w:val="00966496"/>
    <w:rsid w:val="00966934"/>
    <w:rsid w:val="00966FBA"/>
    <w:rsid w:val="0096713C"/>
    <w:rsid w:val="00967FAC"/>
    <w:rsid w:val="0097284E"/>
    <w:rsid w:val="0097321F"/>
    <w:rsid w:val="009739A9"/>
    <w:rsid w:val="00973DA1"/>
    <w:rsid w:val="00974BEF"/>
    <w:rsid w:val="009765E6"/>
    <w:rsid w:val="009768F8"/>
    <w:rsid w:val="00977166"/>
    <w:rsid w:val="009779D6"/>
    <w:rsid w:val="009800C6"/>
    <w:rsid w:val="009807F4"/>
    <w:rsid w:val="009815AB"/>
    <w:rsid w:val="00981A2A"/>
    <w:rsid w:val="009820EA"/>
    <w:rsid w:val="009821A2"/>
    <w:rsid w:val="009837D5"/>
    <w:rsid w:val="009841BB"/>
    <w:rsid w:val="00985311"/>
    <w:rsid w:val="00985CEB"/>
    <w:rsid w:val="00986517"/>
    <w:rsid w:val="00986A46"/>
    <w:rsid w:val="00987279"/>
    <w:rsid w:val="00991DE4"/>
    <w:rsid w:val="00992375"/>
    <w:rsid w:val="009924B6"/>
    <w:rsid w:val="00992862"/>
    <w:rsid w:val="00992F4F"/>
    <w:rsid w:val="00993B3F"/>
    <w:rsid w:val="00994810"/>
    <w:rsid w:val="00995159"/>
    <w:rsid w:val="009960B7"/>
    <w:rsid w:val="009A00A1"/>
    <w:rsid w:val="009A0855"/>
    <w:rsid w:val="009A143F"/>
    <w:rsid w:val="009A18E3"/>
    <w:rsid w:val="009A1981"/>
    <w:rsid w:val="009A2BF2"/>
    <w:rsid w:val="009A433C"/>
    <w:rsid w:val="009A44E8"/>
    <w:rsid w:val="009A61EB"/>
    <w:rsid w:val="009B2F7B"/>
    <w:rsid w:val="009B4046"/>
    <w:rsid w:val="009B5408"/>
    <w:rsid w:val="009B58B1"/>
    <w:rsid w:val="009B7B3C"/>
    <w:rsid w:val="009C0459"/>
    <w:rsid w:val="009C0B3D"/>
    <w:rsid w:val="009C2D71"/>
    <w:rsid w:val="009D37C0"/>
    <w:rsid w:val="009D3EE1"/>
    <w:rsid w:val="009D5E1E"/>
    <w:rsid w:val="009D6A55"/>
    <w:rsid w:val="009D6E42"/>
    <w:rsid w:val="009D7401"/>
    <w:rsid w:val="009D76BB"/>
    <w:rsid w:val="009D784C"/>
    <w:rsid w:val="009D7BF9"/>
    <w:rsid w:val="009D7DF8"/>
    <w:rsid w:val="009E2AFC"/>
    <w:rsid w:val="009E355F"/>
    <w:rsid w:val="009E3AA8"/>
    <w:rsid w:val="009E4194"/>
    <w:rsid w:val="009E57C0"/>
    <w:rsid w:val="009E5B80"/>
    <w:rsid w:val="009E6277"/>
    <w:rsid w:val="009F04D4"/>
    <w:rsid w:val="009F22C4"/>
    <w:rsid w:val="009F2DAB"/>
    <w:rsid w:val="009F47F1"/>
    <w:rsid w:val="009F4FE0"/>
    <w:rsid w:val="009F6757"/>
    <w:rsid w:val="009F78EB"/>
    <w:rsid w:val="00A002B0"/>
    <w:rsid w:val="00A00783"/>
    <w:rsid w:val="00A00CE8"/>
    <w:rsid w:val="00A00FD5"/>
    <w:rsid w:val="00A01818"/>
    <w:rsid w:val="00A03521"/>
    <w:rsid w:val="00A03A4B"/>
    <w:rsid w:val="00A040CD"/>
    <w:rsid w:val="00A108C7"/>
    <w:rsid w:val="00A10927"/>
    <w:rsid w:val="00A10BDC"/>
    <w:rsid w:val="00A11AE8"/>
    <w:rsid w:val="00A12AD9"/>
    <w:rsid w:val="00A134A3"/>
    <w:rsid w:val="00A134EF"/>
    <w:rsid w:val="00A148A9"/>
    <w:rsid w:val="00A15478"/>
    <w:rsid w:val="00A165D8"/>
    <w:rsid w:val="00A16DDC"/>
    <w:rsid w:val="00A17FD0"/>
    <w:rsid w:val="00A206EA"/>
    <w:rsid w:val="00A20DF4"/>
    <w:rsid w:val="00A21250"/>
    <w:rsid w:val="00A22A92"/>
    <w:rsid w:val="00A2497D"/>
    <w:rsid w:val="00A2543A"/>
    <w:rsid w:val="00A266C3"/>
    <w:rsid w:val="00A26BD0"/>
    <w:rsid w:val="00A27D0C"/>
    <w:rsid w:val="00A30938"/>
    <w:rsid w:val="00A31E1B"/>
    <w:rsid w:val="00A32C81"/>
    <w:rsid w:val="00A34C97"/>
    <w:rsid w:val="00A35AC9"/>
    <w:rsid w:val="00A36173"/>
    <w:rsid w:val="00A37B4B"/>
    <w:rsid w:val="00A37EC8"/>
    <w:rsid w:val="00A37F58"/>
    <w:rsid w:val="00A40515"/>
    <w:rsid w:val="00A416B8"/>
    <w:rsid w:val="00A43F7F"/>
    <w:rsid w:val="00A441B3"/>
    <w:rsid w:val="00A45C1C"/>
    <w:rsid w:val="00A503DE"/>
    <w:rsid w:val="00A50D0B"/>
    <w:rsid w:val="00A50E17"/>
    <w:rsid w:val="00A50FBD"/>
    <w:rsid w:val="00A53A82"/>
    <w:rsid w:val="00A54290"/>
    <w:rsid w:val="00A54729"/>
    <w:rsid w:val="00A54B52"/>
    <w:rsid w:val="00A55624"/>
    <w:rsid w:val="00A55B56"/>
    <w:rsid w:val="00A5636F"/>
    <w:rsid w:val="00A5735C"/>
    <w:rsid w:val="00A623CA"/>
    <w:rsid w:val="00A63243"/>
    <w:rsid w:val="00A639BE"/>
    <w:rsid w:val="00A63FF3"/>
    <w:rsid w:val="00A64514"/>
    <w:rsid w:val="00A6690F"/>
    <w:rsid w:val="00A6692F"/>
    <w:rsid w:val="00A67377"/>
    <w:rsid w:val="00A676CB"/>
    <w:rsid w:val="00A67FC6"/>
    <w:rsid w:val="00A708C4"/>
    <w:rsid w:val="00A71942"/>
    <w:rsid w:val="00A72777"/>
    <w:rsid w:val="00A72F07"/>
    <w:rsid w:val="00A73DAA"/>
    <w:rsid w:val="00A7478F"/>
    <w:rsid w:val="00A749FC"/>
    <w:rsid w:val="00A755EA"/>
    <w:rsid w:val="00A76EBD"/>
    <w:rsid w:val="00A77937"/>
    <w:rsid w:val="00A8064A"/>
    <w:rsid w:val="00A81F67"/>
    <w:rsid w:val="00A83334"/>
    <w:rsid w:val="00A84415"/>
    <w:rsid w:val="00A8617C"/>
    <w:rsid w:val="00A8632E"/>
    <w:rsid w:val="00A90257"/>
    <w:rsid w:val="00A9290F"/>
    <w:rsid w:val="00A92E78"/>
    <w:rsid w:val="00A9369D"/>
    <w:rsid w:val="00A946C6"/>
    <w:rsid w:val="00A954B7"/>
    <w:rsid w:val="00AA0B58"/>
    <w:rsid w:val="00AA1905"/>
    <w:rsid w:val="00AA2D78"/>
    <w:rsid w:val="00AA462B"/>
    <w:rsid w:val="00AA5AE9"/>
    <w:rsid w:val="00AA6F7D"/>
    <w:rsid w:val="00AB0BBB"/>
    <w:rsid w:val="00AB13F8"/>
    <w:rsid w:val="00AB1425"/>
    <w:rsid w:val="00AB4EF7"/>
    <w:rsid w:val="00AB59D7"/>
    <w:rsid w:val="00AB5CB7"/>
    <w:rsid w:val="00AB5F08"/>
    <w:rsid w:val="00AB6591"/>
    <w:rsid w:val="00AB65F1"/>
    <w:rsid w:val="00AB7056"/>
    <w:rsid w:val="00AB7A05"/>
    <w:rsid w:val="00AC159D"/>
    <w:rsid w:val="00AC1F54"/>
    <w:rsid w:val="00AC216A"/>
    <w:rsid w:val="00AC2789"/>
    <w:rsid w:val="00AC3858"/>
    <w:rsid w:val="00AC5650"/>
    <w:rsid w:val="00AC66B0"/>
    <w:rsid w:val="00AC795D"/>
    <w:rsid w:val="00AD03CF"/>
    <w:rsid w:val="00AD1493"/>
    <w:rsid w:val="00AD1F46"/>
    <w:rsid w:val="00AD4D67"/>
    <w:rsid w:val="00AD4F10"/>
    <w:rsid w:val="00AD7890"/>
    <w:rsid w:val="00AE30D3"/>
    <w:rsid w:val="00AE3B40"/>
    <w:rsid w:val="00AE58A2"/>
    <w:rsid w:val="00AE6744"/>
    <w:rsid w:val="00AF4122"/>
    <w:rsid w:val="00AF4C02"/>
    <w:rsid w:val="00AF67A2"/>
    <w:rsid w:val="00AF6E3A"/>
    <w:rsid w:val="00AF6F2D"/>
    <w:rsid w:val="00AF6FF3"/>
    <w:rsid w:val="00B0067F"/>
    <w:rsid w:val="00B009A7"/>
    <w:rsid w:val="00B055C2"/>
    <w:rsid w:val="00B05882"/>
    <w:rsid w:val="00B0682D"/>
    <w:rsid w:val="00B06A75"/>
    <w:rsid w:val="00B10558"/>
    <w:rsid w:val="00B1084D"/>
    <w:rsid w:val="00B135A2"/>
    <w:rsid w:val="00B14A1A"/>
    <w:rsid w:val="00B157A7"/>
    <w:rsid w:val="00B1754B"/>
    <w:rsid w:val="00B17EFE"/>
    <w:rsid w:val="00B2155F"/>
    <w:rsid w:val="00B21DAD"/>
    <w:rsid w:val="00B22518"/>
    <w:rsid w:val="00B26842"/>
    <w:rsid w:val="00B26980"/>
    <w:rsid w:val="00B307D1"/>
    <w:rsid w:val="00B30AA1"/>
    <w:rsid w:val="00B31EE7"/>
    <w:rsid w:val="00B325A1"/>
    <w:rsid w:val="00B33AA0"/>
    <w:rsid w:val="00B3424C"/>
    <w:rsid w:val="00B344C3"/>
    <w:rsid w:val="00B37820"/>
    <w:rsid w:val="00B40E79"/>
    <w:rsid w:val="00B417FF"/>
    <w:rsid w:val="00B41C6D"/>
    <w:rsid w:val="00B427E8"/>
    <w:rsid w:val="00B44A98"/>
    <w:rsid w:val="00B5069B"/>
    <w:rsid w:val="00B51906"/>
    <w:rsid w:val="00B51BD1"/>
    <w:rsid w:val="00B51EBA"/>
    <w:rsid w:val="00B53043"/>
    <w:rsid w:val="00B5398E"/>
    <w:rsid w:val="00B544EE"/>
    <w:rsid w:val="00B54F8D"/>
    <w:rsid w:val="00B5538C"/>
    <w:rsid w:val="00B558D2"/>
    <w:rsid w:val="00B57667"/>
    <w:rsid w:val="00B626F1"/>
    <w:rsid w:val="00B63618"/>
    <w:rsid w:val="00B63884"/>
    <w:rsid w:val="00B644AD"/>
    <w:rsid w:val="00B6562B"/>
    <w:rsid w:val="00B66619"/>
    <w:rsid w:val="00B66E70"/>
    <w:rsid w:val="00B7114E"/>
    <w:rsid w:val="00B71A1D"/>
    <w:rsid w:val="00B7277C"/>
    <w:rsid w:val="00B72E4E"/>
    <w:rsid w:val="00B73064"/>
    <w:rsid w:val="00B76C6A"/>
    <w:rsid w:val="00B77F23"/>
    <w:rsid w:val="00B80083"/>
    <w:rsid w:val="00B80F81"/>
    <w:rsid w:val="00B83458"/>
    <w:rsid w:val="00B84766"/>
    <w:rsid w:val="00B86959"/>
    <w:rsid w:val="00B90E11"/>
    <w:rsid w:val="00B90FA9"/>
    <w:rsid w:val="00B9127D"/>
    <w:rsid w:val="00B9144B"/>
    <w:rsid w:val="00B91633"/>
    <w:rsid w:val="00B93AE5"/>
    <w:rsid w:val="00B93DC8"/>
    <w:rsid w:val="00B94177"/>
    <w:rsid w:val="00B95681"/>
    <w:rsid w:val="00BA2450"/>
    <w:rsid w:val="00BA2AEE"/>
    <w:rsid w:val="00BA390B"/>
    <w:rsid w:val="00BA4767"/>
    <w:rsid w:val="00BA53EE"/>
    <w:rsid w:val="00BB014A"/>
    <w:rsid w:val="00BB01C3"/>
    <w:rsid w:val="00BB24F8"/>
    <w:rsid w:val="00BB5299"/>
    <w:rsid w:val="00BB5670"/>
    <w:rsid w:val="00BB5CD5"/>
    <w:rsid w:val="00BB603C"/>
    <w:rsid w:val="00BB651A"/>
    <w:rsid w:val="00BB7D19"/>
    <w:rsid w:val="00BC3176"/>
    <w:rsid w:val="00BC3600"/>
    <w:rsid w:val="00BC42B4"/>
    <w:rsid w:val="00BC4410"/>
    <w:rsid w:val="00BC4BE7"/>
    <w:rsid w:val="00BC57DE"/>
    <w:rsid w:val="00BC5FE0"/>
    <w:rsid w:val="00BC68BC"/>
    <w:rsid w:val="00BC6CF6"/>
    <w:rsid w:val="00BD018A"/>
    <w:rsid w:val="00BD12A8"/>
    <w:rsid w:val="00BD59D7"/>
    <w:rsid w:val="00BE031C"/>
    <w:rsid w:val="00BE6EA9"/>
    <w:rsid w:val="00BE7167"/>
    <w:rsid w:val="00BE75AD"/>
    <w:rsid w:val="00BF0631"/>
    <w:rsid w:val="00BF08B2"/>
    <w:rsid w:val="00BF185D"/>
    <w:rsid w:val="00BF3A0B"/>
    <w:rsid w:val="00BF43C7"/>
    <w:rsid w:val="00BF591F"/>
    <w:rsid w:val="00BF6030"/>
    <w:rsid w:val="00C01C84"/>
    <w:rsid w:val="00C02805"/>
    <w:rsid w:val="00C02B9B"/>
    <w:rsid w:val="00C02D3F"/>
    <w:rsid w:val="00C06F32"/>
    <w:rsid w:val="00C102E7"/>
    <w:rsid w:val="00C117B7"/>
    <w:rsid w:val="00C11895"/>
    <w:rsid w:val="00C12224"/>
    <w:rsid w:val="00C136DD"/>
    <w:rsid w:val="00C169F3"/>
    <w:rsid w:val="00C16EC6"/>
    <w:rsid w:val="00C17C03"/>
    <w:rsid w:val="00C208EB"/>
    <w:rsid w:val="00C21860"/>
    <w:rsid w:val="00C23511"/>
    <w:rsid w:val="00C23927"/>
    <w:rsid w:val="00C24D88"/>
    <w:rsid w:val="00C2595C"/>
    <w:rsid w:val="00C26345"/>
    <w:rsid w:val="00C2749A"/>
    <w:rsid w:val="00C31189"/>
    <w:rsid w:val="00C37B0C"/>
    <w:rsid w:val="00C37E9D"/>
    <w:rsid w:val="00C40C12"/>
    <w:rsid w:val="00C41C98"/>
    <w:rsid w:val="00C41DC1"/>
    <w:rsid w:val="00C4217D"/>
    <w:rsid w:val="00C43B8F"/>
    <w:rsid w:val="00C43D0E"/>
    <w:rsid w:val="00C43DCF"/>
    <w:rsid w:val="00C5174D"/>
    <w:rsid w:val="00C51EC6"/>
    <w:rsid w:val="00C533DD"/>
    <w:rsid w:val="00C55BAE"/>
    <w:rsid w:val="00C56EEF"/>
    <w:rsid w:val="00C57097"/>
    <w:rsid w:val="00C577A2"/>
    <w:rsid w:val="00C57B15"/>
    <w:rsid w:val="00C57C96"/>
    <w:rsid w:val="00C6020C"/>
    <w:rsid w:val="00C60CE4"/>
    <w:rsid w:val="00C61152"/>
    <w:rsid w:val="00C61A6A"/>
    <w:rsid w:val="00C62751"/>
    <w:rsid w:val="00C649ED"/>
    <w:rsid w:val="00C66AB2"/>
    <w:rsid w:val="00C701AC"/>
    <w:rsid w:val="00C7063C"/>
    <w:rsid w:val="00C70E5E"/>
    <w:rsid w:val="00C71B36"/>
    <w:rsid w:val="00C71C18"/>
    <w:rsid w:val="00C751B4"/>
    <w:rsid w:val="00C755AE"/>
    <w:rsid w:val="00C75A75"/>
    <w:rsid w:val="00C75C8A"/>
    <w:rsid w:val="00C802F2"/>
    <w:rsid w:val="00C80414"/>
    <w:rsid w:val="00C8058B"/>
    <w:rsid w:val="00C80DF6"/>
    <w:rsid w:val="00C8128C"/>
    <w:rsid w:val="00C83772"/>
    <w:rsid w:val="00C83C50"/>
    <w:rsid w:val="00C84CA8"/>
    <w:rsid w:val="00C87452"/>
    <w:rsid w:val="00C90312"/>
    <w:rsid w:val="00C903D8"/>
    <w:rsid w:val="00C94997"/>
    <w:rsid w:val="00C977DA"/>
    <w:rsid w:val="00C97DA5"/>
    <w:rsid w:val="00CA0836"/>
    <w:rsid w:val="00CB1903"/>
    <w:rsid w:val="00CB19B0"/>
    <w:rsid w:val="00CB256E"/>
    <w:rsid w:val="00CB3489"/>
    <w:rsid w:val="00CB6C26"/>
    <w:rsid w:val="00CB75E8"/>
    <w:rsid w:val="00CC0511"/>
    <w:rsid w:val="00CC1962"/>
    <w:rsid w:val="00CC2078"/>
    <w:rsid w:val="00CC289D"/>
    <w:rsid w:val="00CC2F1F"/>
    <w:rsid w:val="00CC411F"/>
    <w:rsid w:val="00CC463A"/>
    <w:rsid w:val="00CC524E"/>
    <w:rsid w:val="00CC6A8A"/>
    <w:rsid w:val="00CD0AF5"/>
    <w:rsid w:val="00CD0E68"/>
    <w:rsid w:val="00CD20B8"/>
    <w:rsid w:val="00CD334F"/>
    <w:rsid w:val="00CD3543"/>
    <w:rsid w:val="00CD3F68"/>
    <w:rsid w:val="00CD4398"/>
    <w:rsid w:val="00CD4CBC"/>
    <w:rsid w:val="00CD57B9"/>
    <w:rsid w:val="00CD5C90"/>
    <w:rsid w:val="00CD60A4"/>
    <w:rsid w:val="00CD6850"/>
    <w:rsid w:val="00CD718B"/>
    <w:rsid w:val="00CE0A49"/>
    <w:rsid w:val="00CE2B1F"/>
    <w:rsid w:val="00CE36AE"/>
    <w:rsid w:val="00CE48D9"/>
    <w:rsid w:val="00CE56FB"/>
    <w:rsid w:val="00CE57BE"/>
    <w:rsid w:val="00CE57FD"/>
    <w:rsid w:val="00CE6F1E"/>
    <w:rsid w:val="00CE7F56"/>
    <w:rsid w:val="00CF02FC"/>
    <w:rsid w:val="00CF0DA7"/>
    <w:rsid w:val="00D025AB"/>
    <w:rsid w:val="00D0342E"/>
    <w:rsid w:val="00D04965"/>
    <w:rsid w:val="00D05C3E"/>
    <w:rsid w:val="00D05E09"/>
    <w:rsid w:val="00D066DB"/>
    <w:rsid w:val="00D07187"/>
    <w:rsid w:val="00D07350"/>
    <w:rsid w:val="00D11C0C"/>
    <w:rsid w:val="00D12913"/>
    <w:rsid w:val="00D13627"/>
    <w:rsid w:val="00D14AEA"/>
    <w:rsid w:val="00D14C71"/>
    <w:rsid w:val="00D14DB2"/>
    <w:rsid w:val="00D16746"/>
    <w:rsid w:val="00D170C1"/>
    <w:rsid w:val="00D2044A"/>
    <w:rsid w:val="00D22E3D"/>
    <w:rsid w:val="00D23FE7"/>
    <w:rsid w:val="00D24548"/>
    <w:rsid w:val="00D2684A"/>
    <w:rsid w:val="00D26B38"/>
    <w:rsid w:val="00D26C3E"/>
    <w:rsid w:val="00D304B9"/>
    <w:rsid w:val="00D30B6D"/>
    <w:rsid w:val="00D31FD7"/>
    <w:rsid w:val="00D33305"/>
    <w:rsid w:val="00D34AA7"/>
    <w:rsid w:val="00D34D5F"/>
    <w:rsid w:val="00D3679F"/>
    <w:rsid w:val="00D411BD"/>
    <w:rsid w:val="00D414FE"/>
    <w:rsid w:val="00D43FB4"/>
    <w:rsid w:val="00D44FCC"/>
    <w:rsid w:val="00D46482"/>
    <w:rsid w:val="00D46AC7"/>
    <w:rsid w:val="00D5244A"/>
    <w:rsid w:val="00D52980"/>
    <w:rsid w:val="00D52E84"/>
    <w:rsid w:val="00D53F17"/>
    <w:rsid w:val="00D548F1"/>
    <w:rsid w:val="00D55BEE"/>
    <w:rsid w:val="00D55DE5"/>
    <w:rsid w:val="00D55F61"/>
    <w:rsid w:val="00D57B14"/>
    <w:rsid w:val="00D6001B"/>
    <w:rsid w:val="00D60DA1"/>
    <w:rsid w:val="00D63840"/>
    <w:rsid w:val="00D65E0F"/>
    <w:rsid w:val="00D66ED3"/>
    <w:rsid w:val="00D66F97"/>
    <w:rsid w:val="00D67DDD"/>
    <w:rsid w:val="00D711F8"/>
    <w:rsid w:val="00D75731"/>
    <w:rsid w:val="00D7630E"/>
    <w:rsid w:val="00D777D3"/>
    <w:rsid w:val="00D809FB"/>
    <w:rsid w:val="00D80A94"/>
    <w:rsid w:val="00D81245"/>
    <w:rsid w:val="00D82F1C"/>
    <w:rsid w:val="00D831E0"/>
    <w:rsid w:val="00D837D2"/>
    <w:rsid w:val="00D839C9"/>
    <w:rsid w:val="00D83FEE"/>
    <w:rsid w:val="00D85965"/>
    <w:rsid w:val="00D85C26"/>
    <w:rsid w:val="00D85C32"/>
    <w:rsid w:val="00D85C4D"/>
    <w:rsid w:val="00D85F8A"/>
    <w:rsid w:val="00D86279"/>
    <w:rsid w:val="00D86465"/>
    <w:rsid w:val="00D8692B"/>
    <w:rsid w:val="00D87CC3"/>
    <w:rsid w:val="00D9203D"/>
    <w:rsid w:val="00D92992"/>
    <w:rsid w:val="00D94AAB"/>
    <w:rsid w:val="00D95669"/>
    <w:rsid w:val="00D96ECB"/>
    <w:rsid w:val="00DA1F7D"/>
    <w:rsid w:val="00DA2864"/>
    <w:rsid w:val="00DA2935"/>
    <w:rsid w:val="00DA2FCF"/>
    <w:rsid w:val="00DA36B9"/>
    <w:rsid w:val="00DA39F3"/>
    <w:rsid w:val="00DA5835"/>
    <w:rsid w:val="00DA7BCB"/>
    <w:rsid w:val="00DB03A2"/>
    <w:rsid w:val="00DB06BB"/>
    <w:rsid w:val="00DB181F"/>
    <w:rsid w:val="00DB2AC4"/>
    <w:rsid w:val="00DB3600"/>
    <w:rsid w:val="00DB5823"/>
    <w:rsid w:val="00DB7913"/>
    <w:rsid w:val="00DC1AFA"/>
    <w:rsid w:val="00DC1C4A"/>
    <w:rsid w:val="00DC20C4"/>
    <w:rsid w:val="00DC304B"/>
    <w:rsid w:val="00DC3BE8"/>
    <w:rsid w:val="00DC40F8"/>
    <w:rsid w:val="00DC48EE"/>
    <w:rsid w:val="00DC58AA"/>
    <w:rsid w:val="00DC6E52"/>
    <w:rsid w:val="00DC72BC"/>
    <w:rsid w:val="00DC77FA"/>
    <w:rsid w:val="00DD0ADA"/>
    <w:rsid w:val="00DD0F36"/>
    <w:rsid w:val="00DD0F86"/>
    <w:rsid w:val="00DD23E1"/>
    <w:rsid w:val="00DD294C"/>
    <w:rsid w:val="00DD32DD"/>
    <w:rsid w:val="00DD3D06"/>
    <w:rsid w:val="00DD3EED"/>
    <w:rsid w:val="00DD4672"/>
    <w:rsid w:val="00DD6003"/>
    <w:rsid w:val="00DD77F5"/>
    <w:rsid w:val="00DE0F94"/>
    <w:rsid w:val="00DE1B03"/>
    <w:rsid w:val="00DE1BB4"/>
    <w:rsid w:val="00DE31A6"/>
    <w:rsid w:val="00DE414E"/>
    <w:rsid w:val="00DE5328"/>
    <w:rsid w:val="00DE64A7"/>
    <w:rsid w:val="00DE6523"/>
    <w:rsid w:val="00DF1C83"/>
    <w:rsid w:val="00DF599F"/>
    <w:rsid w:val="00DF5A35"/>
    <w:rsid w:val="00DF601E"/>
    <w:rsid w:val="00DF72E1"/>
    <w:rsid w:val="00DF7B00"/>
    <w:rsid w:val="00E00952"/>
    <w:rsid w:val="00E009EC"/>
    <w:rsid w:val="00E035E9"/>
    <w:rsid w:val="00E04D10"/>
    <w:rsid w:val="00E05852"/>
    <w:rsid w:val="00E058BE"/>
    <w:rsid w:val="00E05B56"/>
    <w:rsid w:val="00E06545"/>
    <w:rsid w:val="00E10942"/>
    <w:rsid w:val="00E1145F"/>
    <w:rsid w:val="00E15B00"/>
    <w:rsid w:val="00E16BB5"/>
    <w:rsid w:val="00E16E74"/>
    <w:rsid w:val="00E212A9"/>
    <w:rsid w:val="00E216E9"/>
    <w:rsid w:val="00E22CBB"/>
    <w:rsid w:val="00E235B5"/>
    <w:rsid w:val="00E23905"/>
    <w:rsid w:val="00E24328"/>
    <w:rsid w:val="00E25188"/>
    <w:rsid w:val="00E257A9"/>
    <w:rsid w:val="00E265FD"/>
    <w:rsid w:val="00E27C16"/>
    <w:rsid w:val="00E3033F"/>
    <w:rsid w:val="00E31C15"/>
    <w:rsid w:val="00E335B1"/>
    <w:rsid w:val="00E33822"/>
    <w:rsid w:val="00E33D60"/>
    <w:rsid w:val="00E33FC8"/>
    <w:rsid w:val="00E35FA9"/>
    <w:rsid w:val="00E3620A"/>
    <w:rsid w:val="00E36335"/>
    <w:rsid w:val="00E378A6"/>
    <w:rsid w:val="00E408B2"/>
    <w:rsid w:val="00E41F03"/>
    <w:rsid w:val="00E43617"/>
    <w:rsid w:val="00E43EA7"/>
    <w:rsid w:val="00E467DD"/>
    <w:rsid w:val="00E46B34"/>
    <w:rsid w:val="00E52090"/>
    <w:rsid w:val="00E526AE"/>
    <w:rsid w:val="00E53676"/>
    <w:rsid w:val="00E54075"/>
    <w:rsid w:val="00E55372"/>
    <w:rsid w:val="00E5537E"/>
    <w:rsid w:val="00E55DFB"/>
    <w:rsid w:val="00E55F34"/>
    <w:rsid w:val="00E569E2"/>
    <w:rsid w:val="00E56A1C"/>
    <w:rsid w:val="00E57E50"/>
    <w:rsid w:val="00E60731"/>
    <w:rsid w:val="00E60CAD"/>
    <w:rsid w:val="00E611BC"/>
    <w:rsid w:val="00E6276D"/>
    <w:rsid w:val="00E628BF"/>
    <w:rsid w:val="00E62FB2"/>
    <w:rsid w:val="00E632EF"/>
    <w:rsid w:val="00E64BF4"/>
    <w:rsid w:val="00E664C2"/>
    <w:rsid w:val="00E66634"/>
    <w:rsid w:val="00E66D60"/>
    <w:rsid w:val="00E671AF"/>
    <w:rsid w:val="00E67A46"/>
    <w:rsid w:val="00E718F5"/>
    <w:rsid w:val="00E71DAB"/>
    <w:rsid w:val="00E71EFE"/>
    <w:rsid w:val="00E72A0A"/>
    <w:rsid w:val="00E73BC3"/>
    <w:rsid w:val="00E73C6B"/>
    <w:rsid w:val="00E73F1A"/>
    <w:rsid w:val="00E73F20"/>
    <w:rsid w:val="00E74831"/>
    <w:rsid w:val="00E74CAC"/>
    <w:rsid w:val="00E7572E"/>
    <w:rsid w:val="00E758DB"/>
    <w:rsid w:val="00E77848"/>
    <w:rsid w:val="00E82C27"/>
    <w:rsid w:val="00E83EC2"/>
    <w:rsid w:val="00E8612B"/>
    <w:rsid w:val="00E87C18"/>
    <w:rsid w:val="00E93BE7"/>
    <w:rsid w:val="00E93DD4"/>
    <w:rsid w:val="00E95A25"/>
    <w:rsid w:val="00E96A8C"/>
    <w:rsid w:val="00E96CC8"/>
    <w:rsid w:val="00E97223"/>
    <w:rsid w:val="00E974D9"/>
    <w:rsid w:val="00EA1BB1"/>
    <w:rsid w:val="00EA255C"/>
    <w:rsid w:val="00EA28B6"/>
    <w:rsid w:val="00EA2E42"/>
    <w:rsid w:val="00EA3570"/>
    <w:rsid w:val="00EA4B32"/>
    <w:rsid w:val="00EA707C"/>
    <w:rsid w:val="00EA7683"/>
    <w:rsid w:val="00EA7C23"/>
    <w:rsid w:val="00EB17CD"/>
    <w:rsid w:val="00EB254D"/>
    <w:rsid w:val="00EB54FB"/>
    <w:rsid w:val="00EB5B20"/>
    <w:rsid w:val="00EB734A"/>
    <w:rsid w:val="00EC0114"/>
    <w:rsid w:val="00EC1F13"/>
    <w:rsid w:val="00EC369C"/>
    <w:rsid w:val="00EC446A"/>
    <w:rsid w:val="00EC4B35"/>
    <w:rsid w:val="00EC58B9"/>
    <w:rsid w:val="00EC5AC4"/>
    <w:rsid w:val="00EC7C75"/>
    <w:rsid w:val="00ED0162"/>
    <w:rsid w:val="00ED07D7"/>
    <w:rsid w:val="00ED130E"/>
    <w:rsid w:val="00ED1453"/>
    <w:rsid w:val="00ED260E"/>
    <w:rsid w:val="00ED3A17"/>
    <w:rsid w:val="00ED5391"/>
    <w:rsid w:val="00ED5CF8"/>
    <w:rsid w:val="00ED6E86"/>
    <w:rsid w:val="00EE01B7"/>
    <w:rsid w:val="00EE0A6A"/>
    <w:rsid w:val="00EE2160"/>
    <w:rsid w:val="00EE270D"/>
    <w:rsid w:val="00EE2E6C"/>
    <w:rsid w:val="00EE4AE0"/>
    <w:rsid w:val="00EE606F"/>
    <w:rsid w:val="00EE74E3"/>
    <w:rsid w:val="00EF0D76"/>
    <w:rsid w:val="00EF11F5"/>
    <w:rsid w:val="00EF285F"/>
    <w:rsid w:val="00EF326F"/>
    <w:rsid w:val="00EF3932"/>
    <w:rsid w:val="00EF5191"/>
    <w:rsid w:val="00EF5CD3"/>
    <w:rsid w:val="00EF63DE"/>
    <w:rsid w:val="00EF68F2"/>
    <w:rsid w:val="00EF7467"/>
    <w:rsid w:val="00F00B10"/>
    <w:rsid w:val="00F060C9"/>
    <w:rsid w:val="00F06EC8"/>
    <w:rsid w:val="00F070FD"/>
    <w:rsid w:val="00F07847"/>
    <w:rsid w:val="00F10F03"/>
    <w:rsid w:val="00F12785"/>
    <w:rsid w:val="00F135FB"/>
    <w:rsid w:val="00F14FB3"/>
    <w:rsid w:val="00F17ADA"/>
    <w:rsid w:val="00F201A2"/>
    <w:rsid w:val="00F202BF"/>
    <w:rsid w:val="00F218F6"/>
    <w:rsid w:val="00F22E7F"/>
    <w:rsid w:val="00F231C9"/>
    <w:rsid w:val="00F2352C"/>
    <w:rsid w:val="00F237F6"/>
    <w:rsid w:val="00F23EAF"/>
    <w:rsid w:val="00F25CB8"/>
    <w:rsid w:val="00F260C8"/>
    <w:rsid w:val="00F2644E"/>
    <w:rsid w:val="00F26E30"/>
    <w:rsid w:val="00F311D7"/>
    <w:rsid w:val="00F3143F"/>
    <w:rsid w:val="00F35892"/>
    <w:rsid w:val="00F37154"/>
    <w:rsid w:val="00F37378"/>
    <w:rsid w:val="00F37C0C"/>
    <w:rsid w:val="00F401CC"/>
    <w:rsid w:val="00F4137B"/>
    <w:rsid w:val="00F416AE"/>
    <w:rsid w:val="00F422D9"/>
    <w:rsid w:val="00F4291E"/>
    <w:rsid w:val="00F435EC"/>
    <w:rsid w:val="00F437A6"/>
    <w:rsid w:val="00F43C58"/>
    <w:rsid w:val="00F45AF5"/>
    <w:rsid w:val="00F45F20"/>
    <w:rsid w:val="00F463B7"/>
    <w:rsid w:val="00F5047A"/>
    <w:rsid w:val="00F50A20"/>
    <w:rsid w:val="00F50AD3"/>
    <w:rsid w:val="00F50E90"/>
    <w:rsid w:val="00F51003"/>
    <w:rsid w:val="00F512F4"/>
    <w:rsid w:val="00F52AA4"/>
    <w:rsid w:val="00F532C3"/>
    <w:rsid w:val="00F5466E"/>
    <w:rsid w:val="00F61E1F"/>
    <w:rsid w:val="00F62633"/>
    <w:rsid w:val="00F62771"/>
    <w:rsid w:val="00F66E52"/>
    <w:rsid w:val="00F6726A"/>
    <w:rsid w:val="00F702E5"/>
    <w:rsid w:val="00F71DFA"/>
    <w:rsid w:val="00F7215D"/>
    <w:rsid w:val="00F7240E"/>
    <w:rsid w:val="00F72478"/>
    <w:rsid w:val="00F754D5"/>
    <w:rsid w:val="00F774DE"/>
    <w:rsid w:val="00F77CA1"/>
    <w:rsid w:val="00F77F4B"/>
    <w:rsid w:val="00F8084A"/>
    <w:rsid w:val="00F80A2C"/>
    <w:rsid w:val="00F8117F"/>
    <w:rsid w:val="00F82A3E"/>
    <w:rsid w:val="00F85022"/>
    <w:rsid w:val="00F85243"/>
    <w:rsid w:val="00F8569B"/>
    <w:rsid w:val="00F85DC5"/>
    <w:rsid w:val="00F86118"/>
    <w:rsid w:val="00F86492"/>
    <w:rsid w:val="00F870F0"/>
    <w:rsid w:val="00F9151A"/>
    <w:rsid w:val="00F91DA7"/>
    <w:rsid w:val="00F9306A"/>
    <w:rsid w:val="00F93643"/>
    <w:rsid w:val="00F94A61"/>
    <w:rsid w:val="00F94B80"/>
    <w:rsid w:val="00F96817"/>
    <w:rsid w:val="00FA2F9E"/>
    <w:rsid w:val="00FA4B4C"/>
    <w:rsid w:val="00FA51B5"/>
    <w:rsid w:val="00FA52F0"/>
    <w:rsid w:val="00FA6C6C"/>
    <w:rsid w:val="00FB0481"/>
    <w:rsid w:val="00FB0660"/>
    <w:rsid w:val="00FB22A5"/>
    <w:rsid w:val="00FB2F61"/>
    <w:rsid w:val="00FB317C"/>
    <w:rsid w:val="00FB4011"/>
    <w:rsid w:val="00FB4483"/>
    <w:rsid w:val="00FB46B7"/>
    <w:rsid w:val="00FB4977"/>
    <w:rsid w:val="00FB6323"/>
    <w:rsid w:val="00FB687D"/>
    <w:rsid w:val="00FC2988"/>
    <w:rsid w:val="00FC3503"/>
    <w:rsid w:val="00FC3A73"/>
    <w:rsid w:val="00FC4009"/>
    <w:rsid w:val="00FC4EEE"/>
    <w:rsid w:val="00FC53E4"/>
    <w:rsid w:val="00FC7544"/>
    <w:rsid w:val="00FD0E59"/>
    <w:rsid w:val="00FD389A"/>
    <w:rsid w:val="00FD51F3"/>
    <w:rsid w:val="00FD691D"/>
    <w:rsid w:val="00FE3A44"/>
    <w:rsid w:val="00FE4E83"/>
    <w:rsid w:val="00FE514A"/>
    <w:rsid w:val="00FF238A"/>
    <w:rsid w:val="00FF35C1"/>
    <w:rsid w:val="00FF5C2B"/>
    <w:rsid w:val="00FF680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7ED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E60"/>
    <w:pPr>
      <w:spacing w:after="140" w:line="290" w:lineRule="auto"/>
      <w:jc w:val="both"/>
    </w:pPr>
    <w:rPr>
      <w:rFonts w:ascii="Tahoma" w:eastAsia="Times New Roman" w:hAnsi="Tahoma"/>
      <w:szCs w:val="24"/>
      <w:lang w:eastAsia="en-US"/>
    </w:rPr>
  </w:style>
  <w:style w:type="paragraph" w:styleId="Ttulo1">
    <w:name w:val="heading 1"/>
    <w:basedOn w:val="Head1"/>
    <w:next w:val="Normal"/>
    <w:link w:val="Ttulo1Char"/>
    <w:qFormat/>
    <w:rsid w:val="00883E60"/>
    <w:rPr>
      <w:rFonts w:cs="Arial"/>
      <w:bCs/>
      <w:sz w:val="21"/>
      <w:szCs w:val="32"/>
    </w:rPr>
  </w:style>
  <w:style w:type="paragraph" w:styleId="Ttulo2">
    <w:name w:val="heading 2"/>
    <w:basedOn w:val="Head2"/>
    <w:next w:val="Normal"/>
    <w:link w:val="Ttulo2Char"/>
    <w:qFormat/>
    <w:rsid w:val="00883E60"/>
    <w:rPr>
      <w:rFonts w:cs="Arial"/>
      <w:bCs/>
      <w:iCs/>
      <w:szCs w:val="28"/>
    </w:rPr>
  </w:style>
  <w:style w:type="paragraph" w:styleId="Ttulo3">
    <w:name w:val="heading 3"/>
    <w:basedOn w:val="Head3"/>
    <w:next w:val="Normal"/>
    <w:link w:val="Ttulo3Char"/>
    <w:qFormat/>
    <w:rsid w:val="00883E60"/>
    <w:rPr>
      <w:rFonts w:cs="Arial"/>
      <w:bCs/>
      <w:szCs w:val="26"/>
    </w:rPr>
  </w:style>
  <w:style w:type="paragraph" w:styleId="Ttulo4">
    <w:name w:val="heading 4"/>
    <w:basedOn w:val="Normal"/>
    <w:next w:val="Normal"/>
    <w:link w:val="Ttulo4Char"/>
    <w:qFormat/>
    <w:rsid w:val="00883E60"/>
    <w:pPr>
      <w:outlineLvl w:val="3"/>
    </w:pPr>
    <w:rPr>
      <w:bCs/>
      <w:szCs w:val="28"/>
    </w:rPr>
  </w:style>
  <w:style w:type="paragraph" w:styleId="Ttulo5">
    <w:name w:val="heading 5"/>
    <w:basedOn w:val="Normal"/>
    <w:next w:val="Normal"/>
    <w:link w:val="Ttulo5Char"/>
    <w:qFormat/>
    <w:rsid w:val="00883E60"/>
    <w:pPr>
      <w:outlineLvl w:val="4"/>
    </w:pPr>
    <w:rPr>
      <w:bCs/>
      <w:iCs/>
      <w:szCs w:val="26"/>
    </w:rPr>
  </w:style>
  <w:style w:type="paragraph" w:styleId="Ttulo6">
    <w:name w:val="heading 6"/>
    <w:basedOn w:val="Normal"/>
    <w:next w:val="Normal"/>
    <w:link w:val="Ttulo6Char"/>
    <w:qFormat/>
    <w:rsid w:val="00883E60"/>
    <w:pPr>
      <w:outlineLvl w:val="5"/>
    </w:pPr>
    <w:rPr>
      <w:bCs/>
      <w:szCs w:val="22"/>
    </w:rPr>
  </w:style>
  <w:style w:type="paragraph" w:styleId="Ttulo7">
    <w:name w:val="heading 7"/>
    <w:basedOn w:val="Normal"/>
    <w:next w:val="Normal"/>
    <w:link w:val="Ttulo7Char"/>
    <w:qFormat/>
    <w:rsid w:val="00883E60"/>
    <w:pPr>
      <w:outlineLvl w:val="6"/>
    </w:pPr>
  </w:style>
  <w:style w:type="paragraph" w:styleId="Ttulo8">
    <w:name w:val="heading 8"/>
    <w:basedOn w:val="Normal"/>
    <w:next w:val="Normal"/>
    <w:link w:val="Ttulo8Char"/>
    <w:qFormat/>
    <w:rsid w:val="00883E60"/>
    <w:pPr>
      <w:outlineLvl w:val="7"/>
    </w:pPr>
    <w:rPr>
      <w:iCs/>
    </w:rPr>
  </w:style>
  <w:style w:type="paragraph" w:styleId="Ttulo9">
    <w:name w:val="heading 9"/>
    <w:basedOn w:val="Normal"/>
    <w:next w:val="Normal"/>
    <w:link w:val="Ttulo9Char"/>
    <w:qFormat/>
    <w:rsid w:val="00883E6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83E60"/>
    <w:pPr>
      <w:tabs>
        <w:tab w:val="center" w:pos="4366"/>
        <w:tab w:val="right" w:pos="8732"/>
      </w:tabs>
    </w:pPr>
    <w:rPr>
      <w:kern w:val="20"/>
    </w:rPr>
  </w:style>
  <w:style w:type="character" w:customStyle="1" w:styleId="CabealhoChar">
    <w:name w:val="Cabeçalho Char"/>
    <w:basedOn w:val="Fontepargpadro"/>
    <w:link w:val="Cabealho"/>
    <w:rsid w:val="00883E60"/>
    <w:rPr>
      <w:rFonts w:ascii="Tahoma" w:eastAsia="Times New Roman" w:hAnsi="Tahoma"/>
      <w:kern w:val="20"/>
      <w:szCs w:val="24"/>
      <w:lang w:eastAsia="en-US"/>
    </w:rPr>
  </w:style>
  <w:style w:type="paragraph" w:styleId="Rodap">
    <w:name w:val="footer"/>
    <w:basedOn w:val="Normal"/>
    <w:link w:val="RodapChar"/>
    <w:rsid w:val="00883E60"/>
    <w:rPr>
      <w:kern w:val="16"/>
      <w:sz w:val="16"/>
    </w:rPr>
  </w:style>
  <w:style w:type="character" w:customStyle="1" w:styleId="RodapChar">
    <w:name w:val="Rodapé Char"/>
    <w:basedOn w:val="Fontepargpadro"/>
    <w:link w:val="Rodap"/>
    <w:rsid w:val="00883E60"/>
    <w:rPr>
      <w:rFonts w:ascii="Tahoma" w:eastAsia="Times New Roman" w:hAnsi="Tahoma"/>
      <w:kern w:val="16"/>
      <w:sz w:val="16"/>
      <w:szCs w:val="24"/>
      <w:lang w:eastAsia="en-US"/>
    </w:rPr>
  </w:style>
  <w:style w:type="character" w:customStyle="1" w:styleId="Ttulo1Char">
    <w:name w:val="Título 1 Char"/>
    <w:basedOn w:val="Fontepargpadro"/>
    <w:link w:val="Ttulo1"/>
    <w:rsid w:val="00883E60"/>
    <w:rPr>
      <w:rFonts w:ascii="Tahoma" w:eastAsia="Times New Roman" w:hAnsi="Tahoma" w:cs="Arial"/>
      <w:b/>
      <w:bCs/>
      <w:kern w:val="22"/>
      <w:sz w:val="21"/>
      <w:szCs w:val="32"/>
      <w:lang w:eastAsia="en-US"/>
    </w:rPr>
  </w:style>
  <w:style w:type="paragraph" w:customStyle="1" w:styleId="Ttulo21">
    <w:name w:val="Título 21"/>
    <w:aliases w:val="h2"/>
    <w:basedOn w:val="Normal"/>
    <w:next w:val="Normal"/>
    <w:pPr>
      <w:keepNext/>
      <w:jc w:val="center"/>
      <w:outlineLvl w:val="1"/>
    </w:pPr>
    <w:rPr>
      <w:rFonts w:ascii="Univers" w:hAnsi="Univers" w:cs="Univers"/>
      <w:b/>
      <w:bCs/>
    </w:rPr>
  </w:style>
  <w:style w:type="paragraph" w:styleId="Corpodetexto">
    <w:name w:val="Body Text"/>
    <w:aliases w:val="body text,bt"/>
    <w:basedOn w:val="Normal"/>
    <w:link w:val="CorpodetextoChar1"/>
    <w:rPr>
      <w:sz w:val="18"/>
    </w:rPr>
  </w:style>
  <w:style w:type="character" w:customStyle="1" w:styleId="CorpodetextoChar">
    <w:name w:val="Corpo de texto Char"/>
    <w:aliases w:val="bt Char"/>
    <w:rPr>
      <w:rFonts w:ascii="Times New Roman" w:eastAsia="Times New Roman" w:hAnsi="Times New Roman" w:cs="Times New Roman"/>
      <w:snapToGrid w:val="0"/>
      <w:sz w:val="24"/>
      <w:szCs w:val="24"/>
      <w:lang w:eastAsia="pt-BR"/>
    </w:rPr>
  </w:style>
  <w:style w:type="paragraph" w:styleId="Corpodetexto3">
    <w:name w:val="Body Text 3"/>
    <w:basedOn w:val="Normal"/>
    <w:link w:val="Corpodetexto3Char"/>
    <w:pPr>
      <w:tabs>
        <w:tab w:val="left" w:pos="709"/>
      </w:tabs>
    </w:pPr>
    <w:rPr>
      <w:b/>
      <w:bCs/>
    </w:rPr>
  </w:style>
  <w:style w:type="character" w:customStyle="1" w:styleId="Corpodetexto3Char">
    <w:name w:val="Corpo de texto 3 Char"/>
    <w:link w:val="Corpodetexto3"/>
    <w:rPr>
      <w:rFonts w:ascii="Times New Roman" w:eastAsia="Times New Roman" w:hAnsi="Times New Roman" w:cs="Times New Roman"/>
      <w:b/>
      <w:bCs/>
      <w:snapToGrid w:val="0"/>
      <w:sz w:val="24"/>
      <w:szCs w:val="24"/>
      <w:lang w:val="pt-BR" w:eastAsia="pt-BR"/>
    </w:rPr>
  </w:style>
  <w:style w:type="paragraph" w:styleId="MapadoDocumento">
    <w:name w:val="Document Map"/>
    <w:basedOn w:val="Normal"/>
    <w:link w:val="MapadoDocumentoChar1"/>
    <w:hidden/>
    <w:rPr>
      <w:lang w:val="x-none"/>
    </w:rPr>
  </w:style>
  <w:style w:type="character" w:customStyle="1" w:styleId="MapadoDocumentoChar">
    <w:name w:val="Mapa do Documento Char"/>
    <w:rPr>
      <w:rFonts w:ascii="Tahoma" w:eastAsia="Times New Roman" w:hAnsi="Tahoma" w:cs="Tahoma"/>
      <w:snapToGrid w:val="0"/>
      <w:sz w:val="16"/>
      <w:szCs w:val="16"/>
      <w:lang w:eastAsia="pt-BR"/>
    </w:rPr>
  </w:style>
  <w:style w:type="character" w:customStyle="1" w:styleId="MapadoDocumentoChar1">
    <w:name w:val="Mapa do Documento Char1"/>
    <w:link w:val="MapadoDocumento"/>
    <w:uiPriority w:val="99"/>
    <w:locked/>
    <w:rPr>
      <w:rFonts w:ascii="Times New Roman" w:eastAsia="Times New Roman" w:hAnsi="Times New Roman" w:cs="Times New Roman"/>
      <w:snapToGrid w:val="0"/>
      <w:sz w:val="24"/>
      <w:szCs w:val="24"/>
      <w:lang w:eastAsia="pt-BR"/>
    </w:rPr>
  </w:style>
  <w:style w:type="paragraph" w:customStyle="1" w:styleId="ListParagraph1">
    <w:name w:val="List Paragraph1"/>
    <w:basedOn w:val="Normal"/>
    <w:qFormat/>
    <w:pPr>
      <w:ind w:left="708"/>
    </w:pPr>
  </w:style>
  <w:style w:type="paragraph" w:customStyle="1" w:styleId="normal1">
    <w:name w:val="normal1"/>
    <w:basedOn w:val="Normal"/>
    <w:pPr>
      <w:spacing w:after="240"/>
      <w:ind w:firstLine="720"/>
    </w:pPr>
  </w:style>
  <w:style w:type="character" w:styleId="Refdenotaderodap">
    <w:name w:val="footnote reference"/>
    <w:basedOn w:val="Fontepargpadro"/>
    <w:rsid w:val="00883E60"/>
    <w:rPr>
      <w:rFonts w:ascii="Tahoma" w:hAnsi="Tahoma"/>
      <w:kern w:val="2"/>
      <w:vertAlign w:val="superscript"/>
    </w:rPr>
  </w:style>
  <w:style w:type="paragraph" w:styleId="Primeirorecuodecorpodetexto">
    <w:name w:val="Body Text First Indent"/>
    <w:basedOn w:val="Corpodetexto"/>
    <w:link w:val="PrimeirorecuodecorpodetextoChar"/>
    <w:pPr>
      <w:ind w:firstLine="210"/>
    </w:pPr>
    <w:rPr>
      <w:sz w:val="24"/>
    </w:rPr>
  </w:style>
  <w:style w:type="character" w:customStyle="1" w:styleId="PrimeirorecuodecorpodetextoChar">
    <w:name w:val="Primeiro recuo de corpo de texto Char"/>
    <w:basedOn w:val="CorpodetextoChar"/>
    <w:link w:val="Primeirorecuodecorpodetexto"/>
    <w:rPr>
      <w:rFonts w:ascii="Times New Roman" w:eastAsia="Times New Roman" w:hAnsi="Times New Roman" w:cs="Times New Roman"/>
      <w:snapToGrid w:val="0"/>
      <w:sz w:val="24"/>
      <w:szCs w:val="24"/>
      <w:lang w:eastAsia="pt-BR"/>
    </w:rPr>
  </w:style>
  <w:style w:type="character" w:styleId="Nmerodepgina">
    <w:name w:val="page number"/>
    <w:basedOn w:val="Fontepargpadro"/>
    <w:rsid w:val="00883E60"/>
    <w:rPr>
      <w:rFonts w:ascii="Tahoma" w:hAnsi="Tahoma"/>
      <w:sz w:val="20"/>
    </w:rPr>
  </w:style>
  <w:style w:type="paragraph" w:customStyle="1" w:styleId="TableText">
    <w:name w:val="Table Text"/>
    <w:basedOn w:val="Normal"/>
    <w:rPr>
      <w:snapToGrid w:val="0"/>
    </w:rPr>
  </w:style>
  <w:style w:type="paragraph" w:customStyle="1" w:styleId="Title5">
    <w:name w:val="Title5"/>
    <w:basedOn w:val="Normal"/>
    <w:next w:val="Primeirorecuodecorpodetexto"/>
    <w:pPr>
      <w:spacing w:after="240"/>
      <w:jc w:val="center"/>
    </w:pPr>
    <w:rPr>
      <w:snapToGrid w:val="0"/>
    </w:rPr>
  </w:style>
  <w:style w:type="paragraph" w:customStyle="1" w:styleId="CompanyName">
    <w:name w:val="Company Name"/>
    <w:basedOn w:val="Normal"/>
    <w:pPr>
      <w:spacing w:after="240"/>
    </w:pPr>
    <w:rPr>
      <w:caps/>
      <w:snapToGrid w:val="0"/>
    </w:rPr>
  </w:style>
  <w:style w:type="paragraph" w:customStyle="1" w:styleId="By">
    <w:name w:val="By"/>
    <w:basedOn w:val="Normal"/>
    <w:pPr>
      <w:ind w:left="360"/>
    </w:pPr>
    <w:rPr>
      <w:snapToGrid w:val="0"/>
    </w:rPr>
  </w:style>
  <w:style w:type="character" w:styleId="Hyperlink">
    <w:name w:val="Hyperlink"/>
    <w:basedOn w:val="Fontepargpadro"/>
    <w:rsid w:val="00883E60"/>
    <w:rPr>
      <w:rFonts w:ascii="Tahoma" w:hAnsi="Tahoma"/>
      <w:color w:val="auto"/>
      <w:u w:val="none"/>
    </w:rPr>
  </w:style>
  <w:style w:type="paragraph" w:customStyle="1" w:styleId="NormalPlain">
    <w:name w:val="NormalPlain"/>
    <w:basedOn w:val="Normal"/>
    <w:pPr>
      <w:suppressAutoHyphens/>
      <w:overflowPunct w:val="0"/>
      <w:textAlignment w:val="baseline"/>
    </w:pPr>
    <w:rPr>
      <w:snapToGrid w:val="0"/>
      <w:spacing w:val="-3"/>
      <w:szCs w:val="20"/>
    </w:rPr>
  </w:style>
  <w:style w:type="paragraph" w:customStyle="1" w:styleId="Corporate1L1">
    <w:name w:val="Corporate1_L1"/>
    <w:basedOn w:val="Normal"/>
    <w:next w:val="Corpodetexto"/>
    <w:pPr>
      <w:numPr>
        <w:numId w:val="1"/>
      </w:numPr>
      <w:spacing w:after="240"/>
      <w:outlineLvl w:val="0"/>
    </w:pPr>
    <w:rPr>
      <w:snapToGrid w:val="0"/>
      <w:szCs w:val="20"/>
    </w:rPr>
  </w:style>
  <w:style w:type="paragraph" w:customStyle="1" w:styleId="Corporate1L2">
    <w:name w:val="Corporate1_L2"/>
    <w:basedOn w:val="Corporate1L1"/>
    <w:next w:val="Corpodetexto"/>
    <w:autoRedefine/>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pPr>
      <w:numPr>
        <w:ilvl w:val="6"/>
      </w:numPr>
      <w:tabs>
        <w:tab w:val="clear" w:pos="1800"/>
        <w:tab w:val="num" w:pos="360"/>
        <w:tab w:val="num" w:pos="624"/>
      </w:tabs>
      <w:ind w:firstLine="0"/>
      <w:outlineLvl w:val="6"/>
    </w:pPr>
  </w:style>
  <w:style w:type="paragraph" w:styleId="Remetente">
    <w:name w:val="envelope return"/>
    <w:basedOn w:val="Normal"/>
    <w:pPr>
      <w:overflowPunct w:val="0"/>
      <w:textAlignment w:val="baseline"/>
    </w:pPr>
    <w:rPr>
      <w:rFonts w:cs="Courier New"/>
      <w:snapToGrid w:val="0"/>
      <w:szCs w:val="20"/>
    </w:rPr>
  </w:style>
  <w:style w:type="paragraph" w:customStyle="1" w:styleId="BodyTextContinued">
    <w:name w:val="Body Text Continued"/>
    <w:basedOn w:val="Normal"/>
    <w:next w:val="Normal"/>
    <w:pPr>
      <w:spacing w:after="240"/>
    </w:pPr>
    <w:rPr>
      <w:snapToGrid w:val="0"/>
      <w:szCs w:val="20"/>
    </w:rPr>
  </w:style>
  <w:style w:type="paragraph" w:styleId="Textodenotaderodap">
    <w:name w:val="footnote text"/>
    <w:basedOn w:val="Normal"/>
    <w:link w:val="TextodenotaderodapChar"/>
    <w:rsid w:val="00883E60"/>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883E60"/>
    <w:rPr>
      <w:rFonts w:ascii="Tahoma" w:eastAsia="Times New Roman" w:hAnsi="Tahoma"/>
      <w:kern w:val="20"/>
      <w:sz w:val="16"/>
      <w:lang w:eastAsia="en-US"/>
    </w:rPr>
  </w:style>
  <w:style w:type="paragraph" w:styleId="Textodebalo">
    <w:name w:val="Balloon Text"/>
    <w:basedOn w:val="Normal"/>
    <w:link w:val="TextodebaloChar"/>
    <w:unhideWhenUsed/>
    <w:rPr>
      <w:sz w:val="16"/>
      <w:szCs w:val="16"/>
      <w:lang w:val="x-none"/>
    </w:rPr>
  </w:style>
  <w:style w:type="character" w:customStyle="1" w:styleId="TextodebaloChar">
    <w:name w:val="Texto de balão Char"/>
    <w:link w:val="Textodebalo"/>
    <w:rPr>
      <w:rFonts w:ascii="Tahoma" w:eastAsia="Times New Roman" w:hAnsi="Tahoma" w:cs="Tahoma"/>
      <w:snapToGrid w:val="0"/>
      <w:sz w:val="16"/>
      <w:szCs w:val="16"/>
      <w:lang w:eastAsia="pt-BR"/>
    </w:rPr>
  </w:style>
  <w:style w:type="paragraph" w:styleId="TextosemFormatao">
    <w:name w:val="Plain Text"/>
    <w:basedOn w:val="Normal"/>
    <w:link w:val="TextosemFormataoChar"/>
    <w:uiPriority w:val="99"/>
    <w:unhideWhenUsed/>
    <w:pPr>
      <w:textAlignment w:val="baseline"/>
    </w:pPr>
    <w:rPr>
      <w:rFonts w:ascii="Consolas" w:eastAsia="MS Mincho" w:hAnsi="Consolas"/>
      <w:snapToGrid w:val="0"/>
      <w:sz w:val="21"/>
      <w:szCs w:val="21"/>
      <w:lang w:eastAsia="x-none"/>
    </w:rPr>
  </w:style>
  <w:style w:type="character" w:customStyle="1" w:styleId="TextosemFormataoChar">
    <w:name w:val="Texto sem Formatação Char"/>
    <w:link w:val="TextosemFormatao"/>
    <w:uiPriority w:val="99"/>
    <w:rPr>
      <w:rFonts w:ascii="Consolas" w:hAnsi="Consolas"/>
      <w:sz w:val="21"/>
      <w:szCs w:val="21"/>
      <w:lang w:val="pt-BR" w:eastAsia="x-none"/>
    </w:rPr>
  </w:style>
  <w:style w:type="paragraph" w:styleId="Reviso">
    <w:name w:val="Revision"/>
    <w:hidden/>
    <w:uiPriority w:val="99"/>
    <w:rPr>
      <w:rFonts w:ascii="Times New Roman" w:eastAsia="Times New Roman" w:hAnsi="Times New Roman"/>
      <w:snapToGrid w:val="0"/>
      <w:sz w:val="24"/>
      <w:szCs w:val="24"/>
      <w:lang w:val="en-US"/>
    </w:rPr>
  </w:style>
  <w:style w:type="paragraph" w:styleId="PargrafodaLista">
    <w:name w:val="List Paragraph"/>
    <w:basedOn w:val="Normal"/>
    <w:link w:val="PargrafodaListaChar1"/>
    <w:uiPriority w:val="34"/>
    <w:qFormat/>
    <w:rsid w:val="00883E60"/>
    <w:pPr>
      <w:ind w:left="720"/>
      <w:contextualSpacing/>
    </w:pPr>
  </w:style>
  <w:style w:type="paragraph" w:customStyle="1" w:styleId="Default">
    <w:name w:val="Default"/>
    <w:rsid w:val="00883E60"/>
    <w:pPr>
      <w:autoSpaceDE w:val="0"/>
      <w:autoSpaceDN w:val="0"/>
      <w:adjustRightInd w:val="0"/>
    </w:pPr>
    <w:rPr>
      <w:rFonts w:ascii="Tahoma" w:eastAsia="Times New Roman" w:hAnsi="Tahoma" w:cs="Tahoma"/>
      <w:color w:val="000000"/>
      <w:sz w:val="24"/>
      <w:szCs w:val="24"/>
    </w:rPr>
  </w:style>
  <w:style w:type="character" w:customStyle="1" w:styleId="Ttulo3Char">
    <w:name w:val="Título 3 Char"/>
    <w:basedOn w:val="Fontepargpadro"/>
    <w:link w:val="Ttulo3"/>
    <w:rsid w:val="00883E60"/>
    <w:rPr>
      <w:rFonts w:ascii="Tahoma" w:eastAsia="Times New Roman" w:hAnsi="Tahoma" w:cs="Arial"/>
      <w:b/>
      <w:bCs/>
      <w:kern w:val="20"/>
      <w:szCs w:val="26"/>
      <w:lang w:eastAsia="en-US"/>
    </w:rPr>
  </w:style>
  <w:style w:type="character" w:customStyle="1" w:styleId="Ttulo2Char">
    <w:name w:val="Título 2 Char"/>
    <w:basedOn w:val="Fontepargpadro"/>
    <w:link w:val="Ttulo2"/>
    <w:rsid w:val="00883E60"/>
    <w:rPr>
      <w:rFonts w:ascii="Tahoma" w:eastAsia="Times New Roman" w:hAnsi="Tahoma" w:cs="Arial"/>
      <w:b/>
      <w:bCs/>
      <w:iCs/>
      <w:kern w:val="21"/>
      <w:sz w:val="21"/>
      <w:szCs w:val="28"/>
      <w:lang w:eastAsia="en-US"/>
    </w:rPr>
  </w:style>
  <w:style w:type="character" w:customStyle="1" w:styleId="Ttulo4Char">
    <w:name w:val="Título 4 Char"/>
    <w:basedOn w:val="Fontepargpadro"/>
    <w:link w:val="Ttulo4"/>
    <w:rsid w:val="00883E60"/>
    <w:rPr>
      <w:rFonts w:ascii="Tahoma" w:eastAsia="Times New Roman" w:hAnsi="Tahoma"/>
      <w:bCs/>
      <w:szCs w:val="28"/>
      <w:lang w:eastAsia="en-US"/>
    </w:rPr>
  </w:style>
  <w:style w:type="character" w:customStyle="1" w:styleId="Ttulo5Char">
    <w:name w:val="Título 5 Char"/>
    <w:basedOn w:val="Fontepargpadro"/>
    <w:link w:val="Ttulo5"/>
    <w:rsid w:val="00883E60"/>
    <w:rPr>
      <w:rFonts w:ascii="Tahoma" w:eastAsia="Times New Roman" w:hAnsi="Tahoma"/>
      <w:bCs/>
      <w:iCs/>
      <w:szCs w:val="26"/>
      <w:lang w:eastAsia="en-US"/>
    </w:rPr>
  </w:style>
  <w:style w:type="character" w:customStyle="1" w:styleId="Ttulo6Char">
    <w:name w:val="Título 6 Char"/>
    <w:basedOn w:val="Fontepargpadro"/>
    <w:link w:val="Ttulo6"/>
    <w:rsid w:val="00883E60"/>
    <w:rPr>
      <w:rFonts w:ascii="Tahoma" w:eastAsia="Times New Roman" w:hAnsi="Tahoma"/>
      <w:bCs/>
      <w:szCs w:val="22"/>
      <w:lang w:eastAsia="en-US"/>
    </w:rPr>
  </w:style>
  <w:style w:type="character" w:customStyle="1" w:styleId="Ttulo7Char">
    <w:name w:val="Título 7 Char"/>
    <w:basedOn w:val="Fontepargpadro"/>
    <w:link w:val="Ttulo7"/>
    <w:rsid w:val="00883E60"/>
    <w:rPr>
      <w:rFonts w:ascii="Tahoma" w:eastAsia="Times New Roman" w:hAnsi="Tahoma"/>
      <w:szCs w:val="24"/>
      <w:lang w:eastAsia="en-US"/>
    </w:rPr>
  </w:style>
  <w:style w:type="character" w:customStyle="1" w:styleId="Ttulo8Char">
    <w:name w:val="Título 8 Char"/>
    <w:basedOn w:val="Fontepargpadro"/>
    <w:link w:val="Ttulo8"/>
    <w:rsid w:val="00883E60"/>
    <w:rPr>
      <w:rFonts w:ascii="Tahoma" w:eastAsia="Times New Roman" w:hAnsi="Tahoma"/>
      <w:iCs/>
      <w:szCs w:val="24"/>
      <w:lang w:eastAsia="en-US"/>
    </w:rPr>
  </w:style>
  <w:style w:type="character" w:customStyle="1" w:styleId="Ttulo9Char">
    <w:name w:val="Título 9 Char"/>
    <w:basedOn w:val="Fontepargpadro"/>
    <w:link w:val="Ttulo9"/>
    <w:rsid w:val="00883E60"/>
    <w:rPr>
      <w:rFonts w:ascii="Tahoma" w:eastAsia="Times New Roman" w:hAnsi="Tahoma" w:cs="Arial"/>
      <w:szCs w:val="22"/>
      <w:lang w:eastAsia="en-US"/>
    </w:rPr>
  </w:style>
  <w:style w:type="paragraph" w:styleId="Textoembloco">
    <w:name w:val="Block Text"/>
    <w:basedOn w:val="Normal"/>
    <w:link w:val="TextoemblocoChar"/>
    <w:pPr>
      <w:spacing w:after="240"/>
    </w:pPr>
    <w:rPr>
      <w:rFonts w:eastAsia="SimSun"/>
      <w:iCs/>
      <w:snapToGrid w:val="0"/>
      <w:szCs w:val="20"/>
      <w:lang w:val="x-none" w:eastAsia="x-none"/>
    </w:rPr>
  </w:style>
  <w:style w:type="character" w:customStyle="1" w:styleId="TextoemblocoChar">
    <w:name w:val="Texto em bloco Char"/>
    <w:link w:val="Textoembloco"/>
    <w:rPr>
      <w:rFonts w:ascii="Times New Roman" w:eastAsia="SimSun" w:hAnsi="Times New Roman"/>
      <w:iCs/>
      <w:lang w:val="x-none" w:eastAsia="x-none"/>
    </w:rPr>
  </w:style>
  <w:style w:type="paragraph" w:customStyle="1" w:styleId="UK10Block05">
    <w:name w:val="UK10 Block 0.5"/>
    <w:basedOn w:val="Normal"/>
    <w:link w:val="UK10Block05Char"/>
    <w:pPr>
      <w:spacing w:after="240" w:line="246" w:lineRule="atLeast"/>
      <w:ind w:left="720"/>
    </w:pPr>
    <w:rPr>
      <w:snapToGrid w:val="0"/>
      <w:szCs w:val="20"/>
      <w:lang w:val="x-none"/>
    </w:rPr>
  </w:style>
  <w:style w:type="character" w:customStyle="1" w:styleId="UK10Block05Char">
    <w:name w:val="UK10 Block 0.5 Char"/>
    <w:link w:val="UK10Block05"/>
    <w:rPr>
      <w:rFonts w:ascii="Times New Roman" w:eastAsia="Times New Roman" w:hAnsi="Times New Roman"/>
      <w:lang w:val="x-none" w:eastAsia="en-US"/>
    </w:rPr>
  </w:style>
  <w:style w:type="paragraph" w:customStyle="1" w:styleId="UK10Block">
    <w:name w:val="UK10 Block"/>
    <w:basedOn w:val="Normal"/>
    <w:pPr>
      <w:spacing w:after="240" w:line="246" w:lineRule="atLeast"/>
    </w:pPr>
    <w:rPr>
      <w:snapToGrid w:val="0"/>
      <w:szCs w:val="20"/>
    </w:rPr>
  </w:style>
  <w:style w:type="character" w:customStyle="1" w:styleId="Textodocorpo2">
    <w:name w:val="Texto do corpo (2)_"/>
    <w:link w:val="Textodocorpo20"/>
    <w:rPr>
      <w:rFonts w:ascii="Arial" w:eastAsia="Arial" w:hAnsi="Arial" w:cs="Arial"/>
      <w:sz w:val="23"/>
      <w:szCs w:val="23"/>
      <w:shd w:val="clear" w:color="auto" w:fill="FFFFFF"/>
    </w:rPr>
  </w:style>
  <w:style w:type="paragraph" w:customStyle="1" w:styleId="Textodocorpo20">
    <w:name w:val="Texto do corpo (2)"/>
    <w:basedOn w:val="Normal"/>
    <w:link w:val="Textodocorpo2"/>
    <w:pPr>
      <w:shd w:val="clear" w:color="auto" w:fill="FFFFFF"/>
      <w:spacing w:after="420" w:line="454" w:lineRule="exact"/>
      <w:ind w:hanging="700"/>
      <w:jc w:val="center"/>
    </w:pPr>
    <w:rPr>
      <w:rFonts w:ascii="Arial" w:eastAsia="Arial" w:hAnsi="Arial" w:cs="Arial"/>
      <w:snapToGrid w:val="0"/>
      <w:sz w:val="23"/>
      <w:szCs w:val="23"/>
    </w:rPr>
  </w:style>
  <w:style w:type="character" w:styleId="Refdecomentrio">
    <w:name w:val="annotation reference"/>
    <w:unhideWhenUsed/>
    <w:rPr>
      <w:sz w:val="16"/>
      <w:szCs w:val="16"/>
    </w:rPr>
  </w:style>
  <w:style w:type="paragraph" w:styleId="Textodecomentrio">
    <w:name w:val="annotation text"/>
    <w:basedOn w:val="Normal"/>
    <w:link w:val="TextodecomentrioChar"/>
    <w:rsid w:val="00883E60"/>
    <w:rPr>
      <w:szCs w:val="20"/>
    </w:rPr>
  </w:style>
  <w:style w:type="character" w:customStyle="1" w:styleId="TextodecomentrioChar">
    <w:name w:val="Texto de comentário Char"/>
    <w:basedOn w:val="Fontepargpadro"/>
    <w:link w:val="Textodecomentrio"/>
    <w:rsid w:val="00883E60"/>
    <w:rPr>
      <w:rFonts w:ascii="Tahoma" w:eastAsia="Times New Roman" w:hAnsi="Tahoma"/>
      <w:lang w:eastAsia="en-US"/>
    </w:rPr>
  </w:style>
  <w:style w:type="paragraph" w:styleId="Assuntodocomentrio">
    <w:name w:val="annotation subject"/>
    <w:basedOn w:val="Textodecomentrio"/>
    <w:next w:val="Textodecomentrio"/>
    <w:link w:val="AssuntodocomentrioChar"/>
    <w:uiPriority w:val="99"/>
    <w:unhideWhenUsed/>
    <w:rPr>
      <w:b/>
      <w:bCs/>
    </w:rPr>
  </w:style>
  <w:style w:type="character" w:customStyle="1" w:styleId="AssuntodocomentrioChar">
    <w:name w:val="Assunto do comentário Char"/>
    <w:link w:val="Assuntodocomentrio"/>
    <w:uiPriority w:val="99"/>
    <w:rPr>
      <w:rFonts w:ascii="Times New Roman" w:eastAsia="Times New Roman" w:hAnsi="Times New Roman"/>
      <w:b/>
      <w:bCs/>
      <w:snapToGrid w:val="0"/>
      <w:lang w:eastAsia="pt-BR"/>
    </w:rPr>
  </w:style>
  <w:style w:type="paragraph" w:customStyle="1" w:styleId="AODocTxtL1">
    <w:name w:val="AODocTxtL1"/>
    <w:basedOn w:val="Normal"/>
    <w:pPr>
      <w:spacing w:before="240" w:line="260" w:lineRule="atLeast"/>
      <w:ind w:left="720"/>
    </w:pPr>
    <w:rPr>
      <w:rFonts w:eastAsia="Calibri"/>
      <w:snapToGrid w:val="0"/>
      <w:sz w:val="22"/>
      <w:szCs w:val="22"/>
      <w:lang w:val="en-GB"/>
    </w:rPr>
  </w:style>
  <w:style w:type="paragraph" w:customStyle="1" w:styleId="AOHead1">
    <w:name w:val="AOHead1"/>
    <w:basedOn w:val="Normal"/>
    <w:next w:val="AODocTxtL1"/>
    <w:pPr>
      <w:keepNext/>
      <w:numPr>
        <w:numId w:val="2"/>
      </w:numPr>
      <w:spacing w:before="240" w:line="260" w:lineRule="atLeast"/>
      <w:outlineLvl w:val="0"/>
    </w:pPr>
    <w:rPr>
      <w:rFonts w:eastAsia="Calibri"/>
      <w:b/>
      <w:caps/>
      <w:snapToGrid w:val="0"/>
      <w:kern w:val="28"/>
      <w:sz w:val="22"/>
      <w:szCs w:val="22"/>
      <w:lang w:val="en-GB"/>
    </w:rPr>
  </w:style>
  <w:style w:type="paragraph" w:customStyle="1" w:styleId="AOHead2">
    <w:name w:val="AOHead2"/>
    <w:basedOn w:val="Normal"/>
    <w:next w:val="AODocTxtL1"/>
    <w:link w:val="AOHead2Char"/>
    <w:pPr>
      <w:keepNext/>
      <w:numPr>
        <w:ilvl w:val="1"/>
        <w:numId w:val="2"/>
      </w:numPr>
      <w:spacing w:before="240" w:line="260" w:lineRule="atLeast"/>
      <w:outlineLvl w:val="1"/>
    </w:pPr>
    <w:rPr>
      <w:rFonts w:eastAsia="Calibri"/>
      <w:b/>
      <w:snapToGrid w:val="0"/>
      <w:sz w:val="22"/>
      <w:szCs w:val="22"/>
      <w:lang w:val="en-GB"/>
    </w:rPr>
  </w:style>
  <w:style w:type="paragraph" w:customStyle="1" w:styleId="AOHead3">
    <w:name w:val="AOHead3"/>
    <w:basedOn w:val="Normal"/>
    <w:next w:val="Normal"/>
    <w:pPr>
      <w:numPr>
        <w:ilvl w:val="2"/>
        <w:numId w:val="2"/>
      </w:numPr>
      <w:spacing w:before="240" w:line="260" w:lineRule="atLeast"/>
      <w:outlineLvl w:val="2"/>
    </w:pPr>
    <w:rPr>
      <w:rFonts w:eastAsia="Calibri"/>
      <w:snapToGrid w:val="0"/>
      <w:sz w:val="22"/>
      <w:szCs w:val="22"/>
      <w:lang w:val="en-GB"/>
    </w:rPr>
  </w:style>
  <w:style w:type="paragraph" w:customStyle="1" w:styleId="AOHead4">
    <w:name w:val="AOHead4"/>
    <w:basedOn w:val="Normal"/>
    <w:next w:val="Normal"/>
    <w:pPr>
      <w:numPr>
        <w:ilvl w:val="3"/>
        <w:numId w:val="2"/>
      </w:numPr>
      <w:spacing w:before="240" w:line="260" w:lineRule="atLeast"/>
      <w:outlineLvl w:val="3"/>
    </w:pPr>
    <w:rPr>
      <w:rFonts w:eastAsia="Calibri"/>
      <w:snapToGrid w:val="0"/>
      <w:sz w:val="22"/>
      <w:szCs w:val="22"/>
      <w:lang w:val="en-GB"/>
    </w:rPr>
  </w:style>
  <w:style w:type="paragraph" w:customStyle="1" w:styleId="AOHead5">
    <w:name w:val="AOHead5"/>
    <w:basedOn w:val="Normal"/>
    <w:next w:val="Normal"/>
    <w:pPr>
      <w:numPr>
        <w:ilvl w:val="4"/>
        <w:numId w:val="2"/>
      </w:numPr>
      <w:spacing w:before="240" w:line="260" w:lineRule="atLeast"/>
      <w:outlineLvl w:val="4"/>
    </w:pPr>
    <w:rPr>
      <w:rFonts w:eastAsia="Calibri"/>
      <w:snapToGrid w:val="0"/>
      <w:sz w:val="22"/>
      <w:szCs w:val="22"/>
      <w:lang w:val="en-GB"/>
    </w:rPr>
  </w:style>
  <w:style w:type="paragraph" w:customStyle="1" w:styleId="AOHead6">
    <w:name w:val="AOHead6"/>
    <w:basedOn w:val="Normal"/>
    <w:next w:val="Normal"/>
    <w:pPr>
      <w:numPr>
        <w:ilvl w:val="5"/>
        <w:numId w:val="2"/>
      </w:numPr>
      <w:spacing w:before="240" w:line="260" w:lineRule="atLeast"/>
      <w:outlineLvl w:val="5"/>
    </w:pPr>
    <w:rPr>
      <w:rFonts w:eastAsia="Calibri"/>
      <w:snapToGrid w:val="0"/>
      <w:sz w:val="22"/>
      <w:szCs w:val="22"/>
      <w:lang w:val="en-GB"/>
    </w:rPr>
  </w:style>
  <w:style w:type="character" w:customStyle="1" w:styleId="TextodocorpoNegrito">
    <w:name w:val="Texto do corpo + Negrito"/>
    <w:rPr>
      <w:rFonts w:ascii="Arial" w:eastAsia="Arial" w:hAnsi="Arial" w:cs="Arial"/>
      <w:b/>
      <w:bCs/>
      <w:color w:val="000000"/>
      <w:spacing w:val="0"/>
      <w:w w:val="100"/>
      <w:position w:val="0"/>
      <w:sz w:val="19"/>
      <w:szCs w:val="19"/>
      <w:shd w:val="clear" w:color="auto" w:fill="FFFFFF"/>
      <w:lang w:val="en-US"/>
    </w:rPr>
  </w:style>
  <w:style w:type="paragraph" w:customStyle="1" w:styleId="AOAltHead3">
    <w:name w:val="AOAltHead3"/>
    <w:basedOn w:val="AOHead3"/>
    <w:next w:val="Normal"/>
    <w:link w:val="AOAltHead3Char"/>
    <w:pPr>
      <w:numPr>
        <w:ilvl w:val="0"/>
        <w:numId w:val="0"/>
      </w:numPr>
    </w:pPr>
  </w:style>
  <w:style w:type="paragraph" w:customStyle="1" w:styleId="AOAltHead4">
    <w:name w:val="AOAltHead4"/>
    <w:basedOn w:val="AOHead4"/>
    <w:next w:val="Normal"/>
    <w:link w:val="AOAltHead4Char"/>
    <w:pPr>
      <w:numPr>
        <w:numId w:val="3"/>
      </w:numPr>
      <w:ind w:left="1440"/>
    </w:pPr>
  </w:style>
  <w:style w:type="character" w:customStyle="1" w:styleId="AOAltHead3Char">
    <w:name w:val="AOAltHead3 Char"/>
    <w:link w:val="AOAltHead3"/>
    <w:locked/>
    <w:rPr>
      <w:rFonts w:ascii="Times New Roman" w:eastAsia="Calibri" w:hAnsi="Times New Roman"/>
      <w:sz w:val="22"/>
      <w:szCs w:val="22"/>
      <w:lang w:val="en-GB" w:eastAsia="en-US"/>
    </w:rPr>
  </w:style>
  <w:style w:type="character" w:customStyle="1" w:styleId="AOAltHead4Char">
    <w:name w:val="AOAltHead4 Char"/>
    <w:link w:val="AOAltHead4"/>
    <w:rPr>
      <w:rFonts w:ascii="Tahoma" w:eastAsia="Calibri" w:hAnsi="Tahoma"/>
      <w:snapToGrid w:val="0"/>
      <w:sz w:val="22"/>
      <w:szCs w:val="22"/>
      <w:lang w:val="en-GB" w:eastAsia="en-US"/>
    </w:rPr>
  </w:style>
  <w:style w:type="character" w:customStyle="1" w:styleId="AOHead2Char">
    <w:name w:val="AOHead2 Char"/>
    <w:link w:val="AOHead2"/>
    <w:locked/>
    <w:rPr>
      <w:rFonts w:ascii="Tahoma" w:eastAsia="Calibri" w:hAnsi="Tahoma"/>
      <w:b/>
      <w:snapToGrid w:val="0"/>
      <w:sz w:val="22"/>
      <w:szCs w:val="22"/>
      <w:lang w:val="en-GB" w:eastAsia="en-US"/>
    </w:rPr>
  </w:style>
  <w:style w:type="character" w:customStyle="1" w:styleId="Textodocorpo">
    <w:name w:val="Texto do corpo_"/>
    <w:basedOn w:val="Fontepargpadro"/>
    <w:link w:val="Textodocorpo0"/>
    <w:rPr>
      <w:rFonts w:ascii="Arial" w:eastAsia="Arial" w:hAnsi="Arial" w:cs="Arial"/>
      <w:sz w:val="19"/>
      <w:szCs w:val="19"/>
      <w:shd w:val="clear" w:color="auto" w:fill="FFFFFF"/>
    </w:rPr>
  </w:style>
  <w:style w:type="paragraph" w:customStyle="1" w:styleId="Textodocorpo0">
    <w:name w:val="Texto do corpo"/>
    <w:basedOn w:val="Normal"/>
    <w:link w:val="Textodocorpo"/>
    <w:pPr>
      <w:shd w:val="clear" w:color="auto" w:fill="FFFFFF"/>
      <w:spacing w:before="660" w:after="240" w:line="0" w:lineRule="atLeast"/>
      <w:ind w:hanging="700"/>
    </w:pPr>
    <w:rPr>
      <w:rFonts w:ascii="Arial" w:eastAsia="Arial" w:hAnsi="Arial" w:cs="Arial"/>
      <w:snapToGrid w:val="0"/>
      <w:sz w:val="19"/>
      <w:szCs w:val="19"/>
    </w:rPr>
  </w:style>
  <w:style w:type="paragraph" w:customStyle="1" w:styleId="Clusula">
    <w:name w:val="Cláusula"/>
    <w:basedOn w:val="Ttulo1"/>
    <w:link w:val="ClusulaChar"/>
    <w:pPr>
      <w:suppressAutoHyphens/>
      <w:spacing w:line="340" w:lineRule="atLeast"/>
    </w:pPr>
    <w:rPr>
      <w:rFonts w:ascii="Georgia" w:hAnsi="Georgia"/>
      <w:b w:val="0"/>
      <w:sz w:val="22"/>
      <w:szCs w:val="22"/>
      <w:lang w:val="en-US"/>
    </w:rPr>
  </w:style>
  <w:style w:type="paragraph" w:customStyle="1" w:styleId="Subclausula">
    <w:name w:val="Sub clausula"/>
    <w:basedOn w:val="Clusula"/>
    <w:link w:val="SubclausulaChar"/>
    <w:pPr>
      <w:keepNext w:val="0"/>
      <w:ind w:left="1400" w:hanging="720"/>
    </w:pPr>
  </w:style>
  <w:style w:type="character" w:customStyle="1" w:styleId="ClusulaChar">
    <w:name w:val="Cláusula Char"/>
    <w:basedOn w:val="Ttulo1Char"/>
    <w:link w:val="Clusula"/>
    <w:rPr>
      <w:rFonts w:ascii="Georgia" w:eastAsia="Times New Roman" w:hAnsi="Georgia" w:cs="Arial"/>
      <w:b w:val="0"/>
      <w:bCs/>
      <w:kern w:val="22"/>
      <w:sz w:val="22"/>
      <w:szCs w:val="22"/>
      <w:lang w:val="en-US" w:eastAsia="en-US"/>
    </w:rPr>
  </w:style>
  <w:style w:type="character" w:customStyle="1" w:styleId="SubclausulaChar">
    <w:name w:val="Sub clausula Char"/>
    <w:basedOn w:val="ClusulaChar"/>
    <w:link w:val="Subclausula"/>
    <w:rPr>
      <w:rFonts w:ascii="Georgia" w:eastAsia="Times New Roman" w:hAnsi="Georgia" w:cs="Arial"/>
      <w:b w:val="0"/>
      <w:bCs/>
      <w:kern w:val="22"/>
      <w:sz w:val="22"/>
      <w:szCs w:val="22"/>
      <w:lang w:val="en-US" w:eastAsia="en-US"/>
    </w:rPr>
  </w:style>
  <w:style w:type="paragraph" w:customStyle="1" w:styleId="Estilo1">
    <w:name w:val="Estilo1"/>
    <w:basedOn w:val="Clusula"/>
    <w:link w:val="Estilo1Char"/>
    <w:pPr>
      <w:keepNext w:val="0"/>
      <w:ind w:left="0"/>
    </w:pPr>
    <w:rPr>
      <w:rFonts w:ascii="Verdana" w:hAnsi="Verdana"/>
      <w:color w:val="000000"/>
      <w:sz w:val="20"/>
      <w:szCs w:val="20"/>
    </w:rPr>
  </w:style>
  <w:style w:type="paragraph" w:customStyle="1" w:styleId="DDTtulo1">
    <w:name w:val="DD Título 1"/>
    <w:basedOn w:val="Ttulo1"/>
    <w:pPr>
      <w:numPr>
        <w:numId w:val="4"/>
      </w:numPr>
      <w:spacing w:before="480" w:line="360" w:lineRule="auto"/>
      <w:jc w:val="center"/>
    </w:pPr>
    <w:rPr>
      <w:rFonts w:ascii="Times New Roman" w:hAnsi="Times New Roman"/>
      <w:bCs w:val="0"/>
      <w:caps/>
      <w:snapToGrid w:val="0"/>
      <w:kern w:val="32"/>
      <w:sz w:val="24"/>
      <w:szCs w:val="24"/>
      <w:lang w:val="en-US"/>
    </w:rPr>
  </w:style>
  <w:style w:type="character" w:customStyle="1" w:styleId="Estilo1Char">
    <w:name w:val="Estilo1 Char"/>
    <w:basedOn w:val="ClusulaChar"/>
    <w:link w:val="Estilo1"/>
    <w:rPr>
      <w:rFonts w:ascii="Verdana" w:eastAsia="Times New Roman" w:hAnsi="Verdana" w:cs="Times New Roman"/>
      <w:b w:val="0"/>
      <w:bCs/>
      <w:snapToGrid/>
      <w:color w:val="000000"/>
      <w:kern w:val="22"/>
      <w:sz w:val="22"/>
      <w:szCs w:val="22"/>
      <w:lang w:val="en-US" w:eastAsia="pt-BR"/>
    </w:rPr>
  </w:style>
  <w:style w:type="paragraph" w:customStyle="1" w:styleId="DDTtulo2">
    <w:name w:val="DD Título 2"/>
    <w:basedOn w:val="DDTtulo1"/>
    <w:next w:val="Normal"/>
    <w:link w:val="DDTtulo2Char"/>
    <w:pPr>
      <w:keepNext w:val="0"/>
      <w:numPr>
        <w:ilvl w:val="1"/>
      </w:numPr>
      <w:spacing w:before="240" w:line="320" w:lineRule="exact"/>
      <w:jc w:val="both"/>
      <w:outlineLvl w:val="1"/>
    </w:pPr>
    <w:rPr>
      <w:b w:val="0"/>
      <w:caps w:val="0"/>
    </w:rPr>
  </w:style>
  <w:style w:type="character" w:customStyle="1" w:styleId="DDTtulo2Char">
    <w:name w:val="DD Título 2 Char"/>
    <w:basedOn w:val="Fontepargpadro"/>
    <w:link w:val="DDTtulo2"/>
    <w:rPr>
      <w:rFonts w:ascii="Times New Roman" w:eastAsia="Times New Roman" w:hAnsi="Times New Roman" w:cs="Arial"/>
      <w:snapToGrid w:val="0"/>
      <w:kern w:val="32"/>
      <w:sz w:val="24"/>
      <w:szCs w:val="24"/>
      <w:lang w:val="en-US" w:eastAsia="en-US"/>
    </w:rPr>
  </w:style>
  <w:style w:type="paragraph" w:customStyle="1" w:styleId="DDTtulo3">
    <w:name w:val="DD Título 3"/>
    <w:pPr>
      <w:numPr>
        <w:ilvl w:val="2"/>
        <w:numId w:val="4"/>
      </w:numPr>
      <w:spacing w:before="240" w:after="120" w:line="320" w:lineRule="exact"/>
      <w:jc w:val="both"/>
    </w:pPr>
    <w:rPr>
      <w:rFonts w:ascii="Times New Roman" w:eastAsia="Times New Roman" w:hAnsi="Times New Roman"/>
      <w:bCs/>
      <w:kern w:val="32"/>
      <w:sz w:val="24"/>
      <w:szCs w:val="24"/>
      <w:lang w:val="en-GB"/>
    </w:rPr>
  </w:style>
  <w:style w:type="paragraph" w:customStyle="1" w:styleId="DDTtulo4">
    <w:name w:val="DD Título 4"/>
    <w:basedOn w:val="DDTtulo3"/>
    <w:pPr>
      <w:numPr>
        <w:ilvl w:val="3"/>
      </w:numPr>
    </w:pPr>
    <w:rPr>
      <w:i/>
      <w:lang w:val="en-US"/>
    </w:rPr>
  </w:style>
  <w:style w:type="paragraph" w:customStyle="1" w:styleId="2MMSecurity">
    <w:name w:val="2 MM Security"/>
    <w:basedOn w:val="Ttulo3"/>
    <w:link w:val="2MMSecurityChar"/>
    <w:qFormat/>
    <w:rsid w:val="002C0D1F"/>
    <w:pPr>
      <w:keepNext w:val="0"/>
      <w:numPr>
        <w:ilvl w:val="1"/>
        <w:numId w:val="5"/>
      </w:numPr>
      <w:spacing w:before="240" w:after="240" w:line="320" w:lineRule="exact"/>
      <w:outlineLvl w:val="0"/>
    </w:pPr>
    <w:rPr>
      <w:rFonts w:ascii="Verdana" w:hAnsi="Verdana"/>
      <w:b w:val="0"/>
      <w:smallCaps/>
    </w:rPr>
  </w:style>
  <w:style w:type="paragraph" w:customStyle="1" w:styleId="iMMSecurity">
    <w:name w:val="(i) MM Security"/>
    <w:basedOn w:val="Ttulo1"/>
    <w:link w:val="iMMSecurityChar"/>
    <w:qFormat/>
    <w:rsid w:val="002C0D1F"/>
    <w:pPr>
      <w:numPr>
        <w:ilvl w:val="4"/>
      </w:numPr>
      <w:spacing w:before="120"/>
      <w:ind w:left="567"/>
      <w:outlineLvl w:val="1"/>
    </w:pPr>
    <w:rPr>
      <w:b w:val="0"/>
    </w:rPr>
  </w:style>
  <w:style w:type="character" w:customStyle="1" w:styleId="2MMSecurityChar">
    <w:name w:val="2 MM Security Char"/>
    <w:basedOn w:val="Ttulo3Char"/>
    <w:link w:val="2MMSecurity"/>
    <w:rsid w:val="002C0D1F"/>
    <w:rPr>
      <w:rFonts w:ascii="Verdana" w:eastAsia="Times New Roman" w:hAnsi="Verdana" w:cs="Arial"/>
      <w:b w:val="0"/>
      <w:bCs/>
      <w:smallCaps/>
      <w:kern w:val="20"/>
      <w:szCs w:val="26"/>
      <w:lang w:eastAsia="en-US"/>
    </w:rPr>
  </w:style>
  <w:style w:type="paragraph" w:customStyle="1" w:styleId="RegularMMSecurity">
    <w:name w:val="Regular MM Security"/>
    <w:basedOn w:val="Normal"/>
    <w:link w:val="RegularMMSecurityChar"/>
    <w:pPr>
      <w:spacing w:after="240" w:line="340" w:lineRule="atLeast"/>
    </w:pPr>
    <w:rPr>
      <w:szCs w:val="20"/>
      <w:lang w:val="en-GB"/>
    </w:rPr>
  </w:style>
  <w:style w:type="character" w:customStyle="1" w:styleId="iMMSecurityChar">
    <w:name w:val="(i) MM Security Char"/>
    <w:basedOn w:val="AOAltHead4Char"/>
    <w:link w:val="iMMSecurity"/>
    <w:rsid w:val="002C0D1F"/>
    <w:rPr>
      <w:rFonts w:ascii="Verdana" w:eastAsia="Times New Roman" w:hAnsi="Verdana"/>
      <w:snapToGrid/>
      <w:sz w:val="22"/>
      <w:szCs w:val="22"/>
      <w:lang w:val="en-GB" w:eastAsia="en-US"/>
    </w:rPr>
  </w:style>
  <w:style w:type="paragraph" w:customStyle="1" w:styleId="3MMSecurity">
    <w:name w:val="3 MM Security"/>
    <w:basedOn w:val="2MMSecurity"/>
    <w:link w:val="3MMSecurityChar"/>
    <w:qFormat/>
    <w:rsid w:val="00D57B14"/>
    <w:pPr>
      <w:numPr>
        <w:ilvl w:val="2"/>
      </w:numPr>
      <w:spacing w:before="120"/>
    </w:pPr>
  </w:style>
  <w:style w:type="character" w:customStyle="1" w:styleId="RegularMMSecurityChar">
    <w:name w:val="Regular MM Security Char"/>
    <w:basedOn w:val="Fontepargpadro"/>
    <w:link w:val="RegularMMSecurity"/>
    <w:rPr>
      <w:rFonts w:ascii="Verdana" w:eastAsia="Times New Roman" w:hAnsi="Verdana"/>
      <w:snapToGrid w:val="0"/>
      <w:lang w:val="en-GB"/>
    </w:rPr>
  </w:style>
  <w:style w:type="paragraph" w:customStyle="1" w:styleId="TITLE-Pledge">
    <w:name w:val="TITLE-Pledge"/>
    <w:basedOn w:val="Normal"/>
    <w:pPr>
      <w:numPr>
        <w:numId w:val="6"/>
      </w:numPr>
      <w:tabs>
        <w:tab w:val="left" w:pos="220"/>
        <w:tab w:val="left" w:pos="720"/>
      </w:tabs>
      <w:spacing w:before="600" w:after="240" w:line="340" w:lineRule="atLeast"/>
      <w:ind w:left="709" w:hanging="720"/>
      <w:outlineLvl w:val="0"/>
    </w:pPr>
    <w:rPr>
      <w:rFonts w:ascii="Garamond" w:hAnsi="Garamond"/>
      <w:b/>
      <w:bCs/>
      <w:snapToGrid w:val="0"/>
      <w:lang w:val="en-GB"/>
    </w:rPr>
  </w:style>
  <w:style w:type="character" w:customStyle="1" w:styleId="3MMSecurityChar">
    <w:name w:val="3 MM Security Char"/>
    <w:basedOn w:val="2MMSecurityChar"/>
    <w:link w:val="3MMSecurity"/>
    <w:rsid w:val="00D57B14"/>
    <w:rPr>
      <w:rFonts w:ascii="Verdana" w:eastAsia="Times New Roman" w:hAnsi="Verdana" w:cs="Arial"/>
      <w:b w:val="0"/>
      <w:bCs/>
      <w:smallCaps/>
      <w:kern w:val="20"/>
      <w:szCs w:val="26"/>
      <w:lang w:eastAsia="en-US"/>
    </w:rPr>
  </w:style>
  <w:style w:type="character" w:customStyle="1" w:styleId="CLAUSE-PledgeChar">
    <w:name w:val="CLAUSE-Pledge Char"/>
    <w:basedOn w:val="Fontepargpadro"/>
    <w:link w:val="CLAUSE-Pledge"/>
    <w:locked/>
    <w:rPr>
      <w:rFonts w:ascii="Garamond" w:hAnsi="Garamond"/>
      <w:snapToGrid w:val="0"/>
      <w:szCs w:val="24"/>
      <w:lang w:eastAsia="en-US"/>
    </w:rPr>
  </w:style>
  <w:style w:type="paragraph" w:customStyle="1" w:styleId="CLAUSE-Pledge">
    <w:name w:val="CLAUSE-Pledge"/>
    <w:basedOn w:val="Normal"/>
    <w:link w:val="CLAUSE-PledgeChar"/>
    <w:pPr>
      <w:numPr>
        <w:ilvl w:val="1"/>
        <w:numId w:val="6"/>
      </w:numPr>
      <w:tabs>
        <w:tab w:val="left" w:pos="220"/>
        <w:tab w:val="left" w:pos="851"/>
      </w:tabs>
      <w:spacing w:after="240" w:line="340" w:lineRule="atLeast"/>
      <w:ind w:left="0" w:firstLine="0"/>
    </w:pPr>
    <w:rPr>
      <w:rFonts w:ascii="Garamond" w:eastAsia="MS Mincho" w:hAnsi="Garamond"/>
      <w:snapToGrid w:val="0"/>
    </w:rPr>
  </w:style>
  <w:style w:type="character" w:customStyle="1" w:styleId="SUBCLAUSE-PledgeChar">
    <w:name w:val="SUBCLAUSE-Pledge Char"/>
    <w:basedOn w:val="Fontepargpadro"/>
    <w:link w:val="SUBCLAUSE-Pledge"/>
    <w:locked/>
    <w:rPr>
      <w:rFonts w:ascii="Garamond" w:hAnsi="Garamond"/>
      <w:snapToGrid w:val="0"/>
      <w:szCs w:val="24"/>
      <w:lang w:eastAsia="en-US"/>
    </w:rPr>
  </w:style>
  <w:style w:type="paragraph" w:customStyle="1" w:styleId="SUBCLAUSE-Pledge">
    <w:name w:val="SUBCLAUSE-Pledge"/>
    <w:basedOn w:val="Normal"/>
    <w:link w:val="SUBCLAUSE-PledgeChar"/>
    <w:pPr>
      <w:numPr>
        <w:ilvl w:val="2"/>
        <w:numId w:val="6"/>
      </w:numPr>
      <w:tabs>
        <w:tab w:val="left" w:pos="567"/>
      </w:tabs>
      <w:spacing w:after="240" w:line="340" w:lineRule="atLeast"/>
    </w:pPr>
    <w:rPr>
      <w:rFonts w:ascii="Garamond" w:eastAsia="MS Mincho" w:hAnsi="Garamond"/>
      <w:snapToGrid w:val="0"/>
    </w:rPr>
  </w:style>
  <w:style w:type="character" w:customStyle="1" w:styleId="LIST-PledgeChar">
    <w:name w:val="LIST-Pledge Char"/>
    <w:basedOn w:val="Fontepargpadro"/>
    <w:link w:val="LIST-Pledge"/>
    <w:locked/>
    <w:rPr>
      <w:rFonts w:ascii="Garamond" w:hAnsi="Garamond"/>
      <w:snapToGrid w:val="0"/>
      <w:szCs w:val="24"/>
      <w:lang w:val="pt-PT" w:eastAsia="en-US"/>
    </w:rPr>
  </w:style>
  <w:style w:type="paragraph" w:customStyle="1" w:styleId="LIST-Pledge">
    <w:name w:val="LIST-Pledge"/>
    <w:basedOn w:val="PargrafodaLista"/>
    <w:link w:val="LIST-PledgeChar"/>
    <w:pPr>
      <w:numPr>
        <w:numId w:val="7"/>
      </w:numPr>
      <w:tabs>
        <w:tab w:val="left" w:pos="709"/>
        <w:tab w:val="left" w:pos="1440"/>
      </w:tabs>
      <w:spacing w:line="340" w:lineRule="atLeast"/>
    </w:pPr>
    <w:rPr>
      <w:rFonts w:ascii="Garamond" w:eastAsia="MS Mincho" w:hAnsi="Garamond"/>
      <w:snapToGrid w:val="0"/>
      <w:lang w:val="pt-PT"/>
    </w:rPr>
  </w:style>
  <w:style w:type="paragraph" w:customStyle="1" w:styleId="aMMSecurity">
    <w:name w:val="(a) MM Security"/>
    <w:basedOn w:val="Ttulo1"/>
    <w:link w:val="aMMSecurityChar"/>
    <w:qFormat/>
    <w:pPr>
      <w:numPr>
        <w:ilvl w:val="5"/>
      </w:numPr>
      <w:spacing w:before="120"/>
      <w:ind w:left="1701"/>
      <w:outlineLvl w:val="2"/>
    </w:pPr>
    <w:rPr>
      <w:b w:val="0"/>
    </w:rPr>
  </w:style>
  <w:style w:type="paragraph" w:customStyle="1" w:styleId="ExhibitMMSecurity">
    <w:name w:val="Exhibit MM Security"/>
    <w:basedOn w:val="RegularMMSecurity"/>
    <w:link w:val="ExhibitMMSecurityChar"/>
    <w:pPr>
      <w:numPr>
        <w:numId w:val="8"/>
      </w:numPr>
      <w:jc w:val="center"/>
      <w:outlineLvl w:val="0"/>
    </w:pPr>
    <w:rPr>
      <w:b/>
      <w:smallCaps/>
      <w:u w:val="single"/>
    </w:rPr>
  </w:style>
  <w:style w:type="character" w:customStyle="1" w:styleId="aMMSecurityChar">
    <w:name w:val="(a) MM Security Char"/>
    <w:basedOn w:val="Fontepargpadro"/>
    <w:link w:val="aMMSecurity"/>
    <w:rPr>
      <w:rFonts w:ascii="Verdana" w:eastAsia="Times New Roman" w:hAnsi="Verdana"/>
    </w:rPr>
  </w:style>
  <w:style w:type="paragraph" w:customStyle="1" w:styleId="Level1">
    <w:name w:val="Level 1"/>
    <w:basedOn w:val="Normal"/>
    <w:link w:val="Level1Char"/>
    <w:rsid w:val="00883E60"/>
    <w:pPr>
      <w:numPr>
        <w:numId w:val="167"/>
      </w:numPr>
    </w:pPr>
    <w:rPr>
      <w:kern w:val="20"/>
      <w:szCs w:val="28"/>
    </w:rPr>
  </w:style>
  <w:style w:type="character" w:customStyle="1" w:styleId="ExhibitMMSecurityChar">
    <w:name w:val="Exhibit MM Security Char"/>
    <w:basedOn w:val="RegularMMSecurityChar"/>
    <w:link w:val="ExhibitMMSecurity"/>
    <w:rPr>
      <w:rFonts w:ascii="Tahoma" w:eastAsia="Times New Roman" w:hAnsi="Tahoma"/>
      <w:b/>
      <w:smallCaps/>
      <w:snapToGrid/>
      <w:u w:val="single"/>
      <w:lang w:val="en-GB" w:eastAsia="en-US"/>
    </w:rPr>
  </w:style>
  <w:style w:type="paragraph" w:customStyle="1" w:styleId="Level2">
    <w:name w:val="Level 2"/>
    <w:basedOn w:val="Normal"/>
    <w:link w:val="Level2Char"/>
    <w:rsid w:val="00883E60"/>
    <w:pPr>
      <w:numPr>
        <w:ilvl w:val="1"/>
        <w:numId w:val="167"/>
      </w:numPr>
    </w:pPr>
    <w:rPr>
      <w:kern w:val="20"/>
      <w:szCs w:val="28"/>
    </w:rPr>
  </w:style>
  <w:style w:type="paragraph" w:customStyle="1" w:styleId="Level3">
    <w:name w:val="Level 3"/>
    <w:basedOn w:val="Normal"/>
    <w:link w:val="Level3Char"/>
    <w:rsid w:val="00883E60"/>
    <w:pPr>
      <w:numPr>
        <w:ilvl w:val="2"/>
        <w:numId w:val="167"/>
      </w:numPr>
    </w:pPr>
    <w:rPr>
      <w:kern w:val="20"/>
      <w:szCs w:val="28"/>
    </w:rPr>
  </w:style>
  <w:style w:type="paragraph" w:customStyle="1" w:styleId="Level4">
    <w:name w:val="Level 4"/>
    <w:basedOn w:val="Normal"/>
    <w:rsid w:val="00883E60"/>
    <w:pPr>
      <w:numPr>
        <w:ilvl w:val="3"/>
        <w:numId w:val="167"/>
      </w:numPr>
      <w:tabs>
        <w:tab w:val="left" w:pos="2977"/>
      </w:tabs>
    </w:pPr>
    <w:rPr>
      <w:kern w:val="20"/>
    </w:rPr>
  </w:style>
  <w:style w:type="paragraph" w:customStyle="1" w:styleId="Level5">
    <w:name w:val="Level 5"/>
    <w:basedOn w:val="Normal"/>
    <w:rsid w:val="00883E60"/>
    <w:pPr>
      <w:numPr>
        <w:ilvl w:val="4"/>
        <w:numId w:val="167"/>
      </w:numPr>
      <w:tabs>
        <w:tab w:val="left" w:pos="3827"/>
      </w:tabs>
    </w:pPr>
    <w:rPr>
      <w:kern w:val="20"/>
    </w:rPr>
  </w:style>
  <w:style w:type="paragraph" w:customStyle="1" w:styleId="Level6">
    <w:name w:val="Level 6"/>
    <w:basedOn w:val="Normal"/>
    <w:rsid w:val="00883E60"/>
    <w:pPr>
      <w:numPr>
        <w:ilvl w:val="5"/>
        <w:numId w:val="167"/>
      </w:numPr>
      <w:tabs>
        <w:tab w:val="left" w:pos="4678"/>
      </w:tabs>
    </w:pPr>
    <w:rPr>
      <w:kern w:val="20"/>
    </w:rPr>
  </w:style>
  <w:style w:type="paragraph" w:customStyle="1" w:styleId="Level7">
    <w:name w:val="Level 7"/>
    <w:basedOn w:val="Normal"/>
    <w:rsid w:val="00883E60"/>
    <w:pPr>
      <w:numPr>
        <w:ilvl w:val="6"/>
        <w:numId w:val="167"/>
      </w:numPr>
      <w:tabs>
        <w:tab w:val="left" w:pos="5245"/>
      </w:tabs>
    </w:pPr>
  </w:style>
  <w:style w:type="paragraph" w:customStyle="1" w:styleId="Level8">
    <w:name w:val="Level 8"/>
    <w:basedOn w:val="Normal"/>
    <w:rsid w:val="00883E60"/>
    <w:pPr>
      <w:numPr>
        <w:ilvl w:val="7"/>
        <w:numId w:val="167"/>
      </w:numPr>
      <w:tabs>
        <w:tab w:val="left" w:pos="5954"/>
      </w:tabs>
    </w:pPr>
  </w:style>
  <w:style w:type="paragraph" w:customStyle="1" w:styleId="Level9">
    <w:name w:val="Level 9"/>
    <w:basedOn w:val="Normal"/>
    <w:rsid w:val="00883E60"/>
    <w:pPr>
      <w:numPr>
        <w:ilvl w:val="8"/>
        <w:numId w:val="167"/>
      </w:numPr>
      <w:tabs>
        <w:tab w:val="left" w:pos="6804"/>
      </w:tabs>
    </w:pPr>
  </w:style>
  <w:style w:type="paragraph" w:customStyle="1" w:styleId="ListArabic1">
    <w:name w:val="List Arabic 1"/>
    <w:basedOn w:val="Normal"/>
    <w:next w:val="Corpodetexto"/>
    <w:pPr>
      <w:numPr>
        <w:numId w:val="10"/>
      </w:numPr>
      <w:tabs>
        <w:tab w:val="left" w:pos="22"/>
      </w:tabs>
      <w:spacing w:after="200" w:line="288" w:lineRule="auto"/>
    </w:pPr>
    <w:rPr>
      <w:rFonts w:ascii="CG Times" w:hAnsi="CG Times"/>
      <w:snapToGrid w:val="0"/>
      <w:sz w:val="22"/>
      <w:szCs w:val="20"/>
      <w:lang w:val="en-GB"/>
    </w:rPr>
  </w:style>
  <w:style w:type="paragraph" w:customStyle="1" w:styleId="ListArabic2">
    <w:name w:val="List Arabic 2"/>
    <w:basedOn w:val="Normal"/>
    <w:next w:val="Corpodetexto2"/>
    <w:pPr>
      <w:numPr>
        <w:ilvl w:val="1"/>
        <w:numId w:val="10"/>
      </w:numPr>
      <w:tabs>
        <w:tab w:val="left" w:pos="50"/>
      </w:tabs>
      <w:spacing w:after="200" w:line="288" w:lineRule="auto"/>
    </w:pPr>
    <w:rPr>
      <w:rFonts w:ascii="CG Times" w:hAnsi="CG Times"/>
      <w:snapToGrid w:val="0"/>
      <w:sz w:val="22"/>
      <w:szCs w:val="20"/>
      <w:lang w:val="en-GB"/>
    </w:rPr>
  </w:style>
  <w:style w:type="paragraph" w:customStyle="1" w:styleId="ListArabic3">
    <w:name w:val="List Arabic 3"/>
    <w:basedOn w:val="Normal"/>
    <w:next w:val="Corpodetexto3"/>
    <w:pPr>
      <w:numPr>
        <w:ilvl w:val="2"/>
        <w:numId w:val="10"/>
      </w:numPr>
      <w:tabs>
        <w:tab w:val="left" w:pos="68"/>
      </w:tabs>
      <w:spacing w:after="200" w:line="288" w:lineRule="auto"/>
    </w:pPr>
    <w:rPr>
      <w:rFonts w:ascii="CG Times" w:hAnsi="CG Times"/>
      <w:snapToGrid w:val="0"/>
      <w:sz w:val="22"/>
      <w:szCs w:val="20"/>
      <w:lang w:val="en-GB"/>
    </w:rPr>
  </w:style>
  <w:style w:type="paragraph" w:styleId="Corpodetexto2">
    <w:name w:val="Body Text 2"/>
    <w:basedOn w:val="Normal"/>
    <w:link w:val="Corpodetexto2Char"/>
    <w:unhideWhenUsed/>
    <w:pPr>
      <w:spacing w:line="480" w:lineRule="auto"/>
    </w:pPr>
  </w:style>
  <w:style w:type="character" w:customStyle="1" w:styleId="Corpodetexto2Char">
    <w:name w:val="Corpo de texto 2 Char"/>
    <w:basedOn w:val="Fontepargpadro"/>
    <w:link w:val="Corpodetexto2"/>
    <w:rPr>
      <w:rFonts w:ascii="Times New Roman" w:eastAsia="Times New Roman" w:hAnsi="Times New Roman"/>
      <w:snapToGrid w:val="0"/>
      <w:sz w:val="24"/>
      <w:szCs w:val="24"/>
      <w:lang w:val="en-US"/>
    </w:rPr>
  </w:style>
  <w:style w:type="paragraph" w:customStyle="1" w:styleId="ListaNvel3">
    <w:name w:val="Lista Nível 3"/>
    <w:basedOn w:val="Normal"/>
  </w:style>
  <w:style w:type="paragraph" w:customStyle="1" w:styleId="4MMSecurity">
    <w:name w:val="4 MM Security"/>
    <w:basedOn w:val="Ttulo1"/>
    <w:link w:val="4MMSecurityChar"/>
    <w:qFormat/>
    <w:rsid w:val="005D2B87"/>
    <w:pPr>
      <w:numPr>
        <w:ilvl w:val="3"/>
      </w:numPr>
      <w:ind w:left="567"/>
    </w:pPr>
    <w:rPr>
      <w:b w:val="0"/>
    </w:rPr>
  </w:style>
  <w:style w:type="character" w:customStyle="1" w:styleId="4MMSecurityChar">
    <w:name w:val="4 MM Security Char"/>
    <w:basedOn w:val="Ttulo1Char"/>
    <w:link w:val="4MMSecurity"/>
    <w:rsid w:val="005D2B87"/>
    <w:rPr>
      <w:rFonts w:ascii="Verdana" w:eastAsia="Times New Roman" w:hAnsi="Verdana" w:cs="Arial"/>
      <w:b w:val="0"/>
      <w:bCs/>
      <w:kern w:val="22"/>
      <w:sz w:val="21"/>
      <w:szCs w:val="32"/>
      <w:lang w:eastAsia="en-US"/>
    </w:rPr>
  </w:style>
  <w:style w:type="table" w:styleId="Tabelacomgrade">
    <w:name w:val="Table Grid"/>
    <w:basedOn w:val="Tabelanormal"/>
    <w:rsid w:val="00883E60"/>
    <w:pPr>
      <w:spacing w:before="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cietrio">
    <w:name w:val="Societário"/>
    <w:basedOn w:val="Normal"/>
    <w:rPr>
      <w:rFonts w:ascii="Courier" w:hAnsi="Courier"/>
      <w:szCs w:val="20"/>
    </w:rPr>
  </w:style>
  <w:style w:type="paragraph" w:styleId="Subttulo">
    <w:name w:val="Subtitle"/>
    <w:basedOn w:val="Normal"/>
    <w:link w:val="SubttuloChar"/>
    <w:rPr>
      <w:b/>
      <w:szCs w:val="20"/>
    </w:rPr>
  </w:style>
  <w:style w:type="character" w:customStyle="1" w:styleId="SubttuloChar">
    <w:name w:val="Subtítulo Char"/>
    <w:basedOn w:val="Fontepargpadro"/>
    <w:link w:val="Subttulo"/>
    <w:rPr>
      <w:rFonts w:ascii="Times New Roman" w:eastAsia="Times New Roman" w:hAnsi="Times New Roman"/>
      <w:b/>
      <w:sz w:val="24"/>
      <w:lang w:val="en-US"/>
    </w:rPr>
  </w:style>
  <w:style w:type="paragraph" w:customStyle="1" w:styleId="Body">
    <w:name w:val="Body"/>
    <w:basedOn w:val="Normal"/>
    <w:rsid w:val="00883E60"/>
    <w:rPr>
      <w:kern w:val="20"/>
    </w:rPr>
  </w:style>
  <w:style w:type="paragraph" w:customStyle="1" w:styleId="Citaes1">
    <w:name w:val="Citações 1"/>
    <w:basedOn w:val="Normal"/>
    <w:link w:val="Citaes1Char"/>
    <w:rsid w:val="00883E60"/>
    <w:pPr>
      <w:spacing w:after="240"/>
      <w:ind w:left="1247"/>
    </w:pPr>
    <w:rPr>
      <w:kern w:val="20"/>
      <w:sz w:val="22"/>
      <w:szCs w:val="20"/>
    </w:rPr>
  </w:style>
  <w:style w:type="character" w:customStyle="1" w:styleId="MenoPendente1">
    <w:name w:val="Menção Pendente1"/>
    <w:basedOn w:val="Fontepargpadro"/>
    <w:uiPriority w:val="99"/>
    <w:semiHidden/>
    <w:unhideWhenUsed/>
    <w:rPr>
      <w:color w:val="808080"/>
      <w:shd w:val="clear" w:color="auto" w:fill="E6E6E6"/>
    </w:rPr>
  </w:style>
  <w:style w:type="character" w:customStyle="1" w:styleId="MenoPendente11">
    <w:name w:val="Menção Pendente11"/>
    <w:basedOn w:val="Fontepargpadro"/>
    <w:uiPriority w:val="99"/>
    <w:semiHidden/>
    <w:unhideWhenUsed/>
    <w:rPr>
      <w:color w:val="808080"/>
      <w:shd w:val="clear" w:color="auto" w:fill="E6E6E6"/>
    </w:rPr>
  </w:style>
  <w:style w:type="character" w:customStyle="1" w:styleId="UnresolvedMention1">
    <w:name w:val="Unresolved Mention1"/>
    <w:basedOn w:val="Fontepargpadro"/>
    <w:uiPriority w:val="99"/>
    <w:semiHidden/>
    <w:unhideWhenUsed/>
    <w:rPr>
      <w:color w:val="808080"/>
      <w:shd w:val="clear" w:color="auto" w:fill="E6E6E6"/>
    </w:rPr>
  </w:style>
  <w:style w:type="paragraph" w:customStyle="1" w:styleId="Heading11">
    <w:name w:val="Heading 11"/>
    <w:aliases w:val="h1"/>
    <w:basedOn w:val="Normal"/>
    <w:next w:val="Normal"/>
    <w:pPr>
      <w:keepNext/>
      <w:outlineLvl w:val="0"/>
    </w:pPr>
    <w:rPr>
      <w:rFonts w:ascii="Courier New" w:eastAsiaTheme="minorEastAsia" w:hAnsi="Courier New" w:cs="Courier New"/>
      <w:b/>
      <w:szCs w:val="20"/>
    </w:rPr>
  </w:style>
  <w:style w:type="table" w:customStyle="1" w:styleId="GridTable21">
    <w:name w:val="Grid Table 21"/>
    <w:basedOn w:val="Tabelanormal"/>
    <w:uiPriority w:val="47"/>
    <w:rPr>
      <w:rFonts w:ascii="Verdana" w:eastAsiaTheme="minorHAnsi" w:hAnsi="Verdana" w:cstheme="minorHAnsi"/>
      <w:sz w:val="18"/>
      <w:szCs w:val="22"/>
      <w:lang w:val="en-U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er1">
    <w:name w:val="Header1"/>
    <w:basedOn w:val="Normal"/>
    <w:pPr>
      <w:tabs>
        <w:tab w:val="center" w:pos="4320"/>
        <w:tab w:val="right" w:pos="8640"/>
      </w:tabs>
    </w:pPr>
    <w:rPr>
      <w:rFonts w:eastAsiaTheme="minorEastAsia"/>
    </w:rPr>
  </w:style>
  <w:style w:type="paragraph" w:customStyle="1" w:styleId="Footer1">
    <w:name w:val="Footer1"/>
    <w:basedOn w:val="Normal"/>
    <w:pPr>
      <w:tabs>
        <w:tab w:val="center" w:pos="4252"/>
        <w:tab w:val="right" w:pos="8504"/>
      </w:tabs>
    </w:pPr>
    <w:rPr>
      <w:rFonts w:eastAsiaTheme="minorEastAsia"/>
    </w:rPr>
  </w:style>
  <w:style w:type="paragraph" w:customStyle="1" w:styleId="Text">
    <w:name w:val="Text"/>
    <w:basedOn w:val="Normal"/>
    <w:pPr>
      <w:spacing w:after="240"/>
    </w:pPr>
    <w:rPr>
      <w:rFonts w:eastAsiaTheme="minorEastAsia"/>
      <w:szCs w:val="20"/>
    </w:rPr>
  </w:style>
  <w:style w:type="paragraph" w:customStyle="1" w:styleId="times">
    <w:name w:val="times"/>
    <w:basedOn w:val="Normal"/>
    <w:rPr>
      <w:rFonts w:eastAsiaTheme="minorEastAsia"/>
      <w:szCs w:val="20"/>
    </w:rPr>
  </w:style>
  <w:style w:type="paragraph" w:styleId="Ttulo">
    <w:name w:val="Title"/>
    <w:basedOn w:val="Head"/>
    <w:next w:val="Normal"/>
    <w:link w:val="TtuloChar"/>
    <w:qFormat/>
    <w:rsid w:val="00883E60"/>
    <w:pPr>
      <w:spacing w:after="240"/>
    </w:pPr>
    <w:rPr>
      <w:rFonts w:cs="Arial"/>
      <w:bCs/>
      <w:kern w:val="28"/>
      <w:sz w:val="22"/>
      <w:szCs w:val="32"/>
    </w:rPr>
  </w:style>
  <w:style w:type="character" w:customStyle="1" w:styleId="TtuloChar">
    <w:name w:val="Título Char"/>
    <w:basedOn w:val="Fontepargpadro"/>
    <w:link w:val="Ttulo"/>
    <w:rsid w:val="00883E60"/>
    <w:rPr>
      <w:rFonts w:ascii="Tahoma" w:eastAsia="Times New Roman" w:hAnsi="Tahoma" w:cs="Arial"/>
      <w:b/>
      <w:bCs/>
      <w:kern w:val="28"/>
      <w:sz w:val="22"/>
      <w:szCs w:val="32"/>
      <w:lang w:eastAsia="en-US"/>
    </w:rPr>
  </w:style>
  <w:style w:type="paragraph" w:customStyle="1" w:styleId="Texto">
    <w:name w:val="Texto"/>
    <w:basedOn w:val="Normal"/>
    <w:rsid w:val="00883E60"/>
    <w:pPr>
      <w:spacing w:after="240"/>
      <w:ind w:firstLine="2041"/>
    </w:pPr>
    <w:rPr>
      <w:kern w:val="20"/>
      <w:sz w:val="22"/>
      <w:szCs w:val="20"/>
    </w:rPr>
  </w:style>
  <w:style w:type="paragraph" w:customStyle="1" w:styleId="p0">
    <w:name w:val="p0"/>
    <w:basedOn w:val="Normal"/>
    <w:pPr>
      <w:tabs>
        <w:tab w:val="left" w:pos="720"/>
      </w:tabs>
      <w:spacing w:line="240" w:lineRule="atLeast"/>
    </w:pPr>
    <w:rPr>
      <w:rFonts w:ascii="Times" w:eastAsiaTheme="minorEastAsia" w:hAnsi="Times"/>
      <w:szCs w:val="20"/>
    </w:rPr>
  </w:style>
  <w:style w:type="paragraph" w:styleId="NormalWeb">
    <w:name w:val="Normal (Web)"/>
    <w:basedOn w:val="Normal"/>
    <w:pPr>
      <w:spacing w:before="100" w:beforeAutospacing="1" w:after="100" w:afterAutospacing="1"/>
    </w:pPr>
    <w:rPr>
      <w:rFonts w:eastAsiaTheme="minorEastAsia"/>
    </w:rPr>
  </w:style>
  <w:style w:type="character" w:customStyle="1" w:styleId="PargrafodaListaChar">
    <w:name w:val="Parágrafo da Lista Char"/>
    <w:aliases w:val="Vitor Título Char,Vitor T’tulo Char,Vitor T Char"/>
    <w:basedOn w:val="Fontepargpadro"/>
    <w:uiPriority w:val="34"/>
    <w:rPr>
      <w:rFonts w:ascii="Times New Roman" w:hAnsi="Times New Roman" w:cs="Times New Roman"/>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0"/>
    </w:rPr>
  </w:style>
  <w:style w:type="character" w:customStyle="1" w:styleId="Pr-formataoHTMLChar">
    <w:name w:val="Pré-formatação HTML Char"/>
    <w:basedOn w:val="Fontepargpadro"/>
    <w:link w:val="Pr-formataoHTML"/>
    <w:uiPriority w:val="99"/>
    <w:rPr>
      <w:rFonts w:ascii="Courier New" w:eastAsiaTheme="minorEastAsia" w:hAnsi="Courier New" w:cs="Courier New"/>
    </w:rPr>
  </w:style>
  <w:style w:type="character" w:customStyle="1" w:styleId="Level1Char">
    <w:name w:val="Level 1 Char"/>
    <w:link w:val="Level1"/>
    <w:rsid w:val="00883E60"/>
    <w:rPr>
      <w:rFonts w:ascii="Tahoma" w:eastAsia="Times New Roman" w:hAnsi="Tahoma"/>
      <w:kern w:val="20"/>
      <w:szCs w:val="28"/>
      <w:lang w:eastAsia="en-US"/>
    </w:rPr>
  </w:style>
  <w:style w:type="character" w:customStyle="1" w:styleId="Heading6Char1">
    <w:name w:val="Heading 6 Char1"/>
    <w:uiPriority w:val="9"/>
    <w:rPr>
      <w:rFonts w:ascii="Arial Narrow" w:hAnsi="Arial Narrow"/>
      <w:sz w:val="20"/>
      <w:u w:val="single"/>
    </w:rPr>
  </w:style>
  <w:style w:type="character" w:styleId="HiperlinkVisitado">
    <w:name w:val="FollowedHyperlink"/>
    <w:basedOn w:val="Fontepargpadro"/>
    <w:rsid w:val="00883E60"/>
    <w:rPr>
      <w:rFonts w:ascii="Tahoma" w:hAnsi="Tahoma"/>
      <w:color w:val="auto"/>
      <w:u w:val="none"/>
    </w:rPr>
  </w:style>
  <w:style w:type="paragraph" w:customStyle="1" w:styleId="ListaPrembulo">
    <w:name w:val="Lista Preâmbulo"/>
    <w:basedOn w:val="PargrafodaLista"/>
    <w:link w:val="ListaPrembuloChar"/>
    <w:qFormat/>
    <w:pPr>
      <w:numPr>
        <w:numId w:val="11"/>
      </w:numPr>
      <w:spacing w:line="320" w:lineRule="exact"/>
      <w:ind w:left="567" w:hanging="567"/>
    </w:pPr>
  </w:style>
  <w:style w:type="character" w:customStyle="1" w:styleId="PargrafodaListaChar1">
    <w:name w:val="Parágrafo da Lista Char1"/>
    <w:basedOn w:val="Fontepargpadro"/>
    <w:link w:val="PargrafodaLista"/>
    <w:uiPriority w:val="34"/>
    <w:rPr>
      <w:rFonts w:ascii="Tahoma" w:eastAsia="Times New Roman" w:hAnsi="Tahoma"/>
      <w:szCs w:val="24"/>
      <w:lang w:eastAsia="en-US"/>
    </w:rPr>
  </w:style>
  <w:style w:type="character" w:customStyle="1" w:styleId="ListaPrembuloChar">
    <w:name w:val="Lista Preâmbulo Char"/>
    <w:basedOn w:val="PargrafodaListaChar1"/>
    <w:link w:val="ListaPrembulo"/>
    <w:rPr>
      <w:rFonts w:ascii="Tahoma" w:eastAsia="Times New Roman" w:hAnsi="Tahoma"/>
      <w:szCs w:val="24"/>
      <w:lang w:eastAsia="en-US"/>
    </w:rPr>
  </w:style>
  <w:style w:type="paragraph" w:customStyle="1" w:styleId="Tabela">
    <w:name w:val="Tabela"/>
    <w:basedOn w:val="Normal"/>
    <w:link w:val="TabelaChar"/>
    <w:qFormat/>
    <w:pPr>
      <w:jc w:val="center"/>
    </w:pPr>
    <w:rPr>
      <w:rFonts w:cstheme="minorBidi"/>
      <w:szCs w:val="20"/>
    </w:rPr>
  </w:style>
  <w:style w:type="character" w:customStyle="1" w:styleId="TabelaChar">
    <w:name w:val="Tabela Char"/>
    <w:basedOn w:val="Fontepargpadro"/>
    <w:link w:val="Tabela"/>
    <w:rPr>
      <w:rFonts w:ascii="Verdana" w:eastAsia="Times New Roman" w:hAnsi="Verdana" w:cstheme="minorBidi"/>
    </w:rPr>
  </w:style>
  <w:style w:type="paragraph" w:styleId="Commarcadores">
    <w:name w:val="List Bullet"/>
    <w:basedOn w:val="Normal"/>
    <w:unhideWhenUsed/>
    <w:pPr>
      <w:numPr>
        <w:numId w:val="12"/>
      </w:numPr>
      <w:contextualSpacing/>
    </w:pPr>
  </w:style>
  <w:style w:type="paragraph" w:styleId="Recuodecorpodetexto">
    <w:name w:val="Body Text Indent"/>
    <w:basedOn w:val="Normal"/>
    <w:link w:val="RecuodecorpodetextoChar"/>
    <w:unhideWhenUsed/>
    <w:rsid w:val="009351C3"/>
    <w:pPr>
      <w:ind w:left="283"/>
    </w:pPr>
  </w:style>
  <w:style w:type="character" w:customStyle="1" w:styleId="RecuodecorpodetextoChar">
    <w:name w:val="Recuo de corpo de texto Char"/>
    <w:basedOn w:val="Fontepargpadro"/>
    <w:link w:val="Recuodecorpodetexto"/>
    <w:rsid w:val="009351C3"/>
    <w:rPr>
      <w:rFonts w:ascii="Verdana" w:eastAsia="Times New Roman" w:hAnsi="Verdana"/>
      <w:szCs w:val="18"/>
    </w:rPr>
  </w:style>
  <w:style w:type="character" w:customStyle="1" w:styleId="FontStyle90">
    <w:name w:val="Font Style90"/>
    <w:rsid w:val="009351C3"/>
    <w:rPr>
      <w:rFonts w:ascii="Arial" w:hAnsi="Arial" w:cs="Arial"/>
      <w:sz w:val="18"/>
      <w:szCs w:val="18"/>
    </w:rPr>
  </w:style>
  <w:style w:type="paragraph" w:customStyle="1" w:styleId="ListaMdia2-nfase41">
    <w:name w:val="Lista Média 2 - Ênfase 41"/>
    <w:basedOn w:val="Normal"/>
    <w:uiPriority w:val="34"/>
    <w:qFormat/>
    <w:rsid w:val="009351C3"/>
    <w:pPr>
      <w:ind w:left="720"/>
      <w:contextualSpacing/>
    </w:pPr>
    <w:rPr>
      <w:rFonts w:ascii="Times New Roman" w:hAnsi="Times New Roman"/>
      <w:sz w:val="26"/>
      <w:szCs w:val="20"/>
    </w:rPr>
  </w:style>
  <w:style w:type="paragraph" w:customStyle="1" w:styleId="ListaMdia1-nfase41">
    <w:name w:val="Lista Média 1 - Ênfase 41"/>
    <w:hidden/>
    <w:uiPriority w:val="99"/>
    <w:semiHidden/>
    <w:rsid w:val="009351C3"/>
    <w:rPr>
      <w:rFonts w:ascii="Times New Roman" w:eastAsia="Times New Roman" w:hAnsi="Times New Roman"/>
      <w:sz w:val="26"/>
    </w:rPr>
  </w:style>
  <w:style w:type="character" w:customStyle="1" w:styleId="DeltaViewInsertion">
    <w:name w:val="DeltaView Insertion"/>
    <w:rsid w:val="009351C3"/>
    <w:rPr>
      <w:color w:val="0000FF"/>
      <w:spacing w:val="0"/>
      <w:u w:val="double"/>
    </w:rPr>
  </w:style>
  <w:style w:type="paragraph" w:styleId="Recuodecorpodetexto3">
    <w:name w:val="Body Text Indent 3"/>
    <w:basedOn w:val="Normal"/>
    <w:link w:val="Recuodecorpodetexto3Char"/>
    <w:unhideWhenUsed/>
    <w:rsid w:val="009351C3"/>
    <w:pPr>
      <w:spacing w:line="340" w:lineRule="exact"/>
      <w:ind w:left="283" w:hanging="703"/>
    </w:pPr>
    <w:rPr>
      <w:rFonts w:ascii="Garamond" w:hAnsi="Garamond"/>
      <w:sz w:val="16"/>
      <w:szCs w:val="16"/>
      <w:lang w:val="x-none"/>
    </w:rPr>
  </w:style>
  <w:style w:type="character" w:customStyle="1" w:styleId="Recuodecorpodetexto3Char">
    <w:name w:val="Recuo de corpo de texto 3 Char"/>
    <w:basedOn w:val="Fontepargpadro"/>
    <w:link w:val="Recuodecorpodetexto3"/>
    <w:rsid w:val="009351C3"/>
    <w:rPr>
      <w:rFonts w:ascii="Garamond" w:eastAsia="Times New Roman" w:hAnsi="Garamond"/>
      <w:sz w:val="16"/>
      <w:szCs w:val="16"/>
      <w:lang w:val="x-none"/>
    </w:rPr>
  </w:style>
  <w:style w:type="paragraph" w:customStyle="1" w:styleId="SombreamentoColorido-nfase31">
    <w:name w:val="Sombreamento Colorido - Ênfase 31"/>
    <w:basedOn w:val="Normal"/>
    <w:uiPriority w:val="34"/>
    <w:qFormat/>
    <w:rsid w:val="009351C3"/>
    <w:pPr>
      <w:ind w:left="708"/>
    </w:pPr>
    <w:rPr>
      <w:rFonts w:ascii="Times New Roman" w:hAnsi="Times New Roman"/>
      <w:sz w:val="26"/>
      <w:szCs w:val="20"/>
    </w:rPr>
  </w:style>
  <w:style w:type="paragraph" w:customStyle="1" w:styleId="GradeMdia1-nfase21">
    <w:name w:val="Grade Média 1 - Ênfase 21"/>
    <w:basedOn w:val="Normal"/>
    <w:uiPriority w:val="34"/>
    <w:qFormat/>
    <w:rsid w:val="009351C3"/>
    <w:pPr>
      <w:ind w:left="708"/>
    </w:pPr>
    <w:rPr>
      <w:rFonts w:ascii="Times New Roman" w:hAnsi="Times New Roman"/>
      <w:sz w:val="26"/>
      <w:szCs w:val="20"/>
    </w:rPr>
  </w:style>
  <w:style w:type="paragraph" w:customStyle="1" w:styleId="ListaColorida-nfase11">
    <w:name w:val="Lista Colorida - Ênfase 11"/>
    <w:basedOn w:val="Normal"/>
    <w:uiPriority w:val="34"/>
    <w:qFormat/>
    <w:rsid w:val="009351C3"/>
    <w:pPr>
      <w:ind w:left="708"/>
    </w:pPr>
    <w:rPr>
      <w:rFonts w:ascii="Times New Roman" w:hAnsi="Times New Roman"/>
      <w:sz w:val="26"/>
      <w:szCs w:val="20"/>
    </w:rPr>
  </w:style>
  <w:style w:type="character" w:customStyle="1" w:styleId="FontStyle85">
    <w:name w:val="Font Style85"/>
    <w:uiPriority w:val="99"/>
    <w:rsid w:val="009351C3"/>
    <w:rPr>
      <w:rFonts w:ascii="Times New Roman" w:hAnsi="Times New Roman" w:cs="Times New Roman"/>
      <w:spacing w:val="20"/>
      <w:sz w:val="20"/>
      <w:szCs w:val="20"/>
    </w:rPr>
  </w:style>
  <w:style w:type="character" w:styleId="Forte">
    <w:name w:val="Strong"/>
    <w:qFormat/>
    <w:rsid w:val="009351C3"/>
    <w:rPr>
      <w:b/>
      <w:bCs/>
    </w:rPr>
  </w:style>
  <w:style w:type="character" w:customStyle="1" w:styleId="DeltaViewChangeNumber">
    <w:name w:val="DeltaView Change Number"/>
    <w:rsid w:val="009351C3"/>
    <w:rPr>
      <w:color w:val="000000"/>
      <w:vertAlign w:val="superscript"/>
    </w:rPr>
  </w:style>
  <w:style w:type="paragraph" w:customStyle="1" w:styleId="sub">
    <w:name w:val="sub"/>
    <w:rsid w:val="009351C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xmsonormal">
    <w:name w:val="x_msonormal"/>
    <w:basedOn w:val="Normal"/>
    <w:rsid w:val="009351C3"/>
    <w:pPr>
      <w:spacing w:before="100" w:beforeAutospacing="1" w:after="100" w:afterAutospacing="1"/>
    </w:pPr>
    <w:rPr>
      <w:rFonts w:ascii="Times New Roman" w:hAnsi="Times New Roman"/>
      <w:sz w:val="24"/>
      <w:lang w:val="en-US"/>
    </w:rPr>
  </w:style>
  <w:style w:type="paragraph" w:styleId="Lista">
    <w:name w:val="List"/>
    <w:basedOn w:val="Normal"/>
    <w:unhideWhenUsed/>
    <w:rsid w:val="008241AA"/>
    <w:pPr>
      <w:ind w:left="283" w:hanging="283"/>
      <w:contextualSpacing/>
    </w:pPr>
  </w:style>
  <w:style w:type="paragraph" w:customStyle="1" w:styleId="para">
    <w:name w:val="para"/>
    <w:basedOn w:val="Normal"/>
    <w:autoRedefine/>
    <w:rsid w:val="006858EA"/>
    <w:pPr>
      <w:numPr>
        <w:numId w:val="13"/>
      </w:numPr>
      <w:spacing w:line="320" w:lineRule="exact"/>
    </w:pPr>
    <w:rPr>
      <w:rFonts w:eastAsia="MS Mincho" w:cs="Tahoma"/>
      <w:sz w:val="22"/>
      <w:szCs w:val="22"/>
      <w:lang w:eastAsia="ja-JP"/>
    </w:rPr>
  </w:style>
  <w:style w:type="paragraph" w:customStyle="1" w:styleId="Normal10">
    <w:name w:val="Normal1"/>
    <w:basedOn w:val="Normal"/>
    <w:rsid w:val="00B2155F"/>
    <w:pPr>
      <w:spacing w:after="240"/>
      <w:ind w:firstLine="720"/>
    </w:pPr>
    <w:rPr>
      <w:rFonts w:ascii="Times New Roman" w:hAnsi="Times New Roman"/>
      <w:sz w:val="24"/>
      <w:szCs w:val="20"/>
      <w:lang w:val="en-US"/>
    </w:rPr>
  </w:style>
  <w:style w:type="paragraph" w:customStyle="1" w:styleId="Recitals">
    <w:name w:val="Recitals"/>
    <w:basedOn w:val="Normal"/>
    <w:rsid w:val="00883E60"/>
    <w:pPr>
      <w:numPr>
        <w:numId w:val="172"/>
      </w:numPr>
    </w:pPr>
    <w:rPr>
      <w:kern w:val="20"/>
    </w:rPr>
  </w:style>
  <w:style w:type="paragraph" w:customStyle="1" w:styleId="Parties2">
    <w:name w:val="Partie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Recitals2">
    <w:name w:val="Recital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FWParties">
    <w:name w:val="FWParties"/>
    <w:basedOn w:val="Corpodetexto"/>
    <w:rsid w:val="00B2155F"/>
    <w:pPr>
      <w:numPr>
        <w:numId w:val="14"/>
      </w:numPr>
      <w:spacing w:after="240"/>
    </w:pPr>
    <w:rPr>
      <w:rFonts w:ascii="Times New Roman" w:hAnsi="Times New Roman"/>
      <w:sz w:val="22"/>
      <w:lang w:val="en-GB"/>
    </w:rPr>
  </w:style>
  <w:style w:type="paragraph" w:customStyle="1" w:styleId="Celso1">
    <w:name w:val="Celso1"/>
    <w:basedOn w:val="Normal"/>
    <w:rsid w:val="00B2155F"/>
    <w:pPr>
      <w:widowControl w:val="0"/>
      <w:autoSpaceDE w:val="0"/>
      <w:autoSpaceDN w:val="0"/>
      <w:adjustRightInd w:val="0"/>
    </w:pPr>
    <w:rPr>
      <w:rFonts w:ascii="Univers (W1)" w:hAnsi="Univers (W1)" w:cs="Univers (W1)"/>
      <w:sz w:val="24"/>
    </w:rPr>
  </w:style>
  <w:style w:type="paragraph" w:customStyle="1" w:styleId="PargrafodaLista1">
    <w:name w:val="Parágrafo da Lista1"/>
    <w:basedOn w:val="Normal"/>
    <w:rsid w:val="00B2155F"/>
    <w:pPr>
      <w:widowControl w:val="0"/>
      <w:adjustRightInd w:val="0"/>
      <w:spacing w:line="360" w:lineRule="atLeast"/>
      <w:ind w:left="720"/>
      <w:contextualSpacing/>
      <w:textAlignment w:val="baseline"/>
    </w:pPr>
    <w:rPr>
      <w:rFonts w:ascii="Times New Roman" w:hAnsi="Times New Roman"/>
      <w:sz w:val="24"/>
    </w:rPr>
  </w:style>
  <w:style w:type="paragraph" w:customStyle="1" w:styleId="BodyText21">
    <w:name w:val="Body Text 21"/>
    <w:basedOn w:val="Normal"/>
    <w:rsid w:val="00B2155F"/>
    <w:pPr>
      <w:widowControl w:val="0"/>
      <w:autoSpaceDE w:val="0"/>
      <w:autoSpaceDN w:val="0"/>
      <w:adjustRightInd w:val="0"/>
    </w:pPr>
    <w:rPr>
      <w:rFonts w:ascii="Arial" w:hAnsi="Arial" w:cs="Arial"/>
      <w:sz w:val="24"/>
    </w:rPr>
  </w:style>
  <w:style w:type="paragraph" w:styleId="Recuodecorpodetexto2">
    <w:name w:val="Body Text Indent 2"/>
    <w:basedOn w:val="Normal"/>
    <w:link w:val="Recuodecorpodetexto2Char"/>
    <w:rsid w:val="00A53A82"/>
    <w:pPr>
      <w:spacing w:line="312" w:lineRule="auto"/>
      <w:ind w:firstLine="2"/>
    </w:pPr>
    <w:rPr>
      <w:rFonts w:ascii="Arial" w:hAnsi="Arial"/>
      <w:sz w:val="22"/>
      <w:szCs w:val="20"/>
    </w:rPr>
  </w:style>
  <w:style w:type="character" w:customStyle="1" w:styleId="Recuodecorpodetexto2Char">
    <w:name w:val="Recuo de corpo de texto 2 Char"/>
    <w:basedOn w:val="Fontepargpadro"/>
    <w:link w:val="Recuodecorpodetexto2"/>
    <w:rsid w:val="00A53A82"/>
    <w:rPr>
      <w:rFonts w:ascii="Arial" w:eastAsia="Times New Roman" w:hAnsi="Arial"/>
      <w:sz w:val="22"/>
      <w:lang w:eastAsia="en-US"/>
    </w:rPr>
  </w:style>
  <w:style w:type="paragraph" w:customStyle="1" w:styleId="Parties">
    <w:name w:val="Parties"/>
    <w:basedOn w:val="Normal"/>
    <w:rsid w:val="00883E60"/>
    <w:pPr>
      <w:numPr>
        <w:numId w:val="168"/>
      </w:numPr>
    </w:pPr>
    <w:rPr>
      <w:kern w:val="20"/>
    </w:rPr>
  </w:style>
  <w:style w:type="paragraph" w:customStyle="1" w:styleId="roman3">
    <w:name w:val="roman 3"/>
    <w:basedOn w:val="Normal"/>
    <w:link w:val="roman3Char"/>
    <w:rsid w:val="00883E60"/>
    <w:pPr>
      <w:numPr>
        <w:numId w:val="193"/>
      </w:numPr>
    </w:pPr>
    <w:rPr>
      <w:kern w:val="20"/>
      <w:szCs w:val="20"/>
    </w:rPr>
  </w:style>
  <w:style w:type="paragraph" w:customStyle="1" w:styleId="BodyTextFull">
    <w:name w:val="Body Text Full"/>
    <w:basedOn w:val="Corpodetexto"/>
    <w:rsid w:val="008022D8"/>
    <w:pPr>
      <w:autoSpaceDE w:val="0"/>
      <w:autoSpaceDN w:val="0"/>
      <w:adjustRightInd w:val="0"/>
      <w:spacing w:after="240"/>
    </w:pPr>
    <w:rPr>
      <w:rFonts w:ascii="Times New Roman" w:hAnsi="Times New Roman"/>
      <w:sz w:val="22"/>
      <w:szCs w:val="22"/>
    </w:rPr>
  </w:style>
  <w:style w:type="paragraph" w:customStyle="1" w:styleId="Legal5L8">
    <w:name w:val="Legal5_L8"/>
    <w:basedOn w:val="Normal"/>
    <w:next w:val="Normal"/>
    <w:rsid w:val="008022D8"/>
    <w:pPr>
      <w:numPr>
        <w:numId w:val="15"/>
      </w:numPr>
      <w:tabs>
        <w:tab w:val="clear" w:pos="360"/>
        <w:tab w:val="num" w:pos="1440"/>
        <w:tab w:val="num" w:pos="1800"/>
        <w:tab w:val="left" w:pos="2880"/>
      </w:tabs>
      <w:autoSpaceDE w:val="0"/>
      <w:autoSpaceDN w:val="0"/>
      <w:adjustRightInd w:val="0"/>
      <w:spacing w:after="240"/>
      <w:ind w:left="1440" w:right="-144" w:hanging="720"/>
      <w:outlineLvl w:val="7"/>
    </w:pPr>
    <w:rPr>
      <w:rFonts w:ascii="Times New Roman" w:hAnsi="Times New Roman"/>
      <w:sz w:val="24"/>
    </w:rPr>
  </w:style>
  <w:style w:type="paragraph" w:customStyle="1" w:styleId="AODefHead">
    <w:name w:val="AODefHead"/>
    <w:basedOn w:val="Normal"/>
    <w:next w:val="AODefPara"/>
    <w:rsid w:val="00484FC0"/>
    <w:pPr>
      <w:numPr>
        <w:numId w:val="16"/>
      </w:numPr>
      <w:spacing w:before="240" w:line="260" w:lineRule="atLeast"/>
      <w:outlineLvl w:val="5"/>
    </w:pPr>
    <w:rPr>
      <w:rFonts w:ascii="Times New Roman" w:eastAsia="SimSun" w:hAnsi="Times New Roman"/>
      <w:sz w:val="22"/>
      <w:szCs w:val="22"/>
      <w:lang w:val="en-GB"/>
    </w:rPr>
  </w:style>
  <w:style w:type="paragraph" w:customStyle="1" w:styleId="AODefPara">
    <w:name w:val="AODefPara"/>
    <w:basedOn w:val="AODefHead"/>
    <w:rsid w:val="00484FC0"/>
    <w:pPr>
      <w:numPr>
        <w:ilvl w:val="1"/>
      </w:numPr>
      <w:outlineLvl w:val="6"/>
    </w:pPr>
  </w:style>
  <w:style w:type="paragraph" w:customStyle="1" w:styleId="paragraph">
    <w:name w:val="paragraph"/>
    <w:basedOn w:val="Normal"/>
    <w:rsid w:val="006F6255"/>
    <w:pPr>
      <w:spacing w:before="100" w:beforeAutospacing="1" w:after="100" w:afterAutospacing="1"/>
    </w:pPr>
    <w:rPr>
      <w:rFonts w:ascii="Times New Roman" w:hAnsi="Times New Roman"/>
      <w:sz w:val="24"/>
    </w:rPr>
  </w:style>
  <w:style w:type="character" w:customStyle="1" w:styleId="normaltextrun">
    <w:name w:val="normaltextrun"/>
    <w:basedOn w:val="Fontepargpadro"/>
    <w:rsid w:val="006F6255"/>
  </w:style>
  <w:style w:type="paragraph" w:customStyle="1" w:styleId="alpha1">
    <w:name w:val="alpha 1"/>
    <w:basedOn w:val="Normal"/>
    <w:rsid w:val="00883E60"/>
    <w:pPr>
      <w:numPr>
        <w:numId w:val="134"/>
      </w:numPr>
    </w:pPr>
    <w:rPr>
      <w:kern w:val="20"/>
      <w:szCs w:val="20"/>
    </w:rPr>
  </w:style>
  <w:style w:type="paragraph" w:customStyle="1" w:styleId="alpha2">
    <w:name w:val="alpha 2"/>
    <w:basedOn w:val="Normal"/>
    <w:rsid w:val="00883E60"/>
    <w:pPr>
      <w:numPr>
        <w:numId w:val="135"/>
      </w:numPr>
    </w:pPr>
    <w:rPr>
      <w:kern w:val="20"/>
      <w:szCs w:val="20"/>
    </w:rPr>
  </w:style>
  <w:style w:type="paragraph" w:customStyle="1" w:styleId="alpha3">
    <w:name w:val="alpha 3"/>
    <w:basedOn w:val="Normal"/>
    <w:rsid w:val="00883E60"/>
    <w:pPr>
      <w:numPr>
        <w:numId w:val="136"/>
      </w:numPr>
    </w:pPr>
    <w:rPr>
      <w:kern w:val="20"/>
      <w:szCs w:val="20"/>
    </w:rPr>
  </w:style>
  <w:style w:type="paragraph" w:customStyle="1" w:styleId="alpha4">
    <w:name w:val="alpha 4"/>
    <w:basedOn w:val="Normal"/>
    <w:rsid w:val="00883E60"/>
    <w:pPr>
      <w:numPr>
        <w:numId w:val="137"/>
      </w:numPr>
    </w:pPr>
    <w:rPr>
      <w:kern w:val="20"/>
      <w:szCs w:val="20"/>
    </w:rPr>
  </w:style>
  <w:style w:type="paragraph" w:customStyle="1" w:styleId="alpha5">
    <w:name w:val="alpha 5"/>
    <w:basedOn w:val="Normal"/>
    <w:rsid w:val="00883E60"/>
    <w:pPr>
      <w:numPr>
        <w:numId w:val="138"/>
      </w:numPr>
    </w:pPr>
    <w:rPr>
      <w:kern w:val="20"/>
      <w:szCs w:val="20"/>
    </w:rPr>
  </w:style>
  <w:style w:type="paragraph" w:customStyle="1" w:styleId="alpha6">
    <w:name w:val="alpha 6"/>
    <w:basedOn w:val="Normal"/>
    <w:rsid w:val="00883E60"/>
    <w:pPr>
      <w:numPr>
        <w:numId w:val="139"/>
      </w:numPr>
    </w:pPr>
    <w:rPr>
      <w:kern w:val="20"/>
      <w:szCs w:val="20"/>
    </w:rPr>
  </w:style>
  <w:style w:type="paragraph" w:customStyle="1" w:styleId="Anexo1">
    <w:name w:val="Anexo 1"/>
    <w:basedOn w:val="Normal"/>
    <w:rsid w:val="00883E60"/>
    <w:pPr>
      <w:numPr>
        <w:numId w:val="145"/>
      </w:numPr>
    </w:pPr>
    <w:rPr>
      <w:kern w:val="20"/>
      <w:lang w:val="en-US"/>
    </w:rPr>
  </w:style>
  <w:style w:type="paragraph" w:customStyle="1" w:styleId="Anexo2">
    <w:name w:val="Anexo 2"/>
    <w:basedOn w:val="Normal"/>
    <w:rsid w:val="00883E60"/>
    <w:pPr>
      <w:numPr>
        <w:ilvl w:val="1"/>
        <w:numId w:val="145"/>
      </w:numPr>
    </w:pPr>
    <w:rPr>
      <w:kern w:val="20"/>
      <w:lang w:val="en-US"/>
    </w:rPr>
  </w:style>
  <w:style w:type="paragraph" w:customStyle="1" w:styleId="Anexo3">
    <w:name w:val="Anexo 3"/>
    <w:basedOn w:val="Normal"/>
    <w:rsid w:val="00883E60"/>
    <w:pPr>
      <w:numPr>
        <w:ilvl w:val="2"/>
        <w:numId w:val="145"/>
      </w:numPr>
    </w:pPr>
    <w:rPr>
      <w:kern w:val="20"/>
      <w:lang w:val="en-US"/>
    </w:rPr>
  </w:style>
  <w:style w:type="paragraph" w:customStyle="1" w:styleId="Anexo4">
    <w:name w:val="Anexo 4"/>
    <w:basedOn w:val="Normal"/>
    <w:rsid w:val="00883E60"/>
    <w:pPr>
      <w:numPr>
        <w:ilvl w:val="3"/>
        <w:numId w:val="145"/>
      </w:numPr>
    </w:pPr>
    <w:rPr>
      <w:kern w:val="20"/>
      <w:lang w:val="en-US"/>
    </w:rPr>
  </w:style>
  <w:style w:type="paragraph" w:customStyle="1" w:styleId="Anexo5">
    <w:name w:val="Anexo 5"/>
    <w:basedOn w:val="Normal"/>
    <w:rsid w:val="00883E60"/>
    <w:pPr>
      <w:numPr>
        <w:ilvl w:val="4"/>
        <w:numId w:val="145"/>
      </w:numPr>
    </w:pPr>
    <w:rPr>
      <w:kern w:val="20"/>
      <w:lang w:val="en-US"/>
    </w:rPr>
  </w:style>
  <w:style w:type="paragraph" w:customStyle="1" w:styleId="Anexo6">
    <w:name w:val="Anexo 6"/>
    <w:basedOn w:val="Normal"/>
    <w:rsid w:val="00883E60"/>
    <w:pPr>
      <w:numPr>
        <w:ilvl w:val="5"/>
        <w:numId w:val="145"/>
      </w:numPr>
    </w:pPr>
    <w:rPr>
      <w:kern w:val="20"/>
      <w:lang w:val="en-US"/>
    </w:rPr>
  </w:style>
  <w:style w:type="paragraph" w:customStyle="1" w:styleId="Assin">
    <w:name w:val="Assin"/>
    <w:basedOn w:val="Normal"/>
    <w:rsid w:val="00883E60"/>
    <w:pPr>
      <w:tabs>
        <w:tab w:val="left" w:pos="1247"/>
      </w:tabs>
      <w:spacing w:after="240"/>
      <w:ind w:left="2041"/>
    </w:pPr>
    <w:rPr>
      <w:kern w:val="20"/>
      <w:sz w:val="22"/>
      <w:szCs w:val="20"/>
    </w:rPr>
  </w:style>
  <w:style w:type="paragraph" w:customStyle="1" w:styleId="Body1">
    <w:name w:val="Body 1"/>
    <w:basedOn w:val="Normal"/>
    <w:rsid w:val="00883E60"/>
    <w:pPr>
      <w:ind w:left="567"/>
    </w:pPr>
    <w:rPr>
      <w:kern w:val="20"/>
    </w:rPr>
  </w:style>
  <w:style w:type="paragraph" w:customStyle="1" w:styleId="Body2">
    <w:name w:val="Body 2"/>
    <w:basedOn w:val="Normal"/>
    <w:rsid w:val="00883E60"/>
    <w:pPr>
      <w:ind w:left="1247"/>
    </w:pPr>
    <w:rPr>
      <w:kern w:val="20"/>
    </w:rPr>
  </w:style>
  <w:style w:type="paragraph" w:customStyle="1" w:styleId="Body3">
    <w:name w:val="Body 3"/>
    <w:basedOn w:val="Normal"/>
    <w:rsid w:val="00883E60"/>
    <w:pPr>
      <w:ind w:left="2041"/>
    </w:pPr>
    <w:rPr>
      <w:kern w:val="20"/>
    </w:rPr>
  </w:style>
  <w:style w:type="paragraph" w:customStyle="1" w:styleId="Body4">
    <w:name w:val="Body 4"/>
    <w:basedOn w:val="Normal"/>
    <w:rsid w:val="00883E60"/>
    <w:pPr>
      <w:ind w:left="2722"/>
    </w:pPr>
    <w:rPr>
      <w:kern w:val="20"/>
    </w:rPr>
  </w:style>
  <w:style w:type="paragraph" w:customStyle="1" w:styleId="Body5">
    <w:name w:val="Body 5"/>
    <w:basedOn w:val="Normal"/>
    <w:rsid w:val="00883E60"/>
    <w:pPr>
      <w:ind w:left="3289"/>
    </w:pPr>
    <w:rPr>
      <w:kern w:val="20"/>
    </w:rPr>
  </w:style>
  <w:style w:type="paragraph" w:customStyle="1" w:styleId="Body6">
    <w:name w:val="Body 6"/>
    <w:basedOn w:val="Normal"/>
    <w:rsid w:val="00883E60"/>
    <w:pPr>
      <w:ind w:left="3969"/>
    </w:pPr>
    <w:rPr>
      <w:kern w:val="20"/>
    </w:rPr>
  </w:style>
  <w:style w:type="paragraph" w:customStyle="1" w:styleId="bullet1">
    <w:name w:val="bullet 1"/>
    <w:basedOn w:val="Normal"/>
    <w:rsid w:val="00883E60"/>
    <w:pPr>
      <w:numPr>
        <w:numId w:val="146"/>
      </w:numPr>
    </w:pPr>
    <w:rPr>
      <w:kern w:val="20"/>
    </w:rPr>
  </w:style>
  <w:style w:type="paragraph" w:customStyle="1" w:styleId="bullet2">
    <w:name w:val="bullet 2"/>
    <w:basedOn w:val="Normal"/>
    <w:rsid w:val="00883E60"/>
    <w:pPr>
      <w:numPr>
        <w:numId w:val="147"/>
      </w:numPr>
    </w:pPr>
    <w:rPr>
      <w:kern w:val="20"/>
    </w:rPr>
  </w:style>
  <w:style w:type="paragraph" w:customStyle="1" w:styleId="bullet3">
    <w:name w:val="bullet 3"/>
    <w:basedOn w:val="Normal"/>
    <w:rsid w:val="00883E60"/>
    <w:pPr>
      <w:numPr>
        <w:numId w:val="148"/>
      </w:numPr>
    </w:pPr>
    <w:rPr>
      <w:kern w:val="20"/>
    </w:rPr>
  </w:style>
  <w:style w:type="paragraph" w:customStyle="1" w:styleId="bullet4">
    <w:name w:val="bullet 4"/>
    <w:basedOn w:val="Normal"/>
    <w:rsid w:val="00883E60"/>
    <w:pPr>
      <w:numPr>
        <w:numId w:val="149"/>
      </w:numPr>
    </w:pPr>
    <w:rPr>
      <w:kern w:val="20"/>
    </w:rPr>
  </w:style>
  <w:style w:type="paragraph" w:customStyle="1" w:styleId="bullet5">
    <w:name w:val="bullet 5"/>
    <w:basedOn w:val="Normal"/>
    <w:rsid w:val="00883E60"/>
    <w:pPr>
      <w:numPr>
        <w:numId w:val="150"/>
      </w:numPr>
    </w:pPr>
    <w:rPr>
      <w:kern w:val="20"/>
    </w:rPr>
  </w:style>
  <w:style w:type="paragraph" w:customStyle="1" w:styleId="bullet6">
    <w:name w:val="bullet 6"/>
    <w:basedOn w:val="Normal"/>
    <w:rsid w:val="00883E60"/>
    <w:pPr>
      <w:numPr>
        <w:numId w:val="151"/>
      </w:numPr>
    </w:pPr>
    <w:rPr>
      <w:kern w:val="20"/>
    </w:rPr>
  </w:style>
  <w:style w:type="paragraph" w:customStyle="1" w:styleId="CellBody">
    <w:name w:val="CellBody"/>
    <w:basedOn w:val="Normal"/>
    <w:rsid w:val="00883E60"/>
    <w:pPr>
      <w:spacing w:before="60" w:after="60"/>
    </w:pPr>
    <w:rPr>
      <w:kern w:val="20"/>
      <w:szCs w:val="20"/>
    </w:rPr>
  </w:style>
  <w:style w:type="paragraph" w:customStyle="1" w:styleId="CellHead">
    <w:name w:val="CellHead"/>
    <w:basedOn w:val="Normal"/>
    <w:rsid w:val="00883E60"/>
    <w:pPr>
      <w:keepNext/>
      <w:spacing w:before="60" w:after="60"/>
    </w:pPr>
    <w:rPr>
      <w:b/>
      <w:kern w:val="20"/>
    </w:rPr>
  </w:style>
  <w:style w:type="paragraph" w:customStyle="1" w:styleId="dashbullet1">
    <w:name w:val="dash bullet 1"/>
    <w:basedOn w:val="Normal"/>
    <w:rsid w:val="00883E60"/>
    <w:pPr>
      <w:numPr>
        <w:numId w:val="152"/>
      </w:numPr>
    </w:pPr>
    <w:rPr>
      <w:kern w:val="20"/>
    </w:rPr>
  </w:style>
  <w:style w:type="paragraph" w:customStyle="1" w:styleId="dashbullet2">
    <w:name w:val="dash bullet 2"/>
    <w:basedOn w:val="Normal"/>
    <w:rsid w:val="00883E60"/>
    <w:pPr>
      <w:numPr>
        <w:numId w:val="153"/>
      </w:numPr>
    </w:pPr>
    <w:rPr>
      <w:kern w:val="20"/>
    </w:rPr>
  </w:style>
  <w:style w:type="paragraph" w:customStyle="1" w:styleId="dashbullet3">
    <w:name w:val="dash bullet 3"/>
    <w:basedOn w:val="Normal"/>
    <w:rsid w:val="00883E60"/>
    <w:pPr>
      <w:numPr>
        <w:numId w:val="154"/>
      </w:numPr>
    </w:pPr>
    <w:rPr>
      <w:kern w:val="20"/>
    </w:rPr>
  </w:style>
  <w:style w:type="paragraph" w:customStyle="1" w:styleId="dashbullet4">
    <w:name w:val="dash bullet 4"/>
    <w:basedOn w:val="Normal"/>
    <w:rsid w:val="00883E60"/>
    <w:pPr>
      <w:numPr>
        <w:numId w:val="155"/>
      </w:numPr>
    </w:pPr>
    <w:rPr>
      <w:kern w:val="20"/>
    </w:rPr>
  </w:style>
  <w:style w:type="paragraph" w:customStyle="1" w:styleId="dashbullet5">
    <w:name w:val="dash bullet 5"/>
    <w:basedOn w:val="Normal"/>
    <w:rsid w:val="00883E60"/>
    <w:pPr>
      <w:numPr>
        <w:numId w:val="156"/>
      </w:numPr>
    </w:pPr>
    <w:rPr>
      <w:kern w:val="20"/>
    </w:rPr>
  </w:style>
  <w:style w:type="paragraph" w:customStyle="1" w:styleId="dashbullet6">
    <w:name w:val="dash bullet 6"/>
    <w:basedOn w:val="Normal"/>
    <w:rsid w:val="00883E60"/>
    <w:pPr>
      <w:numPr>
        <w:numId w:val="157"/>
      </w:numPr>
    </w:pPr>
    <w:rPr>
      <w:kern w:val="20"/>
    </w:rPr>
  </w:style>
  <w:style w:type="paragraph" w:customStyle="1" w:styleId="doublealpha">
    <w:name w:val="double alpha"/>
    <w:basedOn w:val="Normal"/>
    <w:rsid w:val="00883E60"/>
    <w:pPr>
      <w:numPr>
        <w:numId w:val="158"/>
      </w:numPr>
    </w:pPr>
    <w:rPr>
      <w:kern w:val="20"/>
    </w:rPr>
  </w:style>
  <w:style w:type="paragraph" w:customStyle="1" w:styleId="Head">
    <w:name w:val="Head"/>
    <w:basedOn w:val="Normal"/>
    <w:next w:val="Normal"/>
    <w:rsid w:val="00883E60"/>
    <w:pPr>
      <w:keepNext/>
      <w:spacing w:before="280"/>
      <w:outlineLvl w:val="0"/>
    </w:pPr>
    <w:rPr>
      <w:b/>
      <w:kern w:val="23"/>
      <w:sz w:val="23"/>
    </w:rPr>
  </w:style>
  <w:style w:type="paragraph" w:customStyle="1" w:styleId="Head1">
    <w:name w:val="Head 1"/>
    <w:basedOn w:val="Normal"/>
    <w:next w:val="Normal"/>
    <w:rsid w:val="00883E60"/>
    <w:pPr>
      <w:keepNext/>
      <w:spacing w:before="280"/>
      <w:ind w:left="567"/>
      <w:outlineLvl w:val="0"/>
    </w:pPr>
    <w:rPr>
      <w:b/>
      <w:kern w:val="22"/>
      <w:sz w:val="22"/>
    </w:rPr>
  </w:style>
  <w:style w:type="paragraph" w:customStyle="1" w:styleId="Head2">
    <w:name w:val="Head 2"/>
    <w:basedOn w:val="Normal"/>
    <w:next w:val="Body2"/>
    <w:rsid w:val="00883E60"/>
    <w:pPr>
      <w:keepNext/>
      <w:spacing w:before="280" w:after="60"/>
      <w:ind w:left="1247"/>
      <w:outlineLvl w:val="1"/>
    </w:pPr>
    <w:rPr>
      <w:b/>
      <w:kern w:val="21"/>
      <w:sz w:val="21"/>
    </w:rPr>
  </w:style>
  <w:style w:type="paragraph" w:customStyle="1" w:styleId="Head3">
    <w:name w:val="Head 3"/>
    <w:basedOn w:val="Normal"/>
    <w:next w:val="Body3"/>
    <w:rsid w:val="00883E60"/>
    <w:pPr>
      <w:keepNext/>
      <w:spacing w:before="280"/>
      <w:ind w:left="2041"/>
      <w:outlineLvl w:val="2"/>
    </w:pPr>
    <w:rPr>
      <w:b/>
      <w:kern w:val="20"/>
    </w:rPr>
  </w:style>
  <w:style w:type="paragraph" w:styleId="ndicedeautoridades">
    <w:name w:val="table of authorities"/>
    <w:basedOn w:val="Normal"/>
    <w:next w:val="Normal"/>
    <w:rsid w:val="00883E60"/>
    <w:pPr>
      <w:ind w:left="200" w:hanging="200"/>
    </w:pPr>
  </w:style>
  <w:style w:type="character" w:styleId="Refdenotadefim">
    <w:name w:val="endnote reference"/>
    <w:basedOn w:val="Fontepargpadro"/>
    <w:rsid w:val="00883E60"/>
    <w:rPr>
      <w:rFonts w:ascii="Arial" w:hAnsi="Arial"/>
      <w:vertAlign w:val="superscript"/>
    </w:rPr>
  </w:style>
  <w:style w:type="paragraph" w:customStyle="1" w:styleId="Referncia">
    <w:name w:val="Referência"/>
    <w:basedOn w:val="Normal"/>
    <w:rsid w:val="00883E60"/>
    <w:pPr>
      <w:spacing w:after="500"/>
    </w:pPr>
    <w:rPr>
      <w:b/>
      <w:sz w:val="21"/>
    </w:rPr>
  </w:style>
  <w:style w:type="paragraph" w:customStyle="1" w:styleId="Rodap2">
    <w:name w:val="Rodapé2"/>
    <w:basedOn w:val="Rodap"/>
    <w:rsid w:val="00883E60"/>
  </w:style>
  <w:style w:type="paragraph" w:customStyle="1" w:styleId="roman1">
    <w:name w:val="roman 1"/>
    <w:basedOn w:val="Normal"/>
    <w:rsid w:val="00883E60"/>
    <w:pPr>
      <w:numPr>
        <w:numId w:val="191"/>
      </w:numPr>
      <w:tabs>
        <w:tab w:val="left" w:pos="567"/>
      </w:tabs>
    </w:pPr>
    <w:rPr>
      <w:kern w:val="20"/>
      <w:szCs w:val="20"/>
    </w:rPr>
  </w:style>
  <w:style w:type="paragraph" w:customStyle="1" w:styleId="roman2">
    <w:name w:val="roman 2"/>
    <w:basedOn w:val="Normal"/>
    <w:rsid w:val="00883E60"/>
    <w:pPr>
      <w:numPr>
        <w:numId w:val="192"/>
      </w:numPr>
    </w:pPr>
    <w:rPr>
      <w:kern w:val="20"/>
      <w:szCs w:val="20"/>
    </w:rPr>
  </w:style>
  <w:style w:type="paragraph" w:customStyle="1" w:styleId="roman4">
    <w:name w:val="roman 4"/>
    <w:basedOn w:val="Normal"/>
    <w:rsid w:val="00883E60"/>
    <w:pPr>
      <w:numPr>
        <w:numId w:val="194"/>
      </w:numPr>
    </w:pPr>
    <w:rPr>
      <w:kern w:val="20"/>
      <w:szCs w:val="20"/>
    </w:rPr>
  </w:style>
  <w:style w:type="paragraph" w:customStyle="1" w:styleId="roman5">
    <w:name w:val="roman 5"/>
    <w:basedOn w:val="Normal"/>
    <w:rsid w:val="00883E60"/>
    <w:pPr>
      <w:numPr>
        <w:numId w:val="195"/>
      </w:numPr>
      <w:tabs>
        <w:tab w:val="left" w:pos="3289"/>
      </w:tabs>
    </w:pPr>
    <w:rPr>
      <w:kern w:val="20"/>
      <w:szCs w:val="20"/>
    </w:rPr>
  </w:style>
  <w:style w:type="paragraph" w:customStyle="1" w:styleId="roman6">
    <w:name w:val="roman 6"/>
    <w:basedOn w:val="Normal"/>
    <w:rsid w:val="00883E60"/>
    <w:pPr>
      <w:numPr>
        <w:numId w:val="196"/>
      </w:numPr>
    </w:pPr>
    <w:rPr>
      <w:kern w:val="20"/>
      <w:szCs w:val="20"/>
    </w:rPr>
  </w:style>
  <w:style w:type="paragraph" w:customStyle="1" w:styleId="SubTtulo0">
    <w:name w:val="SubTítulo"/>
    <w:basedOn w:val="Normal"/>
    <w:next w:val="Normal"/>
    <w:rsid w:val="00883E60"/>
    <w:pPr>
      <w:keepNext/>
      <w:spacing w:before="140"/>
      <w:outlineLvl w:val="0"/>
    </w:pPr>
    <w:rPr>
      <w:b/>
      <w:kern w:val="21"/>
      <w:sz w:val="21"/>
    </w:rPr>
  </w:style>
  <w:style w:type="paragraph" w:styleId="Sumrio1">
    <w:name w:val="toc 1"/>
    <w:basedOn w:val="Normal"/>
    <w:next w:val="Normal"/>
    <w:rsid w:val="00883E60"/>
    <w:pPr>
      <w:spacing w:before="280"/>
      <w:ind w:left="567" w:hanging="567"/>
    </w:pPr>
    <w:rPr>
      <w:kern w:val="20"/>
    </w:rPr>
  </w:style>
  <w:style w:type="paragraph" w:styleId="Sumrio2">
    <w:name w:val="toc 2"/>
    <w:basedOn w:val="Normal"/>
    <w:next w:val="Normal"/>
    <w:rsid w:val="00883E60"/>
    <w:pPr>
      <w:spacing w:before="280"/>
      <w:ind w:left="1247" w:hanging="680"/>
    </w:pPr>
    <w:rPr>
      <w:kern w:val="20"/>
    </w:rPr>
  </w:style>
  <w:style w:type="paragraph" w:styleId="Sumrio3">
    <w:name w:val="toc 3"/>
    <w:basedOn w:val="Normal"/>
    <w:next w:val="Normal"/>
    <w:rsid w:val="00883E60"/>
    <w:pPr>
      <w:spacing w:before="280"/>
      <w:ind w:left="2041" w:hanging="794"/>
    </w:pPr>
    <w:rPr>
      <w:kern w:val="20"/>
    </w:rPr>
  </w:style>
  <w:style w:type="paragraph" w:styleId="Sumrio4">
    <w:name w:val="toc 4"/>
    <w:basedOn w:val="Normal"/>
    <w:next w:val="Normal"/>
    <w:rsid w:val="00883E60"/>
    <w:pPr>
      <w:spacing w:before="280"/>
      <w:ind w:left="2041" w:hanging="794"/>
    </w:pPr>
    <w:rPr>
      <w:kern w:val="20"/>
    </w:rPr>
  </w:style>
  <w:style w:type="paragraph" w:styleId="Sumrio5">
    <w:name w:val="toc 5"/>
    <w:basedOn w:val="Normal"/>
    <w:next w:val="Normal"/>
    <w:rsid w:val="00883E60"/>
  </w:style>
  <w:style w:type="paragraph" w:styleId="Sumrio6">
    <w:name w:val="toc 6"/>
    <w:basedOn w:val="Normal"/>
    <w:next w:val="Normal"/>
    <w:rsid w:val="00883E60"/>
  </w:style>
  <w:style w:type="paragraph" w:styleId="Sumrio7">
    <w:name w:val="toc 7"/>
    <w:basedOn w:val="Normal"/>
    <w:next w:val="Normal"/>
    <w:rsid w:val="00883E60"/>
  </w:style>
  <w:style w:type="paragraph" w:styleId="Sumrio8">
    <w:name w:val="toc 8"/>
    <w:basedOn w:val="Normal"/>
    <w:next w:val="Normal"/>
    <w:rsid w:val="00883E60"/>
  </w:style>
  <w:style w:type="paragraph" w:styleId="Sumrio9">
    <w:name w:val="toc 9"/>
    <w:basedOn w:val="Normal"/>
    <w:next w:val="Normal"/>
    <w:rsid w:val="00883E60"/>
  </w:style>
  <w:style w:type="paragraph" w:customStyle="1" w:styleId="Table1">
    <w:name w:val="Table 1"/>
    <w:basedOn w:val="Normal"/>
    <w:rsid w:val="00883E60"/>
    <w:pPr>
      <w:numPr>
        <w:numId w:val="202"/>
      </w:numPr>
      <w:spacing w:before="60" w:after="60"/>
      <w:outlineLvl w:val="0"/>
    </w:pPr>
    <w:rPr>
      <w:kern w:val="20"/>
    </w:rPr>
  </w:style>
  <w:style w:type="paragraph" w:customStyle="1" w:styleId="Table2">
    <w:name w:val="Table 2"/>
    <w:basedOn w:val="Normal"/>
    <w:rsid w:val="00883E60"/>
    <w:pPr>
      <w:numPr>
        <w:ilvl w:val="1"/>
        <w:numId w:val="202"/>
      </w:numPr>
      <w:spacing w:before="60" w:after="60"/>
      <w:outlineLvl w:val="1"/>
    </w:pPr>
    <w:rPr>
      <w:kern w:val="20"/>
    </w:rPr>
  </w:style>
  <w:style w:type="paragraph" w:customStyle="1" w:styleId="Table3">
    <w:name w:val="Table 3"/>
    <w:basedOn w:val="Normal"/>
    <w:rsid w:val="00883E60"/>
    <w:pPr>
      <w:numPr>
        <w:ilvl w:val="2"/>
        <w:numId w:val="202"/>
      </w:numPr>
      <w:spacing w:before="60" w:after="60"/>
      <w:outlineLvl w:val="2"/>
    </w:pPr>
    <w:rPr>
      <w:kern w:val="20"/>
    </w:rPr>
  </w:style>
  <w:style w:type="paragraph" w:customStyle="1" w:styleId="Table4">
    <w:name w:val="Table 4"/>
    <w:basedOn w:val="Normal"/>
    <w:rsid w:val="00883E60"/>
    <w:pPr>
      <w:numPr>
        <w:ilvl w:val="3"/>
        <w:numId w:val="202"/>
      </w:numPr>
      <w:spacing w:before="60" w:after="60"/>
      <w:outlineLvl w:val="3"/>
    </w:pPr>
    <w:rPr>
      <w:kern w:val="20"/>
    </w:rPr>
  </w:style>
  <w:style w:type="paragraph" w:customStyle="1" w:styleId="Table5">
    <w:name w:val="Table 5"/>
    <w:basedOn w:val="Normal"/>
    <w:rsid w:val="00883E60"/>
    <w:pPr>
      <w:numPr>
        <w:ilvl w:val="4"/>
        <w:numId w:val="202"/>
      </w:numPr>
      <w:spacing w:before="60" w:after="60"/>
      <w:outlineLvl w:val="4"/>
    </w:pPr>
    <w:rPr>
      <w:kern w:val="20"/>
    </w:rPr>
  </w:style>
  <w:style w:type="paragraph" w:customStyle="1" w:styleId="Table6">
    <w:name w:val="Table 6"/>
    <w:basedOn w:val="Normal"/>
    <w:rsid w:val="00883E60"/>
    <w:pPr>
      <w:numPr>
        <w:ilvl w:val="5"/>
        <w:numId w:val="202"/>
      </w:numPr>
      <w:spacing w:before="60" w:after="60"/>
      <w:outlineLvl w:val="5"/>
    </w:pPr>
    <w:rPr>
      <w:kern w:val="20"/>
    </w:rPr>
  </w:style>
  <w:style w:type="paragraph" w:customStyle="1" w:styleId="Tablealpha">
    <w:name w:val="Table alpha"/>
    <w:basedOn w:val="CellBody"/>
    <w:rsid w:val="00883E60"/>
    <w:pPr>
      <w:numPr>
        <w:numId w:val="203"/>
      </w:numPr>
    </w:pPr>
  </w:style>
  <w:style w:type="paragraph" w:customStyle="1" w:styleId="Tablebullet">
    <w:name w:val="Table bullet"/>
    <w:basedOn w:val="Normal"/>
    <w:rsid w:val="00883E60"/>
    <w:pPr>
      <w:numPr>
        <w:numId w:val="204"/>
      </w:numPr>
      <w:spacing w:before="60" w:after="60"/>
    </w:pPr>
    <w:rPr>
      <w:kern w:val="20"/>
    </w:rPr>
  </w:style>
  <w:style w:type="paragraph" w:customStyle="1" w:styleId="Tableroman">
    <w:name w:val="Table roman"/>
    <w:basedOn w:val="CellBody"/>
    <w:rsid w:val="00883E60"/>
    <w:pPr>
      <w:numPr>
        <w:numId w:val="205"/>
      </w:numPr>
    </w:pPr>
  </w:style>
  <w:style w:type="paragraph" w:styleId="Textodenotadefim">
    <w:name w:val="endnote text"/>
    <w:basedOn w:val="Normal"/>
    <w:link w:val="TextodenotadefimChar"/>
    <w:rsid w:val="00883E60"/>
    <w:rPr>
      <w:szCs w:val="20"/>
    </w:rPr>
  </w:style>
  <w:style w:type="character" w:customStyle="1" w:styleId="TextodenotadefimChar">
    <w:name w:val="Texto de nota de fim Char"/>
    <w:basedOn w:val="Fontepargpadro"/>
    <w:link w:val="Textodenotadefim"/>
    <w:rsid w:val="00883E60"/>
    <w:rPr>
      <w:rFonts w:ascii="Tahoma" w:eastAsia="Times New Roman" w:hAnsi="Tahoma"/>
      <w:lang w:eastAsia="en-US"/>
    </w:rPr>
  </w:style>
  <w:style w:type="paragraph" w:customStyle="1" w:styleId="TtuloAnexo">
    <w:name w:val="Título/Anexo"/>
    <w:basedOn w:val="Normal"/>
    <w:next w:val="Normal"/>
    <w:rsid w:val="00883E60"/>
    <w:pPr>
      <w:keepNext/>
      <w:pageBreakBefore/>
      <w:spacing w:after="240"/>
      <w:jc w:val="center"/>
      <w:outlineLvl w:val="3"/>
    </w:pPr>
    <w:rPr>
      <w:b/>
      <w:kern w:val="23"/>
      <w:sz w:val="22"/>
    </w:rPr>
  </w:style>
  <w:style w:type="paragraph" w:customStyle="1" w:styleId="UCAlpha1">
    <w:name w:val="UCAlpha 1"/>
    <w:basedOn w:val="Normal"/>
    <w:rsid w:val="00883E60"/>
    <w:pPr>
      <w:numPr>
        <w:numId w:val="206"/>
      </w:numPr>
    </w:pPr>
    <w:rPr>
      <w:kern w:val="20"/>
    </w:rPr>
  </w:style>
  <w:style w:type="paragraph" w:customStyle="1" w:styleId="UCAlpha2">
    <w:name w:val="UCAlpha 2"/>
    <w:basedOn w:val="Normal"/>
    <w:rsid w:val="00883E60"/>
    <w:pPr>
      <w:numPr>
        <w:numId w:val="207"/>
      </w:numPr>
    </w:pPr>
    <w:rPr>
      <w:kern w:val="20"/>
    </w:rPr>
  </w:style>
  <w:style w:type="paragraph" w:customStyle="1" w:styleId="UCAlpha3">
    <w:name w:val="UCAlpha 3"/>
    <w:basedOn w:val="Normal"/>
    <w:rsid w:val="00883E60"/>
    <w:pPr>
      <w:numPr>
        <w:numId w:val="208"/>
      </w:numPr>
    </w:pPr>
    <w:rPr>
      <w:kern w:val="20"/>
    </w:rPr>
  </w:style>
  <w:style w:type="paragraph" w:customStyle="1" w:styleId="UCAlpha4">
    <w:name w:val="UCAlpha 4"/>
    <w:basedOn w:val="Normal"/>
    <w:rsid w:val="00883E60"/>
    <w:pPr>
      <w:numPr>
        <w:numId w:val="209"/>
      </w:numPr>
    </w:pPr>
    <w:rPr>
      <w:kern w:val="20"/>
    </w:rPr>
  </w:style>
  <w:style w:type="paragraph" w:customStyle="1" w:styleId="UCAlpha5">
    <w:name w:val="UCAlpha 5"/>
    <w:basedOn w:val="Normal"/>
    <w:rsid w:val="00883E60"/>
    <w:pPr>
      <w:numPr>
        <w:numId w:val="210"/>
      </w:numPr>
    </w:pPr>
    <w:rPr>
      <w:kern w:val="20"/>
    </w:rPr>
  </w:style>
  <w:style w:type="paragraph" w:customStyle="1" w:styleId="UCAlpha6">
    <w:name w:val="UCAlpha 6"/>
    <w:basedOn w:val="Normal"/>
    <w:rsid w:val="00883E60"/>
    <w:pPr>
      <w:numPr>
        <w:numId w:val="211"/>
      </w:numPr>
    </w:pPr>
    <w:rPr>
      <w:kern w:val="20"/>
    </w:rPr>
  </w:style>
  <w:style w:type="paragraph" w:customStyle="1" w:styleId="UCRoman1">
    <w:name w:val="UCRoman 1"/>
    <w:basedOn w:val="Normal"/>
    <w:rsid w:val="00883E60"/>
    <w:pPr>
      <w:numPr>
        <w:numId w:val="212"/>
      </w:numPr>
    </w:pPr>
    <w:rPr>
      <w:kern w:val="20"/>
    </w:rPr>
  </w:style>
  <w:style w:type="paragraph" w:customStyle="1" w:styleId="UCRoman2">
    <w:name w:val="UCRoman 2"/>
    <w:basedOn w:val="Normal"/>
    <w:rsid w:val="00883E60"/>
    <w:pPr>
      <w:numPr>
        <w:numId w:val="213"/>
      </w:numPr>
    </w:pPr>
    <w:rPr>
      <w:kern w:val="20"/>
    </w:rPr>
  </w:style>
  <w:style w:type="character" w:customStyle="1" w:styleId="Level2Char">
    <w:name w:val="Level 2 Char"/>
    <w:basedOn w:val="Fontepargpadro"/>
    <w:link w:val="Level2"/>
    <w:locked/>
    <w:rsid w:val="00883E60"/>
    <w:rPr>
      <w:rFonts w:ascii="Tahoma" w:eastAsia="Times New Roman" w:hAnsi="Tahoma"/>
      <w:kern w:val="20"/>
      <w:szCs w:val="28"/>
      <w:lang w:eastAsia="en-US"/>
    </w:rPr>
  </w:style>
  <w:style w:type="paragraph" w:customStyle="1" w:styleId="bon1">
    <w:name w:val="bon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eg1">
    <w:name w:val="leg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tr1">
    <w:name w:val="ltr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out1">
    <w:name w:val="out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Corporate3L1">
    <w:name w:val="Corporate3_L1"/>
    <w:basedOn w:val="Normal"/>
    <w:next w:val="Normal"/>
    <w:rsid w:val="00201511"/>
    <w:pPr>
      <w:numPr>
        <w:numId w:val="101"/>
      </w:numPr>
      <w:autoSpaceDE w:val="0"/>
      <w:autoSpaceDN w:val="0"/>
      <w:adjustRightInd w:val="0"/>
      <w:spacing w:after="240"/>
      <w:jc w:val="center"/>
      <w:outlineLvl w:val="0"/>
    </w:pPr>
    <w:rPr>
      <w:rFonts w:ascii="Times New Roman" w:hAnsi="Times New Roman"/>
      <w:b/>
      <w:bCs/>
      <w:color w:val="0000FF"/>
      <w:sz w:val="24"/>
      <w:u w:val="single"/>
      <w:lang w:val="en-US"/>
    </w:rPr>
  </w:style>
  <w:style w:type="paragraph" w:customStyle="1" w:styleId="Corporate3L2">
    <w:name w:val="Corporate3_L2"/>
    <w:basedOn w:val="Corporate3L1"/>
    <w:next w:val="Normal"/>
    <w:rsid w:val="00201511"/>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201511"/>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201511"/>
    <w:pPr>
      <w:numPr>
        <w:ilvl w:val="3"/>
      </w:numPr>
      <w:tabs>
        <w:tab w:val="num" w:pos="1440"/>
      </w:tabs>
      <w:ind w:left="360" w:hanging="360"/>
      <w:outlineLvl w:val="3"/>
    </w:pPr>
  </w:style>
  <w:style w:type="paragraph" w:customStyle="1" w:styleId="Corporate3L5">
    <w:name w:val="Corporate3_L5"/>
    <w:basedOn w:val="Corporate3L4"/>
    <w:next w:val="Normal"/>
    <w:rsid w:val="00201511"/>
    <w:pPr>
      <w:numPr>
        <w:ilvl w:val="4"/>
      </w:numPr>
      <w:tabs>
        <w:tab w:val="num" w:pos="1440"/>
      </w:tabs>
      <w:ind w:left="360" w:hanging="360"/>
      <w:outlineLvl w:val="4"/>
    </w:pPr>
  </w:style>
  <w:style w:type="paragraph" w:customStyle="1" w:styleId="Corporate3L6">
    <w:name w:val="Corporate3_L6"/>
    <w:basedOn w:val="Corporate3L5"/>
    <w:next w:val="Normal"/>
    <w:rsid w:val="00201511"/>
    <w:pPr>
      <w:numPr>
        <w:ilvl w:val="5"/>
      </w:numPr>
      <w:tabs>
        <w:tab w:val="num" w:pos="1440"/>
      </w:tabs>
      <w:ind w:left="360" w:hanging="360"/>
      <w:outlineLvl w:val="5"/>
    </w:pPr>
  </w:style>
  <w:style w:type="paragraph" w:customStyle="1" w:styleId="cb">
    <w:name w:val="cb"/>
    <w:basedOn w:val="Normal"/>
    <w:rsid w:val="00201511"/>
    <w:pPr>
      <w:keepNext/>
      <w:autoSpaceDE w:val="0"/>
      <w:autoSpaceDN w:val="0"/>
      <w:adjustRightInd w:val="0"/>
      <w:jc w:val="center"/>
    </w:pPr>
    <w:rPr>
      <w:rFonts w:ascii="Century Schoolbook" w:hAnsi="Century Schoolbook"/>
      <w:b/>
      <w:bCs/>
      <w:sz w:val="24"/>
      <w:lang w:val="en-US"/>
    </w:rPr>
  </w:style>
  <w:style w:type="paragraph" w:customStyle="1" w:styleId="f1">
    <w:name w:val="f1"/>
    <w:basedOn w:val="Normal"/>
    <w:rsid w:val="00201511"/>
    <w:pPr>
      <w:autoSpaceDE w:val="0"/>
      <w:autoSpaceDN w:val="0"/>
      <w:adjustRightInd w:val="0"/>
      <w:spacing w:before="240"/>
    </w:pPr>
    <w:rPr>
      <w:rFonts w:ascii="Century Schoolbook" w:hAnsi="Century Schoolbook"/>
      <w:sz w:val="24"/>
      <w:lang w:val="en-US"/>
    </w:rPr>
  </w:style>
  <w:style w:type="paragraph" w:customStyle="1" w:styleId="i1">
    <w:name w:val="i1"/>
    <w:basedOn w:val="Normal"/>
    <w:rsid w:val="00201511"/>
    <w:pPr>
      <w:autoSpaceDE w:val="0"/>
      <w:autoSpaceDN w:val="0"/>
      <w:adjustRightInd w:val="0"/>
      <w:spacing w:before="240"/>
      <w:ind w:left="720" w:hanging="720"/>
    </w:pPr>
    <w:rPr>
      <w:rFonts w:ascii="Century Schoolbook" w:hAnsi="Century Schoolbook"/>
      <w:szCs w:val="20"/>
      <w:lang w:val="en-US"/>
    </w:rPr>
  </w:style>
  <w:style w:type="paragraph" w:customStyle="1" w:styleId="f2">
    <w:name w:val="f2"/>
    <w:basedOn w:val="Normal"/>
    <w:rsid w:val="00201511"/>
    <w:pPr>
      <w:autoSpaceDE w:val="0"/>
      <w:autoSpaceDN w:val="0"/>
      <w:adjustRightInd w:val="0"/>
      <w:spacing w:before="240"/>
      <w:ind w:left="720"/>
    </w:pPr>
    <w:rPr>
      <w:rFonts w:ascii="Century Schoolbook" w:hAnsi="Century Schoolbook"/>
      <w:szCs w:val="20"/>
      <w:lang w:val="en-US"/>
    </w:rPr>
  </w:style>
  <w:style w:type="paragraph" w:customStyle="1" w:styleId="i2">
    <w:name w:val="i2"/>
    <w:basedOn w:val="Normal"/>
    <w:rsid w:val="00201511"/>
    <w:pPr>
      <w:autoSpaceDE w:val="0"/>
      <w:autoSpaceDN w:val="0"/>
      <w:adjustRightInd w:val="0"/>
      <w:spacing w:before="240"/>
      <w:ind w:left="1440" w:hanging="720"/>
    </w:pPr>
    <w:rPr>
      <w:rFonts w:ascii="Century Schoolbook" w:hAnsi="Century Schoolbook"/>
      <w:szCs w:val="20"/>
      <w:lang w:val="en-US"/>
    </w:rPr>
  </w:style>
  <w:style w:type="paragraph" w:customStyle="1" w:styleId="n1">
    <w:name w:val="n1"/>
    <w:basedOn w:val="Normal"/>
    <w:rsid w:val="00201511"/>
    <w:pPr>
      <w:keepNext/>
      <w:tabs>
        <w:tab w:val="right" w:pos="5040"/>
      </w:tabs>
      <w:autoSpaceDE w:val="0"/>
      <w:autoSpaceDN w:val="0"/>
      <w:adjustRightInd w:val="0"/>
      <w:ind w:left="3060" w:hanging="1620"/>
    </w:pPr>
    <w:rPr>
      <w:rFonts w:ascii="Century Schoolbook" w:hAnsi="Century Schoolbook"/>
      <w:szCs w:val="20"/>
      <w:u w:val="single"/>
      <w:lang w:val="en-US"/>
    </w:rPr>
  </w:style>
  <w:style w:type="paragraph" w:customStyle="1" w:styleId="NOTES">
    <w:name w:val="NOTES"/>
    <w:rsid w:val="0020151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Times New Roman" w:hAnsi="Courier"/>
      <w:sz w:val="24"/>
      <w:szCs w:val="24"/>
      <w:lang w:val="en-US" w:eastAsia="en-US"/>
    </w:rPr>
  </w:style>
  <w:style w:type="character" w:styleId="Nmerodelinha">
    <w:name w:val="line number"/>
    <w:basedOn w:val="Fontepargpadro"/>
    <w:semiHidden/>
    <w:rsid w:val="00201511"/>
  </w:style>
  <w:style w:type="paragraph" w:customStyle="1" w:styleId="Textodebalo1">
    <w:name w:val="Texto de balão1"/>
    <w:basedOn w:val="Normal"/>
    <w:rsid w:val="00201511"/>
    <w:pPr>
      <w:autoSpaceDE w:val="0"/>
      <w:autoSpaceDN w:val="0"/>
      <w:adjustRightInd w:val="0"/>
    </w:pPr>
    <w:rPr>
      <w:rFonts w:cs="Tahoma"/>
      <w:sz w:val="16"/>
      <w:szCs w:val="16"/>
    </w:rPr>
  </w:style>
  <w:style w:type="paragraph" w:customStyle="1" w:styleId="xl24">
    <w:name w:val="xl24"/>
    <w:basedOn w:val="Normal"/>
    <w:rsid w:val="00201511"/>
    <w:pPr>
      <w:autoSpaceDE w:val="0"/>
      <w:autoSpaceDN w:val="0"/>
      <w:adjustRightInd w:val="0"/>
      <w:spacing w:before="100" w:beforeAutospacing="1" w:after="100" w:afterAutospacing="1"/>
    </w:pPr>
    <w:rPr>
      <w:rFonts w:ascii="Arial" w:eastAsia="Arial Unicode MS" w:hAnsi="Arial"/>
      <w:sz w:val="24"/>
    </w:rPr>
  </w:style>
  <w:style w:type="paragraph" w:customStyle="1" w:styleId="xl25">
    <w:name w:val="xl25"/>
    <w:basedOn w:val="Normal"/>
    <w:rsid w:val="00201511"/>
    <w:pPr>
      <w:autoSpaceDE w:val="0"/>
      <w:autoSpaceDN w:val="0"/>
      <w:adjustRightInd w:val="0"/>
      <w:spacing w:before="100" w:beforeAutospacing="1" w:after="100" w:afterAutospacing="1"/>
    </w:pPr>
    <w:rPr>
      <w:rFonts w:ascii="Arial" w:eastAsia="Arial Unicode MS" w:hAnsi="Arial"/>
      <w:b/>
      <w:bCs/>
      <w:color w:val="FF0000"/>
      <w:sz w:val="24"/>
    </w:rPr>
  </w:style>
  <w:style w:type="paragraph" w:customStyle="1" w:styleId="xl26">
    <w:name w:val="xl26"/>
    <w:basedOn w:val="Normal"/>
    <w:rsid w:val="00201511"/>
    <w:pPr>
      <w:autoSpaceDE w:val="0"/>
      <w:autoSpaceDN w:val="0"/>
      <w:adjustRightInd w:val="0"/>
      <w:spacing w:before="100" w:beforeAutospacing="1" w:after="100" w:afterAutospacing="1"/>
      <w:jc w:val="center"/>
    </w:pPr>
    <w:rPr>
      <w:rFonts w:ascii="Arial" w:eastAsia="Arial Unicode MS" w:hAnsi="Arial"/>
      <w:b/>
      <w:bCs/>
      <w:color w:val="FFFFFF"/>
      <w:sz w:val="24"/>
    </w:rPr>
  </w:style>
  <w:style w:type="paragraph" w:customStyle="1" w:styleId="xl27">
    <w:name w:val="xl27"/>
    <w:basedOn w:val="Normal"/>
    <w:rsid w:val="00201511"/>
    <w:pPr>
      <w:pBdr>
        <w:top w:val="single" w:sz="4" w:space="0" w:color="auto"/>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8">
    <w:name w:val="xl28"/>
    <w:basedOn w:val="Normal"/>
    <w:rsid w:val="00201511"/>
    <w:pPr>
      <w:pBdr>
        <w:top w:val="single" w:sz="4" w:space="0" w:color="auto"/>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9">
    <w:name w:val="xl29"/>
    <w:basedOn w:val="Normal"/>
    <w:rsid w:val="00201511"/>
    <w:pPr>
      <w:pBdr>
        <w:top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0">
    <w:name w:val="xl30"/>
    <w:basedOn w:val="Normal"/>
    <w:rsid w:val="00201511"/>
    <w:pPr>
      <w:pBdr>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1">
    <w:name w:val="xl31"/>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2">
    <w:name w:val="xl32"/>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3">
    <w:name w:val="xl33"/>
    <w:basedOn w:val="Normal"/>
    <w:rsid w:val="00201511"/>
    <w:pPr>
      <w:pBdr>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4">
    <w:name w:val="xl34"/>
    <w:basedOn w:val="Normal"/>
    <w:rsid w:val="00201511"/>
    <w:pPr>
      <w:pBdr>
        <w:top w:val="single" w:sz="4" w:space="0" w:color="auto"/>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5">
    <w:name w:val="xl35"/>
    <w:basedOn w:val="Normal"/>
    <w:rsid w:val="00201511"/>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6">
    <w:name w:val="xl36"/>
    <w:basedOn w:val="Normal"/>
    <w:rsid w:val="00201511"/>
    <w:pPr>
      <w:pBdr>
        <w:top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7">
    <w:name w:val="xl37"/>
    <w:basedOn w:val="Normal"/>
    <w:rsid w:val="00201511"/>
    <w:pPr>
      <w:pBdr>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8">
    <w:name w:val="xl38"/>
    <w:basedOn w:val="Normal"/>
    <w:rsid w:val="00201511"/>
    <w:pPr>
      <w:pBdr>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Normala">
    <w:name w:val="Normal(a)"/>
    <w:basedOn w:val="Normal"/>
    <w:rsid w:val="00201511"/>
    <w:pPr>
      <w:suppressAutoHyphens/>
      <w:autoSpaceDE w:val="0"/>
      <w:autoSpaceDN w:val="0"/>
      <w:adjustRightInd w:val="0"/>
      <w:spacing w:before="240"/>
      <w:ind w:firstLine="1440"/>
    </w:pPr>
    <w:rPr>
      <w:rFonts w:ascii="Times New Roman" w:hAnsi="Times New Roman"/>
      <w:sz w:val="24"/>
      <w:lang w:val="en-US"/>
    </w:rPr>
  </w:style>
  <w:style w:type="paragraph" w:customStyle="1" w:styleId="InitialCodes">
    <w:name w:val="InitialCodes"/>
    <w:rsid w:val="00201511"/>
    <w:pPr>
      <w:widowControl w:val="0"/>
      <w:tabs>
        <w:tab w:val="left" w:pos="-720"/>
      </w:tabs>
      <w:suppressAutoHyphens/>
      <w:autoSpaceDE w:val="0"/>
      <w:autoSpaceDN w:val="0"/>
      <w:adjustRightInd w:val="0"/>
    </w:pPr>
    <w:rPr>
      <w:rFonts w:ascii="Courier" w:eastAsia="Times New Roman" w:hAnsi="Courier"/>
      <w:sz w:val="24"/>
      <w:szCs w:val="24"/>
      <w:lang w:val="en-US" w:eastAsia="en-US"/>
    </w:rPr>
  </w:style>
  <w:style w:type="paragraph" w:customStyle="1" w:styleId="SDP">
    <w:name w:val="SDP"/>
    <w:basedOn w:val="Normal"/>
    <w:next w:val="Normal"/>
    <w:rsid w:val="00201511"/>
    <w:pPr>
      <w:autoSpaceDE w:val="0"/>
      <w:autoSpaceDN w:val="0"/>
      <w:adjustRightInd w:val="0"/>
      <w:spacing w:after="240"/>
    </w:pPr>
    <w:rPr>
      <w:rFonts w:ascii="Times New Roman" w:hAnsi="Times New Roman"/>
      <w:b/>
      <w:bCs/>
      <w:sz w:val="24"/>
      <w:u w:val="single"/>
      <w:lang w:val="en-US"/>
    </w:rPr>
  </w:style>
  <w:style w:type="character" w:customStyle="1" w:styleId="deltaviewinsertion0">
    <w:name w:val="deltaviewinsertion"/>
    <w:basedOn w:val="Fontepargpadro"/>
    <w:rsid w:val="00201511"/>
  </w:style>
  <w:style w:type="character" w:customStyle="1" w:styleId="DeltaViewDeletion">
    <w:name w:val="DeltaView Deletion"/>
    <w:rsid w:val="00201511"/>
    <w:rPr>
      <w:strike/>
      <w:color w:val="FF0000"/>
      <w:spacing w:val="0"/>
    </w:rPr>
  </w:style>
  <w:style w:type="paragraph" w:customStyle="1" w:styleId="DeltaViewTableHeading">
    <w:name w:val="DeltaView Table Heading"/>
    <w:basedOn w:val="Normal"/>
    <w:rsid w:val="00201511"/>
    <w:pPr>
      <w:autoSpaceDE w:val="0"/>
      <w:autoSpaceDN w:val="0"/>
      <w:adjustRightInd w:val="0"/>
      <w:spacing w:after="120"/>
    </w:pPr>
    <w:rPr>
      <w:rFonts w:ascii="Arial" w:hAnsi="Arial" w:cs="Arial"/>
      <w:b/>
      <w:bCs/>
      <w:sz w:val="24"/>
      <w:lang w:val="en-US"/>
    </w:rPr>
  </w:style>
  <w:style w:type="paragraph" w:customStyle="1" w:styleId="DeltaViewTableBody">
    <w:name w:val="DeltaView Table Body"/>
    <w:basedOn w:val="Normal"/>
    <w:rsid w:val="00201511"/>
    <w:pPr>
      <w:autoSpaceDE w:val="0"/>
      <w:autoSpaceDN w:val="0"/>
      <w:adjustRightInd w:val="0"/>
    </w:pPr>
    <w:rPr>
      <w:rFonts w:ascii="Arial" w:hAnsi="Arial" w:cs="Arial"/>
      <w:sz w:val="24"/>
      <w:lang w:val="en-US"/>
    </w:rPr>
  </w:style>
  <w:style w:type="paragraph" w:customStyle="1" w:styleId="DeltaViewAnnounce">
    <w:name w:val="DeltaView Announce"/>
    <w:rsid w:val="00201511"/>
    <w:pPr>
      <w:autoSpaceDE w:val="0"/>
      <w:autoSpaceDN w:val="0"/>
      <w:adjustRightInd w:val="0"/>
      <w:spacing w:before="100" w:beforeAutospacing="1" w:after="100" w:afterAutospacing="1"/>
    </w:pPr>
    <w:rPr>
      <w:rFonts w:ascii="Arial" w:eastAsia="Times New Roman" w:hAnsi="Arial" w:cs="Arial"/>
      <w:sz w:val="24"/>
      <w:szCs w:val="24"/>
      <w:lang w:val="en-GB" w:eastAsia="en-US"/>
    </w:rPr>
  </w:style>
  <w:style w:type="character" w:customStyle="1" w:styleId="DeltaViewMoveSource">
    <w:name w:val="DeltaView Move Source"/>
    <w:rsid w:val="00201511"/>
    <w:rPr>
      <w:strike/>
      <w:color w:val="FF0000"/>
      <w:spacing w:val="0"/>
    </w:rPr>
  </w:style>
  <w:style w:type="character" w:customStyle="1" w:styleId="DeltaViewMoveDestination">
    <w:name w:val="DeltaView Move Destination"/>
    <w:rsid w:val="00201511"/>
    <w:rPr>
      <w:color w:val="0000FF"/>
      <w:spacing w:val="0"/>
      <w:u w:val="double"/>
    </w:rPr>
  </w:style>
  <w:style w:type="character" w:customStyle="1" w:styleId="DeltaViewDelimiter">
    <w:name w:val="DeltaView Delimiter"/>
    <w:rsid w:val="00201511"/>
    <w:rPr>
      <w:spacing w:val="0"/>
    </w:rPr>
  </w:style>
  <w:style w:type="character" w:customStyle="1" w:styleId="DeltaViewFormatChange">
    <w:name w:val="DeltaView Format Change"/>
    <w:rsid w:val="00201511"/>
    <w:rPr>
      <w:color w:val="000000"/>
      <w:spacing w:val="0"/>
    </w:rPr>
  </w:style>
  <w:style w:type="character" w:customStyle="1" w:styleId="DeltaViewMovedDeletion">
    <w:name w:val="DeltaView Moved Deletion"/>
    <w:rsid w:val="00201511"/>
    <w:rPr>
      <w:strike/>
      <w:color w:val="auto"/>
      <w:spacing w:val="0"/>
    </w:rPr>
  </w:style>
  <w:style w:type="character" w:customStyle="1" w:styleId="DeltaViewEditorComment">
    <w:name w:val="DeltaView Editor Comment"/>
    <w:rsid w:val="00201511"/>
    <w:rPr>
      <w:color w:val="0000FF"/>
      <w:spacing w:val="0"/>
      <w:u w:val="double"/>
    </w:rPr>
  </w:style>
  <w:style w:type="character" w:customStyle="1" w:styleId="DeltaViewStyleChangeText">
    <w:name w:val="DeltaView Style Change Text"/>
    <w:rsid w:val="00201511"/>
    <w:rPr>
      <w:color w:val="000000"/>
      <w:spacing w:val="0"/>
      <w:u w:val="double"/>
    </w:rPr>
  </w:style>
  <w:style w:type="character" w:customStyle="1" w:styleId="DeltaViewStyleChangeLabel">
    <w:name w:val="DeltaView Style Change Label"/>
    <w:rsid w:val="00201511"/>
    <w:rPr>
      <w:color w:val="000000"/>
      <w:spacing w:val="0"/>
    </w:rPr>
  </w:style>
  <w:style w:type="paragraph" w:customStyle="1" w:styleId="ListALPHACAPS1">
    <w:name w:val="List ALPHA CAPS 1"/>
    <w:basedOn w:val="Normal"/>
    <w:next w:val="Corpodetexto"/>
    <w:rsid w:val="00201511"/>
    <w:pPr>
      <w:tabs>
        <w:tab w:val="left" w:pos="22"/>
        <w:tab w:val="num" w:pos="624"/>
      </w:tabs>
      <w:autoSpaceDE w:val="0"/>
      <w:autoSpaceDN w:val="0"/>
      <w:adjustRightInd w:val="0"/>
      <w:spacing w:after="200" w:line="288" w:lineRule="auto"/>
      <w:ind w:left="624" w:hanging="624"/>
    </w:pPr>
    <w:rPr>
      <w:rFonts w:ascii="CG Times" w:hAnsi="CG Times"/>
      <w:sz w:val="22"/>
      <w:szCs w:val="22"/>
      <w:lang w:val="en-GB" w:eastAsia="pt-BR"/>
    </w:rPr>
  </w:style>
  <w:style w:type="paragraph" w:customStyle="1" w:styleId="LISTALPHACAPS2">
    <w:name w:val="LIST ALPHA CAPS 2"/>
    <w:basedOn w:val="Normal"/>
    <w:next w:val="Recuodecorpodetexto"/>
    <w:rsid w:val="00201511"/>
    <w:pPr>
      <w:numPr>
        <w:ilvl w:val="1"/>
        <w:numId w:val="103"/>
      </w:numPr>
      <w:tabs>
        <w:tab w:val="clear" w:pos="360"/>
        <w:tab w:val="left" w:pos="50"/>
        <w:tab w:val="num" w:pos="1417"/>
      </w:tabs>
      <w:autoSpaceDE w:val="0"/>
      <w:autoSpaceDN w:val="0"/>
      <w:adjustRightInd w:val="0"/>
      <w:spacing w:after="200" w:line="288" w:lineRule="auto"/>
      <w:ind w:left="1417" w:hanging="793"/>
    </w:pPr>
    <w:rPr>
      <w:rFonts w:ascii="CG Times" w:hAnsi="CG Times"/>
      <w:sz w:val="22"/>
      <w:szCs w:val="22"/>
      <w:lang w:val="en-GB" w:eastAsia="pt-BR"/>
    </w:rPr>
  </w:style>
  <w:style w:type="paragraph" w:customStyle="1" w:styleId="LISTALPHACAPS3">
    <w:name w:val="LIST ALPHA CAPS 3"/>
    <w:basedOn w:val="Normal"/>
    <w:next w:val="Corpodetexto3"/>
    <w:rsid w:val="00201511"/>
    <w:pPr>
      <w:numPr>
        <w:ilvl w:val="2"/>
        <w:numId w:val="103"/>
      </w:numPr>
      <w:tabs>
        <w:tab w:val="clear" w:pos="720"/>
        <w:tab w:val="left" w:pos="68"/>
        <w:tab w:val="num" w:pos="1928"/>
      </w:tabs>
      <w:autoSpaceDE w:val="0"/>
      <w:autoSpaceDN w:val="0"/>
      <w:adjustRightInd w:val="0"/>
      <w:spacing w:after="200" w:line="288" w:lineRule="auto"/>
      <w:ind w:left="1928" w:hanging="511"/>
    </w:pPr>
    <w:rPr>
      <w:rFonts w:ascii="CG Times" w:hAnsi="CG Times"/>
      <w:sz w:val="22"/>
      <w:szCs w:val="22"/>
      <w:lang w:val="en-GB" w:eastAsia="pt-BR"/>
    </w:rPr>
  </w:style>
  <w:style w:type="character" w:customStyle="1" w:styleId="Ttulo5Char1">
    <w:name w:val="Título 5 Char1"/>
    <w:rsid w:val="00201511"/>
    <w:rPr>
      <w:b/>
      <w:bCs/>
      <w:sz w:val="24"/>
      <w:szCs w:val="24"/>
      <w:u w:val="single"/>
      <w:lang w:val="pt-BR" w:eastAsia="en-US" w:bidi="ar-SA"/>
    </w:rPr>
  </w:style>
  <w:style w:type="character" w:customStyle="1" w:styleId="NOTESChar">
    <w:name w:val="NOTES Char"/>
    <w:rsid w:val="00201511"/>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201511"/>
    <w:pPr>
      <w:spacing w:before="0" w:line="320" w:lineRule="exact"/>
      <w:ind w:left="0" w:firstLine="0"/>
    </w:pPr>
    <w:rPr>
      <w:rFonts w:ascii="Times New Roman" w:hAnsi="Times New Roman"/>
      <w:smallCaps/>
    </w:rPr>
  </w:style>
  <w:style w:type="character" w:customStyle="1" w:styleId="i1Char">
    <w:name w:val="i1 Char"/>
    <w:rsid w:val="00201511"/>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201511"/>
    <w:rPr>
      <w:rFonts w:ascii="Century Schoolbook" w:hAnsi="Century Schoolbook"/>
      <w:smallCaps/>
      <w:lang w:val="en-US" w:eastAsia="en-US" w:bidi="ar-SA"/>
    </w:rPr>
  </w:style>
  <w:style w:type="character" w:customStyle="1" w:styleId="Ttulo5Char2">
    <w:name w:val="Título 5 Char2"/>
    <w:rsid w:val="00201511"/>
    <w:rPr>
      <w:b/>
      <w:bCs/>
      <w:sz w:val="24"/>
      <w:szCs w:val="24"/>
      <w:u w:val="single"/>
      <w:lang w:val="pt-BR" w:eastAsia="en-US" w:bidi="ar-SA"/>
    </w:rPr>
  </w:style>
  <w:style w:type="paragraph" w:customStyle="1" w:styleId="BNDES">
    <w:name w:val="BNDES"/>
    <w:link w:val="BNDESChar"/>
    <w:rsid w:val="00201511"/>
    <w:pPr>
      <w:autoSpaceDE w:val="0"/>
      <w:autoSpaceDN w:val="0"/>
      <w:adjustRightInd w:val="0"/>
      <w:jc w:val="both"/>
    </w:pPr>
    <w:rPr>
      <w:rFonts w:ascii="Arial" w:eastAsia="Times New Roman" w:hAnsi="Arial" w:cs="Arial"/>
      <w:sz w:val="24"/>
      <w:szCs w:val="24"/>
      <w:lang w:eastAsia="en-US"/>
    </w:rPr>
  </w:style>
  <w:style w:type="character" w:customStyle="1" w:styleId="Ttulo5Char3">
    <w:name w:val="Título 5 Char3"/>
    <w:rsid w:val="00201511"/>
    <w:rPr>
      <w:b/>
      <w:bCs/>
      <w:sz w:val="24"/>
      <w:szCs w:val="24"/>
      <w:u w:val="single"/>
      <w:lang w:val="pt-BR" w:eastAsia="en-US" w:bidi="ar-SA"/>
    </w:rPr>
  </w:style>
  <w:style w:type="paragraph" w:customStyle="1" w:styleId="Gustavo">
    <w:name w:val="Gustavo"/>
    <w:basedOn w:val="Ttulo6"/>
    <w:rsid w:val="00201511"/>
    <w:pPr>
      <w:keepNext/>
      <w:autoSpaceDE w:val="0"/>
      <w:autoSpaceDN w:val="0"/>
      <w:adjustRightInd w:val="0"/>
      <w:jc w:val="right"/>
    </w:pPr>
    <w:rPr>
      <w:rFonts w:ascii="Times New Roman" w:hAnsi="Times New Roman"/>
      <w:bCs w:val="0"/>
      <w:sz w:val="24"/>
      <w:szCs w:val="24"/>
    </w:rPr>
  </w:style>
  <w:style w:type="paragraph" w:customStyle="1" w:styleId="Textodebalo2">
    <w:name w:val="Texto de balão2"/>
    <w:basedOn w:val="Normal"/>
    <w:semiHidden/>
    <w:rsid w:val="00201511"/>
    <w:pPr>
      <w:autoSpaceDE w:val="0"/>
      <w:autoSpaceDN w:val="0"/>
      <w:adjustRightInd w:val="0"/>
    </w:pPr>
    <w:rPr>
      <w:rFonts w:cs="Tahoma"/>
      <w:sz w:val="16"/>
      <w:szCs w:val="16"/>
    </w:rPr>
  </w:style>
  <w:style w:type="paragraph" w:customStyle="1" w:styleId="GustavoSublinhado">
    <w:name w:val="Gustavo + Sublinhado"/>
    <w:aliases w:val="Versalete,Centralizado,Espaçamento entre linhas:  Exa..."/>
    <w:basedOn w:val="Gustavo"/>
    <w:rsid w:val="00201511"/>
    <w:pPr>
      <w:spacing w:line="320" w:lineRule="exact"/>
      <w:jc w:val="center"/>
    </w:pPr>
    <w:rPr>
      <w:smallCaps/>
    </w:rPr>
  </w:style>
  <w:style w:type="paragraph" w:customStyle="1" w:styleId="dx-TitleC">
    <w:name w:val="dx-Title C"/>
    <w:aliases w:val="t10"/>
    <w:basedOn w:val="Normal"/>
    <w:rsid w:val="00201511"/>
    <w:pPr>
      <w:autoSpaceDE w:val="0"/>
      <w:autoSpaceDN w:val="0"/>
      <w:adjustRightInd w:val="0"/>
      <w:spacing w:after="240"/>
      <w:jc w:val="center"/>
    </w:pPr>
    <w:rPr>
      <w:rFonts w:ascii="Times New Roman" w:hAnsi="Times New Roman"/>
      <w:sz w:val="24"/>
      <w:lang w:val="en-US" w:eastAsia="pt-BR"/>
    </w:rPr>
  </w:style>
  <w:style w:type="paragraph" w:customStyle="1" w:styleId="WSCapt-Ctr-Caps-Bold">
    <w:name w:val="WS Capt-Ctr-Caps-Bold"/>
    <w:aliases w:val="C1"/>
    <w:basedOn w:val="Normal"/>
    <w:next w:val="Normal"/>
    <w:rsid w:val="00201511"/>
    <w:pPr>
      <w:keepNext/>
      <w:autoSpaceDE w:val="0"/>
      <w:autoSpaceDN w:val="0"/>
      <w:adjustRightInd w:val="0"/>
      <w:spacing w:after="240"/>
      <w:jc w:val="center"/>
    </w:pPr>
    <w:rPr>
      <w:rFonts w:ascii="Times New Roman Bold" w:hAnsi="Times New Roman Bold" w:cs="Times New Roman Bold"/>
      <w:b/>
      <w:bCs/>
      <w:caps/>
      <w:sz w:val="24"/>
      <w:lang w:val="en-US" w:eastAsia="pt-BR"/>
    </w:rPr>
  </w:style>
  <w:style w:type="paragraph" w:customStyle="1" w:styleId="Heading2">
    <w:name w:val="Heading2"/>
    <w:basedOn w:val="Ttulo2"/>
    <w:rsid w:val="00201511"/>
    <w:pPr>
      <w:keepNext w:val="0"/>
      <w:numPr>
        <w:ilvl w:val="1"/>
        <w:numId w:val="104"/>
      </w:numPr>
      <w:autoSpaceDE w:val="0"/>
      <w:autoSpaceDN w:val="0"/>
      <w:adjustRightInd w:val="0"/>
      <w:spacing w:before="0" w:after="240" w:line="240" w:lineRule="auto"/>
      <w:outlineLvl w:val="9"/>
    </w:pPr>
    <w:rPr>
      <w:rFonts w:ascii="Times New Roman" w:hAnsi="Times New Roman" w:cs="Times New Roman"/>
      <w:b w:val="0"/>
      <w:bCs w:val="0"/>
      <w:iCs w:val="0"/>
      <w:kern w:val="0"/>
      <w:sz w:val="24"/>
      <w:szCs w:val="24"/>
      <w:lang w:val="en-US" w:eastAsia="pt-BR"/>
    </w:rPr>
  </w:style>
  <w:style w:type="paragraph" w:customStyle="1" w:styleId="ListAlpha1">
    <w:name w:val="List Alpha 1"/>
    <w:basedOn w:val="Normal"/>
    <w:next w:val="Corpodetexto"/>
    <w:rsid w:val="00201511"/>
    <w:pPr>
      <w:numPr>
        <w:numId w:val="105"/>
      </w:numPr>
      <w:tabs>
        <w:tab w:val="left" w:pos="22"/>
      </w:tabs>
      <w:spacing w:after="200" w:line="288" w:lineRule="auto"/>
    </w:pPr>
    <w:rPr>
      <w:rFonts w:ascii="CG Times" w:hAnsi="CG Times"/>
      <w:sz w:val="22"/>
      <w:szCs w:val="20"/>
      <w:lang w:val="en-US" w:eastAsia="pt-BR"/>
    </w:rPr>
  </w:style>
  <w:style w:type="paragraph" w:customStyle="1" w:styleId="ListAlpha2">
    <w:name w:val="List Alpha 2"/>
    <w:basedOn w:val="Normal"/>
    <w:next w:val="Corpodetexto2"/>
    <w:rsid w:val="00201511"/>
    <w:pPr>
      <w:numPr>
        <w:ilvl w:val="1"/>
        <w:numId w:val="105"/>
      </w:numPr>
      <w:tabs>
        <w:tab w:val="left" w:pos="50"/>
      </w:tabs>
      <w:spacing w:after="200" w:line="288" w:lineRule="auto"/>
    </w:pPr>
    <w:rPr>
      <w:rFonts w:ascii="CG Times" w:hAnsi="CG Times"/>
      <w:sz w:val="22"/>
      <w:szCs w:val="20"/>
      <w:lang w:val="en-US" w:eastAsia="pt-BR"/>
    </w:rPr>
  </w:style>
  <w:style w:type="paragraph" w:customStyle="1" w:styleId="ListAlpha3">
    <w:name w:val="List Alpha 3"/>
    <w:basedOn w:val="Normal"/>
    <w:next w:val="Corpodetexto3"/>
    <w:rsid w:val="00201511"/>
    <w:pPr>
      <w:numPr>
        <w:ilvl w:val="2"/>
        <w:numId w:val="105"/>
      </w:numPr>
      <w:tabs>
        <w:tab w:val="left" w:pos="68"/>
      </w:tabs>
      <w:spacing w:after="200" w:line="288" w:lineRule="auto"/>
    </w:pPr>
    <w:rPr>
      <w:rFonts w:ascii="CG Times" w:hAnsi="CG Times"/>
      <w:sz w:val="22"/>
      <w:szCs w:val="20"/>
      <w:lang w:val="en-US" w:eastAsia="pt-BR"/>
    </w:rPr>
  </w:style>
  <w:style w:type="character" w:customStyle="1" w:styleId="ttulo5char30">
    <w:name w:val="ttulo5char3"/>
    <w:basedOn w:val="Fontepargpadro"/>
    <w:rsid w:val="00201511"/>
  </w:style>
  <w:style w:type="paragraph" w:customStyle="1" w:styleId="Corpodetexto21">
    <w:name w:val="Corpo de texto 21"/>
    <w:basedOn w:val="Normal"/>
    <w:rsid w:val="00201511"/>
    <w:pPr>
      <w:tabs>
        <w:tab w:val="left" w:pos="709"/>
        <w:tab w:val="left" w:pos="992"/>
      </w:tabs>
      <w:suppressAutoHyphens/>
    </w:pPr>
    <w:rPr>
      <w:rFonts w:ascii="Times New Roman" w:hAnsi="Times New Roman"/>
      <w:spacing w:val="-3"/>
      <w:sz w:val="22"/>
      <w:szCs w:val="20"/>
      <w:lang w:eastAsia="pt-BR"/>
    </w:rPr>
  </w:style>
  <w:style w:type="character" w:customStyle="1" w:styleId="BNDESChar">
    <w:name w:val="BNDES Char"/>
    <w:link w:val="BNDES"/>
    <w:locked/>
    <w:rsid w:val="00201511"/>
    <w:rPr>
      <w:rFonts w:ascii="Arial" w:eastAsia="Times New Roman" w:hAnsi="Arial" w:cs="Arial"/>
      <w:sz w:val="24"/>
      <w:szCs w:val="24"/>
      <w:lang w:eastAsia="en-US"/>
    </w:rPr>
  </w:style>
  <w:style w:type="paragraph" w:customStyle="1" w:styleId="Corpo">
    <w:name w:val="Corpo"/>
    <w:rsid w:val="00201511"/>
    <w:pPr>
      <w:autoSpaceDE w:val="0"/>
      <w:autoSpaceDN w:val="0"/>
      <w:adjustRightInd w:val="0"/>
      <w:jc w:val="both"/>
    </w:pPr>
    <w:rPr>
      <w:rFonts w:ascii="Times New Roman" w:eastAsia="Times New Roman" w:hAnsi="Times New Roman"/>
      <w:color w:val="000000"/>
      <w:sz w:val="26"/>
      <w:szCs w:val="26"/>
      <w:lang w:eastAsia="en-US"/>
    </w:rPr>
  </w:style>
  <w:style w:type="paragraph" w:customStyle="1" w:styleId="LightGrid-Accent31">
    <w:name w:val="Light Grid - Accent 31"/>
    <w:basedOn w:val="Normal"/>
    <w:uiPriority w:val="34"/>
    <w:qFormat/>
    <w:rsid w:val="00201511"/>
    <w:pPr>
      <w:autoSpaceDE w:val="0"/>
      <w:autoSpaceDN w:val="0"/>
      <w:adjustRightInd w:val="0"/>
      <w:ind w:left="708"/>
    </w:pPr>
    <w:rPr>
      <w:rFonts w:ascii="Times New Roman" w:hAnsi="Times New Roman"/>
      <w:sz w:val="24"/>
    </w:rPr>
  </w:style>
  <w:style w:type="paragraph" w:customStyle="1" w:styleId="MediumGrid1-Accent21">
    <w:name w:val="Medium Grid 1 - Accent 21"/>
    <w:basedOn w:val="Normal"/>
    <w:uiPriority w:val="34"/>
    <w:qFormat/>
    <w:rsid w:val="00201511"/>
    <w:pPr>
      <w:autoSpaceDE w:val="0"/>
      <w:autoSpaceDN w:val="0"/>
      <w:adjustRightInd w:val="0"/>
      <w:ind w:left="708"/>
    </w:pPr>
    <w:rPr>
      <w:rFonts w:ascii="Times New Roman" w:hAnsi="Times New Roman"/>
      <w:sz w:val="24"/>
    </w:rPr>
  </w:style>
  <w:style w:type="paragraph" w:customStyle="1" w:styleId="ColorfulList-Accent11">
    <w:name w:val="Colorful List - Accent 11"/>
    <w:basedOn w:val="Normal"/>
    <w:uiPriority w:val="34"/>
    <w:qFormat/>
    <w:rsid w:val="00201511"/>
    <w:pPr>
      <w:autoSpaceDE w:val="0"/>
      <w:autoSpaceDN w:val="0"/>
      <w:adjustRightInd w:val="0"/>
      <w:ind w:left="708"/>
    </w:pPr>
    <w:rPr>
      <w:rFonts w:ascii="Times New Roman" w:hAnsi="Times New Roman"/>
      <w:sz w:val="24"/>
    </w:rPr>
  </w:style>
  <w:style w:type="character" w:customStyle="1" w:styleId="INDENT2">
    <w:name w:val="INDENT 2"/>
    <w:rsid w:val="00201511"/>
    <w:rPr>
      <w:rFonts w:ascii="Times New Roman" w:hAnsi="Times New Roman" w:cs="Times New Roman"/>
      <w:spacing w:val="0"/>
      <w:sz w:val="24"/>
      <w:szCs w:val="24"/>
    </w:rPr>
  </w:style>
  <w:style w:type="paragraph" w:customStyle="1" w:styleId="indentedtext">
    <w:name w:val="indented text"/>
    <w:basedOn w:val="Normal"/>
    <w:rsid w:val="00201511"/>
    <w:pPr>
      <w:autoSpaceDE w:val="0"/>
      <w:autoSpaceDN w:val="0"/>
      <w:adjustRightInd w:val="0"/>
      <w:spacing w:after="240"/>
      <w:ind w:firstLine="1440"/>
    </w:pPr>
    <w:rPr>
      <w:rFonts w:ascii="Times New Roman" w:hAnsi="Times New Roman"/>
      <w:sz w:val="24"/>
      <w:lang w:val="en-US"/>
    </w:rPr>
  </w:style>
  <w:style w:type="character" w:customStyle="1" w:styleId="INDENT1">
    <w:name w:val="INDENT 1"/>
    <w:rsid w:val="00201511"/>
    <w:rPr>
      <w:rFonts w:ascii="Times New Roman" w:hAnsi="Times New Roman" w:cs="Times New Roman"/>
      <w:sz w:val="24"/>
      <w:szCs w:val="24"/>
    </w:rPr>
  </w:style>
  <w:style w:type="paragraph" w:customStyle="1" w:styleId="A">
    <w:name w:val="A"/>
    <w:basedOn w:val="Normal"/>
    <w:autoRedefine/>
    <w:rsid w:val="00201511"/>
    <w:pPr>
      <w:widowControl w:val="0"/>
      <w:spacing w:after="240"/>
      <w:ind w:left="709" w:hanging="709"/>
    </w:pPr>
    <w:rPr>
      <w:rFonts w:ascii="Times New Roman" w:hAnsi="Times New Roman"/>
      <w:sz w:val="26"/>
      <w:szCs w:val="26"/>
      <w:lang w:eastAsia="pt-BR"/>
    </w:rPr>
  </w:style>
  <w:style w:type="paragraph" w:customStyle="1" w:styleId="Assuntodocomentrio1">
    <w:name w:val="Assunto do comentário1"/>
    <w:basedOn w:val="Textodecomentrio"/>
    <w:next w:val="Textodecomentrio"/>
    <w:semiHidden/>
    <w:rsid w:val="00201511"/>
    <w:pPr>
      <w:autoSpaceDE w:val="0"/>
      <w:autoSpaceDN w:val="0"/>
      <w:adjustRightInd w:val="0"/>
    </w:pPr>
    <w:rPr>
      <w:rFonts w:ascii="Times New Roman" w:hAnsi="Times New Roman"/>
      <w:sz w:val="24"/>
      <w:szCs w:val="24"/>
      <w:lang w:eastAsia="pt-BR"/>
    </w:rPr>
  </w:style>
  <w:style w:type="paragraph" w:styleId="Lista2">
    <w:name w:val="List 2"/>
    <w:basedOn w:val="Normal"/>
    <w:rsid w:val="00201511"/>
    <w:pPr>
      <w:autoSpaceDE w:val="0"/>
      <w:autoSpaceDN w:val="0"/>
      <w:adjustRightInd w:val="0"/>
      <w:ind w:left="566" w:hanging="283"/>
    </w:pPr>
    <w:rPr>
      <w:rFonts w:ascii="Times New Roman" w:hAnsi="Times New Roman"/>
      <w:sz w:val="24"/>
      <w:lang w:eastAsia="pt-BR"/>
    </w:rPr>
  </w:style>
  <w:style w:type="paragraph" w:styleId="Lista3">
    <w:name w:val="List 3"/>
    <w:basedOn w:val="Normal"/>
    <w:rsid w:val="00201511"/>
    <w:pPr>
      <w:autoSpaceDE w:val="0"/>
      <w:autoSpaceDN w:val="0"/>
      <w:adjustRightInd w:val="0"/>
      <w:ind w:left="849" w:hanging="283"/>
    </w:pPr>
    <w:rPr>
      <w:rFonts w:ascii="Times New Roman" w:hAnsi="Times New Roman"/>
      <w:sz w:val="24"/>
      <w:lang w:eastAsia="pt-BR"/>
    </w:rPr>
  </w:style>
  <w:style w:type="paragraph" w:styleId="Lista4">
    <w:name w:val="List 4"/>
    <w:basedOn w:val="Normal"/>
    <w:rsid w:val="00201511"/>
    <w:pPr>
      <w:autoSpaceDE w:val="0"/>
      <w:autoSpaceDN w:val="0"/>
      <w:adjustRightInd w:val="0"/>
      <w:ind w:left="1132" w:hanging="283"/>
    </w:pPr>
    <w:rPr>
      <w:rFonts w:ascii="Times New Roman" w:hAnsi="Times New Roman"/>
      <w:sz w:val="24"/>
      <w:lang w:eastAsia="pt-BR"/>
    </w:rPr>
  </w:style>
  <w:style w:type="paragraph" w:styleId="Listadecontinuao2">
    <w:name w:val="List Continue 2"/>
    <w:basedOn w:val="Normal"/>
    <w:rsid w:val="00201511"/>
    <w:pPr>
      <w:autoSpaceDE w:val="0"/>
      <w:autoSpaceDN w:val="0"/>
      <w:adjustRightInd w:val="0"/>
      <w:spacing w:after="120"/>
      <w:ind w:left="566"/>
    </w:pPr>
    <w:rPr>
      <w:rFonts w:ascii="Times New Roman" w:hAnsi="Times New Roman"/>
      <w:sz w:val="24"/>
      <w:lang w:eastAsia="pt-BR"/>
    </w:rPr>
  </w:style>
  <w:style w:type="character" w:customStyle="1" w:styleId="CorpodetextoChar1">
    <w:name w:val="Corpo de texto Char1"/>
    <w:aliases w:val="body text Char,bt Char1"/>
    <w:basedOn w:val="Fontepargpadro"/>
    <w:link w:val="Corpodetexto"/>
    <w:rsid w:val="00201511"/>
    <w:rPr>
      <w:rFonts w:ascii="Tahoma" w:eastAsia="Times New Roman" w:hAnsi="Tahoma"/>
      <w:sz w:val="18"/>
      <w:szCs w:val="24"/>
      <w:lang w:eastAsia="en-US"/>
    </w:rPr>
  </w:style>
  <w:style w:type="paragraph" w:styleId="Primeirorecuodecorpodetexto2">
    <w:name w:val="Body Text First Indent 2"/>
    <w:basedOn w:val="Recuodecorpodetexto"/>
    <w:link w:val="Primeirorecuodecorpodetexto2Char"/>
    <w:rsid w:val="00201511"/>
    <w:pPr>
      <w:autoSpaceDE w:val="0"/>
      <w:autoSpaceDN w:val="0"/>
      <w:adjustRightInd w:val="0"/>
      <w:spacing w:after="120"/>
      <w:ind w:firstLine="210"/>
    </w:pPr>
    <w:rPr>
      <w:rFonts w:ascii="Times New Roman" w:hAnsi="Times New Roman"/>
      <w:sz w:val="24"/>
      <w:lang w:eastAsia="pt-BR"/>
    </w:rPr>
  </w:style>
  <w:style w:type="character" w:customStyle="1" w:styleId="Primeirorecuodecorpodetexto2Char">
    <w:name w:val="Primeiro recuo de corpo de texto 2 Char"/>
    <w:basedOn w:val="RecuodecorpodetextoChar"/>
    <w:link w:val="Primeirorecuodecorpodetexto2"/>
    <w:rsid w:val="00201511"/>
    <w:rPr>
      <w:rFonts w:ascii="Times New Roman" w:eastAsia="Times New Roman" w:hAnsi="Times New Roman"/>
      <w:sz w:val="24"/>
      <w:szCs w:val="24"/>
    </w:rPr>
  </w:style>
  <w:style w:type="character" w:customStyle="1" w:styleId="RecuodecorpodetextoChar1">
    <w:name w:val="Recuo de corpo de texto Char1"/>
    <w:basedOn w:val="Fontepargpadro"/>
    <w:rsid w:val="00201511"/>
    <w:rPr>
      <w:rFonts w:ascii="Century Schoolbook" w:hAnsi="Century Schoolbook"/>
      <w:sz w:val="24"/>
      <w:szCs w:val="24"/>
      <w:lang w:val="en-US" w:eastAsia="en-US"/>
    </w:rPr>
  </w:style>
  <w:style w:type="paragraph" w:customStyle="1" w:styleId="Title">
    <w:name w:val="!Title"/>
    <w:basedOn w:val="Normal"/>
    <w:rsid w:val="00201511"/>
    <w:pPr>
      <w:keepNext/>
      <w:keepLines/>
      <w:widowControl w:val="0"/>
      <w:autoSpaceDE w:val="0"/>
      <w:autoSpaceDN w:val="0"/>
      <w:adjustRightInd w:val="0"/>
      <w:spacing w:after="240"/>
      <w:jc w:val="center"/>
    </w:pPr>
    <w:rPr>
      <w:rFonts w:ascii="Times New Roman" w:hAnsi="Times New Roman"/>
      <w:sz w:val="24"/>
      <w:lang w:eastAsia="pt-BR"/>
    </w:rPr>
  </w:style>
  <w:style w:type="character" w:styleId="MenoPendente">
    <w:name w:val="Unresolved Mention"/>
    <w:basedOn w:val="Fontepargpadro"/>
    <w:uiPriority w:val="99"/>
    <w:semiHidden/>
    <w:unhideWhenUsed/>
    <w:rsid w:val="00201511"/>
    <w:rPr>
      <w:color w:val="605E5C"/>
      <w:shd w:val="clear" w:color="auto" w:fill="E1DFDD"/>
    </w:rPr>
  </w:style>
  <w:style w:type="character" w:customStyle="1" w:styleId="Citaes1Char">
    <w:name w:val="Citações 1 Char"/>
    <w:basedOn w:val="Fontepargpadro"/>
    <w:link w:val="Citaes1"/>
    <w:rsid w:val="00883E60"/>
    <w:rPr>
      <w:rFonts w:ascii="Tahoma" w:eastAsia="Times New Roman" w:hAnsi="Tahoma"/>
      <w:kern w:val="20"/>
      <w:sz w:val="22"/>
      <w:lang w:eastAsia="en-US"/>
    </w:rPr>
  </w:style>
  <w:style w:type="table" w:customStyle="1" w:styleId="LDRPadro">
    <w:name w:val="LDR Padrão"/>
    <w:basedOn w:val="Tabelanormal"/>
    <w:uiPriority w:val="99"/>
    <w:rsid w:val="00883E60"/>
    <w:pPr>
      <w:spacing w:after="140" w:line="266" w:lineRule="auto"/>
      <w:jc w:val="both"/>
    </w:pPr>
    <w:rPr>
      <w:rFonts w:ascii="Tahoma" w:eastAsia="Times New Roman"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3Char">
    <w:name w:val="Level 3 Char"/>
    <w:link w:val="Level3"/>
    <w:locked/>
    <w:rsid w:val="00883E60"/>
    <w:rPr>
      <w:rFonts w:ascii="Tahoma" w:eastAsia="Times New Roman" w:hAnsi="Tahoma"/>
      <w:kern w:val="20"/>
      <w:szCs w:val="28"/>
      <w:lang w:eastAsia="en-US"/>
    </w:rPr>
  </w:style>
  <w:style w:type="paragraph" w:customStyle="1" w:styleId="NodoProcesso">
    <w:name w:val="NodoProcesso"/>
    <w:basedOn w:val="Normal"/>
    <w:next w:val="Normal"/>
    <w:rsid w:val="00883E60"/>
    <w:pPr>
      <w:keepNext/>
      <w:keepLines/>
      <w:spacing w:before="140" w:after="400"/>
      <w:outlineLvl w:val="3"/>
    </w:pPr>
    <w:rPr>
      <w:b/>
      <w:kern w:val="20"/>
      <w:sz w:val="22"/>
      <w:szCs w:val="20"/>
    </w:rPr>
  </w:style>
  <w:style w:type="paragraph" w:customStyle="1" w:styleId="NumerodaPasta">
    <w:name w:val="NumerodaPasta"/>
    <w:basedOn w:val="Normal"/>
    <w:rsid w:val="00883E60"/>
    <w:pPr>
      <w:spacing w:after="240"/>
    </w:pPr>
    <w:rPr>
      <w:kern w:val="20"/>
      <w:sz w:val="22"/>
      <w:szCs w:val="20"/>
    </w:rPr>
  </w:style>
  <w:style w:type="paragraph" w:customStyle="1" w:styleId="Petio1">
    <w:name w:val="Petição 1"/>
    <w:basedOn w:val="Normal"/>
    <w:link w:val="Petio1CharChar"/>
    <w:rsid w:val="00883E60"/>
    <w:pPr>
      <w:numPr>
        <w:numId w:val="171"/>
      </w:numPr>
      <w:spacing w:after="240"/>
      <w:outlineLvl w:val="0"/>
    </w:pPr>
    <w:rPr>
      <w:kern w:val="20"/>
      <w:sz w:val="22"/>
      <w:szCs w:val="20"/>
    </w:rPr>
  </w:style>
  <w:style w:type="character" w:customStyle="1" w:styleId="Petio1CharChar">
    <w:name w:val="Petição 1 Char Char"/>
    <w:basedOn w:val="Fontepargpadro"/>
    <w:link w:val="Petio1"/>
    <w:rsid w:val="00883E60"/>
    <w:rPr>
      <w:rFonts w:ascii="Tahoma" w:eastAsia="Times New Roman" w:hAnsi="Tahoma"/>
      <w:kern w:val="20"/>
      <w:sz w:val="22"/>
      <w:lang w:eastAsia="en-US"/>
    </w:rPr>
  </w:style>
  <w:style w:type="paragraph" w:customStyle="1" w:styleId="Petio2">
    <w:name w:val="Petição 2"/>
    <w:basedOn w:val="Normal"/>
    <w:link w:val="Petio2Char"/>
    <w:rsid w:val="00883E60"/>
    <w:pPr>
      <w:numPr>
        <w:ilvl w:val="1"/>
        <w:numId w:val="171"/>
      </w:numPr>
      <w:tabs>
        <w:tab w:val="left" w:pos="3515"/>
      </w:tabs>
      <w:spacing w:after="240"/>
      <w:outlineLvl w:val="1"/>
    </w:pPr>
    <w:rPr>
      <w:kern w:val="20"/>
      <w:sz w:val="22"/>
      <w:szCs w:val="20"/>
    </w:rPr>
  </w:style>
  <w:style w:type="character" w:customStyle="1" w:styleId="Petio2Char">
    <w:name w:val="Petição 2 Char"/>
    <w:basedOn w:val="Fontepargpadro"/>
    <w:link w:val="Petio2"/>
    <w:rsid w:val="00883E60"/>
    <w:rPr>
      <w:rFonts w:ascii="Tahoma" w:eastAsia="Times New Roman" w:hAnsi="Tahoma"/>
      <w:kern w:val="20"/>
      <w:sz w:val="22"/>
      <w:lang w:eastAsia="en-US"/>
    </w:rPr>
  </w:style>
  <w:style w:type="paragraph" w:customStyle="1" w:styleId="Petio3">
    <w:name w:val="Petição 3"/>
    <w:basedOn w:val="Normal"/>
    <w:rsid w:val="00883E60"/>
    <w:pPr>
      <w:numPr>
        <w:ilvl w:val="2"/>
        <w:numId w:val="171"/>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883E60"/>
    <w:pPr>
      <w:numPr>
        <w:numId w:val="173"/>
      </w:numPr>
      <w:tabs>
        <w:tab w:val="clear" w:pos="567"/>
        <w:tab w:val="num" w:pos="426"/>
      </w:tabs>
      <w:spacing w:after="100" w:line="240" w:lineRule="auto"/>
    </w:pPr>
    <w:rPr>
      <w:kern w:val="20"/>
      <w:sz w:val="17"/>
    </w:rPr>
  </w:style>
  <w:style w:type="character" w:customStyle="1" w:styleId="RelaAlphaMai1Char">
    <w:name w:val="RelaAlphaMai1 Char"/>
    <w:basedOn w:val="Fontepargpadro"/>
    <w:link w:val="RelaAlphaMai1"/>
    <w:rsid w:val="00883E60"/>
    <w:rPr>
      <w:rFonts w:ascii="Tahoma" w:eastAsia="Times New Roman" w:hAnsi="Tahoma"/>
      <w:kern w:val="20"/>
      <w:sz w:val="17"/>
      <w:szCs w:val="24"/>
      <w:lang w:eastAsia="en-US"/>
    </w:rPr>
  </w:style>
  <w:style w:type="paragraph" w:customStyle="1" w:styleId="RelaAlphaMai2">
    <w:name w:val="RelaAlphaMai2"/>
    <w:basedOn w:val="Normal"/>
    <w:link w:val="RelaAlphaMai2Char"/>
    <w:qFormat/>
    <w:rsid w:val="00883E60"/>
    <w:pPr>
      <w:numPr>
        <w:numId w:val="174"/>
      </w:numPr>
      <w:tabs>
        <w:tab w:val="clear" w:pos="1247"/>
        <w:tab w:val="num" w:pos="993"/>
      </w:tabs>
      <w:spacing w:after="100" w:line="240" w:lineRule="auto"/>
    </w:pPr>
    <w:rPr>
      <w:kern w:val="20"/>
      <w:sz w:val="17"/>
      <w:lang w:val="en-US"/>
    </w:rPr>
  </w:style>
  <w:style w:type="character" w:customStyle="1" w:styleId="RelaAlphaMai2Char">
    <w:name w:val="RelaAlphaMai2 Char"/>
    <w:basedOn w:val="Fontepargpadro"/>
    <w:link w:val="RelaAlphaMai2"/>
    <w:rsid w:val="00883E60"/>
    <w:rPr>
      <w:rFonts w:ascii="Tahoma" w:eastAsia="Times New Roman" w:hAnsi="Tahoma"/>
      <w:kern w:val="20"/>
      <w:sz w:val="17"/>
      <w:szCs w:val="24"/>
      <w:lang w:val="en-US" w:eastAsia="en-US"/>
    </w:rPr>
  </w:style>
  <w:style w:type="paragraph" w:customStyle="1" w:styleId="RelaAlphaMai3">
    <w:name w:val="RelaAlphaMai3"/>
    <w:basedOn w:val="Normal"/>
    <w:link w:val="RelaAlphaMai3Char"/>
    <w:qFormat/>
    <w:rsid w:val="00883E60"/>
    <w:pPr>
      <w:numPr>
        <w:numId w:val="175"/>
      </w:numPr>
      <w:tabs>
        <w:tab w:val="clear" w:pos="2041"/>
        <w:tab w:val="num" w:pos="1701"/>
      </w:tabs>
      <w:spacing w:after="100" w:line="240" w:lineRule="auto"/>
    </w:pPr>
    <w:rPr>
      <w:kern w:val="20"/>
      <w:sz w:val="17"/>
      <w:lang w:val="en-US"/>
    </w:rPr>
  </w:style>
  <w:style w:type="character" w:customStyle="1" w:styleId="RelaAlphaMai3Char">
    <w:name w:val="RelaAlphaMai3 Char"/>
    <w:basedOn w:val="Fontepargpadro"/>
    <w:link w:val="RelaAlphaMai3"/>
    <w:rsid w:val="00883E60"/>
    <w:rPr>
      <w:rFonts w:ascii="Tahoma" w:eastAsia="Times New Roman" w:hAnsi="Tahoma"/>
      <w:kern w:val="20"/>
      <w:sz w:val="17"/>
      <w:szCs w:val="24"/>
      <w:lang w:val="en-US" w:eastAsia="en-US"/>
    </w:rPr>
  </w:style>
  <w:style w:type="paragraph" w:customStyle="1" w:styleId="RelaAlphaMin1">
    <w:name w:val="RelaAlphaMin1"/>
    <w:basedOn w:val="Normal"/>
    <w:link w:val="RelaAlphaMin1Char"/>
    <w:qFormat/>
    <w:rsid w:val="00883E60"/>
    <w:pPr>
      <w:numPr>
        <w:numId w:val="176"/>
      </w:numPr>
      <w:tabs>
        <w:tab w:val="clear" w:pos="567"/>
        <w:tab w:val="num" w:pos="426"/>
      </w:tabs>
      <w:spacing w:after="100" w:line="240" w:lineRule="auto"/>
    </w:pPr>
    <w:rPr>
      <w:kern w:val="20"/>
      <w:sz w:val="17"/>
    </w:rPr>
  </w:style>
  <w:style w:type="character" w:customStyle="1" w:styleId="RelaAlphaMin1Char">
    <w:name w:val="RelaAlphaMin1 Char"/>
    <w:basedOn w:val="Fontepargpadro"/>
    <w:link w:val="RelaAlphaMin1"/>
    <w:rsid w:val="00883E60"/>
    <w:rPr>
      <w:rFonts w:ascii="Tahoma" w:eastAsia="Times New Roman" w:hAnsi="Tahoma"/>
      <w:kern w:val="20"/>
      <w:sz w:val="17"/>
      <w:szCs w:val="24"/>
      <w:lang w:eastAsia="en-US"/>
    </w:rPr>
  </w:style>
  <w:style w:type="paragraph" w:customStyle="1" w:styleId="RelaAlphaMin2">
    <w:name w:val="RelaAlphaMin2"/>
    <w:basedOn w:val="Normal"/>
    <w:link w:val="RelaAlphaMin2Char"/>
    <w:qFormat/>
    <w:rsid w:val="00883E60"/>
    <w:pPr>
      <w:numPr>
        <w:numId w:val="177"/>
      </w:numPr>
      <w:tabs>
        <w:tab w:val="clear" w:pos="1247"/>
        <w:tab w:val="num" w:pos="993"/>
      </w:tabs>
      <w:spacing w:after="100" w:line="240" w:lineRule="auto"/>
    </w:pPr>
    <w:rPr>
      <w:kern w:val="20"/>
      <w:sz w:val="17"/>
      <w:lang w:val="en-US"/>
    </w:rPr>
  </w:style>
  <w:style w:type="character" w:customStyle="1" w:styleId="RelaAlphaMin2Char">
    <w:name w:val="RelaAlphaMin2 Char"/>
    <w:basedOn w:val="Fontepargpadro"/>
    <w:link w:val="RelaAlphaMin2"/>
    <w:rsid w:val="00883E60"/>
    <w:rPr>
      <w:rFonts w:ascii="Tahoma" w:eastAsia="Times New Roman" w:hAnsi="Tahoma"/>
      <w:kern w:val="20"/>
      <w:sz w:val="17"/>
      <w:szCs w:val="24"/>
      <w:lang w:val="en-US" w:eastAsia="en-US"/>
    </w:rPr>
  </w:style>
  <w:style w:type="paragraph" w:customStyle="1" w:styleId="RelaAlphaMin3">
    <w:name w:val="RelaAlphaMin3"/>
    <w:basedOn w:val="Normal"/>
    <w:link w:val="RelaAlphaMin3Char"/>
    <w:qFormat/>
    <w:rsid w:val="00883E60"/>
    <w:pPr>
      <w:numPr>
        <w:numId w:val="178"/>
      </w:numPr>
      <w:tabs>
        <w:tab w:val="clear" w:pos="2041"/>
        <w:tab w:val="num" w:pos="1701"/>
      </w:tabs>
      <w:spacing w:after="100" w:line="240" w:lineRule="auto"/>
    </w:pPr>
    <w:rPr>
      <w:kern w:val="20"/>
      <w:sz w:val="17"/>
      <w:lang w:val="en-US"/>
    </w:rPr>
  </w:style>
  <w:style w:type="character" w:customStyle="1" w:styleId="RelaAlphaMin3Char">
    <w:name w:val="RelaAlphaMin3 Char"/>
    <w:basedOn w:val="Fontepargpadro"/>
    <w:link w:val="RelaAlphaMin3"/>
    <w:rsid w:val="00883E60"/>
    <w:rPr>
      <w:rFonts w:ascii="Tahoma" w:eastAsia="Times New Roman" w:hAnsi="Tahoma"/>
      <w:kern w:val="20"/>
      <w:sz w:val="17"/>
      <w:szCs w:val="24"/>
      <w:lang w:val="en-US" w:eastAsia="en-US"/>
    </w:rPr>
  </w:style>
  <w:style w:type="paragraph" w:customStyle="1" w:styleId="RelaBody">
    <w:name w:val="RelaBody"/>
    <w:basedOn w:val="Normal"/>
    <w:link w:val="RelaBodyChar"/>
    <w:qFormat/>
    <w:rsid w:val="00883E60"/>
    <w:pPr>
      <w:spacing w:before="100" w:after="100" w:line="240" w:lineRule="auto"/>
    </w:pPr>
    <w:rPr>
      <w:sz w:val="17"/>
    </w:rPr>
  </w:style>
  <w:style w:type="character" w:customStyle="1" w:styleId="RelaBodyChar">
    <w:name w:val="RelaBody Char"/>
    <w:basedOn w:val="Fontepargpadro"/>
    <w:link w:val="RelaBody"/>
    <w:rsid w:val="00883E60"/>
    <w:rPr>
      <w:rFonts w:ascii="Tahoma" w:eastAsia="Times New Roman" w:hAnsi="Tahoma"/>
      <w:sz w:val="17"/>
      <w:szCs w:val="24"/>
      <w:lang w:eastAsia="en-US"/>
    </w:rPr>
  </w:style>
  <w:style w:type="paragraph" w:customStyle="1" w:styleId="RelaBuletTabela">
    <w:name w:val="RelaBuletTabela"/>
    <w:basedOn w:val="PargrafodaLista"/>
    <w:link w:val="RelaBuletTabelaChar"/>
    <w:qFormat/>
    <w:rsid w:val="00883E60"/>
    <w:pPr>
      <w:numPr>
        <w:numId w:val="179"/>
      </w:numPr>
      <w:tabs>
        <w:tab w:val="left" w:pos="181"/>
      </w:tabs>
      <w:spacing w:before="20" w:after="20" w:line="240" w:lineRule="auto"/>
    </w:pPr>
    <w:rPr>
      <w:sz w:val="14"/>
      <w:szCs w:val="14"/>
    </w:rPr>
  </w:style>
  <w:style w:type="character" w:customStyle="1" w:styleId="RelaBuletTabelaChar">
    <w:name w:val="RelaBuletTabela Char"/>
    <w:basedOn w:val="Fontepargpadro"/>
    <w:link w:val="RelaBuletTabela"/>
    <w:rsid w:val="00883E60"/>
    <w:rPr>
      <w:rFonts w:ascii="Tahoma" w:eastAsia="Times New Roman" w:hAnsi="Tahoma"/>
      <w:sz w:val="14"/>
      <w:szCs w:val="14"/>
      <w:lang w:eastAsia="en-US"/>
    </w:rPr>
  </w:style>
  <w:style w:type="paragraph" w:customStyle="1" w:styleId="RelaBullet1">
    <w:name w:val="RelaBullet1"/>
    <w:basedOn w:val="PargrafodaLista"/>
    <w:link w:val="RelaBullet1Char"/>
    <w:qFormat/>
    <w:rsid w:val="00883E60"/>
    <w:pPr>
      <w:numPr>
        <w:numId w:val="182"/>
      </w:numPr>
      <w:tabs>
        <w:tab w:val="left" w:pos="425"/>
      </w:tabs>
      <w:spacing w:after="100" w:line="240" w:lineRule="auto"/>
      <w:contextualSpacing w:val="0"/>
    </w:pPr>
    <w:rPr>
      <w:sz w:val="17"/>
    </w:rPr>
  </w:style>
  <w:style w:type="character" w:customStyle="1" w:styleId="RelaBullet1Char">
    <w:name w:val="RelaBullet1 Char"/>
    <w:basedOn w:val="Fontepargpadro"/>
    <w:link w:val="RelaBullet1"/>
    <w:rsid w:val="00883E60"/>
    <w:rPr>
      <w:rFonts w:ascii="Tahoma" w:eastAsia="Times New Roman" w:hAnsi="Tahoma"/>
      <w:sz w:val="17"/>
      <w:szCs w:val="24"/>
      <w:lang w:eastAsia="en-US"/>
    </w:rPr>
  </w:style>
  <w:style w:type="paragraph" w:customStyle="1" w:styleId="RelaBullet2">
    <w:name w:val="RelaBullet2"/>
    <w:basedOn w:val="Normal"/>
    <w:link w:val="RelaBullet2Char"/>
    <w:qFormat/>
    <w:rsid w:val="00883E60"/>
    <w:pPr>
      <w:numPr>
        <w:numId w:val="181"/>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883E60"/>
    <w:rPr>
      <w:rFonts w:ascii="Tahoma" w:eastAsia="Times New Roman" w:hAnsi="Tahoma"/>
      <w:sz w:val="17"/>
      <w:szCs w:val="17"/>
      <w:lang w:eastAsia="en-US"/>
    </w:rPr>
  </w:style>
  <w:style w:type="paragraph" w:customStyle="1" w:styleId="RelaBullet3">
    <w:name w:val="RelaBullet3"/>
    <w:basedOn w:val="Normal"/>
    <w:link w:val="RelaBullet3Char"/>
    <w:qFormat/>
    <w:rsid w:val="00883E60"/>
    <w:pPr>
      <w:numPr>
        <w:ilvl w:val="1"/>
        <w:numId w:val="182"/>
      </w:numPr>
      <w:tabs>
        <w:tab w:val="left" w:pos="1701"/>
      </w:tabs>
      <w:spacing w:after="100" w:line="240" w:lineRule="auto"/>
    </w:pPr>
    <w:rPr>
      <w:sz w:val="17"/>
      <w:szCs w:val="17"/>
    </w:rPr>
  </w:style>
  <w:style w:type="character" w:customStyle="1" w:styleId="RelaBullet3Char">
    <w:name w:val="RelaBullet3 Char"/>
    <w:basedOn w:val="Fontepargpadro"/>
    <w:link w:val="RelaBullet3"/>
    <w:rsid w:val="00883E60"/>
    <w:rPr>
      <w:rFonts w:ascii="Tahoma" w:eastAsia="Times New Roman" w:hAnsi="Tahoma"/>
      <w:sz w:val="17"/>
      <w:szCs w:val="17"/>
      <w:lang w:eastAsia="en-US"/>
    </w:rPr>
  </w:style>
  <w:style w:type="paragraph" w:customStyle="1" w:styleId="RelaDestaque">
    <w:name w:val="RelaDestaque"/>
    <w:basedOn w:val="Body"/>
    <w:link w:val="RelaDestaqueChar"/>
    <w:qFormat/>
    <w:rsid w:val="00883E60"/>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883E60"/>
    <w:rPr>
      <w:rFonts w:ascii="Tahoma" w:eastAsia="Times New Roman" w:hAnsi="Tahoma" w:cs="Tahoma"/>
      <w:color w:val="4CB748"/>
      <w:kern w:val="20"/>
      <w:sz w:val="18"/>
      <w:szCs w:val="18"/>
      <w:lang w:eastAsia="en-US"/>
    </w:rPr>
  </w:style>
  <w:style w:type="paragraph" w:customStyle="1" w:styleId="RelaNiv4">
    <w:name w:val="RelaNiv4"/>
    <w:basedOn w:val="Normal"/>
    <w:link w:val="RelaNiv4Char"/>
    <w:qFormat/>
    <w:rsid w:val="00883E60"/>
    <w:pPr>
      <w:numPr>
        <w:ilvl w:val="3"/>
        <w:numId w:val="187"/>
      </w:numPr>
      <w:spacing w:before="160" w:after="160" w:line="240" w:lineRule="auto"/>
    </w:pPr>
    <w:rPr>
      <w:color w:val="4CB748"/>
      <w:sz w:val="26"/>
      <w:szCs w:val="26"/>
    </w:rPr>
  </w:style>
  <w:style w:type="character" w:customStyle="1" w:styleId="RelaNiv4Char">
    <w:name w:val="RelaNiv4 Char"/>
    <w:basedOn w:val="Fontepargpadro"/>
    <w:link w:val="RelaNiv4"/>
    <w:rsid w:val="00883E60"/>
    <w:rPr>
      <w:rFonts w:ascii="Tahoma" w:eastAsia="Times New Roman" w:hAnsi="Tahoma"/>
      <w:color w:val="4CB748"/>
      <w:sz w:val="26"/>
      <w:szCs w:val="26"/>
      <w:lang w:eastAsia="en-US"/>
    </w:rPr>
  </w:style>
  <w:style w:type="paragraph" w:customStyle="1" w:styleId="RelaNiv3">
    <w:name w:val="RelaNiv3"/>
    <w:basedOn w:val="RelaNiv4"/>
    <w:link w:val="RelaNiv3Char"/>
    <w:qFormat/>
    <w:rsid w:val="00883E60"/>
    <w:pPr>
      <w:tabs>
        <w:tab w:val="clear" w:pos="992"/>
        <w:tab w:val="num" w:pos="993"/>
      </w:tabs>
      <w:spacing w:before="280" w:after="140"/>
    </w:pPr>
    <w:rPr>
      <w:sz w:val="24"/>
      <w:szCs w:val="24"/>
    </w:rPr>
  </w:style>
  <w:style w:type="character" w:customStyle="1" w:styleId="RelaNiv3Char">
    <w:name w:val="RelaNiv3 Char"/>
    <w:basedOn w:val="Fontepargpadro"/>
    <w:link w:val="RelaNiv3"/>
    <w:rsid w:val="00883E60"/>
    <w:rPr>
      <w:rFonts w:ascii="Tahoma" w:eastAsia="Times New Roman" w:hAnsi="Tahoma"/>
      <w:color w:val="4CB748"/>
      <w:sz w:val="24"/>
      <w:szCs w:val="24"/>
      <w:lang w:eastAsia="en-US"/>
    </w:rPr>
  </w:style>
  <w:style w:type="paragraph" w:customStyle="1" w:styleId="RelaNiv2">
    <w:name w:val="RelaNiv2"/>
    <w:basedOn w:val="RelaNiv3"/>
    <w:link w:val="RelaNiv2Char"/>
    <w:qFormat/>
    <w:rsid w:val="00883E60"/>
    <w:pPr>
      <w:numPr>
        <w:ilvl w:val="2"/>
      </w:numPr>
    </w:pPr>
  </w:style>
  <w:style w:type="character" w:customStyle="1" w:styleId="RelaNiv2Char">
    <w:name w:val="RelaNiv2 Char"/>
    <w:basedOn w:val="Fontepargpadro"/>
    <w:link w:val="RelaNiv2"/>
    <w:rsid w:val="00883E60"/>
    <w:rPr>
      <w:rFonts w:ascii="Tahoma" w:eastAsia="Times New Roman" w:hAnsi="Tahoma"/>
      <w:color w:val="4CB748"/>
      <w:sz w:val="24"/>
      <w:szCs w:val="24"/>
      <w:lang w:eastAsia="en-US"/>
    </w:rPr>
  </w:style>
  <w:style w:type="paragraph" w:customStyle="1" w:styleId="RelaNiv1">
    <w:name w:val="RelaNiv1"/>
    <w:basedOn w:val="RelaNiv2"/>
    <w:link w:val="RelaNiv1Char"/>
    <w:qFormat/>
    <w:rsid w:val="00883E60"/>
    <w:pPr>
      <w:numPr>
        <w:ilvl w:val="1"/>
      </w:numPr>
    </w:pPr>
    <w:rPr>
      <w:sz w:val="28"/>
      <w:szCs w:val="28"/>
    </w:rPr>
  </w:style>
  <w:style w:type="character" w:customStyle="1" w:styleId="RelaNiv1Char">
    <w:name w:val="RelaNiv1 Char"/>
    <w:basedOn w:val="Fontepargpadro"/>
    <w:link w:val="RelaNiv1"/>
    <w:rsid w:val="00883E60"/>
    <w:rPr>
      <w:rFonts w:ascii="Tahoma" w:eastAsia="Times New Roman" w:hAnsi="Tahoma"/>
      <w:color w:val="4CB748"/>
      <w:sz w:val="28"/>
      <w:szCs w:val="28"/>
      <w:lang w:eastAsia="en-US"/>
    </w:rPr>
  </w:style>
  <w:style w:type="paragraph" w:customStyle="1" w:styleId="RelaNiv0">
    <w:name w:val="RelaNiv0"/>
    <w:basedOn w:val="RelaNiv1"/>
    <w:next w:val="RelaNiv1"/>
    <w:link w:val="RelaNiv0Char"/>
    <w:qFormat/>
    <w:rsid w:val="00883E60"/>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883E60"/>
    <w:rPr>
      <w:rFonts w:ascii="Tahoma" w:eastAsia="Times New Roman" w:hAnsi="Tahoma" w:cstheme="minorHAnsi"/>
      <w:bCs/>
      <w:noProof/>
      <w:color w:val="FFFFFF" w:themeColor="background1"/>
      <w:sz w:val="36"/>
      <w:szCs w:val="36"/>
      <w:lang w:eastAsia="en-US"/>
    </w:rPr>
  </w:style>
  <w:style w:type="paragraph" w:customStyle="1" w:styleId="RelaRoman111">
    <w:name w:val="RelaRoman111"/>
    <w:basedOn w:val="PargrafodaLista"/>
    <w:link w:val="RelaRoman111Char"/>
    <w:qFormat/>
    <w:rsid w:val="00883E60"/>
    <w:pPr>
      <w:numPr>
        <w:numId w:val="188"/>
      </w:numPr>
      <w:spacing w:after="100" w:line="240" w:lineRule="auto"/>
      <w:contextualSpacing w:val="0"/>
    </w:pPr>
    <w:rPr>
      <w:sz w:val="17"/>
      <w:szCs w:val="17"/>
    </w:rPr>
  </w:style>
  <w:style w:type="character" w:customStyle="1" w:styleId="RelaRoman111Char">
    <w:name w:val="RelaRoman111 Char"/>
    <w:basedOn w:val="Fontepargpadro"/>
    <w:link w:val="RelaRoman111"/>
    <w:rsid w:val="00883E60"/>
    <w:rPr>
      <w:rFonts w:ascii="Tahoma" w:eastAsia="Times New Roman" w:hAnsi="Tahoma"/>
      <w:sz w:val="17"/>
      <w:szCs w:val="17"/>
      <w:lang w:eastAsia="en-US"/>
    </w:rPr>
  </w:style>
  <w:style w:type="paragraph" w:customStyle="1" w:styleId="RelaRoman222">
    <w:name w:val="RelaRoman222"/>
    <w:basedOn w:val="PargrafodaLista"/>
    <w:link w:val="RelaRoman222Char"/>
    <w:qFormat/>
    <w:rsid w:val="00883E60"/>
    <w:pPr>
      <w:numPr>
        <w:numId w:val="189"/>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Fontepargpadro"/>
    <w:link w:val="RelaRoman222"/>
    <w:rsid w:val="00883E60"/>
    <w:rPr>
      <w:rFonts w:ascii="Tahoma" w:eastAsia="Times New Roman" w:hAnsi="Tahoma"/>
      <w:sz w:val="17"/>
      <w:szCs w:val="17"/>
      <w:lang w:eastAsia="en-US"/>
    </w:rPr>
  </w:style>
  <w:style w:type="paragraph" w:customStyle="1" w:styleId="RelaRoman333">
    <w:name w:val="RelaRoman333"/>
    <w:basedOn w:val="PargrafodaLista"/>
    <w:link w:val="RelaRoman333Char"/>
    <w:qFormat/>
    <w:rsid w:val="00883E60"/>
    <w:pPr>
      <w:numPr>
        <w:numId w:val="190"/>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Fontepargpadro"/>
    <w:link w:val="RelaRoman333"/>
    <w:rsid w:val="00883E60"/>
    <w:rPr>
      <w:rFonts w:ascii="Tahoma" w:eastAsia="Times New Roman" w:hAnsi="Tahoma"/>
      <w:sz w:val="17"/>
      <w:szCs w:val="17"/>
      <w:lang w:eastAsia="en-US"/>
    </w:rPr>
  </w:style>
  <w:style w:type="character" w:customStyle="1" w:styleId="roman3Char">
    <w:name w:val="roman 3 Char"/>
    <w:link w:val="roman3"/>
    <w:locked/>
    <w:rsid w:val="00883E60"/>
    <w:rPr>
      <w:rFonts w:ascii="Tahoma" w:eastAsia="Times New Roman" w:hAnsi="Tahoma"/>
      <w:kern w:val="20"/>
      <w:lang w:eastAsia="en-US"/>
    </w:rPr>
  </w:style>
  <w:style w:type="paragraph" w:customStyle="1" w:styleId="TermosEmQue">
    <w:name w:val="TermosEmQue"/>
    <w:basedOn w:val="Normal"/>
    <w:rsid w:val="00883E60"/>
    <w:pPr>
      <w:keepNext/>
      <w:tabs>
        <w:tab w:val="left" w:pos="1247"/>
      </w:tabs>
      <w:spacing w:after="240"/>
      <w:ind w:left="2041"/>
    </w:pPr>
    <w:rPr>
      <w:kern w:val="20"/>
      <w:sz w:val="22"/>
      <w:szCs w:val="20"/>
    </w:rPr>
  </w:style>
  <w:style w:type="paragraph" w:customStyle="1" w:styleId="TextoEsq">
    <w:name w:val="Texto Esq"/>
    <w:basedOn w:val="Normal"/>
    <w:rsid w:val="00883E60"/>
    <w:pPr>
      <w:spacing w:after="640"/>
    </w:pPr>
    <w:rPr>
      <w:kern w:val="20"/>
      <w:sz w:val="22"/>
      <w:szCs w:val="20"/>
    </w:rPr>
  </w:style>
  <w:style w:type="paragraph" w:customStyle="1" w:styleId="TtuloB1">
    <w:name w:val="Título B1"/>
    <w:basedOn w:val="Normal"/>
    <w:next w:val="Normal"/>
    <w:link w:val="TtuloB1Char"/>
    <w:rsid w:val="00883E60"/>
    <w:pPr>
      <w:spacing w:after="240"/>
      <w:ind w:left="2041"/>
    </w:pPr>
    <w:rPr>
      <w:caps/>
      <w:kern w:val="20"/>
      <w:sz w:val="22"/>
      <w:szCs w:val="20"/>
      <w:u w:val="single"/>
    </w:rPr>
  </w:style>
  <w:style w:type="character" w:customStyle="1" w:styleId="TtuloB1Char">
    <w:name w:val="Título B1 Char"/>
    <w:basedOn w:val="Fontepargpadro"/>
    <w:link w:val="TtuloB1"/>
    <w:locked/>
    <w:rsid w:val="00883E60"/>
    <w:rPr>
      <w:rFonts w:ascii="Tahoma" w:eastAsia="Times New Roman" w:hAnsi="Tahoma"/>
      <w:caps/>
      <w:kern w:val="20"/>
      <w:sz w:val="22"/>
      <w:u w:val="single"/>
      <w:lang w:eastAsia="en-US"/>
    </w:rPr>
  </w:style>
  <w:style w:type="paragraph" w:customStyle="1" w:styleId="TtuloB2">
    <w:name w:val="Título B2"/>
    <w:basedOn w:val="Normal"/>
    <w:next w:val="Texto"/>
    <w:rsid w:val="00883E60"/>
    <w:pPr>
      <w:spacing w:after="240"/>
      <w:ind w:left="2041"/>
    </w:pPr>
    <w:rPr>
      <w:kern w:val="20"/>
      <w:sz w:val="22"/>
      <w:szCs w:val="20"/>
    </w:rPr>
  </w:style>
  <w:style w:type="paragraph" w:customStyle="1" w:styleId="TtuloA">
    <w:name w:val="TítuloA"/>
    <w:basedOn w:val="Normal"/>
    <w:next w:val="Normal"/>
    <w:rsid w:val="00883E60"/>
    <w:pPr>
      <w:keepNext/>
      <w:keepLines/>
      <w:spacing w:before="60" w:after="5400"/>
      <w:outlineLvl w:val="3"/>
    </w:pPr>
    <w:rPr>
      <w:kern w:val="20"/>
      <w:sz w:val="22"/>
      <w:szCs w:val="20"/>
      <w:lang w:val="en-US"/>
    </w:rPr>
  </w:style>
  <w:style w:type="character" w:customStyle="1" w:styleId="CabealhoChar3">
    <w:name w:val="Cabeçalho Char3"/>
    <w:rsid w:val="008609BB"/>
    <w:rPr>
      <w:rFonts w:ascii="Tahoma" w:hAnsi="Tahoma"/>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961">
      <w:bodyDiv w:val="1"/>
      <w:marLeft w:val="0"/>
      <w:marRight w:val="0"/>
      <w:marTop w:val="0"/>
      <w:marBottom w:val="0"/>
      <w:divBdr>
        <w:top w:val="none" w:sz="0" w:space="0" w:color="auto"/>
        <w:left w:val="none" w:sz="0" w:space="0" w:color="auto"/>
        <w:bottom w:val="none" w:sz="0" w:space="0" w:color="auto"/>
        <w:right w:val="none" w:sz="0" w:space="0" w:color="auto"/>
      </w:divBdr>
      <w:divsChild>
        <w:div w:id="2120224232">
          <w:marLeft w:val="0"/>
          <w:marRight w:val="0"/>
          <w:marTop w:val="0"/>
          <w:marBottom w:val="0"/>
          <w:divBdr>
            <w:top w:val="none" w:sz="0" w:space="0" w:color="auto"/>
            <w:left w:val="none" w:sz="0" w:space="0" w:color="auto"/>
            <w:bottom w:val="none" w:sz="0" w:space="0" w:color="auto"/>
            <w:right w:val="none" w:sz="0" w:space="0" w:color="auto"/>
          </w:divBdr>
          <w:divsChild>
            <w:div w:id="1942492625">
              <w:marLeft w:val="0"/>
              <w:marRight w:val="0"/>
              <w:marTop w:val="0"/>
              <w:marBottom w:val="0"/>
              <w:divBdr>
                <w:top w:val="none" w:sz="0" w:space="0" w:color="auto"/>
                <w:left w:val="none" w:sz="0" w:space="0" w:color="auto"/>
                <w:bottom w:val="none" w:sz="0" w:space="0" w:color="auto"/>
                <w:right w:val="none" w:sz="0" w:space="0" w:color="auto"/>
              </w:divBdr>
              <w:divsChild>
                <w:div w:id="691031557">
                  <w:marLeft w:val="0"/>
                  <w:marRight w:val="0"/>
                  <w:marTop w:val="0"/>
                  <w:marBottom w:val="0"/>
                  <w:divBdr>
                    <w:top w:val="none" w:sz="0" w:space="0" w:color="auto"/>
                    <w:left w:val="none" w:sz="0" w:space="0" w:color="auto"/>
                    <w:bottom w:val="none" w:sz="0" w:space="0" w:color="auto"/>
                    <w:right w:val="none" w:sz="0" w:space="0" w:color="auto"/>
                  </w:divBdr>
                </w:div>
                <w:div w:id="10023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1346">
      <w:bodyDiv w:val="1"/>
      <w:marLeft w:val="0"/>
      <w:marRight w:val="0"/>
      <w:marTop w:val="0"/>
      <w:marBottom w:val="0"/>
      <w:divBdr>
        <w:top w:val="none" w:sz="0" w:space="0" w:color="auto"/>
        <w:left w:val="none" w:sz="0" w:space="0" w:color="auto"/>
        <w:bottom w:val="none" w:sz="0" w:space="0" w:color="auto"/>
        <w:right w:val="none" w:sz="0" w:space="0" w:color="auto"/>
      </w:divBdr>
    </w:div>
    <w:div w:id="320817579">
      <w:bodyDiv w:val="1"/>
      <w:marLeft w:val="0"/>
      <w:marRight w:val="0"/>
      <w:marTop w:val="0"/>
      <w:marBottom w:val="0"/>
      <w:divBdr>
        <w:top w:val="none" w:sz="0" w:space="0" w:color="auto"/>
        <w:left w:val="none" w:sz="0" w:space="0" w:color="auto"/>
        <w:bottom w:val="none" w:sz="0" w:space="0" w:color="auto"/>
        <w:right w:val="none" w:sz="0" w:space="0" w:color="auto"/>
      </w:divBdr>
    </w:div>
    <w:div w:id="325016017">
      <w:bodyDiv w:val="1"/>
      <w:marLeft w:val="0"/>
      <w:marRight w:val="0"/>
      <w:marTop w:val="0"/>
      <w:marBottom w:val="0"/>
      <w:divBdr>
        <w:top w:val="none" w:sz="0" w:space="0" w:color="auto"/>
        <w:left w:val="none" w:sz="0" w:space="0" w:color="auto"/>
        <w:bottom w:val="none" w:sz="0" w:space="0" w:color="auto"/>
        <w:right w:val="none" w:sz="0" w:space="0" w:color="auto"/>
      </w:divBdr>
    </w:div>
    <w:div w:id="401877915">
      <w:bodyDiv w:val="1"/>
      <w:marLeft w:val="0"/>
      <w:marRight w:val="0"/>
      <w:marTop w:val="0"/>
      <w:marBottom w:val="0"/>
      <w:divBdr>
        <w:top w:val="none" w:sz="0" w:space="0" w:color="auto"/>
        <w:left w:val="none" w:sz="0" w:space="0" w:color="auto"/>
        <w:bottom w:val="none" w:sz="0" w:space="0" w:color="auto"/>
        <w:right w:val="none" w:sz="0" w:space="0" w:color="auto"/>
      </w:divBdr>
    </w:div>
    <w:div w:id="426539002">
      <w:bodyDiv w:val="1"/>
      <w:marLeft w:val="0"/>
      <w:marRight w:val="0"/>
      <w:marTop w:val="0"/>
      <w:marBottom w:val="0"/>
      <w:divBdr>
        <w:top w:val="none" w:sz="0" w:space="0" w:color="auto"/>
        <w:left w:val="none" w:sz="0" w:space="0" w:color="auto"/>
        <w:bottom w:val="none" w:sz="0" w:space="0" w:color="auto"/>
        <w:right w:val="none" w:sz="0" w:space="0" w:color="auto"/>
      </w:divBdr>
    </w:div>
    <w:div w:id="478108460">
      <w:bodyDiv w:val="1"/>
      <w:marLeft w:val="0"/>
      <w:marRight w:val="0"/>
      <w:marTop w:val="0"/>
      <w:marBottom w:val="0"/>
      <w:divBdr>
        <w:top w:val="none" w:sz="0" w:space="0" w:color="auto"/>
        <w:left w:val="none" w:sz="0" w:space="0" w:color="auto"/>
        <w:bottom w:val="none" w:sz="0" w:space="0" w:color="auto"/>
        <w:right w:val="none" w:sz="0" w:space="0" w:color="auto"/>
      </w:divBdr>
    </w:div>
    <w:div w:id="487328820">
      <w:bodyDiv w:val="1"/>
      <w:marLeft w:val="0"/>
      <w:marRight w:val="0"/>
      <w:marTop w:val="0"/>
      <w:marBottom w:val="0"/>
      <w:divBdr>
        <w:top w:val="none" w:sz="0" w:space="0" w:color="auto"/>
        <w:left w:val="none" w:sz="0" w:space="0" w:color="auto"/>
        <w:bottom w:val="none" w:sz="0" w:space="0" w:color="auto"/>
        <w:right w:val="none" w:sz="0" w:space="0" w:color="auto"/>
      </w:divBdr>
    </w:div>
    <w:div w:id="492142503">
      <w:bodyDiv w:val="1"/>
      <w:marLeft w:val="0"/>
      <w:marRight w:val="0"/>
      <w:marTop w:val="0"/>
      <w:marBottom w:val="0"/>
      <w:divBdr>
        <w:top w:val="none" w:sz="0" w:space="0" w:color="auto"/>
        <w:left w:val="none" w:sz="0" w:space="0" w:color="auto"/>
        <w:bottom w:val="none" w:sz="0" w:space="0" w:color="auto"/>
        <w:right w:val="none" w:sz="0" w:space="0" w:color="auto"/>
      </w:divBdr>
    </w:div>
    <w:div w:id="538472925">
      <w:bodyDiv w:val="1"/>
      <w:marLeft w:val="0"/>
      <w:marRight w:val="0"/>
      <w:marTop w:val="0"/>
      <w:marBottom w:val="0"/>
      <w:divBdr>
        <w:top w:val="none" w:sz="0" w:space="0" w:color="auto"/>
        <w:left w:val="none" w:sz="0" w:space="0" w:color="auto"/>
        <w:bottom w:val="none" w:sz="0" w:space="0" w:color="auto"/>
        <w:right w:val="none" w:sz="0" w:space="0" w:color="auto"/>
      </w:divBdr>
    </w:div>
    <w:div w:id="648824028">
      <w:bodyDiv w:val="1"/>
      <w:marLeft w:val="0"/>
      <w:marRight w:val="0"/>
      <w:marTop w:val="0"/>
      <w:marBottom w:val="0"/>
      <w:divBdr>
        <w:top w:val="none" w:sz="0" w:space="0" w:color="auto"/>
        <w:left w:val="none" w:sz="0" w:space="0" w:color="auto"/>
        <w:bottom w:val="none" w:sz="0" w:space="0" w:color="auto"/>
        <w:right w:val="none" w:sz="0" w:space="0" w:color="auto"/>
      </w:divBdr>
    </w:div>
    <w:div w:id="729959228">
      <w:bodyDiv w:val="1"/>
      <w:marLeft w:val="0"/>
      <w:marRight w:val="0"/>
      <w:marTop w:val="0"/>
      <w:marBottom w:val="0"/>
      <w:divBdr>
        <w:top w:val="none" w:sz="0" w:space="0" w:color="auto"/>
        <w:left w:val="none" w:sz="0" w:space="0" w:color="auto"/>
        <w:bottom w:val="none" w:sz="0" w:space="0" w:color="auto"/>
        <w:right w:val="none" w:sz="0" w:space="0" w:color="auto"/>
      </w:divBdr>
    </w:div>
    <w:div w:id="774981564">
      <w:bodyDiv w:val="1"/>
      <w:marLeft w:val="0"/>
      <w:marRight w:val="0"/>
      <w:marTop w:val="0"/>
      <w:marBottom w:val="0"/>
      <w:divBdr>
        <w:top w:val="none" w:sz="0" w:space="0" w:color="auto"/>
        <w:left w:val="none" w:sz="0" w:space="0" w:color="auto"/>
        <w:bottom w:val="none" w:sz="0" w:space="0" w:color="auto"/>
        <w:right w:val="none" w:sz="0" w:space="0" w:color="auto"/>
      </w:divBdr>
    </w:div>
    <w:div w:id="785078471">
      <w:bodyDiv w:val="1"/>
      <w:marLeft w:val="0"/>
      <w:marRight w:val="0"/>
      <w:marTop w:val="0"/>
      <w:marBottom w:val="0"/>
      <w:divBdr>
        <w:top w:val="none" w:sz="0" w:space="0" w:color="auto"/>
        <w:left w:val="none" w:sz="0" w:space="0" w:color="auto"/>
        <w:bottom w:val="none" w:sz="0" w:space="0" w:color="auto"/>
        <w:right w:val="none" w:sz="0" w:space="0" w:color="auto"/>
      </w:divBdr>
    </w:div>
    <w:div w:id="810905460">
      <w:bodyDiv w:val="1"/>
      <w:marLeft w:val="0"/>
      <w:marRight w:val="0"/>
      <w:marTop w:val="0"/>
      <w:marBottom w:val="0"/>
      <w:divBdr>
        <w:top w:val="none" w:sz="0" w:space="0" w:color="auto"/>
        <w:left w:val="none" w:sz="0" w:space="0" w:color="auto"/>
        <w:bottom w:val="none" w:sz="0" w:space="0" w:color="auto"/>
        <w:right w:val="none" w:sz="0" w:space="0" w:color="auto"/>
      </w:divBdr>
    </w:div>
    <w:div w:id="1059088850">
      <w:bodyDiv w:val="1"/>
      <w:marLeft w:val="0"/>
      <w:marRight w:val="0"/>
      <w:marTop w:val="0"/>
      <w:marBottom w:val="0"/>
      <w:divBdr>
        <w:top w:val="none" w:sz="0" w:space="0" w:color="auto"/>
        <w:left w:val="none" w:sz="0" w:space="0" w:color="auto"/>
        <w:bottom w:val="none" w:sz="0" w:space="0" w:color="auto"/>
        <w:right w:val="none" w:sz="0" w:space="0" w:color="auto"/>
      </w:divBdr>
    </w:div>
    <w:div w:id="1094859629">
      <w:bodyDiv w:val="1"/>
      <w:marLeft w:val="0"/>
      <w:marRight w:val="0"/>
      <w:marTop w:val="0"/>
      <w:marBottom w:val="0"/>
      <w:divBdr>
        <w:top w:val="none" w:sz="0" w:space="0" w:color="auto"/>
        <w:left w:val="none" w:sz="0" w:space="0" w:color="auto"/>
        <w:bottom w:val="none" w:sz="0" w:space="0" w:color="auto"/>
        <w:right w:val="none" w:sz="0" w:space="0" w:color="auto"/>
      </w:divBdr>
    </w:div>
    <w:div w:id="1147161143">
      <w:bodyDiv w:val="1"/>
      <w:marLeft w:val="0"/>
      <w:marRight w:val="0"/>
      <w:marTop w:val="0"/>
      <w:marBottom w:val="0"/>
      <w:divBdr>
        <w:top w:val="none" w:sz="0" w:space="0" w:color="auto"/>
        <w:left w:val="none" w:sz="0" w:space="0" w:color="auto"/>
        <w:bottom w:val="none" w:sz="0" w:space="0" w:color="auto"/>
        <w:right w:val="none" w:sz="0" w:space="0" w:color="auto"/>
      </w:divBdr>
    </w:div>
    <w:div w:id="1263611644">
      <w:bodyDiv w:val="1"/>
      <w:marLeft w:val="0"/>
      <w:marRight w:val="0"/>
      <w:marTop w:val="0"/>
      <w:marBottom w:val="0"/>
      <w:divBdr>
        <w:top w:val="none" w:sz="0" w:space="0" w:color="auto"/>
        <w:left w:val="none" w:sz="0" w:space="0" w:color="auto"/>
        <w:bottom w:val="none" w:sz="0" w:space="0" w:color="auto"/>
        <w:right w:val="none" w:sz="0" w:space="0" w:color="auto"/>
      </w:divBdr>
    </w:div>
    <w:div w:id="1270507250">
      <w:bodyDiv w:val="1"/>
      <w:marLeft w:val="0"/>
      <w:marRight w:val="0"/>
      <w:marTop w:val="0"/>
      <w:marBottom w:val="0"/>
      <w:divBdr>
        <w:top w:val="none" w:sz="0" w:space="0" w:color="auto"/>
        <w:left w:val="none" w:sz="0" w:space="0" w:color="auto"/>
        <w:bottom w:val="none" w:sz="0" w:space="0" w:color="auto"/>
        <w:right w:val="none" w:sz="0" w:space="0" w:color="auto"/>
      </w:divBdr>
    </w:div>
    <w:div w:id="1279216308">
      <w:bodyDiv w:val="1"/>
      <w:marLeft w:val="0"/>
      <w:marRight w:val="0"/>
      <w:marTop w:val="0"/>
      <w:marBottom w:val="0"/>
      <w:divBdr>
        <w:top w:val="none" w:sz="0" w:space="0" w:color="auto"/>
        <w:left w:val="none" w:sz="0" w:space="0" w:color="auto"/>
        <w:bottom w:val="none" w:sz="0" w:space="0" w:color="auto"/>
        <w:right w:val="none" w:sz="0" w:space="0" w:color="auto"/>
      </w:divBdr>
    </w:div>
    <w:div w:id="1328825936">
      <w:bodyDiv w:val="1"/>
      <w:marLeft w:val="0"/>
      <w:marRight w:val="0"/>
      <w:marTop w:val="0"/>
      <w:marBottom w:val="0"/>
      <w:divBdr>
        <w:top w:val="none" w:sz="0" w:space="0" w:color="auto"/>
        <w:left w:val="none" w:sz="0" w:space="0" w:color="auto"/>
        <w:bottom w:val="none" w:sz="0" w:space="0" w:color="auto"/>
        <w:right w:val="none" w:sz="0" w:space="0" w:color="auto"/>
      </w:divBdr>
    </w:div>
    <w:div w:id="1333527151">
      <w:bodyDiv w:val="1"/>
      <w:marLeft w:val="0"/>
      <w:marRight w:val="0"/>
      <w:marTop w:val="0"/>
      <w:marBottom w:val="0"/>
      <w:divBdr>
        <w:top w:val="none" w:sz="0" w:space="0" w:color="auto"/>
        <w:left w:val="none" w:sz="0" w:space="0" w:color="auto"/>
        <w:bottom w:val="none" w:sz="0" w:space="0" w:color="auto"/>
        <w:right w:val="none" w:sz="0" w:space="0" w:color="auto"/>
      </w:divBdr>
    </w:div>
    <w:div w:id="1335918235">
      <w:bodyDiv w:val="1"/>
      <w:marLeft w:val="0"/>
      <w:marRight w:val="0"/>
      <w:marTop w:val="0"/>
      <w:marBottom w:val="0"/>
      <w:divBdr>
        <w:top w:val="none" w:sz="0" w:space="0" w:color="auto"/>
        <w:left w:val="none" w:sz="0" w:space="0" w:color="auto"/>
        <w:bottom w:val="none" w:sz="0" w:space="0" w:color="auto"/>
        <w:right w:val="none" w:sz="0" w:space="0" w:color="auto"/>
      </w:divBdr>
    </w:div>
    <w:div w:id="1349142096">
      <w:bodyDiv w:val="1"/>
      <w:marLeft w:val="0"/>
      <w:marRight w:val="0"/>
      <w:marTop w:val="0"/>
      <w:marBottom w:val="0"/>
      <w:divBdr>
        <w:top w:val="none" w:sz="0" w:space="0" w:color="auto"/>
        <w:left w:val="none" w:sz="0" w:space="0" w:color="auto"/>
        <w:bottom w:val="none" w:sz="0" w:space="0" w:color="auto"/>
        <w:right w:val="none" w:sz="0" w:space="0" w:color="auto"/>
      </w:divBdr>
    </w:div>
    <w:div w:id="1380743744">
      <w:bodyDiv w:val="1"/>
      <w:marLeft w:val="0"/>
      <w:marRight w:val="0"/>
      <w:marTop w:val="0"/>
      <w:marBottom w:val="0"/>
      <w:divBdr>
        <w:top w:val="none" w:sz="0" w:space="0" w:color="auto"/>
        <w:left w:val="none" w:sz="0" w:space="0" w:color="auto"/>
        <w:bottom w:val="none" w:sz="0" w:space="0" w:color="auto"/>
        <w:right w:val="none" w:sz="0" w:space="0" w:color="auto"/>
      </w:divBdr>
    </w:div>
    <w:div w:id="1416784288">
      <w:bodyDiv w:val="1"/>
      <w:marLeft w:val="0"/>
      <w:marRight w:val="0"/>
      <w:marTop w:val="0"/>
      <w:marBottom w:val="0"/>
      <w:divBdr>
        <w:top w:val="none" w:sz="0" w:space="0" w:color="auto"/>
        <w:left w:val="none" w:sz="0" w:space="0" w:color="auto"/>
        <w:bottom w:val="none" w:sz="0" w:space="0" w:color="auto"/>
        <w:right w:val="none" w:sz="0" w:space="0" w:color="auto"/>
      </w:divBdr>
    </w:div>
    <w:div w:id="1426609782">
      <w:bodyDiv w:val="1"/>
      <w:marLeft w:val="0"/>
      <w:marRight w:val="0"/>
      <w:marTop w:val="0"/>
      <w:marBottom w:val="0"/>
      <w:divBdr>
        <w:top w:val="none" w:sz="0" w:space="0" w:color="auto"/>
        <w:left w:val="none" w:sz="0" w:space="0" w:color="auto"/>
        <w:bottom w:val="none" w:sz="0" w:space="0" w:color="auto"/>
        <w:right w:val="none" w:sz="0" w:space="0" w:color="auto"/>
      </w:divBdr>
    </w:div>
    <w:div w:id="1444958983">
      <w:bodyDiv w:val="1"/>
      <w:marLeft w:val="0"/>
      <w:marRight w:val="0"/>
      <w:marTop w:val="0"/>
      <w:marBottom w:val="0"/>
      <w:divBdr>
        <w:top w:val="none" w:sz="0" w:space="0" w:color="auto"/>
        <w:left w:val="none" w:sz="0" w:space="0" w:color="auto"/>
        <w:bottom w:val="none" w:sz="0" w:space="0" w:color="auto"/>
        <w:right w:val="none" w:sz="0" w:space="0" w:color="auto"/>
      </w:divBdr>
    </w:div>
    <w:div w:id="1699235467">
      <w:bodyDiv w:val="1"/>
      <w:marLeft w:val="0"/>
      <w:marRight w:val="0"/>
      <w:marTop w:val="0"/>
      <w:marBottom w:val="0"/>
      <w:divBdr>
        <w:top w:val="none" w:sz="0" w:space="0" w:color="auto"/>
        <w:left w:val="none" w:sz="0" w:space="0" w:color="auto"/>
        <w:bottom w:val="none" w:sz="0" w:space="0" w:color="auto"/>
        <w:right w:val="none" w:sz="0" w:space="0" w:color="auto"/>
      </w:divBdr>
    </w:div>
    <w:div w:id="1699501158">
      <w:bodyDiv w:val="1"/>
      <w:marLeft w:val="0"/>
      <w:marRight w:val="0"/>
      <w:marTop w:val="0"/>
      <w:marBottom w:val="0"/>
      <w:divBdr>
        <w:top w:val="none" w:sz="0" w:space="0" w:color="auto"/>
        <w:left w:val="none" w:sz="0" w:space="0" w:color="auto"/>
        <w:bottom w:val="none" w:sz="0" w:space="0" w:color="auto"/>
        <w:right w:val="none" w:sz="0" w:space="0" w:color="auto"/>
      </w:divBdr>
    </w:div>
    <w:div w:id="1794790108">
      <w:bodyDiv w:val="1"/>
      <w:marLeft w:val="0"/>
      <w:marRight w:val="0"/>
      <w:marTop w:val="0"/>
      <w:marBottom w:val="0"/>
      <w:divBdr>
        <w:top w:val="none" w:sz="0" w:space="0" w:color="auto"/>
        <w:left w:val="none" w:sz="0" w:space="0" w:color="auto"/>
        <w:bottom w:val="none" w:sz="0" w:space="0" w:color="auto"/>
        <w:right w:val="none" w:sz="0" w:space="0" w:color="auto"/>
      </w:divBdr>
    </w:div>
    <w:div w:id="1846238073">
      <w:bodyDiv w:val="1"/>
      <w:marLeft w:val="0"/>
      <w:marRight w:val="0"/>
      <w:marTop w:val="0"/>
      <w:marBottom w:val="0"/>
      <w:divBdr>
        <w:top w:val="none" w:sz="0" w:space="0" w:color="auto"/>
        <w:left w:val="none" w:sz="0" w:space="0" w:color="auto"/>
        <w:bottom w:val="none" w:sz="0" w:space="0" w:color="auto"/>
        <w:right w:val="none" w:sz="0" w:space="0" w:color="auto"/>
      </w:divBdr>
    </w:div>
    <w:div w:id="1863588615">
      <w:bodyDiv w:val="1"/>
      <w:marLeft w:val="0"/>
      <w:marRight w:val="0"/>
      <w:marTop w:val="0"/>
      <w:marBottom w:val="0"/>
      <w:divBdr>
        <w:top w:val="none" w:sz="0" w:space="0" w:color="auto"/>
        <w:left w:val="none" w:sz="0" w:space="0" w:color="auto"/>
        <w:bottom w:val="none" w:sz="0" w:space="0" w:color="auto"/>
        <w:right w:val="none" w:sz="0" w:space="0" w:color="auto"/>
      </w:divBdr>
    </w:div>
    <w:div w:id="1895389696">
      <w:bodyDiv w:val="1"/>
      <w:marLeft w:val="0"/>
      <w:marRight w:val="0"/>
      <w:marTop w:val="0"/>
      <w:marBottom w:val="0"/>
      <w:divBdr>
        <w:top w:val="none" w:sz="0" w:space="0" w:color="auto"/>
        <w:left w:val="none" w:sz="0" w:space="0" w:color="auto"/>
        <w:bottom w:val="none" w:sz="0" w:space="0" w:color="auto"/>
        <w:right w:val="none" w:sz="0" w:space="0" w:color="auto"/>
      </w:divBdr>
    </w:div>
    <w:div w:id="2021737606">
      <w:bodyDiv w:val="1"/>
      <w:marLeft w:val="0"/>
      <w:marRight w:val="0"/>
      <w:marTop w:val="0"/>
      <w:marBottom w:val="0"/>
      <w:divBdr>
        <w:top w:val="none" w:sz="0" w:space="0" w:color="auto"/>
        <w:left w:val="none" w:sz="0" w:space="0" w:color="auto"/>
        <w:bottom w:val="none" w:sz="0" w:space="0" w:color="auto"/>
        <w:right w:val="none" w:sz="0" w:space="0" w:color="auto"/>
      </w:divBdr>
    </w:div>
    <w:div w:id="2061008585">
      <w:bodyDiv w:val="1"/>
      <w:marLeft w:val="0"/>
      <w:marRight w:val="0"/>
      <w:marTop w:val="0"/>
      <w:marBottom w:val="0"/>
      <w:divBdr>
        <w:top w:val="none" w:sz="0" w:space="0" w:color="auto"/>
        <w:left w:val="none" w:sz="0" w:space="0" w:color="auto"/>
        <w:bottom w:val="none" w:sz="0" w:space="0" w:color="auto"/>
        <w:right w:val="none" w:sz="0" w:space="0" w:color="auto"/>
      </w:divBdr>
    </w:div>
    <w:div w:id="212803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tulio.machado@xpasset.com.br" TargetMode="Externa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Luiz.guilherme@lyoncapital.com.br"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mailto:Nilton.bertuchi@lyoncapital.com.br" TargetMode="External" Id="rId10" /><Relationship Type="http://schemas.openxmlformats.org/officeDocument/2006/relationships/settings" Target="settings.xml" Id="rId4" /><Relationship Type="http://schemas.openxmlformats.org/officeDocument/2006/relationships/hyperlink" Target="mailto:andre.rocha@xpasset.com.br" TargetMode="External" Id="rId9" /><Relationship Type="http://schemas.openxmlformats.org/officeDocument/2006/relationships/header" Target="header2.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 G E D ! 5 9 0 4 6 8 7 . 6 < / d o c u m e n t i d >  
     < s e n d e r i d > I S A B E L L A . M I R A N D A < / s e n d e r i d >  
     < s e n d e r e m a i l > I S A B E L L A . M I R A N D A @ L D R . C O M . B R < / s e n d e r e m a i l >  
     < l a s t m o d i f i e d > 2 0 2 2 - 0 3 - 2 3 T 1 7 : 5 9 : 0 0 . 0 0 0 0 0 0 0 - 0 3 : 0 0 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04DD7-CF91-49F9-989F-C04B40E7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14033</Words>
  <Characters>80411</Characters>
  <Application>Microsoft Office Word</Application>
  <DocSecurity>0</DocSecurity>
  <PresentationFormat/>
  <Lines>1318</Lines>
  <Paragraphs>435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2022-03-18T12:39:00Z</dcterms:created>
  <dcterms:modified xsi:type="dcterms:W3CDTF">2022-03-23T20:59:00Z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5596492v22</vt:lpwstr>
  </property>
</Properties>
</file>