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4916C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8"/>
      <w:bookmarkEnd w:id="5"/>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0BA11CCF" w14:textId="6A916B3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w:t>
      </w:r>
      <w:r w:rsidR="006C775E" w:rsidRPr="00930BE5">
        <w:rPr>
          <w:rFonts w:cs="Tahoma"/>
          <w:szCs w:val="20"/>
        </w:rPr>
        <w:lastRenderedPageBreak/>
        <w:t>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5DE167B7"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investidor, sendo certo que não poderá ser inferior ao Montante Mínimo, </w:t>
      </w:r>
      <w:r w:rsidRPr="00930BE5">
        <w:rPr>
          <w:rFonts w:cs="Tahoma"/>
        </w:rPr>
        <w:lastRenderedPageBreak/>
        <w:t>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 xml:space="preserve">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w:t>
      </w:r>
      <w:r w:rsidRPr="00930BE5">
        <w:rPr>
          <w:rFonts w:cs="Tahoma"/>
          <w:szCs w:val="20"/>
        </w:rPr>
        <w:lastRenderedPageBreak/>
        <w:t>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2E8F86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A37A8" w:rsidRPr="008B1DD4">
        <w:rPr>
          <w:rFonts w:cs="Tahoma"/>
          <w:szCs w:val="20"/>
          <w:highlight w:val="yellow"/>
        </w:rPr>
        <w:t>[</w:t>
      </w:r>
      <w:r w:rsidR="00425AF2" w:rsidRPr="008B1DD4">
        <w:rPr>
          <w:rFonts w:cs="Tahoma"/>
          <w:szCs w:val="20"/>
          <w:highlight w:val="yellow"/>
        </w:rPr>
        <w:t>Nota</w:t>
      </w:r>
      <w:r w:rsidR="004A37A8" w:rsidRPr="008B1DD4">
        <w:rPr>
          <w:rFonts w:cs="Tahoma"/>
          <w:szCs w:val="20"/>
          <w:highlight w:val="yellow"/>
        </w:rPr>
        <w:t xml:space="preserve"> VR: </w:t>
      </w:r>
      <w:r w:rsidR="00425AF2" w:rsidRPr="008B1DD4">
        <w:rPr>
          <w:rFonts w:cs="Tahoma"/>
          <w:szCs w:val="20"/>
          <w:highlight w:val="yellow"/>
        </w:rPr>
        <w:t>Companhia, pedimos preencher informações faltantes</w:t>
      </w:r>
      <w:r w:rsidR="004A37A8" w:rsidRPr="008B1DD4">
        <w:rPr>
          <w:rFonts w:cs="Tahoma"/>
          <w:szCs w:val="20"/>
          <w:highlight w:val="yellow"/>
        </w:rPr>
        <w:t>]</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 xml:space="preserve">IV - Entradas de Linhas correspondentes na Subestação Feira de Santana III, e a aquisição dos equipamentos necessários às modificações, substituições e adequações nas Entradas de </w:t>
            </w:r>
            <w:r w:rsidRPr="004A37A8">
              <w:rPr>
                <w:rFonts w:ascii="Tahoma" w:hAnsi="Tahoma" w:cs="Tahoma"/>
                <w:bCs/>
                <w:szCs w:val="20"/>
              </w:rPr>
              <w:lastRenderedPageBreak/>
              <w:t>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669EFF2B"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3139A8B3"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3E488FAF"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534F1251"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5E8B5F38"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752FE11A"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6AC2E1F3"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527384" w:rsidRPr="00FC7E3F">
              <w:rPr>
                <w:rFonts w:ascii="Tahoma" w:hAnsi="Tahoma" w:cs="Tahoma"/>
                <w:bCs/>
                <w:szCs w:val="20"/>
              </w:rPr>
              <w:t>[●]</w:t>
            </w:r>
            <w:r w:rsidR="004D0CE5" w:rsidRPr="00FC7E3F">
              <w:rPr>
                <w:rFonts w:ascii="Tahoma" w:hAnsi="Tahoma" w:cs="Tahoma"/>
                <w:szCs w:val="18"/>
              </w:rPr>
              <w:t>% </w:t>
            </w:r>
            <w:r w:rsidRPr="00FC7E3F">
              <w:rPr>
                <w:rFonts w:ascii="Tahoma" w:hAnsi="Tahoma" w:cs="Tahoma"/>
                <w:szCs w:val="18"/>
              </w:rPr>
              <w:t>(</w:t>
            </w:r>
            <w:r w:rsidR="00527384" w:rsidRPr="00FC7E3F">
              <w:rPr>
                <w:rFonts w:ascii="Tahoma" w:hAnsi="Tahoma" w:cs="Tahoma"/>
                <w:bCs/>
                <w:szCs w:val="20"/>
              </w:rPr>
              <w:t>[●]</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39C2168F"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527384" w:rsidRPr="00FC7E3F">
              <w:rPr>
                <w:rFonts w:ascii="Tahoma" w:hAnsi="Tahoma" w:cs="Tahoma"/>
                <w:bCs/>
                <w:szCs w:val="20"/>
              </w:rPr>
              <w:t>[●]</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527384" w:rsidRPr="00FC7E3F">
              <w:rPr>
                <w:rFonts w:ascii="Tahoma" w:hAnsi="Tahoma" w:cs="Tahoma"/>
                <w:bCs/>
                <w:szCs w:val="20"/>
              </w:rPr>
              <w:t>[●]</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1B2EC388"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Pr="00FC7E3F">
              <w:rPr>
                <w:rFonts w:ascii="Tahoma" w:hAnsi="Tahoma" w:cs="Tahoma"/>
                <w:color w:val="000000"/>
                <w:szCs w:val="18"/>
              </w:rPr>
              <w:t xml:space="preserve"> (</w:t>
            </w:r>
            <w:r w:rsidR="00527384" w:rsidRPr="00FC7E3F">
              <w:rPr>
                <w:rFonts w:ascii="Tahoma" w:hAnsi="Tahoma" w:cs="Tahoma"/>
                <w:bCs/>
                <w:szCs w:val="20"/>
              </w:rPr>
              <w:t>[●]</w:t>
            </w:r>
            <w:r w:rsidRPr="00FC7E3F">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77777777"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3A754F02"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527384" w:rsidRPr="00FC7E3F">
              <w:rPr>
                <w:rFonts w:ascii="Tahoma" w:hAnsi="Tahoma" w:cs="Tahoma"/>
                <w:bCs/>
                <w:szCs w:val="20"/>
              </w:rPr>
              <w:t>[●]</w:t>
            </w:r>
            <w:r w:rsidR="00517E2D" w:rsidRPr="00FC7E3F">
              <w:rPr>
                <w:rFonts w:ascii="Tahoma" w:hAnsi="Tahoma" w:cs="Tahoma"/>
                <w:szCs w:val="18"/>
              </w:rPr>
              <w:t>% (</w:t>
            </w:r>
            <w:r w:rsidR="00527384" w:rsidRPr="00FC7E3F">
              <w:rPr>
                <w:rFonts w:ascii="Tahoma" w:hAnsi="Tahoma" w:cs="Tahoma"/>
                <w:bCs/>
                <w:szCs w:val="20"/>
              </w:rPr>
              <w:t>[●]</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4602855"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527384" w:rsidRPr="00FC7E3F">
              <w:rPr>
                <w:rFonts w:ascii="Tahoma" w:hAnsi="Tahoma" w:cs="Tahoma"/>
                <w:bCs/>
                <w:szCs w:val="20"/>
              </w:rPr>
              <w:t>[●]</w:t>
            </w:r>
            <w:r w:rsidRPr="00FC7E3F">
              <w:rPr>
                <w:rFonts w:ascii="Tahoma" w:hAnsi="Tahoma" w:cs="Tahoma"/>
                <w:bCs/>
                <w:szCs w:val="18"/>
              </w:rPr>
              <w:t xml:space="preserve"> (</w:t>
            </w:r>
            <w:r w:rsidR="00527384" w:rsidRPr="00FC7E3F">
              <w:rPr>
                <w:rFonts w:ascii="Tahoma" w:hAnsi="Tahoma" w:cs="Tahoma"/>
                <w:bCs/>
                <w:szCs w:val="20"/>
              </w:rPr>
              <w:t>[●]</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2" w:type="pct"/>
            <w:vAlign w:val="center"/>
          </w:tcPr>
          <w:p w14:paraId="20FCA352" w14:textId="43E5D727"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00527384" w:rsidRPr="00FC7E3F" w:rsidDel="00527384">
              <w:rPr>
                <w:rFonts w:ascii="Tahoma" w:hAnsi="Tahoma" w:cs="Tahoma"/>
                <w:color w:val="000000"/>
                <w:szCs w:val="18"/>
              </w:rPr>
              <w:t xml:space="preserve"> </w:t>
            </w:r>
            <w:r w:rsidRPr="00FC7E3F">
              <w:rPr>
                <w:rFonts w:ascii="Tahoma" w:hAnsi="Tahoma" w:cs="Tahoma"/>
                <w:color w:val="000000"/>
                <w:szCs w:val="18"/>
              </w:rPr>
              <w:t>(</w:t>
            </w:r>
            <w:r w:rsidR="00527384" w:rsidRPr="00FC7E3F">
              <w:rPr>
                <w:rFonts w:ascii="Tahoma" w:hAnsi="Tahoma" w:cs="Tahoma"/>
                <w:bCs/>
                <w:szCs w:val="20"/>
              </w:rPr>
              <w:t>[●]</w:t>
            </w:r>
            <w:r w:rsidRPr="00FC7E3F">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2FD1D15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centésimos por cento)</w:t>
      </w:r>
      <w:r w:rsidR="004217F6">
        <w:rPr>
          <w:rFonts w:cs="Tahoma"/>
        </w:rPr>
        <w:t xml:space="preserve"> do saldo </w:t>
      </w:r>
      <w:r w:rsidR="004916C1">
        <w:rPr>
          <w:rFonts w:cs="Tahoma"/>
        </w:rPr>
        <w:t xml:space="preserve">desembolsado </w:t>
      </w:r>
      <w:r w:rsidR="004217F6">
        <w:rPr>
          <w:rFonts w:cs="Tahoma"/>
        </w:rPr>
        <w:t>na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8265CD">
        <w:rPr>
          <w:rFonts w:cs="Tahoma"/>
        </w:rPr>
        <w:t>]</w:t>
      </w:r>
      <w:r w:rsidR="00072D3E" w:rsidRPr="00930BE5">
        <w:rPr>
          <w:rFonts w:cs="Tahoma"/>
        </w:rPr>
        <w:t>;</w:t>
      </w:r>
    </w:p>
    <w:p w14:paraId="6724476C" w14:textId="730A5F16"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centésimos por cento) </w:t>
      </w:r>
      <w:r w:rsidR="004217F6">
        <w:rPr>
          <w:rFonts w:cs="Tahoma"/>
        </w:rPr>
        <w:t xml:space="preserve">do saldo </w:t>
      </w:r>
      <w:r w:rsidR="004916C1">
        <w:rPr>
          <w:rFonts w:cs="Tahoma"/>
        </w:rPr>
        <w:t>desembolsado</w:t>
      </w:r>
      <w:r w:rsidR="004916C1" w:rsidRPr="004916C1">
        <w:rPr>
          <w:rFonts w:cs="Tahoma"/>
        </w:rPr>
        <w:t xml:space="preserve"> </w:t>
      </w:r>
      <w:r w:rsidR="004916C1">
        <w:rPr>
          <w:rFonts w:cs="Tahoma"/>
        </w:rPr>
        <w:t>nas 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22235EF6"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centésimos por cento)</w:t>
      </w:r>
      <w:r w:rsidR="004217F6">
        <w:rPr>
          <w:rFonts w:cs="Tahoma"/>
        </w:rPr>
        <w:t xml:space="preserve"> do saldo desembolsado </w:t>
      </w:r>
      <w:r w:rsidR="004916C1">
        <w:rPr>
          <w:rFonts w:cs="Tahoma"/>
        </w:rPr>
        <w:t>nas 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pré </w:t>
      </w:r>
      <w:r w:rsidR="005A5D2A" w:rsidRPr="00930BE5">
        <w:rPr>
          <w:rFonts w:cs="Tahoma"/>
        </w:rPr>
        <w:lastRenderedPageBreak/>
        <w:t>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44333970"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w:t>
      </w:r>
      <w:r w:rsidR="007440F4" w:rsidRPr="00930BE5">
        <w:rPr>
          <w:rFonts w:cs="Tahoma"/>
          <w:szCs w:val="20"/>
        </w:rPr>
        <w:lastRenderedPageBreak/>
        <w:t xml:space="preserve">até o </w:t>
      </w:r>
      <w:r w:rsidR="007440F4" w:rsidRPr="00930BE5">
        <w:rPr>
          <w:rFonts w:cs="Tahoma"/>
          <w:i/>
          <w:szCs w:val="20"/>
        </w:rPr>
        <w:t>Completion</w:t>
      </w:r>
      <w:r w:rsidR="007440F4" w:rsidRPr="00930BE5">
        <w:rPr>
          <w:rFonts w:cs="Tahoma"/>
          <w:szCs w:val="20"/>
        </w:rPr>
        <w:t xml:space="preserve"> Físico (conforme definido abaixo)</w:t>
      </w:r>
      <w:r w:rsidR="004916C1">
        <w:rPr>
          <w:rFonts w:cs="Tahoma"/>
          <w:szCs w:val="20"/>
        </w:rPr>
        <w:t>[</w:t>
      </w:r>
      <w:r w:rsidR="005868DF">
        <w:rPr>
          <w:rFonts w:cs="Tahoma"/>
          <w:szCs w:val="20"/>
        </w:rPr>
        <w:t xml:space="preserve"> e a apresentação ao Agente Fiduciário, pela Emissora, do termo de quitação e/ou comprovantes de pagamento aos fornecedores contratados pela Emissora</w:t>
      </w:r>
      <w:r w:rsidR="00F037CB">
        <w:rPr>
          <w:rFonts w:cs="Tahoma"/>
          <w:szCs w:val="20"/>
        </w:rPr>
        <w:t xml:space="preserve"> e/ou pelas SPEs</w:t>
      </w:r>
      <w:r w:rsidR="005868DF">
        <w:rPr>
          <w:rFonts w:cs="Tahoma"/>
          <w:szCs w:val="20"/>
        </w:rPr>
        <w:t xml:space="preserve"> no âmbito do Projeto</w:t>
      </w:r>
      <w:r w:rsidR="004916C1">
        <w:rPr>
          <w:rFonts w:cs="Tahoma"/>
          <w:szCs w:val="20"/>
        </w:rPr>
        <w:t>]</w:t>
      </w:r>
      <w:r w:rsidR="007440F4" w:rsidRPr="00930BE5">
        <w:rPr>
          <w:rFonts w:cs="Tahoma"/>
          <w:szCs w:val="20"/>
        </w:rPr>
        <w:t>.</w:t>
      </w:r>
      <w:r w:rsidR="00F037CB">
        <w:rPr>
          <w:rFonts w:cs="Tahoma"/>
          <w:szCs w:val="20"/>
        </w:rPr>
        <w:t xml:space="preserve"> </w:t>
      </w:r>
      <w:r w:rsidR="00F037CB" w:rsidRPr="008B1DD4">
        <w:rPr>
          <w:rFonts w:cs="Tahoma"/>
          <w:szCs w:val="20"/>
          <w:highlight w:val="yellow"/>
        </w:rPr>
        <w:t>[</w:t>
      </w:r>
      <w:r w:rsidR="004916C1" w:rsidRPr="008B1DD4">
        <w:rPr>
          <w:rFonts w:cs="Tahoma"/>
          <w:szCs w:val="20"/>
          <w:highlight w:val="yellow"/>
        </w:rPr>
        <w:t>Nota LDR</w:t>
      </w:r>
      <w:r w:rsidR="00F037CB" w:rsidRPr="008B1DD4">
        <w:rPr>
          <w:rFonts w:cs="Tahoma"/>
          <w:szCs w:val="20"/>
          <w:highlight w:val="yellow"/>
        </w:rPr>
        <w:t>: aguardando confirmação comercial entre LC e XP]</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 xml:space="preserve">Cabe ao Agente Fiduciário requerer a execução, judicial ou extrajudicial, da Fiança, conforme função que lhe é atribuída nesta Escritura de Emissão, uma vez verificada qualquer insuficiência de pagamento de </w:t>
      </w:r>
      <w:r w:rsidRPr="00930BE5">
        <w:rPr>
          <w:rFonts w:cs="Tahoma"/>
          <w:szCs w:val="20"/>
        </w:rPr>
        <w:lastRenderedPageBreak/>
        <w:t>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34C1D7B5"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r>
        <w:rPr>
          <w:rFonts w:cs="Tahoma"/>
          <w:i/>
          <w:iCs/>
        </w:rPr>
        <w:t xml:space="preserve">Completion </w:t>
      </w:r>
      <w:r>
        <w:rPr>
          <w:rFonts w:cs="Tahoma"/>
        </w:rPr>
        <w:t>Físico</w:t>
      </w:r>
      <w:r w:rsidR="004F757C" w:rsidRPr="00930BE5">
        <w:rPr>
          <w:rFonts w:cs="Tahoma"/>
          <w:szCs w:val="20"/>
        </w:rPr>
        <w:t>)</w:t>
      </w:r>
      <w:r w:rsidR="004F757C">
        <w:rPr>
          <w:rFonts w:cs="Tahoma"/>
          <w:szCs w:val="20"/>
        </w:rPr>
        <w:t xml:space="preserve"> </w:t>
      </w:r>
      <w:r w:rsidR="004916C1">
        <w:rPr>
          <w:rFonts w:cs="Tahoma"/>
        </w:rPr>
        <w:t>(conforme definido abaixo)</w:t>
      </w:r>
      <w:r w:rsidR="004916C1">
        <w:rPr>
          <w:rFonts w:cs="Tahoma"/>
          <w:szCs w:val="20"/>
        </w:rPr>
        <w:t xml:space="preserve"> [</w:t>
      </w:r>
      <w:r w:rsidR="004F757C">
        <w:rPr>
          <w:rFonts w:cs="Tahoma"/>
          <w:szCs w:val="20"/>
        </w:rPr>
        <w:t>e a apresentação ao Agente Fiduciário, pela Emissora, do termo de quitação e/ou comprovantes de pagamento aos fornecedores contratados pela Emissora</w:t>
      </w:r>
      <w:r w:rsidR="00F037CB">
        <w:rPr>
          <w:rFonts w:cs="Tahoma"/>
          <w:szCs w:val="20"/>
        </w:rPr>
        <w:t xml:space="preserve"> e/ou pelas SPEs</w:t>
      </w:r>
      <w:r w:rsidR="004F757C">
        <w:rPr>
          <w:rFonts w:cs="Tahoma"/>
          <w:szCs w:val="20"/>
        </w:rPr>
        <w:t xml:space="preserve"> no âmbito do Projeto</w:t>
      </w:r>
      <w:r w:rsidR="004916C1">
        <w:rPr>
          <w:rFonts w:cs="Tahoma"/>
        </w:rPr>
        <w:t>]</w:t>
      </w:r>
      <w:r>
        <w:rPr>
          <w:rFonts w:cs="Tahoma"/>
        </w:rPr>
        <w:t>.</w:t>
      </w:r>
      <w:r w:rsidR="004916C1">
        <w:rPr>
          <w:rFonts w:cs="Tahoma"/>
        </w:rPr>
        <w:t xml:space="preserve"> </w:t>
      </w:r>
      <w:r w:rsidR="004916C1" w:rsidRPr="00542CC0">
        <w:rPr>
          <w:rFonts w:cs="Tahoma"/>
          <w:szCs w:val="20"/>
          <w:highlight w:val="yellow"/>
        </w:rPr>
        <w:t>[Nota LDR: aguardando confirmação comercial entre LC e XP]</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w:t>
      </w:r>
      <w:r w:rsidR="00703DFB" w:rsidRPr="00EF52BF">
        <w:rPr>
          <w:rFonts w:cs="Tahoma"/>
        </w:rPr>
        <w:lastRenderedPageBreak/>
        <w:t>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xml:space="preserve">,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rPr>
        <w:lastRenderedPageBreak/>
        <w:t>(“</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50F59E8B"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w:t>
      </w:r>
      <w:r w:rsidR="00E76BBD" w:rsidRPr="00930BE5">
        <w:rPr>
          <w:rFonts w:cs="Tahoma"/>
        </w:rPr>
        <w:lastRenderedPageBreak/>
        <w:t xml:space="preserve">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xml:space="preserve">”);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w:t>
      </w:r>
      <w:r w:rsidRPr="00930BE5">
        <w:rPr>
          <w:rFonts w:cs="Tahoma"/>
        </w:rPr>
        <w:lastRenderedPageBreak/>
        <w:t>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xml:space="preserve">”),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w:t>
      </w:r>
      <w:r w:rsidRPr="00930BE5">
        <w:rPr>
          <w:rFonts w:cs="Tahoma"/>
        </w:rPr>
        <w:lastRenderedPageBreak/>
        <w:t>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xml:space="preserve">” e, em conjunto com os </w:t>
      </w:r>
      <w:r w:rsidRPr="00930BE5">
        <w:rPr>
          <w:rFonts w:cs="Tahoma"/>
        </w:rPr>
        <w:lastRenderedPageBreak/>
        <w:t>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 xml:space="preserve">(g) tributos e outros valores exigidos </w:t>
      </w:r>
      <w:r w:rsidRPr="00930BE5">
        <w:rPr>
          <w:rFonts w:cs="Tahoma"/>
        </w:rPr>
        <w:lastRenderedPageBreak/>
        <w:t>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3F1CDE5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Pr="00930BE5">
        <w:rPr>
          <w:rFonts w:cs="Tahoma"/>
        </w:rPr>
        <w:t>.</w:t>
      </w:r>
    </w:p>
    <w:p w14:paraId="07207186" w14:textId="780D760F"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1 (um) Dia Útil tais documentos para os Debenturistas, os quais deverão analisar e </w:t>
      </w:r>
      <w:r w:rsidR="00D57ABE">
        <w:t xml:space="preserve">deliberar </w:t>
      </w:r>
      <w:r>
        <w:t xml:space="preserve">em até 5 (cinco) Dias Úteis do recebimento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a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0B12E902" w:rsidR="00821106" w:rsidRDefault="00821106" w:rsidP="001B0B0A">
      <w:pPr>
        <w:pStyle w:val="Level4"/>
      </w:pPr>
      <w:r>
        <w:lastRenderedPageBreak/>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o </w:t>
      </w:r>
      <w:r w:rsidR="00A83B57">
        <w:rPr>
          <w:i/>
          <w:iCs/>
        </w:rPr>
        <w:t xml:space="preserve">Completion </w:t>
      </w:r>
      <w:r w:rsidR="00A83B57">
        <w:t>Físico</w:t>
      </w:r>
      <w:r w:rsidR="00F24EBC">
        <w:t xml:space="preserve"> </w:t>
      </w:r>
      <w:r w:rsidR="00F24EBC">
        <w:rPr>
          <w:rFonts w:cs="Tahoma"/>
          <w:szCs w:val="20"/>
        </w:rPr>
        <w:t xml:space="preserve"> </w:t>
      </w:r>
      <w:r w:rsidR="00380523">
        <w:rPr>
          <w:rFonts w:cs="Tahoma"/>
          <w:szCs w:val="20"/>
        </w:rPr>
        <w:t xml:space="preserve"> </w:t>
      </w:r>
      <w:r w:rsidR="00A83B57">
        <w:t>de cada Projeto</w:t>
      </w:r>
      <w:r w:rsidR="00E81755">
        <w:t xml:space="preserve"> [</w:t>
      </w:r>
      <w:r w:rsidR="00E81755">
        <w:rPr>
          <w:rFonts w:cs="Tahoma"/>
          <w:szCs w:val="20"/>
        </w:rPr>
        <w:t>e a apresentação ao Agente Fiduciário, pela Emissora, do termo de quitação e/ou comprovantes de pagamento aos fornecedores contratados pela Emissora e/ou pelas SPEs no âmbito de cada Projeto]</w:t>
      </w:r>
      <w:r w:rsidR="00A83B57">
        <w:t>, sendo os Projetos considerados independente</w:t>
      </w:r>
      <w:r w:rsidR="007F4CA4">
        <w:t>s</w:t>
      </w:r>
      <w:r>
        <w:t xml:space="preserve">. Assim, </w:t>
      </w:r>
      <w:r w:rsidR="00A83B57">
        <w:t xml:space="preserve">para efeitos de clareza, </w:t>
      </w:r>
      <w:r>
        <w:t xml:space="preserve">após o </w:t>
      </w:r>
      <w:r w:rsidRPr="007379F1">
        <w:rPr>
          <w:i/>
          <w:iCs/>
        </w:rPr>
        <w:t>Completion</w:t>
      </w:r>
      <w:r>
        <w:t xml:space="preserve"> Físico</w:t>
      </w:r>
      <w:r w:rsidR="00A83B57">
        <w:t xml:space="preserve"> d</w:t>
      </w:r>
      <w:r w:rsidR="00691879">
        <w:t>o Projeto FS</w:t>
      </w:r>
      <w:r w:rsidR="00F24EBC">
        <w:t xml:space="preserve"> </w:t>
      </w:r>
      <w:r w:rsidR="00E81755">
        <w:t>[</w:t>
      </w:r>
      <w:r w:rsidR="00F24EBC">
        <w:rPr>
          <w:rFonts w:cs="Tahoma"/>
          <w:szCs w:val="20"/>
        </w:rPr>
        <w:t xml:space="preserve">e a apresentação ao Agente Fiduciário, pela Emissora, do termo de quitação e/ou comprovantes de pagamento aos fornecedores contratados pela Emissora </w:t>
      </w:r>
      <w:r w:rsidR="00F037CB">
        <w:rPr>
          <w:rFonts w:cs="Tahoma"/>
          <w:szCs w:val="20"/>
        </w:rPr>
        <w:t xml:space="preserve">e/ou pelas </w:t>
      </w:r>
      <w:r w:rsidR="00E81755">
        <w:rPr>
          <w:rFonts w:cs="Tahoma"/>
          <w:szCs w:val="20"/>
        </w:rPr>
        <w:t>FS</w:t>
      </w:r>
      <w:r w:rsidR="00F037CB">
        <w:rPr>
          <w:rFonts w:cs="Tahoma"/>
          <w:szCs w:val="20"/>
        </w:rPr>
        <w:t xml:space="preserve"> </w:t>
      </w:r>
      <w:r w:rsidR="00F24EBC">
        <w:rPr>
          <w:rFonts w:cs="Tahoma"/>
          <w:szCs w:val="20"/>
        </w:rPr>
        <w:t>no âmbito do Projeto FS</w:t>
      </w:r>
      <w:r w:rsidR="00E81755">
        <w:rPr>
          <w:rFonts w:cs="Tahoma"/>
          <w:szCs w:val="20"/>
        </w:rPr>
        <w:t>]</w:t>
      </w:r>
      <w:r w:rsidR="00691879">
        <w:t xml:space="preserve">, encerra-se </w:t>
      </w:r>
      <w:r>
        <w:t xml:space="preserve">a obrigação de Aporte Adicional </w:t>
      </w:r>
      <w:r w:rsidR="00A83B57">
        <w:t>de Recursos em relação a tal</w:t>
      </w:r>
      <w:r>
        <w:t xml:space="preserve"> Projeto</w:t>
      </w:r>
      <w:r w:rsidR="00691879">
        <w:t xml:space="preserve">, após o </w:t>
      </w:r>
      <w:r w:rsidR="00691879" w:rsidRPr="00080326">
        <w:rPr>
          <w:i/>
          <w:iCs/>
        </w:rPr>
        <w:t>Completion</w:t>
      </w:r>
      <w:r w:rsidR="00691879">
        <w:t xml:space="preserve"> Físico do Projeto Colinas</w:t>
      </w:r>
      <w:r w:rsidR="00F24EBC">
        <w:t xml:space="preserve"> </w:t>
      </w:r>
      <w:r w:rsidR="00E81755">
        <w:t>[</w:t>
      </w:r>
      <w:r w:rsidR="00F24EBC">
        <w:rPr>
          <w:rFonts w:cs="Tahoma"/>
          <w:szCs w:val="20"/>
        </w:rPr>
        <w:t xml:space="preserve">e a apresentação ao Agente Fiduciário, pela Emissora, do termo de quitação e/ou comprovantes de pagamento aos fornecedores contratados pela Emissora </w:t>
      </w:r>
      <w:r w:rsidR="00F037CB">
        <w:rPr>
          <w:rFonts w:cs="Tahoma"/>
          <w:szCs w:val="20"/>
        </w:rPr>
        <w:t>e/ou pela</w:t>
      </w:r>
      <w:r w:rsidR="00E81755">
        <w:rPr>
          <w:rFonts w:cs="Tahoma"/>
          <w:szCs w:val="20"/>
        </w:rPr>
        <w:t xml:space="preserve"> Colinas</w:t>
      </w:r>
      <w:r w:rsidR="00F037CB">
        <w:rPr>
          <w:rFonts w:cs="Tahoma"/>
          <w:szCs w:val="20"/>
        </w:rPr>
        <w:t xml:space="preserve"> </w:t>
      </w:r>
      <w:r w:rsidR="00F24EBC">
        <w:rPr>
          <w:rFonts w:cs="Tahoma"/>
          <w:szCs w:val="20"/>
        </w:rPr>
        <w:t>no âmbito do Projeto Colinas</w:t>
      </w:r>
      <w:r w:rsidR="00E81755">
        <w:rPr>
          <w:rFonts w:cs="Tahoma"/>
          <w:szCs w:val="20"/>
        </w:rPr>
        <w:t>]</w:t>
      </w:r>
      <w:r w:rsidR="00691879">
        <w:t xml:space="preserve">, encerra-se a obrigação de Aporte Adicional de Recursos em relação a tal Projeto e após o </w:t>
      </w:r>
      <w:r w:rsidR="00691879" w:rsidRPr="00080326">
        <w:rPr>
          <w:i/>
          <w:iCs/>
        </w:rPr>
        <w:t>Completion</w:t>
      </w:r>
      <w:r w:rsidR="00691879">
        <w:t xml:space="preserve"> Físico do Projeto Simões</w:t>
      </w:r>
      <w:r w:rsidR="00380523">
        <w:t xml:space="preserve"> </w:t>
      </w:r>
      <w:r w:rsidR="00E81755">
        <w:t>[</w:t>
      </w:r>
      <w:r w:rsidR="00F24EBC">
        <w:rPr>
          <w:rFonts w:cs="Tahoma"/>
          <w:szCs w:val="20"/>
        </w:rPr>
        <w:t xml:space="preserve">e a apresentação ao Agente Fiduciário, pela Emissora, do termo de quitação e/ou comprovantes de pagamento aos fornecedores contratados pela Emissora </w:t>
      </w:r>
      <w:r w:rsidR="00F037CB">
        <w:rPr>
          <w:rFonts w:cs="Tahoma"/>
          <w:szCs w:val="20"/>
        </w:rPr>
        <w:t xml:space="preserve">e/ou pela </w:t>
      </w:r>
      <w:r w:rsidR="00E81755">
        <w:rPr>
          <w:rFonts w:cs="Tahoma"/>
          <w:szCs w:val="20"/>
        </w:rPr>
        <w:t>Simões</w:t>
      </w:r>
      <w:r w:rsidR="00F037CB">
        <w:rPr>
          <w:rFonts w:cs="Tahoma"/>
          <w:szCs w:val="20"/>
        </w:rPr>
        <w:t xml:space="preserve"> </w:t>
      </w:r>
      <w:r w:rsidR="00F24EBC">
        <w:rPr>
          <w:rFonts w:cs="Tahoma"/>
          <w:szCs w:val="20"/>
        </w:rPr>
        <w:t>no âmbito do Projeto Simões</w:t>
      </w:r>
      <w:r w:rsidR="00E81755">
        <w:rPr>
          <w:rFonts w:cs="Tahoma"/>
          <w:szCs w:val="20"/>
        </w:rPr>
        <w:t>]</w:t>
      </w:r>
      <w:r w:rsidR="00691879">
        <w:t>, encerra-se a obrigação de Aporte Adicional de Recursos em relação a tal Projeto</w:t>
      </w:r>
      <w:r>
        <w:t>.</w:t>
      </w:r>
      <w:r w:rsidR="00E81755">
        <w:t xml:space="preserve"> </w:t>
      </w:r>
      <w:r w:rsidR="00E81755" w:rsidRPr="00542CC0">
        <w:rPr>
          <w:rFonts w:cs="Tahoma"/>
          <w:szCs w:val="20"/>
          <w:highlight w:val="yellow"/>
        </w:rPr>
        <w:t>[Nota LDR: aguardando confirmação comercial entre LC e XP</w:t>
      </w:r>
      <w:r w:rsidR="00E81755">
        <w:rPr>
          <w:rFonts w:cs="Tahoma"/>
          <w:szCs w:val="20"/>
          <w:highlight w:val="yellow"/>
        </w:rPr>
        <w:t xml:space="preserve"> sobre os termos de quitação</w:t>
      </w:r>
      <w:r w:rsidR="00E81755" w:rsidRPr="00542CC0">
        <w:rPr>
          <w:rFonts w:cs="Tahoma"/>
          <w:szCs w:val="20"/>
          <w:highlight w:val="yellow"/>
        </w:rP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ECADADE" w14:textId="22B72423" w:rsidR="00B76AB2" w:rsidRPr="00930BE5" w:rsidRDefault="00F60BCA" w:rsidP="008B1DD4">
      <w:pPr>
        <w:pStyle w:val="Level3"/>
        <w:numPr>
          <w:ilvl w:val="0"/>
          <w:numId w:val="0"/>
        </w:numPr>
        <w:ind w:left="1247"/>
        <w:rPr>
          <w:rFonts w:cs="Tahoma"/>
          <w:szCs w:val="20"/>
        </w:rPr>
      </w:pPr>
      <w:r w:rsidRPr="008B1DD4">
        <w:rPr>
          <w:rFonts w:cs="Tahoma"/>
          <w:szCs w:val="20"/>
          <w:highlight w:val="yellow"/>
        </w:rPr>
        <w:t>[Nota LDR: conforme entendimentos entre XP e LC, a celebração dos contratos de garantia de Colinas vai ser CP para integralização da 3ª série, não sendo mais vinculado ao desembolso do BASA. Se não houver integralização até 30/06, cancela a 3ª série</w:t>
      </w:r>
      <w:r>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4E43FC0C" w:rsidR="00B54591" w:rsidRPr="00930BE5" w:rsidRDefault="00D90227">
      <w:pPr>
        <w:pStyle w:val="Level3"/>
        <w:rPr>
          <w:rFonts w:eastAsia="ヒラギノ角ゴ Pro W3" w:cs="Tahoma"/>
          <w:szCs w:val="20"/>
        </w:rPr>
      </w:pPr>
      <w:r w:rsidRPr="00930BE5">
        <w:rPr>
          <w:rFonts w:eastAsia="ヒラギノ角ゴ Pro W3" w:cs="Tahoma"/>
          <w:szCs w:val="20"/>
        </w:rPr>
        <w:lastRenderedPageBreak/>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B54591" w:rsidRPr="00930BE5">
        <w:rPr>
          <w:rFonts w:eastAsia="ヒラギノ角ゴ Pro W3" w:cs="Tahoma"/>
          <w:szCs w:val="20"/>
        </w:rPr>
        <w:t xml:space="preserve">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9535D9">
        <w:rPr>
          <w:rFonts w:eastAsia="ヒラギノ角ゴ Pro W3" w:cs="Tahoma"/>
          <w:szCs w:val="20"/>
        </w:rPr>
        <w:t xml:space="preserve"> </w:t>
      </w:r>
      <w:r w:rsidR="009535D9" w:rsidRPr="009535D9">
        <w:rPr>
          <w:rFonts w:eastAsia="ヒラギノ角ゴ Pro W3" w:cs="Tahoma"/>
          <w:szCs w:val="20"/>
        </w:rPr>
        <w:t>de cada um dos respectivos Projetos</w:t>
      </w:r>
      <w:r w:rsidR="00380523">
        <w:rPr>
          <w:rFonts w:eastAsia="ヒラギノ角ゴ Pro W3" w:cs="Tahoma"/>
          <w:szCs w:val="20"/>
        </w:rPr>
        <w:t xml:space="preserve"> </w:t>
      </w:r>
      <w:r w:rsidR="00E81755">
        <w:rPr>
          <w:rFonts w:eastAsia="ヒラギノ角ゴ Pro W3" w:cs="Tahoma"/>
          <w:szCs w:val="20"/>
        </w:rPr>
        <w:t>[</w:t>
      </w:r>
      <w:r w:rsidR="00BC07DD">
        <w:rPr>
          <w:rFonts w:cs="Tahoma"/>
          <w:szCs w:val="20"/>
        </w:rPr>
        <w:t xml:space="preserve">e </w:t>
      </w:r>
      <w:r w:rsidR="00F60BCA">
        <w:rPr>
          <w:rFonts w:cs="Tahoma"/>
          <w:szCs w:val="20"/>
        </w:rPr>
        <w:t xml:space="preserve">até </w:t>
      </w:r>
      <w:r w:rsidR="00BC07DD">
        <w:rPr>
          <w:rFonts w:cs="Tahoma"/>
          <w:szCs w:val="20"/>
        </w:rPr>
        <w:t xml:space="preserve">a apresentação ao Agente Fiduciário, pela Emissora, do termo de quitação e/ou comprovantes de pagamento aos fornecedores contratados pela Emissora </w:t>
      </w:r>
      <w:r w:rsidR="00F60BCA">
        <w:rPr>
          <w:rFonts w:cs="Tahoma"/>
          <w:szCs w:val="20"/>
        </w:rPr>
        <w:t xml:space="preserve">e/ou pelas SPEs </w:t>
      </w:r>
      <w:r w:rsidR="00BC07DD">
        <w:rPr>
          <w:rFonts w:cs="Tahoma"/>
          <w:szCs w:val="20"/>
        </w:rPr>
        <w:t>no âmbito dos respectivos Projetos</w:t>
      </w:r>
      <w:r w:rsidR="00E81755">
        <w:rPr>
          <w:rFonts w:cs="Tahoma"/>
          <w:szCs w:val="20"/>
        </w:rPr>
        <w:t>]</w:t>
      </w:r>
      <w:r w:rsidR="00B54591" w:rsidRPr="00930BE5">
        <w:rPr>
          <w:rFonts w:eastAsia="ヒラギノ角ゴ Pro W3" w:cs="Tahoma"/>
          <w:szCs w:val="20"/>
        </w:rPr>
        <w:t>, nos termos da presente Escritura.</w:t>
      </w:r>
      <w:r w:rsidR="00E81755">
        <w:rPr>
          <w:rFonts w:eastAsia="ヒラギノ角ゴ Pro W3" w:cs="Tahoma"/>
          <w:szCs w:val="20"/>
        </w:rPr>
        <w:t xml:space="preserve"> </w:t>
      </w:r>
      <w:r w:rsidR="00E81755" w:rsidRPr="00542CC0">
        <w:rPr>
          <w:rFonts w:cs="Tahoma"/>
          <w:szCs w:val="20"/>
          <w:highlight w:val="yellow"/>
        </w:rPr>
        <w:t>[Nota LDR: aguardando confirmação comercial entre LC e XP</w:t>
      </w:r>
      <w:r w:rsidR="00E81755">
        <w:rPr>
          <w:rFonts w:cs="Tahoma"/>
          <w:szCs w:val="20"/>
          <w:highlight w:val="yellow"/>
        </w:rPr>
        <w:t xml:space="preserve"> sobre os termos de quitação</w:t>
      </w:r>
      <w:r w:rsidR="00E81755" w:rsidRPr="00542CC0">
        <w:rPr>
          <w:rFonts w:cs="Tahoma"/>
          <w:szCs w:val="20"/>
          <w:highlight w:val="yellow"/>
        </w:rPr>
        <w:t>]</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 xml:space="preserve">(i.b) </w:t>
      </w:r>
      <w:r w:rsidR="009535D9" w:rsidRPr="009535D9">
        <w:rPr>
          <w:rFonts w:cs="Tahoma"/>
        </w:rPr>
        <w:t xml:space="preserve">o Completion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 xml:space="preserve">(i.c) </w:t>
      </w:r>
      <w:r w:rsidR="009535D9" w:rsidRPr="009535D9">
        <w:rPr>
          <w:rFonts w:cs="Tahoma"/>
        </w:rPr>
        <w:t>o Completion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52" w:name="_Toc37312011"/>
      <w:bookmarkStart w:id="53" w:name="_Toc78388727"/>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4305F270"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626EBB" w:rsidRPr="00930BE5">
        <w:rPr>
          <w:rFonts w:cs="Tahoma"/>
          <w:bCs/>
          <w:szCs w:val="20"/>
        </w:rPr>
        <w:t>15</w:t>
      </w:r>
      <w:r w:rsidR="0046578E" w:rsidRPr="00930BE5">
        <w:rPr>
          <w:rFonts w:cs="Tahoma"/>
          <w:szCs w:val="20"/>
        </w:rPr>
        <w:t xml:space="preserve"> </w:t>
      </w:r>
      <w:r w:rsidRPr="00930BE5">
        <w:rPr>
          <w:rFonts w:cs="Tahoma"/>
          <w:szCs w:val="20"/>
        </w:rPr>
        <w:t xml:space="preserve">de </w:t>
      </w:r>
      <w:r w:rsidR="00F60BCA">
        <w:rPr>
          <w:rFonts w:cs="Tahoma"/>
          <w:bCs/>
          <w:szCs w:val="20"/>
        </w:rPr>
        <w:t>agosto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lastRenderedPageBreak/>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85CE706"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)anos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lastRenderedPageBreak/>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5D3642A2"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 xml:space="preserve">não sejam cumpridas até 30 de junho de 2022, as Debêntures da 3ª Série serão canceladas. </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xml:space="preserve">. </w:t>
      </w:r>
      <w:r w:rsidR="00C42BCA">
        <w:rPr>
          <w:rFonts w:cs="Tahoma"/>
        </w:rPr>
        <w:t>[</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r w:rsidR="00A4229B">
        <w:rPr>
          <w:rFonts w:cs="Tahoma"/>
        </w:rPr>
        <w:t xml:space="preserve"> </w:t>
      </w:r>
    </w:p>
    <w:p w14:paraId="7FA98C41" w14:textId="4BD2DF1F" w:rsidR="00BC7083" w:rsidRPr="00930BE5" w:rsidRDefault="00BC7083">
      <w:pPr>
        <w:pStyle w:val="Level3"/>
        <w:rPr>
          <w:rFonts w:cs="Tahoma"/>
          <w:b/>
          <w:i/>
          <w:szCs w:val="20"/>
        </w:rPr>
      </w:pPr>
      <w:r w:rsidRPr="00930BE5">
        <w:rPr>
          <w:rFonts w:cs="Tahoma"/>
          <w:szCs w:val="20"/>
        </w:rPr>
        <w:lastRenderedPageBreak/>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 </w:t>
      </w:r>
      <w:r w:rsidR="00A4229B">
        <w:rPr>
          <w:rFonts w:cs="Tahoma"/>
          <w:szCs w:val="20"/>
        </w:rPr>
        <w:t xml:space="preserve"> </w:t>
      </w:r>
      <w:r w:rsidR="00A4229B" w:rsidRPr="008B1DD4">
        <w:rPr>
          <w:rFonts w:cs="Tahoma"/>
          <w:szCs w:val="20"/>
          <w:highlight w:val="yellow"/>
        </w:rPr>
        <w:t>[Nota LDR: a ser avaliada a inclusão no Contrato de Distribuição apenas de que o ágio/deságio será aplicável apenas para a 2ª tranche da 1ª e 2ª série]</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lastRenderedPageBreak/>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 xml:space="preserve">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w:t>
      </w:r>
      <w:r w:rsidRPr="00CD3FA2">
        <w:rPr>
          <w:rFonts w:cs="Tahoma"/>
          <w:szCs w:val="20"/>
        </w:rPr>
        <w:lastRenderedPageBreak/>
        <w:t>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w:t>
      </w:r>
      <w:r w:rsidR="00B7471A" w:rsidRPr="00CD3FA2">
        <w:rPr>
          <w:rFonts w:cs="Tahoma"/>
          <w:szCs w:val="20"/>
        </w:rPr>
        <w:lastRenderedPageBreak/>
        <w:t>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54FCBB34" w:rsidR="00CD55E2" w:rsidRPr="00930BE5" w:rsidRDefault="00E4688A" w:rsidP="00A92BDD">
      <w:pPr>
        <w:pStyle w:val="Level3"/>
      </w:pPr>
      <w:bookmarkStart w:id="61" w:name="_Toc37312018"/>
      <w:bookmarkStart w:id="62" w:name="_Hlk27307195"/>
      <w:bookmarkStart w:id="63" w:name="_Ref147895178"/>
      <w:bookmarkStart w:id="64" w:name="_Ref130611438"/>
      <w:bookmarkStart w:id="65" w:name="_Ref168463955"/>
      <w:bookmarkStart w:id="66"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61"/>
      <w:bookmarkEnd w:id="62"/>
      <w:r w:rsidR="005F3741">
        <w:t xml:space="preserve"> </w:t>
      </w:r>
      <w:r w:rsidR="00B76AB2" w:rsidRPr="008B1DD4">
        <w:rPr>
          <w:highlight w:val="yellow"/>
        </w:rPr>
        <w:t>[Nota LDR: taxas a serem incluídas]</w:t>
      </w:r>
    </w:p>
    <w:p w14:paraId="4ABAC303" w14:textId="36190FA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w:t>
      </w:r>
      <w:r w:rsidRPr="00930BE5">
        <w:rPr>
          <w:rFonts w:cs="Tahoma"/>
          <w:szCs w:val="20"/>
        </w:rPr>
        <w:lastRenderedPageBreak/>
        <w:t xml:space="preserve">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259D2778"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w:t>
      </w:r>
      <w:r w:rsidR="0033705A">
        <w:rPr>
          <w:rFonts w:cs="Tahoma"/>
          <w:szCs w:val="20"/>
        </w:rPr>
        <w:t xml:space="preserve"> data de assinatura do Aditamento desta Escritura de Emissão para inclusão da Remuneração da 3ª Série</w:t>
      </w:r>
      <w:r w:rsidR="00977EEC" w:rsidRPr="00930BE5">
        <w:rPr>
          <w:rFonts w:cs="Tahoma"/>
          <w:szCs w:val="20"/>
        </w:rPr>
        <w:t xml:space="preserve"> (“</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w:t>
      </w:r>
      <w:r w:rsidRPr="00930BE5">
        <w:rPr>
          <w:rFonts w:cs="Tahoma"/>
          <w:szCs w:val="20"/>
        </w:rPr>
        <w:lastRenderedPageBreak/>
        <w:t>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4916C1" w:rsidP="007A4AE7">
      <w:pPr>
        <w:pStyle w:val="Body3"/>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01955CFD"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 xml:space="preserve">(conforme definido abaixo),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r w:rsidRPr="00930BE5">
        <w:rPr>
          <w:rFonts w:cs="Tahoma"/>
          <w:szCs w:val="20"/>
        </w:rPr>
        <w:lastRenderedPageBreak/>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w:t>
      </w:r>
      <w:r w:rsidRPr="00CD3FA2">
        <w:rPr>
          <w:rFonts w:cs="Tahoma"/>
          <w:szCs w:val="20"/>
        </w:rPr>
        <w:lastRenderedPageBreak/>
        <w:t>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lastRenderedPageBreak/>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2CCBEB4"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r w:rsidR="00B76AB2" w:rsidRPr="00542CC0">
        <w:rPr>
          <w:highlight w:val="yellow"/>
        </w:rPr>
        <w:t xml:space="preserve">[Nota LDR: </w:t>
      </w:r>
      <w:r w:rsidR="00B76AB2">
        <w:rPr>
          <w:highlight w:val="yellow"/>
        </w:rPr>
        <w:t>LC, favor indicar</w:t>
      </w:r>
      <w:r w:rsidR="00B76AB2" w:rsidRPr="00542CC0">
        <w:rPr>
          <w:highlight w:val="yellow"/>
        </w:rPr>
        <w:t>]</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lastRenderedPageBreak/>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indicado no inciso I do artigo 1º da Resolução CMN 4.751, a Emissora obriga-</w:t>
      </w:r>
      <w:r w:rsidR="00887B79" w:rsidRPr="00CD3FA2">
        <w:rPr>
          <w:rFonts w:cs="Tahoma"/>
          <w:szCs w:val="20"/>
        </w:rPr>
        <w:lastRenderedPageBreak/>
        <w:t xml:space="preserve">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78388728"/>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24A40713" w:rsidR="00C42B9D" w:rsidRDefault="00807650">
      <w:pPr>
        <w:pStyle w:val="Level3"/>
        <w:rPr>
          <w:rFonts w:cs="Tahoma"/>
          <w:szCs w:val="20"/>
        </w:rPr>
      </w:pPr>
      <w:r w:rsidRPr="00365F1B">
        <w:t>Por ocasião do Resgate Antecipado Facultativo, 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w:t>
      </w:r>
      <w:r w:rsidRPr="00365F1B">
        <w:rPr>
          <w:lang w:eastAsia="ar-SA"/>
        </w:rPr>
        <w:lastRenderedPageBreak/>
        <w:t>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Emissão 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Duration x</w:t>
      </w:r>
      <w:r w:rsidRPr="006D5E76">
        <w:t xml:space="preserve"> SD</w:t>
      </w:r>
      <w:r>
        <w:t>; SDp – SD)</w:t>
      </w:r>
    </w:p>
    <w:p w14:paraId="1059E496" w14:textId="77777777" w:rsidR="00807650" w:rsidRPr="006D5E76" w:rsidRDefault="00807650" w:rsidP="008B1DD4">
      <w:pPr>
        <w:pStyle w:val="Body3"/>
      </w:pPr>
      <w:r w:rsidRPr="006D5E76">
        <w:t>sendo:</w:t>
      </w:r>
    </w:p>
    <w:p w14:paraId="02B9F44D" w14:textId="0ACC4ACC"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pro rata temporis</w:t>
      </w:r>
      <w:r w:rsidRPr="00365F1B">
        <w:t xml:space="preserve"> desde a Data de Emissão 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r>
        <w:rPr>
          <w:lang w:eastAsia="ar-SA"/>
        </w:rPr>
        <w:t>SDp = fluxo de pagamentos remanescente das Debêntures trazidos a valor presente pela Taxa de Pré-Pagamento na data do Resgate Antecipado Facultativo.</w:t>
      </w:r>
    </w:p>
    <w:p w14:paraId="160EDCA8" w14:textId="071D0D11" w:rsidR="00807650" w:rsidRPr="00CD3FA2" w:rsidRDefault="00807650" w:rsidP="008B1DD4">
      <w:pPr>
        <w:pStyle w:val="Body3"/>
        <w:rPr>
          <w:rFonts w:cs="Tahoma"/>
          <w:szCs w:val="20"/>
        </w:rPr>
      </w:pPr>
      <w:r>
        <w:rPr>
          <w:lang w:eastAsia="ar-SA"/>
        </w:rPr>
        <w:t xml:space="preserve">Taxa de Pré-Pagamento = </w:t>
      </w:r>
      <w:r w:rsidRPr="009101F1">
        <w:rPr>
          <w:lang w:eastAsia="ar-SA"/>
        </w:rPr>
        <w:t>soma da taxa do título público federal remunerado pelo mesmo índice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sobre o título público federal remunerado pelo mesmo índice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lastRenderedPageBreak/>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78388729"/>
      <w:bookmarkEnd w:id="83"/>
      <w:bookmarkEnd w:id="84"/>
      <w:r w:rsidRPr="00CD3FA2">
        <w:rPr>
          <w:rFonts w:cs="Tahoma"/>
          <w:b/>
          <w:bCs/>
          <w:szCs w:val="20"/>
        </w:rPr>
        <w:t>VENCIMENTO ANTECIPADO</w:t>
      </w:r>
      <w:bookmarkEnd w:id="82"/>
      <w:bookmarkEnd w:id="85"/>
      <w:bookmarkEnd w:id="86"/>
    </w:p>
    <w:p w14:paraId="1B95E0DC" w14:textId="5FC20EC8" w:rsidR="00990F29" w:rsidRPr="00CD3FA2" w:rsidRDefault="006E0D43">
      <w:pPr>
        <w:pStyle w:val="Level2"/>
        <w:rPr>
          <w:rFonts w:cs="Tahoma"/>
          <w:b/>
          <w:i/>
          <w:w w:val="0"/>
          <w:szCs w:val="20"/>
        </w:rPr>
      </w:pPr>
      <w:bookmarkStart w:id="87" w:name="_DV_C350"/>
      <w:bookmarkStart w:id="88"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w:t>
      </w:r>
      <w:r w:rsidR="00990F29" w:rsidRPr="00CD3FA2">
        <w:rPr>
          <w:rFonts w:cs="Tahoma"/>
          <w:w w:val="0"/>
        </w:rPr>
        <w:lastRenderedPageBreak/>
        <w:t>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lastRenderedPageBreak/>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lastRenderedPageBreak/>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0"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210FCED6"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xml:space="preserve">], observadas, </w:t>
      </w:r>
      <w:r w:rsidR="00A30AD6" w:rsidRPr="00CD3FA2">
        <w:rPr>
          <w:rFonts w:cs="Tahoma"/>
        </w:rPr>
        <w:lastRenderedPageBreak/>
        <w:t>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r w:rsidR="002E449C" w:rsidRPr="008B1DD4">
        <w:rPr>
          <w:rFonts w:cs="Tahoma"/>
          <w:highlight w:val="yellow"/>
        </w:rPr>
        <w:t>[Nota LDR: XP/LC, favor confirmar valor]</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 xml:space="preserve">constituição de qualquer ônus e gravames de origem contratual, inclusive direitos reais de garantia (penhor, hipoteca e anticrese), alienação fiduciária, cessão fiduciária, usufruto, foro, pensão, fideicomisso, privilégios ou encargos de terceiros e, </w:t>
      </w:r>
      <w:r w:rsidRPr="00CD3FA2">
        <w:rPr>
          <w:rFonts w:cs="Tahoma"/>
        </w:rPr>
        <w:lastRenderedPageBreak/>
        <w:t>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1"/>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concessão, autorização, permissão, registro ou contrato necessários ao desenvolvimento das atividades das SPEs</w:t>
      </w:r>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lastRenderedPageBreak/>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 xml:space="preserve">a maioria </w:t>
      </w:r>
      <w:r w:rsidR="006376EB" w:rsidRPr="00CD3FA2">
        <w:rPr>
          <w:rFonts w:cs="Tahoma"/>
          <w:szCs w:val="20"/>
        </w:rPr>
        <w:lastRenderedPageBreak/>
        <w:t>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775512F7"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o </w:t>
      </w:r>
      <w:r w:rsidR="00A770B5">
        <w:rPr>
          <w:rFonts w:cs="Tahoma"/>
          <w:i/>
          <w:iCs/>
          <w:w w:val="0"/>
        </w:rPr>
        <w:t xml:space="preserve">Completion </w:t>
      </w:r>
      <w:r w:rsidR="00A770B5">
        <w:rPr>
          <w:rFonts w:cs="Tahoma"/>
          <w:w w:val="0"/>
        </w:rPr>
        <w:t>Físico dos Projetos</w:t>
      </w:r>
      <w:r w:rsidR="007A62AF" w:rsidRPr="008B1DD4">
        <w:rPr>
          <w:rFonts w:cs="Tahoma"/>
          <w:w w:val="0"/>
        </w:rPr>
        <w:t xml:space="preserve"> </w:t>
      </w:r>
      <w:r w:rsidR="00B76AB2">
        <w:rPr>
          <w:rFonts w:cs="Tahoma"/>
          <w:w w:val="0"/>
        </w:rPr>
        <w:t>[</w:t>
      </w:r>
      <w:r w:rsidR="005C20F3">
        <w:rPr>
          <w:rFonts w:cs="Tahoma"/>
          <w:szCs w:val="20"/>
        </w:rPr>
        <w:t>e a apresentação ao Agente Fiduciário, pela Emissora, do termo de quitação e/ou comprovantes de pagamento aos fornecedores contratados pela Emissora</w:t>
      </w:r>
      <w:r w:rsidR="00860F3C">
        <w:rPr>
          <w:rFonts w:cs="Tahoma"/>
          <w:szCs w:val="20"/>
        </w:rPr>
        <w:t xml:space="preserve"> e/ou pelas SPEs</w:t>
      </w:r>
      <w:r w:rsidR="005C20F3">
        <w:rPr>
          <w:rFonts w:cs="Tahoma"/>
          <w:szCs w:val="20"/>
        </w:rPr>
        <w:t xml:space="preserve"> no âmbito dos Projetos</w:t>
      </w:r>
      <w:r w:rsidR="00B76AB2">
        <w:rPr>
          <w:rFonts w:cs="Tahoma"/>
          <w:szCs w:val="20"/>
        </w:rPr>
        <w:t>]</w:t>
      </w:r>
      <w:r w:rsidR="00A770B5" w:rsidRPr="008B1DD4">
        <w:rPr>
          <w:rFonts w:cs="Tahoma"/>
          <w:w w:val="0"/>
        </w:rPr>
        <w:t>.</w:t>
      </w:r>
      <w:r w:rsidR="002E449C">
        <w:rPr>
          <w:rFonts w:cs="Tahoma"/>
          <w:w w:val="0"/>
        </w:rPr>
        <w:t xml:space="preserve"> </w:t>
      </w:r>
      <w:r w:rsidR="00B57C27" w:rsidRPr="00542CC0">
        <w:rPr>
          <w:rFonts w:cs="Tahoma"/>
          <w:szCs w:val="20"/>
          <w:highlight w:val="yellow"/>
        </w:rPr>
        <w:t>[Nota LDR: aguardando confirmação comercial entre LC e XP]</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78388730"/>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r w:rsidR="00A97939" w:rsidRPr="00CD3FA2">
        <w:rPr>
          <w:rFonts w:cs="Tahoma"/>
          <w:b/>
          <w:bCs/>
          <w:szCs w:val="20"/>
        </w:rPr>
        <w:t>O FIADOR</w:t>
      </w:r>
      <w:bookmarkEnd w:id="94"/>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w:t>
      </w:r>
      <w:r w:rsidRPr="00CD3FA2">
        <w:rPr>
          <w:rFonts w:cs="Tahoma"/>
          <w:szCs w:val="20"/>
        </w:rPr>
        <w:lastRenderedPageBreak/>
        <w:t>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lastRenderedPageBreak/>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SPEs</w:t>
      </w:r>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e (b) todos os anúncios, avisos e demais atos e decisões decorrentes desta Emissão que, de qualquer forma, </w:t>
      </w:r>
      <w:r w:rsidRPr="00CD3FA2">
        <w:rPr>
          <w:rFonts w:eastAsia="Arial Unicode MS" w:cs="Tahoma"/>
          <w:color w:val="000000" w:themeColor="text1"/>
          <w:w w:val="0"/>
        </w:rPr>
        <w:lastRenderedPageBreak/>
        <w:t>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lastRenderedPageBreak/>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w:t>
      </w:r>
      <w:r w:rsidRPr="00CD3FA2">
        <w:rPr>
          <w:rFonts w:cs="Tahoma"/>
          <w:color w:val="000000"/>
        </w:rPr>
        <w:lastRenderedPageBreak/>
        <w:t>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7838873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lastRenderedPageBreak/>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lastRenderedPageBreak/>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lastRenderedPageBreak/>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lastRenderedPageBreak/>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lastRenderedPageBreak/>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lastRenderedPageBreak/>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 xml:space="preserve">disponibilidade das instalações de </w:t>
      </w:r>
      <w:r w:rsidRPr="00CD3FA2">
        <w:rPr>
          <w:rFonts w:eastAsia="Arial Unicode MS" w:cs="Tahoma"/>
          <w:color w:val="000000" w:themeColor="text1"/>
          <w:w w:val="0"/>
        </w:rPr>
        <w:lastRenderedPageBreak/>
        <w:t>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r w:rsidR="00DE325B" w:rsidRPr="00CD3FA2">
        <w:rPr>
          <w:rFonts w:cs="Tahoma"/>
        </w:rPr>
        <w:lastRenderedPageBreak/>
        <w:t>(ii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w:t>
      </w:r>
      <w:r w:rsidRPr="00CD3FA2">
        <w:rPr>
          <w:rFonts w:cs="Tahoma"/>
        </w:rPr>
        <w:lastRenderedPageBreak/>
        <w:t>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w:t>
      </w:r>
      <w:r w:rsidRPr="00CD3FA2">
        <w:rPr>
          <w:rFonts w:cs="Tahoma"/>
          <w:szCs w:val="20"/>
        </w:rPr>
        <w:lastRenderedPageBreak/>
        <w:t xml:space="preserve">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78388732"/>
      <w:bookmarkEnd w:id="116"/>
      <w:bookmarkEnd w:id="193"/>
      <w:r w:rsidRPr="00CD3FA2">
        <w:rPr>
          <w:rFonts w:cs="Tahoma"/>
          <w:b/>
          <w:bCs/>
          <w:szCs w:val="20"/>
        </w:rPr>
        <w:t>ASSEMBLEIA GERAL DE DEBENTURISTAS</w:t>
      </w:r>
      <w:bookmarkEnd w:id="194"/>
      <w:bookmarkEnd w:id="195"/>
      <w:bookmarkEnd w:id="196"/>
    </w:p>
    <w:p w14:paraId="086BE20C" w14:textId="0B0D3947" w:rsidR="00976BAB" w:rsidRPr="00340BE3" w:rsidRDefault="00976BAB" w:rsidP="00EF52BF">
      <w:pPr>
        <w:pStyle w:val="Level2"/>
        <w:keepNext/>
        <w:rPr>
          <w:b/>
        </w:rPr>
      </w:pPr>
      <w:bookmarkStart w:id="197" w:name="_DV_M384"/>
      <w:bookmarkStart w:id="198" w:name="_DV_M387"/>
      <w:bookmarkEnd w:id="197"/>
      <w:bookmarkEnd w:id="19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(ii)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(e) obrigações da Emissora previstas nesta Escritura de Emissão; (f) obrigações do Agente Fiduciário; (g) quaisquer alterações nos procedimentos aplicáveis às Assembleias Gerais de Debenturistas; (h)</w:t>
      </w:r>
      <w:r w:rsidR="00897FED">
        <w:t> </w:t>
      </w:r>
      <w:r w:rsidRPr="00571DE8">
        <w:t>criação de qualquer evento de repactuação; e (i) a renúncia ou perdão temporário (</w:t>
      </w:r>
      <w:r w:rsidRPr="00571DE8">
        <w:rPr>
          <w:i/>
        </w:rPr>
        <w:t>waiver</w:t>
      </w:r>
      <w:r w:rsidRPr="00571DE8">
        <w:t xml:space="preserve">) para o cumprimento de obrigações da Emissora; será </w:t>
      </w:r>
      <w:r w:rsidRPr="00571DE8">
        <w:lastRenderedPageBreak/>
        <w:t>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199" w:name="_DV_M389"/>
      <w:bookmarkEnd w:id="19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0" w:name="_Ref17309015"/>
      <w:r w:rsidRPr="00EF52BF">
        <w:rPr>
          <w:b/>
          <w:bCs/>
        </w:rPr>
        <w:t>Quórum de Instalação</w:t>
      </w:r>
      <w:bookmarkStart w:id="201" w:name="_Ref453116050"/>
      <w:bookmarkEnd w:id="20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1"/>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2" w:name="_DV_M388"/>
      <w:bookmarkEnd w:id="20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3" w:name="_DV_M390"/>
      <w:bookmarkEnd w:id="20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4" w:name="_DV_M392"/>
      <w:bookmarkEnd w:id="20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lastRenderedPageBreak/>
        <w:t xml:space="preserve">Quórum de Deliberação </w:t>
      </w:r>
    </w:p>
    <w:p w14:paraId="46217FA2" w14:textId="23B138C6" w:rsidR="00BC7083" w:rsidRPr="00CD3FA2" w:rsidRDefault="00BC7083">
      <w:pPr>
        <w:pStyle w:val="Level3"/>
        <w:rPr>
          <w:rFonts w:cs="Tahoma"/>
          <w:b/>
          <w:w w:val="0"/>
          <w:szCs w:val="20"/>
        </w:rPr>
      </w:pPr>
      <w:bookmarkStart w:id="205" w:name="_DV_M394"/>
      <w:bookmarkStart w:id="206" w:name="_Ref130286717"/>
      <w:bookmarkEnd w:id="205"/>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6"/>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7" w:name="_DV_M406"/>
      <w:bookmarkStart w:id="208" w:name="_Toc37312028"/>
      <w:bookmarkStart w:id="209" w:name="_Toc78388733"/>
      <w:bookmarkEnd w:id="207"/>
      <w:r w:rsidRPr="00CD3FA2">
        <w:rPr>
          <w:rFonts w:cs="Tahoma"/>
          <w:b/>
          <w:bCs/>
          <w:szCs w:val="20"/>
        </w:rPr>
        <w:t>DECLARAÇÕES E GARANTIAS</w:t>
      </w:r>
      <w:bookmarkStart w:id="210" w:name="_DV_C457"/>
      <w:r w:rsidRPr="00CD3FA2">
        <w:rPr>
          <w:rFonts w:cs="Tahoma"/>
          <w:b/>
          <w:bCs/>
          <w:szCs w:val="20"/>
        </w:rPr>
        <w:t xml:space="preserve"> DA EMISSORA</w:t>
      </w:r>
      <w:bookmarkEnd w:id="208"/>
      <w:bookmarkEnd w:id="210"/>
      <w:r w:rsidR="006B0A53" w:rsidRPr="00CD3FA2">
        <w:rPr>
          <w:rFonts w:cs="Tahoma"/>
          <w:b/>
          <w:bCs/>
          <w:szCs w:val="20"/>
        </w:rPr>
        <w:t xml:space="preserve"> E D</w:t>
      </w:r>
      <w:r w:rsidR="00A97939" w:rsidRPr="00CD3FA2">
        <w:rPr>
          <w:rFonts w:cs="Tahoma"/>
          <w:b/>
          <w:bCs/>
          <w:szCs w:val="20"/>
        </w:rPr>
        <w:t>O FIADOR</w:t>
      </w:r>
      <w:bookmarkEnd w:id="209"/>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1" w:name="_Hlk27302880"/>
      <w:bookmarkStart w:id="21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lastRenderedPageBreak/>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não infringem qualquer disposição legal ou regulamentar a que tais partes e/ou 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lastRenderedPageBreak/>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3" w:name="_DV_C499"/>
    </w:p>
    <w:p w14:paraId="46E556AC" w14:textId="49E0E969" w:rsidR="00C41436" w:rsidRPr="00CD3FA2" w:rsidRDefault="003A3E8B" w:rsidP="00A57E55">
      <w:pPr>
        <w:pStyle w:val="roman3"/>
        <w:numPr>
          <w:ilvl w:val="0"/>
          <w:numId w:val="57"/>
        </w:numPr>
        <w:rPr>
          <w:rFonts w:cs="Tahoma"/>
        </w:rPr>
      </w:pPr>
      <w:r>
        <w:rPr>
          <w:rFonts w:cs="Tahoma"/>
          <w:w w:val="0"/>
        </w:rPr>
        <w:t>[</w:t>
      </w:r>
      <w:r w:rsidR="00153F06">
        <w:rPr>
          <w:rFonts w:cs="Tahoma"/>
          <w:w w:val="0"/>
        </w:rPr>
        <w:t>no seu melhor conhecimento</w:t>
      </w:r>
      <w:r>
        <w:rPr>
          <w:rFonts w:cs="Tahoma"/>
          <w:w w:val="0"/>
        </w:rPr>
        <w:t>]</w:t>
      </w:r>
      <w:r w:rsidR="00153F06">
        <w:rPr>
          <w:rFonts w:cs="Tahoma"/>
          <w:w w:val="0"/>
        </w:rPr>
        <w:t xml:space="preserve">, </w:t>
      </w:r>
      <w:r w:rsidR="00C41436">
        <w:rPr>
          <w:rFonts w:cs="Tahoma"/>
          <w:w w:val="0"/>
        </w:rPr>
        <w:t>não ocorreu nenhum evento ou hipótese que possa gerar um Efeito Adverso Relevante</w:t>
      </w:r>
      <w:r w:rsidR="00C41436" w:rsidRPr="00EF52BF">
        <w:rPr>
          <w:rFonts w:cs="Tahoma"/>
        </w:rPr>
        <w:t>;</w:t>
      </w:r>
      <w:r>
        <w:rPr>
          <w:rFonts w:cs="Tahoma"/>
        </w:rPr>
        <w:t xml:space="preserve"> </w:t>
      </w:r>
      <w:r w:rsidRPr="008B1DD4">
        <w:rPr>
          <w:rFonts w:cs="Tahoma"/>
          <w:highlight w:val="yellow"/>
        </w:rPr>
        <w:t>[Nota LDR: XP, favor confirmar se estão de acordo com a inclusão]</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3"/>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xml:space="preserve">)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w:t>
      </w:r>
      <w:r w:rsidRPr="00CD3FA2">
        <w:rPr>
          <w:rFonts w:cs="Tahoma"/>
          <w:w w:val="0"/>
        </w:rPr>
        <w:lastRenderedPageBreak/>
        <w:t>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Start w:id="235" w:name="_Toc78388734"/>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D3FA2">
        <w:rPr>
          <w:rFonts w:cs="Tahoma"/>
          <w:b/>
          <w:bCs/>
          <w:szCs w:val="20"/>
        </w:rPr>
        <w:t>DISPOSIÇÕES GERAIS</w:t>
      </w:r>
      <w:bookmarkEnd w:id="233"/>
      <w:bookmarkEnd w:id="234"/>
      <w:bookmarkEnd w:id="23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lastRenderedPageBreak/>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2"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36" w:name="_DV_M424"/>
      <w:bookmarkEnd w:id="236"/>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Rua Joaquim Floriano 466, Bloco B, Conj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D’Amoed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3"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37" w:name="_DV_M426"/>
      <w:bookmarkEnd w:id="237"/>
      <w:r w:rsidRPr="00CD3FA2">
        <w:rPr>
          <w:rFonts w:cs="Tahoma"/>
          <w:w w:val="0"/>
        </w:rPr>
        <w:t xml:space="preserve">para </w:t>
      </w:r>
      <w:r w:rsidR="00A97939" w:rsidRPr="00CD3FA2">
        <w:rPr>
          <w:rFonts w:cs="Tahoma"/>
          <w:w w:val="0"/>
        </w:rPr>
        <w:t>o Fiador</w:t>
      </w:r>
      <w:r w:rsidRPr="00CD3FA2">
        <w:rPr>
          <w:rFonts w:cs="Tahoma"/>
          <w:w w:val="0"/>
        </w:rPr>
        <w:t>:</w:t>
      </w:r>
    </w:p>
    <w:p w14:paraId="0F4DD452" w14:textId="4515A4D6" w:rsidR="00E01072" w:rsidRPr="00CD3FA2" w:rsidRDefault="00B57C27" w:rsidP="00E81FEB">
      <w:pPr>
        <w:pStyle w:val="Body4"/>
        <w:jc w:val="left"/>
        <w:rPr>
          <w:rFonts w:cs="Tahoma"/>
          <w:b/>
          <w:bCs/>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Pr>
          <w:rFonts w:cs="Tahoma"/>
          <w:b/>
          <w:bCs/>
        </w:rPr>
        <w:t xml:space="preserve"> </w:t>
      </w:r>
      <w:r w:rsidRPr="008B1DD4">
        <w:rPr>
          <w:rFonts w:cs="Tahoma"/>
          <w:b/>
          <w:bCs/>
          <w:highlight w:val="yellow"/>
        </w:rPr>
        <w:t>[Nota LDR: LC, são os mesmos contatos? Favor indicar]</w:t>
      </w:r>
      <w:r w:rsidR="006B0A53" w:rsidRPr="00CD3FA2">
        <w:rPr>
          <w:rFonts w:cs="Tahoma"/>
          <w:b/>
          <w:color w:val="000000" w:themeColor="text1"/>
          <w:szCs w:val="20"/>
        </w:rPr>
        <w:br/>
      </w:r>
      <w:r w:rsidR="00CE2671"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00CE2671" w:rsidRPr="00CD3FA2">
        <w:rPr>
          <w:rFonts w:cs="Tahoma"/>
          <w:w w:val="0"/>
          <w:szCs w:val="20"/>
        </w:rPr>
        <w:t>[●]</w:t>
      </w:r>
      <w:r w:rsidR="006B0A53" w:rsidRPr="00CD3FA2">
        <w:rPr>
          <w:rFonts w:cs="Tahoma"/>
          <w:color w:val="000000" w:themeColor="text1"/>
          <w:szCs w:val="20"/>
        </w:rPr>
        <w:br/>
        <w:t xml:space="preserve">At.: </w:t>
      </w:r>
      <w:r w:rsidR="00CE2671" w:rsidRPr="00CD3FA2">
        <w:rPr>
          <w:rFonts w:cs="Tahoma"/>
          <w:w w:val="0"/>
          <w:szCs w:val="20"/>
        </w:rPr>
        <w:t>[●]</w:t>
      </w:r>
      <w:r w:rsidR="006B0A53" w:rsidRPr="00CD3FA2">
        <w:rPr>
          <w:rFonts w:cs="Tahoma"/>
          <w:color w:val="000000" w:themeColor="text1"/>
          <w:szCs w:val="20"/>
        </w:rPr>
        <w:br/>
        <w:t xml:space="preserve">Tel.: </w:t>
      </w:r>
      <w:r w:rsidR="00CE2671"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00CE2671" w:rsidRPr="00CD3FA2">
        <w:rPr>
          <w:rFonts w:cs="Tahoma"/>
          <w:w w:val="0"/>
          <w:szCs w:val="20"/>
        </w:rPr>
        <w:t>[●]</w:t>
      </w:r>
    </w:p>
    <w:p w14:paraId="14F8D3E6" w14:textId="7278B4BB"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r w:rsidR="00B57C27" w:rsidRPr="00542CC0">
        <w:rPr>
          <w:rFonts w:cs="Tahoma"/>
          <w:b/>
          <w:bCs/>
          <w:highlight w:val="yellow"/>
        </w:rPr>
        <w:t xml:space="preserve">[Nota LDR: </w:t>
      </w:r>
      <w:r w:rsidR="00B57C27">
        <w:rPr>
          <w:rFonts w:cs="Tahoma"/>
          <w:b/>
          <w:bCs/>
          <w:highlight w:val="yellow"/>
        </w:rPr>
        <w:t>Pavarini, favor confirmar se</w:t>
      </w:r>
      <w:r w:rsidR="00B57C27" w:rsidRPr="00542CC0">
        <w:rPr>
          <w:rFonts w:cs="Tahoma"/>
          <w:b/>
          <w:bCs/>
          <w:highlight w:val="yellow"/>
        </w:rPr>
        <w:t xml:space="preserve"> são os mesmos contatos]</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D’Amoed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4" w:history="1">
        <w:r w:rsidRPr="00817B27">
          <w:rPr>
            <w:rStyle w:val="Hyperlink"/>
            <w:rFonts w:cs="Tahoma"/>
            <w:w w:val="0"/>
            <w:szCs w:val="20"/>
          </w:rPr>
          <w:t>spestruturacao@simplificpavarini.com.br</w:t>
        </w:r>
      </w:hyperlink>
    </w:p>
    <w:p w14:paraId="6D52FA8D" w14:textId="10938BF3" w:rsidR="00882896" w:rsidRPr="00CD3FA2" w:rsidRDefault="00882896" w:rsidP="00882896">
      <w:pPr>
        <w:pStyle w:val="roman4"/>
        <w:keepNext/>
        <w:rPr>
          <w:rFonts w:cs="Tahoma"/>
          <w:w w:val="0"/>
        </w:rPr>
      </w:pPr>
      <w:r w:rsidRPr="00CD3FA2">
        <w:rPr>
          <w:rFonts w:cs="Tahoma"/>
          <w:w w:val="0"/>
        </w:rPr>
        <w:t xml:space="preserve">para o Agente de Liquidação: </w:t>
      </w:r>
      <w:r w:rsidR="00B57C27" w:rsidRPr="00542CC0">
        <w:rPr>
          <w:rFonts w:cs="Tahoma"/>
          <w:b/>
          <w:bCs/>
          <w:highlight w:val="yellow"/>
        </w:rPr>
        <w:t xml:space="preserve">[Nota LDR: </w:t>
      </w:r>
      <w:r w:rsidR="00B57C27">
        <w:rPr>
          <w:rFonts w:cs="Tahoma"/>
          <w:b/>
          <w:bCs/>
          <w:highlight w:val="yellow"/>
        </w:rPr>
        <w:t xml:space="preserve">FRAM, favor indicar </w:t>
      </w:r>
      <w:r w:rsidR="00B57C27" w:rsidRPr="00542CC0">
        <w:rPr>
          <w:rFonts w:cs="Tahoma"/>
          <w:b/>
          <w:bCs/>
          <w:highlight w:val="yellow"/>
        </w:rPr>
        <w:t>os contatos]</w:t>
      </w:r>
    </w:p>
    <w:p w14:paraId="52143C1D" w14:textId="672A32F2"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Rua Dr. Eduardo de Souza Aranha, 153, 4º andar, Vila Nova Conceição</w:t>
      </w:r>
      <w:r w:rsidR="00882896" w:rsidRPr="00CD3FA2">
        <w:rPr>
          <w:rFonts w:cs="Tahoma"/>
          <w:color w:val="000000" w:themeColor="text1"/>
          <w:szCs w:val="20"/>
        </w:rPr>
        <w:br/>
        <w:t xml:space="preserve">CEP: </w:t>
      </w:r>
      <w:r w:rsidRPr="00930BE5">
        <w:rPr>
          <w:rStyle w:val="normaltextrun"/>
          <w:rFonts w:cs="Tahoma"/>
          <w:szCs w:val="20"/>
        </w:rPr>
        <w:t>04543-120</w:t>
      </w:r>
      <w:r w:rsidR="00882896" w:rsidRPr="00CD3FA2">
        <w:rPr>
          <w:rFonts w:cs="Tahoma"/>
          <w:color w:val="000000" w:themeColor="text1"/>
          <w:szCs w:val="20"/>
        </w:rPr>
        <w:br/>
        <w:t xml:space="preserve">At: </w:t>
      </w:r>
      <w:r w:rsidR="00882896" w:rsidRPr="00CD3FA2">
        <w:rPr>
          <w:rFonts w:cs="Tahoma"/>
          <w:w w:val="0"/>
          <w:szCs w:val="20"/>
        </w:rPr>
        <w:t>[●]</w:t>
      </w:r>
      <w:r w:rsidR="00882896" w:rsidRPr="00CD3FA2">
        <w:rPr>
          <w:rFonts w:cs="Tahoma"/>
          <w:color w:val="000000" w:themeColor="text1"/>
          <w:szCs w:val="20"/>
        </w:rPr>
        <w:br/>
        <w:t xml:space="preserve">Telefone: </w:t>
      </w:r>
      <w:r w:rsidR="00882896" w:rsidRPr="00CD3FA2">
        <w:rPr>
          <w:rFonts w:cs="Tahoma"/>
          <w:w w:val="0"/>
          <w:szCs w:val="20"/>
        </w:rPr>
        <w:t>[●]</w:t>
      </w:r>
      <w:r w:rsidR="00882896" w:rsidRPr="00CD3FA2">
        <w:rPr>
          <w:rFonts w:cs="Tahoma"/>
          <w:color w:val="000000" w:themeColor="text1"/>
          <w:szCs w:val="20"/>
        </w:rPr>
        <w:br/>
        <w:t xml:space="preserve">E-mail: </w:t>
      </w:r>
      <w:r w:rsidR="00882896" w:rsidRPr="00CD3FA2">
        <w:rPr>
          <w:rFonts w:cs="Tahoma"/>
          <w:w w:val="0"/>
          <w:szCs w:val="20"/>
        </w:rPr>
        <w:t>[●]</w:t>
      </w:r>
    </w:p>
    <w:p w14:paraId="1435C8E4" w14:textId="77777777" w:rsidR="00BC7083" w:rsidRPr="00CD3FA2" w:rsidRDefault="00BC7083">
      <w:pPr>
        <w:pStyle w:val="roman4"/>
        <w:rPr>
          <w:rFonts w:cs="Tahoma"/>
        </w:rPr>
      </w:pPr>
      <w:r w:rsidRPr="00CD3FA2">
        <w:rPr>
          <w:rFonts w:cs="Tahoma"/>
        </w:rPr>
        <w:lastRenderedPageBreak/>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8" w:name="_DV_M428"/>
      <w:bookmarkEnd w:id="238"/>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9" w:name="_DV_M429"/>
      <w:bookmarkEnd w:id="239"/>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0" w:name="_DV_M430"/>
      <w:bookmarkEnd w:id="240"/>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lastRenderedPageBreak/>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1" w:name="_DV_M432"/>
      <w:bookmarkEnd w:id="241"/>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2" w:name="_DV_M433"/>
      <w:bookmarkStart w:id="243" w:name="_DV_M434"/>
      <w:bookmarkStart w:id="244" w:name="_DV_M435"/>
      <w:bookmarkEnd w:id="242"/>
      <w:bookmarkEnd w:id="243"/>
      <w:bookmarkEnd w:id="244"/>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245" w:name="_DV_M436"/>
      <w:bookmarkEnd w:id="245"/>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46" w:name="_DV_M446"/>
      <w:bookmarkEnd w:id="246"/>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5"/>
      <w:headerReference w:type="default" r:id="rId16"/>
      <w:footerReference w:type="even" r:id="rId17"/>
      <w:footerReference w:type="default" r:id="rId18"/>
      <w:headerReference w:type="first" r:id="rId19"/>
      <w:footerReference w:type="first" r:id="rId20"/>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15E0" w14:textId="77777777" w:rsidR="00753049" w:rsidRDefault="00753049" w:rsidP="00A067C2">
      <w:r>
        <w:separator/>
      </w:r>
    </w:p>
  </w:endnote>
  <w:endnote w:type="continuationSeparator" w:id="0">
    <w:p w14:paraId="02F47C44" w14:textId="77777777" w:rsidR="00753049" w:rsidRDefault="00753049" w:rsidP="00A067C2">
      <w:r>
        <w:continuationSeparator/>
      </w:r>
    </w:p>
  </w:endnote>
  <w:endnote w:type="continuationNotice" w:id="1">
    <w:p w14:paraId="2EEBB8CF" w14:textId="77777777" w:rsidR="00753049" w:rsidRDefault="00753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753049" w:rsidRDefault="007530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753049" w:rsidRDefault="00753049">
    <w:pPr>
      <w:pStyle w:val="Rodap"/>
      <w:ind w:right="360"/>
    </w:pPr>
  </w:p>
  <w:p w14:paraId="6F137800" w14:textId="77777777" w:rsidR="00753049" w:rsidRDefault="007530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753049" w:rsidRPr="00A907D5" w:rsidRDefault="00753049">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1D22F622" w:rsidR="00753049" w:rsidRPr="00A57E55" w:rsidRDefault="00753049"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2E3E9E">
      <w:rPr>
        <w:rFonts w:ascii="Arial" w:hAnsi="Arial" w:cs="Arial"/>
        <w:color w:val="FFFFFF" w:themeColor="background1"/>
        <w:sz w:val="10"/>
        <w:szCs w:val="20"/>
      </w:rPr>
      <w:t>5591743v19</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753049" w:rsidRPr="007024F3" w:rsidRDefault="00753049">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753049" w:rsidRPr="00654A78" w:rsidRDefault="00753049"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54158E" w:rsidRPr="00654A78" w:rsidRDefault="0054158E"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604B" w14:textId="77777777" w:rsidR="00753049" w:rsidRDefault="00753049" w:rsidP="00A067C2">
      <w:r>
        <w:separator/>
      </w:r>
    </w:p>
  </w:footnote>
  <w:footnote w:type="continuationSeparator" w:id="0">
    <w:p w14:paraId="643A33EF" w14:textId="77777777" w:rsidR="00753049" w:rsidRDefault="00753049" w:rsidP="00A067C2">
      <w:r>
        <w:continuationSeparator/>
      </w:r>
    </w:p>
  </w:footnote>
  <w:footnote w:type="continuationNotice" w:id="1">
    <w:p w14:paraId="6E2C389D" w14:textId="77777777" w:rsidR="00753049" w:rsidRDefault="00753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7163" w14:textId="77777777" w:rsidR="002E3E9E" w:rsidRDefault="002E3E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58B1" w14:textId="64B05413" w:rsidR="00753049" w:rsidRPr="00DB362B" w:rsidRDefault="00753049"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Pr>
        <w:noProof/>
      </w:rPr>
      <w:t>28.07.2021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E420" w14:textId="345A70A9" w:rsidR="00753049" w:rsidRPr="007872A7" w:rsidRDefault="00753049"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Pr>
        <w:noProof/>
      </w:rPr>
      <w:t>28.07.2021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formatting="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29323</Words>
  <Characters>167729</Characters>
  <Application>Microsoft Office Word</Application>
  <DocSecurity>0</DocSecurity>
  <Lines>3288</Lines>
  <Paragraphs>1247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Beatriz Rocha</cp:lastModifiedBy>
  <cp:revision>3</cp:revision>
  <cp:lastPrinted>2019-12-17T14:19:00Z</cp:lastPrinted>
  <dcterms:created xsi:type="dcterms:W3CDTF">2021-07-28T22:16:00Z</dcterms:created>
  <dcterms:modified xsi:type="dcterms:W3CDTF">2021-07-28T22:16:00Z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5591743v19</vt:lpwstr>
  </property>
</Properties>
</file>