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882520" w:rsidP="00981F44">
      <w:pPr>
        <w:jc w:val="center"/>
        <w:rPr>
          <w:rFonts w:ascii="Tahoma" w:hAnsi="Tahoma" w:cs="Tahoma"/>
          <w:b/>
          <w:sz w:val="22"/>
          <w:szCs w:val="22"/>
        </w:rPr>
      </w:pPr>
      <w:r>
        <w:rPr>
          <w:rFonts w:ascii="Tahoma" w:hAnsi="Tahoma" w:cs="Tahoma"/>
          <w:b/>
          <w:sz w:val="22"/>
          <w:szCs w:val="22"/>
        </w:rPr>
        <w:t>0</w:t>
      </w:r>
      <w:r w:rsidR="00EB6920">
        <w:rPr>
          <w:rFonts w:ascii="Tahoma" w:hAnsi="Tahoma" w:cs="Tahoma"/>
          <w:b/>
          <w:sz w:val="22"/>
          <w:szCs w:val="22"/>
        </w:rPr>
        <w:t xml:space="preserve">6 </w:t>
      </w:r>
      <w:r w:rsidR="00356D71" w:rsidRPr="0003264F">
        <w:rPr>
          <w:rFonts w:ascii="Tahoma" w:hAnsi="Tahoma" w:cs="Tahoma"/>
          <w:b/>
          <w:sz w:val="22"/>
          <w:szCs w:val="22"/>
        </w:rPr>
        <w:t xml:space="preserve">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00356D71"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EB6920">
        <w:rPr>
          <w:rFonts w:ascii="Tahoma" w:hAnsi="Tahoma" w:cs="Tahoma"/>
          <w:b w:val="0"/>
          <w:bCs w:val="0"/>
          <w:szCs w:val="22"/>
        </w:rPr>
        <w:t>06</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EB6920">
        <w:rPr>
          <w:rFonts w:ascii="Tahoma" w:hAnsi="Tahoma" w:cs="Tahoma"/>
          <w:b w:val="0"/>
          <w:bCs w:val="0"/>
          <w:caps w:val="0"/>
          <w:szCs w:val="22"/>
        </w:rPr>
        <w:t>setembro</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w:t>
      </w:r>
      <w:r w:rsidR="00192FFD">
        <w:rPr>
          <w:rFonts w:ascii="Tahoma" w:hAnsi="Tahoma" w:cs="Tahoma"/>
          <w:b w:val="0"/>
          <w:caps w:val="0"/>
          <w:szCs w:val="22"/>
        </w:rPr>
        <w:t xml:space="preserve">livremente </w:t>
      </w:r>
      <w:r w:rsidRPr="0003264F">
        <w:rPr>
          <w:rFonts w:ascii="Tahoma" w:hAnsi="Tahoma" w:cs="Tahoma"/>
          <w:b w:val="0"/>
          <w:caps w:val="0"/>
          <w:szCs w:val="22"/>
        </w:rPr>
        <w:t xml:space="preserve">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67FF6">
        <w:rPr>
          <w:rFonts w:ascii="Tahoma" w:hAnsi="Tahoma" w:cs="Tahoma"/>
          <w:b w:val="0"/>
          <w:szCs w:val="22"/>
        </w:rPr>
        <w:t>23</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Default="00C41491"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Serão emitidas 27 (vinte e sete) Debêntures</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7B7318" w:rsidRPr="007B7318" w:rsidRDefault="007B7318" w:rsidP="007B7318">
      <w:pPr>
        <w:pStyle w:val="Level1"/>
        <w:keepNext w:val="0"/>
        <w:numPr>
          <w:ilvl w:val="1"/>
          <w:numId w:val="20"/>
        </w:numPr>
        <w:spacing w:before="0" w:after="240" w:line="320" w:lineRule="exact"/>
        <w:outlineLvl w:val="9"/>
        <w:rPr>
          <w:rFonts w:ascii="Tahoma" w:hAnsi="Tahoma" w:cs="Tahoma"/>
          <w:caps w:val="0"/>
          <w:szCs w:val="22"/>
        </w:rPr>
      </w:pPr>
      <w:r w:rsidRPr="007B7318">
        <w:rPr>
          <w:rFonts w:ascii="Tahoma" w:hAnsi="Tahoma" w:cs="Tahoma"/>
          <w:caps w:val="0"/>
          <w:szCs w:val="22"/>
        </w:rPr>
        <w:t xml:space="preserve">Procedimento de </w:t>
      </w:r>
      <w:r w:rsidRPr="007B7318">
        <w:rPr>
          <w:rFonts w:ascii="Tahoma" w:hAnsi="Tahoma" w:cs="Tahoma"/>
          <w:i/>
          <w:caps w:val="0"/>
          <w:szCs w:val="22"/>
        </w:rPr>
        <w:t>Bookbuilding</w:t>
      </w:r>
    </w:p>
    <w:p w:rsidR="007B7318" w:rsidRDefault="007B7318" w:rsidP="007B7318">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lastRenderedPageBreak/>
        <w:t>O</w:t>
      </w:r>
      <w:r w:rsidRPr="007B7318">
        <w:rPr>
          <w:rFonts w:ascii="Tahoma" w:hAnsi="Tahoma" w:cs="Tahoma"/>
          <w:b w:val="0"/>
          <w:caps w:val="0"/>
          <w:szCs w:val="22"/>
        </w:rPr>
        <w:t xml:space="preserve"> Coor</w:t>
      </w:r>
      <w:r>
        <w:rPr>
          <w:rFonts w:ascii="Tahoma" w:hAnsi="Tahoma" w:cs="Tahoma"/>
          <w:b w:val="0"/>
          <w:caps w:val="0"/>
          <w:szCs w:val="22"/>
        </w:rPr>
        <w:t>denador Líder</w:t>
      </w:r>
      <w:r w:rsidRPr="007B7318">
        <w:rPr>
          <w:rFonts w:ascii="Tahoma" w:hAnsi="Tahoma" w:cs="Tahoma"/>
          <w:b w:val="0"/>
          <w:caps w:val="0"/>
          <w:szCs w:val="22"/>
        </w:rPr>
        <w:t xml:space="preserve"> organizar</w:t>
      </w:r>
      <w:r>
        <w:rPr>
          <w:rFonts w:ascii="Tahoma" w:hAnsi="Tahoma" w:cs="Tahoma"/>
          <w:b w:val="0"/>
          <w:caps w:val="0"/>
          <w:szCs w:val="22"/>
        </w:rPr>
        <w:t>á</w:t>
      </w:r>
      <w:r w:rsidRPr="007B7318">
        <w:rPr>
          <w:rFonts w:ascii="Tahoma" w:hAnsi="Tahoma" w:cs="Tahoma"/>
          <w:b w:val="0"/>
          <w:caps w:val="0"/>
          <w:szCs w:val="22"/>
        </w:rPr>
        <w:t xml:space="preserve"> o procedimento de coleta de intenções de investimento dos potenciais investidores nas Debêntures, sem recebimento de reservas, sem lotes mínimos ou máximos, observado o disposto no artigo 3º da In</w:t>
      </w:r>
      <w:r>
        <w:rPr>
          <w:rFonts w:ascii="Tahoma" w:hAnsi="Tahoma" w:cs="Tahoma"/>
          <w:b w:val="0"/>
          <w:caps w:val="0"/>
          <w:szCs w:val="22"/>
        </w:rPr>
        <w:t>strução CVM 476, para definição</w:t>
      </w:r>
      <w:r w:rsidRPr="007B7318">
        <w:rPr>
          <w:rFonts w:ascii="Tahoma" w:hAnsi="Tahoma" w:cs="Tahoma"/>
          <w:b w:val="0"/>
          <w:caps w:val="0"/>
          <w:szCs w:val="22"/>
        </w:rPr>
        <w:t xml:space="preserve"> da taxa da Remuneração (conforme abaixo definido) (“</w:t>
      </w:r>
      <w:r w:rsidRPr="007B7318">
        <w:rPr>
          <w:rFonts w:ascii="Tahoma" w:hAnsi="Tahoma" w:cs="Tahoma"/>
          <w:b w:val="0"/>
          <w:caps w:val="0"/>
          <w:szCs w:val="22"/>
          <w:u w:val="single"/>
        </w:rPr>
        <w:t>Procedimento de Bookbuilding</w:t>
      </w:r>
      <w:r w:rsidRPr="007B7318">
        <w:rPr>
          <w:rFonts w:ascii="Tahoma" w:hAnsi="Tahoma" w:cs="Tahoma"/>
          <w:b w:val="0"/>
          <w:caps w:val="0"/>
          <w:szCs w:val="22"/>
        </w:rPr>
        <w:t>”).</w:t>
      </w:r>
    </w:p>
    <w:p w:rsidR="007B7318" w:rsidRPr="007B7318" w:rsidRDefault="007B7318" w:rsidP="007B7318">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Ref10618476"/>
      <w:r w:rsidRPr="007B7318">
        <w:rPr>
          <w:rFonts w:ascii="Tahoma" w:hAnsi="Tahoma" w:cs="Tahoma"/>
          <w:b w:val="0"/>
          <w:caps w:val="0"/>
          <w:szCs w:val="22"/>
        </w:rPr>
        <w:t xml:space="preserve">Após o encerramento do Procedimento de Bookbuilding e a definição </w:t>
      </w:r>
      <w:r>
        <w:rPr>
          <w:rFonts w:ascii="Tahoma" w:hAnsi="Tahoma" w:cs="Tahoma"/>
          <w:b w:val="0"/>
          <w:caps w:val="0"/>
          <w:szCs w:val="22"/>
        </w:rPr>
        <w:t>da</w:t>
      </w:r>
      <w:r w:rsidRPr="007B7318">
        <w:rPr>
          <w:rFonts w:ascii="Tahoma" w:hAnsi="Tahoma" w:cs="Tahoma"/>
          <w:b w:val="0"/>
          <w:caps w:val="0"/>
          <w:szCs w:val="22"/>
        </w:rPr>
        <w:t xml:space="preserve"> taxa de Remuneração, as Partes deverão celebrar aditamento a presente Escritura de Emissão no prazo de até </w:t>
      </w:r>
      <w:r>
        <w:rPr>
          <w:rFonts w:ascii="Tahoma" w:hAnsi="Tahoma" w:cs="Tahoma"/>
          <w:b w:val="0"/>
          <w:caps w:val="0"/>
          <w:szCs w:val="22"/>
        </w:rPr>
        <w:t>2</w:t>
      </w:r>
      <w:r w:rsidRPr="007B7318">
        <w:rPr>
          <w:rFonts w:ascii="Tahoma" w:hAnsi="Tahoma" w:cs="Tahoma"/>
          <w:b w:val="0"/>
          <w:caps w:val="0"/>
          <w:szCs w:val="22"/>
        </w:rPr>
        <w:t xml:space="preserve"> (</w:t>
      </w:r>
      <w:r>
        <w:rPr>
          <w:rFonts w:ascii="Tahoma" w:hAnsi="Tahoma" w:cs="Tahoma"/>
          <w:b w:val="0"/>
          <w:caps w:val="0"/>
          <w:szCs w:val="22"/>
        </w:rPr>
        <w:t>dois</w:t>
      </w:r>
      <w:r w:rsidRPr="007B7318">
        <w:rPr>
          <w:rFonts w:ascii="Tahoma" w:hAnsi="Tahoma" w:cs="Tahoma"/>
          <w:b w:val="0"/>
          <w:caps w:val="0"/>
          <w:szCs w:val="22"/>
        </w:rPr>
        <w:t>) Dias Úteis contados da data em que o Procedimento de Bookbuilding for encerrado e antes da primeira Data de Integralização, sem necessidade de realização de Assembleia Geral de Debenturistas ou aprovação societária pela Emissora, unicamente para formalizar o resultado do Procedimento de Bookbuilding.</w:t>
      </w:r>
      <w:bookmarkEnd w:id="38"/>
      <w:r w:rsidRPr="007B7318">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w:t>
      </w:r>
      <w:r w:rsidR="007E31BF" w:rsidRPr="0003264F">
        <w:rPr>
          <w:rFonts w:ascii="Tahoma" w:hAnsi="Tahoma" w:cs="Tahoma"/>
          <w:b w:val="0"/>
          <w:caps w:val="0"/>
          <w:szCs w:val="22"/>
        </w:rPr>
        <w:t>será o Itaú Unibanco S.A., instituiç</w:t>
      </w:r>
      <w:r w:rsidR="007E31BF">
        <w:rPr>
          <w:rFonts w:ascii="Tahoma" w:hAnsi="Tahoma" w:cs="Tahoma"/>
          <w:b w:val="0"/>
          <w:caps w:val="0"/>
          <w:szCs w:val="22"/>
        </w:rPr>
        <w:t xml:space="preserve">ão </w:t>
      </w:r>
      <w:r w:rsidR="007E31BF" w:rsidRPr="0003264F">
        <w:rPr>
          <w:rFonts w:ascii="Tahoma" w:hAnsi="Tahoma" w:cs="Tahoma"/>
          <w:b w:val="0"/>
          <w:caps w:val="0"/>
          <w:szCs w:val="22"/>
        </w:rPr>
        <w:t xml:space="preserve">financeira com endereço na </w:t>
      </w:r>
      <w:r w:rsidR="007E31BF">
        <w:rPr>
          <w:rFonts w:ascii="Tahoma" w:hAnsi="Tahoma" w:cs="Tahoma"/>
          <w:b w:val="0"/>
          <w:caps w:val="0"/>
          <w:szCs w:val="22"/>
        </w:rPr>
        <w:t>c</w:t>
      </w:r>
      <w:r w:rsidR="007E31BF"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7E31BF">
        <w:rPr>
          <w:rFonts w:ascii="Tahoma" w:hAnsi="Tahoma" w:cs="Tahoma"/>
          <w:b w:val="0"/>
          <w:caps w:val="0"/>
          <w:szCs w:val="22"/>
        </w:rPr>
        <w:t xml:space="preserve"> </w:t>
      </w:r>
      <w:r w:rsidRPr="0003264F">
        <w:rPr>
          <w:rFonts w:ascii="Tahoma" w:hAnsi="Tahoma" w:cs="Tahoma"/>
          <w:b w:val="0"/>
          <w:caps w:val="0"/>
          <w:szCs w:val="22"/>
        </w:rPr>
        <w:t xml:space="preserve">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D51EED">
        <w:rPr>
          <w:rFonts w:ascii="Tahoma" w:hAnsi="Tahoma" w:cs="Tahoma"/>
          <w:b w:val="0"/>
          <w:caps w:val="0"/>
          <w:szCs w:val="22"/>
        </w:rPr>
        <w:t xml:space="preserve">Itaú Corretora de Valores S.A., </w:t>
      </w:r>
      <w:r w:rsidR="00AC0F56" w:rsidRPr="0003264F">
        <w:rPr>
          <w:rFonts w:ascii="Tahoma" w:hAnsi="Tahoma" w:cs="Tahoma"/>
          <w:b w:val="0"/>
          <w:caps w:val="0"/>
          <w:szCs w:val="22"/>
        </w:rPr>
        <w:t>instituiç</w:t>
      </w:r>
      <w:r w:rsidR="007E31BF">
        <w:rPr>
          <w:rFonts w:ascii="Tahoma" w:hAnsi="Tahoma" w:cs="Tahoma"/>
          <w:b w:val="0"/>
          <w:caps w:val="0"/>
          <w:szCs w:val="22"/>
        </w:rPr>
        <w:t>ão</w:t>
      </w:r>
      <w:r w:rsidR="00D51EED">
        <w:rPr>
          <w:rFonts w:ascii="Tahoma" w:hAnsi="Tahoma" w:cs="Tahoma"/>
          <w:b w:val="0"/>
          <w:caps w:val="0"/>
          <w:szCs w:val="22"/>
        </w:rPr>
        <w:t xml:space="preserve"> </w:t>
      </w:r>
      <w:r w:rsidR="00AC0F56" w:rsidRPr="0003264F">
        <w:rPr>
          <w:rFonts w:ascii="Tahoma" w:hAnsi="Tahoma" w:cs="Tahoma"/>
          <w:b w:val="0"/>
          <w:caps w:val="0"/>
          <w:szCs w:val="22"/>
        </w:rPr>
        <w:t>financeira</w:t>
      </w:r>
      <w:r w:rsidR="007E31BF">
        <w:rPr>
          <w:rFonts w:ascii="Tahoma" w:hAnsi="Tahoma" w:cs="Tahoma"/>
          <w:b w:val="0"/>
          <w:caps w:val="0"/>
          <w:szCs w:val="22"/>
        </w:rPr>
        <w:t xml:space="preserve"> </w:t>
      </w:r>
      <w:r w:rsidR="00AC0F56" w:rsidRPr="0003264F">
        <w:rPr>
          <w:rFonts w:ascii="Tahoma" w:hAnsi="Tahoma" w:cs="Tahoma"/>
          <w:b w:val="0"/>
          <w:caps w:val="0"/>
          <w:szCs w:val="22"/>
        </w:rPr>
        <w:t xml:space="preserve">com endereço na </w:t>
      </w:r>
      <w:r w:rsidR="00D51EED">
        <w:rPr>
          <w:rFonts w:ascii="Tahoma" w:hAnsi="Tahoma" w:cs="Tahoma"/>
          <w:b w:val="0"/>
          <w:caps w:val="0"/>
          <w:szCs w:val="22"/>
        </w:rPr>
        <w:t>c</w:t>
      </w:r>
      <w:r w:rsidR="00AC0F56"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D51EED">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0"/>
      <w:bookmarkEnd w:id="39"/>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DV_M71"/>
      <w:bookmarkEnd w:id="40"/>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1" w:name="_Ref502860109"/>
      <w:bookmarkStart w:id="42"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3" w:name="_DV_M101"/>
      <w:bookmarkEnd w:id="43"/>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1"/>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38D09E7B" wp14:editId="365C969F">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lastRenderedPageBreak/>
        <w:drawing>
          <wp:anchor distT="0" distB="0" distL="114300" distR="114300" simplePos="0" relativeHeight="251676672" behindDoc="0" locked="0" layoutInCell="1" allowOverlap="1" wp14:anchorId="190B259C" wp14:editId="5BAE8EF6">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52AF6389" wp14:editId="2D8A556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O produtório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lastRenderedPageBreak/>
        <w:drawing>
          <wp:inline distT="0" distB="0" distL="0" distR="0" wp14:anchorId="2EFA8FE8" wp14:editId="5D6F820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Caso não haja acordo sobre a Taxa Substitutiva entre os Debenturistas e a Emissora, em deliberação realizada em Assembleia Geral de Debenturistas, ou caso não haja quórum para instalação e deliberação em segunda convocação, o IPCA deverá ser substituído pela </w:t>
      </w:r>
      <w:r w:rsidRPr="0003264F">
        <w:rPr>
          <w:rFonts w:ascii="Tahoma" w:hAnsi="Tahoma" w:cs="Tahoma"/>
          <w:b w:val="0"/>
          <w:caps w:val="0"/>
          <w:szCs w:val="22"/>
        </w:rPr>
        <w:lastRenderedPageBreak/>
        <w:t>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r w:rsidR="00106CC9">
        <w:rPr>
          <w:rFonts w:ascii="Tahoma" w:hAnsi="Tahoma" w:cs="Tahoma"/>
          <w:caps w:val="0"/>
          <w:szCs w:val="22"/>
        </w:rPr>
        <w:t xml:space="preserve"> </w:t>
      </w:r>
    </w:p>
    <w:p w:rsidR="00C362DB" w:rsidRPr="0003264F" w:rsidRDefault="001018D0" w:rsidP="000B5942">
      <w:pPr>
        <w:pStyle w:val="Level1"/>
        <w:keepNext w:val="0"/>
        <w:numPr>
          <w:ilvl w:val="1"/>
          <w:numId w:val="20"/>
        </w:numPr>
        <w:spacing w:before="0" w:after="240" w:line="320" w:lineRule="exact"/>
        <w:outlineLvl w:val="9"/>
        <w:rPr>
          <w:rFonts w:ascii="Tahoma" w:hAnsi="Tahoma" w:cs="Tahoma"/>
          <w:b w:val="0"/>
          <w:caps w:val="0"/>
          <w:szCs w:val="22"/>
        </w:rPr>
      </w:pPr>
      <w:bookmarkStart w:id="44" w:name="_Hlk18513389"/>
      <w:r w:rsidRPr="001018D0">
        <w:rPr>
          <w:rFonts w:ascii="Tahoma" w:hAnsi="Tahoma" w:cs="Tahoma"/>
          <w:b w:val="0"/>
          <w:caps w:val="0"/>
          <w:szCs w:val="22"/>
        </w:rPr>
        <w:t xml:space="preserve">A partir da primeira Data de Integralização das Debêntures, as Debêntures farão jus a juros remuneratórios, a serem definidos no </w:t>
      </w:r>
      <w:r w:rsidRPr="00A4423A">
        <w:rPr>
          <w:rFonts w:ascii="Tahoma" w:hAnsi="Tahoma" w:cs="Tahoma"/>
          <w:b w:val="0"/>
          <w:i/>
          <w:caps w:val="0"/>
          <w:szCs w:val="22"/>
        </w:rPr>
        <w:t>Procedimento de Bookbuilding</w:t>
      </w:r>
      <w:r w:rsidRPr="001018D0">
        <w:rPr>
          <w:rFonts w:ascii="Tahoma" w:hAnsi="Tahoma" w:cs="Tahoma"/>
          <w:b w:val="0"/>
          <w:caps w:val="0"/>
          <w:szCs w:val="22"/>
        </w:rPr>
        <w:t xml:space="preserve">, calculados de forma exponencial e cumulativa pro rata </w:t>
      </w:r>
      <w:proofErr w:type="spellStart"/>
      <w:r w:rsidRPr="001018D0">
        <w:rPr>
          <w:rFonts w:ascii="Tahoma" w:hAnsi="Tahoma" w:cs="Tahoma"/>
          <w:b w:val="0"/>
          <w:caps w:val="0"/>
          <w:szCs w:val="22"/>
        </w:rPr>
        <w:t>temporis</w:t>
      </w:r>
      <w:proofErr w:type="spellEnd"/>
      <w:r w:rsidRPr="001018D0">
        <w:rPr>
          <w:rFonts w:ascii="Tahoma" w:hAnsi="Tahoma" w:cs="Tahoma"/>
          <w:b w:val="0"/>
          <w:caps w:val="0"/>
          <w:szCs w:val="22"/>
        </w:rPr>
        <w:t xml:space="preserve">, por Dias Úteis decorridos, sobre o Valor </w:t>
      </w:r>
      <w:r w:rsidRPr="001018D0">
        <w:rPr>
          <w:rFonts w:ascii="Tahoma" w:hAnsi="Tahoma" w:cs="Tahoma"/>
          <w:b w:val="0"/>
          <w:caps w:val="0"/>
          <w:szCs w:val="22"/>
        </w:rPr>
        <w:lastRenderedPageBreak/>
        <w:t xml:space="preserve">Nominal Unitário Atualizado das Debêntures, </w:t>
      </w:r>
      <w:r w:rsidR="00474C0D" w:rsidRPr="00474C0D">
        <w:rPr>
          <w:rFonts w:ascii="Tahoma" w:hAnsi="Tahoma" w:cs="Tahoma"/>
          <w:b w:val="0"/>
          <w:caps w:val="0"/>
          <w:szCs w:val="22"/>
        </w:rPr>
        <w:t>a serem definidos no Procedimento de Bookbuilding, em cuja data será definida sobretaxa calculada</w:t>
      </w:r>
      <w:r w:rsidRPr="001018D0">
        <w:rPr>
          <w:rFonts w:ascii="Tahoma" w:hAnsi="Tahoma" w:cs="Tahoma"/>
          <w:b w:val="0"/>
          <w:caps w:val="0"/>
          <w:szCs w:val="22"/>
        </w:rPr>
        <w:t xml:space="preserve"> ao ano base 252 (duzentos e cinquenta e dois) Dias Úteis, acrescida exponencialmente </w:t>
      </w:r>
      <w:r w:rsidR="000B5942" w:rsidRPr="000B5942">
        <w:rPr>
          <w:rFonts w:ascii="Tahoma" w:hAnsi="Tahoma" w:cs="Tahoma"/>
          <w:b w:val="0"/>
          <w:caps w:val="0"/>
          <w:szCs w:val="22"/>
        </w:rPr>
        <w:t xml:space="preserve">à variação acumulada </w:t>
      </w:r>
      <w:r w:rsidR="000B5942" w:rsidRPr="00BF4D86">
        <w:rPr>
          <w:rFonts w:ascii="Tahoma" w:hAnsi="Tahoma" w:cs="Tahoma"/>
          <w:b w:val="0"/>
          <w:caps w:val="0"/>
          <w:szCs w:val="22"/>
        </w:rPr>
        <w:t>IPCA</w:t>
      </w:r>
      <w:r w:rsidR="000B5942" w:rsidRPr="000B5942">
        <w:rPr>
          <w:rFonts w:ascii="Tahoma" w:hAnsi="Tahoma" w:cs="Tahoma"/>
          <w:b w:val="0"/>
          <w:caps w:val="0"/>
          <w:szCs w:val="22"/>
        </w:rPr>
        <w:t xml:space="preserve">, apurado e divulgado mensalmente pelo </w:t>
      </w:r>
      <w:bookmarkStart w:id="45" w:name="_GoBack"/>
      <w:r w:rsidR="000B5942" w:rsidRPr="0008570C">
        <w:rPr>
          <w:rFonts w:ascii="Tahoma" w:hAnsi="Tahoma" w:cs="Tahoma"/>
          <w:b w:val="0"/>
          <w:caps w:val="0"/>
          <w:szCs w:val="22"/>
        </w:rPr>
        <w:t>IBGE</w:t>
      </w:r>
      <w:bookmarkEnd w:id="45"/>
      <w:r w:rsidR="000B5942" w:rsidRPr="000B5942">
        <w:rPr>
          <w:rFonts w:ascii="Tahoma" w:hAnsi="Tahoma" w:cs="Tahoma"/>
          <w:b w:val="0"/>
          <w:caps w:val="0"/>
          <w:szCs w:val="22"/>
        </w:rPr>
        <w:t xml:space="preserve"> de forma que tal produtório, em tal data, corresponda ao produtório da NTN-B 2028 com Juros Semestrais e remuneração de 2,25% (dois inteiros e vinte e cinco por cento). A taxa da NTN-B 2028 será</w:t>
      </w:r>
      <w:r w:rsidRPr="001018D0">
        <w:rPr>
          <w:rFonts w:ascii="Tahoma" w:hAnsi="Tahoma" w:cs="Tahoma"/>
          <w:b w:val="0"/>
          <w:caps w:val="0"/>
          <w:szCs w:val="22"/>
        </w:rPr>
        <w:t xml:space="preserve"> baseada na cotação indicativa divulgada pela ANBIMA em sua página na internet </w:t>
      </w:r>
      <w:r w:rsidRPr="00A4423A">
        <w:rPr>
          <w:rFonts w:ascii="Tahoma" w:hAnsi="Tahoma" w:cs="Tahoma"/>
          <w:b w:val="0"/>
          <w:caps w:val="0"/>
          <w:szCs w:val="22"/>
        </w:rPr>
        <w:t>(http://www.anbima.com.br)</w:t>
      </w:r>
      <w:r w:rsidRPr="001018D0">
        <w:rPr>
          <w:rFonts w:ascii="Tahoma" w:hAnsi="Tahoma" w:cs="Tahoma"/>
          <w:b w:val="0"/>
          <w:caps w:val="0"/>
          <w:szCs w:val="22"/>
        </w:rPr>
        <w:t xml:space="preserve">, a ser apurada no fechamento do Dia Útil imediatamente anterior à data de realização do </w:t>
      </w:r>
      <w:r w:rsidRPr="00A4423A">
        <w:rPr>
          <w:rFonts w:ascii="Tahoma" w:hAnsi="Tahoma" w:cs="Tahoma"/>
          <w:b w:val="0"/>
          <w:i/>
          <w:caps w:val="0"/>
          <w:szCs w:val="22"/>
        </w:rPr>
        <w:t>Procedimento de Bookbuilding</w:t>
      </w:r>
      <w:r w:rsidRPr="001018D0">
        <w:rPr>
          <w:rFonts w:ascii="Tahoma" w:hAnsi="Tahoma" w:cs="Tahoma"/>
          <w:b w:val="0"/>
          <w:caps w:val="0"/>
          <w:szCs w:val="22"/>
        </w:rPr>
        <w:t xml:space="preserve">, calculada de forma exponencial e cumulativa pro rata </w:t>
      </w:r>
      <w:proofErr w:type="spellStart"/>
      <w:r w:rsidRPr="001018D0">
        <w:rPr>
          <w:rFonts w:ascii="Tahoma" w:hAnsi="Tahoma" w:cs="Tahoma"/>
          <w:b w:val="0"/>
          <w:caps w:val="0"/>
          <w:szCs w:val="22"/>
        </w:rPr>
        <w:t>temporis</w:t>
      </w:r>
      <w:proofErr w:type="spellEnd"/>
      <w:r w:rsidRPr="001018D0">
        <w:rPr>
          <w:rFonts w:ascii="Tahoma" w:hAnsi="Tahoma" w:cs="Tahoma"/>
          <w:b w:val="0"/>
          <w:caps w:val="0"/>
          <w:szCs w:val="22"/>
        </w:rPr>
        <w:t xml:space="preserve"> por Dias Úteis decorridos, desde a Data de Integralização das Debêntures ou a data de pagamento da Remuneração das Debêntures imediatamente anterior (inclusive), conforme o caso, até a data do efetivo pagamento (exclusive)</w:t>
      </w:r>
      <w:r>
        <w:rPr>
          <w:rFonts w:ascii="Tahoma" w:hAnsi="Tahoma" w:cs="Tahoma"/>
          <w:b w:val="0"/>
          <w:caps w:val="0"/>
          <w:szCs w:val="22"/>
        </w:rPr>
        <w:t xml:space="preserve"> </w:t>
      </w:r>
      <w:r w:rsidR="003F0724" w:rsidRPr="0003264F">
        <w:rPr>
          <w:rFonts w:ascii="Tahoma" w:hAnsi="Tahoma" w:cs="Tahoma"/>
          <w:b w:val="0"/>
          <w:caps w:val="0"/>
          <w:szCs w:val="22"/>
        </w:rPr>
        <w:t>(“</w:t>
      </w:r>
      <w:r w:rsidR="003F0724" w:rsidRPr="0003264F">
        <w:rPr>
          <w:rFonts w:ascii="Tahoma" w:hAnsi="Tahoma" w:cs="Tahoma"/>
          <w:b w:val="0"/>
          <w:caps w:val="0"/>
          <w:szCs w:val="22"/>
          <w:u w:val="single"/>
        </w:rPr>
        <w:t>Remuneração</w:t>
      </w:r>
      <w:r w:rsidR="003F0724" w:rsidRPr="0003264F">
        <w:rPr>
          <w:rFonts w:ascii="Tahoma" w:hAnsi="Tahoma" w:cs="Tahoma"/>
          <w:b w:val="0"/>
          <w:caps w:val="0"/>
          <w:szCs w:val="22"/>
        </w:rPr>
        <w:t>” ou “</w:t>
      </w:r>
      <w:r w:rsidR="003F0724" w:rsidRPr="0003264F">
        <w:rPr>
          <w:rFonts w:ascii="Tahoma" w:hAnsi="Tahoma" w:cs="Tahoma"/>
          <w:b w:val="0"/>
          <w:caps w:val="0"/>
          <w:szCs w:val="22"/>
          <w:u w:val="single"/>
        </w:rPr>
        <w:t>Juros Remuneratórios</w:t>
      </w:r>
      <w:r w:rsidR="003F0724" w:rsidRPr="0003264F">
        <w:rPr>
          <w:rFonts w:ascii="Tahoma" w:hAnsi="Tahoma" w:cs="Tahoma"/>
          <w:b w:val="0"/>
          <w:caps w:val="0"/>
          <w:szCs w:val="22"/>
        </w:rPr>
        <w:t xml:space="preserve">”). </w:t>
      </w:r>
      <w:bookmarkEnd w:id="44"/>
      <w:r w:rsidR="00D63A77" w:rsidRPr="00F24A84">
        <w:rPr>
          <w:rFonts w:ascii="Tahoma" w:hAnsi="Tahoma" w:cs="Tahoma"/>
          <w:b w:val="0"/>
          <w:caps w:val="0"/>
          <w:szCs w:val="22"/>
        </w:rPr>
        <w:t>A Remuneração será calculada de acordo com a seguinte fórmula:</w:t>
      </w:r>
      <w:r w:rsidR="000A672F">
        <w:rPr>
          <w:rFonts w:ascii="Tahoma" w:hAnsi="Tahoma" w:cs="Tahoma"/>
          <w:b w:val="0"/>
          <w:caps w:val="0"/>
          <w:szCs w:val="22"/>
        </w:rPr>
        <w:t xml:space="preserve"> </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6" w:name="_Hlk534400267"/>
      <w:r w:rsidRPr="00CB2994">
        <w:rPr>
          <w:rFonts w:ascii="Tahoma" w:hAnsi="Tahoma" w:cs="Tahoma"/>
          <w:bCs/>
          <w:iCs/>
          <w:sz w:val="22"/>
          <w:szCs w:val="22"/>
        </w:rPr>
        <w:t>“J” = valor unitário da Remuneração acumulada no período, devida no</w:t>
      </w:r>
      <w:r w:rsidR="00A854EB">
        <w:rPr>
          <w:rFonts w:ascii="Tahoma" w:hAnsi="Tahoma" w:cs="Tahoma"/>
          <w:bCs/>
          <w:iCs/>
          <w:sz w:val="22"/>
          <w:szCs w:val="22"/>
        </w:rPr>
        <w:t xml:space="preserve"> </w:t>
      </w:r>
      <w:r w:rsidRPr="00CB2994">
        <w:rPr>
          <w:rFonts w:ascii="Tahoma" w:hAnsi="Tahoma" w:cs="Tahoma"/>
          <w:bCs/>
          <w:iCs/>
          <w:sz w:val="22"/>
          <w:szCs w:val="22"/>
        </w:rPr>
        <w:t>Período de 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6"/>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BE71BF" w:rsidRPr="00DE5208">
        <w:rPr>
          <w:rFonts w:ascii="Tahoma" w:eastAsia="Arial Unicode MS" w:hAnsi="Tahoma" w:cs="Tahoma"/>
          <w:bCs/>
          <w:color w:val="000000"/>
          <w:sz w:val="22"/>
          <w:szCs w:val="22"/>
        </w:rPr>
        <w:t xml:space="preserve">taxa de juros fixa, na forma nominal, informada com 4 (quatro) casas decimais, a ser definida no Procedimento de </w:t>
      </w:r>
      <w:r w:rsidR="00BE71BF" w:rsidRPr="00DE5208">
        <w:rPr>
          <w:rFonts w:ascii="Tahoma" w:eastAsia="Arial Unicode MS" w:hAnsi="Tahoma" w:cs="Tahoma"/>
          <w:bCs/>
          <w:i/>
          <w:iCs/>
          <w:color w:val="000000"/>
          <w:sz w:val="22"/>
          <w:szCs w:val="22"/>
        </w:rPr>
        <w:t>Bookbuilding</w:t>
      </w:r>
      <w:r w:rsidR="005D69B4"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w:t>
      </w:r>
      <w:r w:rsidR="009A074F" w:rsidRPr="00866E16">
        <w:rPr>
          <w:rFonts w:ascii="Tahoma" w:hAnsi="Tahoma" w:cs="Tahoma"/>
          <w:b w:val="0"/>
          <w:caps w:val="0"/>
          <w:szCs w:val="22"/>
        </w:rPr>
        <w:t xml:space="preserve">número de dias úteis entre a primeira </w:t>
      </w:r>
      <w:r w:rsidR="009A074F">
        <w:rPr>
          <w:rFonts w:ascii="Tahoma" w:hAnsi="Tahoma" w:cs="Tahoma"/>
          <w:b w:val="0"/>
          <w:caps w:val="0"/>
          <w:szCs w:val="22"/>
        </w:rPr>
        <w:t>D</w:t>
      </w:r>
      <w:r w:rsidR="009A074F" w:rsidRPr="00866E16">
        <w:rPr>
          <w:rFonts w:ascii="Tahoma" w:hAnsi="Tahoma" w:cs="Tahoma"/>
          <w:b w:val="0"/>
          <w:caps w:val="0"/>
          <w:szCs w:val="22"/>
        </w:rPr>
        <w:t xml:space="preserve">ata de </w:t>
      </w:r>
      <w:r w:rsidR="009A074F">
        <w:rPr>
          <w:rFonts w:ascii="Tahoma" w:hAnsi="Tahoma" w:cs="Tahoma"/>
          <w:b w:val="0"/>
          <w:caps w:val="0"/>
          <w:szCs w:val="22"/>
        </w:rPr>
        <w:t>I</w:t>
      </w:r>
      <w:r w:rsidR="009A074F" w:rsidRPr="00866E16">
        <w:rPr>
          <w:rFonts w:ascii="Tahoma" w:hAnsi="Tahoma" w:cs="Tahoma"/>
          <w:b w:val="0"/>
          <w:caps w:val="0"/>
          <w:szCs w:val="22"/>
        </w:rPr>
        <w:t xml:space="preserve">ntegralização das </w:t>
      </w:r>
      <w:r w:rsidR="009A074F">
        <w:rPr>
          <w:rFonts w:ascii="Tahoma" w:hAnsi="Tahoma" w:cs="Tahoma"/>
          <w:b w:val="0"/>
          <w:caps w:val="0"/>
          <w:szCs w:val="22"/>
        </w:rPr>
        <w:t>D</w:t>
      </w:r>
      <w:r w:rsidR="009A074F" w:rsidRPr="00866E16">
        <w:rPr>
          <w:rFonts w:ascii="Tahoma" w:hAnsi="Tahoma" w:cs="Tahoma"/>
          <w:b w:val="0"/>
          <w:caps w:val="0"/>
          <w:szCs w:val="22"/>
        </w:rPr>
        <w:t>ebênt</w:t>
      </w:r>
      <w:r w:rsidR="009A074F">
        <w:rPr>
          <w:rFonts w:ascii="Tahoma" w:hAnsi="Tahoma" w:cs="Tahoma"/>
          <w:b w:val="0"/>
          <w:caps w:val="0"/>
          <w:szCs w:val="22"/>
        </w:rPr>
        <w:t>ures, a Data de Incorporação de Juros ou a data de pagamento de R</w:t>
      </w:r>
      <w:r w:rsidR="009A074F" w:rsidRPr="00866E16">
        <w:rPr>
          <w:rFonts w:ascii="Tahoma" w:hAnsi="Tahoma" w:cs="Tahoma"/>
          <w:b w:val="0"/>
          <w:caps w:val="0"/>
          <w:szCs w:val="22"/>
        </w:rPr>
        <w:t>emuneração imediatamente anterior, conforme o caso, e a data de cálculo, sendo ‘</w:t>
      </w:r>
      <w:proofErr w:type="spellStart"/>
      <w:r w:rsidR="009A074F" w:rsidRPr="00866E16">
        <w:rPr>
          <w:rFonts w:ascii="Tahoma" w:hAnsi="Tahoma" w:cs="Tahoma"/>
          <w:b w:val="0"/>
          <w:caps w:val="0"/>
          <w:szCs w:val="22"/>
        </w:rPr>
        <w:t>dp</w:t>
      </w:r>
      <w:proofErr w:type="spellEnd"/>
      <w:r w:rsidR="009A074F" w:rsidRPr="00866E16">
        <w:rPr>
          <w:rFonts w:ascii="Tahoma" w:hAnsi="Tahoma" w:cs="Tahoma"/>
          <w:b w:val="0"/>
          <w:caps w:val="0"/>
          <w:szCs w:val="22"/>
        </w:rPr>
        <w:t>’ um número inteiro</w:t>
      </w:r>
      <w:r w:rsidRPr="00866E16">
        <w:rPr>
          <w:rFonts w:ascii="Tahoma" w:hAnsi="Tahoma" w:cs="Tahoma"/>
          <w:b w:val="0"/>
          <w:caps w:val="0"/>
          <w:szCs w:val="22"/>
        </w:rPr>
        <w:t>.</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lastRenderedPageBreak/>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bookmarkEnd w:id="42"/>
      <w:r w:rsidR="00A854EB">
        <w:rPr>
          <w:rFonts w:ascii="Tahoma" w:hAnsi="Tahoma" w:cs="Tahoma"/>
          <w:caps w:val="0"/>
          <w:szCs w:val="22"/>
        </w:rPr>
        <w:t xml:space="preserve">e </w:t>
      </w:r>
      <w:r w:rsidR="0031109B" w:rsidRPr="00445D93">
        <w:rPr>
          <w:rFonts w:ascii="Tahoma" w:hAnsi="Tahoma" w:cs="Tahoma"/>
          <w:caps w:val="0"/>
          <w:szCs w:val="22"/>
        </w:rPr>
        <w:t>Pagamento da Remuneração</w:t>
      </w:r>
    </w:p>
    <w:p w:rsidR="00D4713D" w:rsidRPr="00062DB9" w:rsidRDefault="009A074F"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Pr>
          <w:rFonts w:ascii="Tahoma" w:hAnsi="Tahoma" w:cs="Tahoma"/>
          <w:b w:val="0"/>
          <w:caps w:val="0"/>
          <w:szCs w:val="22"/>
        </w:rPr>
        <w:t>n</w:t>
      </w:r>
      <w:r w:rsidRPr="00062DB9">
        <w:rPr>
          <w:rFonts w:ascii="Tahoma" w:hAnsi="Tahoma" w:cs="Tahoma"/>
          <w:b w:val="0"/>
          <w:caps w:val="0"/>
          <w:szCs w:val="22"/>
        </w:rPr>
        <w:t xml:space="preserve">a primeira Data de Integralização das Debêntures </w:t>
      </w:r>
      <w:r w:rsidR="006D6FFA">
        <w:rPr>
          <w:rFonts w:ascii="Tahoma" w:hAnsi="Tahoma" w:cs="Tahoma"/>
          <w:b w:val="0"/>
          <w:caps w:val="0"/>
          <w:szCs w:val="22"/>
        </w:rPr>
        <w:t xml:space="preserve">(inclusive) </w:t>
      </w:r>
      <w:r w:rsidRPr="00062DB9">
        <w:rPr>
          <w:rFonts w:ascii="Tahoma" w:hAnsi="Tahoma" w:cs="Tahoma"/>
          <w:b w:val="0"/>
          <w:caps w:val="0"/>
          <w:szCs w:val="22"/>
        </w:rPr>
        <w:t>e termina em 30 de março de 2021 (“</w:t>
      </w:r>
      <w:r w:rsidRPr="00062DB9">
        <w:rPr>
          <w:rFonts w:ascii="Tahoma" w:hAnsi="Tahoma" w:cs="Tahoma"/>
          <w:b w:val="0"/>
          <w:caps w:val="0"/>
          <w:szCs w:val="22"/>
          <w:u w:val="single"/>
        </w:rPr>
        <w:t>Data de Incorporação de Juros</w:t>
      </w:r>
      <w:r w:rsidRPr="00062DB9">
        <w:rPr>
          <w:rFonts w:ascii="Tahoma" w:hAnsi="Tahoma" w:cs="Tahoma"/>
          <w:b w:val="0"/>
          <w:caps w:val="0"/>
          <w:szCs w:val="22"/>
        </w:rPr>
        <w:t>”)</w:t>
      </w:r>
      <w:r w:rsidR="006D6FFA">
        <w:rPr>
          <w:rFonts w:ascii="Tahoma" w:hAnsi="Tahoma" w:cs="Tahoma"/>
          <w:b w:val="0"/>
          <w:caps w:val="0"/>
          <w:szCs w:val="22"/>
        </w:rPr>
        <w:t xml:space="preserve"> (exclusive)</w:t>
      </w:r>
      <w:r w:rsidRPr="00062DB9">
        <w:rPr>
          <w:rFonts w:ascii="Tahoma" w:hAnsi="Tahoma" w:cs="Tahoma"/>
          <w:b w:val="0"/>
          <w:caps w:val="0"/>
          <w:szCs w:val="22"/>
        </w:rPr>
        <w:t xml:space="preserve">, no caso do </w:t>
      </w:r>
      <w:r>
        <w:rPr>
          <w:rFonts w:ascii="Tahoma" w:hAnsi="Tahoma" w:cs="Tahoma"/>
          <w:b w:val="0"/>
          <w:caps w:val="0"/>
          <w:szCs w:val="22"/>
        </w:rPr>
        <w:t xml:space="preserve">primeiro </w:t>
      </w:r>
      <w:r w:rsidRPr="00062DB9">
        <w:rPr>
          <w:rFonts w:ascii="Tahoma" w:hAnsi="Tahoma" w:cs="Tahoma"/>
          <w:b w:val="0"/>
          <w:caps w:val="0"/>
          <w:szCs w:val="22"/>
        </w:rPr>
        <w:t>Período de Capitalização (“</w:t>
      </w:r>
      <w:r>
        <w:rPr>
          <w:rFonts w:ascii="Tahoma" w:hAnsi="Tahoma" w:cs="Tahoma"/>
          <w:b w:val="0"/>
          <w:caps w:val="0"/>
          <w:szCs w:val="22"/>
          <w:u w:val="single"/>
        </w:rPr>
        <w:t xml:space="preserve">Primeiro </w:t>
      </w:r>
      <w:r w:rsidRPr="00062DB9">
        <w:rPr>
          <w:rFonts w:ascii="Tahoma" w:hAnsi="Tahoma" w:cs="Tahoma"/>
          <w:b w:val="0"/>
          <w:caps w:val="0"/>
          <w:szCs w:val="22"/>
          <w:u w:val="single"/>
        </w:rPr>
        <w:t>Período de Capitalização</w:t>
      </w:r>
      <w:r w:rsidRPr="00062DB9">
        <w:rPr>
          <w:rFonts w:ascii="Tahoma" w:hAnsi="Tahoma" w:cs="Tahoma"/>
          <w:b w:val="0"/>
          <w:caps w:val="0"/>
          <w:szCs w:val="22"/>
        </w:rPr>
        <w:t xml:space="preserve">”). </w:t>
      </w:r>
      <w:r w:rsidRPr="00E96B0E">
        <w:rPr>
          <w:rFonts w:ascii="Tahoma" w:hAnsi="Tahoma" w:cs="Tahoma"/>
          <w:b w:val="0"/>
          <w:caps w:val="0"/>
          <w:szCs w:val="22"/>
        </w:rPr>
        <w:t xml:space="preserve">Após </w:t>
      </w:r>
      <w:r w:rsidR="00B022D8">
        <w:rPr>
          <w:rFonts w:ascii="Tahoma" w:hAnsi="Tahoma" w:cs="Tahoma"/>
          <w:b w:val="0"/>
          <w:caps w:val="0"/>
          <w:szCs w:val="22"/>
        </w:rPr>
        <w:t xml:space="preserve">a Data de Incorporação de Juros, </w:t>
      </w:r>
      <w:r w:rsidRPr="00E96B0E">
        <w:rPr>
          <w:rFonts w:ascii="Tahoma" w:hAnsi="Tahoma" w:cs="Tahoma"/>
          <w:b w:val="0"/>
          <w:caps w:val="0"/>
          <w:szCs w:val="22"/>
        </w:rPr>
        <w:t>o Período de Capitalização será o intervalo de tempo que se inicia</w:t>
      </w:r>
      <w:r w:rsidR="00E13C1E">
        <w:rPr>
          <w:rFonts w:ascii="Tahoma" w:hAnsi="Tahoma" w:cs="Tahoma"/>
          <w:b w:val="0"/>
          <w:caps w:val="0"/>
          <w:szCs w:val="22"/>
        </w:rPr>
        <w:t xml:space="preserve"> </w:t>
      </w:r>
      <w:r w:rsidRPr="00062DB9">
        <w:rPr>
          <w:rFonts w:ascii="Tahoma" w:hAnsi="Tahoma" w:cs="Tahoma"/>
          <w:b w:val="0"/>
          <w:caps w:val="0"/>
          <w:szCs w:val="22"/>
        </w:rPr>
        <w:t xml:space="preserve">na Data de Incorporação de Juros </w:t>
      </w:r>
      <w:r>
        <w:rPr>
          <w:rFonts w:ascii="Tahoma" w:hAnsi="Tahoma" w:cs="Tahoma"/>
          <w:b w:val="0"/>
          <w:caps w:val="0"/>
          <w:szCs w:val="22"/>
        </w:rPr>
        <w:t>ou na Data de Pagamento da Remuneração imediatamente anterior</w:t>
      </w:r>
      <w:r w:rsidR="006D6FFA">
        <w:rPr>
          <w:rFonts w:ascii="Tahoma" w:hAnsi="Tahoma" w:cs="Tahoma"/>
          <w:b w:val="0"/>
          <w:caps w:val="0"/>
          <w:szCs w:val="22"/>
        </w:rPr>
        <w:t xml:space="preserve"> (inclusive)</w:t>
      </w:r>
      <w:r>
        <w:rPr>
          <w:rFonts w:ascii="Tahoma" w:hAnsi="Tahoma" w:cs="Tahoma"/>
          <w:b w:val="0"/>
          <w:caps w:val="0"/>
          <w:szCs w:val="22"/>
        </w:rPr>
        <w:t>, conforme o caso, e termina na próxima Data de Pagamento da Remuneração</w:t>
      </w:r>
      <w:r w:rsidR="006D6FFA">
        <w:rPr>
          <w:rFonts w:ascii="Tahoma" w:hAnsi="Tahoma" w:cs="Tahoma"/>
          <w:b w:val="0"/>
          <w:caps w:val="0"/>
          <w:szCs w:val="22"/>
        </w:rPr>
        <w:t xml:space="preserve"> (exclusive)</w:t>
      </w:r>
      <w:r w:rsidR="00062DB9">
        <w:rPr>
          <w:rFonts w:ascii="Tahoma" w:hAnsi="Tahoma" w:cs="Tahoma"/>
          <w:b w:val="0"/>
          <w:caps w:val="0"/>
          <w:szCs w:val="22"/>
        </w:rPr>
        <w:t>.</w:t>
      </w:r>
    </w:p>
    <w:p w:rsidR="009A074F" w:rsidRDefault="009A074F"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 xml:space="preserve">A Remuneração </w:t>
      </w:r>
      <w:r w:rsidRPr="00E96B0E">
        <w:rPr>
          <w:rFonts w:ascii="Tahoma" w:hAnsi="Tahoma" w:cs="Tahoma"/>
          <w:b w:val="0"/>
          <w:caps w:val="0"/>
          <w:szCs w:val="22"/>
        </w:rPr>
        <w:t xml:space="preserve">devida na Data de Incorporação de Juros será capitalizada, incorporando-se automaticamente ao Valor Nominal Unitário Atualizado das </w:t>
      </w:r>
      <w:proofErr w:type="spellStart"/>
      <w:r w:rsidRPr="00E96B0E">
        <w:rPr>
          <w:rFonts w:ascii="Tahoma" w:hAnsi="Tahoma" w:cs="Tahoma"/>
          <w:b w:val="0"/>
          <w:caps w:val="0"/>
          <w:szCs w:val="22"/>
        </w:rPr>
        <w:t>Debêntures.</w:t>
      </w:r>
      <w:r w:rsidRPr="00062DB9">
        <w:rPr>
          <w:rFonts w:ascii="Tahoma" w:hAnsi="Tahoma" w:cs="Tahoma"/>
          <w:b w:val="0"/>
          <w:caps w:val="0"/>
          <w:szCs w:val="22"/>
        </w:rPr>
        <w:t>Fica</w:t>
      </w:r>
      <w:proofErr w:type="spellEnd"/>
      <w:r w:rsidRPr="00062DB9">
        <w:rPr>
          <w:rFonts w:ascii="Tahoma" w:hAnsi="Tahoma" w:cs="Tahoma"/>
          <w:b w:val="0"/>
          <w:caps w:val="0"/>
          <w:szCs w:val="22"/>
        </w:rPr>
        <w:t xml:space="preserve"> desde já certo que a Remuneração relativa aos demais </w:t>
      </w:r>
      <w:proofErr w:type="spellStart"/>
      <w:r w:rsidRPr="00062DB9">
        <w:rPr>
          <w:rFonts w:ascii="Tahoma" w:hAnsi="Tahoma" w:cs="Tahoma"/>
          <w:b w:val="0"/>
          <w:caps w:val="0"/>
          <w:szCs w:val="22"/>
        </w:rPr>
        <w:t>Periodos</w:t>
      </w:r>
      <w:proofErr w:type="spellEnd"/>
      <w:r w:rsidRPr="00062DB9">
        <w:rPr>
          <w:rFonts w:ascii="Tahoma" w:hAnsi="Tahoma" w:cs="Tahoma"/>
          <w:b w:val="0"/>
          <w:caps w:val="0"/>
          <w:szCs w:val="22"/>
        </w:rPr>
        <w:t xml:space="preserve"> de Capitalização será paga semestralmente, sempre no dia 30 (trinta) dos meses de março e setembro de cada ano, nos termos da Cláusula 5.22.</w:t>
      </w:r>
      <w:r>
        <w:rPr>
          <w:rFonts w:ascii="Tahoma" w:hAnsi="Tahoma" w:cs="Tahoma"/>
          <w:b w:val="0"/>
          <w:caps w:val="0"/>
          <w:szCs w:val="22"/>
        </w:rPr>
        <w:t>3</w:t>
      </w:r>
      <w:r w:rsidRPr="00062DB9">
        <w:rPr>
          <w:rFonts w:ascii="Tahoma" w:hAnsi="Tahoma" w:cs="Tahoma"/>
          <w:b w:val="0"/>
          <w:caps w:val="0"/>
          <w:szCs w:val="22"/>
        </w:rPr>
        <w:t xml:space="preserve">. </w:t>
      </w:r>
      <w:proofErr w:type="gramStart"/>
      <w:r w:rsidRPr="00062DB9">
        <w:rPr>
          <w:rFonts w:ascii="Tahoma" w:hAnsi="Tahoma" w:cs="Tahoma"/>
          <w:b w:val="0"/>
          <w:caps w:val="0"/>
          <w:szCs w:val="22"/>
        </w:rPr>
        <w:t>abaixo</w:t>
      </w:r>
      <w:proofErr w:type="gramEnd"/>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r w:rsidR="00766166">
        <w:rPr>
          <w:rFonts w:ascii="Tahoma" w:hAnsi="Tahoma" w:cs="Tahoma"/>
          <w:b w:val="0"/>
          <w:caps w:val="0"/>
          <w:szCs w:val="22"/>
        </w:rPr>
        <w:t xml:space="preserve">Primeiro </w:t>
      </w:r>
      <w:r w:rsidR="00A4168E">
        <w:rPr>
          <w:rFonts w:ascii="Tahoma" w:hAnsi="Tahoma" w:cs="Tahoma"/>
          <w:b w:val="0"/>
          <w:caps w:val="0"/>
          <w:szCs w:val="22"/>
        </w:rPr>
        <w:t>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w:t>
      </w:r>
      <w:r w:rsidR="00BE0B40">
        <w:rPr>
          <w:rFonts w:ascii="Tahoma" w:hAnsi="Tahoma" w:cs="Tahoma"/>
          <w:b w:val="0"/>
          <w:caps w:val="0"/>
          <w:szCs w:val="22"/>
        </w:rPr>
        <w:t xml:space="preserve">7 </w:t>
      </w:r>
      <w:r w:rsidR="00A4168E">
        <w:rPr>
          <w:rFonts w:ascii="Tahoma" w:hAnsi="Tahoma" w:cs="Tahoma"/>
          <w:b w:val="0"/>
          <w:caps w:val="0"/>
          <w:szCs w:val="22"/>
        </w:rPr>
        <w:t>(</w:t>
      </w:r>
      <w:r w:rsidR="00BE0B40">
        <w:rPr>
          <w:rFonts w:ascii="Tahoma" w:hAnsi="Tahoma" w:cs="Tahoma"/>
          <w:b w:val="0"/>
          <w:caps w:val="0"/>
          <w:szCs w:val="22"/>
        </w:rPr>
        <w:t>sete</w:t>
      </w:r>
      <w:r w:rsidR="00A4168E">
        <w:rPr>
          <w:rFonts w:ascii="Tahoma" w:hAnsi="Tahoma" w:cs="Tahoma"/>
          <w:b w:val="0"/>
          <w:caps w:val="0"/>
          <w:szCs w:val="22"/>
        </w:rPr>
        <w:t>) dias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xml:space="preserve">”). Caso não ocorra a subscrição e a integralização da totalidade das Debêntures na Data de Integralização por motivos operacionais, esta deverá </w:t>
      </w:r>
      <w:r w:rsidRPr="0003264F">
        <w:rPr>
          <w:rFonts w:ascii="Tahoma" w:hAnsi="Tahoma" w:cs="Tahoma"/>
          <w:b w:val="0"/>
          <w:caps w:val="0"/>
          <w:szCs w:val="22"/>
        </w:rPr>
        <w:lastRenderedPageBreak/>
        <w:t>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Percentual do</w:t>
            </w:r>
            <w:r w:rsidR="006D6FFA">
              <w:rPr>
                <w:rFonts w:ascii="Tahoma" w:hAnsi="Tahoma" w:cs="Tahoma"/>
                <w:b/>
                <w:sz w:val="22"/>
                <w:szCs w:val="22"/>
              </w:rPr>
              <w:t xml:space="preserve"> saldo do</w:t>
            </w:r>
            <w:r w:rsidRPr="00976FEA">
              <w:rPr>
                <w:rFonts w:ascii="Tahoma" w:hAnsi="Tahoma" w:cs="Tahoma"/>
                <w:b/>
                <w:sz w:val="22"/>
                <w:szCs w:val="22"/>
              </w:rPr>
              <w:t xml:space="preserve"> Valor Nominal Unitário Atualizado a </w:t>
            </w:r>
            <w:proofErr w:type="gramStart"/>
            <w:r w:rsidRPr="00976FEA">
              <w:rPr>
                <w:rFonts w:ascii="Tahoma" w:hAnsi="Tahoma" w:cs="Tahoma"/>
                <w:b/>
                <w:sz w:val="22"/>
                <w:szCs w:val="22"/>
              </w:rPr>
              <w:t>ser Amortizado</w:t>
            </w:r>
            <w:proofErr w:type="gramEnd"/>
          </w:p>
        </w:tc>
      </w:tr>
      <w:tr w:rsidR="009A074F" w:rsidRPr="0003264F" w:rsidTr="00E63E16">
        <w:trPr>
          <w:trHeight w:val="300"/>
        </w:trPr>
        <w:tc>
          <w:tcPr>
            <w:tcW w:w="2280" w:type="dxa"/>
            <w:shd w:val="clear" w:color="auto" w:fill="auto"/>
            <w:noWrap/>
            <w:vAlign w:val="center"/>
            <w:hideMark/>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1,5000%</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1,5228%</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2,0619%</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2,1053%</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3,2258%</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9A074F" w:rsidRPr="0003264F" w:rsidDel="00060481"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
          <w:p w:rsidR="009A074F" w:rsidRPr="000E41C0" w:rsidDel="00060481"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2,8736%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2,9586%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6,0976%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6,4935%</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8,3333%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9,0909%</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11,1111%</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12,5000%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14,2857%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16,6667%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lastRenderedPageBreak/>
              <w:t>19ª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25,0000%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50,0000%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100,0000%</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7" w:name="_Ref403402607"/>
      <w:r w:rsidRPr="0003264F">
        <w:rPr>
          <w:rFonts w:ascii="Tahoma" w:hAnsi="Tahoma" w:cs="Tahoma"/>
          <w:b w:val="0"/>
          <w:caps w:val="0"/>
          <w:szCs w:val="22"/>
        </w:rPr>
        <w:t>Para fins do Resgate Antecipado Facultativo,</w:t>
      </w:r>
      <w:bookmarkEnd w:id="47"/>
      <w:r w:rsidR="0031109B" w:rsidRPr="0003264F">
        <w:rPr>
          <w:rFonts w:ascii="Tahoma" w:hAnsi="Tahoma" w:cs="Tahoma"/>
          <w:b w:val="0"/>
          <w:caps w:val="0"/>
          <w:szCs w:val="22"/>
        </w:rPr>
        <w:t xml:space="preserve"> </w:t>
      </w:r>
      <w:bookmarkStart w:id="48"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8"/>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9"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9"/>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0" w:name="_Ref420336525"/>
      <w:r w:rsidRPr="0003264F">
        <w:rPr>
          <w:rFonts w:ascii="Tahoma" w:hAnsi="Tahoma" w:cs="Tahoma"/>
          <w:caps w:val="0"/>
          <w:szCs w:val="22"/>
        </w:rPr>
        <w:t>Publicidade</w:t>
      </w:r>
      <w:bookmarkEnd w:id="50"/>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1"/>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2"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w:t>
      </w:r>
      <w:r w:rsidRPr="0003264F">
        <w:rPr>
          <w:rFonts w:ascii="Tahoma" w:hAnsi="Tahoma" w:cs="Tahoma"/>
          <w:b w:val="0"/>
          <w:caps w:val="0"/>
          <w:szCs w:val="22"/>
        </w:rPr>
        <w:lastRenderedPageBreak/>
        <w:t>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3" w:name="_Ref501559337"/>
      <w:bookmarkEnd w:id="52"/>
      <w:r w:rsidRPr="0003264F">
        <w:rPr>
          <w:rFonts w:ascii="Tahoma" w:hAnsi="Tahoma" w:cs="Tahoma"/>
          <w:caps w:val="0"/>
          <w:szCs w:val="22"/>
        </w:rPr>
        <w:t>Fundo de Liquidez e Estabilização</w:t>
      </w:r>
      <w:bookmarkEnd w:id="53"/>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4" w:name="_DV_M121"/>
      <w:bookmarkStart w:id="55" w:name="_DV_M122"/>
      <w:bookmarkStart w:id="56" w:name="_DV_M123"/>
      <w:bookmarkStart w:id="57" w:name="_DV_M124"/>
      <w:bookmarkStart w:id="58" w:name="_DV_M125"/>
      <w:bookmarkStart w:id="59" w:name="_DV_M126"/>
      <w:bookmarkStart w:id="60" w:name="_DV_M127"/>
      <w:bookmarkStart w:id="61" w:name="_DV_M128"/>
      <w:bookmarkStart w:id="62" w:name="_DV_M129"/>
      <w:bookmarkStart w:id="63" w:name="_DV_M130"/>
      <w:bookmarkStart w:id="64" w:name="_DV_M131"/>
      <w:bookmarkStart w:id="65" w:name="_DV_M132"/>
      <w:bookmarkStart w:id="66" w:name="_DV_M133"/>
      <w:bookmarkStart w:id="67" w:name="_DV_M134"/>
      <w:bookmarkStart w:id="68" w:name="_DV_M135"/>
      <w:bookmarkStart w:id="69" w:name="_DV_M136"/>
      <w:bookmarkStart w:id="70" w:name="_DV_M137"/>
      <w:bookmarkStart w:id="71" w:name="_DV_M139"/>
      <w:bookmarkStart w:id="72" w:name="_DV_M140"/>
      <w:bookmarkStart w:id="73" w:name="_DV_M141"/>
      <w:bookmarkStart w:id="74" w:name="_DV_M142"/>
      <w:bookmarkStart w:id="75" w:name="_DV_M143"/>
      <w:bookmarkStart w:id="76" w:name="_DV_M144"/>
      <w:bookmarkStart w:id="77" w:name="_DV_M145"/>
      <w:bookmarkStart w:id="78" w:name="_DV_M146"/>
      <w:bookmarkStart w:id="79" w:name="_DV_M147"/>
      <w:bookmarkStart w:id="80" w:name="_DV_M148"/>
      <w:bookmarkStart w:id="81" w:name="_DV_M149"/>
      <w:bookmarkStart w:id="82" w:name="_DV_M150"/>
      <w:bookmarkStart w:id="83" w:name="_DV_M151"/>
      <w:bookmarkStart w:id="84" w:name="_DV_M152"/>
      <w:bookmarkStart w:id="85" w:name="_DV_M153"/>
      <w:bookmarkStart w:id="86" w:name="_DV_M154"/>
      <w:bookmarkStart w:id="87" w:name="_DV_M155"/>
      <w:bookmarkStart w:id="88" w:name="_DV_M156"/>
      <w:bookmarkStart w:id="89" w:name="_DV_M157"/>
      <w:bookmarkStart w:id="90" w:name="_DV_M158"/>
      <w:bookmarkStart w:id="91" w:name="_DV_M159"/>
      <w:bookmarkStart w:id="92" w:name="_DV_M160"/>
      <w:bookmarkStart w:id="93" w:name="_DV_M161"/>
      <w:bookmarkStart w:id="94" w:name="_DV_M162"/>
      <w:bookmarkStart w:id="95" w:name="_DV_M163"/>
      <w:bookmarkStart w:id="96" w:name="_DV_M164"/>
      <w:bookmarkStart w:id="97" w:name="_DV_M16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8" w:name="_DV_M268"/>
      <w:bookmarkStart w:id="99" w:name="_Ref392008548"/>
      <w:bookmarkEnd w:id="98"/>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9"/>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lastRenderedPageBreak/>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xml:space="preserve">) a operação implicar em transferência, direta ou indireta, de ações de emissão da Emissora para sociedades do Grupo Econômico da Emissora e/ou para fundos de investimento geridos pela Vinci Infraestrutura Gestora de Recursos Ltda., suas controladas ou </w:t>
      </w:r>
      <w:r w:rsidRPr="00FB0D5E">
        <w:rPr>
          <w:rFonts w:ascii="Tahoma" w:hAnsi="Tahoma" w:cs="Tahoma"/>
          <w:iCs/>
          <w:sz w:val="22"/>
          <w:szCs w:val="22"/>
          <w:lang w:val="pt-BR"/>
        </w:rPr>
        <w:lastRenderedPageBreak/>
        <w:t>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00" w:name="_DV_M194"/>
      <w:bookmarkEnd w:id="100"/>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1"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1"/>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 xml:space="preserve">e seguirá os procedimentos descritos na Instrução CVM 476 e no Contrato de Distribuição, tendo como </w:t>
      </w:r>
      <w:r w:rsidRPr="0003264F">
        <w:rPr>
          <w:rFonts w:ascii="Tahoma" w:hAnsi="Tahoma" w:cs="Tahoma"/>
          <w:b w:val="0"/>
          <w:caps w:val="0"/>
          <w:szCs w:val="22"/>
        </w:rPr>
        <w:lastRenderedPageBreak/>
        <w:t>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3"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3"/>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4" w:name="_Ref502148337"/>
      <w:r w:rsidRPr="0003264F">
        <w:rPr>
          <w:rFonts w:ascii="Tahoma" w:hAnsi="Tahoma" w:cs="Tahoma"/>
          <w:b w:val="0"/>
          <w:caps w:val="0"/>
          <w:szCs w:val="22"/>
        </w:rPr>
        <w:t>Sem prejuízo do disposto na regulamentação aplicável, a Emissora está obrigada a:</w:t>
      </w:r>
      <w:bookmarkEnd w:id="104"/>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 xml:space="preserve">cópia de suas demonstrações financeiras </w:t>
      </w:r>
      <w:r w:rsidRPr="0003264F">
        <w:rPr>
          <w:rFonts w:ascii="Tahoma" w:hAnsi="Tahoma" w:cs="Tahoma"/>
          <w:sz w:val="22"/>
          <w:szCs w:val="22"/>
        </w:rPr>
        <w:lastRenderedPageBreak/>
        <w:t>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82"/>
      <w:bookmarkEnd w:id="105"/>
      <w:proofErr w:type="gramStart"/>
      <w:r w:rsidRPr="0003264F">
        <w:rPr>
          <w:rFonts w:ascii="Tahoma" w:hAnsi="Tahoma" w:cs="Tahoma"/>
          <w:sz w:val="22"/>
          <w:szCs w:val="22"/>
        </w:rPr>
        <w:lastRenderedPageBreak/>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últimos exercícios sociais encerrados</w:t>
      </w:r>
      <w:r w:rsidR="007E2467" w:rsidRPr="0003264F">
        <w:rPr>
          <w:rFonts w:ascii="Tahoma" w:hAnsi="Tahoma" w:cs="Tahoma"/>
          <w:sz w:val="22"/>
          <w:szCs w:val="22"/>
        </w:rPr>
        <w:t>;</w:t>
      </w:r>
      <w:bookmarkEnd w:id="106"/>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7" w:name="_Ref502944148"/>
      <w:bookmarkStart w:id="108" w:name="_Ref278277903"/>
      <w:bookmarkStart w:id="109" w:name="_Ref168844063"/>
      <w:bookmarkStart w:id="110"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7"/>
      <w:r w:rsidR="007E2467" w:rsidRPr="0003264F">
        <w:rPr>
          <w:rFonts w:ascii="Tahoma" w:hAnsi="Tahoma" w:cs="Tahoma"/>
          <w:sz w:val="22"/>
          <w:szCs w:val="22"/>
        </w:rPr>
        <w:t xml:space="preserve"> </w:t>
      </w:r>
    </w:p>
    <w:bookmarkEnd w:id="108"/>
    <w:bookmarkEnd w:id="109"/>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10"/>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w:t>
      </w:r>
      <w:r w:rsidR="00037FDD" w:rsidRPr="0003264F">
        <w:rPr>
          <w:rFonts w:ascii="Tahoma" w:hAnsi="Tahoma" w:cs="Tahoma"/>
          <w:sz w:val="22"/>
          <w:szCs w:val="22"/>
        </w:rPr>
        <w:lastRenderedPageBreak/>
        <w:t xml:space="preserve">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1" w:name="_DV_M195"/>
      <w:bookmarkStart w:id="112" w:name="_DV_M196"/>
      <w:bookmarkStart w:id="113" w:name="_DV_M197"/>
      <w:bookmarkStart w:id="114" w:name="_DV_M198"/>
      <w:bookmarkStart w:id="115" w:name="_DV_M199"/>
      <w:bookmarkStart w:id="116" w:name="_DV_M200"/>
      <w:bookmarkStart w:id="117" w:name="_DV_M201"/>
      <w:bookmarkStart w:id="118" w:name="_DV_M202"/>
      <w:bookmarkStart w:id="119" w:name="_DV_M203"/>
      <w:bookmarkStart w:id="120" w:name="_DV_M204"/>
      <w:bookmarkStart w:id="121" w:name="_DV_M205"/>
      <w:bookmarkStart w:id="122" w:name="_DV_M206"/>
      <w:bookmarkStart w:id="123" w:name="_DV_M207"/>
      <w:bookmarkStart w:id="124" w:name="_DV_M208"/>
      <w:bookmarkStart w:id="125" w:name="_DV_M209"/>
      <w:bookmarkStart w:id="126" w:name="_DV_M210"/>
      <w:bookmarkStart w:id="127" w:name="_DV_M211"/>
      <w:bookmarkStart w:id="128" w:name="_DV_M212"/>
      <w:bookmarkStart w:id="129" w:name="_DV_M213"/>
      <w:bookmarkStart w:id="130" w:name="_DV_M214"/>
      <w:bookmarkStart w:id="131" w:name="_DV_M215"/>
      <w:bookmarkStart w:id="132" w:name="_DV_M216"/>
      <w:bookmarkStart w:id="133" w:name="_DV_M217"/>
      <w:bookmarkStart w:id="134" w:name="_DV_M218"/>
      <w:bookmarkStart w:id="135" w:name="_DV_M219"/>
      <w:bookmarkStart w:id="136" w:name="_DV_M220"/>
      <w:bookmarkStart w:id="137" w:name="_DV_M221"/>
      <w:bookmarkStart w:id="138" w:name="_DV_M222"/>
      <w:bookmarkStart w:id="139" w:name="_DV_M223"/>
      <w:bookmarkStart w:id="140" w:name="_DV_M224"/>
      <w:bookmarkStart w:id="141" w:name="_DV_M225"/>
      <w:bookmarkStart w:id="142" w:name="_DV_M226"/>
      <w:bookmarkStart w:id="143" w:name="_DV_M227"/>
      <w:bookmarkStart w:id="144" w:name="_DV_M228"/>
      <w:bookmarkStart w:id="145" w:name="_DV_M229"/>
      <w:bookmarkStart w:id="146" w:name="_DV_M230"/>
      <w:bookmarkStart w:id="147" w:name="_DV_M231"/>
      <w:bookmarkStart w:id="148" w:name="_DV_M232"/>
      <w:bookmarkStart w:id="149" w:name="_DV_M233"/>
      <w:bookmarkStart w:id="150" w:name="_DV_M234"/>
      <w:bookmarkStart w:id="151" w:name="_DV_M235"/>
      <w:bookmarkStart w:id="152" w:name="_DV_M236"/>
      <w:bookmarkStart w:id="153" w:name="_DV_M237"/>
      <w:bookmarkStart w:id="154" w:name="_DV_M238"/>
      <w:bookmarkStart w:id="155" w:name="_DV_M239"/>
      <w:bookmarkStart w:id="156" w:name="_DV_M240"/>
      <w:bookmarkStart w:id="157" w:name="_DV_M241"/>
      <w:bookmarkStart w:id="158" w:name="_DV_M242"/>
      <w:bookmarkStart w:id="159" w:name="_DV_M243"/>
      <w:bookmarkStart w:id="160" w:name="_DV_M244"/>
      <w:bookmarkStart w:id="161" w:name="_DV_M245"/>
      <w:bookmarkStart w:id="162" w:name="_DV_M246"/>
      <w:bookmarkStart w:id="163" w:name="_DV_M247"/>
      <w:bookmarkStart w:id="164" w:name="_DV_M248"/>
      <w:bookmarkStart w:id="165" w:name="_DV_M24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6" w:name="_DV_M250"/>
      <w:bookmarkEnd w:id="166"/>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7"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7"/>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8"/>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9" w:name="_DV_M251"/>
      <w:bookmarkStart w:id="170" w:name="_DV_M252"/>
      <w:bookmarkStart w:id="171" w:name="_DV_M253"/>
      <w:bookmarkStart w:id="172" w:name="_DV_M254"/>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62"/>
      <w:bookmarkStart w:id="181" w:name="_DV_M263"/>
      <w:bookmarkStart w:id="182" w:name="_DV_M264"/>
      <w:bookmarkStart w:id="183" w:name="_DV_M270"/>
      <w:bookmarkStart w:id="184" w:name="_DV_M271"/>
      <w:bookmarkStart w:id="185" w:name="_DV_M272"/>
      <w:bookmarkStart w:id="186" w:name="_DV_M273"/>
      <w:bookmarkStart w:id="187" w:name="_DV_M274"/>
      <w:bookmarkStart w:id="188" w:name="_DV_M275"/>
      <w:bookmarkStart w:id="189" w:name="_DV_M276"/>
      <w:bookmarkStart w:id="190" w:name="_DV_M27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1"/>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2"/>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5"/>
      <w:bookmarkStart w:id="201" w:name="_DV_M286"/>
      <w:bookmarkStart w:id="202" w:name="_DV_M287"/>
      <w:bookmarkStart w:id="203" w:name="_DV_M288"/>
      <w:bookmarkStart w:id="204" w:name="_DV_M289"/>
      <w:bookmarkStart w:id="205" w:name="_DV_M290"/>
      <w:bookmarkStart w:id="206" w:name="_DV_M291"/>
      <w:bookmarkStart w:id="207" w:name="_DV_M292"/>
      <w:bookmarkStart w:id="208" w:name="_DV_M293"/>
      <w:bookmarkStart w:id="209" w:name="_DV_M294"/>
      <w:bookmarkStart w:id="210" w:name="_DV_M295"/>
      <w:bookmarkStart w:id="211" w:name="_DV_M296"/>
      <w:bookmarkStart w:id="212" w:name="_DV_M297"/>
      <w:bookmarkStart w:id="213" w:name="_DV_M298"/>
      <w:bookmarkStart w:id="214" w:name="_DV_M299"/>
      <w:bookmarkStart w:id="215" w:name="_DV_M300"/>
      <w:bookmarkStart w:id="216" w:name="_DV_M301"/>
      <w:bookmarkStart w:id="217" w:name="_DV_M302"/>
      <w:bookmarkStart w:id="218" w:name="_DV_M303"/>
      <w:bookmarkStart w:id="219" w:name="_DV_M304"/>
      <w:bookmarkStart w:id="220" w:name="_DV_M305"/>
      <w:bookmarkStart w:id="221" w:name="_DV_M306"/>
      <w:bookmarkStart w:id="222" w:name="_DV_M307"/>
      <w:bookmarkStart w:id="223" w:name="_DV_M308"/>
      <w:bookmarkStart w:id="224" w:name="_DV_M309"/>
      <w:bookmarkStart w:id="225" w:name="_DV_M310"/>
      <w:bookmarkStart w:id="226" w:name="_DV_M311"/>
      <w:bookmarkStart w:id="227" w:name="_DV_M312"/>
      <w:bookmarkStart w:id="228" w:name="_DV_M313"/>
      <w:bookmarkStart w:id="229" w:name="_DV_M314"/>
      <w:bookmarkStart w:id="230" w:name="_DV_M315"/>
      <w:bookmarkStart w:id="231" w:name="_DV_M316"/>
      <w:bookmarkStart w:id="232" w:name="_DV_M317"/>
      <w:bookmarkStart w:id="233" w:name="_DV_M318"/>
      <w:bookmarkStart w:id="234" w:name="_DV_M319"/>
      <w:bookmarkStart w:id="235" w:name="_DV_M32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roofErr w:type="gramStart"/>
      <w:r w:rsidRPr="0003264F">
        <w:rPr>
          <w:rFonts w:ascii="Tahoma" w:hAnsi="Tahoma" w:cs="Tahoma"/>
          <w:sz w:val="22"/>
          <w:szCs w:val="22"/>
        </w:rPr>
        <w:lastRenderedPageBreak/>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1"/>
      <w:bookmarkEnd w:id="236"/>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7" w:name="_DV_M322"/>
      <w:bookmarkStart w:id="238" w:name="_DV_M323"/>
      <w:bookmarkEnd w:id="237"/>
      <w:bookmarkEnd w:id="238"/>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4"/>
      <w:bookmarkEnd w:id="239"/>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0" w:name="_DV_M325"/>
      <w:bookmarkStart w:id="241" w:name="_Ref501562621"/>
      <w:bookmarkEnd w:id="240"/>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1"/>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2" w:name="_DV_M326"/>
      <w:bookmarkStart w:id="243" w:name="_Ref501562592"/>
      <w:bookmarkEnd w:id="242"/>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3"/>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4" w:name="_DV_M327"/>
      <w:bookmarkStart w:id="245" w:name="_Ref501562594"/>
      <w:bookmarkEnd w:id="244"/>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5"/>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6" w:name="_DV_M328"/>
      <w:bookmarkStart w:id="247" w:name="_Ref501562596"/>
      <w:bookmarkEnd w:id="246"/>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7"/>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8" w:name="_DV_M329"/>
      <w:bookmarkStart w:id="249" w:name="_Ref501562641"/>
      <w:bookmarkEnd w:id="248"/>
      <w:proofErr w:type="gramStart"/>
      <w:r w:rsidRPr="0003264F">
        <w:rPr>
          <w:rFonts w:ascii="Tahoma" w:hAnsi="Tahoma" w:cs="Tahoma"/>
          <w:sz w:val="22"/>
          <w:szCs w:val="22"/>
        </w:rPr>
        <w:lastRenderedPageBreak/>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9"/>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0" w:name="_DV_M330"/>
      <w:bookmarkStart w:id="251" w:name="_DV_M331"/>
      <w:bookmarkEnd w:id="250"/>
      <w:bookmarkEnd w:id="251"/>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2" w:name="_DV_M332"/>
      <w:bookmarkEnd w:id="252"/>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3"/>
      <w:bookmarkEnd w:id="253"/>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4"/>
      <w:bookmarkEnd w:id="254"/>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5"/>
      <w:bookmarkEnd w:id="255"/>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6"/>
      <w:bookmarkEnd w:id="256"/>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7"/>
      <w:bookmarkEnd w:id="257"/>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8"/>
      <w:bookmarkEnd w:id="258"/>
      <w:r w:rsidRPr="0003264F">
        <w:rPr>
          <w:rFonts w:ascii="Tahoma" w:hAnsi="Tahoma" w:cs="Tahoma"/>
          <w:b w:val="0"/>
          <w:caps w:val="0"/>
          <w:szCs w:val="22"/>
        </w:rPr>
        <w:lastRenderedPageBreak/>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9" w:name="_DV_M339"/>
      <w:bookmarkEnd w:id="259"/>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60" w:name="_DV_M340"/>
      <w:bookmarkStart w:id="261" w:name="_Ref427712773"/>
      <w:bookmarkEnd w:id="260"/>
      <w:r w:rsidRPr="0003264F">
        <w:rPr>
          <w:rFonts w:ascii="Tahoma" w:hAnsi="Tahoma" w:cs="Tahoma"/>
          <w:szCs w:val="22"/>
        </w:rPr>
        <w:t xml:space="preserve"> – DA ASSEMBLEIA GERAL DE DEBENTURISTAS</w:t>
      </w:r>
      <w:bookmarkEnd w:id="261"/>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2" w:name="_DV_M341"/>
      <w:bookmarkStart w:id="263" w:name="_DV_M353"/>
      <w:bookmarkStart w:id="264" w:name="_DV_M354"/>
      <w:bookmarkEnd w:id="262"/>
      <w:bookmarkEnd w:id="263"/>
      <w:bookmarkEnd w:id="264"/>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5"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5"/>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w:t>
      </w:r>
      <w:r w:rsidRPr="0003264F">
        <w:rPr>
          <w:rFonts w:ascii="Tahoma" w:hAnsi="Tahoma" w:cs="Tahoma"/>
          <w:b w:val="0"/>
          <w:caps w:val="0"/>
          <w:szCs w:val="22"/>
        </w:rPr>
        <w:lastRenderedPageBreak/>
        <w:t>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6" w:name="_Ref392020859"/>
      <w:bookmarkStart w:id="267"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6"/>
      <w:r w:rsidR="005E53BC" w:rsidRPr="0003264F">
        <w:rPr>
          <w:rFonts w:ascii="Tahoma" w:hAnsi="Tahoma" w:cs="Tahoma"/>
          <w:b w:val="0"/>
          <w:caps w:val="0"/>
          <w:szCs w:val="22"/>
        </w:rPr>
        <w:t>.</w:t>
      </w:r>
      <w:bookmarkEnd w:id="267"/>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8"/>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9" w:name="_DV_M355"/>
      <w:bookmarkEnd w:id="269"/>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lastRenderedPageBreak/>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w:t>
      </w:r>
      <w:r w:rsidR="00A932BF">
        <w:rPr>
          <w:rFonts w:ascii="Tahoma" w:hAnsi="Tahoma" w:cs="Tahoma"/>
          <w:sz w:val="22"/>
          <w:szCs w:val="22"/>
        </w:rPr>
        <w:t>exceto pela renúncia do Itaú Unibanco S.A.</w:t>
      </w:r>
      <w:r w:rsidR="008B643E">
        <w:rPr>
          <w:rFonts w:ascii="Tahoma" w:hAnsi="Tahoma" w:cs="Tahoma"/>
          <w:sz w:val="22"/>
          <w:szCs w:val="22"/>
        </w:rPr>
        <w:t xml:space="preserve"> (</w:t>
      </w:r>
      <w:r w:rsidR="00A932BF">
        <w:rPr>
          <w:rFonts w:ascii="Tahoma" w:hAnsi="Tahoma" w:cs="Tahoma"/>
          <w:sz w:val="22"/>
          <w:szCs w:val="22"/>
        </w:rPr>
        <w:t>a qual já foi obtida</w:t>
      </w:r>
      <w:r w:rsidR="008B643E">
        <w:rPr>
          <w:rFonts w:ascii="Tahoma" w:hAnsi="Tahoma" w:cs="Tahoma"/>
          <w:sz w:val="22"/>
          <w:szCs w:val="22"/>
        </w:rPr>
        <w:t>),</w:t>
      </w:r>
      <w:r w:rsidR="00A932BF">
        <w:rPr>
          <w:rFonts w:ascii="Tahoma" w:hAnsi="Tahoma" w:cs="Tahoma"/>
          <w:sz w:val="22"/>
          <w:szCs w:val="22"/>
        </w:rPr>
        <w:t xml:space="preserve"> e pela renúncia do Banco do Nordeste do Brasil S.A. (“</w:t>
      </w:r>
      <w:r w:rsidR="00A932BF" w:rsidRPr="00A932BF">
        <w:rPr>
          <w:rFonts w:ascii="Tahoma" w:hAnsi="Tahoma" w:cs="Tahoma"/>
          <w:sz w:val="22"/>
          <w:szCs w:val="22"/>
          <w:u w:val="single"/>
        </w:rPr>
        <w:t>BNB</w:t>
      </w:r>
      <w:r w:rsidR="00A932BF">
        <w:rPr>
          <w:rFonts w:ascii="Tahoma" w:hAnsi="Tahoma" w:cs="Tahoma"/>
          <w:sz w:val="22"/>
          <w:szCs w:val="22"/>
        </w:rPr>
        <w:t xml:space="preserve">”) (a qual será obtida), </w:t>
      </w:r>
      <w:r w:rsidRPr="0003264F">
        <w:rPr>
          <w:rFonts w:ascii="Tahoma" w:hAnsi="Tahoma" w:cs="Tahoma"/>
          <w:sz w:val="22"/>
          <w:szCs w:val="22"/>
        </w:rPr>
        <w:t xml:space="preserve">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70"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70"/>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w:t>
      </w:r>
      <w:r w:rsidRPr="0003264F">
        <w:rPr>
          <w:rFonts w:ascii="Tahoma" w:hAnsi="Tahoma" w:cs="Tahoma"/>
          <w:sz w:val="22"/>
          <w:szCs w:val="22"/>
        </w:rPr>
        <w:lastRenderedPageBreak/>
        <w:t>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68"/>
      <w:bookmarkStart w:id="284" w:name="_DV_M369"/>
      <w:bookmarkStart w:id="285" w:name="_DV_M370"/>
      <w:bookmarkStart w:id="286" w:name="_DV_M371"/>
      <w:bookmarkStart w:id="287" w:name="_DV_M372"/>
      <w:bookmarkStart w:id="288" w:name="_DV_M373"/>
      <w:bookmarkStart w:id="289" w:name="_DV_M374"/>
      <w:bookmarkStart w:id="290" w:name="_DV_M375"/>
      <w:bookmarkStart w:id="291" w:name="_DV_M376"/>
      <w:bookmarkStart w:id="292" w:name="_DV_M377"/>
      <w:bookmarkStart w:id="293" w:name="_DV_M378"/>
      <w:bookmarkStart w:id="294" w:name="_DV_M379"/>
      <w:bookmarkStart w:id="295" w:name="_DV_M380"/>
      <w:bookmarkStart w:id="296" w:name="_DV_M381"/>
      <w:bookmarkStart w:id="297" w:name="_DV_M382"/>
      <w:bookmarkStart w:id="298" w:name="_DV_M383"/>
      <w:bookmarkStart w:id="299" w:name="_DV_M384"/>
      <w:bookmarkStart w:id="300" w:name="_DV_M385"/>
      <w:bookmarkStart w:id="301" w:name="_DV_M386"/>
      <w:bookmarkStart w:id="302" w:name="_DV_M387"/>
      <w:bookmarkStart w:id="303" w:name="_DV_M388"/>
      <w:bookmarkStart w:id="304" w:name="_DV_M389"/>
      <w:bookmarkStart w:id="305" w:name="_DV_M390"/>
      <w:bookmarkStart w:id="306" w:name="_DV_M391"/>
      <w:bookmarkStart w:id="307" w:name="_DV_M392"/>
      <w:bookmarkStart w:id="308" w:name="_DV_M393"/>
      <w:bookmarkStart w:id="309" w:name="_DV_M39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0" w:name="_DV_M395"/>
      <w:bookmarkEnd w:id="310"/>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1" w:name="_DV_M396"/>
      <w:bookmarkEnd w:id="311"/>
      <w:r w:rsidRPr="0003264F">
        <w:rPr>
          <w:rFonts w:ascii="Tahoma" w:hAnsi="Tahoma" w:cs="Tahoma"/>
          <w:bCs/>
          <w:sz w:val="22"/>
          <w:szCs w:val="22"/>
        </w:rPr>
        <w:lastRenderedPageBreak/>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2" w:name="_DV_M397"/>
      <w:bookmarkStart w:id="313" w:name="_DV_M398"/>
      <w:bookmarkEnd w:id="312"/>
      <w:bookmarkEnd w:id="313"/>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w:t>
      </w:r>
      <w:r w:rsidRPr="0003264F">
        <w:rPr>
          <w:rFonts w:ascii="Tahoma" w:hAnsi="Tahoma"/>
          <w:bCs/>
          <w:caps/>
          <w:sz w:val="22"/>
        </w:rPr>
        <w:t>:</w:t>
      </w:r>
    </w:p>
    <w:p w:rsidR="00E43CB5" w:rsidRPr="00E43CB5" w:rsidRDefault="00164EF6" w:rsidP="00CB2994">
      <w:pPr>
        <w:widowControl/>
        <w:shd w:val="clear" w:color="auto" w:fill="FFFFFF" w:themeFill="background1"/>
        <w:spacing w:after="240" w:line="320" w:lineRule="exact"/>
        <w:jc w:val="left"/>
        <w:rPr>
          <w:rFonts w:ascii="Garamond" w:hAnsi="Garamond" w:cs="Arial"/>
          <w:b/>
          <w:bCs/>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00E43CB5">
        <w:rPr>
          <w:rFonts w:ascii="Tahoma" w:hAnsi="Tahoma"/>
          <w:sz w:val="22"/>
        </w:rPr>
        <w:t>Melissa Braga</w:t>
      </w:r>
      <w:r w:rsidR="009835DE" w:rsidRPr="0003264F">
        <w:rPr>
          <w:rFonts w:ascii="Tahoma" w:hAnsi="Tahoma"/>
          <w:sz w:val="22"/>
        </w:rPr>
        <w:br/>
        <w:t>Tel.:</w:t>
      </w:r>
      <w:r w:rsidR="009835DE" w:rsidRPr="0003264F">
        <w:rPr>
          <w:rFonts w:ascii="Tahoma" w:hAnsi="Tahoma"/>
          <w:caps/>
          <w:sz w:val="22"/>
        </w:rPr>
        <w:t xml:space="preserve"> (11) </w:t>
      </w:r>
      <w:r w:rsidR="00E43CB5" w:rsidRPr="00E43CB5">
        <w:rPr>
          <w:rFonts w:ascii="Tahoma" w:hAnsi="Tahoma"/>
          <w:sz w:val="22"/>
        </w:rPr>
        <w:t>2740-2919</w:t>
      </w:r>
      <w:r w:rsidR="00E43CB5" w:rsidRPr="0003264F" w:rsidDel="00E43CB5">
        <w:rPr>
          <w:rFonts w:ascii="Tahoma" w:hAnsi="Tahoma"/>
          <w:caps/>
          <w:sz w:val="22"/>
        </w:rPr>
        <w:t xml:space="preserve"> </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hyperlink r:id="rId26" w:history="1">
        <w:r w:rsidR="00E43CB5" w:rsidRPr="00E43CB5">
          <w:rPr>
            <w:rFonts w:ascii="Tahoma" w:hAnsi="Tahoma"/>
            <w:sz w:val="22"/>
          </w:rPr>
          <w:t>escrituracaorf@itau-unibanco.com.br</w:t>
        </w:r>
      </w:hyperlink>
    </w:p>
    <w:p w:rsidR="00E43CB5" w:rsidRPr="0003264F" w:rsidRDefault="00E43CB5" w:rsidP="00E43CB5">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Escriturador</w:t>
      </w:r>
      <w:r w:rsidRPr="0003264F">
        <w:rPr>
          <w:rFonts w:ascii="Tahoma" w:hAnsi="Tahoma"/>
          <w:bCs/>
          <w:caps/>
          <w:sz w:val="22"/>
        </w:rPr>
        <w:t>:</w:t>
      </w:r>
    </w:p>
    <w:p w:rsidR="0083643B" w:rsidRPr="0003264F" w:rsidRDefault="00E43CB5"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rPr>
        <w:t xml:space="preserve">Itaú Unibanco S.A. </w:t>
      </w:r>
      <w:r w:rsidRPr="0003264F">
        <w:rPr>
          <w:rFonts w:ascii="Tahoma" w:hAnsi="Tahoma"/>
        </w:rPr>
        <w:br/>
        <w:t>Avenida Brigadeiro Faria Lima, 3.500</w:t>
      </w:r>
      <w:r w:rsidRPr="0003264F">
        <w:rPr>
          <w:rFonts w:ascii="Tahoma" w:hAnsi="Tahoma"/>
        </w:rPr>
        <w:tab/>
      </w:r>
      <w:r w:rsidRPr="0003264F">
        <w:rPr>
          <w:rFonts w:ascii="Tahoma" w:hAnsi="Tahoma"/>
        </w:rPr>
        <w:br/>
        <w:t>São Paulo – SP</w:t>
      </w:r>
      <w:r w:rsidRPr="0003264F">
        <w:rPr>
          <w:rFonts w:ascii="Tahoma" w:hAnsi="Tahoma"/>
        </w:rPr>
        <w:tab/>
      </w:r>
      <w:r w:rsidRPr="0003264F">
        <w:rPr>
          <w:rFonts w:ascii="Tahoma" w:hAnsi="Tahoma"/>
        </w:rPr>
        <w:br/>
      </w:r>
      <w:proofErr w:type="gramStart"/>
      <w:r w:rsidRPr="0003264F">
        <w:rPr>
          <w:rFonts w:ascii="Tahoma" w:hAnsi="Tahoma"/>
        </w:rPr>
        <w:t>At.:</w:t>
      </w:r>
      <w:proofErr w:type="gramEnd"/>
      <w:r w:rsidRPr="0003264F">
        <w:rPr>
          <w:rFonts w:ascii="Tahoma" w:hAnsi="Tahoma"/>
        </w:rPr>
        <w:t xml:space="preserve"> </w:t>
      </w:r>
      <w:r>
        <w:rPr>
          <w:rFonts w:ascii="Tahoma" w:hAnsi="Tahoma"/>
        </w:rPr>
        <w:t>Melissa Braga</w:t>
      </w:r>
      <w:r w:rsidRPr="0003264F">
        <w:rPr>
          <w:rFonts w:ascii="Tahoma" w:hAnsi="Tahoma"/>
        </w:rPr>
        <w:br/>
        <w:t xml:space="preserve">Tel.: (11) </w:t>
      </w:r>
      <w:r w:rsidRPr="00E43CB5">
        <w:rPr>
          <w:rFonts w:ascii="Tahoma" w:hAnsi="Tahoma"/>
        </w:rPr>
        <w:t>2740-2919</w:t>
      </w:r>
      <w:r w:rsidRPr="0003264F" w:rsidDel="00E43CB5">
        <w:rPr>
          <w:rFonts w:ascii="Tahoma" w:hAnsi="Tahoma"/>
        </w:rPr>
        <w:t xml:space="preserve"> </w:t>
      </w:r>
      <w:r w:rsidRPr="0003264F">
        <w:rPr>
          <w:rFonts w:ascii="Tahoma" w:hAnsi="Tahoma"/>
        </w:rPr>
        <w:tab/>
      </w:r>
      <w:r w:rsidRPr="0003264F">
        <w:rPr>
          <w:rFonts w:ascii="Tahoma" w:hAnsi="Tahoma"/>
        </w:rPr>
        <w:br/>
        <w:t xml:space="preserve">E-mail: </w:t>
      </w:r>
      <w:hyperlink r:id="rId27" w:history="1">
        <w:r w:rsidRPr="00E43CB5">
          <w:rPr>
            <w:rFonts w:ascii="Tahoma" w:hAnsi="Tahoma"/>
          </w:rPr>
          <w:t>escrituracaorf@itau-unibanco.com.br</w:t>
        </w:r>
      </w:hyperlink>
      <w:bookmarkStart w:id="322" w:name="_DV_M415"/>
      <w:bookmarkStart w:id="323" w:name="_DV_M416"/>
      <w:bookmarkStart w:id="324" w:name="_DV_M418"/>
      <w:bookmarkStart w:id="325" w:name="_DV_M419"/>
      <w:bookmarkStart w:id="326" w:name="_DV_M420"/>
      <w:bookmarkStart w:id="327" w:name="_DV_M421"/>
      <w:bookmarkStart w:id="328" w:name="_DV_M422"/>
      <w:bookmarkStart w:id="329" w:name="_DV_M423"/>
      <w:bookmarkStart w:id="330" w:name="_DV_M424"/>
      <w:bookmarkStart w:id="331" w:name="_DV_M425"/>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31109B"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w:t>
      </w:r>
      <w:r w:rsidR="0031109B" w:rsidRPr="0003264F">
        <w:rPr>
          <w:rFonts w:ascii="Tahoma" w:hAnsi="Tahoma" w:cs="Tahoma"/>
          <w:b w:val="0"/>
          <w:caps w:val="0"/>
          <w:szCs w:val="22"/>
        </w:rPr>
        <w:lastRenderedPageBreak/>
        <w:t xml:space="preserve">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2" w:name="_DV_M441"/>
      <w:bookmarkEnd w:id="342"/>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2"/>
      <w:bookmarkEnd w:id="343"/>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3"/>
      <w:bookmarkEnd w:id="344"/>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4"/>
      <w:bookmarkEnd w:id="345"/>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5"/>
      <w:bookmarkEnd w:id="346"/>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7" w:name="_DV_M446"/>
      <w:bookmarkStart w:id="348" w:name="_DV_M447"/>
      <w:bookmarkEnd w:id="347"/>
      <w:bookmarkEnd w:id="348"/>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9" w:name="_DV_M448"/>
      <w:bookmarkStart w:id="350" w:name="_DV_M449"/>
      <w:bookmarkEnd w:id="349"/>
      <w:bookmarkEnd w:id="350"/>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1" w:name="_DV_M450"/>
      <w:bookmarkEnd w:id="351"/>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2" w:name="_DV_M451"/>
      <w:bookmarkEnd w:id="352"/>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3" w:name="_DV_M452"/>
      <w:bookmarkEnd w:id="353"/>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4" w:name="_DV_M453"/>
      <w:bookmarkStart w:id="355" w:name="_DV_M454"/>
      <w:bookmarkEnd w:id="354"/>
      <w:bookmarkEnd w:id="355"/>
      <w:r w:rsidR="00EB6920">
        <w:rPr>
          <w:rFonts w:ascii="Tahoma" w:hAnsi="Tahoma" w:cs="Tahoma"/>
          <w:sz w:val="22"/>
          <w:szCs w:val="22"/>
        </w:rPr>
        <w:t>06</w:t>
      </w:r>
      <w:r w:rsidR="00EB6920" w:rsidRPr="0003264F">
        <w:rPr>
          <w:rFonts w:ascii="Tahoma" w:hAnsi="Tahoma" w:cs="Tahoma"/>
          <w:sz w:val="22"/>
          <w:szCs w:val="22"/>
        </w:rPr>
        <w:t xml:space="preserve"> </w:t>
      </w:r>
      <w:r w:rsidR="005156D6" w:rsidRPr="0003264F">
        <w:rPr>
          <w:rFonts w:ascii="Tahoma" w:hAnsi="Tahoma" w:cs="Tahoma"/>
          <w:sz w:val="22"/>
          <w:szCs w:val="22"/>
        </w:rPr>
        <w:t xml:space="preserve">de </w:t>
      </w:r>
      <w:r w:rsidR="00EB6920">
        <w:rPr>
          <w:rFonts w:ascii="Tahoma" w:hAnsi="Tahoma" w:cs="Tahoma"/>
          <w:sz w:val="22"/>
          <w:szCs w:val="22"/>
        </w:rPr>
        <w:t xml:space="preserve">setembro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6" w:name="_DV_M455"/>
      <w:bookmarkStart w:id="357" w:name="_DV_M456"/>
      <w:bookmarkEnd w:id="356"/>
      <w:bookmarkEnd w:id="357"/>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8" w:name="_DV_M457"/>
      <w:bookmarkEnd w:id="358"/>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9" w:name="_DV_M458"/>
      <w:bookmarkEnd w:id="359"/>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60" w:name="_DV_M460"/>
      <w:bookmarkEnd w:id="360"/>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8"/>
      <w:footerReference w:type="default" r:id="rId29"/>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42" w:rsidRDefault="000B5942">
      <w:pPr>
        <w:widowControl/>
      </w:pPr>
      <w:r>
        <w:separator/>
      </w:r>
    </w:p>
  </w:endnote>
  <w:endnote w:type="continuationSeparator" w:id="0">
    <w:p w:rsidR="000B5942" w:rsidRDefault="000B5942">
      <w:pPr>
        <w:widowControl/>
      </w:pPr>
      <w:r>
        <w:continuationSeparator/>
      </w:r>
    </w:p>
  </w:endnote>
  <w:endnote w:type="continuationNotice" w:id="1">
    <w:p w:rsidR="000B5942" w:rsidRDefault="000B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Default="000B5942"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0B5942" w:rsidRDefault="000B5942">
    <w:pPr>
      <w:pStyle w:val="Rodap"/>
    </w:pPr>
  </w:p>
  <w:p w:rsidR="000B5942" w:rsidRDefault="000B5942"/>
  <w:p w:rsidR="000B5942" w:rsidRDefault="000B5942"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Pr="000B6319" w:rsidRDefault="000B5942">
    <w:pPr>
      <w:pStyle w:val="Rodap"/>
      <w:rPr>
        <w:rFonts w:ascii="Verdana" w:hAnsi="Verdana"/>
        <w:sz w:val="14"/>
      </w:rPr>
    </w:pPr>
  </w:p>
  <w:p w:rsidR="000B5942" w:rsidRDefault="000B5942" w:rsidP="00805541">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0B5942" w:rsidRPr="00805541" w:rsidRDefault="000B5942" w:rsidP="00805541">
    <w:pPr>
      <w:pStyle w:val="Cabealho"/>
      <w:jc w:val="left"/>
      <w:rPr>
        <w:rFonts w:ascii="Tahoma" w:hAnsi="Tahoma" w:cs="Tahoma"/>
        <w:sz w:val="12"/>
        <w:lang w:val="en-GB"/>
      </w:rPr>
    </w:pPr>
    <w:r>
      <w:rPr>
        <w:rFonts w:ascii="Tahoma" w:hAnsi="Tahoma" w:cs="Tahoma"/>
        <w:sz w:val="12"/>
        <w:lang w:val="en-GB"/>
      </w:rPr>
      <w:t xml:space="preserve">SP - 26112542v1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Default="000B594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0B5942" w:rsidRPr="00E2565A" w:rsidRDefault="000B5942"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08570C">
          <w:rPr>
            <w:rFonts w:ascii="Tahoma" w:hAnsi="Tahoma" w:cs="Tahoma"/>
            <w:noProof/>
            <w:sz w:val="22"/>
            <w:szCs w:val="22"/>
          </w:rPr>
          <w:t>21</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42" w:rsidRDefault="000B5942">
      <w:pPr>
        <w:widowControl/>
      </w:pPr>
      <w:r>
        <w:separator/>
      </w:r>
    </w:p>
  </w:footnote>
  <w:footnote w:type="continuationSeparator" w:id="0">
    <w:p w:rsidR="000B5942" w:rsidRDefault="000B5942">
      <w:pPr>
        <w:widowControl/>
      </w:pPr>
      <w:r>
        <w:continuationSeparator/>
      </w:r>
    </w:p>
  </w:footnote>
  <w:footnote w:type="continuationNotice" w:id="1">
    <w:p w:rsidR="000B5942" w:rsidRDefault="000B59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Default="000B59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Default="000B5942">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Default="000B5942"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0B5942" w:rsidRPr="009A5174" w:rsidRDefault="000B5942"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2" w:rsidRPr="00F6503A" w:rsidRDefault="000B5942">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133E19"/>
    <w:multiLevelType w:val="multilevel"/>
    <w:tmpl w:val="3C0C0922"/>
    <w:lvl w:ilvl="0">
      <w:start w:val="1"/>
      <w:numFmt w:val="decimal"/>
      <w:lvlText w:val="%1."/>
      <w:lvlJc w:val="left"/>
      <w:pPr>
        <w:ind w:left="644" w:hanging="360"/>
      </w:pPr>
      <w:rPr>
        <w:rFonts w:hint="default"/>
        <w:b/>
      </w:rPr>
    </w:lvl>
    <w:lvl w:ilvl="1">
      <w:start w:val="1"/>
      <w:numFmt w:val="decimal"/>
      <w:lvlText w:val="%1.%2."/>
      <w:lvlJc w:val="left"/>
      <w:pPr>
        <w:ind w:left="5394" w:hanging="432"/>
      </w:pPr>
      <w:rPr>
        <w:rFonts w:hint="default"/>
        <w:b w:val="0"/>
        <w:sz w:val="22"/>
      </w:rPr>
    </w:lvl>
    <w:lvl w:ilvl="2">
      <w:start w:val="1"/>
      <w:numFmt w:val="decimal"/>
      <w:lvlText w:val="%1.%2.%3."/>
      <w:lvlJc w:val="left"/>
      <w:pPr>
        <w:ind w:left="1497" w:hanging="504"/>
      </w:pPr>
      <w:rPr>
        <w:rFonts w:asciiTheme="minorHAnsi" w:hAnsiTheme="minorHAnsi"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20"/>
  </w:num>
  <w:num w:numId="6">
    <w:abstractNumId w:val="7"/>
  </w:num>
  <w:num w:numId="7">
    <w:abstractNumId w:val="17"/>
  </w:num>
  <w:num w:numId="8">
    <w:abstractNumId w:val="21"/>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2"/>
  </w:num>
  <w:num w:numId="16">
    <w:abstractNumId w:val="12"/>
  </w:num>
  <w:num w:numId="17">
    <w:abstractNumId w:val="9"/>
  </w:num>
  <w:num w:numId="18">
    <w:abstractNumId w:val="10"/>
  </w:num>
  <w:num w:numId="19">
    <w:abstractNumId w:val="24"/>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3"/>
  </w:num>
  <w:num w:numId="27">
    <w:abstractNumId w:val="15"/>
  </w:num>
  <w:num w:numId="28">
    <w:abstractNumId w:val="15"/>
  </w:num>
  <w:num w:numId="29">
    <w:abstractNumId w:val="15"/>
  </w:num>
  <w:num w:numId="30">
    <w:abstractNumId w:val="19"/>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241"/>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843"/>
    <w:rsid w:val="00053920"/>
    <w:rsid w:val="00055F0A"/>
    <w:rsid w:val="00057A40"/>
    <w:rsid w:val="00060481"/>
    <w:rsid w:val="00062DB9"/>
    <w:rsid w:val="00063E51"/>
    <w:rsid w:val="00064861"/>
    <w:rsid w:val="00070A71"/>
    <w:rsid w:val="00071485"/>
    <w:rsid w:val="000805F0"/>
    <w:rsid w:val="00082AAA"/>
    <w:rsid w:val="00084AD9"/>
    <w:rsid w:val="0008570C"/>
    <w:rsid w:val="00086A26"/>
    <w:rsid w:val="00092B3B"/>
    <w:rsid w:val="00094C75"/>
    <w:rsid w:val="000965AD"/>
    <w:rsid w:val="000A54CB"/>
    <w:rsid w:val="000A672F"/>
    <w:rsid w:val="000B0B47"/>
    <w:rsid w:val="000B1BB0"/>
    <w:rsid w:val="000B1BF3"/>
    <w:rsid w:val="000B2786"/>
    <w:rsid w:val="000B3239"/>
    <w:rsid w:val="000B5055"/>
    <w:rsid w:val="000B5942"/>
    <w:rsid w:val="000C0220"/>
    <w:rsid w:val="000C09E0"/>
    <w:rsid w:val="000C6645"/>
    <w:rsid w:val="000C6D42"/>
    <w:rsid w:val="000C7913"/>
    <w:rsid w:val="000D2625"/>
    <w:rsid w:val="000D5A09"/>
    <w:rsid w:val="000D76A3"/>
    <w:rsid w:val="000E38B2"/>
    <w:rsid w:val="000E41C0"/>
    <w:rsid w:val="000E4FA7"/>
    <w:rsid w:val="000F234F"/>
    <w:rsid w:val="000F3D87"/>
    <w:rsid w:val="000F4861"/>
    <w:rsid w:val="000F4F93"/>
    <w:rsid w:val="000F5B09"/>
    <w:rsid w:val="000F62ED"/>
    <w:rsid w:val="00100E2A"/>
    <w:rsid w:val="001018D0"/>
    <w:rsid w:val="00102536"/>
    <w:rsid w:val="00103678"/>
    <w:rsid w:val="001056D7"/>
    <w:rsid w:val="00105D05"/>
    <w:rsid w:val="00106CC9"/>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2FFD"/>
    <w:rsid w:val="00194F4C"/>
    <w:rsid w:val="001951FA"/>
    <w:rsid w:val="001A304F"/>
    <w:rsid w:val="001B02BE"/>
    <w:rsid w:val="001B0618"/>
    <w:rsid w:val="001B43C9"/>
    <w:rsid w:val="001B5FB2"/>
    <w:rsid w:val="001B7746"/>
    <w:rsid w:val="001C1D9C"/>
    <w:rsid w:val="001C365A"/>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22B58"/>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67FF6"/>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0724"/>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74C0D"/>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0894"/>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D69B4"/>
    <w:rsid w:val="005E0359"/>
    <w:rsid w:val="005E2649"/>
    <w:rsid w:val="005E2D35"/>
    <w:rsid w:val="005E53BC"/>
    <w:rsid w:val="005E56DE"/>
    <w:rsid w:val="005E72D0"/>
    <w:rsid w:val="005F092E"/>
    <w:rsid w:val="005F3C65"/>
    <w:rsid w:val="006013DF"/>
    <w:rsid w:val="0060169B"/>
    <w:rsid w:val="00604061"/>
    <w:rsid w:val="00607D74"/>
    <w:rsid w:val="006104F0"/>
    <w:rsid w:val="00615635"/>
    <w:rsid w:val="00617D1C"/>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6FFA"/>
    <w:rsid w:val="006D7888"/>
    <w:rsid w:val="006E3B7D"/>
    <w:rsid w:val="006E4C33"/>
    <w:rsid w:val="006F1988"/>
    <w:rsid w:val="006F2190"/>
    <w:rsid w:val="006F2661"/>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6166"/>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318"/>
    <w:rsid w:val="007B75F8"/>
    <w:rsid w:val="007C21A9"/>
    <w:rsid w:val="007C2244"/>
    <w:rsid w:val="007C37BA"/>
    <w:rsid w:val="007C5EC3"/>
    <w:rsid w:val="007D0346"/>
    <w:rsid w:val="007D4AAA"/>
    <w:rsid w:val="007D76BE"/>
    <w:rsid w:val="007D79BB"/>
    <w:rsid w:val="007E2467"/>
    <w:rsid w:val="007E31BF"/>
    <w:rsid w:val="007E358E"/>
    <w:rsid w:val="007E3B08"/>
    <w:rsid w:val="007E72E4"/>
    <w:rsid w:val="007F0D3B"/>
    <w:rsid w:val="007F3A65"/>
    <w:rsid w:val="0080125D"/>
    <w:rsid w:val="00803A33"/>
    <w:rsid w:val="00803F41"/>
    <w:rsid w:val="00804524"/>
    <w:rsid w:val="0080475A"/>
    <w:rsid w:val="00804B1B"/>
    <w:rsid w:val="00805541"/>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0E56"/>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520"/>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43E"/>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8F53FF"/>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074F"/>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16DD2"/>
    <w:rsid w:val="00A216B2"/>
    <w:rsid w:val="00A2171B"/>
    <w:rsid w:val="00A23782"/>
    <w:rsid w:val="00A24DD6"/>
    <w:rsid w:val="00A26A3A"/>
    <w:rsid w:val="00A27139"/>
    <w:rsid w:val="00A31B54"/>
    <w:rsid w:val="00A4168E"/>
    <w:rsid w:val="00A4423A"/>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0D"/>
    <w:rsid w:val="00A74B76"/>
    <w:rsid w:val="00A75B94"/>
    <w:rsid w:val="00A76730"/>
    <w:rsid w:val="00A77373"/>
    <w:rsid w:val="00A8081D"/>
    <w:rsid w:val="00A834FC"/>
    <w:rsid w:val="00A83E97"/>
    <w:rsid w:val="00A83F45"/>
    <w:rsid w:val="00A84265"/>
    <w:rsid w:val="00A84699"/>
    <w:rsid w:val="00A854EB"/>
    <w:rsid w:val="00A86210"/>
    <w:rsid w:val="00A87B23"/>
    <w:rsid w:val="00A9250F"/>
    <w:rsid w:val="00A92D25"/>
    <w:rsid w:val="00A932BF"/>
    <w:rsid w:val="00A948B6"/>
    <w:rsid w:val="00A97FD2"/>
    <w:rsid w:val="00AA25F3"/>
    <w:rsid w:val="00AA41DA"/>
    <w:rsid w:val="00AA48CD"/>
    <w:rsid w:val="00AA5A10"/>
    <w:rsid w:val="00AA6232"/>
    <w:rsid w:val="00AB31FE"/>
    <w:rsid w:val="00AB60AA"/>
    <w:rsid w:val="00AB7AB2"/>
    <w:rsid w:val="00AC07C6"/>
    <w:rsid w:val="00AC0F56"/>
    <w:rsid w:val="00AC37DF"/>
    <w:rsid w:val="00AC646F"/>
    <w:rsid w:val="00AD3CAE"/>
    <w:rsid w:val="00AD5BD5"/>
    <w:rsid w:val="00AE3C63"/>
    <w:rsid w:val="00AE63BD"/>
    <w:rsid w:val="00AF1110"/>
    <w:rsid w:val="00AF2EE1"/>
    <w:rsid w:val="00AF5AF8"/>
    <w:rsid w:val="00B022D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2A5"/>
    <w:rsid w:val="00B41C38"/>
    <w:rsid w:val="00B42F25"/>
    <w:rsid w:val="00B442D7"/>
    <w:rsid w:val="00B51317"/>
    <w:rsid w:val="00B52534"/>
    <w:rsid w:val="00B541AC"/>
    <w:rsid w:val="00B54267"/>
    <w:rsid w:val="00B56047"/>
    <w:rsid w:val="00B608C9"/>
    <w:rsid w:val="00B6299F"/>
    <w:rsid w:val="00B62F55"/>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3A0"/>
    <w:rsid w:val="00BD3E6E"/>
    <w:rsid w:val="00BD58AB"/>
    <w:rsid w:val="00BE0B40"/>
    <w:rsid w:val="00BE33E3"/>
    <w:rsid w:val="00BE3B2A"/>
    <w:rsid w:val="00BE5CD6"/>
    <w:rsid w:val="00BE71BF"/>
    <w:rsid w:val="00BF02F0"/>
    <w:rsid w:val="00BF1FFA"/>
    <w:rsid w:val="00BF2D77"/>
    <w:rsid w:val="00BF3523"/>
    <w:rsid w:val="00BF4D86"/>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1491"/>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4388"/>
    <w:rsid w:val="00D05C8F"/>
    <w:rsid w:val="00D067F4"/>
    <w:rsid w:val="00D10DCD"/>
    <w:rsid w:val="00D12233"/>
    <w:rsid w:val="00D142CD"/>
    <w:rsid w:val="00D14FB3"/>
    <w:rsid w:val="00D15DB6"/>
    <w:rsid w:val="00D162F1"/>
    <w:rsid w:val="00D23FFC"/>
    <w:rsid w:val="00D2581C"/>
    <w:rsid w:val="00D25C3F"/>
    <w:rsid w:val="00D26BBC"/>
    <w:rsid w:val="00D26E1C"/>
    <w:rsid w:val="00D35193"/>
    <w:rsid w:val="00D351DD"/>
    <w:rsid w:val="00D42872"/>
    <w:rsid w:val="00D452E9"/>
    <w:rsid w:val="00D456DA"/>
    <w:rsid w:val="00D4713D"/>
    <w:rsid w:val="00D51EED"/>
    <w:rsid w:val="00D53319"/>
    <w:rsid w:val="00D55002"/>
    <w:rsid w:val="00D55408"/>
    <w:rsid w:val="00D573C0"/>
    <w:rsid w:val="00D62A86"/>
    <w:rsid w:val="00D63A77"/>
    <w:rsid w:val="00D63AEE"/>
    <w:rsid w:val="00D63CB5"/>
    <w:rsid w:val="00D70484"/>
    <w:rsid w:val="00D70EEE"/>
    <w:rsid w:val="00D7227B"/>
    <w:rsid w:val="00D73BD7"/>
    <w:rsid w:val="00D74FD3"/>
    <w:rsid w:val="00D7689F"/>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1D7"/>
    <w:rsid w:val="00DE7FDA"/>
    <w:rsid w:val="00DF3A88"/>
    <w:rsid w:val="00DF54B6"/>
    <w:rsid w:val="00DF55C7"/>
    <w:rsid w:val="00DF5F72"/>
    <w:rsid w:val="00DF764B"/>
    <w:rsid w:val="00E00FB5"/>
    <w:rsid w:val="00E032E0"/>
    <w:rsid w:val="00E03B3A"/>
    <w:rsid w:val="00E0788E"/>
    <w:rsid w:val="00E11AAD"/>
    <w:rsid w:val="00E137C7"/>
    <w:rsid w:val="00E13C1E"/>
    <w:rsid w:val="00E13CDC"/>
    <w:rsid w:val="00E16361"/>
    <w:rsid w:val="00E16382"/>
    <w:rsid w:val="00E16EEE"/>
    <w:rsid w:val="00E21FF2"/>
    <w:rsid w:val="00E2565A"/>
    <w:rsid w:val="00E2611C"/>
    <w:rsid w:val="00E32A5C"/>
    <w:rsid w:val="00E32E35"/>
    <w:rsid w:val="00E348EF"/>
    <w:rsid w:val="00E35A3B"/>
    <w:rsid w:val="00E3680D"/>
    <w:rsid w:val="00E37F90"/>
    <w:rsid w:val="00E40421"/>
    <w:rsid w:val="00E4334B"/>
    <w:rsid w:val="00E43CB5"/>
    <w:rsid w:val="00E43EE0"/>
    <w:rsid w:val="00E50614"/>
    <w:rsid w:val="00E50B29"/>
    <w:rsid w:val="00E51AB0"/>
    <w:rsid w:val="00E51D14"/>
    <w:rsid w:val="00E600BE"/>
    <w:rsid w:val="00E6237A"/>
    <w:rsid w:val="00E632DD"/>
    <w:rsid w:val="00E63E16"/>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920"/>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4A84"/>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Vitor Título,Vitor T’tulo"/>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7B7318"/>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479758942">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mailto:escrituracaorf@itau-unibanco.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hyperlink" Target="mailto:escrituracaorf@itau-unibanco.com.b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schemas.microsoft.com/office/2006/documentManagement/types"/>
    <ds:schemaRef ds:uri="http://schemas.microsoft.com/office/2006/metadata/properties"/>
    <ds:schemaRef ds:uri="http://purl.org/dc/elements/1.1/"/>
    <ds:schemaRef ds:uri="9bd4b9cc-8746-41d1-b5cc-e8920a0bba5d"/>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B298DDB8-558B-42B8-BAEB-9CE117701019}">
  <ds:schemaRefs>
    <ds:schemaRef ds:uri="http://schemas.openxmlformats.org/officeDocument/2006/bibliography"/>
  </ds:schemaRefs>
</ds:datastoreItem>
</file>

<file path=customXml/itemProps9.xml><?xml version="1.0" encoding="utf-8"?>
<ds:datastoreItem xmlns:ds="http://schemas.openxmlformats.org/officeDocument/2006/customXml" ds:itemID="{EB9DB54C-C30A-4D28-B963-B170E2FB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15218</Words>
  <Characters>82183</Characters>
  <Application>Microsoft Office Word</Application>
  <DocSecurity>0</DocSecurity>
  <Lines>684</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97207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2019-09-06T18:15:00Z</dcterms:created>
  <dcterms:modified xsi:type="dcterms:W3CDTF">2019-09-06T18:41:00Z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- 26112542v1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