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w:t>
      </w:r>
      <w:proofErr w:type="spellStart"/>
      <w:r w:rsidRPr="0003264F">
        <w:rPr>
          <w:rFonts w:ascii="Tahoma" w:hAnsi="Tahoma" w:cs="Tahoma"/>
          <w:caps w:val="0"/>
          <w:szCs w:val="22"/>
        </w:rPr>
        <w:t>Escriturador</w:t>
      </w:r>
      <w:proofErr w:type="spellEnd"/>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proofErr w:type="spellStart"/>
      <w:r w:rsidRPr="0003264F">
        <w:rPr>
          <w:rFonts w:ascii="Tahoma" w:hAnsi="Tahoma" w:cs="Tahoma"/>
          <w:b w:val="0"/>
          <w:caps w:val="0"/>
          <w:szCs w:val="22"/>
          <w:u w:val="single"/>
        </w:rPr>
        <w:t>Escriturador</w:t>
      </w:r>
      <w:proofErr w:type="spellEnd"/>
      <w:r w:rsidRPr="0003264F">
        <w:rPr>
          <w:rFonts w:ascii="Tahoma" w:hAnsi="Tahoma" w:cs="Tahoma"/>
          <w:b w:val="0"/>
          <w:caps w:val="0"/>
          <w:szCs w:val="22"/>
        </w:rPr>
        <w:t xml:space="preserve">”, sendo que essas definições incluem qualquer outra instituição que venha a suceder o Banco Liquidante e 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38D09E7B" wp14:editId="365C969F">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90B259C" wp14:editId="5BAE8EF6">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52AF6389" wp14:editId="2D8A556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2EFA8FE8" wp14:editId="5D6F820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“J” = valor unitário da Remuneração acumulada no período, devida no</w:t>
      </w:r>
      <w:r w:rsidR="00A854EB">
        <w:rPr>
          <w:rFonts w:ascii="Tahoma" w:hAnsi="Tahoma" w:cs="Tahoma"/>
          <w:bCs/>
          <w:iCs/>
          <w:sz w:val="22"/>
          <w:szCs w:val="22"/>
        </w:rPr>
        <w:t xml:space="preserve"> </w:t>
      </w:r>
      <w:r w:rsidRPr="00CB2994">
        <w:rPr>
          <w:rFonts w:ascii="Tahoma" w:hAnsi="Tahoma" w:cs="Tahoma"/>
          <w:bCs/>
          <w:iCs/>
          <w:sz w:val="22"/>
          <w:szCs w:val="22"/>
        </w:rPr>
        <w:t xml:space="preserve">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w:t>
      </w:r>
      <w:r w:rsidR="009A074F" w:rsidRPr="00866E16">
        <w:rPr>
          <w:rFonts w:ascii="Tahoma" w:hAnsi="Tahoma" w:cs="Tahoma"/>
          <w:b w:val="0"/>
          <w:caps w:val="0"/>
          <w:szCs w:val="22"/>
        </w:rPr>
        <w:t xml:space="preserve">número de dias úteis entre a primeira </w:t>
      </w:r>
      <w:r w:rsidR="009A074F">
        <w:rPr>
          <w:rFonts w:ascii="Tahoma" w:hAnsi="Tahoma" w:cs="Tahoma"/>
          <w:b w:val="0"/>
          <w:caps w:val="0"/>
          <w:szCs w:val="22"/>
        </w:rPr>
        <w:t>D</w:t>
      </w:r>
      <w:r w:rsidR="009A074F" w:rsidRPr="00866E16">
        <w:rPr>
          <w:rFonts w:ascii="Tahoma" w:hAnsi="Tahoma" w:cs="Tahoma"/>
          <w:b w:val="0"/>
          <w:caps w:val="0"/>
          <w:szCs w:val="22"/>
        </w:rPr>
        <w:t xml:space="preserve">ata de </w:t>
      </w:r>
      <w:r w:rsidR="009A074F">
        <w:rPr>
          <w:rFonts w:ascii="Tahoma" w:hAnsi="Tahoma" w:cs="Tahoma"/>
          <w:b w:val="0"/>
          <w:caps w:val="0"/>
          <w:szCs w:val="22"/>
        </w:rPr>
        <w:t>I</w:t>
      </w:r>
      <w:r w:rsidR="009A074F" w:rsidRPr="00866E16">
        <w:rPr>
          <w:rFonts w:ascii="Tahoma" w:hAnsi="Tahoma" w:cs="Tahoma"/>
          <w:b w:val="0"/>
          <w:caps w:val="0"/>
          <w:szCs w:val="22"/>
        </w:rPr>
        <w:t xml:space="preserve">ntegralização das </w:t>
      </w:r>
      <w:r w:rsidR="009A074F">
        <w:rPr>
          <w:rFonts w:ascii="Tahoma" w:hAnsi="Tahoma" w:cs="Tahoma"/>
          <w:b w:val="0"/>
          <w:caps w:val="0"/>
          <w:szCs w:val="22"/>
        </w:rPr>
        <w:t>D</w:t>
      </w:r>
      <w:r w:rsidR="009A074F" w:rsidRPr="00866E16">
        <w:rPr>
          <w:rFonts w:ascii="Tahoma" w:hAnsi="Tahoma" w:cs="Tahoma"/>
          <w:b w:val="0"/>
          <w:caps w:val="0"/>
          <w:szCs w:val="22"/>
        </w:rPr>
        <w:t>ebênt</w:t>
      </w:r>
      <w:r w:rsidR="009A074F">
        <w:rPr>
          <w:rFonts w:ascii="Tahoma" w:hAnsi="Tahoma" w:cs="Tahoma"/>
          <w:b w:val="0"/>
          <w:caps w:val="0"/>
          <w:szCs w:val="22"/>
        </w:rPr>
        <w:t>ures, a Data de Incorporação de Juros ou a data de pagamento de R</w:t>
      </w:r>
      <w:r w:rsidR="009A074F" w:rsidRPr="00866E16">
        <w:rPr>
          <w:rFonts w:ascii="Tahoma" w:hAnsi="Tahoma" w:cs="Tahoma"/>
          <w:b w:val="0"/>
          <w:caps w:val="0"/>
          <w:szCs w:val="22"/>
        </w:rPr>
        <w:t>emuneração imediatamente anterior, conforme o caso, e a data de cálculo, sendo ‘</w:t>
      </w:r>
      <w:proofErr w:type="spellStart"/>
      <w:r w:rsidR="009A074F" w:rsidRPr="00866E16">
        <w:rPr>
          <w:rFonts w:ascii="Tahoma" w:hAnsi="Tahoma" w:cs="Tahoma"/>
          <w:b w:val="0"/>
          <w:caps w:val="0"/>
          <w:szCs w:val="22"/>
        </w:rPr>
        <w:t>dp</w:t>
      </w:r>
      <w:proofErr w:type="spellEnd"/>
      <w:r w:rsidR="009A074F" w:rsidRPr="00866E16">
        <w:rPr>
          <w:rFonts w:ascii="Tahoma" w:hAnsi="Tahoma" w:cs="Tahoma"/>
          <w:b w:val="0"/>
          <w:caps w:val="0"/>
          <w:szCs w:val="22"/>
        </w:rPr>
        <w:t>’ um número inteiro</w:t>
      </w:r>
      <w:r w:rsidRPr="00866E16">
        <w:rPr>
          <w:rFonts w:ascii="Tahoma" w:hAnsi="Tahoma" w:cs="Tahoma"/>
          <w:b w:val="0"/>
          <w:caps w:val="0"/>
          <w:szCs w:val="22"/>
        </w:rPr>
        <w:t>.</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bookmarkEnd w:id="41"/>
      <w:r w:rsidR="00A854EB">
        <w:rPr>
          <w:rFonts w:ascii="Tahoma" w:hAnsi="Tahoma" w:cs="Tahoma"/>
          <w:caps w:val="0"/>
          <w:szCs w:val="22"/>
        </w:rPr>
        <w:t xml:space="preserve">e </w:t>
      </w:r>
      <w:r w:rsidR="0031109B" w:rsidRPr="00445D93">
        <w:rPr>
          <w:rFonts w:ascii="Tahoma" w:hAnsi="Tahoma" w:cs="Tahoma"/>
          <w:caps w:val="0"/>
          <w:szCs w:val="22"/>
        </w:rPr>
        <w:t>Pagamento da Remuneração</w:t>
      </w:r>
    </w:p>
    <w:p w:rsidR="00D4713D" w:rsidRPr="00062DB9" w:rsidRDefault="009A074F"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Pr>
          <w:rFonts w:ascii="Tahoma" w:hAnsi="Tahoma" w:cs="Tahoma"/>
          <w:b w:val="0"/>
          <w:caps w:val="0"/>
          <w:szCs w:val="22"/>
        </w:rPr>
        <w:t>n</w:t>
      </w:r>
      <w:r w:rsidRPr="00062DB9">
        <w:rPr>
          <w:rFonts w:ascii="Tahoma" w:hAnsi="Tahoma" w:cs="Tahoma"/>
          <w:b w:val="0"/>
          <w:caps w:val="0"/>
          <w:szCs w:val="22"/>
        </w:rPr>
        <w:t xml:space="preserve">a primeira Data de Integralização das Debêntures </w:t>
      </w:r>
      <w:r w:rsidR="006D6FFA">
        <w:rPr>
          <w:rFonts w:ascii="Tahoma" w:hAnsi="Tahoma" w:cs="Tahoma"/>
          <w:b w:val="0"/>
          <w:caps w:val="0"/>
          <w:szCs w:val="22"/>
        </w:rPr>
        <w:t xml:space="preserve">(inclusive) </w:t>
      </w:r>
      <w:r w:rsidRPr="00062DB9">
        <w:rPr>
          <w:rFonts w:ascii="Tahoma" w:hAnsi="Tahoma" w:cs="Tahoma"/>
          <w:b w:val="0"/>
          <w:caps w:val="0"/>
          <w:szCs w:val="22"/>
        </w:rPr>
        <w:t>e termina em 30 de março de 2021 (“</w:t>
      </w:r>
      <w:r w:rsidRPr="00062DB9">
        <w:rPr>
          <w:rFonts w:ascii="Tahoma" w:hAnsi="Tahoma" w:cs="Tahoma"/>
          <w:b w:val="0"/>
          <w:caps w:val="0"/>
          <w:szCs w:val="22"/>
          <w:u w:val="single"/>
        </w:rPr>
        <w:t>Data de Incorporação de Juros</w:t>
      </w:r>
      <w:r w:rsidRPr="00062DB9">
        <w:rPr>
          <w:rFonts w:ascii="Tahoma" w:hAnsi="Tahoma" w:cs="Tahoma"/>
          <w:b w:val="0"/>
          <w:caps w:val="0"/>
          <w:szCs w:val="22"/>
        </w:rPr>
        <w:t>”)</w:t>
      </w:r>
      <w:r w:rsidR="006D6FFA">
        <w:rPr>
          <w:rFonts w:ascii="Tahoma" w:hAnsi="Tahoma" w:cs="Tahoma"/>
          <w:b w:val="0"/>
          <w:caps w:val="0"/>
          <w:szCs w:val="22"/>
        </w:rPr>
        <w:t xml:space="preserve"> (exclusive)</w:t>
      </w:r>
      <w:r w:rsidRPr="00062DB9">
        <w:rPr>
          <w:rFonts w:ascii="Tahoma" w:hAnsi="Tahoma" w:cs="Tahoma"/>
          <w:b w:val="0"/>
          <w:caps w:val="0"/>
          <w:szCs w:val="22"/>
        </w:rPr>
        <w:t xml:space="preserve">, no caso do </w:t>
      </w:r>
      <w:r>
        <w:rPr>
          <w:rFonts w:ascii="Tahoma" w:hAnsi="Tahoma" w:cs="Tahoma"/>
          <w:b w:val="0"/>
          <w:caps w:val="0"/>
          <w:szCs w:val="22"/>
        </w:rPr>
        <w:t xml:space="preserve">primeiro </w:t>
      </w:r>
      <w:r w:rsidRPr="00062DB9">
        <w:rPr>
          <w:rFonts w:ascii="Tahoma" w:hAnsi="Tahoma" w:cs="Tahoma"/>
          <w:b w:val="0"/>
          <w:caps w:val="0"/>
          <w:szCs w:val="22"/>
        </w:rPr>
        <w:t>Período de Capitalização (“</w:t>
      </w:r>
      <w:r>
        <w:rPr>
          <w:rFonts w:ascii="Tahoma" w:hAnsi="Tahoma" w:cs="Tahoma"/>
          <w:b w:val="0"/>
          <w:caps w:val="0"/>
          <w:szCs w:val="22"/>
          <w:u w:val="single"/>
        </w:rPr>
        <w:t xml:space="preserve">Primeiro </w:t>
      </w:r>
      <w:r w:rsidRPr="00062DB9">
        <w:rPr>
          <w:rFonts w:ascii="Tahoma" w:hAnsi="Tahoma" w:cs="Tahoma"/>
          <w:b w:val="0"/>
          <w:caps w:val="0"/>
          <w:szCs w:val="22"/>
          <w:u w:val="single"/>
        </w:rPr>
        <w:t>Período de Capitalização</w:t>
      </w:r>
      <w:r w:rsidRPr="00062DB9">
        <w:rPr>
          <w:rFonts w:ascii="Tahoma" w:hAnsi="Tahoma" w:cs="Tahoma"/>
          <w:b w:val="0"/>
          <w:caps w:val="0"/>
          <w:szCs w:val="22"/>
        </w:rPr>
        <w:t xml:space="preserve">”). </w:t>
      </w:r>
      <w:r w:rsidRPr="00E96B0E">
        <w:rPr>
          <w:rFonts w:ascii="Tahoma" w:hAnsi="Tahoma" w:cs="Tahoma"/>
          <w:b w:val="0"/>
          <w:caps w:val="0"/>
          <w:szCs w:val="22"/>
        </w:rPr>
        <w:t xml:space="preserve">Após </w:t>
      </w:r>
      <w:r w:rsidR="00B022D8">
        <w:rPr>
          <w:rFonts w:ascii="Tahoma" w:hAnsi="Tahoma" w:cs="Tahoma"/>
          <w:b w:val="0"/>
          <w:caps w:val="0"/>
          <w:szCs w:val="22"/>
        </w:rPr>
        <w:t xml:space="preserve">a Data de Incorporação de Juros, </w:t>
      </w:r>
      <w:r w:rsidRPr="00E96B0E">
        <w:rPr>
          <w:rFonts w:ascii="Tahoma" w:hAnsi="Tahoma" w:cs="Tahoma"/>
          <w:b w:val="0"/>
          <w:caps w:val="0"/>
          <w:szCs w:val="22"/>
        </w:rPr>
        <w:t>o Período de Capitalização será o intervalo de tempo que se inicia</w:t>
      </w:r>
      <w:r w:rsidR="00E13C1E">
        <w:rPr>
          <w:rFonts w:ascii="Tahoma" w:hAnsi="Tahoma" w:cs="Tahoma"/>
          <w:b w:val="0"/>
          <w:caps w:val="0"/>
          <w:szCs w:val="22"/>
        </w:rPr>
        <w:t xml:space="preserve"> </w:t>
      </w:r>
      <w:r w:rsidRPr="00062DB9">
        <w:rPr>
          <w:rFonts w:ascii="Tahoma" w:hAnsi="Tahoma" w:cs="Tahoma"/>
          <w:b w:val="0"/>
          <w:caps w:val="0"/>
          <w:szCs w:val="22"/>
        </w:rPr>
        <w:t xml:space="preserve">na Data de Incorporação de Juros </w:t>
      </w:r>
      <w:r>
        <w:rPr>
          <w:rFonts w:ascii="Tahoma" w:hAnsi="Tahoma" w:cs="Tahoma"/>
          <w:b w:val="0"/>
          <w:caps w:val="0"/>
          <w:szCs w:val="22"/>
        </w:rPr>
        <w:t>ou na Data de Pagamento da Remuneração imediatamente anterior</w:t>
      </w:r>
      <w:r w:rsidR="006D6FFA">
        <w:rPr>
          <w:rFonts w:ascii="Tahoma" w:hAnsi="Tahoma" w:cs="Tahoma"/>
          <w:b w:val="0"/>
          <w:caps w:val="0"/>
          <w:szCs w:val="22"/>
        </w:rPr>
        <w:t xml:space="preserve"> (inclusive)</w:t>
      </w:r>
      <w:r>
        <w:rPr>
          <w:rFonts w:ascii="Tahoma" w:hAnsi="Tahoma" w:cs="Tahoma"/>
          <w:b w:val="0"/>
          <w:caps w:val="0"/>
          <w:szCs w:val="22"/>
        </w:rPr>
        <w:t>, conforme o caso, e termina na próxima Data de Pagamento da Remuneração</w:t>
      </w:r>
      <w:r w:rsidR="006D6FFA">
        <w:rPr>
          <w:rFonts w:ascii="Tahoma" w:hAnsi="Tahoma" w:cs="Tahoma"/>
          <w:b w:val="0"/>
          <w:caps w:val="0"/>
          <w:szCs w:val="22"/>
        </w:rPr>
        <w:t xml:space="preserve"> (exclusive)</w:t>
      </w:r>
      <w:r w:rsidR="00062DB9">
        <w:rPr>
          <w:rFonts w:ascii="Tahoma" w:hAnsi="Tahoma" w:cs="Tahoma"/>
          <w:b w:val="0"/>
          <w:caps w:val="0"/>
          <w:szCs w:val="22"/>
        </w:rPr>
        <w:t>.</w:t>
      </w:r>
    </w:p>
    <w:p w:rsidR="009A074F" w:rsidRDefault="009A074F"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 xml:space="preserve">A Remuneração </w:t>
      </w:r>
      <w:r w:rsidRPr="00E96B0E">
        <w:rPr>
          <w:rFonts w:ascii="Tahoma" w:hAnsi="Tahoma" w:cs="Tahoma"/>
          <w:b w:val="0"/>
          <w:caps w:val="0"/>
          <w:szCs w:val="22"/>
        </w:rPr>
        <w:t xml:space="preserve">devida na Data de Incorporação de Juros será capitalizada, incorporando-se automaticamente ao Valor Nominal Unitário Atualizado das </w:t>
      </w:r>
      <w:proofErr w:type="spellStart"/>
      <w:r w:rsidRPr="00E96B0E">
        <w:rPr>
          <w:rFonts w:ascii="Tahoma" w:hAnsi="Tahoma" w:cs="Tahoma"/>
          <w:b w:val="0"/>
          <w:caps w:val="0"/>
          <w:szCs w:val="22"/>
        </w:rPr>
        <w:t>Debêntures.</w:t>
      </w:r>
      <w:r w:rsidRPr="00062DB9">
        <w:rPr>
          <w:rFonts w:ascii="Tahoma" w:hAnsi="Tahoma" w:cs="Tahoma"/>
          <w:b w:val="0"/>
          <w:caps w:val="0"/>
          <w:szCs w:val="22"/>
        </w:rPr>
        <w:t>Fica</w:t>
      </w:r>
      <w:proofErr w:type="spellEnd"/>
      <w:r w:rsidRPr="00062DB9">
        <w:rPr>
          <w:rFonts w:ascii="Tahoma" w:hAnsi="Tahoma" w:cs="Tahoma"/>
          <w:b w:val="0"/>
          <w:caps w:val="0"/>
          <w:szCs w:val="22"/>
        </w:rPr>
        <w:t xml:space="preserve"> desde já certo que a Remuneração relativa aos demais </w:t>
      </w:r>
      <w:proofErr w:type="spellStart"/>
      <w:r w:rsidRPr="00062DB9">
        <w:rPr>
          <w:rFonts w:ascii="Tahoma" w:hAnsi="Tahoma" w:cs="Tahoma"/>
          <w:b w:val="0"/>
          <w:caps w:val="0"/>
          <w:szCs w:val="22"/>
        </w:rPr>
        <w:t>Periodos</w:t>
      </w:r>
      <w:proofErr w:type="spellEnd"/>
      <w:r w:rsidRPr="00062DB9">
        <w:rPr>
          <w:rFonts w:ascii="Tahoma" w:hAnsi="Tahoma" w:cs="Tahoma"/>
          <w:b w:val="0"/>
          <w:caps w:val="0"/>
          <w:szCs w:val="22"/>
        </w:rPr>
        <w:t xml:space="preserve"> de Capitalização será paga semestralmente, sempre no dia 30 (trinta) dos meses de março e setembro de cada ano, nos termos da Cláusula 5.22.</w:t>
      </w:r>
      <w:r>
        <w:rPr>
          <w:rFonts w:ascii="Tahoma" w:hAnsi="Tahoma" w:cs="Tahoma"/>
          <w:b w:val="0"/>
          <w:caps w:val="0"/>
          <w:szCs w:val="22"/>
        </w:rPr>
        <w:t>3</w:t>
      </w:r>
      <w:r w:rsidRPr="00062DB9">
        <w:rPr>
          <w:rFonts w:ascii="Tahoma" w:hAnsi="Tahoma" w:cs="Tahoma"/>
          <w:b w:val="0"/>
          <w:caps w:val="0"/>
          <w:szCs w:val="22"/>
        </w:rPr>
        <w:t xml:space="preserve">. </w:t>
      </w:r>
      <w:proofErr w:type="gramStart"/>
      <w:r w:rsidRPr="00062DB9">
        <w:rPr>
          <w:rFonts w:ascii="Tahoma" w:hAnsi="Tahoma" w:cs="Tahoma"/>
          <w:b w:val="0"/>
          <w:caps w:val="0"/>
          <w:szCs w:val="22"/>
        </w:rPr>
        <w:t>abaixo</w:t>
      </w:r>
      <w:proofErr w:type="gramEnd"/>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r w:rsidR="00766166">
        <w:rPr>
          <w:rFonts w:ascii="Tahoma" w:hAnsi="Tahoma" w:cs="Tahoma"/>
          <w:b w:val="0"/>
          <w:caps w:val="0"/>
          <w:szCs w:val="22"/>
        </w:rPr>
        <w:t xml:space="preserve">Primeiro </w:t>
      </w:r>
      <w:r w:rsidR="00A4168E">
        <w:rPr>
          <w:rFonts w:ascii="Tahoma" w:hAnsi="Tahoma" w:cs="Tahoma"/>
          <w:b w:val="0"/>
          <w:caps w:val="0"/>
          <w:szCs w:val="22"/>
        </w:rPr>
        <w:t>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15 (quinze) dias</w:t>
      </w:r>
      <w:r w:rsidR="0031109B" w:rsidRPr="0003264F">
        <w:rPr>
          <w:rFonts w:ascii="Tahoma" w:hAnsi="Tahoma" w:cs="Tahoma"/>
          <w:b w:val="0"/>
          <w:caps w:val="0"/>
          <w:szCs w:val="22"/>
        </w:rPr>
        <w:t xml:space="preserve">, a partir da Data de </w:t>
      </w:r>
      <w:r w:rsidR="0031109B" w:rsidRPr="0003264F">
        <w:rPr>
          <w:rFonts w:ascii="Tahoma" w:hAnsi="Tahoma" w:cs="Tahoma"/>
          <w:b w:val="0"/>
          <w:caps w:val="0"/>
          <w:szCs w:val="22"/>
        </w:rPr>
        <w:lastRenderedPageBreak/>
        <w:t xml:space="preserve">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lastRenderedPageBreak/>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Percentual do</w:t>
            </w:r>
            <w:r w:rsidR="006D6FFA">
              <w:rPr>
                <w:rFonts w:ascii="Tahoma" w:hAnsi="Tahoma" w:cs="Tahoma"/>
                <w:b/>
                <w:sz w:val="22"/>
                <w:szCs w:val="22"/>
              </w:rPr>
              <w:t xml:space="preserve"> saldo do</w:t>
            </w:r>
            <w:bookmarkStart w:id="45" w:name="_GoBack"/>
            <w:bookmarkEnd w:id="45"/>
            <w:r w:rsidRPr="00976FEA">
              <w:rPr>
                <w:rFonts w:ascii="Tahoma" w:hAnsi="Tahoma" w:cs="Tahoma"/>
                <w:b/>
                <w:sz w:val="22"/>
                <w:szCs w:val="22"/>
              </w:rPr>
              <w:t xml:space="preserve"> Valor Nominal Unitário Atualizado a </w:t>
            </w:r>
            <w:proofErr w:type="gramStart"/>
            <w:r w:rsidRPr="00976FEA">
              <w:rPr>
                <w:rFonts w:ascii="Tahoma" w:hAnsi="Tahoma" w:cs="Tahoma"/>
                <w:b/>
                <w:sz w:val="22"/>
                <w:szCs w:val="22"/>
              </w:rPr>
              <w:t>ser Amortizado</w:t>
            </w:r>
            <w:proofErr w:type="gramEnd"/>
          </w:p>
        </w:tc>
      </w:tr>
      <w:tr w:rsidR="009A074F" w:rsidRPr="0003264F" w:rsidTr="00E63E16">
        <w:trPr>
          <w:trHeight w:val="300"/>
        </w:trPr>
        <w:tc>
          <w:tcPr>
            <w:tcW w:w="2280" w:type="dxa"/>
            <w:shd w:val="clear" w:color="auto" w:fill="auto"/>
            <w:noWrap/>
            <w:vAlign w:val="center"/>
            <w:hideMark/>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1,5000%</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1,5228%</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2,0619%</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2,1053%</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3,2258%</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9A074F" w:rsidRPr="0003264F" w:rsidDel="00060481"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
          <w:p w:rsidR="009A074F" w:rsidRPr="0003264F" w:rsidDel="00060481"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2,8736%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2,9586%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6,0976%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6,4935%</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8,3333%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9,0909%</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11,1111%</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12,5000%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14,2857%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16,6667%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25,0000%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50,0000%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100,0000%</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lastRenderedPageBreak/>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proofErr w:type="spellStart"/>
      <w:r w:rsidR="00F70F13" w:rsidRPr="0003264F">
        <w:rPr>
          <w:rFonts w:ascii="Tahoma" w:hAnsi="Tahoma" w:cs="Tahoma"/>
          <w:b w:val="0"/>
          <w:caps w:val="0"/>
          <w:szCs w:val="22"/>
        </w:rPr>
        <w:t>E</w:t>
      </w:r>
      <w:r w:rsidRPr="0003264F">
        <w:rPr>
          <w:rFonts w:ascii="Tahoma" w:hAnsi="Tahoma" w:cs="Tahoma"/>
          <w:b w:val="0"/>
          <w:caps w:val="0"/>
          <w:szCs w:val="22"/>
        </w:rPr>
        <w:t>scriturador</w:t>
      </w:r>
      <w:proofErr w:type="spellEnd"/>
      <w:r w:rsidRPr="0003264F">
        <w:rPr>
          <w:rFonts w:ascii="Tahoma" w:hAnsi="Tahoma" w:cs="Tahoma"/>
          <w:b w:val="0"/>
          <w:caps w:val="0"/>
          <w:szCs w:val="22"/>
        </w:rPr>
        <w:t xml:space="preserve">,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proofErr w:type="spellStart"/>
      <w:r>
        <w:rPr>
          <w:rFonts w:ascii="Tahoma" w:hAnsi="Tahoma" w:cs="Tahoma"/>
          <w:b w:val="0"/>
          <w:caps w:val="0"/>
        </w:rPr>
        <w:t>E</w:t>
      </w:r>
      <w:r w:rsidRPr="003C02E8">
        <w:rPr>
          <w:rFonts w:ascii="Tahoma" w:hAnsi="Tahoma" w:cs="Tahoma"/>
          <w:b w:val="0"/>
          <w:caps w:val="0"/>
        </w:rPr>
        <w:t>scriturador</w:t>
      </w:r>
      <w:proofErr w:type="spellEnd"/>
      <w:r w:rsidRPr="003C02E8">
        <w:rPr>
          <w:rFonts w:ascii="Tahoma" w:hAnsi="Tahoma" w:cs="Tahoma"/>
          <w:b w:val="0"/>
          <w:caps w:val="0"/>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ou, com relação aos pagamentos que não possam ser realizados por meio do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w:t>
      </w:r>
      <w:r w:rsidRPr="0003264F">
        <w:rPr>
          <w:rFonts w:ascii="Tahoma" w:hAnsi="Tahoma" w:cs="Tahoma"/>
          <w:b w:val="0"/>
          <w:caps w:val="0"/>
          <w:szCs w:val="22"/>
        </w:rPr>
        <w:lastRenderedPageBreak/>
        <w:t xml:space="preserve">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Caso qualquer Debenturista goze de algum tipo de imunidade ou isenção tributária, diferente daquelas previstas na Lei 12.431, este deverá encaminhar ao Banco Liquidante e ao seu </w:t>
      </w:r>
      <w:proofErr w:type="spellStart"/>
      <w:r w:rsidRPr="0003264F">
        <w:rPr>
          <w:rFonts w:ascii="Tahoma" w:hAnsi="Tahoma" w:cs="Tahoma"/>
          <w:b w:val="0"/>
          <w:caps w:val="0"/>
          <w:szCs w:val="22"/>
        </w:rPr>
        <w:t>custodiante</w:t>
      </w:r>
      <w:proofErr w:type="spellEnd"/>
      <w:r w:rsidRPr="0003264F">
        <w:rPr>
          <w:rFonts w:ascii="Tahoma" w:hAnsi="Tahoma" w:cs="Tahoma"/>
          <w:b w:val="0"/>
          <w:caps w:val="0"/>
          <w:szCs w:val="22"/>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bem como prestar qualquer informação adicional em relação ao tema que lhe seja solicitada pelo Banco Liquidante, pelo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lastRenderedPageBreak/>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w:t>
      </w:r>
      <w:r w:rsidRPr="0003264F">
        <w:rPr>
          <w:rFonts w:ascii="Tahoma" w:hAnsi="Tahoma" w:cs="Tahoma"/>
          <w:noProof/>
          <w:sz w:val="22"/>
          <w:szCs w:val="22"/>
          <w:lang w:val="pt-BR"/>
        </w:rPr>
        <w:lastRenderedPageBreak/>
        <w:t xml:space="preserve">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w:t>
      </w:r>
      <w:r w:rsidRPr="0003264F">
        <w:rPr>
          <w:rFonts w:ascii="Tahoma" w:hAnsi="Tahoma" w:cs="Tahoma"/>
          <w:b w:val="0"/>
          <w:caps w:val="0"/>
          <w:szCs w:val="22"/>
        </w:rPr>
        <w:lastRenderedPageBreak/>
        <w:t>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w:t>
      </w:r>
      <w:r w:rsidRPr="0003264F">
        <w:rPr>
          <w:rFonts w:ascii="Tahoma" w:hAnsi="Tahoma" w:cs="Tahoma"/>
          <w:sz w:val="22"/>
          <w:szCs w:val="22"/>
        </w:rPr>
        <w:lastRenderedPageBreak/>
        <w:t xml:space="preserve">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03264F">
        <w:rPr>
          <w:rFonts w:ascii="Tahoma" w:hAnsi="Tahoma" w:cs="Tahoma"/>
          <w:sz w:val="22"/>
          <w:szCs w:val="22"/>
        </w:rPr>
        <w:t>Escriturador</w:t>
      </w:r>
      <w:proofErr w:type="spellEnd"/>
      <w:r w:rsidRPr="0003264F">
        <w:rPr>
          <w:rFonts w:ascii="Tahoma" w:hAnsi="Tahoma" w:cs="Tahoma"/>
          <w:sz w:val="22"/>
          <w:szCs w:val="22"/>
        </w:rPr>
        <w:t xml:space="preserve">,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 xml:space="preserve">do </w:t>
      </w:r>
      <w:proofErr w:type="spellStart"/>
      <w:r w:rsidRPr="0003264F">
        <w:rPr>
          <w:rFonts w:ascii="Tahoma" w:hAnsi="Tahoma" w:cs="Tahoma"/>
          <w:sz w:val="22"/>
          <w:szCs w:val="22"/>
        </w:rPr>
        <w:t>Escriturador</w:t>
      </w:r>
      <w:proofErr w:type="spellEnd"/>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w:t>
      </w:r>
      <w:r w:rsidRPr="0003264F">
        <w:rPr>
          <w:rFonts w:ascii="Tahoma" w:hAnsi="Tahoma" w:cs="Tahoma"/>
          <w:sz w:val="22"/>
          <w:szCs w:val="22"/>
        </w:rPr>
        <w:lastRenderedPageBreak/>
        <w:t>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w:t>
      </w:r>
      <w:r w:rsidRPr="0003264F">
        <w:rPr>
          <w:rFonts w:ascii="Tahoma" w:hAnsi="Tahoma" w:cs="Tahoma"/>
          <w:b w:val="0"/>
          <w:caps w:val="0"/>
          <w:szCs w:val="22"/>
        </w:rPr>
        <w:lastRenderedPageBreak/>
        <w:t xml:space="preserve">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lastRenderedPageBreak/>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lastRenderedPageBreak/>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lastRenderedPageBreak/>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manter atualizada a relação de Debenturistas e de seus endereços, mediante, inclusive, solicitação de informações à Emissora, ao </w:t>
      </w:r>
      <w:proofErr w:type="spellStart"/>
      <w:r w:rsidRPr="0003264F">
        <w:rPr>
          <w:rFonts w:ascii="Tahoma" w:hAnsi="Tahoma" w:cs="Tahoma"/>
          <w:sz w:val="22"/>
          <w:szCs w:val="22"/>
        </w:rPr>
        <w:t>Escriturador</w:t>
      </w:r>
      <w:proofErr w:type="spellEnd"/>
      <w:r w:rsidRPr="0003264F">
        <w:rPr>
          <w:rFonts w:ascii="Tahoma" w:hAnsi="Tahoma" w:cs="Tahoma"/>
          <w:sz w:val="22"/>
          <w:szCs w:val="22"/>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03264F">
        <w:rPr>
          <w:rFonts w:ascii="Tahoma" w:hAnsi="Tahoma" w:cs="Tahoma"/>
          <w:sz w:val="22"/>
          <w:szCs w:val="22"/>
        </w:rPr>
        <w:t>Escriturador</w:t>
      </w:r>
      <w:proofErr w:type="spellEnd"/>
      <w:r w:rsidRPr="0003264F">
        <w:rPr>
          <w:rFonts w:ascii="Tahoma" w:hAnsi="Tahoma" w:cs="Tahoma"/>
          <w:sz w:val="22"/>
          <w:szCs w:val="22"/>
        </w:rPr>
        <w:t>,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DV_M278"/>
      <w:bookmarkStart w:id="193" w:name="_DV_M279"/>
      <w:bookmarkStart w:id="194" w:name="_DV_M280"/>
      <w:bookmarkStart w:id="195" w:name="_DV_M281"/>
      <w:bookmarkStart w:id="196" w:name="_DV_M282"/>
      <w:bookmarkStart w:id="197" w:name="_DV_M283"/>
      <w:bookmarkStart w:id="198" w:name="_DV_M284"/>
      <w:bookmarkStart w:id="199" w:name="_DV_M285"/>
      <w:bookmarkStart w:id="200" w:name="_DV_M286"/>
      <w:bookmarkStart w:id="201" w:name="_DV_M287"/>
      <w:bookmarkStart w:id="202" w:name="_DV_M288"/>
      <w:bookmarkStart w:id="203" w:name="_DV_M289"/>
      <w:bookmarkStart w:id="204" w:name="_DV_M290"/>
      <w:bookmarkStart w:id="205" w:name="_DV_M291"/>
      <w:bookmarkStart w:id="206" w:name="_DV_M292"/>
      <w:bookmarkStart w:id="207" w:name="_DV_M293"/>
      <w:bookmarkStart w:id="208" w:name="_DV_M294"/>
      <w:bookmarkStart w:id="209" w:name="_DV_M295"/>
      <w:bookmarkStart w:id="210" w:name="_DV_M296"/>
      <w:bookmarkStart w:id="211" w:name="_DV_M297"/>
      <w:bookmarkStart w:id="212" w:name="_DV_M298"/>
      <w:bookmarkStart w:id="213" w:name="_DV_M299"/>
      <w:bookmarkStart w:id="214" w:name="_DV_M300"/>
      <w:bookmarkStart w:id="215" w:name="_DV_M301"/>
      <w:bookmarkStart w:id="216" w:name="_DV_M302"/>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5" w:name="_DV_M321"/>
      <w:bookmarkEnd w:id="23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2"/>
      <w:bookmarkStart w:id="237" w:name="_DV_M323"/>
      <w:bookmarkEnd w:id="236"/>
      <w:bookmarkEnd w:id="23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4"/>
      <w:bookmarkEnd w:id="23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5"/>
      <w:bookmarkStart w:id="240" w:name="_Ref501562621"/>
      <w:bookmarkEnd w:id="23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1" w:name="_DV_M326"/>
      <w:bookmarkStart w:id="242" w:name="_Ref501562592"/>
      <w:bookmarkEnd w:id="241"/>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3" w:name="_DV_M327"/>
      <w:bookmarkStart w:id="244" w:name="_Ref501562594"/>
      <w:bookmarkEnd w:id="243"/>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5" w:name="_DV_M328"/>
      <w:bookmarkStart w:id="246" w:name="_Ref501562596"/>
      <w:bookmarkEnd w:id="245"/>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7" w:name="_DV_M329"/>
      <w:bookmarkStart w:id="248" w:name="_Ref501562641"/>
      <w:bookmarkEnd w:id="247"/>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9" w:name="_DV_M330"/>
      <w:bookmarkStart w:id="250" w:name="_DV_M331"/>
      <w:bookmarkEnd w:id="249"/>
      <w:bookmarkEnd w:id="25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1" w:name="_DV_M332"/>
      <w:bookmarkEnd w:id="25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2" w:name="_DV_M333"/>
      <w:bookmarkEnd w:id="252"/>
      <w:r w:rsidRPr="0003264F">
        <w:rPr>
          <w:rFonts w:ascii="Tahoma" w:hAnsi="Tahoma" w:cs="Tahoma"/>
          <w:b w:val="0"/>
          <w:caps w:val="0"/>
          <w:szCs w:val="22"/>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4"/>
      <w:bookmarkEnd w:id="253"/>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5"/>
      <w:bookmarkEnd w:id="25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6"/>
      <w:bookmarkEnd w:id="25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7"/>
      <w:bookmarkEnd w:id="25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8"/>
      <w:bookmarkEnd w:id="25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9"/>
      <w:bookmarkEnd w:id="25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59" w:name="_DV_M340"/>
      <w:bookmarkStart w:id="260" w:name="_Ref427712773"/>
      <w:bookmarkEnd w:id="259"/>
      <w:r w:rsidRPr="0003264F">
        <w:rPr>
          <w:rFonts w:ascii="Tahoma" w:hAnsi="Tahoma" w:cs="Tahoma"/>
          <w:szCs w:val="22"/>
        </w:rPr>
        <w:t xml:space="preserve"> – DA ASSEMBLEIA GERAL DE DEBENTURISTAS</w:t>
      </w:r>
      <w:bookmarkEnd w:id="26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1" w:name="_DV_M341"/>
      <w:bookmarkStart w:id="262" w:name="_DV_M353"/>
      <w:bookmarkStart w:id="263" w:name="_DV_M354"/>
      <w:bookmarkEnd w:id="261"/>
      <w:bookmarkEnd w:id="262"/>
      <w:bookmarkEnd w:id="26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respeitadas outras regras relacionadas à publicação de anúncio de convocação de assembleias gerais constantes da Lei das Sociedades por Ações, da regulamentação aplicável e desta Escritura </w:t>
      </w:r>
      <w:r w:rsidRPr="0003264F">
        <w:rPr>
          <w:rFonts w:ascii="Tahoma" w:hAnsi="Tahoma" w:cs="Tahoma"/>
          <w:b w:val="0"/>
          <w:caps w:val="0"/>
          <w:szCs w:val="22"/>
        </w:rPr>
        <w:lastRenderedPageBreak/>
        <w:t>de Emissão, ficando dispensada a convocação no caso da presença da totalidade dos Debenturistas.</w:t>
      </w:r>
      <w:bookmarkEnd w:id="26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5" w:name="_Ref392020859"/>
      <w:bookmarkStart w:id="26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5"/>
      <w:r w:rsidR="005E53BC" w:rsidRPr="0003264F">
        <w:rPr>
          <w:rFonts w:ascii="Tahoma" w:hAnsi="Tahoma" w:cs="Tahoma"/>
          <w:b w:val="0"/>
          <w:caps w:val="0"/>
          <w:szCs w:val="22"/>
        </w:rPr>
        <w:t>.</w:t>
      </w:r>
      <w:bookmarkEnd w:id="26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lastRenderedPageBreak/>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DV_M355"/>
      <w:bookmarkEnd w:id="26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lastRenderedPageBreak/>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69"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6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lastRenderedPageBreak/>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0" w:name="_DV_M356"/>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2"/>
      <w:bookmarkStart w:id="307" w:name="_DV_M393"/>
      <w:bookmarkStart w:id="308" w:name="_DV_M39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9" w:name="_DV_M395"/>
      <w:bookmarkEnd w:id="30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0" w:name="_DV_M396"/>
      <w:bookmarkEnd w:id="31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1" w:name="_DV_M397"/>
      <w:bookmarkStart w:id="312" w:name="_DV_M398"/>
      <w:bookmarkEnd w:id="311"/>
      <w:bookmarkEnd w:id="31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r>
      <w:r w:rsidR="007D0346" w:rsidRPr="0003264F">
        <w:rPr>
          <w:rFonts w:ascii="Tahoma" w:hAnsi="Tahoma"/>
          <w:sz w:val="22"/>
        </w:rPr>
        <w:lastRenderedPageBreak/>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 xml:space="preserve">Para o Banco Liquidante ou para o </w:t>
      </w:r>
      <w:proofErr w:type="spellStart"/>
      <w:r w:rsidRPr="0003264F">
        <w:rPr>
          <w:rFonts w:ascii="Tahoma" w:hAnsi="Tahoma"/>
          <w:bCs/>
          <w:sz w:val="22"/>
        </w:rPr>
        <w:t>Escriturador</w:t>
      </w:r>
      <w:proofErr w:type="spellEnd"/>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1" w:name="_DV_M441"/>
      <w:bookmarkEnd w:id="34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2" w:name="_DV_M442"/>
      <w:bookmarkEnd w:id="34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3"/>
      <w:bookmarkEnd w:id="34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4"/>
      <w:bookmarkEnd w:id="344"/>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5"/>
      <w:bookmarkEnd w:id="345"/>
      <w:r w:rsidRPr="0003264F">
        <w:rPr>
          <w:rFonts w:ascii="Tahoma" w:hAnsi="Tahoma" w:cs="Tahoma"/>
          <w:b w:val="0"/>
          <w:caps w:val="0"/>
          <w:szCs w:val="22"/>
        </w:rPr>
        <w:t xml:space="preserve">A presente Escritura de Emissão e as Debêntures constituem título executivo extrajudicial, nos termos do artigo 784, incisos I e III, do Código de Processo Civil, e as </w:t>
      </w:r>
      <w:r w:rsidRPr="0003264F">
        <w:rPr>
          <w:rFonts w:ascii="Tahoma" w:hAnsi="Tahoma" w:cs="Tahoma"/>
          <w:b w:val="0"/>
          <w:caps w:val="0"/>
          <w:szCs w:val="22"/>
        </w:rPr>
        <w:lastRenderedPageBreak/>
        <w:t>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6"/>
      <w:bookmarkStart w:id="347" w:name="_DV_M447"/>
      <w:bookmarkEnd w:id="346"/>
      <w:bookmarkEnd w:id="347"/>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448"/>
      <w:bookmarkStart w:id="349" w:name="_DV_M449"/>
      <w:bookmarkEnd w:id="348"/>
      <w:bookmarkEnd w:id="34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0" w:name="_DV_M450"/>
      <w:bookmarkEnd w:id="35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1" w:name="_DV_M451"/>
      <w:bookmarkEnd w:id="35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2" w:name="_DV_M452"/>
      <w:bookmarkEnd w:id="35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3" w:name="_DV_M453"/>
      <w:bookmarkStart w:id="354" w:name="_DV_M454"/>
      <w:bookmarkEnd w:id="353"/>
      <w:bookmarkEnd w:id="35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5" w:name="_DV_M455"/>
      <w:bookmarkStart w:id="356" w:name="_DV_M456"/>
      <w:bookmarkEnd w:id="355"/>
      <w:bookmarkEnd w:id="35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7" w:name="_DV_M457"/>
      <w:bookmarkEnd w:id="35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8" w:name="_DV_M458"/>
      <w:bookmarkEnd w:id="35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59" w:name="_DV_M460"/>
      <w:bookmarkEnd w:id="35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4F" w:rsidRDefault="009A074F">
      <w:pPr>
        <w:widowControl/>
      </w:pPr>
      <w:r>
        <w:separator/>
      </w:r>
    </w:p>
  </w:endnote>
  <w:endnote w:type="continuationSeparator" w:id="0">
    <w:p w:rsidR="009A074F" w:rsidRDefault="009A074F">
      <w:pPr>
        <w:widowControl/>
      </w:pPr>
      <w:r>
        <w:continuationSeparator/>
      </w:r>
    </w:p>
  </w:endnote>
  <w:endnote w:type="continuationNotice" w:id="1">
    <w:p w:rsidR="009A074F" w:rsidRDefault="009A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9A074F" w:rsidRDefault="009A074F">
    <w:pPr>
      <w:pStyle w:val="Rodap"/>
    </w:pPr>
  </w:p>
  <w:p w:rsidR="009A074F" w:rsidRDefault="009A074F"/>
  <w:p w:rsidR="009A074F" w:rsidRDefault="009A074F"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Pr="000B6319" w:rsidRDefault="009A074F">
    <w:pPr>
      <w:pStyle w:val="Rodap"/>
      <w:rPr>
        <w:rFonts w:ascii="Verdana" w:hAnsi="Verdana"/>
        <w:sz w:val="14"/>
      </w:rPr>
    </w:pPr>
  </w:p>
  <w:p w:rsidR="009A074F" w:rsidRDefault="009A074F" w:rsidP="00257663">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9A074F" w:rsidRPr="00257663" w:rsidRDefault="009A074F" w:rsidP="00257663">
    <w:pPr>
      <w:pStyle w:val="Cabealho"/>
      <w:jc w:val="left"/>
      <w:rPr>
        <w:rFonts w:ascii="Tahoma" w:hAnsi="Tahoma" w:cs="Tahoma"/>
        <w:sz w:val="12"/>
        <w:lang w:val="en-GB"/>
      </w:rPr>
    </w:pPr>
    <w:r>
      <w:rPr>
        <w:rFonts w:ascii="Tahoma" w:hAnsi="Tahoma" w:cs="Tahoma"/>
        <w:sz w:val="12"/>
        <w:lang w:val="en-GB"/>
      </w:rPr>
      <w:t xml:space="preserve">SP - 26051206v1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9A074F" w:rsidRPr="00E2565A" w:rsidRDefault="009A074F"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6D6FFA">
          <w:rPr>
            <w:rFonts w:ascii="Tahoma" w:hAnsi="Tahoma" w:cs="Tahoma"/>
            <w:noProof/>
            <w:sz w:val="22"/>
            <w:szCs w:val="22"/>
          </w:rPr>
          <w:t>17</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4F" w:rsidRDefault="009A074F">
      <w:pPr>
        <w:widowControl/>
      </w:pPr>
      <w:r>
        <w:separator/>
      </w:r>
    </w:p>
  </w:footnote>
  <w:footnote w:type="continuationSeparator" w:id="0">
    <w:p w:rsidR="009A074F" w:rsidRDefault="009A074F">
      <w:pPr>
        <w:widowControl/>
      </w:pPr>
      <w:r>
        <w:continuationSeparator/>
      </w:r>
    </w:p>
  </w:footnote>
  <w:footnote w:type="continuationNotice" w:id="1">
    <w:p w:rsidR="009A074F" w:rsidRDefault="009A07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9A074F" w:rsidRPr="009A5174" w:rsidRDefault="009A074F"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Pr="00F6503A" w:rsidRDefault="009A074F">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2DB9"/>
    <w:rsid w:val="00063E51"/>
    <w:rsid w:val="00064861"/>
    <w:rsid w:val="00070A71"/>
    <w:rsid w:val="00071485"/>
    <w:rsid w:val="000805F0"/>
    <w:rsid w:val="00082AAA"/>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3D87"/>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2BE"/>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0894"/>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6FFA"/>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6166"/>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C5EC3"/>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0E56"/>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074F"/>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54EB"/>
    <w:rsid w:val="00A86210"/>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2D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2F55"/>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93"/>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1E"/>
    <w:rsid w:val="00E13CDC"/>
    <w:rsid w:val="00E16361"/>
    <w:rsid w:val="00E16382"/>
    <w:rsid w:val="00E16EEE"/>
    <w:rsid w:val="00E21FF2"/>
    <w:rsid w:val="00E2565A"/>
    <w:rsid w:val="00E2611C"/>
    <w:rsid w:val="00E32A5C"/>
    <w:rsid w:val="00E32E35"/>
    <w:rsid w:val="00E348EF"/>
    <w:rsid w:val="00E35A3B"/>
    <w:rsid w:val="00E3680D"/>
    <w:rsid w:val="00E37F90"/>
    <w:rsid w:val="00E40421"/>
    <w:rsid w:val="00E4334B"/>
    <w:rsid w:val="00E43EE0"/>
    <w:rsid w:val="00E50614"/>
    <w:rsid w:val="00E50B29"/>
    <w:rsid w:val="00E51AB0"/>
    <w:rsid w:val="00E51D14"/>
    <w:rsid w:val="00E600BE"/>
    <w:rsid w:val="00E6237A"/>
    <w:rsid w:val="00E632DD"/>
    <w:rsid w:val="00E63E16"/>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3.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bd4b9cc-8746-41d1-b5cc-e8920a0bba5d"/>
    <ds:schemaRef ds:uri="http://www.w3.org/XML/1998/namespace"/>
    <ds:schemaRef ds:uri="http://purl.org/dc/dcmitype/"/>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B9D0A229-247A-4E94-B998-10CE6136D632}">
  <ds:schemaRefs>
    <ds:schemaRef ds:uri="http://schemas.openxmlformats.org/officeDocument/2006/bibliography"/>
  </ds:schemaRefs>
</ds:datastoreItem>
</file>

<file path=customXml/itemProps9.xml><?xml version="1.0" encoding="utf-8"?>
<ds:datastoreItem xmlns:ds="http://schemas.openxmlformats.org/officeDocument/2006/customXml" ds:itemID="{2FE3ED43-7872-4DE7-80F4-FB4678A2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14919</Words>
  <Characters>80566</Characters>
  <Application>Microsoft Office Word</Application>
  <DocSecurity>0</DocSecurity>
  <Lines>671</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95295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2019-08-27T21:18:00Z</dcterms:created>
  <dcterms:modified xsi:type="dcterms:W3CDTF">2019-08-29T19:52:00Z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- 26051206v1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