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044B2" w14:textId="77777777" w:rsidR="003B081D" w:rsidRPr="00CA4352" w:rsidRDefault="003B081D" w:rsidP="002D43C4">
      <w:pPr>
        <w:spacing w:line="316" w:lineRule="exact"/>
        <w:jc w:val="center"/>
        <w:rPr>
          <w:rFonts w:cs="Tahoma"/>
          <w:b/>
          <w:sz w:val="21"/>
          <w:szCs w:val="21"/>
        </w:rPr>
      </w:pPr>
      <w:r w:rsidRPr="00CA4352">
        <w:rPr>
          <w:rFonts w:cs="Tahoma"/>
          <w:b/>
          <w:sz w:val="21"/>
          <w:szCs w:val="21"/>
        </w:rPr>
        <w:t>LIGHT SERVIÇOS DE ELETRICIDADE S.A.</w:t>
      </w:r>
    </w:p>
    <w:p w14:paraId="21A81B1C" w14:textId="5E012AFD" w:rsidR="003B081D" w:rsidRPr="00CA4352" w:rsidRDefault="007C230C" w:rsidP="002D43C4">
      <w:pPr>
        <w:spacing w:line="316" w:lineRule="exact"/>
        <w:jc w:val="center"/>
        <w:rPr>
          <w:rFonts w:cs="Tahoma"/>
          <w:sz w:val="21"/>
          <w:szCs w:val="21"/>
        </w:rPr>
      </w:pPr>
      <w:r w:rsidRPr="00CA4352">
        <w:rPr>
          <w:rFonts w:cs="Tahoma"/>
          <w:sz w:val="21"/>
          <w:szCs w:val="21"/>
        </w:rPr>
        <w:t>CNPJ/ME</w:t>
      </w:r>
      <w:r w:rsidR="003B081D" w:rsidRPr="00CA4352">
        <w:rPr>
          <w:rFonts w:cs="Tahoma"/>
          <w:sz w:val="21"/>
          <w:szCs w:val="21"/>
        </w:rPr>
        <w:t xml:space="preserve"> </w:t>
      </w:r>
      <w:r w:rsidR="00EC7C59" w:rsidRPr="00CA4352">
        <w:rPr>
          <w:rFonts w:cs="Tahoma"/>
          <w:sz w:val="21"/>
          <w:szCs w:val="21"/>
        </w:rPr>
        <w:t>n</w:t>
      </w:r>
      <w:r w:rsidR="003B081D" w:rsidRPr="00CA4352">
        <w:rPr>
          <w:rFonts w:cs="Tahoma"/>
          <w:sz w:val="21"/>
          <w:szCs w:val="21"/>
        </w:rPr>
        <w:t>º 60.444.437/0001-46</w:t>
      </w:r>
    </w:p>
    <w:p w14:paraId="4924CEB9" w14:textId="6DDB163B" w:rsidR="003B081D" w:rsidRPr="00CA4352" w:rsidRDefault="003B081D" w:rsidP="002D43C4">
      <w:pPr>
        <w:spacing w:line="316" w:lineRule="exact"/>
        <w:jc w:val="center"/>
        <w:rPr>
          <w:rFonts w:cs="Tahoma"/>
          <w:sz w:val="21"/>
          <w:szCs w:val="21"/>
        </w:rPr>
      </w:pPr>
      <w:r w:rsidRPr="00CA4352">
        <w:rPr>
          <w:rFonts w:cs="Tahoma"/>
          <w:sz w:val="21"/>
          <w:szCs w:val="21"/>
        </w:rPr>
        <w:t xml:space="preserve">NIRE </w:t>
      </w:r>
      <w:r w:rsidR="00EC7C59" w:rsidRPr="00CA4352">
        <w:rPr>
          <w:rFonts w:cs="Tahoma"/>
          <w:sz w:val="21"/>
          <w:szCs w:val="21"/>
        </w:rPr>
        <w:t>n</w:t>
      </w:r>
      <w:r w:rsidRPr="00CA4352">
        <w:rPr>
          <w:rFonts w:cs="Tahoma"/>
          <w:sz w:val="21"/>
          <w:szCs w:val="21"/>
        </w:rPr>
        <w:t>º 33.3.001.064.48</w:t>
      </w:r>
    </w:p>
    <w:p w14:paraId="241B68F9" w14:textId="77777777" w:rsidR="003B081D" w:rsidRPr="00CA4352" w:rsidRDefault="003B081D" w:rsidP="002D43C4">
      <w:pPr>
        <w:spacing w:line="316" w:lineRule="exact"/>
        <w:jc w:val="center"/>
        <w:rPr>
          <w:rFonts w:cs="Tahoma"/>
          <w:i/>
          <w:sz w:val="21"/>
          <w:szCs w:val="21"/>
        </w:rPr>
      </w:pPr>
      <w:r w:rsidRPr="00CA4352">
        <w:rPr>
          <w:rFonts w:cs="Tahoma"/>
          <w:i/>
          <w:sz w:val="21"/>
          <w:szCs w:val="21"/>
        </w:rPr>
        <w:t>Companhia Aberta</w:t>
      </w:r>
    </w:p>
    <w:p w14:paraId="4A96E329" w14:textId="77777777" w:rsidR="003B081D" w:rsidRPr="00CA4352" w:rsidRDefault="003B081D" w:rsidP="002D43C4">
      <w:pPr>
        <w:spacing w:line="316" w:lineRule="exact"/>
        <w:jc w:val="center"/>
        <w:rPr>
          <w:rFonts w:cs="Tahoma"/>
          <w:i/>
          <w:sz w:val="21"/>
          <w:szCs w:val="21"/>
        </w:rPr>
      </w:pPr>
      <w:r w:rsidRPr="00CA4352">
        <w:rPr>
          <w:rFonts w:cs="Tahoma"/>
          <w:i/>
          <w:sz w:val="21"/>
          <w:szCs w:val="21"/>
        </w:rPr>
        <w:t>Subsidiária Integral da Light S.A.</w:t>
      </w:r>
    </w:p>
    <w:p w14:paraId="19957968" w14:textId="77777777" w:rsidR="00137DC3" w:rsidRPr="00CA4352" w:rsidRDefault="00137DC3" w:rsidP="002D43C4">
      <w:pPr>
        <w:pStyle w:val="Texto-MattosFilho"/>
        <w:spacing w:line="316" w:lineRule="exact"/>
        <w:jc w:val="center"/>
        <w:rPr>
          <w:rFonts w:cs="Tahoma"/>
          <w:sz w:val="21"/>
          <w:szCs w:val="21"/>
        </w:rPr>
      </w:pPr>
    </w:p>
    <w:p w14:paraId="165F58A2" w14:textId="77777777" w:rsidR="008F754B" w:rsidRPr="00CA4352" w:rsidRDefault="008F754B" w:rsidP="002D43C4">
      <w:pPr>
        <w:pStyle w:val="Texto-MattosFilho"/>
        <w:spacing w:line="316" w:lineRule="exact"/>
        <w:jc w:val="center"/>
        <w:rPr>
          <w:rFonts w:cs="Tahoma"/>
          <w:sz w:val="21"/>
          <w:szCs w:val="21"/>
        </w:rPr>
      </w:pPr>
    </w:p>
    <w:p w14:paraId="62D80E20" w14:textId="77777777" w:rsidR="00DF25CB" w:rsidRPr="00CA4352" w:rsidRDefault="003B081D" w:rsidP="002D43C4">
      <w:pPr>
        <w:spacing w:line="316" w:lineRule="exact"/>
        <w:jc w:val="center"/>
        <w:rPr>
          <w:rFonts w:cs="Tahoma"/>
          <w:b/>
          <w:sz w:val="21"/>
          <w:szCs w:val="21"/>
        </w:rPr>
      </w:pPr>
      <w:r w:rsidRPr="00CA4352">
        <w:rPr>
          <w:rFonts w:cs="Tahoma"/>
          <w:b/>
          <w:sz w:val="21"/>
          <w:szCs w:val="21"/>
        </w:rPr>
        <w:t>ATA DA REUNIÃO DO CONSELHO DE ADMINISTRAÇÃO</w:t>
      </w:r>
    </w:p>
    <w:p w14:paraId="15A2C236" w14:textId="2ACD04B4" w:rsidR="003B081D" w:rsidRPr="00CA4352" w:rsidRDefault="003B081D" w:rsidP="002D43C4">
      <w:pPr>
        <w:spacing w:line="316" w:lineRule="exact"/>
        <w:jc w:val="center"/>
        <w:rPr>
          <w:rFonts w:cs="Tahoma"/>
          <w:b/>
          <w:sz w:val="21"/>
          <w:szCs w:val="21"/>
        </w:rPr>
      </w:pPr>
      <w:r w:rsidRPr="00CA4352">
        <w:rPr>
          <w:rFonts w:cs="Tahoma"/>
          <w:b/>
          <w:sz w:val="21"/>
          <w:szCs w:val="21"/>
        </w:rPr>
        <w:t xml:space="preserve">REALIZADA EM </w:t>
      </w:r>
      <w:r w:rsidR="00EC7C59" w:rsidRPr="00CA4352">
        <w:rPr>
          <w:rFonts w:cs="Tahoma"/>
          <w:b/>
          <w:sz w:val="21"/>
          <w:szCs w:val="21"/>
        </w:rPr>
        <w:t xml:space="preserve">[●] </w:t>
      </w:r>
      <w:r w:rsidR="00DF25CB" w:rsidRPr="00CA4352">
        <w:rPr>
          <w:rFonts w:cs="Tahoma"/>
          <w:b/>
          <w:sz w:val="21"/>
          <w:szCs w:val="21"/>
        </w:rPr>
        <w:t xml:space="preserve">DE </w:t>
      </w:r>
      <w:r w:rsidR="00EC7C59" w:rsidRPr="00CA4352">
        <w:rPr>
          <w:rFonts w:cs="Tahoma"/>
          <w:b/>
          <w:sz w:val="21"/>
          <w:szCs w:val="21"/>
        </w:rPr>
        <w:t xml:space="preserve">[MARÇO] </w:t>
      </w:r>
      <w:r w:rsidR="00DF25CB" w:rsidRPr="00CA4352">
        <w:rPr>
          <w:rFonts w:cs="Tahoma"/>
          <w:b/>
          <w:sz w:val="21"/>
          <w:szCs w:val="21"/>
        </w:rPr>
        <w:t xml:space="preserve">DE </w:t>
      </w:r>
      <w:r w:rsidR="00EC7C59" w:rsidRPr="00CA4352">
        <w:rPr>
          <w:rFonts w:cs="Tahoma"/>
          <w:b/>
          <w:sz w:val="21"/>
          <w:szCs w:val="21"/>
        </w:rPr>
        <w:t>2020</w:t>
      </w:r>
    </w:p>
    <w:p w14:paraId="20014A44" w14:textId="77777777" w:rsidR="00137DC3" w:rsidRPr="00CA4352" w:rsidRDefault="00137DC3" w:rsidP="002D43C4">
      <w:pPr>
        <w:pStyle w:val="Texto-MattosFilho"/>
        <w:spacing w:line="316" w:lineRule="exact"/>
        <w:rPr>
          <w:rFonts w:cs="Tahoma"/>
          <w:b/>
          <w:sz w:val="21"/>
          <w:szCs w:val="21"/>
        </w:rPr>
      </w:pPr>
    </w:p>
    <w:p w14:paraId="6C8AD277" w14:textId="77777777" w:rsidR="008F754B" w:rsidRPr="00CA4352" w:rsidRDefault="008F754B" w:rsidP="002D43C4">
      <w:pPr>
        <w:pStyle w:val="Texto-MattosFilho"/>
        <w:spacing w:line="316" w:lineRule="exact"/>
        <w:rPr>
          <w:rFonts w:cs="Tahoma"/>
          <w:b/>
          <w:sz w:val="21"/>
          <w:szCs w:val="21"/>
        </w:rPr>
      </w:pPr>
    </w:p>
    <w:p w14:paraId="24B90F2D" w14:textId="77625E01" w:rsidR="003B081D" w:rsidRPr="00CA4352" w:rsidRDefault="00C64ABB" w:rsidP="002D43C4">
      <w:pPr>
        <w:pStyle w:val="PargrafodaLista"/>
        <w:numPr>
          <w:ilvl w:val="0"/>
          <w:numId w:val="4"/>
        </w:numPr>
        <w:tabs>
          <w:tab w:val="clear" w:pos="720"/>
          <w:tab w:val="num" w:pos="1134"/>
        </w:tabs>
        <w:spacing w:line="316" w:lineRule="exact"/>
        <w:ind w:left="0" w:firstLine="0"/>
        <w:contextualSpacing w:val="0"/>
        <w:rPr>
          <w:rFonts w:cs="Tahoma"/>
          <w:sz w:val="21"/>
          <w:szCs w:val="21"/>
        </w:rPr>
      </w:pPr>
      <w:r w:rsidRPr="00CA4352">
        <w:rPr>
          <w:rFonts w:cs="Tahoma"/>
          <w:b/>
          <w:sz w:val="21"/>
          <w:szCs w:val="21"/>
          <w:u w:val="single"/>
        </w:rPr>
        <w:t>Data, Hora e L</w:t>
      </w:r>
      <w:r w:rsidR="003B081D" w:rsidRPr="00CA4352">
        <w:rPr>
          <w:rFonts w:cs="Tahoma"/>
          <w:b/>
          <w:sz w:val="21"/>
          <w:szCs w:val="21"/>
          <w:u w:val="single"/>
        </w:rPr>
        <w:t>ocal</w:t>
      </w:r>
      <w:r w:rsidR="003B081D" w:rsidRPr="00CA4352">
        <w:rPr>
          <w:rFonts w:cs="Tahoma"/>
          <w:sz w:val="21"/>
          <w:szCs w:val="21"/>
        </w:rPr>
        <w:t xml:space="preserve">: </w:t>
      </w:r>
      <w:r w:rsidR="00DF25CB" w:rsidRPr="00CA4352">
        <w:rPr>
          <w:rFonts w:cs="Tahoma"/>
          <w:sz w:val="21"/>
          <w:szCs w:val="21"/>
        </w:rPr>
        <w:t>Realizada aos</w:t>
      </w:r>
      <w:r w:rsidR="00BE2C5E" w:rsidRPr="00CA4352">
        <w:rPr>
          <w:rFonts w:cs="Tahoma"/>
          <w:sz w:val="21"/>
          <w:szCs w:val="21"/>
        </w:rPr>
        <w:t xml:space="preserve"> </w:t>
      </w:r>
      <w:r w:rsidR="00EC7C59" w:rsidRPr="00CA4352">
        <w:rPr>
          <w:rFonts w:cs="Tahoma"/>
          <w:sz w:val="21"/>
          <w:szCs w:val="21"/>
        </w:rPr>
        <w:t>[●]</w:t>
      </w:r>
      <w:r w:rsidR="00EC7C59" w:rsidRPr="00CA4352">
        <w:rPr>
          <w:rFonts w:cs="Tahoma"/>
          <w:b/>
          <w:sz w:val="21"/>
          <w:szCs w:val="21"/>
        </w:rPr>
        <w:t xml:space="preserve"> </w:t>
      </w:r>
      <w:r w:rsidR="00DF25CB" w:rsidRPr="00CA4352">
        <w:rPr>
          <w:rFonts w:cs="Tahoma"/>
          <w:sz w:val="21"/>
          <w:szCs w:val="21"/>
        </w:rPr>
        <w:t xml:space="preserve">dias do mês de </w:t>
      </w:r>
      <w:r w:rsidR="00EC7C59" w:rsidRPr="00CA4352">
        <w:rPr>
          <w:rFonts w:cs="Tahoma"/>
          <w:sz w:val="21"/>
          <w:szCs w:val="21"/>
        </w:rPr>
        <w:t>[março]</w:t>
      </w:r>
      <w:r w:rsidR="00EC7C59" w:rsidRPr="00CA4352">
        <w:rPr>
          <w:rFonts w:cs="Tahoma"/>
          <w:b/>
          <w:sz w:val="21"/>
          <w:szCs w:val="21"/>
        </w:rPr>
        <w:t xml:space="preserve"> </w:t>
      </w:r>
      <w:r w:rsidR="00DF25CB" w:rsidRPr="00CA4352">
        <w:rPr>
          <w:rFonts w:cs="Tahoma"/>
          <w:sz w:val="21"/>
          <w:szCs w:val="21"/>
        </w:rPr>
        <w:t xml:space="preserve">do ano de </w:t>
      </w:r>
      <w:proofErr w:type="gramStart"/>
      <w:r w:rsidR="00EC7C59" w:rsidRPr="00CA4352">
        <w:rPr>
          <w:rFonts w:cs="Tahoma"/>
          <w:sz w:val="21"/>
          <w:szCs w:val="21"/>
        </w:rPr>
        <w:t>2020</w:t>
      </w:r>
      <w:r w:rsidR="00DF25CB" w:rsidRPr="00CA4352">
        <w:rPr>
          <w:rFonts w:cs="Tahoma"/>
          <w:sz w:val="21"/>
          <w:szCs w:val="21"/>
        </w:rPr>
        <w:t>,,</w:t>
      </w:r>
      <w:proofErr w:type="gramEnd"/>
      <w:r w:rsidR="00DF25CB" w:rsidRPr="00CA4352">
        <w:rPr>
          <w:rFonts w:cs="Tahoma"/>
          <w:sz w:val="21"/>
          <w:szCs w:val="21"/>
        </w:rPr>
        <w:t xml:space="preserve"> às [•] horas, na sede da Light Serviços de Eletricidade S.A.</w:t>
      </w:r>
      <w:r w:rsidR="00DF25CB" w:rsidRPr="00CA4352">
        <w:rPr>
          <w:rFonts w:cs="Tahoma"/>
          <w:b/>
          <w:smallCaps/>
          <w:sz w:val="21"/>
          <w:szCs w:val="21"/>
        </w:rPr>
        <w:t xml:space="preserve"> </w:t>
      </w:r>
      <w:r w:rsidR="00DF25CB" w:rsidRPr="00CA4352">
        <w:rPr>
          <w:rFonts w:cs="Tahoma"/>
          <w:smallCaps/>
          <w:sz w:val="21"/>
          <w:szCs w:val="21"/>
        </w:rPr>
        <w:t>(“</w:t>
      </w:r>
      <w:r w:rsidR="00DF25CB" w:rsidRPr="00CA4352">
        <w:rPr>
          <w:rFonts w:cs="Tahoma"/>
          <w:sz w:val="21"/>
          <w:szCs w:val="21"/>
          <w:u w:val="single"/>
        </w:rPr>
        <w:t>Companhia</w:t>
      </w:r>
      <w:r w:rsidR="00DF25CB" w:rsidRPr="00CA4352">
        <w:rPr>
          <w:rFonts w:cs="Tahoma"/>
          <w:sz w:val="21"/>
          <w:szCs w:val="21"/>
        </w:rPr>
        <w:t>”),</w:t>
      </w:r>
      <w:r w:rsidR="009D7A64" w:rsidRPr="00CA4352">
        <w:rPr>
          <w:rFonts w:cs="Tahoma"/>
          <w:sz w:val="21"/>
          <w:szCs w:val="21"/>
        </w:rPr>
        <w:t xml:space="preserve"> na Cidade do Rio de Janeiro, Estado do Rio de Janeiro, na Avenida Marechal Floriano, nº 168, CEP </w:t>
      </w:r>
      <w:r w:rsidR="009D7A64" w:rsidRPr="00CA4352">
        <w:rPr>
          <w:rFonts w:cs="Tahoma"/>
          <w:bCs/>
          <w:sz w:val="21"/>
          <w:szCs w:val="21"/>
        </w:rPr>
        <w:t>20.080-002</w:t>
      </w:r>
      <w:r w:rsidR="00DF25CB" w:rsidRPr="00CA4352">
        <w:rPr>
          <w:rFonts w:cs="Tahoma"/>
          <w:sz w:val="21"/>
          <w:szCs w:val="21"/>
        </w:rPr>
        <w:t>.</w:t>
      </w:r>
    </w:p>
    <w:p w14:paraId="6A87F335" w14:textId="77777777" w:rsidR="00DF25CB" w:rsidRPr="00CA4352" w:rsidRDefault="00DF25CB" w:rsidP="002D43C4">
      <w:pPr>
        <w:pStyle w:val="Texto-MattosFilho"/>
        <w:spacing w:line="316" w:lineRule="exact"/>
        <w:rPr>
          <w:rFonts w:cs="Tahoma"/>
          <w:sz w:val="21"/>
          <w:szCs w:val="21"/>
        </w:rPr>
      </w:pPr>
    </w:p>
    <w:p w14:paraId="7C8A2B7E" w14:textId="5B19CF3A" w:rsidR="003B081D" w:rsidRPr="00CA4352" w:rsidRDefault="00DF25CB" w:rsidP="002D43C4">
      <w:pPr>
        <w:pStyle w:val="PargrafodaLista"/>
        <w:numPr>
          <w:ilvl w:val="0"/>
          <w:numId w:val="4"/>
        </w:numPr>
        <w:tabs>
          <w:tab w:val="clear" w:pos="720"/>
          <w:tab w:val="num" w:pos="1134"/>
        </w:tabs>
        <w:spacing w:line="316" w:lineRule="exact"/>
        <w:ind w:left="0" w:firstLine="0"/>
        <w:contextualSpacing w:val="0"/>
        <w:rPr>
          <w:rFonts w:cs="Tahoma"/>
          <w:sz w:val="21"/>
          <w:szCs w:val="21"/>
        </w:rPr>
      </w:pPr>
      <w:r w:rsidRPr="00CA4352">
        <w:rPr>
          <w:rFonts w:cs="Tahoma"/>
          <w:b/>
          <w:sz w:val="21"/>
          <w:szCs w:val="21"/>
          <w:u w:val="single"/>
        </w:rPr>
        <w:t>Presença</w:t>
      </w:r>
      <w:r w:rsidR="003B081D" w:rsidRPr="00CA4352">
        <w:rPr>
          <w:rFonts w:cs="Tahoma"/>
          <w:sz w:val="21"/>
          <w:szCs w:val="21"/>
        </w:rPr>
        <w:t xml:space="preserve">: </w:t>
      </w:r>
      <w:r w:rsidR="00EC7C59" w:rsidRPr="00CA4352">
        <w:rPr>
          <w:rFonts w:cs="Tahoma"/>
          <w:sz w:val="21"/>
          <w:szCs w:val="21"/>
        </w:rPr>
        <w:t>[</w:t>
      </w:r>
      <w:r w:rsidR="00290351" w:rsidRPr="00CA4352">
        <w:rPr>
          <w:rFonts w:cs="Tahoma"/>
          <w:sz w:val="21"/>
          <w:szCs w:val="21"/>
        </w:rPr>
        <w:t xml:space="preserve">Os Conselheiros David Zylbersztajn, Presidente da Mesa, Ricardo </w:t>
      </w:r>
      <w:proofErr w:type="spellStart"/>
      <w:r w:rsidR="00290351" w:rsidRPr="00CA4352">
        <w:rPr>
          <w:rFonts w:cs="Tahoma"/>
          <w:sz w:val="21"/>
          <w:szCs w:val="21"/>
        </w:rPr>
        <w:t>Reisen</w:t>
      </w:r>
      <w:proofErr w:type="spellEnd"/>
      <w:r w:rsidR="00290351" w:rsidRPr="00CA4352">
        <w:rPr>
          <w:rFonts w:cs="Tahoma"/>
          <w:sz w:val="21"/>
          <w:szCs w:val="21"/>
        </w:rPr>
        <w:t xml:space="preserve"> de Pinho, Afonso Henriques Moreira Santos, </w:t>
      </w:r>
      <w:proofErr w:type="spellStart"/>
      <w:r w:rsidR="00290351" w:rsidRPr="00CA4352">
        <w:rPr>
          <w:rFonts w:cs="Tahoma"/>
          <w:sz w:val="21"/>
          <w:szCs w:val="21"/>
        </w:rPr>
        <w:t>Antonio</w:t>
      </w:r>
      <w:proofErr w:type="spellEnd"/>
      <w:r w:rsidR="00290351" w:rsidRPr="00CA4352">
        <w:rPr>
          <w:rFonts w:cs="Tahoma"/>
          <w:sz w:val="21"/>
          <w:szCs w:val="21"/>
        </w:rPr>
        <w:t xml:space="preserve"> Rodrigues dos Santos e Junqueira, </w:t>
      </w:r>
      <w:proofErr w:type="spellStart"/>
      <w:r w:rsidR="00290351" w:rsidRPr="00CA4352">
        <w:rPr>
          <w:rFonts w:cs="Tahoma"/>
          <w:sz w:val="21"/>
          <w:szCs w:val="21"/>
        </w:rPr>
        <w:t>Doris</w:t>
      </w:r>
      <w:proofErr w:type="spellEnd"/>
      <w:r w:rsidR="00290351" w:rsidRPr="00CA4352">
        <w:rPr>
          <w:rFonts w:cs="Tahoma"/>
          <w:sz w:val="21"/>
          <w:szCs w:val="21"/>
        </w:rPr>
        <w:t xml:space="preserve"> Beatriz França Wilhelm, Raphael </w:t>
      </w:r>
      <w:proofErr w:type="spellStart"/>
      <w:r w:rsidR="00290351" w:rsidRPr="00CA4352">
        <w:rPr>
          <w:rFonts w:cs="Tahoma"/>
          <w:sz w:val="21"/>
          <w:szCs w:val="21"/>
        </w:rPr>
        <w:t>Manhães</w:t>
      </w:r>
      <w:proofErr w:type="spellEnd"/>
      <w:r w:rsidR="00290351" w:rsidRPr="00CA4352">
        <w:rPr>
          <w:rFonts w:cs="Tahoma"/>
          <w:sz w:val="21"/>
          <w:szCs w:val="21"/>
        </w:rPr>
        <w:t xml:space="preserve"> Martins. Justificada a ausência do Conselheiro Carlos Alberto da Cruz. Compareceu, também, sem participar das votações, a Coordenadora de Governança Corporativa Paula Regina </w:t>
      </w:r>
      <w:proofErr w:type="spellStart"/>
      <w:r w:rsidR="00290351" w:rsidRPr="00CA4352">
        <w:rPr>
          <w:rFonts w:cs="Tahoma"/>
          <w:sz w:val="21"/>
          <w:szCs w:val="21"/>
        </w:rPr>
        <w:t>Novello</w:t>
      </w:r>
      <w:proofErr w:type="spellEnd"/>
      <w:r w:rsidR="00290351" w:rsidRPr="00CA4352">
        <w:rPr>
          <w:rFonts w:cs="Tahoma"/>
          <w:sz w:val="21"/>
          <w:szCs w:val="21"/>
        </w:rPr>
        <w:t xml:space="preserve"> Cury</w:t>
      </w:r>
      <w:r w:rsidR="00853280" w:rsidRPr="00CA4352">
        <w:rPr>
          <w:rFonts w:cs="Tahoma"/>
          <w:sz w:val="21"/>
          <w:szCs w:val="21"/>
        </w:rPr>
        <w:t xml:space="preserve"> </w:t>
      </w:r>
      <w:r w:rsidR="00290351" w:rsidRPr="00CA4352">
        <w:rPr>
          <w:rFonts w:cs="Tahoma"/>
          <w:sz w:val="21"/>
          <w:szCs w:val="21"/>
        </w:rPr>
        <w:t>convidada para secretariar os trabalhos</w:t>
      </w:r>
      <w:r w:rsidR="00EC7C59" w:rsidRPr="00CA4352">
        <w:rPr>
          <w:rFonts w:cs="Tahoma"/>
          <w:sz w:val="21"/>
          <w:szCs w:val="21"/>
        </w:rPr>
        <w:t>]</w:t>
      </w:r>
      <w:r w:rsidRPr="00CA4352">
        <w:rPr>
          <w:rFonts w:cs="Tahoma"/>
          <w:sz w:val="21"/>
          <w:szCs w:val="21"/>
        </w:rPr>
        <w:t>.</w:t>
      </w:r>
    </w:p>
    <w:p w14:paraId="5BB3688C" w14:textId="77777777" w:rsidR="003B081D" w:rsidRPr="00CA4352" w:rsidRDefault="003B081D" w:rsidP="002D43C4">
      <w:pPr>
        <w:spacing w:line="316" w:lineRule="exact"/>
        <w:rPr>
          <w:rFonts w:cs="Tahoma"/>
          <w:sz w:val="21"/>
          <w:szCs w:val="21"/>
        </w:rPr>
      </w:pPr>
    </w:p>
    <w:p w14:paraId="0CBEB2BB" w14:textId="46B09D94" w:rsidR="003B081D" w:rsidRPr="00CA4352" w:rsidRDefault="003B081D" w:rsidP="002D43C4">
      <w:pPr>
        <w:pStyle w:val="PargrafodaLista"/>
        <w:numPr>
          <w:ilvl w:val="0"/>
          <w:numId w:val="4"/>
        </w:numPr>
        <w:tabs>
          <w:tab w:val="clear" w:pos="720"/>
          <w:tab w:val="num" w:pos="1134"/>
        </w:tabs>
        <w:spacing w:line="316" w:lineRule="exact"/>
        <w:ind w:left="0" w:firstLine="0"/>
        <w:contextualSpacing w:val="0"/>
        <w:rPr>
          <w:rFonts w:cs="Tahoma"/>
          <w:sz w:val="21"/>
          <w:szCs w:val="21"/>
        </w:rPr>
      </w:pPr>
      <w:r w:rsidRPr="00CA4352">
        <w:rPr>
          <w:rFonts w:cs="Tahoma"/>
          <w:b/>
          <w:sz w:val="21"/>
          <w:szCs w:val="21"/>
          <w:u w:val="single"/>
        </w:rPr>
        <w:t>Mesa</w:t>
      </w:r>
      <w:r w:rsidRPr="00CA4352">
        <w:rPr>
          <w:rFonts w:cs="Tahoma"/>
          <w:sz w:val="21"/>
          <w:szCs w:val="21"/>
        </w:rPr>
        <w:t xml:space="preserve">: </w:t>
      </w:r>
      <w:r w:rsidR="00DF25CB" w:rsidRPr="00CA4352">
        <w:rPr>
          <w:rFonts w:cs="Tahoma"/>
          <w:sz w:val="21"/>
          <w:szCs w:val="21"/>
        </w:rPr>
        <w:t xml:space="preserve">Presidente – </w:t>
      </w:r>
      <w:r w:rsidR="00EC7C59" w:rsidRPr="00CA4352">
        <w:rPr>
          <w:rFonts w:cs="Tahoma"/>
          <w:sz w:val="21"/>
          <w:szCs w:val="21"/>
        </w:rPr>
        <w:t>[</w:t>
      </w:r>
      <w:r w:rsidR="007752AD" w:rsidRPr="00CA4352">
        <w:rPr>
          <w:rFonts w:cs="Tahoma"/>
          <w:sz w:val="21"/>
          <w:szCs w:val="21"/>
        </w:rPr>
        <w:t>David Zylbersztajn</w:t>
      </w:r>
      <w:r w:rsidR="00EC7C59" w:rsidRPr="00CA4352">
        <w:rPr>
          <w:rFonts w:cs="Tahoma"/>
          <w:sz w:val="21"/>
          <w:szCs w:val="21"/>
        </w:rPr>
        <w:t>]</w:t>
      </w:r>
      <w:r w:rsidR="007752AD" w:rsidRPr="00CA4352">
        <w:rPr>
          <w:rFonts w:cs="Tahoma"/>
          <w:sz w:val="21"/>
          <w:szCs w:val="21"/>
        </w:rPr>
        <w:t>; Secretária</w:t>
      </w:r>
      <w:r w:rsidR="00DF25CB" w:rsidRPr="00CA4352">
        <w:rPr>
          <w:rFonts w:cs="Tahoma"/>
          <w:sz w:val="21"/>
          <w:szCs w:val="21"/>
        </w:rPr>
        <w:t xml:space="preserve"> – </w:t>
      </w:r>
      <w:r w:rsidR="00EC7C59" w:rsidRPr="00CA4352">
        <w:rPr>
          <w:rFonts w:cs="Tahoma"/>
          <w:sz w:val="21"/>
          <w:szCs w:val="21"/>
        </w:rPr>
        <w:t>[</w:t>
      </w:r>
      <w:r w:rsidR="007752AD" w:rsidRPr="00CA4352">
        <w:rPr>
          <w:rFonts w:cs="Tahoma"/>
          <w:sz w:val="21"/>
          <w:szCs w:val="21"/>
        </w:rPr>
        <w:t xml:space="preserve">Paula Regina </w:t>
      </w:r>
      <w:proofErr w:type="spellStart"/>
      <w:r w:rsidR="007752AD" w:rsidRPr="00CA4352">
        <w:rPr>
          <w:rFonts w:cs="Tahoma"/>
          <w:sz w:val="21"/>
          <w:szCs w:val="21"/>
        </w:rPr>
        <w:t>Novello</w:t>
      </w:r>
      <w:proofErr w:type="spellEnd"/>
      <w:r w:rsidR="007752AD" w:rsidRPr="00CA4352">
        <w:rPr>
          <w:rFonts w:cs="Tahoma"/>
          <w:sz w:val="21"/>
          <w:szCs w:val="21"/>
        </w:rPr>
        <w:t xml:space="preserve"> Cury</w:t>
      </w:r>
      <w:r w:rsidR="00EC7C59" w:rsidRPr="00CA4352">
        <w:rPr>
          <w:rFonts w:cs="Tahoma"/>
          <w:sz w:val="21"/>
          <w:szCs w:val="21"/>
        </w:rPr>
        <w:t>]</w:t>
      </w:r>
      <w:r w:rsidRPr="00CA4352">
        <w:rPr>
          <w:rFonts w:cs="Tahoma"/>
          <w:sz w:val="21"/>
          <w:szCs w:val="21"/>
        </w:rPr>
        <w:t>.</w:t>
      </w:r>
      <w:r w:rsidR="00EC7C59" w:rsidRPr="00CA4352">
        <w:rPr>
          <w:rFonts w:cs="Tahoma"/>
          <w:sz w:val="21"/>
          <w:szCs w:val="21"/>
        </w:rPr>
        <w:t xml:space="preserve"> </w:t>
      </w:r>
    </w:p>
    <w:p w14:paraId="0ADB6AAE" w14:textId="77777777" w:rsidR="008F754B" w:rsidRPr="00CA4352" w:rsidRDefault="008F754B" w:rsidP="002D43C4">
      <w:pPr>
        <w:pStyle w:val="PargrafodaLista"/>
        <w:spacing w:line="316" w:lineRule="exact"/>
        <w:ind w:left="0"/>
        <w:contextualSpacing w:val="0"/>
        <w:rPr>
          <w:rFonts w:cs="Tahoma"/>
          <w:sz w:val="21"/>
          <w:szCs w:val="21"/>
        </w:rPr>
      </w:pPr>
    </w:p>
    <w:p w14:paraId="1E985846" w14:textId="677055C2" w:rsidR="003B081D" w:rsidRPr="00CA4352" w:rsidRDefault="003B081D" w:rsidP="002D43C4">
      <w:pPr>
        <w:pStyle w:val="PargrafodaLista"/>
        <w:numPr>
          <w:ilvl w:val="0"/>
          <w:numId w:val="4"/>
        </w:numPr>
        <w:tabs>
          <w:tab w:val="clear" w:pos="720"/>
          <w:tab w:val="num" w:pos="1134"/>
        </w:tabs>
        <w:spacing w:line="316" w:lineRule="exact"/>
        <w:ind w:left="0" w:firstLine="0"/>
        <w:contextualSpacing w:val="0"/>
        <w:rPr>
          <w:rFonts w:cs="Tahoma"/>
          <w:sz w:val="21"/>
          <w:szCs w:val="21"/>
        </w:rPr>
      </w:pPr>
      <w:r w:rsidRPr="00CA4352">
        <w:rPr>
          <w:rFonts w:cs="Tahoma"/>
          <w:b/>
          <w:sz w:val="21"/>
          <w:szCs w:val="21"/>
          <w:u w:val="single"/>
        </w:rPr>
        <w:t>Ordem do Dia</w:t>
      </w:r>
      <w:r w:rsidR="0069288A" w:rsidRPr="00CA4352">
        <w:rPr>
          <w:rFonts w:cs="Tahoma"/>
          <w:sz w:val="21"/>
          <w:szCs w:val="21"/>
        </w:rPr>
        <w:t>: Apreciar e deliberar sobre</w:t>
      </w:r>
      <w:r w:rsidR="006C1B3D" w:rsidRPr="00CA4352">
        <w:rPr>
          <w:rFonts w:cs="Tahoma"/>
          <w:sz w:val="21"/>
          <w:szCs w:val="21"/>
        </w:rPr>
        <w:t>, nos termos do artigo 59 da Lei nº 6.404, de 15 de dezembro de 1976, conforme alterada (“</w:t>
      </w:r>
      <w:r w:rsidR="006C1B3D" w:rsidRPr="00CA4352">
        <w:rPr>
          <w:rFonts w:cs="Tahoma"/>
          <w:sz w:val="21"/>
          <w:szCs w:val="21"/>
          <w:u w:val="single"/>
        </w:rPr>
        <w:t>Lei das Sociedades por Ações</w:t>
      </w:r>
      <w:r w:rsidR="006C1B3D" w:rsidRPr="00CA4352">
        <w:rPr>
          <w:rFonts w:cs="Tahoma"/>
          <w:sz w:val="21"/>
          <w:szCs w:val="21"/>
        </w:rPr>
        <w:t>”)</w:t>
      </w:r>
      <w:r w:rsidR="0007096D" w:rsidRPr="00CA4352">
        <w:rPr>
          <w:rFonts w:cs="Tahoma"/>
          <w:sz w:val="21"/>
          <w:szCs w:val="21"/>
        </w:rPr>
        <w:t xml:space="preserve">, </w:t>
      </w:r>
      <w:r w:rsidR="0069288A" w:rsidRPr="00CA4352">
        <w:rPr>
          <w:rFonts w:cs="Tahoma"/>
          <w:b/>
          <w:sz w:val="21"/>
          <w:szCs w:val="21"/>
        </w:rPr>
        <w:t>(I</w:t>
      </w:r>
      <w:r w:rsidRPr="00CA4352">
        <w:rPr>
          <w:rFonts w:cs="Tahoma"/>
          <w:b/>
          <w:sz w:val="21"/>
          <w:szCs w:val="21"/>
        </w:rPr>
        <w:t>)</w:t>
      </w:r>
      <w:r w:rsidR="0069288A" w:rsidRPr="00CA4352">
        <w:rPr>
          <w:rFonts w:cs="Tahoma"/>
          <w:sz w:val="21"/>
          <w:szCs w:val="21"/>
        </w:rPr>
        <w:t xml:space="preserve"> a 1</w:t>
      </w:r>
      <w:r w:rsidR="00BE2C5E" w:rsidRPr="00CA4352">
        <w:rPr>
          <w:rFonts w:cs="Tahoma"/>
          <w:sz w:val="21"/>
          <w:szCs w:val="21"/>
        </w:rPr>
        <w:t>8</w:t>
      </w:r>
      <w:r w:rsidR="0069288A" w:rsidRPr="00CA4352">
        <w:rPr>
          <w:rFonts w:cs="Tahoma"/>
          <w:sz w:val="21"/>
          <w:szCs w:val="21"/>
        </w:rPr>
        <w:t xml:space="preserve">ª (décima </w:t>
      </w:r>
      <w:r w:rsidR="00BE2C5E" w:rsidRPr="00CA4352">
        <w:rPr>
          <w:rFonts w:cs="Tahoma"/>
          <w:sz w:val="21"/>
          <w:szCs w:val="21"/>
        </w:rPr>
        <w:t>oitava</w:t>
      </w:r>
      <w:r w:rsidRPr="00CA4352">
        <w:rPr>
          <w:rFonts w:cs="Tahoma"/>
          <w:sz w:val="21"/>
          <w:szCs w:val="21"/>
        </w:rPr>
        <w:t>) emissão pública,</w:t>
      </w:r>
      <w:r w:rsidR="00B5061D" w:rsidRPr="00CA4352">
        <w:rPr>
          <w:rFonts w:cs="Tahoma"/>
          <w:sz w:val="21"/>
          <w:szCs w:val="21"/>
        </w:rPr>
        <w:t xml:space="preserve"> </w:t>
      </w:r>
      <w:r w:rsidRPr="00CA4352">
        <w:rPr>
          <w:rFonts w:cs="Tahoma"/>
          <w:sz w:val="21"/>
          <w:szCs w:val="21"/>
        </w:rPr>
        <w:t>pela Companhia, de debêntures simples, não conversíveis em ações, da espécie</w:t>
      </w:r>
      <w:r w:rsidR="00B5061D" w:rsidRPr="00CA4352">
        <w:rPr>
          <w:rFonts w:cs="Tahoma"/>
          <w:sz w:val="21"/>
          <w:szCs w:val="21"/>
        </w:rPr>
        <w:t xml:space="preserve"> </w:t>
      </w:r>
      <w:r w:rsidRPr="00CA4352">
        <w:rPr>
          <w:rFonts w:cs="Tahoma"/>
          <w:sz w:val="21"/>
          <w:szCs w:val="21"/>
        </w:rPr>
        <w:t xml:space="preserve">quirografária, com garantia fidejussória adicional, em </w:t>
      </w:r>
      <w:r w:rsidR="00BE2C5E" w:rsidRPr="00CA4352">
        <w:rPr>
          <w:rFonts w:cs="Tahoma"/>
          <w:sz w:val="21"/>
          <w:szCs w:val="21"/>
        </w:rPr>
        <w:t>2</w:t>
      </w:r>
      <w:r w:rsidR="00D448B2" w:rsidRPr="00CA4352">
        <w:rPr>
          <w:rFonts w:cs="Tahoma"/>
          <w:sz w:val="21"/>
          <w:szCs w:val="21"/>
        </w:rPr>
        <w:t xml:space="preserve"> (</w:t>
      </w:r>
      <w:r w:rsidR="00BE2C5E" w:rsidRPr="00CA4352">
        <w:rPr>
          <w:rFonts w:cs="Tahoma"/>
          <w:sz w:val="21"/>
          <w:szCs w:val="21"/>
        </w:rPr>
        <w:t>duas</w:t>
      </w:r>
      <w:r w:rsidR="00D448B2" w:rsidRPr="00CA4352">
        <w:rPr>
          <w:rFonts w:cs="Tahoma"/>
          <w:sz w:val="21"/>
          <w:szCs w:val="21"/>
        </w:rPr>
        <w:t>)</w:t>
      </w:r>
      <w:r w:rsidRPr="00CA4352">
        <w:rPr>
          <w:rFonts w:cs="Tahoma"/>
          <w:sz w:val="21"/>
          <w:szCs w:val="21"/>
        </w:rPr>
        <w:t xml:space="preserve"> </w:t>
      </w:r>
      <w:r w:rsidR="00EC7C59" w:rsidRPr="00CA4352">
        <w:rPr>
          <w:rFonts w:cs="Tahoma"/>
          <w:sz w:val="21"/>
          <w:szCs w:val="21"/>
        </w:rPr>
        <w:t>s</w:t>
      </w:r>
      <w:r w:rsidRPr="00CA4352">
        <w:rPr>
          <w:rFonts w:cs="Tahoma"/>
          <w:sz w:val="21"/>
          <w:szCs w:val="21"/>
        </w:rPr>
        <w:t>éries, sendo composta por</w:t>
      </w:r>
      <w:r w:rsidR="00B5061D" w:rsidRPr="00CA4352">
        <w:rPr>
          <w:rFonts w:cs="Tahoma"/>
          <w:sz w:val="21"/>
          <w:szCs w:val="21"/>
        </w:rPr>
        <w:t xml:space="preserve"> </w:t>
      </w:r>
      <w:r w:rsidR="00293055" w:rsidRPr="00CA4352">
        <w:rPr>
          <w:rFonts w:cs="Tahoma"/>
          <w:sz w:val="21"/>
          <w:szCs w:val="21"/>
        </w:rPr>
        <w:t>400</w:t>
      </w:r>
      <w:r w:rsidR="00D448B2" w:rsidRPr="00CA4352">
        <w:rPr>
          <w:rFonts w:cs="Tahoma"/>
          <w:sz w:val="21"/>
          <w:szCs w:val="21"/>
        </w:rPr>
        <w:t>.000</w:t>
      </w:r>
      <w:r w:rsidRPr="00CA4352">
        <w:rPr>
          <w:rFonts w:cs="Tahoma"/>
          <w:sz w:val="21"/>
          <w:szCs w:val="21"/>
        </w:rPr>
        <w:t xml:space="preserve"> (</w:t>
      </w:r>
      <w:r w:rsidR="00293055" w:rsidRPr="00CA4352">
        <w:rPr>
          <w:rFonts w:cs="Tahoma"/>
          <w:sz w:val="21"/>
          <w:szCs w:val="21"/>
        </w:rPr>
        <w:t>quatrocentas mil</w:t>
      </w:r>
      <w:r w:rsidRPr="00CA4352">
        <w:rPr>
          <w:rFonts w:cs="Tahoma"/>
          <w:sz w:val="21"/>
          <w:szCs w:val="21"/>
        </w:rPr>
        <w:t>)</w:t>
      </w:r>
      <w:r w:rsidR="00897158" w:rsidRPr="00CA4352">
        <w:rPr>
          <w:rFonts w:cs="Tahoma"/>
          <w:sz w:val="21"/>
          <w:szCs w:val="21"/>
        </w:rPr>
        <w:t xml:space="preserve"> </w:t>
      </w:r>
      <w:r w:rsidRPr="00CA4352">
        <w:rPr>
          <w:rFonts w:cs="Tahoma"/>
          <w:sz w:val="21"/>
          <w:szCs w:val="21"/>
        </w:rPr>
        <w:t>debêntures (“</w:t>
      </w:r>
      <w:r w:rsidRPr="00CA4352">
        <w:rPr>
          <w:rFonts w:cs="Tahoma"/>
          <w:sz w:val="21"/>
          <w:szCs w:val="21"/>
          <w:u w:val="single"/>
        </w:rPr>
        <w:t>Debêntures</w:t>
      </w:r>
      <w:r w:rsidRPr="00CA4352">
        <w:rPr>
          <w:rFonts w:cs="Tahoma"/>
          <w:sz w:val="21"/>
          <w:szCs w:val="21"/>
        </w:rPr>
        <w:t>”), perfazendo o montante total</w:t>
      </w:r>
      <w:r w:rsidR="00B5061D" w:rsidRPr="00CA4352">
        <w:rPr>
          <w:rFonts w:cs="Tahoma"/>
          <w:sz w:val="21"/>
          <w:szCs w:val="21"/>
        </w:rPr>
        <w:t xml:space="preserve"> </w:t>
      </w:r>
      <w:r w:rsidR="00D448B2" w:rsidRPr="00CA4352">
        <w:rPr>
          <w:rFonts w:cs="Tahoma"/>
          <w:sz w:val="21"/>
          <w:szCs w:val="21"/>
        </w:rPr>
        <w:t>de R$</w:t>
      </w:r>
      <w:r w:rsidR="00293055" w:rsidRPr="00CA4352">
        <w:rPr>
          <w:rFonts w:cs="Tahoma"/>
          <w:sz w:val="21"/>
          <w:szCs w:val="21"/>
        </w:rPr>
        <w:t>4</w:t>
      </w:r>
      <w:r w:rsidR="00D448B2" w:rsidRPr="00CA4352">
        <w:rPr>
          <w:rFonts w:cs="Tahoma"/>
          <w:sz w:val="21"/>
          <w:szCs w:val="21"/>
        </w:rPr>
        <w:t>0</w:t>
      </w:r>
      <w:r w:rsidRPr="00CA4352">
        <w:rPr>
          <w:rFonts w:cs="Tahoma"/>
          <w:sz w:val="21"/>
          <w:szCs w:val="21"/>
        </w:rPr>
        <w:t>0.000.000,00 (</w:t>
      </w:r>
      <w:r w:rsidR="00293055" w:rsidRPr="00CA4352">
        <w:rPr>
          <w:rFonts w:cs="Tahoma"/>
          <w:sz w:val="21"/>
          <w:szCs w:val="21"/>
        </w:rPr>
        <w:t>quatrocentos milhões</w:t>
      </w:r>
      <w:r w:rsidR="00D448B2" w:rsidRPr="00CA4352">
        <w:rPr>
          <w:rFonts w:cs="Tahoma"/>
          <w:sz w:val="21"/>
          <w:szCs w:val="21"/>
        </w:rPr>
        <w:t xml:space="preserve"> </w:t>
      </w:r>
      <w:r w:rsidRPr="00CA4352">
        <w:rPr>
          <w:rFonts w:cs="Tahoma"/>
          <w:sz w:val="21"/>
          <w:szCs w:val="21"/>
        </w:rPr>
        <w:t>de reais), a qual será objeto de oferta</w:t>
      </w:r>
      <w:r w:rsidR="00B5061D" w:rsidRPr="00CA4352">
        <w:rPr>
          <w:rFonts w:cs="Tahoma"/>
          <w:sz w:val="21"/>
          <w:szCs w:val="21"/>
        </w:rPr>
        <w:t xml:space="preserve"> </w:t>
      </w:r>
      <w:r w:rsidRPr="00CA4352">
        <w:rPr>
          <w:rFonts w:cs="Tahoma"/>
          <w:sz w:val="21"/>
          <w:szCs w:val="21"/>
        </w:rPr>
        <w:t>pública com esforços restritos de distribuição, nos termos da Instrução da Comissão de</w:t>
      </w:r>
      <w:r w:rsidR="00B5061D" w:rsidRPr="00CA4352">
        <w:rPr>
          <w:rFonts w:cs="Tahoma"/>
          <w:sz w:val="21"/>
          <w:szCs w:val="21"/>
        </w:rPr>
        <w:t xml:space="preserve"> </w:t>
      </w:r>
      <w:r w:rsidRPr="00CA4352">
        <w:rPr>
          <w:rFonts w:cs="Tahoma"/>
          <w:sz w:val="21"/>
          <w:szCs w:val="21"/>
        </w:rPr>
        <w:t>Valores Mobiliários nº 476, de 16 de janeiro de 2009, conforme alterada (“</w:t>
      </w:r>
      <w:r w:rsidRPr="00CA4352">
        <w:rPr>
          <w:rFonts w:cs="Tahoma"/>
          <w:sz w:val="21"/>
          <w:szCs w:val="21"/>
          <w:u w:val="single"/>
        </w:rPr>
        <w:t>CVM</w:t>
      </w:r>
      <w:r w:rsidRPr="00CA4352">
        <w:rPr>
          <w:rFonts w:cs="Tahoma"/>
          <w:sz w:val="21"/>
          <w:szCs w:val="21"/>
        </w:rPr>
        <w:t>” e “</w:t>
      </w:r>
      <w:r w:rsidRPr="00CA4352">
        <w:rPr>
          <w:rFonts w:cs="Tahoma"/>
          <w:sz w:val="21"/>
          <w:szCs w:val="21"/>
          <w:u w:val="single"/>
        </w:rPr>
        <w:t>Instrução</w:t>
      </w:r>
      <w:r w:rsidR="00B5061D" w:rsidRPr="00CA4352">
        <w:rPr>
          <w:rFonts w:cs="Tahoma"/>
          <w:sz w:val="21"/>
          <w:szCs w:val="21"/>
          <w:u w:val="single"/>
        </w:rPr>
        <w:t xml:space="preserve"> </w:t>
      </w:r>
      <w:r w:rsidRPr="00CA4352">
        <w:rPr>
          <w:rFonts w:cs="Tahoma"/>
          <w:sz w:val="21"/>
          <w:szCs w:val="21"/>
          <w:u w:val="single"/>
        </w:rPr>
        <w:t>CVM 476</w:t>
      </w:r>
      <w:r w:rsidRPr="00CA4352">
        <w:rPr>
          <w:rFonts w:cs="Tahoma"/>
          <w:sz w:val="21"/>
          <w:szCs w:val="21"/>
        </w:rPr>
        <w:t>”, respectivamente), sob regime de garantia firme de colocação (“</w:t>
      </w:r>
      <w:r w:rsidRPr="00CA4352">
        <w:rPr>
          <w:rFonts w:cs="Tahoma"/>
          <w:sz w:val="21"/>
          <w:szCs w:val="21"/>
          <w:u w:val="single"/>
        </w:rPr>
        <w:t>Emissão</w:t>
      </w:r>
      <w:r w:rsidRPr="00CA4352">
        <w:rPr>
          <w:rFonts w:cs="Tahoma"/>
          <w:sz w:val="21"/>
          <w:szCs w:val="21"/>
        </w:rPr>
        <w:t>” e “</w:t>
      </w:r>
      <w:r w:rsidR="00B5061D" w:rsidRPr="00CA4352">
        <w:rPr>
          <w:rFonts w:cs="Tahoma"/>
          <w:sz w:val="21"/>
          <w:szCs w:val="21"/>
          <w:u w:val="single"/>
        </w:rPr>
        <w:t>Oferta Restrita</w:t>
      </w:r>
      <w:r w:rsidRPr="00CA4352">
        <w:rPr>
          <w:rFonts w:cs="Tahoma"/>
          <w:sz w:val="21"/>
          <w:szCs w:val="21"/>
        </w:rPr>
        <w:t>”,</w:t>
      </w:r>
      <w:r w:rsidR="00B5061D" w:rsidRPr="00CA4352">
        <w:rPr>
          <w:rFonts w:cs="Tahoma"/>
          <w:sz w:val="21"/>
          <w:szCs w:val="21"/>
        </w:rPr>
        <w:t xml:space="preserve"> </w:t>
      </w:r>
      <w:r w:rsidRPr="00CA4352">
        <w:rPr>
          <w:rFonts w:cs="Tahoma"/>
          <w:sz w:val="21"/>
          <w:szCs w:val="21"/>
        </w:rPr>
        <w:t>respectivam</w:t>
      </w:r>
      <w:r w:rsidR="00DE621A" w:rsidRPr="00CA4352">
        <w:rPr>
          <w:rFonts w:cs="Tahoma"/>
          <w:sz w:val="21"/>
          <w:szCs w:val="21"/>
        </w:rPr>
        <w:t xml:space="preserve">ente); </w:t>
      </w:r>
      <w:r w:rsidR="00DE621A" w:rsidRPr="00CA4352">
        <w:rPr>
          <w:rFonts w:cs="Tahoma"/>
          <w:b/>
          <w:sz w:val="21"/>
          <w:szCs w:val="21"/>
        </w:rPr>
        <w:t>(II</w:t>
      </w:r>
      <w:r w:rsidRPr="00CA4352">
        <w:rPr>
          <w:rFonts w:cs="Tahoma"/>
          <w:b/>
          <w:sz w:val="21"/>
          <w:szCs w:val="21"/>
        </w:rPr>
        <w:t>)</w:t>
      </w:r>
      <w:r w:rsidRPr="00CA4352">
        <w:rPr>
          <w:rFonts w:cs="Tahoma"/>
          <w:sz w:val="21"/>
          <w:szCs w:val="21"/>
        </w:rPr>
        <w:t xml:space="preserve"> a autorização para a Diretoria da Companhia, de forma direta ou</w:t>
      </w:r>
      <w:r w:rsidR="00B5061D" w:rsidRPr="00CA4352">
        <w:rPr>
          <w:rFonts w:cs="Tahoma"/>
          <w:sz w:val="21"/>
          <w:szCs w:val="21"/>
        </w:rPr>
        <w:t xml:space="preserve"> </w:t>
      </w:r>
      <w:r w:rsidRPr="00CA4352">
        <w:rPr>
          <w:rFonts w:cs="Tahoma"/>
          <w:sz w:val="21"/>
          <w:szCs w:val="21"/>
        </w:rPr>
        <w:t>indireta, por meio de pro</w:t>
      </w:r>
      <w:r w:rsidR="0043713C" w:rsidRPr="00CA4352">
        <w:rPr>
          <w:rFonts w:cs="Tahoma"/>
          <w:sz w:val="21"/>
          <w:szCs w:val="21"/>
        </w:rPr>
        <w:t>curadores, e nos termos do seu estatuto s</w:t>
      </w:r>
      <w:r w:rsidRPr="00CA4352">
        <w:rPr>
          <w:rFonts w:cs="Tahoma"/>
          <w:sz w:val="21"/>
          <w:szCs w:val="21"/>
        </w:rPr>
        <w:t>ocial, a praticar todos e</w:t>
      </w:r>
      <w:r w:rsidR="00B5061D" w:rsidRPr="00CA4352">
        <w:rPr>
          <w:rFonts w:cs="Tahoma"/>
          <w:sz w:val="21"/>
          <w:szCs w:val="21"/>
        </w:rPr>
        <w:t xml:space="preserve"> </w:t>
      </w:r>
      <w:r w:rsidRPr="00CA4352">
        <w:rPr>
          <w:rFonts w:cs="Tahoma"/>
          <w:sz w:val="21"/>
          <w:szCs w:val="21"/>
        </w:rPr>
        <w:t xml:space="preserve">quaisquer atos necessários ou convenientes à formalização da Emissão e da </w:t>
      </w:r>
      <w:r w:rsidR="00B5061D" w:rsidRPr="00CA4352">
        <w:rPr>
          <w:rFonts w:cs="Tahoma"/>
          <w:sz w:val="21"/>
          <w:szCs w:val="21"/>
        </w:rPr>
        <w:t>Oferta Restrita</w:t>
      </w:r>
      <w:r w:rsidRPr="00CA4352">
        <w:rPr>
          <w:rFonts w:cs="Tahoma"/>
          <w:sz w:val="21"/>
          <w:szCs w:val="21"/>
        </w:rPr>
        <w:t>,</w:t>
      </w:r>
      <w:r w:rsidR="00B5061D" w:rsidRPr="00CA4352">
        <w:rPr>
          <w:rFonts w:cs="Tahoma"/>
          <w:sz w:val="21"/>
          <w:szCs w:val="21"/>
        </w:rPr>
        <w:t xml:space="preserve"> </w:t>
      </w:r>
      <w:r w:rsidRPr="00CA4352">
        <w:rPr>
          <w:rFonts w:cs="Tahoma"/>
          <w:sz w:val="21"/>
          <w:szCs w:val="21"/>
        </w:rPr>
        <w:t xml:space="preserve">incluindo, mas não se limitando, </w:t>
      </w:r>
      <w:r w:rsidRPr="00CA4352">
        <w:rPr>
          <w:rFonts w:cs="Tahoma"/>
          <w:b/>
          <w:sz w:val="21"/>
          <w:szCs w:val="21"/>
        </w:rPr>
        <w:t>(a)</w:t>
      </w:r>
      <w:r w:rsidRPr="00CA4352">
        <w:rPr>
          <w:rFonts w:cs="Tahoma"/>
          <w:sz w:val="21"/>
          <w:szCs w:val="21"/>
        </w:rPr>
        <w:t xml:space="preserve"> discussão, negociação e definição dos termos das</w:t>
      </w:r>
      <w:r w:rsidR="00B5061D" w:rsidRPr="00CA4352">
        <w:rPr>
          <w:rFonts w:cs="Tahoma"/>
          <w:sz w:val="21"/>
          <w:szCs w:val="21"/>
        </w:rPr>
        <w:t xml:space="preserve"> </w:t>
      </w:r>
      <w:r w:rsidRPr="00CA4352">
        <w:rPr>
          <w:rFonts w:cs="Tahoma"/>
          <w:sz w:val="21"/>
          <w:szCs w:val="21"/>
        </w:rPr>
        <w:t>Debêntures</w:t>
      </w:r>
      <w:r w:rsidR="00126BBB" w:rsidRPr="00CA4352">
        <w:rPr>
          <w:rFonts w:cs="Tahoma"/>
          <w:sz w:val="21"/>
          <w:szCs w:val="21"/>
        </w:rPr>
        <w:t>,</w:t>
      </w:r>
      <w:r w:rsidRPr="00CA4352">
        <w:rPr>
          <w:rFonts w:cs="Tahoma"/>
          <w:sz w:val="21"/>
          <w:szCs w:val="21"/>
        </w:rPr>
        <w:t xml:space="preserve"> bem como </w:t>
      </w:r>
      <w:r w:rsidR="0043713C" w:rsidRPr="00CA4352">
        <w:rPr>
          <w:rFonts w:cs="Tahoma"/>
          <w:sz w:val="21"/>
          <w:szCs w:val="21"/>
        </w:rPr>
        <w:t>a celebração, pela Companhia, do “</w:t>
      </w:r>
      <w:r w:rsidR="0043713C" w:rsidRPr="00CA4352">
        <w:rPr>
          <w:rFonts w:cs="Tahoma"/>
          <w:i/>
          <w:sz w:val="21"/>
          <w:szCs w:val="21"/>
        </w:rPr>
        <w:t>Instrumento Particular de Escritura da 1</w:t>
      </w:r>
      <w:r w:rsidR="00133514" w:rsidRPr="00CA4352">
        <w:rPr>
          <w:rFonts w:cs="Tahoma"/>
          <w:i/>
          <w:sz w:val="21"/>
          <w:szCs w:val="21"/>
        </w:rPr>
        <w:t>8</w:t>
      </w:r>
      <w:r w:rsidR="0043713C" w:rsidRPr="00CA4352">
        <w:rPr>
          <w:rFonts w:cs="Tahoma"/>
          <w:i/>
          <w:sz w:val="21"/>
          <w:szCs w:val="21"/>
        </w:rPr>
        <w:t xml:space="preserve">ª (Décima </w:t>
      </w:r>
      <w:r w:rsidR="00133514" w:rsidRPr="00CA4352">
        <w:rPr>
          <w:rFonts w:cs="Tahoma"/>
          <w:i/>
          <w:sz w:val="21"/>
          <w:szCs w:val="21"/>
        </w:rPr>
        <w:t>Oitava</w:t>
      </w:r>
      <w:r w:rsidR="0043713C" w:rsidRPr="00CA4352">
        <w:rPr>
          <w:rFonts w:cs="Tahoma"/>
          <w:i/>
          <w:sz w:val="21"/>
          <w:szCs w:val="21"/>
        </w:rPr>
        <w:t>) Emissão de Debêntures Simples, Não Conversíveis em Ações,</w:t>
      </w:r>
      <w:r w:rsidR="0043713C" w:rsidRPr="00CA4352">
        <w:rPr>
          <w:rFonts w:cs="Tahoma"/>
          <w:b/>
          <w:i/>
          <w:sz w:val="21"/>
          <w:szCs w:val="21"/>
        </w:rPr>
        <w:t xml:space="preserve"> </w:t>
      </w:r>
      <w:r w:rsidR="0043713C" w:rsidRPr="00CA4352">
        <w:rPr>
          <w:rFonts w:cs="Tahoma"/>
          <w:i/>
          <w:sz w:val="21"/>
          <w:szCs w:val="21"/>
        </w:rPr>
        <w:t xml:space="preserve">em até </w:t>
      </w:r>
      <w:r w:rsidR="00133514" w:rsidRPr="00CA4352">
        <w:rPr>
          <w:rFonts w:cs="Tahoma"/>
          <w:i/>
          <w:sz w:val="21"/>
          <w:szCs w:val="21"/>
        </w:rPr>
        <w:t>2</w:t>
      </w:r>
      <w:r w:rsidR="0043713C" w:rsidRPr="00CA4352">
        <w:rPr>
          <w:rFonts w:cs="Tahoma"/>
          <w:i/>
          <w:sz w:val="21"/>
          <w:szCs w:val="21"/>
        </w:rPr>
        <w:t xml:space="preserve"> (</w:t>
      </w:r>
      <w:r w:rsidR="00133514" w:rsidRPr="00CA4352">
        <w:rPr>
          <w:rFonts w:cs="Tahoma"/>
          <w:i/>
          <w:sz w:val="21"/>
          <w:szCs w:val="21"/>
        </w:rPr>
        <w:t>Duas</w:t>
      </w:r>
      <w:r w:rsidR="0043713C" w:rsidRPr="00CA4352">
        <w:rPr>
          <w:rFonts w:cs="Tahoma"/>
          <w:i/>
          <w:sz w:val="21"/>
          <w:szCs w:val="21"/>
        </w:rPr>
        <w:t>) Séries, da Espécie Quirografária, com Garantia Fidejussória Adicional, para Distribuição Pública com Esforços Restritos, da Light Serviços de Eletricidade S.A.</w:t>
      </w:r>
      <w:r w:rsidR="0043713C" w:rsidRPr="00CA4352">
        <w:rPr>
          <w:rFonts w:cs="Tahoma"/>
          <w:sz w:val="21"/>
          <w:szCs w:val="21"/>
        </w:rPr>
        <w:t>”</w:t>
      </w:r>
      <w:r w:rsidRPr="00CA4352">
        <w:rPr>
          <w:rFonts w:cs="Tahoma"/>
          <w:sz w:val="21"/>
          <w:szCs w:val="21"/>
        </w:rPr>
        <w:t xml:space="preserve"> </w:t>
      </w:r>
      <w:r w:rsidR="0043713C" w:rsidRPr="00CA4352">
        <w:rPr>
          <w:rFonts w:cs="Tahoma"/>
          <w:sz w:val="21"/>
          <w:szCs w:val="21"/>
        </w:rPr>
        <w:t>(“</w:t>
      </w:r>
      <w:r w:rsidRPr="00CA4352">
        <w:rPr>
          <w:rFonts w:cs="Tahoma"/>
          <w:sz w:val="21"/>
          <w:szCs w:val="21"/>
          <w:u w:val="single"/>
        </w:rPr>
        <w:t>Escritura</w:t>
      </w:r>
      <w:r w:rsidR="0043713C" w:rsidRPr="00CA4352">
        <w:rPr>
          <w:rFonts w:cs="Tahoma"/>
          <w:sz w:val="21"/>
          <w:szCs w:val="21"/>
        </w:rPr>
        <w:t>” ou “</w:t>
      </w:r>
      <w:r w:rsidR="0043713C" w:rsidRPr="00CA4352">
        <w:rPr>
          <w:rFonts w:cs="Tahoma"/>
          <w:sz w:val="21"/>
          <w:szCs w:val="21"/>
          <w:u w:val="single"/>
        </w:rPr>
        <w:t>Escritura de Emissão</w:t>
      </w:r>
      <w:r w:rsidR="0043713C" w:rsidRPr="00CA4352">
        <w:rPr>
          <w:rFonts w:cs="Tahoma"/>
          <w:sz w:val="21"/>
          <w:szCs w:val="21"/>
        </w:rPr>
        <w:t>”)</w:t>
      </w:r>
      <w:r w:rsidR="008014AA" w:rsidRPr="00CA4352">
        <w:rPr>
          <w:rFonts w:cs="Tahoma"/>
          <w:sz w:val="21"/>
          <w:szCs w:val="21"/>
        </w:rPr>
        <w:t xml:space="preserve">, </w:t>
      </w:r>
      <w:r w:rsidRPr="00CA4352">
        <w:rPr>
          <w:rFonts w:cs="Tahoma"/>
          <w:sz w:val="21"/>
          <w:szCs w:val="21"/>
        </w:rPr>
        <w:t xml:space="preserve">do Contrato de Distribuição (conforme abaixo definido), seus eventuais </w:t>
      </w:r>
      <w:r w:rsidRPr="00CA4352">
        <w:rPr>
          <w:rFonts w:cs="Tahoma"/>
          <w:sz w:val="21"/>
          <w:szCs w:val="21"/>
        </w:rPr>
        <w:lastRenderedPageBreak/>
        <w:t>aditamentos</w:t>
      </w:r>
      <w:r w:rsidR="00B5061D" w:rsidRPr="00CA4352">
        <w:rPr>
          <w:rFonts w:cs="Tahoma"/>
          <w:sz w:val="21"/>
          <w:szCs w:val="21"/>
        </w:rPr>
        <w:t xml:space="preserve"> </w:t>
      </w:r>
      <w:r w:rsidRPr="00CA4352">
        <w:rPr>
          <w:rFonts w:cs="Tahoma"/>
          <w:sz w:val="21"/>
          <w:szCs w:val="21"/>
        </w:rPr>
        <w:t xml:space="preserve">e demais documentos relacionados às Debêntures; </w:t>
      </w:r>
      <w:r w:rsidRPr="00CA4352">
        <w:rPr>
          <w:rFonts w:cs="Tahoma"/>
          <w:b/>
          <w:sz w:val="21"/>
          <w:szCs w:val="21"/>
        </w:rPr>
        <w:t>(b)</w:t>
      </w:r>
      <w:r w:rsidRPr="00CA4352">
        <w:rPr>
          <w:rFonts w:cs="Tahoma"/>
          <w:sz w:val="21"/>
          <w:szCs w:val="21"/>
        </w:rPr>
        <w:t xml:space="preserve"> a contratação </w:t>
      </w:r>
      <w:r w:rsidR="008014AA" w:rsidRPr="00CA4352">
        <w:rPr>
          <w:rFonts w:cs="Tahoma"/>
          <w:sz w:val="21"/>
          <w:szCs w:val="21"/>
        </w:rPr>
        <w:t>de</w:t>
      </w:r>
      <w:r w:rsidR="00416BF7" w:rsidRPr="00CA4352">
        <w:rPr>
          <w:rFonts w:cs="Tahoma"/>
          <w:sz w:val="21"/>
          <w:szCs w:val="21"/>
        </w:rPr>
        <w:t xml:space="preserve"> instituições financeiras integrantes do sistema de distribuição de valores mobiliários</w:t>
      </w:r>
      <w:r w:rsidR="00EC7C59" w:rsidRPr="00CA4352">
        <w:rPr>
          <w:rFonts w:cs="Tahoma"/>
          <w:sz w:val="21"/>
          <w:szCs w:val="21"/>
        </w:rPr>
        <w:t xml:space="preserve"> </w:t>
      </w:r>
      <w:r w:rsidRPr="00CA4352">
        <w:rPr>
          <w:rFonts w:cs="Tahoma"/>
          <w:sz w:val="21"/>
          <w:szCs w:val="21"/>
        </w:rPr>
        <w:t xml:space="preserve">para a realização da </w:t>
      </w:r>
      <w:r w:rsidR="00B5061D" w:rsidRPr="00CA4352">
        <w:rPr>
          <w:rFonts w:cs="Tahoma"/>
          <w:sz w:val="21"/>
          <w:szCs w:val="21"/>
        </w:rPr>
        <w:t>Oferta Restrita</w:t>
      </w:r>
      <w:bookmarkStart w:id="0" w:name="_Hlk34862221"/>
      <w:r w:rsidR="00C53685" w:rsidRPr="00CA4352">
        <w:rPr>
          <w:rFonts w:cs="Tahoma"/>
          <w:sz w:val="21"/>
          <w:szCs w:val="21"/>
        </w:rPr>
        <w:t>,</w:t>
      </w:r>
      <w:r w:rsidRPr="00CA4352">
        <w:rPr>
          <w:rFonts w:cs="Tahoma"/>
          <w:sz w:val="21"/>
          <w:szCs w:val="21"/>
        </w:rPr>
        <w:t xml:space="preserve"> </w:t>
      </w:r>
      <w:r w:rsidR="00C53685" w:rsidRPr="00CA4352">
        <w:rPr>
          <w:rFonts w:cs="Tahoma"/>
          <w:sz w:val="21"/>
          <w:szCs w:val="21"/>
        </w:rPr>
        <w:t xml:space="preserve">sendo uma delas a instituição intermediária líder </w:t>
      </w:r>
      <w:bookmarkEnd w:id="0"/>
      <w:r w:rsidR="008014AA" w:rsidRPr="00CA4352">
        <w:rPr>
          <w:rFonts w:cs="Tahoma"/>
          <w:sz w:val="21"/>
          <w:szCs w:val="21"/>
        </w:rPr>
        <w:t>(“</w:t>
      </w:r>
      <w:r w:rsidR="008014AA" w:rsidRPr="00CA4352">
        <w:rPr>
          <w:rFonts w:cs="Tahoma"/>
          <w:sz w:val="21"/>
          <w:szCs w:val="21"/>
          <w:u w:val="single"/>
        </w:rPr>
        <w:t>Coordenadores</w:t>
      </w:r>
      <w:r w:rsidR="008014AA" w:rsidRPr="00CA4352">
        <w:rPr>
          <w:rFonts w:cs="Tahoma"/>
          <w:sz w:val="21"/>
          <w:szCs w:val="21"/>
        </w:rPr>
        <w:t>”)</w:t>
      </w:r>
      <w:r w:rsidRPr="00CA4352">
        <w:rPr>
          <w:rFonts w:cs="Tahoma"/>
          <w:sz w:val="21"/>
          <w:szCs w:val="21"/>
        </w:rPr>
        <w:t xml:space="preserve">; </w:t>
      </w:r>
      <w:r w:rsidRPr="00CA4352">
        <w:rPr>
          <w:rFonts w:cs="Tahoma"/>
          <w:b/>
          <w:sz w:val="21"/>
          <w:szCs w:val="21"/>
        </w:rPr>
        <w:t>(c)</w:t>
      </w:r>
      <w:r w:rsidRPr="00CA4352">
        <w:rPr>
          <w:rFonts w:cs="Tahoma"/>
          <w:sz w:val="21"/>
          <w:szCs w:val="21"/>
        </w:rPr>
        <w:t xml:space="preserve"> a contratação dos prestadores de</w:t>
      </w:r>
      <w:r w:rsidR="0043713C" w:rsidRPr="00CA4352">
        <w:rPr>
          <w:rFonts w:cs="Tahoma"/>
          <w:sz w:val="21"/>
          <w:szCs w:val="21"/>
        </w:rPr>
        <w:t xml:space="preserve"> </w:t>
      </w:r>
      <w:r w:rsidRPr="00CA4352">
        <w:rPr>
          <w:rFonts w:cs="Tahoma"/>
          <w:sz w:val="21"/>
          <w:szCs w:val="21"/>
        </w:rPr>
        <w:t xml:space="preserve">serviços da Emissão, incluindo, mas não se limitando ao </w:t>
      </w:r>
      <w:proofErr w:type="spellStart"/>
      <w:r w:rsidRPr="00CA4352">
        <w:rPr>
          <w:rFonts w:cs="Tahoma"/>
          <w:sz w:val="21"/>
          <w:szCs w:val="21"/>
        </w:rPr>
        <w:t>escriturador</w:t>
      </w:r>
      <w:proofErr w:type="spellEnd"/>
      <w:r w:rsidRPr="00CA4352">
        <w:rPr>
          <w:rFonts w:cs="Tahoma"/>
          <w:sz w:val="21"/>
          <w:szCs w:val="21"/>
        </w:rPr>
        <w:t>, banco liquidante,</w:t>
      </w:r>
      <w:r w:rsidR="00B5061D" w:rsidRPr="00CA4352">
        <w:rPr>
          <w:rFonts w:cs="Tahoma"/>
          <w:sz w:val="21"/>
          <w:szCs w:val="21"/>
        </w:rPr>
        <w:t xml:space="preserve"> </w:t>
      </w:r>
      <w:r w:rsidRPr="00CA4352">
        <w:rPr>
          <w:rFonts w:cs="Tahoma"/>
          <w:sz w:val="21"/>
          <w:szCs w:val="21"/>
        </w:rPr>
        <w:t>agente fiduciário</w:t>
      </w:r>
      <w:r w:rsidR="00A370ED" w:rsidRPr="00CA4352">
        <w:rPr>
          <w:rFonts w:cs="Tahoma"/>
          <w:sz w:val="21"/>
          <w:szCs w:val="21"/>
        </w:rPr>
        <w:t xml:space="preserve"> </w:t>
      </w:r>
      <w:r w:rsidRPr="00CA4352">
        <w:rPr>
          <w:rFonts w:cs="Tahoma"/>
          <w:sz w:val="21"/>
          <w:szCs w:val="21"/>
        </w:rPr>
        <w:t>e assessores legais (em conjunto,</w:t>
      </w:r>
      <w:r w:rsidR="00B5061D" w:rsidRPr="00CA4352">
        <w:rPr>
          <w:rFonts w:cs="Tahoma"/>
          <w:sz w:val="21"/>
          <w:szCs w:val="21"/>
        </w:rPr>
        <w:t xml:space="preserve"> </w:t>
      </w:r>
      <w:r w:rsidRPr="00CA4352">
        <w:rPr>
          <w:rFonts w:cs="Tahoma"/>
          <w:sz w:val="21"/>
          <w:szCs w:val="21"/>
        </w:rPr>
        <w:t>“</w:t>
      </w:r>
      <w:r w:rsidRPr="00CA4352">
        <w:rPr>
          <w:rFonts w:cs="Tahoma"/>
          <w:sz w:val="21"/>
          <w:szCs w:val="21"/>
          <w:u w:val="single"/>
        </w:rPr>
        <w:t>Prestadores de Serviço</w:t>
      </w:r>
      <w:r w:rsidRPr="00CA4352">
        <w:rPr>
          <w:rFonts w:cs="Tahoma"/>
          <w:sz w:val="21"/>
          <w:szCs w:val="21"/>
        </w:rPr>
        <w:t>”), podendo, para tanto, negociar e assinar os respectivos contratos e</w:t>
      </w:r>
      <w:r w:rsidR="00B5061D" w:rsidRPr="00CA4352">
        <w:rPr>
          <w:rFonts w:cs="Tahoma"/>
          <w:sz w:val="21"/>
          <w:szCs w:val="21"/>
        </w:rPr>
        <w:t xml:space="preserve"> </w:t>
      </w:r>
      <w:r w:rsidRPr="00CA4352">
        <w:rPr>
          <w:rFonts w:cs="Tahoma"/>
          <w:sz w:val="21"/>
          <w:szCs w:val="21"/>
        </w:rPr>
        <w:t xml:space="preserve">fixar seus honorários; e </w:t>
      </w:r>
      <w:r w:rsidRPr="00CA4352">
        <w:rPr>
          <w:rFonts w:cs="Tahoma"/>
          <w:b/>
          <w:sz w:val="21"/>
          <w:szCs w:val="21"/>
        </w:rPr>
        <w:t>(d)</w:t>
      </w:r>
      <w:r w:rsidRPr="00CA4352">
        <w:rPr>
          <w:rFonts w:cs="Tahoma"/>
          <w:sz w:val="21"/>
          <w:szCs w:val="21"/>
        </w:rPr>
        <w:t xml:space="preserve"> celebração de todos os demais documentos e eventuais</w:t>
      </w:r>
      <w:r w:rsidR="00B5061D" w:rsidRPr="00CA4352">
        <w:rPr>
          <w:rFonts w:cs="Tahoma"/>
          <w:sz w:val="21"/>
          <w:szCs w:val="21"/>
        </w:rPr>
        <w:t xml:space="preserve"> </w:t>
      </w:r>
      <w:r w:rsidRPr="00CA4352">
        <w:rPr>
          <w:rFonts w:cs="Tahoma"/>
          <w:sz w:val="21"/>
          <w:szCs w:val="21"/>
        </w:rPr>
        <w:t xml:space="preserve">aditamentos no âmbito da Emissão; </w:t>
      </w:r>
      <w:r w:rsidR="00DE621A" w:rsidRPr="00CA4352">
        <w:rPr>
          <w:rFonts w:cs="Tahoma"/>
          <w:b/>
          <w:sz w:val="21"/>
          <w:szCs w:val="21"/>
        </w:rPr>
        <w:t>(III</w:t>
      </w:r>
      <w:r w:rsidRPr="00CA4352">
        <w:rPr>
          <w:rFonts w:cs="Tahoma"/>
          <w:b/>
          <w:sz w:val="21"/>
          <w:szCs w:val="21"/>
        </w:rPr>
        <w:t>)</w:t>
      </w:r>
      <w:r w:rsidRPr="00CA4352">
        <w:rPr>
          <w:rFonts w:cs="Tahoma"/>
          <w:sz w:val="21"/>
          <w:szCs w:val="21"/>
        </w:rPr>
        <w:t xml:space="preserve"> a autorização para a Diretoria da Companhia realizar</w:t>
      </w:r>
      <w:r w:rsidR="00B5061D" w:rsidRPr="00CA4352">
        <w:rPr>
          <w:rFonts w:cs="Tahoma"/>
          <w:sz w:val="21"/>
          <w:szCs w:val="21"/>
        </w:rPr>
        <w:t xml:space="preserve"> </w:t>
      </w:r>
      <w:r w:rsidRPr="00CA4352">
        <w:rPr>
          <w:rFonts w:cs="Tahoma"/>
          <w:sz w:val="21"/>
          <w:szCs w:val="21"/>
        </w:rPr>
        <w:t xml:space="preserve">a publicação e o registro dos documentos de natureza societária ou outros relativos à </w:t>
      </w:r>
      <w:r w:rsidR="00B5061D" w:rsidRPr="00CA4352">
        <w:rPr>
          <w:rFonts w:cs="Tahoma"/>
          <w:sz w:val="21"/>
          <w:szCs w:val="21"/>
        </w:rPr>
        <w:t xml:space="preserve">Oferta Restrita </w:t>
      </w:r>
      <w:r w:rsidRPr="00CA4352">
        <w:rPr>
          <w:rFonts w:cs="Tahoma"/>
          <w:sz w:val="21"/>
          <w:szCs w:val="21"/>
        </w:rPr>
        <w:t>perante os órgãos competentes e/ou perante a ANBIMA – Associação Brasileira das</w:t>
      </w:r>
      <w:r w:rsidR="00B5061D" w:rsidRPr="00CA4352">
        <w:rPr>
          <w:rFonts w:cs="Tahoma"/>
          <w:sz w:val="21"/>
          <w:szCs w:val="21"/>
        </w:rPr>
        <w:t xml:space="preserve"> </w:t>
      </w:r>
      <w:r w:rsidRPr="00CA4352">
        <w:rPr>
          <w:rFonts w:cs="Tahoma"/>
          <w:sz w:val="21"/>
          <w:szCs w:val="21"/>
        </w:rPr>
        <w:t>Entidades dos Mercados Financeiro e de Capitais (“</w:t>
      </w:r>
      <w:r w:rsidRPr="00CA4352">
        <w:rPr>
          <w:rFonts w:cs="Tahoma"/>
          <w:sz w:val="21"/>
          <w:szCs w:val="21"/>
          <w:u w:val="single"/>
        </w:rPr>
        <w:t>ANBIMA</w:t>
      </w:r>
      <w:r w:rsidRPr="00CA4352">
        <w:rPr>
          <w:rFonts w:cs="Tahoma"/>
          <w:sz w:val="21"/>
          <w:szCs w:val="21"/>
        </w:rPr>
        <w:t>”), se for o caso, inclusive</w:t>
      </w:r>
      <w:r w:rsidR="00B5061D" w:rsidRPr="00CA4352">
        <w:rPr>
          <w:rFonts w:cs="Tahoma"/>
          <w:sz w:val="21"/>
          <w:szCs w:val="21"/>
        </w:rPr>
        <w:t xml:space="preserve"> </w:t>
      </w:r>
      <w:r w:rsidRPr="00CA4352">
        <w:rPr>
          <w:rFonts w:cs="Tahoma"/>
          <w:sz w:val="21"/>
          <w:szCs w:val="21"/>
        </w:rPr>
        <w:t>realizando o respectivo pagamento de eventuais taxas q</w:t>
      </w:r>
      <w:r w:rsidR="00DE621A" w:rsidRPr="00CA4352">
        <w:rPr>
          <w:rFonts w:cs="Tahoma"/>
          <w:sz w:val="21"/>
          <w:szCs w:val="21"/>
        </w:rPr>
        <w:t xml:space="preserve">ue se fizerem necessárias; e </w:t>
      </w:r>
      <w:r w:rsidR="00DE621A" w:rsidRPr="00CA4352">
        <w:rPr>
          <w:rFonts w:cs="Tahoma"/>
          <w:b/>
          <w:sz w:val="21"/>
          <w:szCs w:val="21"/>
        </w:rPr>
        <w:t>(IV</w:t>
      </w:r>
      <w:r w:rsidRPr="00CA4352">
        <w:rPr>
          <w:rFonts w:cs="Tahoma"/>
          <w:b/>
          <w:sz w:val="21"/>
          <w:szCs w:val="21"/>
        </w:rPr>
        <w:t>)</w:t>
      </w:r>
      <w:r w:rsidRPr="00CA4352">
        <w:rPr>
          <w:rFonts w:cs="Tahoma"/>
          <w:sz w:val="21"/>
          <w:szCs w:val="21"/>
        </w:rPr>
        <w:t xml:space="preserve"> a</w:t>
      </w:r>
      <w:r w:rsidR="00B5061D" w:rsidRPr="00CA4352">
        <w:rPr>
          <w:rFonts w:cs="Tahoma"/>
          <w:sz w:val="21"/>
          <w:szCs w:val="21"/>
        </w:rPr>
        <w:t xml:space="preserve"> </w:t>
      </w:r>
      <w:r w:rsidRPr="00CA4352">
        <w:rPr>
          <w:rFonts w:cs="Tahoma"/>
          <w:sz w:val="21"/>
          <w:szCs w:val="21"/>
        </w:rPr>
        <w:t>ratificação de todos os atos praticados pela Diretoria da Companhia no âmbito da Emissão e</w:t>
      </w:r>
      <w:r w:rsidR="00B5061D" w:rsidRPr="00CA4352">
        <w:rPr>
          <w:rFonts w:cs="Tahoma"/>
          <w:sz w:val="21"/>
          <w:szCs w:val="21"/>
        </w:rPr>
        <w:t xml:space="preserve"> </w:t>
      </w:r>
      <w:r w:rsidRPr="00CA4352">
        <w:rPr>
          <w:rFonts w:cs="Tahoma"/>
          <w:sz w:val="21"/>
          <w:szCs w:val="21"/>
        </w:rPr>
        <w:t xml:space="preserve">da </w:t>
      </w:r>
      <w:r w:rsidR="00B5061D" w:rsidRPr="00CA4352">
        <w:rPr>
          <w:rFonts w:cs="Tahoma"/>
          <w:sz w:val="21"/>
          <w:szCs w:val="21"/>
        </w:rPr>
        <w:t>Oferta Restrita</w:t>
      </w:r>
      <w:r w:rsidRPr="00CA4352">
        <w:rPr>
          <w:rFonts w:cs="Tahoma"/>
          <w:sz w:val="21"/>
          <w:szCs w:val="21"/>
        </w:rPr>
        <w:t>.</w:t>
      </w:r>
    </w:p>
    <w:p w14:paraId="557F3EB5" w14:textId="77777777" w:rsidR="00B5061D" w:rsidRPr="00CA4352" w:rsidRDefault="00B5061D" w:rsidP="002D43C4">
      <w:pPr>
        <w:pStyle w:val="Texto-MattosFilho"/>
        <w:spacing w:line="316" w:lineRule="exact"/>
        <w:rPr>
          <w:rFonts w:cs="Tahoma"/>
          <w:sz w:val="21"/>
          <w:szCs w:val="21"/>
        </w:rPr>
      </w:pPr>
    </w:p>
    <w:p w14:paraId="0D959853" w14:textId="77777777" w:rsidR="003B081D" w:rsidRPr="00CA4352" w:rsidRDefault="003B081D" w:rsidP="002D43C4">
      <w:pPr>
        <w:pStyle w:val="PargrafodaLista"/>
        <w:numPr>
          <w:ilvl w:val="0"/>
          <w:numId w:val="4"/>
        </w:numPr>
        <w:tabs>
          <w:tab w:val="clear" w:pos="720"/>
          <w:tab w:val="num" w:pos="1134"/>
        </w:tabs>
        <w:spacing w:line="316" w:lineRule="exact"/>
        <w:ind w:left="0" w:firstLine="0"/>
        <w:contextualSpacing w:val="0"/>
        <w:rPr>
          <w:rFonts w:cs="Tahoma"/>
          <w:sz w:val="21"/>
          <w:szCs w:val="21"/>
        </w:rPr>
      </w:pPr>
      <w:r w:rsidRPr="00CA4352">
        <w:rPr>
          <w:rFonts w:cs="Tahoma"/>
          <w:b/>
          <w:sz w:val="21"/>
          <w:szCs w:val="21"/>
          <w:u w:val="single"/>
        </w:rPr>
        <w:t>Deliberações</w:t>
      </w:r>
      <w:r w:rsidRPr="00CA4352">
        <w:rPr>
          <w:rFonts w:cs="Tahoma"/>
          <w:sz w:val="21"/>
          <w:szCs w:val="21"/>
        </w:rPr>
        <w:t>: por unanimidade de votos e sem quaisquer restrições, os Conselheiros</w:t>
      </w:r>
      <w:r w:rsidR="00B5061D" w:rsidRPr="00CA4352">
        <w:rPr>
          <w:rFonts w:cs="Tahoma"/>
          <w:sz w:val="21"/>
          <w:szCs w:val="21"/>
        </w:rPr>
        <w:t xml:space="preserve"> </w:t>
      </w:r>
      <w:r w:rsidRPr="00CA4352">
        <w:rPr>
          <w:rFonts w:cs="Tahoma"/>
          <w:sz w:val="21"/>
          <w:szCs w:val="21"/>
        </w:rPr>
        <w:t>da Companhia:</w:t>
      </w:r>
    </w:p>
    <w:p w14:paraId="3F015137" w14:textId="77777777" w:rsidR="00B5061D" w:rsidRPr="00CA4352" w:rsidRDefault="00B5061D" w:rsidP="002D43C4">
      <w:pPr>
        <w:spacing w:line="316" w:lineRule="exact"/>
        <w:rPr>
          <w:rFonts w:cs="Tahoma"/>
          <w:sz w:val="21"/>
          <w:szCs w:val="21"/>
        </w:rPr>
      </w:pPr>
    </w:p>
    <w:p w14:paraId="30957323" w14:textId="77777777" w:rsidR="00396A25" w:rsidRPr="00CA4352" w:rsidRDefault="003B081D" w:rsidP="002D43C4">
      <w:pPr>
        <w:pStyle w:val="PargrafodaLista"/>
        <w:numPr>
          <w:ilvl w:val="0"/>
          <w:numId w:val="6"/>
        </w:numPr>
        <w:tabs>
          <w:tab w:val="clear" w:pos="720"/>
          <w:tab w:val="num" w:pos="1134"/>
        </w:tabs>
        <w:spacing w:line="316" w:lineRule="exact"/>
        <w:ind w:left="1134" w:hanging="850"/>
        <w:rPr>
          <w:rFonts w:cs="Tahoma"/>
          <w:sz w:val="21"/>
          <w:szCs w:val="21"/>
        </w:rPr>
      </w:pPr>
      <w:r w:rsidRPr="00CA4352">
        <w:rPr>
          <w:rFonts w:cs="Tahoma"/>
          <w:sz w:val="21"/>
          <w:szCs w:val="21"/>
        </w:rPr>
        <w:t>aprovaram a realização da Emissão, a qual terá as seguintes características e</w:t>
      </w:r>
      <w:r w:rsidR="00B5061D" w:rsidRPr="00CA4352">
        <w:rPr>
          <w:rFonts w:cs="Tahoma"/>
          <w:sz w:val="21"/>
          <w:szCs w:val="21"/>
        </w:rPr>
        <w:t xml:space="preserve"> </w:t>
      </w:r>
      <w:r w:rsidRPr="00CA4352">
        <w:rPr>
          <w:rFonts w:cs="Tahoma"/>
          <w:sz w:val="21"/>
          <w:szCs w:val="21"/>
        </w:rPr>
        <w:t>condições:</w:t>
      </w:r>
    </w:p>
    <w:p w14:paraId="706EDC7B" w14:textId="77777777" w:rsidR="00B5061D" w:rsidRPr="00CA4352" w:rsidRDefault="00B5061D" w:rsidP="002D43C4">
      <w:pPr>
        <w:pStyle w:val="Texto-MattosFilho"/>
        <w:spacing w:line="316" w:lineRule="exact"/>
        <w:rPr>
          <w:rFonts w:cs="Tahoma"/>
          <w:sz w:val="21"/>
          <w:szCs w:val="21"/>
        </w:rPr>
      </w:pPr>
    </w:p>
    <w:p w14:paraId="680D418F" w14:textId="456EB5A8" w:rsidR="003B081D" w:rsidRPr="00CA4352" w:rsidRDefault="003B081D" w:rsidP="002D43C4">
      <w:pPr>
        <w:pStyle w:val="Texto-MattosFilho"/>
        <w:numPr>
          <w:ilvl w:val="0"/>
          <w:numId w:val="7"/>
        </w:numPr>
        <w:spacing w:line="316" w:lineRule="exact"/>
        <w:ind w:left="1843" w:hanging="709"/>
        <w:rPr>
          <w:rFonts w:cs="Tahoma"/>
          <w:sz w:val="21"/>
          <w:szCs w:val="21"/>
        </w:rPr>
      </w:pPr>
      <w:r w:rsidRPr="00CA4352">
        <w:rPr>
          <w:rFonts w:cs="Tahoma"/>
          <w:b/>
          <w:sz w:val="21"/>
          <w:szCs w:val="21"/>
        </w:rPr>
        <w:t>Número da Emissão</w:t>
      </w:r>
      <w:r w:rsidRPr="00CA4352">
        <w:rPr>
          <w:rFonts w:cs="Tahoma"/>
          <w:sz w:val="21"/>
          <w:szCs w:val="21"/>
        </w:rPr>
        <w:t>:</w:t>
      </w:r>
      <w:r w:rsidR="008E3CCC" w:rsidRPr="00CA4352">
        <w:rPr>
          <w:rFonts w:eastAsia="MS Mincho" w:cs="Tahoma"/>
          <w:sz w:val="21"/>
          <w:szCs w:val="21"/>
        </w:rPr>
        <w:t xml:space="preserve"> </w:t>
      </w:r>
      <w:r w:rsidR="008E3CCC" w:rsidRPr="00CA4352">
        <w:rPr>
          <w:rFonts w:cs="Tahoma"/>
          <w:sz w:val="21"/>
          <w:szCs w:val="21"/>
        </w:rPr>
        <w:t>A Emissão constitui a 1</w:t>
      </w:r>
      <w:r w:rsidR="00133514" w:rsidRPr="00CA4352">
        <w:rPr>
          <w:rFonts w:cs="Tahoma"/>
          <w:sz w:val="21"/>
          <w:szCs w:val="21"/>
        </w:rPr>
        <w:t>8</w:t>
      </w:r>
      <w:r w:rsidR="008E3CCC" w:rsidRPr="00CA4352">
        <w:rPr>
          <w:rFonts w:cs="Tahoma"/>
          <w:sz w:val="21"/>
          <w:szCs w:val="21"/>
        </w:rPr>
        <w:t xml:space="preserve">ª (décima </w:t>
      </w:r>
      <w:r w:rsidR="00133514" w:rsidRPr="00CA4352">
        <w:rPr>
          <w:rFonts w:cs="Tahoma"/>
          <w:sz w:val="21"/>
          <w:szCs w:val="21"/>
        </w:rPr>
        <w:t>oitava</w:t>
      </w:r>
      <w:r w:rsidR="008E3CCC" w:rsidRPr="00CA4352">
        <w:rPr>
          <w:rFonts w:cs="Tahoma"/>
          <w:sz w:val="21"/>
          <w:szCs w:val="21"/>
        </w:rPr>
        <w:t xml:space="preserve">) emissão de debêntures da </w:t>
      </w:r>
      <w:r w:rsidR="001F0627" w:rsidRPr="00CA4352">
        <w:rPr>
          <w:rFonts w:cs="Tahoma"/>
          <w:sz w:val="21"/>
          <w:szCs w:val="21"/>
        </w:rPr>
        <w:t>Companhia</w:t>
      </w:r>
      <w:r w:rsidR="008E3CCC" w:rsidRPr="00CA4352">
        <w:rPr>
          <w:rFonts w:cs="Tahoma"/>
          <w:sz w:val="21"/>
          <w:szCs w:val="21"/>
        </w:rPr>
        <w:t>.</w:t>
      </w:r>
    </w:p>
    <w:p w14:paraId="5F98F3EC" w14:textId="77777777" w:rsidR="00B5061D" w:rsidRPr="00CA4352" w:rsidRDefault="00B5061D" w:rsidP="002D43C4">
      <w:pPr>
        <w:pStyle w:val="Texto-MattosFilho"/>
        <w:spacing w:line="316" w:lineRule="exact"/>
        <w:ind w:left="1843"/>
        <w:rPr>
          <w:rFonts w:cs="Tahoma"/>
          <w:sz w:val="21"/>
          <w:szCs w:val="21"/>
        </w:rPr>
      </w:pPr>
    </w:p>
    <w:p w14:paraId="09D290EF" w14:textId="626C8591" w:rsidR="003B081D" w:rsidRPr="00CA4352" w:rsidRDefault="003B081D" w:rsidP="002D43C4">
      <w:pPr>
        <w:pStyle w:val="Texto-MattosFilho"/>
        <w:numPr>
          <w:ilvl w:val="0"/>
          <w:numId w:val="7"/>
        </w:numPr>
        <w:spacing w:line="316" w:lineRule="exact"/>
        <w:ind w:left="1843" w:hanging="709"/>
        <w:rPr>
          <w:rFonts w:cs="Tahoma"/>
          <w:sz w:val="21"/>
          <w:szCs w:val="21"/>
        </w:rPr>
      </w:pPr>
      <w:r w:rsidRPr="00CA4352">
        <w:rPr>
          <w:rFonts w:cs="Tahoma"/>
          <w:b/>
          <w:sz w:val="21"/>
          <w:szCs w:val="21"/>
        </w:rPr>
        <w:t>Valor Total da Emissão</w:t>
      </w:r>
      <w:r w:rsidRPr="00CA4352">
        <w:rPr>
          <w:rFonts w:cs="Tahoma"/>
          <w:sz w:val="21"/>
          <w:szCs w:val="21"/>
        </w:rPr>
        <w:t xml:space="preserve">: </w:t>
      </w:r>
      <w:r w:rsidR="00D66EE3" w:rsidRPr="00CA4352">
        <w:rPr>
          <w:rFonts w:cs="Tahoma"/>
          <w:sz w:val="21"/>
          <w:szCs w:val="21"/>
        </w:rPr>
        <w:t>O Valor da Emissão será de R$</w:t>
      </w:r>
      <w:r w:rsidR="00133514" w:rsidRPr="00CA4352">
        <w:rPr>
          <w:rFonts w:cs="Tahoma"/>
          <w:sz w:val="21"/>
          <w:szCs w:val="21"/>
        </w:rPr>
        <w:t>4</w:t>
      </w:r>
      <w:r w:rsidR="00D66EE3" w:rsidRPr="00CA4352">
        <w:rPr>
          <w:rFonts w:cs="Tahoma"/>
          <w:sz w:val="21"/>
          <w:szCs w:val="21"/>
        </w:rPr>
        <w:t>00.000.000,00 (</w:t>
      </w:r>
      <w:r w:rsidR="00133514" w:rsidRPr="00CA4352">
        <w:rPr>
          <w:rFonts w:cs="Tahoma"/>
          <w:sz w:val="21"/>
          <w:szCs w:val="21"/>
        </w:rPr>
        <w:t>quatrocentos milhões</w:t>
      </w:r>
      <w:r w:rsidR="00D66EE3" w:rsidRPr="00CA4352">
        <w:rPr>
          <w:rFonts w:cs="Tahoma"/>
          <w:sz w:val="21"/>
          <w:szCs w:val="21"/>
        </w:rPr>
        <w:t xml:space="preserve"> de reais), na Data de Emissão (conforme abaixo definida</w:t>
      </w:r>
      <w:r w:rsidR="00EC7C59" w:rsidRPr="00CA4352">
        <w:rPr>
          <w:rFonts w:cs="Tahoma"/>
          <w:sz w:val="21"/>
          <w:szCs w:val="21"/>
        </w:rPr>
        <w:t xml:space="preserve">), sendo: </w:t>
      </w:r>
      <w:r w:rsidR="00EC7C59" w:rsidRPr="00CA4352">
        <w:rPr>
          <w:rFonts w:cs="Tahoma"/>
          <w:b/>
          <w:bCs/>
          <w:sz w:val="21"/>
          <w:szCs w:val="21"/>
        </w:rPr>
        <w:t xml:space="preserve">(i) </w:t>
      </w:r>
      <w:r w:rsidR="00EC7C59" w:rsidRPr="00CA4352">
        <w:rPr>
          <w:rFonts w:cs="Tahoma"/>
          <w:sz w:val="21"/>
          <w:szCs w:val="21"/>
        </w:rPr>
        <w:t>R$75.000.000,00 (setenta e cinco milhões de reais) correspondentes às Debêntures da primeira Série (“</w:t>
      </w:r>
      <w:r w:rsidR="00EC7C59" w:rsidRPr="00CA4352">
        <w:rPr>
          <w:rFonts w:cs="Tahoma"/>
          <w:sz w:val="21"/>
          <w:szCs w:val="21"/>
          <w:u w:val="single"/>
        </w:rPr>
        <w:t>Primeira Série</w:t>
      </w:r>
      <w:r w:rsidR="00EC7C59" w:rsidRPr="00CA4352">
        <w:rPr>
          <w:rFonts w:cs="Tahoma"/>
          <w:sz w:val="21"/>
          <w:szCs w:val="21"/>
        </w:rPr>
        <w:t xml:space="preserve">”); e </w:t>
      </w:r>
      <w:r w:rsidR="00EC7C59" w:rsidRPr="00CA4352">
        <w:rPr>
          <w:rFonts w:cs="Tahoma"/>
          <w:b/>
          <w:bCs/>
          <w:sz w:val="21"/>
          <w:szCs w:val="21"/>
        </w:rPr>
        <w:t>(</w:t>
      </w:r>
      <w:proofErr w:type="spellStart"/>
      <w:r w:rsidR="00EC7C59" w:rsidRPr="00CA4352">
        <w:rPr>
          <w:rFonts w:cs="Tahoma"/>
          <w:b/>
          <w:bCs/>
          <w:sz w:val="21"/>
          <w:szCs w:val="21"/>
        </w:rPr>
        <w:t>ii</w:t>
      </w:r>
      <w:proofErr w:type="spellEnd"/>
      <w:r w:rsidR="00EC7C59" w:rsidRPr="00CA4352">
        <w:rPr>
          <w:rFonts w:cs="Tahoma"/>
          <w:b/>
          <w:bCs/>
          <w:sz w:val="21"/>
          <w:szCs w:val="21"/>
        </w:rPr>
        <w:t>)</w:t>
      </w:r>
      <w:r w:rsidR="00EC7C59" w:rsidRPr="00CA4352">
        <w:rPr>
          <w:rFonts w:cs="Tahoma"/>
          <w:sz w:val="21"/>
          <w:szCs w:val="21"/>
        </w:rPr>
        <w:t xml:space="preserve"> R$325.000.000,00 (trezentos e vinte e cinco milhões de reais) correspondentes às Debêntures da segunda Série (“</w:t>
      </w:r>
      <w:r w:rsidR="00EC7C59" w:rsidRPr="00CA4352">
        <w:rPr>
          <w:rFonts w:cs="Tahoma"/>
          <w:sz w:val="21"/>
          <w:szCs w:val="21"/>
          <w:u w:val="single"/>
        </w:rPr>
        <w:t>Segunda Série</w:t>
      </w:r>
      <w:r w:rsidR="00EC7C59" w:rsidRPr="00CA4352">
        <w:rPr>
          <w:rFonts w:cs="Tahoma"/>
          <w:sz w:val="21"/>
          <w:szCs w:val="21"/>
        </w:rPr>
        <w:t>”, sendo a Primeira Série e a Segunda Série denominadas individual e indistintamente como “</w:t>
      </w:r>
      <w:r w:rsidR="00EC7C59" w:rsidRPr="00CA4352">
        <w:rPr>
          <w:rFonts w:cs="Tahoma"/>
          <w:sz w:val="21"/>
          <w:szCs w:val="21"/>
          <w:u w:val="single"/>
        </w:rPr>
        <w:t>Série</w:t>
      </w:r>
      <w:r w:rsidR="00EC7C59" w:rsidRPr="00CA4352">
        <w:rPr>
          <w:rFonts w:cs="Tahoma"/>
          <w:sz w:val="21"/>
          <w:szCs w:val="21"/>
        </w:rPr>
        <w:t>” e, em conjunto, como “</w:t>
      </w:r>
      <w:r w:rsidR="00EC7C59" w:rsidRPr="00CA4352">
        <w:rPr>
          <w:rFonts w:cs="Tahoma"/>
          <w:sz w:val="21"/>
          <w:szCs w:val="21"/>
          <w:u w:val="single"/>
        </w:rPr>
        <w:t>Séries</w:t>
      </w:r>
      <w:r w:rsidR="00EC7C59" w:rsidRPr="00CA4352">
        <w:rPr>
          <w:rFonts w:cs="Tahoma"/>
          <w:sz w:val="21"/>
          <w:szCs w:val="21"/>
        </w:rPr>
        <w:t>”)</w:t>
      </w:r>
      <w:r w:rsidR="00D66EE3" w:rsidRPr="00CA4352">
        <w:rPr>
          <w:rFonts w:cs="Tahoma"/>
          <w:sz w:val="21"/>
          <w:szCs w:val="21"/>
        </w:rPr>
        <w:t xml:space="preserve">. </w:t>
      </w:r>
    </w:p>
    <w:p w14:paraId="6E0EDF63" w14:textId="77777777" w:rsidR="00B5061D" w:rsidRPr="00CA4352" w:rsidRDefault="00B5061D" w:rsidP="002D43C4">
      <w:pPr>
        <w:pStyle w:val="Texto-MattosFilho"/>
        <w:spacing w:line="316" w:lineRule="exact"/>
        <w:ind w:left="1843"/>
        <w:rPr>
          <w:rFonts w:cs="Tahoma"/>
          <w:sz w:val="21"/>
          <w:szCs w:val="21"/>
        </w:rPr>
      </w:pPr>
    </w:p>
    <w:p w14:paraId="4B9CCC81" w14:textId="38FB9AAA" w:rsidR="003B081D" w:rsidRPr="00CA4352" w:rsidRDefault="003B081D" w:rsidP="002D43C4">
      <w:pPr>
        <w:pStyle w:val="Texto-MattosFilho"/>
        <w:numPr>
          <w:ilvl w:val="0"/>
          <w:numId w:val="7"/>
        </w:numPr>
        <w:spacing w:line="316" w:lineRule="exact"/>
        <w:ind w:left="1843" w:hanging="709"/>
        <w:rPr>
          <w:rFonts w:cs="Tahoma"/>
          <w:sz w:val="21"/>
          <w:szCs w:val="21"/>
        </w:rPr>
      </w:pPr>
      <w:r w:rsidRPr="00CA4352">
        <w:rPr>
          <w:rFonts w:cs="Tahoma"/>
          <w:b/>
          <w:sz w:val="21"/>
          <w:szCs w:val="21"/>
        </w:rPr>
        <w:t>Data de Emissão</w:t>
      </w:r>
      <w:r w:rsidRPr="00CA4352">
        <w:rPr>
          <w:rFonts w:cs="Tahoma"/>
          <w:sz w:val="21"/>
          <w:szCs w:val="21"/>
        </w:rPr>
        <w:t xml:space="preserve">: </w:t>
      </w:r>
      <w:r w:rsidR="009761A0" w:rsidRPr="00CA4352">
        <w:rPr>
          <w:rFonts w:cs="Tahoma"/>
          <w:sz w:val="21"/>
          <w:szCs w:val="21"/>
        </w:rPr>
        <w:t xml:space="preserve">Para todos os fins e efeitos legais, a data de emissão das Debêntures será </w:t>
      </w:r>
      <w:r w:rsidR="00EC7C59" w:rsidRPr="00CA4352">
        <w:rPr>
          <w:rFonts w:cs="Tahoma"/>
          <w:sz w:val="21"/>
          <w:szCs w:val="21"/>
        </w:rPr>
        <w:t>15 de abril de 2020</w:t>
      </w:r>
      <w:r w:rsidR="00EE54BD" w:rsidRPr="00CA4352">
        <w:rPr>
          <w:rFonts w:cs="Tahoma"/>
          <w:sz w:val="21"/>
          <w:szCs w:val="21"/>
        </w:rPr>
        <w:t xml:space="preserve"> </w:t>
      </w:r>
      <w:r w:rsidR="009761A0" w:rsidRPr="00CA4352">
        <w:rPr>
          <w:rFonts w:cs="Tahoma"/>
          <w:sz w:val="21"/>
          <w:szCs w:val="21"/>
        </w:rPr>
        <w:t>(“</w:t>
      </w:r>
      <w:r w:rsidR="009761A0" w:rsidRPr="00CA4352">
        <w:rPr>
          <w:rFonts w:cs="Tahoma"/>
          <w:sz w:val="21"/>
          <w:szCs w:val="21"/>
          <w:u w:val="single"/>
        </w:rPr>
        <w:t>Data de Emissão</w:t>
      </w:r>
      <w:r w:rsidR="009761A0" w:rsidRPr="00CA4352">
        <w:rPr>
          <w:rFonts w:cs="Tahoma"/>
          <w:sz w:val="21"/>
          <w:szCs w:val="21"/>
        </w:rPr>
        <w:t xml:space="preserve">”). </w:t>
      </w:r>
    </w:p>
    <w:p w14:paraId="595E4E4C" w14:textId="77777777" w:rsidR="00B5061D" w:rsidRPr="00CA4352" w:rsidRDefault="00B5061D" w:rsidP="002D43C4">
      <w:pPr>
        <w:pStyle w:val="Texto-MattosFilho"/>
        <w:spacing w:line="316" w:lineRule="exact"/>
        <w:ind w:left="1843"/>
        <w:rPr>
          <w:rFonts w:cs="Tahoma"/>
          <w:sz w:val="21"/>
          <w:szCs w:val="21"/>
        </w:rPr>
      </w:pPr>
    </w:p>
    <w:p w14:paraId="11EEA6DC" w14:textId="0B104103" w:rsidR="003B081D" w:rsidRPr="00CA4352" w:rsidRDefault="001630AE" w:rsidP="002D43C4">
      <w:pPr>
        <w:pStyle w:val="Texto-MattosFilho"/>
        <w:numPr>
          <w:ilvl w:val="0"/>
          <w:numId w:val="7"/>
        </w:numPr>
        <w:spacing w:line="316" w:lineRule="exact"/>
        <w:ind w:left="1843" w:hanging="709"/>
        <w:rPr>
          <w:rFonts w:cs="Tahoma"/>
          <w:sz w:val="21"/>
          <w:szCs w:val="21"/>
        </w:rPr>
      </w:pPr>
      <w:r w:rsidRPr="00CA4352">
        <w:rPr>
          <w:rFonts w:cs="Tahoma"/>
          <w:b/>
          <w:sz w:val="21"/>
          <w:szCs w:val="21"/>
        </w:rPr>
        <w:t>Número de Séries</w:t>
      </w:r>
      <w:r w:rsidRPr="00CA4352">
        <w:rPr>
          <w:rFonts w:cs="Tahoma"/>
          <w:sz w:val="21"/>
          <w:szCs w:val="21"/>
        </w:rPr>
        <w:t>: A Emissão será realizada em 2 (duas) Séries.</w:t>
      </w:r>
    </w:p>
    <w:p w14:paraId="0B83F2F5" w14:textId="77777777" w:rsidR="00B5061D" w:rsidRPr="00CA4352" w:rsidRDefault="00B5061D" w:rsidP="002D43C4">
      <w:pPr>
        <w:pStyle w:val="Texto-MattosFilho"/>
        <w:spacing w:line="316" w:lineRule="exact"/>
        <w:ind w:left="1843"/>
        <w:rPr>
          <w:rFonts w:cs="Tahoma"/>
          <w:sz w:val="21"/>
          <w:szCs w:val="21"/>
        </w:rPr>
      </w:pPr>
    </w:p>
    <w:p w14:paraId="600C5AD9" w14:textId="07815403" w:rsidR="003B081D" w:rsidRPr="00CA4352" w:rsidRDefault="001630AE" w:rsidP="002D43C4">
      <w:pPr>
        <w:pStyle w:val="Texto-MattosFilho"/>
        <w:numPr>
          <w:ilvl w:val="0"/>
          <w:numId w:val="7"/>
        </w:numPr>
        <w:spacing w:line="316" w:lineRule="exact"/>
        <w:ind w:left="1843" w:hanging="709"/>
        <w:rPr>
          <w:rFonts w:cs="Tahoma"/>
          <w:sz w:val="21"/>
          <w:szCs w:val="21"/>
        </w:rPr>
      </w:pPr>
      <w:r w:rsidRPr="00CA4352">
        <w:rPr>
          <w:rFonts w:cs="Tahoma"/>
          <w:b/>
          <w:sz w:val="21"/>
          <w:szCs w:val="21"/>
        </w:rPr>
        <w:t>Quantidade de Debêntures</w:t>
      </w:r>
      <w:r w:rsidRPr="00CA4352">
        <w:rPr>
          <w:rFonts w:cs="Tahoma"/>
          <w:sz w:val="21"/>
          <w:szCs w:val="21"/>
        </w:rPr>
        <w:t xml:space="preserve">: Serão emitidas 400.000 (quatrocentas mil) Debêntures, </w:t>
      </w:r>
      <w:r w:rsidR="00710E03" w:rsidRPr="00CA4352">
        <w:rPr>
          <w:rFonts w:cs="Tahoma"/>
          <w:sz w:val="21"/>
          <w:szCs w:val="21"/>
        </w:rPr>
        <w:t xml:space="preserve">na Data de Emissão, </w:t>
      </w:r>
      <w:r w:rsidR="005E534B" w:rsidRPr="00CA4352">
        <w:rPr>
          <w:rFonts w:cs="Tahoma"/>
          <w:sz w:val="21"/>
          <w:szCs w:val="21"/>
        </w:rPr>
        <w:t xml:space="preserve">sendo </w:t>
      </w:r>
      <w:r w:rsidR="00EC6446" w:rsidRPr="00CA4352">
        <w:rPr>
          <w:rFonts w:cs="Tahoma"/>
          <w:b/>
          <w:sz w:val="21"/>
          <w:szCs w:val="21"/>
        </w:rPr>
        <w:t>(i)</w:t>
      </w:r>
      <w:r w:rsidR="00B35451" w:rsidRPr="00CA4352">
        <w:rPr>
          <w:rFonts w:cs="Tahoma"/>
          <w:sz w:val="21"/>
          <w:szCs w:val="21"/>
        </w:rPr>
        <w:t xml:space="preserve"> </w:t>
      </w:r>
      <w:r w:rsidR="005E534B" w:rsidRPr="00CA4352">
        <w:rPr>
          <w:rFonts w:cs="Tahoma"/>
          <w:sz w:val="21"/>
          <w:szCs w:val="21"/>
        </w:rPr>
        <w:t xml:space="preserve">75.000 (setenta e cinco mil) Debêntures da Primeira Série; e </w:t>
      </w:r>
      <w:r w:rsidR="00B35451" w:rsidRPr="00CA4352">
        <w:rPr>
          <w:rFonts w:cs="Tahoma"/>
          <w:b/>
          <w:sz w:val="21"/>
          <w:szCs w:val="21"/>
        </w:rPr>
        <w:t>(</w:t>
      </w:r>
      <w:proofErr w:type="spellStart"/>
      <w:r w:rsidR="00B35451" w:rsidRPr="00CA4352">
        <w:rPr>
          <w:rFonts w:cs="Tahoma"/>
          <w:b/>
          <w:sz w:val="21"/>
          <w:szCs w:val="21"/>
        </w:rPr>
        <w:t>ii</w:t>
      </w:r>
      <w:proofErr w:type="spellEnd"/>
      <w:r w:rsidR="00B35451" w:rsidRPr="00CA4352">
        <w:rPr>
          <w:rFonts w:cs="Tahoma"/>
          <w:b/>
          <w:sz w:val="21"/>
          <w:szCs w:val="21"/>
        </w:rPr>
        <w:t>)</w:t>
      </w:r>
      <w:r w:rsidR="00B35451" w:rsidRPr="00CA4352">
        <w:rPr>
          <w:rFonts w:cs="Tahoma"/>
          <w:sz w:val="21"/>
          <w:szCs w:val="21"/>
        </w:rPr>
        <w:t xml:space="preserve"> </w:t>
      </w:r>
      <w:r w:rsidR="005E534B" w:rsidRPr="00CA4352">
        <w:rPr>
          <w:rFonts w:cs="Tahoma"/>
          <w:sz w:val="21"/>
          <w:szCs w:val="21"/>
        </w:rPr>
        <w:t>325.000 (trezentas e vinte e cinco mil) Debêntures da Segunda Série.</w:t>
      </w:r>
    </w:p>
    <w:p w14:paraId="5506195D" w14:textId="77777777" w:rsidR="00B5061D" w:rsidRPr="00CA4352" w:rsidRDefault="00B5061D" w:rsidP="002D43C4">
      <w:pPr>
        <w:pStyle w:val="Texto-MattosFilho"/>
        <w:spacing w:line="316" w:lineRule="exact"/>
        <w:ind w:left="1843"/>
        <w:rPr>
          <w:rFonts w:cs="Tahoma"/>
          <w:sz w:val="21"/>
          <w:szCs w:val="21"/>
        </w:rPr>
      </w:pPr>
    </w:p>
    <w:p w14:paraId="6607D927" w14:textId="77777777" w:rsidR="003B081D" w:rsidRPr="00CA4352" w:rsidRDefault="003B081D" w:rsidP="002D43C4">
      <w:pPr>
        <w:pStyle w:val="Texto-MattosFilho"/>
        <w:numPr>
          <w:ilvl w:val="0"/>
          <w:numId w:val="7"/>
        </w:numPr>
        <w:spacing w:line="316" w:lineRule="exact"/>
        <w:ind w:left="1843" w:hanging="709"/>
        <w:rPr>
          <w:rFonts w:cs="Tahoma"/>
          <w:sz w:val="21"/>
          <w:szCs w:val="21"/>
        </w:rPr>
      </w:pPr>
      <w:r w:rsidRPr="00CA4352">
        <w:rPr>
          <w:rFonts w:cs="Tahoma"/>
          <w:b/>
          <w:sz w:val="21"/>
          <w:szCs w:val="21"/>
        </w:rPr>
        <w:lastRenderedPageBreak/>
        <w:t>Valor Nominal Unitário</w:t>
      </w:r>
      <w:r w:rsidRPr="00CA4352">
        <w:rPr>
          <w:rFonts w:cs="Tahoma"/>
          <w:sz w:val="21"/>
          <w:szCs w:val="21"/>
        </w:rPr>
        <w:t xml:space="preserve">: </w:t>
      </w:r>
      <w:r w:rsidR="009761A0" w:rsidRPr="00CA4352">
        <w:rPr>
          <w:rFonts w:cs="Tahoma"/>
          <w:sz w:val="21"/>
          <w:szCs w:val="21"/>
        </w:rPr>
        <w:t>O Valor Nominal Unitário das Debêntures será de R$1.000,00 (mil reais), na Data de Emissão (“</w:t>
      </w:r>
      <w:r w:rsidR="009761A0" w:rsidRPr="00CA4352">
        <w:rPr>
          <w:rFonts w:cs="Tahoma"/>
          <w:sz w:val="21"/>
          <w:szCs w:val="21"/>
          <w:u w:val="single"/>
        </w:rPr>
        <w:t>Valor Nominal Unitário</w:t>
      </w:r>
      <w:r w:rsidR="009761A0" w:rsidRPr="00CA4352">
        <w:rPr>
          <w:rFonts w:cs="Tahoma"/>
          <w:sz w:val="21"/>
          <w:szCs w:val="21"/>
        </w:rPr>
        <w:t xml:space="preserve">”). </w:t>
      </w:r>
    </w:p>
    <w:p w14:paraId="56229B3D" w14:textId="77777777" w:rsidR="00B5061D" w:rsidRPr="00CA4352" w:rsidRDefault="00B5061D" w:rsidP="002D43C4">
      <w:pPr>
        <w:pStyle w:val="Texto-MattosFilho"/>
        <w:spacing w:line="316" w:lineRule="exact"/>
        <w:ind w:left="1843"/>
        <w:rPr>
          <w:rFonts w:cs="Tahoma"/>
          <w:sz w:val="21"/>
          <w:szCs w:val="21"/>
        </w:rPr>
      </w:pPr>
    </w:p>
    <w:p w14:paraId="0FE27FE3" w14:textId="18CE313D" w:rsidR="00710E03" w:rsidRPr="00CA4352" w:rsidRDefault="003B081D" w:rsidP="002D43C4">
      <w:pPr>
        <w:pStyle w:val="Texto-MattosFilho"/>
        <w:numPr>
          <w:ilvl w:val="0"/>
          <w:numId w:val="7"/>
        </w:numPr>
        <w:spacing w:line="316" w:lineRule="exact"/>
        <w:ind w:left="1843" w:hanging="709"/>
        <w:rPr>
          <w:rFonts w:cs="Tahoma"/>
          <w:sz w:val="21"/>
          <w:szCs w:val="21"/>
        </w:rPr>
      </w:pPr>
      <w:r w:rsidRPr="00CA4352">
        <w:rPr>
          <w:rFonts w:cs="Tahoma"/>
          <w:b/>
          <w:sz w:val="21"/>
          <w:szCs w:val="21"/>
        </w:rPr>
        <w:t xml:space="preserve">Forma e </w:t>
      </w:r>
      <w:r w:rsidR="00710E03" w:rsidRPr="00CA4352">
        <w:rPr>
          <w:rFonts w:cs="Tahoma"/>
          <w:b/>
          <w:sz w:val="21"/>
          <w:szCs w:val="21"/>
        </w:rPr>
        <w:t xml:space="preserve">Emissão de Certificados: </w:t>
      </w:r>
      <w:r w:rsidR="00710E03" w:rsidRPr="00CA4352">
        <w:rPr>
          <w:rFonts w:cs="Tahoma"/>
          <w:sz w:val="21"/>
          <w:szCs w:val="21"/>
        </w:rPr>
        <w:t>As Debêntures serão emitidas na forma nominativa e escritural, sem a emissão de cautelas ou certificados.</w:t>
      </w:r>
    </w:p>
    <w:p w14:paraId="7F50E7AD" w14:textId="77777777" w:rsidR="00710E03" w:rsidRPr="00CA4352" w:rsidRDefault="00710E03" w:rsidP="002D43C4">
      <w:pPr>
        <w:spacing w:line="316" w:lineRule="exact"/>
        <w:rPr>
          <w:rFonts w:cs="Tahoma"/>
          <w:b/>
          <w:sz w:val="21"/>
          <w:szCs w:val="21"/>
        </w:rPr>
      </w:pPr>
    </w:p>
    <w:p w14:paraId="08AA467C" w14:textId="6F97BD46" w:rsidR="003B081D" w:rsidRPr="00CA4352" w:rsidRDefault="003B081D" w:rsidP="002D43C4">
      <w:pPr>
        <w:pStyle w:val="Texto-MattosFilho"/>
        <w:numPr>
          <w:ilvl w:val="0"/>
          <w:numId w:val="7"/>
        </w:numPr>
        <w:spacing w:line="316" w:lineRule="exact"/>
        <w:ind w:left="1843" w:hanging="709"/>
        <w:rPr>
          <w:rFonts w:cs="Tahoma"/>
          <w:sz w:val="21"/>
          <w:szCs w:val="21"/>
        </w:rPr>
      </w:pPr>
      <w:r w:rsidRPr="00CA4352">
        <w:rPr>
          <w:rFonts w:cs="Tahoma"/>
          <w:b/>
          <w:sz w:val="21"/>
          <w:szCs w:val="21"/>
        </w:rPr>
        <w:t>Comprovação de Titularidade</w:t>
      </w:r>
      <w:r w:rsidRPr="00CA4352">
        <w:rPr>
          <w:rFonts w:cs="Tahoma"/>
          <w:sz w:val="21"/>
          <w:szCs w:val="21"/>
        </w:rPr>
        <w:t xml:space="preserve">: </w:t>
      </w:r>
      <w:r w:rsidR="00DC13B9" w:rsidRPr="00CA4352">
        <w:rPr>
          <w:rFonts w:cs="Tahoma"/>
          <w:sz w:val="21"/>
          <w:szCs w:val="21"/>
        </w:rPr>
        <w:t xml:space="preserve">A </w:t>
      </w:r>
      <w:r w:rsidR="001F0627" w:rsidRPr="00CA4352">
        <w:rPr>
          <w:rFonts w:cs="Tahoma"/>
          <w:sz w:val="21"/>
          <w:szCs w:val="21"/>
        </w:rPr>
        <w:t>Companhia</w:t>
      </w:r>
      <w:r w:rsidR="00DC13B9" w:rsidRPr="00CA4352">
        <w:rPr>
          <w:rFonts w:cs="Tahoma"/>
          <w:sz w:val="21"/>
          <w:szCs w:val="21"/>
        </w:rPr>
        <w:t xml:space="preserve"> não emitirá certificados de Debêntures. Para todos os fins de direito, a titularidade das Debêntures será comprovada pelo extrato emitido pelo </w:t>
      </w:r>
      <w:proofErr w:type="spellStart"/>
      <w:r w:rsidR="00DC13B9" w:rsidRPr="00CA4352">
        <w:rPr>
          <w:rFonts w:cs="Tahoma"/>
          <w:sz w:val="21"/>
          <w:szCs w:val="21"/>
        </w:rPr>
        <w:t>Escriturador</w:t>
      </w:r>
      <w:proofErr w:type="spellEnd"/>
      <w:r w:rsidR="00DC13B9" w:rsidRPr="00CA4352">
        <w:rPr>
          <w:rFonts w:cs="Tahoma"/>
          <w:sz w:val="21"/>
          <w:szCs w:val="21"/>
        </w:rPr>
        <w:t>. Adicionalmente, as Debêntures custodiadas eletronicamente na B3 S.A. – Brasil, Bolsa e Balcão – Segmento CETIP UTVM (“</w:t>
      </w:r>
      <w:r w:rsidR="00DC13B9" w:rsidRPr="00CA4352">
        <w:rPr>
          <w:rFonts w:cs="Tahoma"/>
          <w:sz w:val="21"/>
          <w:szCs w:val="21"/>
          <w:u w:val="single"/>
        </w:rPr>
        <w:t>B3</w:t>
      </w:r>
      <w:r w:rsidR="00DC13B9" w:rsidRPr="00CA4352">
        <w:rPr>
          <w:rFonts w:cs="Tahoma"/>
          <w:sz w:val="21"/>
          <w:szCs w:val="21"/>
        </w:rPr>
        <w:t>”) terão sua titularidade comprovada pelo extrato em nome dos Debenturistas emitido pela B3.</w:t>
      </w:r>
    </w:p>
    <w:p w14:paraId="075EB5ED" w14:textId="77777777" w:rsidR="00B5061D" w:rsidRPr="00CA4352" w:rsidRDefault="00B5061D" w:rsidP="002D43C4">
      <w:pPr>
        <w:pStyle w:val="Texto-MattosFilho"/>
        <w:spacing w:line="316" w:lineRule="exact"/>
        <w:ind w:left="1843"/>
        <w:rPr>
          <w:rFonts w:cs="Tahoma"/>
          <w:sz w:val="21"/>
          <w:szCs w:val="21"/>
        </w:rPr>
      </w:pPr>
    </w:p>
    <w:p w14:paraId="57760563" w14:textId="77777777" w:rsidR="003B081D" w:rsidRPr="00CA4352" w:rsidRDefault="00046EA9" w:rsidP="002D43C4">
      <w:pPr>
        <w:pStyle w:val="Texto-MattosFilho"/>
        <w:numPr>
          <w:ilvl w:val="0"/>
          <w:numId w:val="7"/>
        </w:numPr>
        <w:spacing w:line="316" w:lineRule="exact"/>
        <w:ind w:left="1843" w:hanging="709"/>
        <w:rPr>
          <w:rFonts w:cs="Tahoma"/>
          <w:sz w:val="21"/>
          <w:szCs w:val="21"/>
        </w:rPr>
      </w:pPr>
      <w:r w:rsidRPr="00CA4352">
        <w:rPr>
          <w:rFonts w:cs="Tahoma"/>
          <w:b/>
          <w:sz w:val="21"/>
          <w:szCs w:val="21"/>
        </w:rPr>
        <w:t xml:space="preserve">Tipo e </w:t>
      </w:r>
      <w:r w:rsidR="003B081D" w:rsidRPr="00CA4352">
        <w:rPr>
          <w:rFonts w:cs="Tahoma"/>
          <w:b/>
          <w:sz w:val="21"/>
          <w:szCs w:val="21"/>
        </w:rPr>
        <w:t>Conversibilidade</w:t>
      </w:r>
      <w:r w:rsidR="003B081D" w:rsidRPr="00CA4352">
        <w:rPr>
          <w:rFonts w:cs="Tahoma"/>
          <w:sz w:val="21"/>
          <w:szCs w:val="21"/>
        </w:rPr>
        <w:t xml:space="preserve">: </w:t>
      </w:r>
      <w:r w:rsidR="0006241F" w:rsidRPr="00CA4352">
        <w:rPr>
          <w:rFonts w:cs="Tahoma"/>
          <w:sz w:val="21"/>
          <w:szCs w:val="21"/>
        </w:rPr>
        <w:t xml:space="preserve">As Debêntures serão simples, não sendo, portanto, conversíveis em ações de emissão da </w:t>
      </w:r>
      <w:r w:rsidR="001F0627" w:rsidRPr="00CA4352">
        <w:rPr>
          <w:rFonts w:cs="Tahoma"/>
          <w:sz w:val="21"/>
          <w:szCs w:val="21"/>
        </w:rPr>
        <w:t>Companhia</w:t>
      </w:r>
      <w:r w:rsidR="0006241F" w:rsidRPr="00CA4352">
        <w:rPr>
          <w:rFonts w:cs="Tahoma"/>
          <w:sz w:val="21"/>
          <w:szCs w:val="21"/>
        </w:rPr>
        <w:t>.</w:t>
      </w:r>
    </w:p>
    <w:p w14:paraId="65B97AF5" w14:textId="77777777" w:rsidR="0006241F" w:rsidRPr="00CA4352" w:rsidRDefault="0006241F" w:rsidP="002D43C4">
      <w:pPr>
        <w:pStyle w:val="Texto-MattosFilho"/>
        <w:spacing w:line="316" w:lineRule="exact"/>
        <w:ind w:left="1843"/>
        <w:rPr>
          <w:rFonts w:cs="Tahoma"/>
          <w:sz w:val="21"/>
          <w:szCs w:val="21"/>
        </w:rPr>
      </w:pPr>
    </w:p>
    <w:p w14:paraId="17AEFA99" w14:textId="2B451F4A" w:rsidR="0006241F" w:rsidRPr="00CA4352" w:rsidRDefault="0006241F" w:rsidP="002D43C4">
      <w:pPr>
        <w:pStyle w:val="Texto-MattosFilho"/>
        <w:numPr>
          <w:ilvl w:val="0"/>
          <w:numId w:val="7"/>
        </w:numPr>
        <w:spacing w:line="316" w:lineRule="exact"/>
        <w:ind w:left="1843" w:hanging="709"/>
        <w:rPr>
          <w:rFonts w:cs="Tahoma"/>
          <w:sz w:val="21"/>
          <w:szCs w:val="21"/>
        </w:rPr>
      </w:pPr>
      <w:r w:rsidRPr="00CA4352">
        <w:rPr>
          <w:rFonts w:cs="Tahoma"/>
          <w:b/>
          <w:sz w:val="21"/>
          <w:szCs w:val="21"/>
        </w:rPr>
        <w:t>Espécie</w:t>
      </w:r>
      <w:r w:rsidRPr="00CA4352">
        <w:rPr>
          <w:rFonts w:cs="Tahoma"/>
          <w:sz w:val="21"/>
          <w:szCs w:val="21"/>
        </w:rPr>
        <w:t>:</w:t>
      </w:r>
      <w:r w:rsidRPr="00CA4352">
        <w:rPr>
          <w:rFonts w:eastAsia="MS Mincho" w:cs="Tahoma"/>
          <w:sz w:val="21"/>
          <w:szCs w:val="21"/>
        </w:rPr>
        <w:t xml:space="preserve"> </w:t>
      </w:r>
      <w:r w:rsidRPr="00CA4352">
        <w:rPr>
          <w:rFonts w:cs="Tahoma"/>
          <w:sz w:val="21"/>
          <w:szCs w:val="21"/>
        </w:rPr>
        <w:t xml:space="preserve">As Debêntures serão da espécie quirografária, não gozando os Debenturistas de preferência em relação aos demais credores quirografários da </w:t>
      </w:r>
      <w:r w:rsidR="001F0627" w:rsidRPr="00CA4352">
        <w:rPr>
          <w:rFonts w:cs="Tahoma"/>
          <w:sz w:val="21"/>
          <w:szCs w:val="21"/>
        </w:rPr>
        <w:t>Companhia</w:t>
      </w:r>
      <w:r w:rsidRPr="00CA4352">
        <w:rPr>
          <w:rFonts w:cs="Tahoma"/>
          <w:sz w:val="21"/>
          <w:szCs w:val="21"/>
        </w:rPr>
        <w:t xml:space="preserve">, nos termos do artigo 58, </w:t>
      </w:r>
      <w:r w:rsidRPr="00CA4352">
        <w:rPr>
          <w:rFonts w:cs="Tahoma"/>
          <w:i/>
          <w:sz w:val="21"/>
          <w:szCs w:val="21"/>
        </w:rPr>
        <w:t>caput</w:t>
      </w:r>
      <w:r w:rsidRPr="00CA4352">
        <w:rPr>
          <w:rFonts w:cs="Tahoma"/>
          <w:sz w:val="21"/>
          <w:szCs w:val="21"/>
        </w:rPr>
        <w:t>, da Lei das Sociedades por Ações</w:t>
      </w:r>
      <w:r w:rsidR="005E534B" w:rsidRPr="00CA4352">
        <w:rPr>
          <w:rFonts w:cs="Tahoma"/>
          <w:sz w:val="21"/>
          <w:szCs w:val="21"/>
        </w:rPr>
        <w:t>. Adicionalmente, as Debêntures contarão</w:t>
      </w:r>
      <w:r w:rsidRPr="00CA4352">
        <w:rPr>
          <w:rFonts w:cs="Tahoma"/>
          <w:sz w:val="21"/>
          <w:szCs w:val="21"/>
        </w:rPr>
        <w:t xml:space="preserve"> com garantia adicional fidejussória representada pela Fiança</w:t>
      </w:r>
      <w:r w:rsidR="00126BBB" w:rsidRPr="00CA4352">
        <w:rPr>
          <w:rFonts w:cs="Tahoma"/>
          <w:sz w:val="21"/>
          <w:szCs w:val="21"/>
        </w:rPr>
        <w:t xml:space="preserve"> (conforme abaixo definida)</w:t>
      </w:r>
      <w:r w:rsidRPr="00CA4352">
        <w:rPr>
          <w:rFonts w:cs="Tahoma"/>
          <w:sz w:val="21"/>
          <w:szCs w:val="21"/>
        </w:rPr>
        <w:t>.</w:t>
      </w:r>
    </w:p>
    <w:p w14:paraId="2ED08125" w14:textId="77777777" w:rsidR="008C2AC1" w:rsidRPr="00CA4352" w:rsidRDefault="008C2AC1" w:rsidP="002D43C4">
      <w:pPr>
        <w:pStyle w:val="Texto-MattosFilho"/>
        <w:spacing w:line="316" w:lineRule="exact"/>
        <w:ind w:left="1843"/>
        <w:rPr>
          <w:rFonts w:cs="Tahoma"/>
          <w:sz w:val="21"/>
          <w:szCs w:val="21"/>
        </w:rPr>
      </w:pPr>
    </w:p>
    <w:p w14:paraId="0FF73FD0" w14:textId="4F4B42C8" w:rsidR="008C2AC1" w:rsidRPr="00CA4352" w:rsidRDefault="008C2AC1" w:rsidP="002D43C4">
      <w:pPr>
        <w:pStyle w:val="Texto-MattosFilho"/>
        <w:numPr>
          <w:ilvl w:val="0"/>
          <w:numId w:val="7"/>
        </w:numPr>
        <w:spacing w:line="316" w:lineRule="exact"/>
        <w:ind w:left="1843" w:hanging="709"/>
        <w:rPr>
          <w:rFonts w:cs="Tahoma"/>
          <w:sz w:val="21"/>
          <w:szCs w:val="21"/>
        </w:rPr>
      </w:pPr>
      <w:r w:rsidRPr="00CA4352">
        <w:rPr>
          <w:rFonts w:cs="Tahoma"/>
          <w:b/>
          <w:sz w:val="21"/>
          <w:szCs w:val="21"/>
        </w:rPr>
        <w:t>Distribuição, Negociação e Custódia Eletrônica</w:t>
      </w:r>
      <w:r w:rsidRPr="00CA4352">
        <w:rPr>
          <w:rFonts w:cs="Tahoma"/>
          <w:sz w:val="21"/>
          <w:szCs w:val="21"/>
        </w:rPr>
        <w:t xml:space="preserve">: As Debêntures serão depositadas para </w:t>
      </w:r>
      <w:r w:rsidRPr="00CA4352">
        <w:rPr>
          <w:rFonts w:cs="Tahoma"/>
          <w:b/>
          <w:sz w:val="21"/>
          <w:szCs w:val="21"/>
        </w:rPr>
        <w:t>(i)</w:t>
      </w:r>
      <w:r w:rsidRPr="00CA4352">
        <w:rPr>
          <w:rFonts w:cs="Tahoma"/>
          <w:sz w:val="21"/>
          <w:szCs w:val="21"/>
        </w:rPr>
        <w:t xml:space="preserve"> distribuição primária </w:t>
      </w:r>
      <w:r w:rsidR="008A5645" w:rsidRPr="00CA4352">
        <w:rPr>
          <w:rFonts w:cs="Tahoma"/>
          <w:sz w:val="21"/>
          <w:szCs w:val="21"/>
        </w:rPr>
        <w:t>por meio</w:t>
      </w:r>
      <w:r w:rsidRPr="00CA4352">
        <w:rPr>
          <w:rFonts w:cs="Tahoma"/>
          <w:sz w:val="21"/>
          <w:szCs w:val="21"/>
        </w:rPr>
        <w:t xml:space="preserve"> do MDA - Módulo de Distribuição de Ativos, administrado e operacionalizado pela B3</w:t>
      </w:r>
      <w:r w:rsidR="008A5645" w:rsidRPr="00CA4352">
        <w:rPr>
          <w:rFonts w:cs="Tahoma"/>
          <w:sz w:val="21"/>
          <w:szCs w:val="21"/>
        </w:rPr>
        <w:t xml:space="preserve"> S.A. – Brasil, Bolsa, Balcão – Segmento CETIP UTVM (“</w:t>
      </w:r>
      <w:r w:rsidR="008A5645" w:rsidRPr="00CA4352">
        <w:rPr>
          <w:rFonts w:cs="Tahoma"/>
          <w:sz w:val="21"/>
          <w:szCs w:val="21"/>
          <w:u w:val="single"/>
        </w:rPr>
        <w:t>B3</w:t>
      </w:r>
      <w:r w:rsidR="008A5645" w:rsidRPr="00CA4352">
        <w:rPr>
          <w:rFonts w:cs="Tahoma"/>
          <w:sz w:val="21"/>
          <w:szCs w:val="21"/>
        </w:rPr>
        <w:t>”)</w:t>
      </w:r>
      <w:r w:rsidRPr="00CA4352">
        <w:rPr>
          <w:rFonts w:cs="Tahoma"/>
          <w:sz w:val="21"/>
          <w:szCs w:val="21"/>
        </w:rPr>
        <w:t xml:space="preserve">, sendo a distribuição liquidada financeiramente por meio da B3; e </w:t>
      </w:r>
      <w:r w:rsidRPr="00CA4352">
        <w:rPr>
          <w:rFonts w:cs="Tahoma"/>
          <w:b/>
          <w:sz w:val="21"/>
          <w:szCs w:val="21"/>
        </w:rPr>
        <w:t>(</w:t>
      </w:r>
      <w:proofErr w:type="spellStart"/>
      <w:r w:rsidRPr="00CA4352">
        <w:rPr>
          <w:rFonts w:cs="Tahoma"/>
          <w:b/>
          <w:sz w:val="21"/>
          <w:szCs w:val="21"/>
        </w:rPr>
        <w:t>ii</w:t>
      </w:r>
      <w:proofErr w:type="spellEnd"/>
      <w:r w:rsidRPr="00CA4352">
        <w:rPr>
          <w:rFonts w:cs="Tahoma"/>
          <w:b/>
          <w:sz w:val="21"/>
          <w:szCs w:val="21"/>
        </w:rPr>
        <w:t>)</w:t>
      </w:r>
      <w:r w:rsidRPr="00CA4352">
        <w:rPr>
          <w:rFonts w:cs="Tahoma"/>
          <w:sz w:val="21"/>
          <w:szCs w:val="21"/>
        </w:rPr>
        <w:t xml:space="preserve"> negociação e custódia eletrônica no mercado secundário por meio do CETIP21 - Títulos e Valores Mobiliários</w:t>
      </w:r>
      <w:r w:rsidR="008A5645" w:rsidRPr="00CA4352">
        <w:rPr>
          <w:rFonts w:cs="Tahoma"/>
          <w:sz w:val="21"/>
          <w:szCs w:val="21"/>
        </w:rPr>
        <w:t xml:space="preserve"> (“</w:t>
      </w:r>
      <w:r w:rsidR="008A5645" w:rsidRPr="00CA4352">
        <w:rPr>
          <w:rFonts w:cs="Tahoma"/>
          <w:sz w:val="21"/>
          <w:szCs w:val="21"/>
          <w:u w:val="single"/>
        </w:rPr>
        <w:t>CETIP21</w:t>
      </w:r>
      <w:r w:rsidR="008A5645" w:rsidRPr="00CA4352">
        <w:rPr>
          <w:rFonts w:cs="Tahoma"/>
          <w:sz w:val="21"/>
          <w:szCs w:val="21"/>
        </w:rPr>
        <w:t>”)</w:t>
      </w:r>
      <w:r w:rsidRPr="00CA4352">
        <w:rPr>
          <w:rFonts w:cs="Tahoma"/>
          <w:sz w:val="21"/>
          <w:szCs w:val="21"/>
        </w:rPr>
        <w:t xml:space="preserve">, administrado e operacionalizado pela B3, sendo as negociações liquidadas financeiramente e as Debêntures custodiadas eletronicamente na B3. </w:t>
      </w:r>
    </w:p>
    <w:p w14:paraId="1B57BA19" w14:textId="77777777" w:rsidR="00B5061D" w:rsidRPr="00CA4352" w:rsidRDefault="00B5061D" w:rsidP="002D43C4">
      <w:pPr>
        <w:pStyle w:val="Texto-MattosFilho"/>
        <w:spacing w:line="316" w:lineRule="exact"/>
        <w:ind w:left="1843"/>
        <w:rPr>
          <w:rFonts w:cs="Tahoma"/>
          <w:sz w:val="21"/>
          <w:szCs w:val="21"/>
        </w:rPr>
      </w:pPr>
    </w:p>
    <w:p w14:paraId="0F8B1904" w14:textId="5410D155" w:rsidR="003B081D" w:rsidRPr="00CA4352" w:rsidRDefault="003B081D" w:rsidP="002D43C4">
      <w:pPr>
        <w:pStyle w:val="Texto-MattosFilho"/>
        <w:numPr>
          <w:ilvl w:val="0"/>
          <w:numId w:val="7"/>
        </w:numPr>
        <w:spacing w:line="316" w:lineRule="exact"/>
        <w:ind w:left="1843" w:hanging="709"/>
        <w:rPr>
          <w:rFonts w:cs="Tahoma"/>
          <w:sz w:val="21"/>
          <w:szCs w:val="21"/>
        </w:rPr>
      </w:pPr>
      <w:r w:rsidRPr="00CA4352">
        <w:rPr>
          <w:rFonts w:cs="Tahoma"/>
          <w:b/>
          <w:sz w:val="21"/>
          <w:szCs w:val="21"/>
        </w:rPr>
        <w:t>Prazo e Data de Vencimento</w:t>
      </w:r>
      <w:r w:rsidRPr="00CA4352">
        <w:rPr>
          <w:rFonts w:cs="Tahoma"/>
          <w:sz w:val="21"/>
          <w:szCs w:val="21"/>
        </w:rPr>
        <w:t xml:space="preserve">: </w:t>
      </w:r>
      <w:r w:rsidR="00D43CE8" w:rsidRPr="00CA4352">
        <w:rPr>
          <w:rFonts w:cs="Tahoma"/>
          <w:sz w:val="21"/>
          <w:szCs w:val="21"/>
        </w:rPr>
        <w:t>Ressalvadas as hipóteses de liquidação antecipada das Debêntures em razão de seu vencimento antecipado e/ou de Oferta de Resgate Antecipado Total, conforme aplicável, nos termos previstos n</w:t>
      </w:r>
      <w:r w:rsidR="001F0627" w:rsidRPr="00CA4352">
        <w:rPr>
          <w:rFonts w:cs="Tahoma"/>
          <w:sz w:val="21"/>
          <w:szCs w:val="21"/>
        </w:rPr>
        <w:t>a Escritura</w:t>
      </w:r>
      <w:r w:rsidR="008A5645" w:rsidRPr="00CA4352">
        <w:rPr>
          <w:rFonts w:cs="Tahoma"/>
          <w:sz w:val="21"/>
          <w:szCs w:val="21"/>
        </w:rPr>
        <w:t xml:space="preserve"> de Emissão</w:t>
      </w:r>
      <w:r w:rsidR="00D43CE8" w:rsidRPr="00CA4352">
        <w:rPr>
          <w:rFonts w:cs="Tahoma"/>
          <w:sz w:val="21"/>
          <w:szCs w:val="21"/>
        </w:rPr>
        <w:t xml:space="preserve">, o prazo de vencimento das Debêntures será de: </w:t>
      </w:r>
      <w:r w:rsidR="00D43CE8" w:rsidRPr="00CA4352">
        <w:rPr>
          <w:rFonts w:cs="Tahoma"/>
          <w:b/>
          <w:sz w:val="21"/>
          <w:szCs w:val="21"/>
        </w:rPr>
        <w:t>(i)</w:t>
      </w:r>
      <w:r w:rsidR="00D43CE8" w:rsidRPr="00CA4352">
        <w:rPr>
          <w:rFonts w:cs="Tahoma"/>
          <w:sz w:val="21"/>
          <w:szCs w:val="21"/>
        </w:rPr>
        <w:t xml:space="preserve"> </w:t>
      </w:r>
      <w:r w:rsidR="009A086C">
        <w:rPr>
          <w:rFonts w:cs="Tahoma"/>
          <w:sz w:val="21"/>
          <w:szCs w:val="21"/>
        </w:rPr>
        <w:t>1</w:t>
      </w:r>
      <w:r w:rsidR="00D43CE8" w:rsidRPr="00CA4352">
        <w:rPr>
          <w:rFonts w:cs="Tahoma"/>
          <w:sz w:val="21"/>
          <w:szCs w:val="21"/>
        </w:rPr>
        <w:t xml:space="preserve"> (</w:t>
      </w:r>
      <w:r w:rsidR="009A086C">
        <w:rPr>
          <w:rFonts w:cs="Tahoma"/>
          <w:sz w:val="21"/>
          <w:szCs w:val="21"/>
        </w:rPr>
        <w:t>um</w:t>
      </w:r>
      <w:r w:rsidR="00D43CE8" w:rsidRPr="00CA4352">
        <w:rPr>
          <w:rFonts w:cs="Tahoma"/>
          <w:sz w:val="21"/>
          <w:szCs w:val="21"/>
        </w:rPr>
        <w:t xml:space="preserve">) ano contado da Data de Emissão, </w:t>
      </w:r>
      <w:r w:rsidR="00710E03" w:rsidRPr="00CA4352">
        <w:rPr>
          <w:rFonts w:cs="Tahoma"/>
          <w:sz w:val="21"/>
          <w:szCs w:val="21"/>
        </w:rPr>
        <w:t xml:space="preserve">para as Debêntures da Primeira Série, </w:t>
      </w:r>
      <w:r w:rsidR="00D43CE8" w:rsidRPr="00CA4352">
        <w:rPr>
          <w:rFonts w:cs="Tahoma"/>
          <w:sz w:val="21"/>
          <w:szCs w:val="21"/>
        </w:rPr>
        <w:t xml:space="preserve">ocorrendo o vencimento, portanto, </w:t>
      </w:r>
      <w:r w:rsidR="00730DE3" w:rsidRPr="00CA4352">
        <w:rPr>
          <w:rFonts w:cs="Tahoma"/>
          <w:sz w:val="21"/>
          <w:szCs w:val="21"/>
        </w:rPr>
        <w:t>em</w:t>
      </w:r>
      <w:r w:rsidR="00D43CE8" w:rsidRPr="00CA4352">
        <w:rPr>
          <w:rFonts w:cs="Tahoma"/>
          <w:sz w:val="21"/>
          <w:szCs w:val="21"/>
        </w:rPr>
        <w:t xml:space="preserve"> </w:t>
      </w:r>
      <w:r w:rsidR="008A5645" w:rsidRPr="00CA4352">
        <w:rPr>
          <w:rFonts w:cs="Tahoma"/>
          <w:sz w:val="21"/>
          <w:szCs w:val="21"/>
        </w:rPr>
        <w:t xml:space="preserve">15 de abril de </w:t>
      </w:r>
      <w:r w:rsidR="00D43CE8" w:rsidRPr="00CA4352">
        <w:rPr>
          <w:rFonts w:cs="Tahoma"/>
          <w:sz w:val="21"/>
          <w:szCs w:val="21"/>
        </w:rPr>
        <w:t>202</w:t>
      </w:r>
      <w:r w:rsidR="009A086C">
        <w:rPr>
          <w:rFonts w:cs="Tahoma"/>
          <w:sz w:val="21"/>
          <w:szCs w:val="21"/>
        </w:rPr>
        <w:t>1</w:t>
      </w:r>
      <w:r w:rsidR="00D43CE8" w:rsidRPr="00CA4352">
        <w:rPr>
          <w:rFonts w:cs="Tahoma"/>
          <w:sz w:val="21"/>
          <w:szCs w:val="21"/>
        </w:rPr>
        <w:t xml:space="preserve"> (“</w:t>
      </w:r>
      <w:r w:rsidR="00D43CE8" w:rsidRPr="00CA4352">
        <w:rPr>
          <w:rFonts w:cs="Tahoma"/>
          <w:sz w:val="21"/>
          <w:szCs w:val="21"/>
          <w:u w:val="single"/>
        </w:rPr>
        <w:t>Data de Vencimento da Primeira Série</w:t>
      </w:r>
      <w:r w:rsidR="00D43CE8" w:rsidRPr="00CA4352">
        <w:rPr>
          <w:rFonts w:cs="Tahoma"/>
          <w:sz w:val="21"/>
          <w:szCs w:val="21"/>
        </w:rPr>
        <w:t xml:space="preserve">”); </w:t>
      </w:r>
      <w:r w:rsidR="00D43CE8" w:rsidRPr="00CA4352">
        <w:rPr>
          <w:rFonts w:cs="Tahoma"/>
          <w:b/>
          <w:sz w:val="21"/>
          <w:szCs w:val="21"/>
        </w:rPr>
        <w:t>(</w:t>
      </w:r>
      <w:proofErr w:type="spellStart"/>
      <w:r w:rsidR="00D43CE8" w:rsidRPr="00CA4352">
        <w:rPr>
          <w:rFonts w:cs="Tahoma"/>
          <w:b/>
          <w:sz w:val="21"/>
          <w:szCs w:val="21"/>
        </w:rPr>
        <w:t>ii</w:t>
      </w:r>
      <w:proofErr w:type="spellEnd"/>
      <w:r w:rsidR="00D43CE8" w:rsidRPr="00CA4352">
        <w:rPr>
          <w:rFonts w:cs="Tahoma"/>
          <w:b/>
          <w:sz w:val="21"/>
          <w:szCs w:val="21"/>
        </w:rPr>
        <w:t>)</w:t>
      </w:r>
      <w:r w:rsidR="00D43CE8" w:rsidRPr="00CA4352">
        <w:rPr>
          <w:rFonts w:cs="Tahoma"/>
          <w:sz w:val="21"/>
          <w:szCs w:val="21"/>
        </w:rPr>
        <w:t xml:space="preserve"> </w:t>
      </w:r>
      <w:r w:rsidR="009A086C">
        <w:rPr>
          <w:rFonts w:cs="Tahoma"/>
          <w:sz w:val="21"/>
          <w:szCs w:val="21"/>
        </w:rPr>
        <w:t>2</w:t>
      </w:r>
      <w:r w:rsidR="00D43CE8" w:rsidRPr="00CA4352">
        <w:rPr>
          <w:rFonts w:cs="Tahoma"/>
          <w:sz w:val="21"/>
          <w:szCs w:val="21"/>
        </w:rPr>
        <w:t xml:space="preserve"> (</w:t>
      </w:r>
      <w:r w:rsidR="009A086C">
        <w:rPr>
          <w:rFonts w:cs="Tahoma"/>
          <w:sz w:val="21"/>
          <w:szCs w:val="21"/>
        </w:rPr>
        <w:t>dois</w:t>
      </w:r>
      <w:r w:rsidR="00D43CE8" w:rsidRPr="00CA4352">
        <w:rPr>
          <w:rFonts w:cs="Tahoma"/>
          <w:sz w:val="21"/>
          <w:szCs w:val="21"/>
        </w:rPr>
        <w:t xml:space="preserve">) anos, contados da Data de Emissão, </w:t>
      </w:r>
      <w:r w:rsidR="00710E03" w:rsidRPr="00CA4352">
        <w:rPr>
          <w:rFonts w:cs="Tahoma"/>
          <w:sz w:val="21"/>
          <w:szCs w:val="21"/>
        </w:rPr>
        <w:t xml:space="preserve">para as Debêntures da Segunda Série, </w:t>
      </w:r>
      <w:r w:rsidR="00D43CE8" w:rsidRPr="00CA4352">
        <w:rPr>
          <w:rFonts w:cs="Tahoma"/>
          <w:sz w:val="21"/>
          <w:szCs w:val="21"/>
        </w:rPr>
        <w:t xml:space="preserve">ocorrendo o vencimento, portanto, </w:t>
      </w:r>
      <w:r w:rsidR="008A5645" w:rsidRPr="00CA4352">
        <w:rPr>
          <w:rFonts w:cs="Tahoma"/>
          <w:sz w:val="21"/>
          <w:szCs w:val="21"/>
        </w:rPr>
        <w:t>em 15 de abril de 202</w:t>
      </w:r>
      <w:r w:rsidR="009A086C">
        <w:rPr>
          <w:rFonts w:cs="Tahoma"/>
          <w:sz w:val="21"/>
          <w:szCs w:val="21"/>
        </w:rPr>
        <w:t xml:space="preserve">2 </w:t>
      </w:r>
      <w:r w:rsidR="00D43CE8" w:rsidRPr="00CA4352">
        <w:rPr>
          <w:rFonts w:cs="Tahoma"/>
          <w:sz w:val="21"/>
          <w:szCs w:val="21"/>
        </w:rPr>
        <w:t>(“</w:t>
      </w:r>
      <w:r w:rsidR="00D43CE8" w:rsidRPr="00CA4352">
        <w:rPr>
          <w:rFonts w:cs="Tahoma"/>
          <w:sz w:val="21"/>
          <w:szCs w:val="21"/>
          <w:u w:val="single"/>
        </w:rPr>
        <w:t xml:space="preserve">Data </w:t>
      </w:r>
      <w:r w:rsidR="00D43CE8" w:rsidRPr="00CA4352">
        <w:rPr>
          <w:rFonts w:cs="Tahoma"/>
          <w:sz w:val="21"/>
          <w:szCs w:val="21"/>
          <w:u w:val="single"/>
        </w:rPr>
        <w:lastRenderedPageBreak/>
        <w:t>de Vencimento da Segunda Série</w:t>
      </w:r>
      <w:r w:rsidR="00D43CE8" w:rsidRPr="00CA4352">
        <w:rPr>
          <w:rFonts w:cs="Tahoma"/>
          <w:sz w:val="21"/>
          <w:szCs w:val="21"/>
        </w:rPr>
        <w:t>”</w:t>
      </w:r>
      <w:r w:rsidR="008A5645" w:rsidRPr="00CA4352">
        <w:rPr>
          <w:rFonts w:cs="Tahoma"/>
          <w:sz w:val="21"/>
          <w:szCs w:val="21"/>
        </w:rPr>
        <w:t xml:space="preserve"> e, </w:t>
      </w:r>
      <w:r w:rsidR="00D43CE8" w:rsidRPr="00CA4352">
        <w:rPr>
          <w:rFonts w:cs="Tahoma"/>
          <w:sz w:val="21"/>
          <w:szCs w:val="21"/>
        </w:rPr>
        <w:t>em conjunto com a Data de Vencimento da Primeira Série, “</w:t>
      </w:r>
      <w:r w:rsidR="00D43CE8" w:rsidRPr="00CA4352">
        <w:rPr>
          <w:rFonts w:cs="Tahoma"/>
          <w:sz w:val="21"/>
          <w:szCs w:val="21"/>
          <w:u w:val="single"/>
        </w:rPr>
        <w:t>Data de Vencimento</w:t>
      </w:r>
      <w:r w:rsidR="00D43CE8" w:rsidRPr="00CA4352">
        <w:rPr>
          <w:rFonts w:cs="Tahoma"/>
          <w:sz w:val="21"/>
          <w:szCs w:val="21"/>
        </w:rPr>
        <w:t xml:space="preserve">”). </w:t>
      </w:r>
    </w:p>
    <w:p w14:paraId="03BA10C6" w14:textId="77777777" w:rsidR="00C53685" w:rsidRPr="00CA4352" w:rsidRDefault="00C53685" w:rsidP="002D43C4">
      <w:pPr>
        <w:pStyle w:val="Texto-MattosFilho"/>
        <w:spacing w:line="316" w:lineRule="exact"/>
        <w:ind w:left="1134"/>
        <w:rPr>
          <w:rFonts w:cs="Tahoma"/>
          <w:sz w:val="21"/>
          <w:szCs w:val="21"/>
        </w:rPr>
      </w:pPr>
    </w:p>
    <w:p w14:paraId="128E3C42" w14:textId="3AA1BFD0" w:rsidR="003B081D" w:rsidRPr="00CA4352" w:rsidRDefault="003B081D" w:rsidP="002D43C4">
      <w:pPr>
        <w:pStyle w:val="Texto-MattosFilho"/>
        <w:numPr>
          <w:ilvl w:val="0"/>
          <w:numId w:val="7"/>
        </w:numPr>
        <w:spacing w:line="316" w:lineRule="exact"/>
        <w:ind w:left="1843" w:hanging="709"/>
        <w:rPr>
          <w:rFonts w:cs="Tahoma"/>
          <w:sz w:val="21"/>
          <w:szCs w:val="21"/>
        </w:rPr>
      </w:pPr>
      <w:r w:rsidRPr="00CA4352">
        <w:rPr>
          <w:rFonts w:cs="Tahoma"/>
          <w:b/>
          <w:sz w:val="21"/>
          <w:szCs w:val="21"/>
        </w:rPr>
        <w:t>Colocação e Procedimento de Distribuição</w:t>
      </w:r>
      <w:r w:rsidRPr="00CA4352">
        <w:rPr>
          <w:rFonts w:cs="Tahoma"/>
          <w:sz w:val="21"/>
          <w:szCs w:val="21"/>
        </w:rPr>
        <w:t xml:space="preserve">: </w:t>
      </w:r>
      <w:r w:rsidR="00B424CF" w:rsidRPr="00CA4352">
        <w:rPr>
          <w:rFonts w:cs="Tahoma"/>
          <w:sz w:val="21"/>
          <w:szCs w:val="21"/>
        </w:rPr>
        <w:t xml:space="preserve">As Debêntures serão objeto de distribuição pública com esforços restritos de distribuição, nos termos da Instrução CVM 476, com a intermediação </w:t>
      </w:r>
      <w:r w:rsidR="00B35451" w:rsidRPr="00CA4352">
        <w:rPr>
          <w:rFonts w:cs="Tahoma"/>
          <w:sz w:val="21"/>
          <w:szCs w:val="21"/>
        </w:rPr>
        <w:t xml:space="preserve">dos </w:t>
      </w:r>
      <w:r w:rsidR="00C53685" w:rsidRPr="00CA4352">
        <w:rPr>
          <w:rFonts w:cs="Tahoma"/>
          <w:sz w:val="21"/>
          <w:szCs w:val="21"/>
        </w:rPr>
        <w:t>Coordenadores</w:t>
      </w:r>
      <w:r w:rsidR="00B424CF" w:rsidRPr="00CA4352">
        <w:rPr>
          <w:rFonts w:cs="Tahoma"/>
          <w:sz w:val="21"/>
          <w:szCs w:val="21"/>
        </w:rPr>
        <w:t xml:space="preserve">, sob o regime de garantia firme de colocação, </w:t>
      </w:r>
      <w:bookmarkStart w:id="1" w:name="_DV_C77"/>
      <w:r w:rsidR="00B424CF" w:rsidRPr="00CA4352">
        <w:rPr>
          <w:rFonts w:cs="Tahoma"/>
          <w:sz w:val="21"/>
          <w:szCs w:val="21"/>
        </w:rPr>
        <w:t>conforme</w:t>
      </w:r>
      <w:bookmarkEnd w:id="1"/>
      <w:r w:rsidR="00B424CF" w:rsidRPr="00CA4352">
        <w:rPr>
          <w:rFonts w:cs="Tahoma"/>
          <w:sz w:val="21"/>
          <w:szCs w:val="21"/>
        </w:rPr>
        <w:t xml:space="preserve"> os termos e condições do </w:t>
      </w:r>
      <w:r w:rsidR="00835000" w:rsidRPr="00CA4352">
        <w:rPr>
          <w:rFonts w:cs="Tahoma"/>
          <w:sz w:val="21"/>
          <w:szCs w:val="21"/>
        </w:rPr>
        <w:t>“</w:t>
      </w:r>
      <w:r w:rsidR="00835000" w:rsidRPr="00CA4352">
        <w:rPr>
          <w:rFonts w:cs="Tahoma"/>
          <w:i/>
          <w:sz w:val="21"/>
          <w:szCs w:val="21"/>
        </w:rPr>
        <w:t xml:space="preserve">Contrato de Coordenação, Colocação e Distribuição Pública, com Esforços Restritos, sob o Regime de Garantia Firme de Colocação, de Debêntures Simples, Não Conversíveis em Ações, da Espécie Quirografária, com Garantia Fidejussória Adicional, em </w:t>
      </w:r>
      <w:r w:rsidR="00C53685" w:rsidRPr="00CA4352">
        <w:rPr>
          <w:rFonts w:cs="Tahoma"/>
          <w:i/>
          <w:sz w:val="21"/>
          <w:szCs w:val="21"/>
        </w:rPr>
        <w:t>2</w:t>
      </w:r>
      <w:r w:rsidR="00835000" w:rsidRPr="00CA4352">
        <w:rPr>
          <w:rFonts w:cs="Tahoma"/>
          <w:i/>
          <w:sz w:val="21"/>
          <w:szCs w:val="21"/>
        </w:rPr>
        <w:t xml:space="preserve"> (</w:t>
      </w:r>
      <w:r w:rsidR="00C53685" w:rsidRPr="00CA4352">
        <w:rPr>
          <w:rFonts w:cs="Tahoma"/>
          <w:i/>
          <w:sz w:val="21"/>
          <w:szCs w:val="21"/>
        </w:rPr>
        <w:t>Duas</w:t>
      </w:r>
      <w:r w:rsidR="000D5078" w:rsidRPr="00CA4352">
        <w:rPr>
          <w:rFonts w:cs="Tahoma"/>
          <w:i/>
          <w:sz w:val="21"/>
          <w:szCs w:val="21"/>
        </w:rPr>
        <w:t>)</w:t>
      </w:r>
      <w:r w:rsidR="00835000" w:rsidRPr="00CA4352">
        <w:rPr>
          <w:rFonts w:cs="Tahoma"/>
          <w:i/>
          <w:sz w:val="21"/>
          <w:szCs w:val="21"/>
        </w:rPr>
        <w:t xml:space="preserve"> Séries, da 1</w:t>
      </w:r>
      <w:r w:rsidR="00C53685" w:rsidRPr="00CA4352">
        <w:rPr>
          <w:rFonts w:cs="Tahoma"/>
          <w:i/>
          <w:sz w:val="21"/>
          <w:szCs w:val="21"/>
        </w:rPr>
        <w:t>8</w:t>
      </w:r>
      <w:r w:rsidR="00835000" w:rsidRPr="00CA4352">
        <w:rPr>
          <w:rFonts w:cs="Tahoma"/>
          <w:i/>
          <w:sz w:val="21"/>
          <w:szCs w:val="21"/>
        </w:rPr>
        <w:t xml:space="preserve">ª (Décima </w:t>
      </w:r>
      <w:r w:rsidR="00C53685" w:rsidRPr="00CA4352">
        <w:rPr>
          <w:rFonts w:cs="Tahoma"/>
          <w:i/>
          <w:sz w:val="21"/>
          <w:szCs w:val="21"/>
        </w:rPr>
        <w:t>Oitava</w:t>
      </w:r>
      <w:r w:rsidR="00835000" w:rsidRPr="00CA4352">
        <w:rPr>
          <w:rFonts w:cs="Tahoma"/>
          <w:i/>
          <w:sz w:val="21"/>
          <w:szCs w:val="21"/>
        </w:rPr>
        <w:t>) Emissão da Light Serviços de Eletricidade S.A.</w:t>
      </w:r>
      <w:r w:rsidR="00835000" w:rsidRPr="00CA4352">
        <w:rPr>
          <w:rFonts w:cs="Tahoma"/>
          <w:sz w:val="21"/>
          <w:szCs w:val="21"/>
        </w:rPr>
        <w:t>”</w:t>
      </w:r>
      <w:r w:rsidR="00B424CF" w:rsidRPr="00CA4352">
        <w:rPr>
          <w:rFonts w:cs="Tahoma"/>
          <w:sz w:val="21"/>
          <w:szCs w:val="21"/>
        </w:rPr>
        <w:t xml:space="preserve"> a ser celebrado entre os Coordenadores, a </w:t>
      </w:r>
      <w:r w:rsidR="001F0627" w:rsidRPr="00CA4352">
        <w:rPr>
          <w:rFonts w:cs="Tahoma"/>
          <w:sz w:val="21"/>
          <w:szCs w:val="21"/>
        </w:rPr>
        <w:t>Companhia</w:t>
      </w:r>
      <w:r w:rsidR="00B424CF" w:rsidRPr="00CA4352">
        <w:rPr>
          <w:rFonts w:cs="Tahoma"/>
          <w:sz w:val="21"/>
          <w:szCs w:val="21"/>
        </w:rPr>
        <w:t xml:space="preserve"> e a Fiadora</w:t>
      </w:r>
      <w:r w:rsidR="00835000" w:rsidRPr="00CA4352">
        <w:rPr>
          <w:rFonts w:cs="Tahoma"/>
          <w:sz w:val="21"/>
          <w:szCs w:val="21"/>
        </w:rPr>
        <w:t xml:space="preserve"> (“</w:t>
      </w:r>
      <w:r w:rsidR="00835000" w:rsidRPr="00CA4352">
        <w:rPr>
          <w:rFonts w:cs="Tahoma"/>
          <w:sz w:val="21"/>
          <w:szCs w:val="21"/>
          <w:u w:val="single"/>
        </w:rPr>
        <w:t>Contrato de Distribuição</w:t>
      </w:r>
      <w:r w:rsidR="00835000" w:rsidRPr="00CA4352">
        <w:rPr>
          <w:rFonts w:cs="Tahoma"/>
          <w:sz w:val="21"/>
          <w:szCs w:val="21"/>
        </w:rPr>
        <w:t>”)</w:t>
      </w:r>
      <w:r w:rsidR="00B424CF" w:rsidRPr="00CA4352">
        <w:rPr>
          <w:rFonts w:cs="Tahoma"/>
          <w:sz w:val="21"/>
          <w:szCs w:val="21"/>
        </w:rPr>
        <w:t>.</w:t>
      </w:r>
      <w:r w:rsidR="00B424CF" w:rsidRPr="00CA4352">
        <w:rPr>
          <w:rFonts w:eastAsia="MS Mincho" w:cs="Tahoma"/>
          <w:sz w:val="21"/>
          <w:szCs w:val="21"/>
        </w:rPr>
        <w:t xml:space="preserve"> </w:t>
      </w:r>
      <w:r w:rsidR="00B424CF" w:rsidRPr="00CA4352">
        <w:rPr>
          <w:rFonts w:cs="Tahoma"/>
          <w:sz w:val="21"/>
          <w:szCs w:val="21"/>
        </w:rPr>
        <w:t>A colocação das Debêntures deverá ser efetuada a partir da data de início de distribuição, observado o Contrato de Distribuição, o disposto nos artigos 7º</w:t>
      </w:r>
      <w:r w:rsidR="00B424CF" w:rsidRPr="00CA4352">
        <w:rPr>
          <w:rFonts w:cs="Tahoma"/>
          <w:sz w:val="21"/>
          <w:szCs w:val="21"/>
        </w:rPr>
        <w:noBreakHyphen/>
        <w:t>A e 8º, parágrafo 2º, da Instrução CVM 476.</w:t>
      </w:r>
    </w:p>
    <w:p w14:paraId="75AA6AB8" w14:textId="77777777" w:rsidR="00B5061D" w:rsidRPr="00CA4352" w:rsidRDefault="00B5061D" w:rsidP="002D43C4">
      <w:pPr>
        <w:pStyle w:val="Texto-MattosFilho"/>
        <w:spacing w:line="316" w:lineRule="exact"/>
        <w:ind w:left="1843"/>
        <w:rPr>
          <w:rFonts w:cs="Tahoma"/>
          <w:sz w:val="21"/>
          <w:szCs w:val="21"/>
        </w:rPr>
      </w:pPr>
    </w:p>
    <w:p w14:paraId="25CCFE45" w14:textId="491228A7" w:rsidR="003B081D" w:rsidRPr="00CA4352" w:rsidRDefault="003B081D" w:rsidP="002D43C4">
      <w:pPr>
        <w:pStyle w:val="Texto-MattosFilho"/>
        <w:numPr>
          <w:ilvl w:val="0"/>
          <w:numId w:val="7"/>
        </w:numPr>
        <w:spacing w:line="316" w:lineRule="exact"/>
        <w:ind w:left="1843" w:hanging="709"/>
        <w:rPr>
          <w:rFonts w:cs="Tahoma"/>
          <w:sz w:val="21"/>
          <w:szCs w:val="21"/>
        </w:rPr>
      </w:pPr>
      <w:r w:rsidRPr="00CA4352">
        <w:rPr>
          <w:rFonts w:cs="Tahoma"/>
          <w:b/>
          <w:sz w:val="21"/>
          <w:szCs w:val="21"/>
        </w:rPr>
        <w:t>Garantia</w:t>
      </w:r>
      <w:r w:rsidR="00C53685" w:rsidRPr="00CA4352">
        <w:rPr>
          <w:rFonts w:cs="Tahoma"/>
          <w:b/>
          <w:sz w:val="21"/>
          <w:szCs w:val="21"/>
        </w:rPr>
        <w:t xml:space="preserve"> Fidejussória</w:t>
      </w:r>
      <w:r w:rsidRPr="00CA4352">
        <w:rPr>
          <w:rFonts w:cs="Tahoma"/>
          <w:sz w:val="21"/>
          <w:szCs w:val="21"/>
        </w:rPr>
        <w:t xml:space="preserve">: </w:t>
      </w:r>
      <w:r w:rsidR="00F06834" w:rsidRPr="00CA4352">
        <w:rPr>
          <w:rFonts w:cs="Tahoma"/>
          <w:sz w:val="21"/>
          <w:szCs w:val="21"/>
        </w:rPr>
        <w:t>Para assegurar o fiel, pontual e integral cumprimento das obrigações principais e acessórias assumidas n</w:t>
      </w:r>
      <w:r w:rsidR="001F0627" w:rsidRPr="00CA4352">
        <w:rPr>
          <w:rFonts w:cs="Tahoma"/>
          <w:sz w:val="21"/>
          <w:szCs w:val="21"/>
        </w:rPr>
        <w:t>a Escritura</w:t>
      </w:r>
      <w:r w:rsidR="00F06834" w:rsidRPr="00CA4352">
        <w:rPr>
          <w:rFonts w:cs="Tahoma"/>
          <w:sz w:val="21"/>
          <w:szCs w:val="21"/>
        </w:rPr>
        <w:t xml:space="preserve"> </w:t>
      </w:r>
      <w:r w:rsidR="00C53685" w:rsidRPr="00CA4352">
        <w:rPr>
          <w:rFonts w:cs="Tahoma"/>
          <w:sz w:val="21"/>
          <w:szCs w:val="21"/>
        </w:rPr>
        <w:t xml:space="preserve">de Emissão </w:t>
      </w:r>
      <w:r w:rsidR="00F06834" w:rsidRPr="00CA4352">
        <w:rPr>
          <w:rFonts w:cs="Tahoma"/>
          <w:sz w:val="21"/>
          <w:szCs w:val="21"/>
        </w:rPr>
        <w:t xml:space="preserve">pela </w:t>
      </w:r>
      <w:r w:rsidR="001F0627" w:rsidRPr="00CA4352">
        <w:rPr>
          <w:rFonts w:cs="Tahoma"/>
          <w:sz w:val="21"/>
          <w:szCs w:val="21"/>
        </w:rPr>
        <w:t>Companhia</w:t>
      </w:r>
      <w:r w:rsidR="00F06834" w:rsidRPr="00CA4352">
        <w:rPr>
          <w:rFonts w:cs="Tahoma"/>
          <w:sz w:val="21"/>
          <w:szCs w:val="21"/>
        </w:rPr>
        <w:t xml:space="preserve">, a </w:t>
      </w:r>
      <w:r w:rsidR="00D71761" w:rsidRPr="00CA4352">
        <w:rPr>
          <w:rFonts w:cs="Tahoma"/>
          <w:b/>
          <w:sz w:val="21"/>
          <w:szCs w:val="21"/>
        </w:rPr>
        <w:t>Light S.A.</w:t>
      </w:r>
      <w:r w:rsidR="005F63F8" w:rsidRPr="00CA4352">
        <w:rPr>
          <w:rFonts w:cs="Tahoma"/>
          <w:sz w:val="21"/>
          <w:szCs w:val="21"/>
        </w:rPr>
        <w:t>, sociedade por ações com registro de companhia aberta na CVM como categoria A, com sede na Cidade do Rio de Janeiro, Estado do Rio de Janeiro, na Avenida Marechal Floriano, nº 168, parte, 2º andar, Corredor A, Centro, CEP 20080-002, inscrita no CNPJ/ME sob o nº 03.378.521/0001-75 (“</w:t>
      </w:r>
      <w:r w:rsidR="005F63F8" w:rsidRPr="00CA4352">
        <w:rPr>
          <w:rFonts w:cs="Tahoma"/>
          <w:sz w:val="21"/>
          <w:szCs w:val="21"/>
          <w:u w:val="single"/>
        </w:rPr>
        <w:t>Fiadora</w:t>
      </w:r>
      <w:r w:rsidR="005F63F8" w:rsidRPr="00CA4352">
        <w:rPr>
          <w:rFonts w:cs="Tahoma"/>
          <w:sz w:val="21"/>
          <w:szCs w:val="21"/>
        </w:rPr>
        <w:t xml:space="preserve">”) </w:t>
      </w:r>
      <w:r w:rsidR="003D746B" w:rsidRPr="00CA4352">
        <w:rPr>
          <w:rFonts w:cs="Tahoma"/>
          <w:sz w:val="21"/>
          <w:szCs w:val="21"/>
        </w:rPr>
        <w:t>presta f</w:t>
      </w:r>
      <w:r w:rsidR="00F06834" w:rsidRPr="00CA4352">
        <w:rPr>
          <w:rFonts w:cs="Tahoma"/>
          <w:sz w:val="21"/>
          <w:szCs w:val="21"/>
        </w:rPr>
        <w:t xml:space="preserve">iança, por meio da Escritura de Emissão, em caráter irrevogável e irretratável, em favor dos Debenturistas, representados pelo Agente Fiduciário, obrigando-se, bem como a seus sucessores a qualquer título, como fiadora e principal pagadora, solidariamente responsável com a </w:t>
      </w:r>
      <w:r w:rsidR="001F0627" w:rsidRPr="00CA4352">
        <w:rPr>
          <w:rFonts w:cs="Tahoma"/>
          <w:sz w:val="21"/>
          <w:szCs w:val="21"/>
        </w:rPr>
        <w:t>Companhia</w:t>
      </w:r>
      <w:r w:rsidR="00F06834" w:rsidRPr="00CA4352">
        <w:rPr>
          <w:rFonts w:cs="Tahoma"/>
          <w:sz w:val="21"/>
          <w:szCs w:val="21"/>
        </w:rPr>
        <w:t xml:space="preserve">, pelo </w:t>
      </w:r>
      <w:r w:rsidR="00B35451" w:rsidRPr="00CA4352">
        <w:rPr>
          <w:rFonts w:cs="Tahoma"/>
          <w:sz w:val="21"/>
          <w:szCs w:val="21"/>
        </w:rPr>
        <w:t>v</w:t>
      </w:r>
      <w:r w:rsidR="00F06834" w:rsidRPr="00CA4352">
        <w:rPr>
          <w:rFonts w:cs="Tahoma"/>
          <w:sz w:val="21"/>
          <w:szCs w:val="21"/>
        </w:rPr>
        <w:t xml:space="preserve">alor </w:t>
      </w:r>
      <w:r w:rsidR="00B35451" w:rsidRPr="00CA4352">
        <w:rPr>
          <w:rFonts w:cs="Tahoma"/>
          <w:sz w:val="21"/>
          <w:szCs w:val="21"/>
        </w:rPr>
        <w:t xml:space="preserve">total das obrigações, principais ou acessórias, presentes e futuras, da </w:t>
      </w:r>
      <w:r w:rsidR="00411B02" w:rsidRPr="00CA4352">
        <w:rPr>
          <w:rFonts w:cs="Tahoma"/>
          <w:sz w:val="21"/>
          <w:szCs w:val="21"/>
        </w:rPr>
        <w:t>Companhia</w:t>
      </w:r>
      <w:r w:rsidR="00B35451" w:rsidRPr="00CA4352">
        <w:rPr>
          <w:rFonts w:cs="Tahoma"/>
          <w:sz w:val="21"/>
          <w:szCs w:val="21"/>
        </w:rPr>
        <w:t xml:space="preserve"> previstas </w:t>
      </w:r>
      <w:r w:rsidR="00710E03" w:rsidRPr="00CA4352">
        <w:rPr>
          <w:rFonts w:cs="Tahoma"/>
          <w:sz w:val="21"/>
          <w:szCs w:val="21"/>
        </w:rPr>
        <w:t>na</w:t>
      </w:r>
      <w:r w:rsidR="00B35451" w:rsidRPr="00CA4352">
        <w:rPr>
          <w:rFonts w:cs="Tahoma"/>
          <w:sz w:val="21"/>
          <w:szCs w:val="21"/>
        </w:rPr>
        <w:t xml:space="preserve"> Escritura de Emissão, que inclui: </w:t>
      </w:r>
      <w:r w:rsidR="00B35451" w:rsidRPr="00CA4352">
        <w:rPr>
          <w:rFonts w:cs="Tahoma"/>
          <w:b/>
          <w:sz w:val="21"/>
          <w:szCs w:val="21"/>
        </w:rPr>
        <w:t xml:space="preserve">(i) </w:t>
      </w:r>
      <w:r w:rsidR="00B35451" w:rsidRPr="00CA4352">
        <w:rPr>
          <w:rFonts w:cs="Tahoma"/>
          <w:sz w:val="21"/>
          <w:szCs w:val="21"/>
        </w:rPr>
        <w:t>o Valor Nominal Unitário das Debêntures, acrescido da respectiva Remuneração e dos Encargos Moratórios, calculados nos termos d</w:t>
      </w:r>
      <w:r w:rsidR="00710E03" w:rsidRPr="00CA4352">
        <w:rPr>
          <w:rFonts w:cs="Tahoma"/>
          <w:sz w:val="21"/>
          <w:szCs w:val="21"/>
        </w:rPr>
        <w:t>a Escritura</w:t>
      </w:r>
      <w:r w:rsidR="00B35451" w:rsidRPr="00CA4352">
        <w:rPr>
          <w:rFonts w:cs="Tahoma"/>
          <w:sz w:val="21"/>
          <w:szCs w:val="21"/>
        </w:rPr>
        <w:t xml:space="preserve"> de Emissão e/ou previstos nos demais documentos da Emissão, bem como </w:t>
      </w:r>
      <w:r w:rsidR="00B35451" w:rsidRPr="00CA4352">
        <w:rPr>
          <w:rFonts w:cs="Tahoma"/>
          <w:b/>
          <w:sz w:val="21"/>
          <w:szCs w:val="21"/>
        </w:rPr>
        <w:t>(</w:t>
      </w:r>
      <w:proofErr w:type="spellStart"/>
      <w:r w:rsidR="00B35451" w:rsidRPr="00CA4352">
        <w:rPr>
          <w:rFonts w:cs="Tahoma"/>
          <w:b/>
          <w:sz w:val="21"/>
          <w:szCs w:val="21"/>
        </w:rPr>
        <w:t>ii</w:t>
      </w:r>
      <w:proofErr w:type="spellEnd"/>
      <w:r w:rsidR="00B35451" w:rsidRPr="00CA4352">
        <w:rPr>
          <w:rFonts w:cs="Tahoma"/>
          <w:b/>
          <w:sz w:val="21"/>
          <w:szCs w:val="21"/>
        </w:rPr>
        <w:t>)</w:t>
      </w:r>
      <w:r w:rsidR="00B35451" w:rsidRPr="00CA4352">
        <w:rPr>
          <w:rFonts w:cs="Tahoma"/>
          <w:sz w:val="21"/>
          <w:szCs w:val="21"/>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w:t>
      </w:r>
      <w:r w:rsidR="00710E03" w:rsidRPr="00CA4352">
        <w:rPr>
          <w:rFonts w:cs="Tahoma"/>
          <w:sz w:val="21"/>
          <w:szCs w:val="21"/>
        </w:rPr>
        <w:t>a Escritura</w:t>
      </w:r>
      <w:r w:rsidR="00B35451" w:rsidRPr="00CA4352">
        <w:rPr>
          <w:rFonts w:cs="Tahoma"/>
          <w:sz w:val="21"/>
          <w:szCs w:val="21"/>
        </w:rPr>
        <w:t xml:space="preserve"> de Emissão e demais documentos da Emissão e suas posteriores alterações e verbas indenizatórias, quando houver, até o integral cumprimento de todas obrigações constantes n</w:t>
      </w:r>
      <w:r w:rsidR="00710E03" w:rsidRPr="00CA4352">
        <w:rPr>
          <w:rFonts w:cs="Tahoma"/>
          <w:sz w:val="21"/>
          <w:szCs w:val="21"/>
        </w:rPr>
        <w:t>a Escritura</w:t>
      </w:r>
      <w:r w:rsidR="00B35451" w:rsidRPr="00CA4352">
        <w:rPr>
          <w:rFonts w:cs="Tahoma"/>
          <w:sz w:val="21"/>
          <w:szCs w:val="21"/>
        </w:rPr>
        <w:t xml:space="preserve"> de Emissão e nos demais documentos da Emissão, sendo certo que não estão inclusos os valores relativos ao pagamento </w:t>
      </w:r>
      <w:r w:rsidR="00B35451" w:rsidRPr="00CA4352">
        <w:rPr>
          <w:rFonts w:cs="Tahoma"/>
          <w:b/>
          <w:sz w:val="21"/>
          <w:szCs w:val="21"/>
        </w:rPr>
        <w:t>(</w:t>
      </w:r>
      <w:r w:rsidR="0014078A" w:rsidRPr="00CA4352">
        <w:rPr>
          <w:rFonts w:cs="Tahoma"/>
          <w:b/>
          <w:sz w:val="21"/>
          <w:szCs w:val="21"/>
        </w:rPr>
        <w:t>1</w:t>
      </w:r>
      <w:r w:rsidR="00B35451" w:rsidRPr="00CA4352">
        <w:rPr>
          <w:rFonts w:cs="Tahoma"/>
          <w:b/>
          <w:sz w:val="21"/>
          <w:szCs w:val="21"/>
        </w:rPr>
        <w:t>)</w:t>
      </w:r>
      <w:r w:rsidR="00B35451" w:rsidRPr="00CA4352">
        <w:rPr>
          <w:rFonts w:cs="Tahoma"/>
          <w:sz w:val="21"/>
          <w:szCs w:val="21"/>
        </w:rPr>
        <w:t xml:space="preserve"> do Banco Liquidante; e </w:t>
      </w:r>
      <w:r w:rsidR="00B35451" w:rsidRPr="00CA4352">
        <w:rPr>
          <w:rFonts w:cs="Tahoma"/>
          <w:b/>
          <w:sz w:val="21"/>
          <w:szCs w:val="21"/>
        </w:rPr>
        <w:t>(</w:t>
      </w:r>
      <w:r w:rsidR="0014078A" w:rsidRPr="00CA4352">
        <w:rPr>
          <w:rFonts w:cs="Tahoma"/>
          <w:b/>
          <w:sz w:val="21"/>
          <w:szCs w:val="21"/>
        </w:rPr>
        <w:t>2</w:t>
      </w:r>
      <w:r w:rsidR="00B35451" w:rsidRPr="00CA4352">
        <w:rPr>
          <w:rFonts w:cs="Tahoma"/>
          <w:b/>
          <w:sz w:val="21"/>
          <w:szCs w:val="21"/>
        </w:rPr>
        <w:t>)</w:t>
      </w:r>
      <w:r w:rsidR="00B35451" w:rsidRPr="00CA4352">
        <w:rPr>
          <w:rFonts w:cs="Tahoma"/>
          <w:sz w:val="21"/>
          <w:szCs w:val="21"/>
        </w:rPr>
        <w:t xml:space="preserve"> do </w:t>
      </w:r>
      <w:proofErr w:type="spellStart"/>
      <w:r w:rsidR="00B35451" w:rsidRPr="00CA4352">
        <w:rPr>
          <w:rFonts w:cs="Tahoma"/>
          <w:sz w:val="21"/>
          <w:szCs w:val="21"/>
        </w:rPr>
        <w:t>Escriturador</w:t>
      </w:r>
      <w:proofErr w:type="spellEnd"/>
      <w:r w:rsidR="00B35451" w:rsidRPr="00CA4352">
        <w:rPr>
          <w:rFonts w:cs="Tahoma"/>
          <w:sz w:val="21"/>
          <w:szCs w:val="21"/>
        </w:rPr>
        <w:t>.</w:t>
      </w:r>
    </w:p>
    <w:p w14:paraId="382B3116" w14:textId="77777777" w:rsidR="00B5061D" w:rsidRPr="00CA4352" w:rsidRDefault="00B5061D" w:rsidP="002D43C4">
      <w:pPr>
        <w:pStyle w:val="Texto-MattosFilho"/>
        <w:spacing w:line="316" w:lineRule="exact"/>
        <w:ind w:left="1843"/>
        <w:rPr>
          <w:rFonts w:cs="Tahoma"/>
          <w:sz w:val="21"/>
          <w:szCs w:val="21"/>
        </w:rPr>
      </w:pPr>
    </w:p>
    <w:p w14:paraId="6C06E185" w14:textId="4C67FA22" w:rsidR="003B081D" w:rsidRPr="00CA4352" w:rsidRDefault="004B2678" w:rsidP="002D43C4">
      <w:pPr>
        <w:pStyle w:val="Texto-MattosFilho"/>
        <w:numPr>
          <w:ilvl w:val="0"/>
          <w:numId w:val="7"/>
        </w:numPr>
        <w:spacing w:line="316" w:lineRule="exact"/>
        <w:ind w:left="1843" w:hanging="709"/>
        <w:rPr>
          <w:rFonts w:cs="Tahoma"/>
          <w:sz w:val="21"/>
          <w:szCs w:val="21"/>
        </w:rPr>
      </w:pPr>
      <w:r w:rsidRPr="00CA4352">
        <w:rPr>
          <w:rFonts w:cs="Tahoma"/>
          <w:b/>
          <w:sz w:val="21"/>
          <w:szCs w:val="21"/>
        </w:rPr>
        <w:t>Atualização Monetária do Valor Nominal Unitário das Debêntures</w:t>
      </w:r>
      <w:r w:rsidR="003B081D" w:rsidRPr="00CA4352">
        <w:rPr>
          <w:rFonts w:cs="Tahoma"/>
          <w:sz w:val="21"/>
          <w:szCs w:val="21"/>
        </w:rPr>
        <w:t xml:space="preserve">: </w:t>
      </w:r>
      <w:r w:rsidRPr="00CA4352">
        <w:rPr>
          <w:rFonts w:cs="Tahoma"/>
          <w:sz w:val="21"/>
          <w:szCs w:val="21"/>
        </w:rPr>
        <w:t>Não haverá atualização monetária do Valor Nominal Unitário das Debêntures da Primeira Série</w:t>
      </w:r>
      <w:r w:rsidR="009367A3" w:rsidRPr="00CA4352">
        <w:rPr>
          <w:rFonts w:cs="Tahoma"/>
          <w:sz w:val="21"/>
          <w:szCs w:val="21"/>
        </w:rPr>
        <w:t xml:space="preserve"> ou </w:t>
      </w:r>
      <w:r w:rsidRPr="00CA4352">
        <w:rPr>
          <w:rFonts w:cs="Tahoma"/>
          <w:sz w:val="21"/>
          <w:szCs w:val="21"/>
        </w:rPr>
        <w:t xml:space="preserve">das Debêntures da Segunda Série. </w:t>
      </w:r>
    </w:p>
    <w:p w14:paraId="07BBE2CC" w14:textId="77777777" w:rsidR="00B5061D" w:rsidRPr="00CA4352" w:rsidRDefault="00B5061D" w:rsidP="002D43C4">
      <w:pPr>
        <w:pStyle w:val="Texto-MattosFilho"/>
        <w:spacing w:line="316" w:lineRule="exact"/>
        <w:rPr>
          <w:rFonts w:cs="Tahoma"/>
          <w:sz w:val="21"/>
          <w:szCs w:val="21"/>
        </w:rPr>
      </w:pPr>
    </w:p>
    <w:p w14:paraId="4DF8553F" w14:textId="69315A4D" w:rsidR="003B081D" w:rsidRPr="00CA4352" w:rsidRDefault="003B081D" w:rsidP="002D43C4">
      <w:pPr>
        <w:pStyle w:val="Texto-MattosFilho"/>
        <w:numPr>
          <w:ilvl w:val="0"/>
          <w:numId w:val="7"/>
        </w:numPr>
        <w:spacing w:line="316" w:lineRule="exact"/>
        <w:ind w:left="1843" w:hanging="709"/>
        <w:rPr>
          <w:rFonts w:cs="Tahoma"/>
          <w:sz w:val="21"/>
          <w:szCs w:val="21"/>
        </w:rPr>
      </w:pPr>
      <w:r w:rsidRPr="00CA4352">
        <w:rPr>
          <w:rFonts w:cs="Tahoma"/>
          <w:b/>
          <w:sz w:val="21"/>
          <w:szCs w:val="21"/>
        </w:rPr>
        <w:t>Remuneração das Debêntures da Primeira Série</w:t>
      </w:r>
      <w:r w:rsidRPr="00CA4352">
        <w:rPr>
          <w:rFonts w:cs="Tahoma"/>
          <w:sz w:val="21"/>
          <w:szCs w:val="21"/>
        </w:rPr>
        <w:t xml:space="preserve">: </w:t>
      </w:r>
      <w:r w:rsidR="00D03B94" w:rsidRPr="00CA4352">
        <w:rPr>
          <w:rFonts w:cs="Tahoma"/>
          <w:sz w:val="21"/>
          <w:szCs w:val="21"/>
        </w:rPr>
        <w:t xml:space="preserve">Sobre o Valor Nominal Unitário das Debêntures da Primeira Série incidirão juros remuneratórios correspondentes a 100% (cem por cento) da variação acumulada das taxas médias diárias dos DI – Depósitos Interfinanceiros de um dia, </w:t>
      </w:r>
      <w:r w:rsidR="00D03B94" w:rsidRPr="00CA4352">
        <w:rPr>
          <w:rFonts w:cs="Tahoma"/>
          <w:i/>
          <w:sz w:val="21"/>
          <w:szCs w:val="21"/>
        </w:rPr>
        <w:t>over extra grupo</w:t>
      </w:r>
      <w:r w:rsidR="00D03B94" w:rsidRPr="00CA4352">
        <w:rPr>
          <w:rFonts w:cs="Tahoma"/>
          <w:sz w:val="21"/>
          <w:szCs w:val="21"/>
        </w:rPr>
        <w:t>, na forma percentual ao ano, base 252 (duzentos e cinquenta e dois) Dias Úteis, calculadas e divulgadas diariamente pela B3, no informativo diário disponível em sua página na Internet (http://www.b3.com.br) (“</w:t>
      </w:r>
      <w:r w:rsidR="00D03B94" w:rsidRPr="00CA4352">
        <w:rPr>
          <w:rFonts w:cs="Tahoma"/>
          <w:sz w:val="21"/>
          <w:szCs w:val="21"/>
          <w:u w:val="single"/>
        </w:rPr>
        <w:t>Taxa DI</w:t>
      </w:r>
      <w:r w:rsidR="00D03B94" w:rsidRPr="00CA4352">
        <w:rPr>
          <w:rFonts w:cs="Tahoma"/>
          <w:sz w:val="21"/>
          <w:szCs w:val="21"/>
        </w:rPr>
        <w:t>”)</w:t>
      </w:r>
      <w:r w:rsidR="00D03B94" w:rsidRPr="00CA4352">
        <w:rPr>
          <w:rFonts w:cs="Tahoma"/>
          <w:bCs/>
          <w:sz w:val="21"/>
          <w:szCs w:val="21"/>
        </w:rPr>
        <w:t xml:space="preserve"> acrescida de sobretaxa correspondente a </w:t>
      </w:r>
      <w:r w:rsidR="009A086C">
        <w:rPr>
          <w:rFonts w:cs="Tahoma"/>
          <w:sz w:val="21"/>
          <w:szCs w:val="21"/>
        </w:rPr>
        <w:t>2</w:t>
      </w:r>
      <w:r w:rsidR="00D03B94" w:rsidRPr="00CA4352">
        <w:rPr>
          <w:rFonts w:cs="Tahoma"/>
          <w:sz w:val="21"/>
          <w:szCs w:val="21"/>
        </w:rPr>
        <w:t>,</w:t>
      </w:r>
      <w:r w:rsidR="009A086C">
        <w:rPr>
          <w:rFonts w:cs="Tahoma"/>
          <w:sz w:val="21"/>
          <w:szCs w:val="21"/>
        </w:rPr>
        <w:t>51</w:t>
      </w:r>
      <w:r w:rsidR="00D03B94" w:rsidRPr="00CA4352">
        <w:rPr>
          <w:rFonts w:cs="Tahoma"/>
          <w:sz w:val="21"/>
          <w:szCs w:val="21"/>
        </w:rPr>
        <w:t xml:space="preserve">% </w:t>
      </w:r>
      <w:r w:rsidR="00D03B94" w:rsidRPr="00CA4352">
        <w:rPr>
          <w:rFonts w:cs="Tahoma"/>
          <w:bCs/>
          <w:sz w:val="21"/>
          <w:szCs w:val="21"/>
        </w:rPr>
        <w:t>(</w:t>
      </w:r>
      <w:r w:rsidR="009A086C">
        <w:rPr>
          <w:rFonts w:cs="Tahoma"/>
          <w:bCs/>
          <w:sz w:val="21"/>
          <w:szCs w:val="21"/>
        </w:rPr>
        <w:t>dois inteiros e cinquenta e um</w:t>
      </w:r>
      <w:r w:rsidR="00D03B94" w:rsidRPr="00CA4352">
        <w:rPr>
          <w:rFonts w:cs="Tahoma"/>
          <w:bCs/>
          <w:sz w:val="21"/>
          <w:szCs w:val="21"/>
        </w:rPr>
        <w:t xml:space="preserve"> centésimos por cento) </w:t>
      </w:r>
      <w:r w:rsidR="00D03B94" w:rsidRPr="00CA4352">
        <w:rPr>
          <w:rFonts w:cs="Tahoma"/>
          <w:sz w:val="21"/>
          <w:szCs w:val="21"/>
        </w:rPr>
        <w:t>ao ano, base 252 (duzentos e cinquenta e dois) Dias Úteis (“</w:t>
      </w:r>
      <w:r w:rsidR="00D03B94" w:rsidRPr="00CA4352">
        <w:rPr>
          <w:rFonts w:cs="Tahoma"/>
          <w:sz w:val="21"/>
          <w:szCs w:val="21"/>
          <w:u w:val="single"/>
        </w:rPr>
        <w:t>Remuneração das Debêntures da Primeira Série</w:t>
      </w:r>
      <w:r w:rsidR="00D03B94" w:rsidRPr="00CA4352">
        <w:rPr>
          <w:rFonts w:cs="Tahoma"/>
          <w:sz w:val="21"/>
          <w:szCs w:val="21"/>
        </w:rPr>
        <w:t xml:space="preserve">”), a ser calculada de acordo com a fórmula prevista na Escritura de Emissão. A Remuneração das Debêntures da Primeira Série será calculada de forma exponencial e cumulativa </w:t>
      </w:r>
      <w:r w:rsidR="00D03B94" w:rsidRPr="00CA4352">
        <w:rPr>
          <w:rFonts w:cs="Tahoma"/>
          <w:i/>
          <w:sz w:val="21"/>
          <w:szCs w:val="21"/>
        </w:rPr>
        <w:t xml:space="preserve">pro rata </w:t>
      </w:r>
      <w:proofErr w:type="spellStart"/>
      <w:r w:rsidR="00D03B94" w:rsidRPr="00CA4352">
        <w:rPr>
          <w:rFonts w:cs="Tahoma"/>
          <w:i/>
          <w:sz w:val="21"/>
          <w:szCs w:val="21"/>
        </w:rPr>
        <w:t>temporis</w:t>
      </w:r>
      <w:proofErr w:type="spellEnd"/>
      <w:r w:rsidR="00D03B94" w:rsidRPr="00CA4352">
        <w:rPr>
          <w:rFonts w:cs="Tahoma"/>
          <w:sz w:val="21"/>
          <w:szCs w:val="21"/>
        </w:rPr>
        <w:t xml:space="preserve"> por Dias Úteis decorridos, desde a Data da Primeira Integralização das Debêntures da Primeira Série ou da Data de Pagamento da Remuneração das Debêntures da Primeira Série (conforme definida abaixo) imediatamente anterior, conforme o caso, até a próxima Data de Pagamento da Remuneração das Debêntures da Primeira Série. Ressalvadas as hipóteses de resgate antecipado das Debêntures da Primeira Série decorrente de Oferta de Resgate Antecipado Total, Aquisição Facultativa (conforme abaixo definida) e/ou de vencimento antecipado das obrigações decorrentes das Debêntures da Primeira Série, nos termos previstos n</w:t>
      </w:r>
      <w:r w:rsidR="001F0627" w:rsidRPr="00CA4352">
        <w:rPr>
          <w:rFonts w:cs="Tahoma"/>
          <w:sz w:val="21"/>
          <w:szCs w:val="21"/>
        </w:rPr>
        <w:t>a Escritura</w:t>
      </w:r>
      <w:r w:rsidR="009367A3" w:rsidRPr="00CA4352">
        <w:rPr>
          <w:rFonts w:cs="Tahoma"/>
          <w:sz w:val="21"/>
          <w:szCs w:val="21"/>
        </w:rPr>
        <w:t xml:space="preserve"> de Emissão</w:t>
      </w:r>
      <w:r w:rsidR="00D03B94" w:rsidRPr="00CA4352">
        <w:rPr>
          <w:rFonts w:cs="Tahoma"/>
          <w:sz w:val="21"/>
          <w:szCs w:val="21"/>
        </w:rPr>
        <w:t>, a Remuneração das Debêntures da Primeira Série será paga</w:t>
      </w:r>
      <w:r w:rsidR="00BA3EA2" w:rsidRPr="00CA4352">
        <w:rPr>
          <w:rFonts w:cs="Tahoma"/>
          <w:sz w:val="21"/>
          <w:szCs w:val="21"/>
        </w:rPr>
        <w:t xml:space="preserve"> </w:t>
      </w:r>
      <w:r w:rsidR="00BA4ADD" w:rsidRPr="00CA4352">
        <w:rPr>
          <w:rFonts w:cs="Tahoma"/>
          <w:sz w:val="21"/>
          <w:szCs w:val="21"/>
        </w:rPr>
        <w:t xml:space="preserve">semestralmente, </w:t>
      </w:r>
      <w:r w:rsidR="009F3AF2" w:rsidRPr="00CA4352">
        <w:rPr>
          <w:rFonts w:cs="Tahoma"/>
          <w:sz w:val="21"/>
          <w:szCs w:val="21"/>
        </w:rPr>
        <w:t xml:space="preserve">no dia 15 (quinze) dos meses de abril e outubro de cada ano, sendo o primeiro pagamento devido em 15 de outubro de 2020 e o último na Data de Vencimento da Primeira Série </w:t>
      </w:r>
      <w:r w:rsidR="00D03B94" w:rsidRPr="00CA4352">
        <w:rPr>
          <w:rFonts w:cs="Tahoma"/>
          <w:sz w:val="21"/>
          <w:szCs w:val="21"/>
        </w:rPr>
        <w:t>(“</w:t>
      </w:r>
      <w:r w:rsidR="00D03B94" w:rsidRPr="00CA4352">
        <w:rPr>
          <w:rFonts w:cs="Tahoma"/>
          <w:sz w:val="21"/>
          <w:szCs w:val="21"/>
          <w:u w:val="single"/>
        </w:rPr>
        <w:t>Data de Pagamento da Remuneração das Debêntures da Primeira Série</w:t>
      </w:r>
      <w:r w:rsidR="00D03B94" w:rsidRPr="00CA4352">
        <w:rPr>
          <w:rFonts w:cs="Tahoma"/>
          <w:sz w:val="21"/>
          <w:szCs w:val="21"/>
        </w:rPr>
        <w:t xml:space="preserve">”), conforme tabela prevista na Escritura de Emissão. </w:t>
      </w:r>
    </w:p>
    <w:p w14:paraId="4AEB2103" w14:textId="77777777" w:rsidR="00B5061D" w:rsidRPr="00CA4352" w:rsidRDefault="00B5061D" w:rsidP="002D43C4">
      <w:pPr>
        <w:pStyle w:val="Texto-MattosFilho"/>
        <w:spacing w:line="316" w:lineRule="exact"/>
        <w:ind w:left="1843"/>
        <w:rPr>
          <w:rFonts w:cs="Tahoma"/>
          <w:sz w:val="21"/>
          <w:szCs w:val="21"/>
        </w:rPr>
      </w:pPr>
    </w:p>
    <w:p w14:paraId="395E42BD" w14:textId="5AE623FE" w:rsidR="003B081D" w:rsidRPr="00CA4352" w:rsidRDefault="003B081D" w:rsidP="002D43C4">
      <w:pPr>
        <w:pStyle w:val="Texto-MattosFilho"/>
        <w:numPr>
          <w:ilvl w:val="0"/>
          <w:numId w:val="7"/>
        </w:numPr>
        <w:spacing w:line="316" w:lineRule="exact"/>
        <w:ind w:left="1843" w:hanging="709"/>
        <w:rPr>
          <w:rFonts w:cs="Tahoma"/>
          <w:sz w:val="21"/>
          <w:szCs w:val="21"/>
        </w:rPr>
      </w:pPr>
      <w:r w:rsidRPr="00CA4352">
        <w:rPr>
          <w:rFonts w:cs="Tahoma"/>
          <w:b/>
          <w:sz w:val="21"/>
          <w:szCs w:val="21"/>
        </w:rPr>
        <w:t>Remuneração das Debêntures da Segunda Série</w:t>
      </w:r>
      <w:r w:rsidRPr="00CA4352">
        <w:rPr>
          <w:rFonts w:cs="Tahoma"/>
          <w:sz w:val="21"/>
          <w:szCs w:val="21"/>
        </w:rPr>
        <w:t xml:space="preserve">: </w:t>
      </w:r>
      <w:r w:rsidR="00D03B94" w:rsidRPr="00CA4352">
        <w:rPr>
          <w:rFonts w:cs="Tahoma"/>
          <w:sz w:val="21"/>
          <w:szCs w:val="21"/>
        </w:rPr>
        <w:t xml:space="preserve">Sobre o Valor Nominal Unitário das Debêntures da Segunda Série incidirão juros remuneratórios correspondentes a 100% (cem por cento) da Taxa DI, acrescida de sobretaxa correspondente a </w:t>
      </w:r>
      <w:r w:rsidR="009A086C">
        <w:rPr>
          <w:rFonts w:cs="Tahoma"/>
          <w:sz w:val="21"/>
          <w:szCs w:val="21"/>
        </w:rPr>
        <w:t>2</w:t>
      </w:r>
      <w:r w:rsidR="00D03B94" w:rsidRPr="00CA4352">
        <w:rPr>
          <w:rFonts w:cs="Tahoma"/>
          <w:sz w:val="21"/>
          <w:szCs w:val="21"/>
        </w:rPr>
        <w:t>,</w:t>
      </w:r>
      <w:r w:rsidR="009A086C">
        <w:rPr>
          <w:rFonts w:cs="Tahoma"/>
          <w:sz w:val="21"/>
          <w:szCs w:val="21"/>
        </w:rPr>
        <w:t>0</w:t>
      </w:r>
      <w:r w:rsidR="00D03B94" w:rsidRPr="00CA4352">
        <w:rPr>
          <w:rFonts w:cs="Tahoma"/>
          <w:sz w:val="21"/>
          <w:szCs w:val="21"/>
        </w:rPr>
        <w:t>0% (</w:t>
      </w:r>
      <w:r w:rsidR="009A086C">
        <w:rPr>
          <w:rFonts w:cs="Tahoma"/>
          <w:sz w:val="21"/>
          <w:szCs w:val="21"/>
        </w:rPr>
        <w:t>dois</w:t>
      </w:r>
      <w:r w:rsidR="00D03B94" w:rsidRPr="00CA4352">
        <w:rPr>
          <w:rFonts w:cs="Tahoma"/>
          <w:sz w:val="21"/>
          <w:szCs w:val="21"/>
        </w:rPr>
        <w:t xml:space="preserve"> inteiro</w:t>
      </w:r>
      <w:r w:rsidR="009A086C">
        <w:rPr>
          <w:rFonts w:cs="Tahoma"/>
          <w:sz w:val="21"/>
          <w:szCs w:val="21"/>
        </w:rPr>
        <w:t>s</w:t>
      </w:r>
      <w:r w:rsidR="00D03B94" w:rsidRPr="00CA4352">
        <w:rPr>
          <w:rFonts w:cs="Tahoma"/>
          <w:sz w:val="21"/>
          <w:szCs w:val="21"/>
        </w:rPr>
        <w:t xml:space="preserve"> por cento) ao ano, base 252 (duzentos e cinquenta e dois Dias Úteis) (“</w:t>
      </w:r>
      <w:r w:rsidR="00D03B94" w:rsidRPr="00906030">
        <w:rPr>
          <w:rFonts w:cs="Tahoma"/>
          <w:sz w:val="21"/>
          <w:szCs w:val="21"/>
          <w:u w:val="single"/>
        </w:rPr>
        <w:t>Remuneração das Debêntures da Segunda Série</w:t>
      </w:r>
      <w:r w:rsidR="00D03B94" w:rsidRPr="00CA4352">
        <w:rPr>
          <w:rFonts w:cs="Tahoma"/>
          <w:sz w:val="21"/>
          <w:szCs w:val="21"/>
        </w:rPr>
        <w:t xml:space="preserve">”), a ser calculada de acordo com a fórmula prevista na Escritura de Emissão. A Remuneração das Debêntures da Segunda Série será calculada de forma exponencial e cumulativa pro rata </w:t>
      </w:r>
      <w:proofErr w:type="spellStart"/>
      <w:r w:rsidR="00D03B94" w:rsidRPr="00CA4352">
        <w:rPr>
          <w:rFonts w:cs="Tahoma"/>
          <w:sz w:val="21"/>
          <w:szCs w:val="21"/>
        </w:rPr>
        <w:t>temporis</w:t>
      </w:r>
      <w:proofErr w:type="spellEnd"/>
      <w:r w:rsidR="00D03B94" w:rsidRPr="00CA4352">
        <w:rPr>
          <w:rFonts w:cs="Tahoma"/>
          <w:sz w:val="21"/>
          <w:szCs w:val="21"/>
        </w:rPr>
        <w:t xml:space="preserve"> por Dias Úteis decorridos, desde a </w:t>
      </w:r>
      <w:r w:rsidR="00D03B94" w:rsidRPr="00CA4352">
        <w:rPr>
          <w:rFonts w:cs="Tahoma"/>
          <w:sz w:val="21"/>
          <w:szCs w:val="21"/>
        </w:rPr>
        <w:lastRenderedPageBreak/>
        <w:t xml:space="preserve">Data da Primeira Integralização das Debêntures da Segunda Série ou da Data de Pagamento da Remuneração das Debêntures da Segunda Série (conforme definida abaixo) imediatamente anterior, conforme o caso, até a próxima Data de Pagamento da Remuneração das Debêntures da Segunda Série. </w:t>
      </w:r>
      <w:r w:rsidR="005E704F" w:rsidRPr="00CA4352">
        <w:rPr>
          <w:rFonts w:cs="Tahoma"/>
          <w:sz w:val="21"/>
          <w:szCs w:val="21"/>
        </w:rPr>
        <w:t>Ressalvadas as hipóteses de resgate antecipado das Debêntures da Segunda Série decorrente de Oferta de Resgate Antecipado Total, Aquisição Facultativa (conforme abaixo definida) e/ou de vencimento antecipado das obrigações decorrentes das Debêntures da Segunda Série, nos termos previstos n</w:t>
      </w:r>
      <w:r w:rsidR="001F0627" w:rsidRPr="00CA4352">
        <w:rPr>
          <w:rFonts w:cs="Tahoma"/>
          <w:sz w:val="21"/>
          <w:szCs w:val="21"/>
        </w:rPr>
        <w:t>a Escritura</w:t>
      </w:r>
      <w:r w:rsidR="009367A3" w:rsidRPr="00CA4352">
        <w:rPr>
          <w:rFonts w:cs="Tahoma"/>
          <w:sz w:val="21"/>
          <w:szCs w:val="21"/>
        </w:rPr>
        <w:t xml:space="preserve"> de Emissão</w:t>
      </w:r>
      <w:r w:rsidR="005E704F" w:rsidRPr="00CA4352">
        <w:rPr>
          <w:rFonts w:cs="Tahoma"/>
          <w:sz w:val="21"/>
          <w:szCs w:val="21"/>
        </w:rPr>
        <w:t>, a Remuneração das Debêntures da Segunda Série será paga</w:t>
      </w:r>
      <w:r w:rsidR="00BA4ADD" w:rsidRPr="00CA4352">
        <w:rPr>
          <w:rFonts w:cs="Tahoma"/>
          <w:sz w:val="21"/>
          <w:szCs w:val="21"/>
        </w:rPr>
        <w:t xml:space="preserve"> semestralmente,</w:t>
      </w:r>
      <w:r w:rsidR="005E704F" w:rsidRPr="00CA4352">
        <w:rPr>
          <w:rFonts w:cs="Tahoma"/>
          <w:sz w:val="21"/>
          <w:szCs w:val="21"/>
        </w:rPr>
        <w:t xml:space="preserve"> </w:t>
      </w:r>
      <w:r w:rsidR="00710E03" w:rsidRPr="00CA4352">
        <w:rPr>
          <w:rFonts w:cs="Tahoma"/>
          <w:sz w:val="21"/>
          <w:szCs w:val="21"/>
        </w:rPr>
        <w:t xml:space="preserve">no dia 15 (quinze) dos meses de abril e outubro de cada ano, sendo o primeiro pagamento devido em 15 de outubro de 2020 e o último na Data de Vencimento da Segunda Série </w:t>
      </w:r>
      <w:r w:rsidR="005E704F" w:rsidRPr="00CA4352">
        <w:rPr>
          <w:rFonts w:cs="Tahoma"/>
          <w:sz w:val="21"/>
          <w:szCs w:val="21"/>
        </w:rPr>
        <w:t>(“</w:t>
      </w:r>
      <w:r w:rsidR="005E704F" w:rsidRPr="00CA4352">
        <w:rPr>
          <w:rFonts w:cs="Tahoma"/>
          <w:sz w:val="21"/>
          <w:szCs w:val="21"/>
          <w:u w:val="single"/>
        </w:rPr>
        <w:t>Data de Pagamento da Remuneração das Debêntures da Segunda Série</w:t>
      </w:r>
      <w:r w:rsidR="005E704F" w:rsidRPr="00CA4352">
        <w:rPr>
          <w:rFonts w:cs="Tahoma"/>
          <w:sz w:val="21"/>
          <w:szCs w:val="21"/>
        </w:rPr>
        <w:t>”</w:t>
      </w:r>
      <w:r w:rsidR="00E12B76" w:rsidRPr="00CA4352">
        <w:rPr>
          <w:rFonts w:cs="Tahoma"/>
          <w:sz w:val="21"/>
          <w:szCs w:val="21"/>
        </w:rPr>
        <w:t xml:space="preserve"> e, em conjunto com a Data d</w:t>
      </w:r>
      <w:r w:rsidR="00710E03" w:rsidRPr="00CA4352">
        <w:rPr>
          <w:rFonts w:cs="Tahoma"/>
          <w:sz w:val="21"/>
          <w:szCs w:val="21"/>
        </w:rPr>
        <w:t>e Pagamento da Remuneração das Debêntures da Primeira Série</w:t>
      </w:r>
      <w:r w:rsidR="00E12B76" w:rsidRPr="00CA4352">
        <w:rPr>
          <w:rFonts w:cs="Tahoma"/>
          <w:sz w:val="21"/>
          <w:szCs w:val="21"/>
        </w:rPr>
        <w:t>, “</w:t>
      </w:r>
      <w:r w:rsidR="00E12B76" w:rsidRPr="00CA4352">
        <w:rPr>
          <w:rFonts w:cs="Tahoma"/>
          <w:sz w:val="21"/>
          <w:szCs w:val="21"/>
          <w:u w:val="single"/>
        </w:rPr>
        <w:t xml:space="preserve">Data </w:t>
      </w:r>
      <w:r w:rsidR="00710E03" w:rsidRPr="00CA4352">
        <w:rPr>
          <w:rFonts w:cs="Tahoma"/>
          <w:sz w:val="21"/>
          <w:szCs w:val="21"/>
          <w:u w:val="single"/>
        </w:rPr>
        <w:t>de Pagamento da Remuneração</w:t>
      </w:r>
      <w:r w:rsidR="00E12B76" w:rsidRPr="00CA4352">
        <w:rPr>
          <w:rFonts w:cs="Tahoma"/>
          <w:sz w:val="21"/>
          <w:szCs w:val="21"/>
        </w:rPr>
        <w:t>”</w:t>
      </w:r>
      <w:r w:rsidR="005E704F" w:rsidRPr="00CA4352">
        <w:rPr>
          <w:rFonts w:cs="Tahoma"/>
          <w:sz w:val="21"/>
          <w:szCs w:val="21"/>
        </w:rPr>
        <w:t xml:space="preserve">), conforme tabela prevista na Escritura de Emissão. </w:t>
      </w:r>
    </w:p>
    <w:p w14:paraId="2DA56129" w14:textId="77777777" w:rsidR="00B5061D" w:rsidRPr="00CA4352" w:rsidRDefault="00B5061D" w:rsidP="002D43C4">
      <w:pPr>
        <w:pStyle w:val="Texto-MattosFilho"/>
        <w:spacing w:line="316" w:lineRule="exact"/>
        <w:ind w:left="1843"/>
        <w:rPr>
          <w:rFonts w:cs="Tahoma"/>
          <w:sz w:val="21"/>
          <w:szCs w:val="21"/>
        </w:rPr>
      </w:pPr>
    </w:p>
    <w:p w14:paraId="3C8D2BB3" w14:textId="77777777" w:rsidR="003B081D" w:rsidRPr="00CA4352" w:rsidRDefault="003B081D" w:rsidP="002D43C4">
      <w:pPr>
        <w:pStyle w:val="Texto-MattosFilho"/>
        <w:numPr>
          <w:ilvl w:val="0"/>
          <w:numId w:val="7"/>
        </w:numPr>
        <w:spacing w:line="316" w:lineRule="exact"/>
        <w:ind w:left="1843" w:hanging="709"/>
        <w:rPr>
          <w:rFonts w:cs="Tahoma"/>
          <w:sz w:val="21"/>
          <w:szCs w:val="21"/>
        </w:rPr>
      </w:pPr>
      <w:r w:rsidRPr="00CA4352">
        <w:rPr>
          <w:rFonts w:cs="Tahoma"/>
          <w:b/>
          <w:sz w:val="21"/>
          <w:szCs w:val="21"/>
        </w:rPr>
        <w:t>Prazo de Subscrição</w:t>
      </w:r>
      <w:r w:rsidRPr="00CA4352">
        <w:rPr>
          <w:rFonts w:cs="Tahoma"/>
          <w:sz w:val="21"/>
          <w:szCs w:val="21"/>
        </w:rPr>
        <w:t xml:space="preserve">: </w:t>
      </w:r>
      <w:r w:rsidR="002C2701" w:rsidRPr="00CA4352">
        <w:rPr>
          <w:rFonts w:cs="Tahoma"/>
          <w:sz w:val="21"/>
          <w:szCs w:val="21"/>
        </w:rPr>
        <w:t>As Debêntures poderão ser subscritas e integralizadas a qualquer tempo, a partir da Data de Emissão, observados os prazos de dis</w:t>
      </w:r>
      <w:bookmarkStart w:id="2" w:name="_GoBack"/>
      <w:bookmarkEnd w:id="2"/>
      <w:r w:rsidR="002C2701" w:rsidRPr="00CA4352">
        <w:rPr>
          <w:rFonts w:cs="Tahoma"/>
          <w:sz w:val="21"/>
          <w:szCs w:val="21"/>
        </w:rPr>
        <w:t>tribuição estabelecidos no Contrato de Distribuição.</w:t>
      </w:r>
    </w:p>
    <w:p w14:paraId="0ED248A6" w14:textId="77777777" w:rsidR="00B5061D" w:rsidRPr="00CA4352" w:rsidRDefault="00B5061D" w:rsidP="002D43C4">
      <w:pPr>
        <w:pStyle w:val="Texto-MattosFilho"/>
        <w:spacing w:line="316" w:lineRule="exact"/>
        <w:ind w:left="1843"/>
        <w:rPr>
          <w:rFonts w:cs="Tahoma"/>
          <w:sz w:val="21"/>
          <w:szCs w:val="21"/>
        </w:rPr>
      </w:pPr>
    </w:p>
    <w:p w14:paraId="3439BAE2" w14:textId="79779145" w:rsidR="003B081D" w:rsidRPr="00CA4352" w:rsidRDefault="000B290B" w:rsidP="002D43C4">
      <w:pPr>
        <w:pStyle w:val="Texto-MattosFilho"/>
        <w:numPr>
          <w:ilvl w:val="0"/>
          <w:numId w:val="7"/>
        </w:numPr>
        <w:spacing w:line="316" w:lineRule="exact"/>
        <w:ind w:left="1843" w:hanging="709"/>
        <w:rPr>
          <w:rFonts w:cs="Tahoma"/>
          <w:sz w:val="21"/>
          <w:szCs w:val="21"/>
        </w:rPr>
      </w:pPr>
      <w:r w:rsidRPr="00CA4352">
        <w:rPr>
          <w:rFonts w:cs="Tahoma"/>
          <w:b/>
          <w:sz w:val="21"/>
          <w:szCs w:val="21"/>
        </w:rPr>
        <w:t>Preço de Subscrição</w:t>
      </w:r>
      <w:r w:rsidR="003B081D" w:rsidRPr="00CA4352">
        <w:rPr>
          <w:rFonts w:cs="Tahoma"/>
          <w:sz w:val="21"/>
          <w:szCs w:val="21"/>
        </w:rPr>
        <w:t xml:space="preserve">: </w:t>
      </w:r>
      <w:r w:rsidR="0062350D" w:rsidRPr="00CA4352">
        <w:rPr>
          <w:rFonts w:cs="Tahoma"/>
          <w:sz w:val="21"/>
          <w:szCs w:val="21"/>
        </w:rPr>
        <w:t xml:space="preserve">O preço de subscrição das Debêntures da Primeira Série que forem integralizadas na </w:t>
      </w:r>
      <w:r w:rsidRPr="00CA4352">
        <w:rPr>
          <w:rFonts w:cs="Tahoma"/>
          <w:sz w:val="21"/>
          <w:szCs w:val="21"/>
        </w:rPr>
        <w:t>primeira data em que ocorrer a subscrição e integralização das Debêntures da Primeira Série (“</w:t>
      </w:r>
      <w:r w:rsidR="0062350D" w:rsidRPr="00CA4352">
        <w:rPr>
          <w:rFonts w:cs="Tahoma"/>
          <w:sz w:val="21"/>
          <w:szCs w:val="21"/>
          <w:u w:val="single"/>
        </w:rPr>
        <w:t>Data da Primeira Integralização das Debêntures da Primeira Série</w:t>
      </w:r>
      <w:r w:rsidRPr="00CA4352">
        <w:rPr>
          <w:rFonts w:cs="Tahoma"/>
          <w:sz w:val="21"/>
          <w:szCs w:val="21"/>
        </w:rPr>
        <w:t>”)</w:t>
      </w:r>
      <w:r w:rsidR="0062350D" w:rsidRPr="00CA4352">
        <w:rPr>
          <w:rFonts w:cs="Tahoma"/>
          <w:sz w:val="21"/>
          <w:szCs w:val="21"/>
        </w:rPr>
        <w:t xml:space="preserve"> será o Valor Nominal Unitário das Debêntures da Primeira Série. Caso ocorra a integralização das Debêntures da Primeira Série em mais de uma data, o preço de subscrição das Debêntures da Primeira Série que forem integralizadas após a Data da Primeira Integralização das Debêntures da Primeira Série será o Valor Nominal Unitário das Debêntures da Primeira Série, acrescido da respectiva Remuneração das Debêntures da Primeira Série, calculada pro rata </w:t>
      </w:r>
      <w:proofErr w:type="spellStart"/>
      <w:r w:rsidR="0062350D" w:rsidRPr="00CA4352">
        <w:rPr>
          <w:rFonts w:cs="Tahoma"/>
          <w:sz w:val="21"/>
          <w:szCs w:val="21"/>
        </w:rPr>
        <w:t>temporis</w:t>
      </w:r>
      <w:proofErr w:type="spellEnd"/>
      <w:r w:rsidR="0062350D" w:rsidRPr="00CA4352">
        <w:rPr>
          <w:rFonts w:cs="Tahoma"/>
          <w:sz w:val="21"/>
          <w:szCs w:val="21"/>
        </w:rPr>
        <w:t>, desde a Data da Primeira Integralização das Debêntures da Primeira Série até a data da efetiva subscrição e integralização das Debêntures da Primeira Série, por meio do MDA, de acordo com as normas de liquidação aplicáveis à B3 (em qualquer caso, “</w:t>
      </w:r>
      <w:r w:rsidR="0062350D" w:rsidRPr="00CA4352">
        <w:rPr>
          <w:rFonts w:cs="Tahoma"/>
          <w:sz w:val="21"/>
          <w:szCs w:val="21"/>
          <w:u w:val="single"/>
        </w:rPr>
        <w:t>Preço de Integralização das Debêntures da Primeira Série</w:t>
      </w:r>
      <w:r w:rsidR="0062350D" w:rsidRPr="00CA4352">
        <w:rPr>
          <w:rFonts w:cs="Tahoma"/>
          <w:sz w:val="21"/>
          <w:szCs w:val="21"/>
        </w:rPr>
        <w:t xml:space="preserve">”). O preço de subscrição das Debêntures da Segunda Série que forem integralizadas na </w:t>
      </w:r>
      <w:r w:rsidRPr="00CA4352">
        <w:rPr>
          <w:rFonts w:cs="Tahoma"/>
          <w:sz w:val="21"/>
          <w:szCs w:val="21"/>
        </w:rPr>
        <w:t>primeira ata em que ocorrer a subscrição e integralização das Debêntures da Segunda Série (“</w:t>
      </w:r>
      <w:r w:rsidR="0062350D" w:rsidRPr="00CA4352">
        <w:rPr>
          <w:rFonts w:cs="Tahoma"/>
          <w:sz w:val="21"/>
          <w:szCs w:val="21"/>
          <w:u w:val="single"/>
        </w:rPr>
        <w:t>Data da Primeira Integralização das Debêntures da Segunda Série</w:t>
      </w:r>
      <w:r w:rsidRPr="00CA4352">
        <w:rPr>
          <w:rFonts w:cs="Tahoma"/>
          <w:sz w:val="21"/>
          <w:szCs w:val="21"/>
        </w:rPr>
        <w:t>” e, em conjunto com a Data da Primeira Integralização das Debêntures da Primeira Série, “</w:t>
      </w:r>
      <w:r w:rsidRPr="00CA4352">
        <w:rPr>
          <w:rFonts w:cs="Tahoma"/>
          <w:sz w:val="21"/>
          <w:szCs w:val="21"/>
          <w:u w:val="single"/>
        </w:rPr>
        <w:t>Data da Primeira Integralização</w:t>
      </w:r>
      <w:r w:rsidRPr="00CA4352">
        <w:rPr>
          <w:rFonts w:cs="Tahoma"/>
          <w:sz w:val="21"/>
          <w:szCs w:val="21"/>
        </w:rPr>
        <w:t>”)</w:t>
      </w:r>
      <w:r w:rsidR="0062350D" w:rsidRPr="00CA4352">
        <w:rPr>
          <w:rFonts w:cs="Tahoma"/>
          <w:sz w:val="21"/>
          <w:szCs w:val="21"/>
        </w:rPr>
        <w:t xml:space="preserve"> será o Valor Nominal Unitário das Debêntures da Segunda Série. Caso ocorra a integralização das Debêntures da Segunda Série em mais de uma </w:t>
      </w:r>
      <w:r w:rsidR="0062350D" w:rsidRPr="00CA4352">
        <w:rPr>
          <w:rFonts w:cs="Tahoma"/>
          <w:sz w:val="21"/>
          <w:szCs w:val="21"/>
        </w:rPr>
        <w:lastRenderedPageBreak/>
        <w:t xml:space="preserve">data, o preço de subscrição das Debêntures da Segunda Série que forem integralizadas após a Data da Primeira Integralização das Debêntures da Segunda Série será o Valor Nominal Unitário das Debêntures da Segunda Série, acrescido da respectiva Remuneração das Debêntures da Segunda Série, calculada pro rata </w:t>
      </w:r>
      <w:proofErr w:type="spellStart"/>
      <w:r w:rsidR="0062350D" w:rsidRPr="00CA4352">
        <w:rPr>
          <w:rFonts w:cs="Tahoma"/>
          <w:sz w:val="21"/>
          <w:szCs w:val="21"/>
        </w:rPr>
        <w:t>temporis</w:t>
      </w:r>
      <w:proofErr w:type="spellEnd"/>
      <w:r w:rsidR="0062350D" w:rsidRPr="00CA4352">
        <w:rPr>
          <w:rFonts w:cs="Tahoma"/>
          <w:sz w:val="21"/>
          <w:szCs w:val="21"/>
        </w:rPr>
        <w:t>, desde a Data da Primeira Integralização das Debêntures da Segunda Série até a data da efetiva subscrição e integralização das Debêntures da Segunda Série, por meio do MDA, de acordo com as normas de liquidação aplicáveis à B3 (em qualquer caso, “</w:t>
      </w:r>
      <w:r w:rsidR="0062350D" w:rsidRPr="00CA4352">
        <w:rPr>
          <w:rFonts w:cs="Tahoma"/>
          <w:sz w:val="21"/>
          <w:szCs w:val="21"/>
          <w:u w:val="single"/>
        </w:rPr>
        <w:t>Preço de Integralização das Debêntures da Segunda Série</w:t>
      </w:r>
      <w:r w:rsidR="0062350D" w:rsidRPr="00CA4352">
        <w:rPr>
          <w:rFonts w:cs="Tahoma"/>
          <w:sz w:val="21"/>
          <w:szCs w:val="21"/>
        </w:rPr>
        <w:t>”</w:t>
      </w:r>
      <w:r w:rsidR="00E12B76" w:rsidRPr="00CA4352">
        <w:rPr>
          <w:rFonts w:cs="Tahoma"/>
          <w:sz w:val="21"/>
          <w:szCs w:val="21"/>
        </w:rPr>
        <w:t xml:space="preserve"> e, em conjunto com o Preço de Integralização das Debêntures da Primeira Série, “</w:t>
      </w:r>
      <w:r w:rsidR="00E12B76" w:rsidRPr="00CA4352">
        <w:rPr>
          <w:rFonts w:cs="Tahoma"/>
          <w:sz w:val="21"/>
          <w:szCs w:val="21"/>
          <w:u w:val="single"/>
        </w:rPr>
        <w:t>Preço de Integralização</w:t>
      </w:r>
      <w:r w:rsidR="00E12B76" w:rsidRPr="00CA4352">
        <w:rPr>
          <w:rFonts w:cs="Tahoma"/>
          <w:sz w:val="21"/>
          <w:szCs w:val="21"/>
        </w:rPr>
        <w:t>”</w:t>
      </w:r>
      <w:r w:rsidR="0062350D" w:rsidRPr="00CA4352">
        <w:rPr>
          <w:rFonts w:cs="Tahoma"/>
          <w:sz w:val="21"/>
          <w:szCs w:val="21"/>
        </w:rPr>
        <w:t xml:space="preserve">). As Debêntures poderão ser colocadas com ágio ou deságio, desde que seja aplicado à totalidade das Debêntures de uma mesma </w:t>
      </w:r>
      <w:r w:rsidR="00E12B76" w:rsidRPr="00CA4352">
        <w:rPr>
          <w:rFonts w:cs="Tahoma"/>
          <w:sz w:val="21"/>
          <w:szCs w:val="21"/>
        </w:rPr>
        <w:t>S</w:t>
      </w:r>
      <w:r w:rsidR="0062350D" w:rsidRPr="00CA4352">
        <w:rPr>
          <w:rFonts w:cs="Tahoma"/>
          <w:sz w:val="21"/>
          <w:szCs w:val="21"/>
        </w:rPr>
        <w:t>érie. As Debêntures serão integralizadas à vista, em moeda corrente nacional, no ato da subscrição, pelo Preço de Integralização da respectiva série, de acordo com os procedimentos aplicáveis da B3.</w:t>
      </w:r>
    </w:p>
    <w:p w14:paraId="25C33AE2" w14:textId="77777777" w:rsidR="00B5061D" w:rsidRPr="00CA4352" w:rsidRDefault="00B5061D" w:rsidP="002D43C4">
      <w:pPr>
        <w:pStyle w:val="Texto-MattosFilho"/>
        <w:spacing w:line="316" w:lineRule="exact"/>
        <w:ind w:left="1843"/>
        <w:rPr>
          <w:rFonts w:cs="Tahoma"/>
          <w:sz w:val="21"/>
          <w:szCs w:val="21"/>
        </w:rPr>
      </w:pPr>
    </w:p>
    <w:p w14:paraId="4DB6AE37" w14:textId="77777777" w:rsidR="003B081D" w:rsidRPr="00CA4352" w:rsidRDefault="003B081D" w:rsidP="002D43C4">
      <w:pPr>
        <w:pStyle w:val="Texto-MattosFilho"/>
        <w:numPr>
          <w:ilvl w:val="0"/>
          <w:numId w:val="7"/>
        </w:numPr>
        <w:spacing w:line="316" w:lineRule="exact"/>
        <w:ind w:left="1843" w:hanging="709"/>
        <w:rPr>
          <w:rFonts w:cs="Tahoma"/>
          <w:sz w:val="21"/>
          <w:szCs w:val="21"/>
        </w:rPr>
      </w:pPr>
      <w:r w:rsidRPr="00CA4352">
        <w:rPr>
          <w:rFonts w:cs="Tahoma"/>
          <w:b/>
          <w:sz w:val="21"/>
          <w:szCs w:val="21"/>
        </w:rPr>
        <w:t>Repactuação Programada</w:t>
      </w:r>
      <w:r w:rsidRPr="00CA4352">
        <w:rPr>
          <w:rFonts w:cs="Tahoma"/>
          <w:sz w:val="21"/>
          <w:szCs w:val="21"/>
        </w:rPr>
        <w:t xml:space="preserve">: </w:t>
      </w:r>
      <w:r w:rsidR="00F37DCB" w:rsidRPr="00CA4352">
        <w:rPr>
          <w:rFonts w:cs="Tahoma"/>
          <w:sz w:val="21"/>
          <w:szCs w:val="21"/>
        </w:rPr>
        <w:t>Não haverá repactuação das Debêntures.</w:t>
      </w:r>
    </w:p>
    <w:p w14:paraId="74466412" w14:textId="77777777" w:rsidR="00B5061D" w:rsidRPr="00CA4352" w:rsidRDefault="00B5061D" w:rsidP="002D43C4">
      <w:pPr>
        <w:pStyle w:val="Texto-MattosFilho"/>
        <w:spacing w:line="316" w:lineRule="exact"/>
        <w:ind w:left="1843"/>
        <w:rPr>
          <w:rFonts w:cs="Tahoma"/>
          <w:sz w:val="21"/>
          <w:szCs w:val="21"/>
        </w:rPr>
      </w:pPr>
    </w:p>
    <w:p w14:paraId="4B79FC8D" w14:textId="22C0C106" w:rsidR="003B081D" w:rsidRPr="00CA4352" w:rsidRDefault="003B081D" w:rsidP="002D43C4">
      <w:pPr>
        <w:pStyle w:val="Texto-MattosFilho"/>
        <w:numPr>
          <w:ilvl w:val="0"/>
          <w:numId w:val="7"/>
        </w:numPr>
        <w:spacing w:line="316" w:lineRule="exact"/>
        <w:ind w:left="1843" w:hanging="709"/>
        <w:rPr>
          <w:rFonts w:cs="Tahoma"/>
          <w:sz w:val="21"/>
          <w:szCs w:val="21"/>
        </w:rPr>
      </w:pPr>
      <w:r w:rsidRPr="00CA4352">
        <w:rPr>
          <w:rFonts w:cs="Tahoma"/>
          <w:b/>
          <w:sz w:val="21"/>
          <w:szCs w:val="21"/>
        </w:rPr>
        <w:t>Amortização Programada das Debêntures da Primeira Série</w:t>
      </w:r>
      <w:r w:rsidRPr="00CA4352">
        <w:rPr>
          <w:rFonts w:cs="Tahoma"/>
          <w:sz w:val="21"/>
          <w:szCs w:val="21"/>
        </w:rPr>
        <w:t xml:space="preserve">: </w:t>
      </w:r>
      <w:r w:rsidR="00764236" w:rsidRPr="00CA4352">
        <w:rPr>
          <w:rFonts w:cs="Tahoma"/>
          <w:sz w:val="21"/>
          <w:szCs w:val="21"/>
        </w:rPr>
        <w:t>Ressalvadas as hipóteses de resgate antecipado das Debêntures da Primeira Série decorrente de Oferta de Resgate Antecipado Total, Aquisição Facultativa (conforme abaixo definida) e/ou de vencimento antecipado das obrigações decorrentes das Debêntures da Primeira Série, nos termos previstos n</w:t>
      </w:r>
      <w:r w:rsidR="001F0627" w:rsidRPr="00CA4352">
        <w:rPr>
          <w:rFonts w:cs="Tahoma"/>
          <w:sz w:val="21"/>
          <w:szCs w:val="21"/>
        </w:rPr>
        <w:t>a Escritura</w:t>
      </w:r>
      <w:r w:rsidR="00E12B76" w:rsidRPr="00CA4352">
        <w:rPr>
          <w:rFonts w:cs="Tahoma"/>
          <w:sz w:val="21"/>
          <w:szCs w:val="21"/>
        </w:rPr>
        <w:t xml:space="preserve"> de Emissão</w:t>
      </w:r>
      <w:r w:rsidR="00764236" w:rsidRPr="00CA4352">
        <w:rPr>
          <w:rFonts w:cs="Tahoma"/>
          <w:sz w:val="21"/>
          <w:szCs w:val="21"/>
        </w:rPr>
        <w:t xml:space="preserve">, o Valor Nominal Unitário das Debêntures da Primeira Série será amortizado em 1 (uma) única parcela, na Data de Vencimento da Primeira Série. </w:t>
      </w:r>
    </w:p>
    <w:p w14:paraId="21DA8A5C" w14:textId="77777777" w:rsidR="00B5061D" w:rsidRPr="00CA4352" w:rsidRDefault="00B5061D" w:rsidP="002D43C4">
      <w:pPr>
        <w:pStyle w:val="Texto-MattosFilho"/>
        <w:spacing w:line="316" w:lineRule="exact"/>
        <w:ind w:left="1843"/>
        <w:rPr>
          <w:rFonts w:cs="Tahoma"/>
          <w:sz w:val="21"/>
          <w:szCs w:val="21"/>
        </w:rPr>
      </w:pPr>
    </w:p>
    <w:p w14:paraId="57FABCCB" w14:textId="1EFB1AA2" w:rsidR="003B081D" w:rsidRPr="00CA4352" w:rsidRDefault="003B081D" w:rsidP="002D43C4">
      <w:pPr>
        <w:pStyle w:val="Texto-MattosFilho"/>
        <w:numPr>
          <w:ilvl w:val="0"/>
          <w:numId w:val="7"/>
        </w:numPr>
        <w:spacing w:line="316" w:lineRule="exact"/>
        <w:ind w:left="1843" w:hanging="709"/>
        <w:rPr>
          <w:rFonts w:cs="Tahoma"/>
          <w:sz w:val="21"/>
          <w:szCs w:val="21"/>
        </w:rPr>
      </w:pPr>
      <w:r w:rsidRPr="00CA4352">
        <w:rPr>
          <w:rFonts w:cs="Tahoma"/>
          <w:b/>
          <w:sz w:val="21"/>
          <w:szCs w:val="21"/>
        </w:rPr>
        <w:t>Amortização Programada das Debêntures da Segunda Série</w:t>
      </w:r>
      <w:r w:rsidRPr="00CA4352">
        <w:rPr>
          <w:rFonts w:cs="Tahoma"/>
          <w:sz w:val="21"/>
          <w:szCs w:val="21"/>
        </w:rPr>
        <w:t xml:space="preserve">: </w:t>
      </w:r>
      <w:r w:rsidR="00764236" w:rsidRPr="00CA4352">
        <w:rPr>
          <w:rFonts w:cs="Tahoma"/>
          <w:sz w:val="21"/>
          <w:szCs w:val="21"/>
        </w:rPr>
        <w:t>Ressalvadas as hipóteses de resgate antecipado das Debêntures da Segunda Série decorrente de Oferta de Resgate Antecipado Total, Aquisição Facultativa (conforme abaixo definida) e/ou de vencimento antecipado das obrigações decorrentes das Debêntures da Segunda Série, nos termos previstos n</w:t>
      </w:r>
      <w:r w:rsidR="001F0627" w:rsidRPr="00CA4352">
        <w:rPr>
          <w:rFonts w:cs="Tahoma"/>
          <w:sz w:val="21"/>
          <w:szCs w:val="21"/>
        </w:rPr>
        <w:t>a Escritura</w:t>
      </w:r>
      <w:r w:rsidR="00E12B76" w:rsidRPr="00CA4352">
        <w:rPr>
          <w:rFonts w:cs="Tahoma"/>
          <w:sz w:val="21"/>
          <w:szCs w:val="21"/>
        </w:rPr>
        <w:t xml:space="preserve"> de Emissão</w:t>
      </w:r>
      <w:r w:rsidR="00764236" w:rsidRPr="00CA4352">
        <w:rPr>
          <w:rFonts w:cs="Tahoma"/>
          <w:sz w:val="21"/>
          <w:szCs w:val="21"/>
        </w:rPr>
        <w:t xml:space="preserve">, o Valor Nominal Unitário das Debêntures da Segunda Série será amortizado, em </w:t>
      </w:r>
      <w:r w:rsidR="00E12B76" w:rsidRPr="00CA4352">
        <w:rPr>
          <w:rFonts w:cs="Tahoma"/>
          <w:sz w:val="21"/>
          <w:szCs w:val="21"/>
        </w:rPr>
        <w:t>1</w:t>
      </w:r>
      <w:r w:rsidR="00764236" w:rsidRPr="00CA4352">
        <w:rPr>
          <w:rFonts w:cs="Tahoma"/>
          <w:sz w:val="21"/>
          <w:szCs w:val="21"/>
        </w:rPr>
        <w:t xml:space="preserve"> (</w:t>
      </w:r>
      <w:r w:rsidR="00E12B76" w:rsidRPr="00CA4352">
        <w:rPr>
          <w:rFonts w:cs="Tahoma"/>
          <w:sz w:val="21"/>
          <w:szCs w:val="21"/>
        </w:rPr>
        <w:t>uma</w:t>
      </w:r>
      <w:r w:rsidR="00764236" w:rsidRPr="00CA4352">
        <w:rPr>
          <w:rFonts w:cs="Tahoma"/>
          <w:sz w:val="21"/>
          <w:szCs w:val="21"/>
        </w:rPr>
        <w:t xml:space="preserve">) </w:t>
      </w:r>
      <w:r w:rsidR="00E12B76" w:rsidRPr="00CA4352">
        <w:rPr>
          <w:rFonts w:cs="Tahoma"/>
          <w:sz w:val="21"/>
          <w:szCs w:val="21"/>
        </w:rPr>
        <w:t xml:space="preserve">única </w:t>
      </w:r>
      <w:r w:rsidR="00764236" w:rsidRPr="00CA4352">
        <w:rPr>
          <w:rFonts w:cs="Tahoma"/>
          <w:sz w:val="21"/>
          <w:szCs w:val="21"/>
        </w:rPr>
        <w:t xml:space="preserve">parcela, </w:t>
      </w:r>
      <w:r w:rsidR="00E12B76" w:rsidRPr="00CA4352">
        <w:rPr>
          <w:rFonts w:cs="Tahoma"/>
          <w:sz w:val="21"/>
          <w:szCs w:val="21"/>
        </w:rPr>
        <w:t>na Data de Vencimento da Segunda Série</w:t>
      </w:r>
      <w:r w:rsidR="00764236" w:rsidRPr="00CA4352">
        <w:rPr>
          <w:rFonts w:cs="Tahoma"/>
          <w:sz w:val="21"/>
          <w:szCs w:val="21"/>
        </w:rPr>
        <w:t>.</w:t>
      </w:r>
    </w:p>
    <w:p w14:paraId="1AC83F9B" w14:textId="77777777" w:rsidR="00B5061D" w:rsidRPr="00CA4352" w:rsidRDefault="00B5061D" w:rsidP="002D43C4">
      <w:pPr>
        <w:pStyle w:val="Texto-MattosFilho"/>
        <w:spacing w:line="316" w:lineRule="exact"/>
        <w:rPr>
          <w:rFonts w:cs="Tahoma"/>
          <w:sz w:val="21"/>
          <w:szCs w:val="21"/>
        </w:rPr>
      </w:pPr>
    </w:p>
    <w:p w14:paraId="0F3CEA6A" w14:textId="5BDE7683" w:rsidR="003B081D" w:rsidRPr="00CA4352" w:rsidRDefault="003B081D" w:rsidP="002D43C4">
      <w:pPr>
        <w:pStyle w:val="Texto-MattosFilho"/>
        <w:numPr>
          <w:ilvl w:val="0"/>
          <w:numId w:val="7"/>
        </w:numPr>
        <w:spacing w:line="316" w:lineRule="exact"/>
        <w:ind w:left="1843" w:hanging="709"/>
        <w:rPr>
          <w:rFonts w:cs="Tahoma"/>
          <w:sz w:val="21"/>
          <w:szCs w:val="21"/>
        </w:rPr>
      </w:pPr>
      <w:r w:rsidRPr="00CA4352">
        <w:rPr>
          <w:rFonts w:cs="Tahoma"/>
          <w:b/>
          <w:sz w:val="21"/>
          <w:szCs w:val="21"/>
        </w:rPr>
        <w:t>Aquisição Facultativa</w:t>
      </w:r>
      <w:r w:rsidRPr="00CA4352">
        <w:rPr>
          <w:rFonts w:cs="Tahoma"/>
          <w:sz w:val="21"/>
          <w:szCs w:val="21"/>
        </w:rPr>
        <w:t xml:space="preserve">: </w:t>
      </w:r>
      <w:r w:rsidR="000C6F54" w:rsidRPr="00CA4352">
        <w:rPr>
          <w:rFonts w:cs="Tahoma"/>
          <w:sz w:val="21"/>
          <w:szCs w:val="21"/>
        </w:rPr>
        <w:t xml:space="preserve">A </w:t>
      </w:r>
      <w:r w:rsidR="001F0627" w:rsidRPr="00CA4352">
        <w:rPr>
          <w:rFonts w:cs="Tahoma"/>
          <w:sz w:val="21"/>
          <w:szCs w:val="21"/>
        </w:rPr>
        <w:t>Companhia</w:t>
      </w:r>
      <w:r w:rsidR="000C6F54" w:rsidRPr="00CA4352">
        <w:rPr>
          <w:rFonts w:cs="Tahoma"/>
          <w:sz w:val="21"/>
          <w:szCs w:val="21"/>
        </w:rPr>
        <w:t xml:space="preserve"> poderá adquirir Debêntures de </w:t>
      </w:r>
      <w:r w:rsidR="00B76659" w:rsidRPr="00CA4352">
        <w:rPr>
          <w:rFonts w:cs="Tahoma"/>
          <w:sz w:val="21"/>
          <w:szCs w:val="21"/>
        </w:rPr>
        <w:t>quaisquer das Séries</w:t>
      </w:r>
      <w:r w:rsidR="000C6F54" w:rsidRPr="00CA4352">
        <w:rPr>
          <w:rFonts w:cs="Tahoma"/>
          <w:sz w:val="21"/>
          <w:szCs w:val="21"/>
        </w:rPr>
        <w:t xml:space="preserve">, condicionado ao aceite do respectivo Debenturista vendedor, desde que observe o disposto no artigo 55, parágrafo 3°, da Lei das Sociedades por Ações e na regulamentação aplicável editada pela CVM, incluindo o artigo 13 e, conforme aplicável, o artigo 15 da Instrução CVM 476, por valor igual ou inferior ao Valor Nominal Unitário das Debêntures da respectiva </w:t>
      </w:r>
      <w:r w:rsidR="00B76659" w:rsidRPr="00CA4352">
        <w:rPr>
          <w:rFonts w:cs="Tahoma"/>
          <w:sz w:val="21"/>
          <w:szCs w:val="21"/>
        </w:rPr>
        <w:t>Série</w:t>
      </w:r>
      <w:r w:rsidR="000C6F54" w:rsidRPr="00CA4352">
        <w:rPr>
          <w:rFonts w:cs="Tahoma"/>
          <w:sz w:val="21"/>
          <w:szCs w:val="21"/>
        </w:rPr>
        <w:t xml:space="preserve">, devendo tal fato constar do relatório da administração e das demonstrações financeiras da </w:t>
      </w:r>
      <w:r w:rsidR="001F0627" w:rsidRPr="00CA4352">
        <w:rPr>
          <w:rFonts w:cs="Tahoma"/>
          <w:sz w:val="21"/>
          <w:szCs w:val="21"/>
        </w:rPr>
        <w:lastRenderedPageBreak/>
        <w:t>Companhia</w:t>
      </w:r>
      <w:r w:rsidR="000C6F54" w:rsidRPr="00CA4352">
        <w:rPr>
          <w:rFonts w:cs="Tahoma"/>
          <w:sz w:val="21"/>
          <w:szCs w:val="21"/>
        </w:rPr>
        <w:t xml:space="preserve">, ou por valor superior ao Valor Nominal Unitário das Debêntures da respectiva </w:t>
      </w:r>
      <w:r w:rsidR="00B76659" w:rsidRPr="00CA4352">
        <w:rPr>
          <w:rFonts w:cs="Tahoma"/>
          <w:sz w:val="21"/>
          <w:szCs w:val="21"/>
        </w:rPr>
        <w:t>Série</w:t>
      </w:r>
      <w:r w:rsidR="000C6F54" w:rsidRPr="00CA4352">
        <w:rPr>
          <w:rFonts w:cs="Tahoma"/>
          <w:sz w:val="21"/>
          <w:szCs w:val="21"/>
        </w:rPr>
        <w:t xml:space="preserve">, desde que observadas as regras expedidas pela CVM. As Debêntures da respectiva </w:t>
      </w:r>
      <w:r w:rsidR="00B76659" w:rsidRPr="00CA4352">
        <w:rPr>
          <w:rFonts w:cs="Tahoma"/>
          <w:sz w:val="21"/>
          <w:szCs w:val="21"/>
        </w:rPr>
        <w:t>S</w:t>
      </w:r>
      <w:r w:rsidR="000C6F54" w:rsidRPr="00CA4352">
        <w:rPr>
          <w:rFonts w:cs="Tahoma"/>
          <w:sz w:val="21"/>
          <w:szCs w:val="21"/>
        </w:rPr>
        <w:t xml:space="preserve">érie adquiridas pela </w:t>
      </w:r>
      <w:r w:rsidR="001F0627" w:rsidRPr="00CA4352">
        <w:rPr>
          <w:rFonts w:cs="Tahoma"/>
          <w:sz w:val="21"/>
          <w:szCs w:val="21"/>
        </w:rPr>
        <w:t>Companhia</w:t>
      </w:r>
      <w:r w:rsidR="000C6F54" w:rsidRPr="00CA4352">
        <w:rPr>
          <w:rFonts w:cs="Tahoma"/>
          <w:sz w:val="21"/>
          <w:szCs w:val="21"/>
        </w:rPr>
        <w:t xml:space="preserve"> poderão, a critério da </w:t>
      </w:r>
      <w:r w:rsidR="001F0627" w:rsidRPr="00CA4352">
        <w:rPr>
          <w:rFonts w:cs="Tahoma"/>
          <w:sz w:val="21"/>
          <w:szCs w:val="21"/>
        </w:rPr>
        <w:t>Companhia</w:t>
      </w:r>
      <w:r w:rsidR="000C6F54" w:rsidRPr="00CA4352">
        <w:rPr>
          <w:rFonts w:cs="Tahoma"/>
          <w:sz w:val="21"/>
          <w:szCs w:val="21"/>
        </w:rPr>
        <w:t xml:space="preserve"> e desde que observada a regulamentação aplicável em vigor </w:t>
      </w:r>
      <w:r w:rsidR="000C6F54" w:rsidRPr="00CA4352">
        <w:rPr>
          <w:rFonts w:cs="Tahoma"/>
          <w:b/>
          <w:sz w:val="21"/>
          <w:szCs w:val="21"/>
        </w:rPr>
        <w:t>(</w:t>
      </w:r>
      <w:r w:rsidR="00411B02" w:rsidRPr="00CA4352">
        <w:rPr>
          <w:rFonts w:cs="Tahoma"/>
          <w:b/>
          <w:sz w:val="21"/>
          <w:szCs w:val="21"/>
        </w:rPr>
        <w:t>i</w:t>
      </w:r>
      <w:r w:rsidR="000C6F54" w:rsidRPr="00CA4352">
        <w:rPr>
          <w:rFonts w:cs="Tahoma"/>
          <w:b/>
          <w:sz w:val="21"/>
          <w:szCs w:val="21"/>
        </w:rPr>
        <w:t>)</w:t>
      </w:r>
      <w:r w:rsidR="000C6F54" w:rsidRPr="00CA4352">
        <w:rPr>
          <w:rFonts w:cs="Tahoma"/>
          <w:sz w:val="21"/>
          <w:szCs w:val="21"/>
        </w:rPr>
        <w:t xml:space="preserve"> ser canceladas; </w:t>
      </w:r>
      <w:r w:rsidR="000C6F54" w:rsidRPr="00CA4352">
        <w:rPr>
          <w:rFonts w:cs="Tahoma"/>
          <w:b/>
          <w:sz w:val="21"/>
          <w:szCs w:val="21"/>
        </w:rPr>
        <w:t>(</w:t>
      </w:r>
      <w:proofErr w:type="spellStart"/>
      <w:r w:rsidR="00411B02" w:rsidRPr="00CA4352">
        <w:rPr>
          <w:rFonts w:cs="Tahoma"/>
          <w:b/>
          <w:sz w:val="21"/>
          <w:szCs w:val="21"/>
        </w:rPr>
        <w:t>ii</w:t>
      </w:r>
      <w:proofErr w:type="spellEnd"/>
      <w:r w:rsidR="000C6F54" w:rsidRPr="00CA4352">
        <w:rPr>
          <w:rFonts w:cs="Tahoma"/>
          <w:b/>
          <w:sz w:val="21"/>
          <w:szCs w:val="21"/>
        </w:rPr>
        <w:t>)</w:t>
      </w:r>
      <w:r w:rsidR="000C6F54" w:rsidRPr="00CA4352">
        <w:rPr>
          <w:rFonts w:cs="Tahoma"/>
          <w:sz w:val="21"/>
          <w:szCs w:val="21"/>
        </w:rPr>
        <w:t xml:space="preserve"> permanecer em tesouraria; ou </w:t>
      </w:r>
      <w:r w:rsidR="000C6F54" w:rsidRPr="00CA4352">
        <w:rPr>
          <w:rFonts w:cs="Tahoma"/>
          <w:b/>
          <w:sz w:val="21"/>
          <w:szCs w:val="21"/>
        </w:rPr>
        <w:t>(</w:t>
      </w:r>
      <w:proofErr w:type="spellStart"/>
      <w:r w:rsidR="00411B02" w:rsidRPr="00CA4352">
        <w:rPr>
          <w:rFonts w:cs="Tahoma"/>
          <w:b/>
          <w:sz w:val="21"/>
          <w:szCs w:val="21"/>
        </w:rPr>
        <w:t>iii</w:t>
      </w:r>
      <w:proofErr w:type="spellEnd"/>
      <w:r w:rsidR="000C6F54" w:rsidRPr="00CA4352">
        <w:rPr>
          <w:rFonts w:cs="Tahoma"/>
          <w:b/>
          <w:sz w:val="21"/>
          <w:szCs w:val="21"/>
        </w:rPr>
        <w:t>)</w:t>
      </w:r>
      <w:r w:rsidR="000C6F54" w:rsidRPr="00CA4352">
        <w:rPr>
          <w:rFonts w:cs="Tahoma"/>
          <w:sz w:val="21"/>
          <w:szCs w:val="21"/>
        </w:rPr>
        <w:t xml:space="preserve"> ser novamente colocadas no mercado. As Debêntures da respectiva </w:t>
      </w:r>
      <w:r w:rsidR="00B76659" w:rsidRPr="00CA4352">
        <w:rPr>
          <w:rFonts w:cs="Tahoma"/>
          <w:sz w:val="21"/>
          <w:szCs w:val="21"/>
        </w:rPr>
        <w:t>S</w:t>
      </w:r>
      <w:r w:rsidR="000C6F54" w:rsidRPr="00CA4352">
        <w:rPr>
          <w:rFonts w:cs="Tahoma"/>
          <w:sz w:val="21"/>
          <w:szCs w:val="21"/>
        </w:rPr>
        <w:t xml:space="preserve">érie adquiridas pela </w:t>
      </w:r>
      <w:r w:rsidR="001F0627" w:rsidRPr="00CA4352">
        <w:rPr>
          <w:rFonts w:cs="Tahoma"/>
          <w:sz w:val="21"/>
          <w:szCs w:val="21"/>
        </w:rPr>
        <w:t>Companhia</w:t>
      </w:r>
      <w:r w:rsidR="000C6F54" w:rsidRPr="00CA4352">
        <w:rPr>
          <w:rFonts w:cs="Tahoma"/>
          <w:sz w:val="21"/>
          <w:szCs w:val="21"/>
        </w:rPr>
        <w:t xml:space="preserve"> para permanência em tesouraria, se e quando recolocadas no mercado, farão jus à mesma Remuneração aplicável às demais Debêntures da respectiva </w:t>
      </w:r>
      <w:r w:rsidR="00B76659" w:rsidRPr="00CA4352">
        <w:rPr>
          <w:rFonts w:cs="Tahoma"/>
          <w:sz w:val="21"/>
          <w:szCs w:val="21"/>
        </w:rPr>
        <w:t>S</w:t>
      </w:r>
      <w:r w:rsidR="000C6F54" w:rsidRPr="00CA4352">
        <w:rPr>
          <w:rFonts w:cs="Tahoma"/>
          <w:sz w:val="21"/>
          <w:szCs w:val="21"/>
        </w:rPr>
        <w:t>érie (“</w:t>
      </w:r>
      <w:r w:rsidR="000C6F54" w:rsidRPr="00CA4352">
        <w:rPr>
          <w:rFonts w:cs="Tahoma"/>
          <w:sz w:val="21"/>
          <w:szCs w:val="21"/>
          <w:u w:val="single"/>
        </w:rPr>
        <w:t>Aquisição Facultativa</w:t>
      </w:r>
      <w:r w:rsidR="000C6F54" w:rsidRPr="00CA4352">
        <w:rPr>
          <w:rFonts w:cs="Tahoma"/>
          <w:sz w:val="21"/>
          <w:szCs w:val="21"/>
        </w:rPr>
        <w:t xml:space="preserve">”). </w:t>
      </w:r>
    </w:p>
    <w:p w14:paraId="2EF99477" w14:textId="77777777" w:rsidR="00B5061D" w:rsidRPr="00CA4352" w:rsidRDefault="00B5061D" w:rsidP="002D43C4">
      <w:pPr>
        <w:pStyle w:val="Texto-MattosFilho"/>
        <w:spacing w:line="316" w:lineRule="exact"/>
        <w:ind w:left="1843"/>
        <w:rPr>
          <w:rFonts w:cs="Tahoma"/>
          <w:sz w:val="21"/>
          <w:szCs w:val="21"/>
        </w:rPr>
      </w:pPr>
    </w:p>
    <w:p w14:paraId="37C1564C" w14:textId="77777777" w:rsidR="003B081D" w:rsidRPr="00CA4352" w:rsidRDefault="003B081D" w:rsidP="002D43C4">
      <w:pPr>
        <w:pStyle w:val="Texto-MattosFilho"/>
        <w:numPr>
          <w:ilvl w:val="0"/>
          <w:numId w:val="7"/>
        </w:numPr>
        <w:spacing w:line="316" w:lineRule="exact"/>
        <w:ind w:left="1843" w:hanging="709"/>
        <w:rPr>
          <w:rFonts w:cs="Tahoma"/>
          <w:sz w:val="21"/>
          <w:szCs w:val="21"/>
        </w:rPr>
      </w:pPr>
      <w:r w:rsidRPr="00CA4352">
        <w:rPr>
          <w:rFonts w:cs="Tahoma"/>
          <w:b/>
          <w:sz w:val="21"/>
          <w:szCs w:val="21"/>
        </w:rPr>
        <w:t>Amortização Extraordinária e Resgate Antecipado Facultativo das Debêntures</w:t>
      </w:r>
      <w:r w:rsidRPr="00CA4352">
        <w:rPr>
          <w:rFonts w:cs="Tahoma"/>
          <w:sz w:val="21"/>
          <w:szCs w:val="21"/>
        </w:rPr>
        <w:t>:</w:t>
      </w:r>
      <w:r w:rsidR="008067C8" w:rsidRPr="00CA4352">
        <w:rPr>
          <w:rFonts w:cs="Tahoma"/>
          <w:sz w:val="21"/>
          <w:szCs w:val="21"/>
        </w:rPr>
        <w:t xml:space="preserve"> Não será admitida a amortização extraordinária facultativa das Debêntures nem o seu resgate antecipado facultativo, exceto pelo resgate antecipado decorrente da Oferta de Resgate Antecipado Total, conforme disposto na Escritura de Emissão. </w:t>
      </w:r>
    </w:p>
    <w:p w14:paraId="0F187CE0" w14:textId="77777777" w:rsidR="00B5061D" w:rsidRPr="00CA4352" w:rsidRDefault="00B5061D" w:rsidP="002D43C4">
      <w:pPr>
        <w:pStyle w:val="Texto-MattosFilho"/>
        <w:spacing w:line="316" w:lineRule="exact"/>
        <w:ind w:left="1843"/>
        <w:rPr>
          <w:rFonts w:cs="Tahoma"/>
          <w:sz w:val="21"/>
          <w:szCs w:val="21"/>
        </w:rPr>
      </w:pPr>
    </w:p>
    <w:p w14:paraId="397B59FE" w14:textId="2F646B05" w:rsidR="003B081D" w:rsidRPr="00CA4352" w:rsidRDefault="00B5061D" w:rsidP="002D43C4">
      <w:pPr>
        <w:pStyle w:val="Texto-MattosFilho"/>
        <w:numPr>
          <w:ilvl w:val="0"/>
          <w:numId w:val="7"/>
        </w:numPr>
        <w:spacing w:line="316" w:lineRule="exact"/>
        <w:ind w:left="1843" w:hanging="709"/>
        <w:rPr>
          <w:rFonts w:cs="Tahoma"/>
          <w:sz w:val="21"/>
          <w:szCs w:val="21"/>
        </w:rPr>
      </w:pPr>
      <w:r w:rsidRPr="00CA4352">
        <w:rPr>
          <w:rFonts w:cs="Tahoma"/>
          <w:b/>
          <w:sz w:val="21"/>
          <w:szCs w:val="21"/>
        </w:rPr>
        <w:t xml:space="preserve">Oferta </w:t>
      </w:r>
      <w:r w:rsidR="003B081D" w:rsidRPr="00CA4352">
        <w:rPr>
          <w:rFonts w:cs="Tahoma"/>
          <w:b/>
          <w:sz w:val="21"/>
          <w:szCs w:val="21"/>
        </w:rPr>
        <w:t xml:space="preserve">de Resgate Antecipado </w:t>
      </w:r>
      <w:r w:rsidR="00897158" w:rsidRPr="00CA4352">
        <w:rPr>
          <w:rFonts w:cs="Tahoma"/>
          <w:b/>
          <w:sz w:val="21"/>
          <w:szCs w:val="21"/>
        </w:rPr>
        <w:t>Total</w:t>
      </w:r>
      <w:r w:rsidR="003B081D" w:rsidRPr="00CA4352">
        <w:rPr>
          <w:rFonts w:cs="Tahoma"/>
          <w:sz w:val="21"/>
          <w:szCs w:val="21"/>
        </w:rPr>
        <w:t xml:space="preserve">: </w:t>
      </w:r>
      <w:r w:rsidR="008067C8" w:rsidRPr="00CA4352">
        <w:rPr>
          <w:rFonts w:cs="Tahoma"/>
          <w:sz w:val="21"/>
          <w:szCs w:val="21"/>
        </w:rPr>
        <w:t xml:space="preserve">A </w:t>
      </w:r>
      <w:r w:rsidR="001F0627" w:rsidRPr="00CA4352">
        <w:rPr>
          <w:rFonts w:cs="Tahoma"/>
          <w:sz w:val="21"/>
          <w:szCs w:val="21"/>
        </w:rPr>
        <w:t>Companhia</w:t>
      </w:r>
      <w:r w:rsidR="008067C8" w:rsidRPr="00CA4352">
        <w:rPr>
          <w:rFonts w:cs="Tahoma"/>
          <w:sz w:val="21"/>
          <w:szCs w:val="21"/>
        </w:rPr>
        <w:t xml:space="preserve"> poderá, observados os termos e condições estabelecidos na Escritura de Emissão, a seu exclusivo critério, realizar, a qualquer tempo, oferta de resgate antecipado total das Debêntures de cada </w:t>
      </w:r>
      <w:r w:rsidR="00B76659" w:rsidRPr="00CA4352">
        <w:rPr>
          <w:rFonts w:cs="Tahoma"/>
          <w:sz w:val="21"/>
          <w:szCs w:val="21"/>
        </w:rPr>
        <w:t>S</w:t>
      </w:r>
      <w:r w:rsidR="008067C8" w:rsidRPr="00CA4352">
        <w:rPr>
          <w:rFonts w:cs="Tahoma"/>
          <w:sz w:val="21"/>
          <w:szCs w:val="21"/>
        </w:rPr>
        <w:t xml:space="preserve">érie, que </w:t>
      </w:r>
      <w:r w:rsidR="00B76659" w:rsidRPr="00CA4352">
        <w:rPr>
          <w:rFonts w:cs="Tahoma"/>
          <w:sz w:val="21"/>
          <w:szCs w:val="21"/>
        </w:rPr>
        <w:t>poderá ser</w:t>
      </w:r>
      <w:r w:rsidR="008067C8" w:rsidRPr="00CA4352">
        <w:rPr>
          <w:rFonts w:cs="Tahoma"/>
          <w:sz w:val="21"/>
          <w:szCs w:val="21"/>
        </w:rPr>
        <w:t xml:space="preserve"> realizada de forma </w:t>
      </w:r>
      <w:r w:rsidR="00B76659" w:rsidRPr="00CA4352">
        <w:rPr>
          <w:rFonts w:cs="Tahoma"/>
          <w:sz w:val="21"/>
          <w:szCs w:val="21"/>
        </w:rPr>
        <w:t xml:space="preserve">conjunta ou </w:t>
      </w:r>
      <w:r w:rsidR="008067C8" w:rsidRPr="00CA4352">
        <w:rPr>
          <w:rFonts w:cs="Tahoma"/>
          <w:sz w:val="21"/>
          <w:szCs w:val="21"/>
        </w:rPr>
        <w:t xml:space="preserve">independente entre </w:t>
      </w:r>
      <w:r w:rsidR="00B76659" w:rsidRPr="00CA4352">
        <w:rPr>
          <w:rFonts w:cs="Tahoma"/>
          <w:sz w:val="21"/>
          <w:szCs w:val="21"/>
        </w:rPr>
        <w:t>as Séries</w:t>
      </w:r>
      <w:r w:rsidR="008067C8" w:rsidRPr="00CA4352">
        <w:rPr>
          <w:rFonts w:cs="Tahoma"/>
          <w:sz w:val="21"/>
          <w:szCs w:val="21"/>
        </w:rPr>
        <w:t xml:space="preserve">, com o consequente cancelamento de tais Debêntures da respectiva </w:t>
      </w:r>
      <w:r w:rsidR="00B76659" w:rsidRPr="00CA4352">
        <w:rPr>
          <w:rFonts w:cs="Tahoma"/>
          <w:sz w:val="21"/>
          <w:szCs w:val="21"/>
        </w:rPr>
        <w:t>S</w:t>
      </w:r>
      <w:r w:rsidR="008067C8" w:rsidRPr="00CA4352">
        <w:rPr>
          <w:rFonts w:cs="Tahoma"/>
          <w:sz w:val="21"/>
          <w:szCs w:val="21"/>
        </w:rPr>
        <w:t xml:space="preserve">érie, endereçada a todos os Debenturistas da respectiva </w:t>
      </w:r>
      <w:r w:rsidR="00B76659" w:rsidRPr="00CA4352">
        <w:rPr>
          <w:rFonts w:cs="Tahoma"/>
          <w:sz w:val="21"/>
          <w:szCs w:val="21"/>
        </w:rPr>
        <w:t>S</w:t>
      </w:r>
      <w:r w:rsidR="008067C8" w:rsidRPr="00CA4352">
        <w:rPr>
          <w:rFonts w:cs="Tahoma"/>
          <w:sz w:val="21"/>
          <w:szCs w:val="21"/>
        </w:rPr>
        <w:t xml:space="preserve">érie, sem distinção, assegurada a igualdade de condições a todos </w:t>
      </w:r>
      <w:r w:rsidR="008067C8" w:rsidRPr="00CA4352">
        <w:rPr>
          <w:rFonts w:cs="Tahoma"/>
          <w:iCs/>
          <w:sz w:val="21"/>
          <w:szCs w:val="21"/>
        </w:rPr>
        <w:t xml:space="preserve">os Debenturistas da respectiva </w:t>
      </w:r>
      <w:r w:rsidR="00B76659" w:rsidRPr="00CA4352">
        <w:rPr>
          <w:rFonts w:cs="Tahoma"/>
          <w:iCs/>
          <w:sz w:val="21"/>
          <w:szCs w:val="21"/>
        </w:rPr>
        <w:t>S</w:t>
      </w:r>
      <w:r w:rsidR="008067C8" w:rsidRPr="00CA4352">
        <w:rPr>
          <w:rFonts w:cs="Tahoma"/>
          <w:iCs/>
          <w:sz w:val="21"/>
          <w:szCs w:val="21"/>
        </w:rPr>
        <w:t xml:space="preserve">érie, para aceitar o resgate antecipado das </w:t>
      </w:r>
      <w:r w:rsidR="008067C8" w:rsidRPr="00CA4352">
        <w:rPr>
          <w:rFonts w:cs="Tahoma"/>
          <w:sz w:val="21"/>
          <w:szCs w:val="21"/>
        </w:rPr>
        <w:t xml:space="preserve">Debêntures da respectiva </w:t>
      </w:r>
      <w:r w:rsidR="00B76659" w:rsidRPr="00CA4352">
        <w:rPr>
          <w:rFonts w:cs="Tahoma"/>
          <w:sz w:val="21"/>
          <w:szCs w:val="21"/>
        </w:rPr>
        <w:t>S</w:t>
      </w:r>
      <w:r w:rsidR="008067C8" w:rsidRPr="00CA4352">
        <w:rPr>
          <w:rFonts w:cs="Tahoma"/>
          <w:sz w:val="21"/>
          <w:szCs w:val="21"/>
        </w:rPr>
        <w:t>érie de que forem titulares, conforme o caso</w:t>
      </w:r>
      <w:r w:rsidR="008067C8" w:rsidRPr="00CA4352">
        <w:rPr>
          <w:rFonts w:cs="Tahoma"/>
          <w:iCs/>
          <w:sz w:val="21"/>
          <w:szCs w:val="21"/>
        </w:rPr>
        <w:t xml:space="preserve"> ("</w:t>
      </w:r>
      <w:r w:rsidR="008067C8" w:rsidRPr="00CA4352">
        <w:rPr>
          <w:rFonts w:cs="Tahoma"/>
          <w:iCs/>
          <w:sz w:val="21"/>
          <w:szCs w:val="21"/>
          <w:u w:val="single"/>
        </w:rPr>
        <w:t>Oferta de Resgate Antecipado Total</w:t>
      </w:r>
      <w:r w:rsidR="008067C8" w:rsidRPr="00CA4352">
        <w:rPr>
          <w:rFonts w:cs="Tahoma"/>
          <w:iCs/>
          <w:sz w:val="21"/>
          <w:szCs w:val="21"/>
        </w:rPr>
        <w:t xml:space="preserve">"). O valor a ser pago em relação a cada uma das Debêntures da respectiva </w:t>
      </w:r>
      <w:r w:rsidR="00B76659" w:rsidRPr="00CA4352">
        <w:rPr>
          <w:rFonts w:cs="Tahoma"/>
          <w:iCs/>
          <w:sz w:val="21"/>
          <w:szCs w:val="21"/>
        </w:rPr>
        <w:t>S</w:t>
      </w:r>
      <w:r w:rsidR="008067C8" w:rsidRPr="00CA4352">
        <w:rPr>
          <w:rFonts w:cs="Tahoma"/>
          <w:iCs/>
          <w:sz w:val="21"/>
          <w:szCs w:val="21"/>
        </w:rPr>
        <w:t xml:space="preserve">érie no âmbito da Oferta de Resgate Antecipado Total será equivalente ao Valor Nominal Unitário das Debêntures da respectiva </w:t>
      </w:r>
      <w:r w:rsidR="00B76659" w:rsidRPr="00CA4352">
        <w:rPr>
          <w:rFonts w:cs="Tahoma"/>
          <w:iCs/>
          <w:sz w:val="21"/>
          <w:szCs w:val="21"/>
        </w:rPr>
        <w:t>S</w:t>
      </w:r>
      <w:r w:rsidR="008067C8" w:rsidRPr="00CA4352">
        <w:rPr>
          <w:rFonts w:cs="Tahoma"/>
          <w:iCs/>
          <w:sz w:val="21"/>
          <w:szCs w:val="21"/>
        </w:rPr>
        <w:t xml:space="preserve">érie, acrescido </w:t>
      </w:r>
      <w:r w:rsidR="008067C8" w:rsidRPr="00CA4352">
        <w:rPr>
          <w:rFonts w:cs="Tahoma"/>
          <w:b/>
          <w:iCs/>
          <w:sz w:val="21"/>
          <w:szCs w:val="21"/>
        </w:rPr>
        <w:t xml:space="preserve">(a) </w:t>
      </w:r>
      <w:r w:rsidR="008067C8" w:rsidRPr="00CA4352">
        <w:rPr>
          <w:rFonts w:cs="Tahoma"/>
          <w:iCs/>
          <w:sz w:val="21"/>
          <w:szCs w:val="21"/>
        </w:rPr>
        <w:t xml:space="preserve">da respectiva Remuneração das Debêntures, calculada </w:t>
      </w:r>
      <w:r w:rsidR="008067C8" w:rsidRPr="00CA4352">
        <w:rPr>
          <w:rFonts w:cs="Tahoma"/>
          <w:i/>
          <w:iCs/>
          <w:sz w:val="21"/>
          <w:szCs w:val="21"/>
        </w:rPr>
        <w:t xml:space="preserve">pro rata </w:t>
      </w:r>
      <w:proofErr w:type="spellStart"/>
      <w:r w:rsidR="008067C8" w:rsidRPr="00CA4352">
        <w:rPr>
          <w:rFonts w:cs="Tahoma"/>
          <w:i/>
          <w:iCs/>
          <w:sz w:val="21"/>
          <w:szCs w:val="21"/>
        </w:rPr>
        <w:t>temporis</w:t>
      </w:r>
      <w:proofErr w:type="spellEnd"/>
      <w:r w:rsidR="008067C8" w:rsidRPr="00CA4352">
        <w:rPr>
          <w:rFonts w:cs="Tahoma"/>
          <w:iCs/>
          <w:sz w:val="21"/>
          <w:szCs w:val="21"/>
        </w:rPr>
        <w:t xml:space="preserve"> desde a Data da Primeira Integralização das Debêntures da respectiva </w:t>
      </w:r>
      <w:r w:rsidR="00B76659" w:rsidRPr="00CA4352">
        <w:rPr>
          <w:rFonts w:cs="Tahoma"/>
          <w:iCs/>
          <w:sz w:val="21"/>
          <w:szCs w:val="21"/>
        </w:rPr>
        <w:t>S</w:t>
      </w:r>
      <w:r w:rsidR="008067C8" w:rsidRPr="00CA4352">
        <w:rPr>
          <w:rFonts w:cs="Tahoma"/>
          <w:iCs/>
          <w:sz w:val="21"/>
          <w:szCs w:val="21"/>
        </w:rPr>
        <w:t xml:space="preserve">érie, ou a Data de Pagamento de Remuneração das Debêntures da respectiva </w:t>
      </w:r>
      <w:r w:rsidR="00B76659" w:rsidRPr="00CA4352">
        <w:rPr>
          <w:rFonts w:cs="Tahoma"/>
          <w:iCs/>
          <w:sz w:val="21"/>
          <w:szCs w:val="21"/>
        </w:rPr>
        <w:t>S</w:t>
      </w:r>
      <w:r w:rsidR="008067C8" w:rsidRPr="00CA4352">
        <w:rPr>
          <w:rFonts w:cs="Tahoma"/>
          <w:iCs/>
          <w:sz w:val="21"/>
          <w:szCs w:val="21"/>
        </w:rPr>
        <w:t xml:space="preserve">érie, conforme o caso, imediatamente anterior, até a data do efetivo pagamento; e </w:t>
      </w:r>
      <w:r w:rsidR="008067C8" w:rsidRPr="00CA4352">
        <w:rPr>
          <w:rFonts w:cs="Tahoma"/>
          <w:b/>
          <w:iCs/>
          <w:sz w:val="21"/>
          <w:szCs w:val="21"/>
        </w:rPr>
        <w:t>(b)</w:t>
      </w:r>
      <w:r w:rsidR="008067C8" w:rsidRPr="00CA4352">
        <w:rPr>
          <w:rFonts w:cs="Tahoma"/>
          <w:iCs/>
          <w:sz w:val="21"/>
          <w:szCs w:val="21"/>
        </w:rPr>
        <w:t xml:space="preserve"> se for o caso, de prêmio de resgate antecipado a ser oferecido aos Debenturistas da respectiva </w:t>
      </w:r>
      <w:r w:rsidR="00B76659" w:rsidRPr="00CA4352">
        <w:rPr>
          <w:rFonts w:cs="Tahoma"/>
          <w:iCs/>
          <w:sz w:val="21"/>
          <w:szCs w:val="21"/>
        </w:rPr>
        <w:t>S</w:t>
      </w:r>
      <w:r w:rsidR="008067C8" w:rsidRPr="00CA4352">
        <w:rPr>
          <w:rFonts w:cs="Tahoma"/>
          <w:iCs/>
          <w:sz w:val="21"/>
          <w:szCs w:val="21"/>
        </w:rPr>
        <w:t xml:space="preserve">érie, a exclusivo critério da </w:t>
      </w:r>
      <w:r w:rsidR="001F0627" w:rsidRPr="00CA4352">
        <w:rPr>
          <w:rFonts w:cs="Tahoma"/>
          <w:iCs/>
          <w:sz w:val="21"/>
          <w:szCs w:val="21"/>
        </w:rPr>
        <w:t>Companhia</w:t>
      </w:r>
      <w:r w:rsidR="008067C8" w:rsidRPr="00CA4352">
        <w:rPr>
          <w:rFonts w:cs="Tahoma"/>
          <w:iCs/>
          <w:sz w:val="21"/>
          <w:szCs w:val="21"/>
        </w:rPr>
        <w:t xml:space="preserve">, o qual não poderá ser negativo. </w:t>
      </w:r>
    </w:p>
    <w:p w14:paraId="4C383D17" w14:textId="77777777" w:rsidR="00B5061D" w:rsidRPr="00CA4352" w:rsidRDefault="00B5061D" w:rsidP="002D43C4">
      <w:pPr>
        <w:pStyle w:val="Texto-MattosFilho"/>
        <w:spacing w:line="316" w:lineRule="exact"/>
        <w:ind w:left="1843"/>
        <w:rPr>
          <w:rFonts w:cs="Tahoma"/>
          <w:sz w:val="21"/>
          <w:szCs w:val="21"/>
        </w:rPr>
      </w:pPr>
    </w:p>
    <w:p w14:paraId="3C855BA7" w14:textId="5DFD13CF" w:rsidR="0014078A" w:rsidRPr="00CA4352" w:rsidRDefault="003B081D" w:rsidP="002D43C4">
      <w:pPr>
        <w:pStyle w:val="Texto-MattosFilho"/>
        <w:numPr>
          <w:ilvl w:val="0"/>
          <w:numId w:val="7"/>
        </w:numPr>
        <w:spacing w:line="316" w:lineRule="exact"/>
        <w:ind w:left="1843" w:hanging="709"/>
        <w:rPr>
          <w:rFonts w:cs="Tahoma"/>
          <w:sz w:val="21"/>
          <w:szCs w:val="21"/>
        </w:rPr>
      </w:pPr>
      <w:r w:rsidRPr="00CA4352">
        <w:rPr>
          <w:rFonts w:cs="Tahoma"/>
          <w:b/>
          <w:sz w:val="21"/>
          <w:szCs w:val="21"/>
        </w:rPr>
        <w:t>Vencimento Antecipado</w:t>
      </w:r>
      <w:r w:rsidR="000B290B" w:rsidRPr="00CA4352">
        <w:rPr>
          <w:rFonts w:cs="Tahoma"/>
          <w:b/>
          <w:sz w:val="21"/>
          <w:szCs w:val="21"/>
        </w:rPr>
        <w:t xml:space="preserve"> Automático</w:t>
      </w:r>
      <w:r w:rsidRPr="00CA4352">
        <w:rPr>
          <w:rFonts w:cs="Tahoma"/>
          <w:sz w:val="21"/>
          <w:szCs w:val="21"/>
        </w:rPr>
        <w:t>:</w:t>
      </w:r>
      <w:r w:rsidR="000B290B" w:rsidRPr="00CA4352">
        <w:rPr>
          <w:rFonts w:cs="Tahoma"/>
          <w:sz w:val="21"/>
          <w:szCs w:val="21"/>
        </w:rPr>
        <w:t xml:space="preserve"> O Agente Fiduciário deverá, automaticamente, independentemente de aviso, notificação ou interpelação judicial ou extrajudicial à </w:t>
      </w:r>
      <w:r w:rsidR="00411B02" w:rsidRPr="00CA4352">
        <w:rPr>
          <w:rFonts w:cs="Tahoma"/>
          <w:sz w:val="21"/>
          <w:szCs w:val="21"/>
        </w:rPr>
        <w:t>Companhia</w:t>
      </w:r>
      <w:r w:rsidR="000B290B" w:rsidRPr="00CA4352">
        <w:rPr>
          <w:rFonts w:cs="Tahoma"/>
          <w:sz w:val="21"/>
          <w:szCs w:val="21"/>
        </w:rPr>
        <w:t xml:space="preserve">, declarar, em até 1 (um) Dia Útil contado da ciência da ocorrência das hipóteses abaixo, antecipadamente vencidas e </w:t>
      </w:r>
      <w:r w:rsidR="000B290B" w:rsidRPr="00CA4352">
        <w:rPr>
          <w:rFonts w:cs="Tahoma"/>
          <w:sz w:val="21"/>
          <w:szCs w:val="21"/>
        </w:rPr>
        <w:lastRenderedPageBreak/>
        <w:t xml:space="preserve">imediatamente exigíveis todas as obrigações da </w:t>
      </w:r>
      <w:r w:rsidR="00411B02" w:rsidRPr="00CA4352">
        <w:rPr>
          <w:rFonts w:cs="Tahoma"/>
          <w:sz w:val="21"/>
          <w:szCs w:val="21"/>
        </w:rPr>
        <w:t>Companhia</w:t>
      </w:r>
      <w:r w:rsidR="000B290B" w:rsidRPr="00CA4352">
        <w:rPr>
          <w:rFonts w:cs="Tahoma"/>
          <w:sz w:val="21"/>
          <w:szCs w:val="21"/>
        </w:rPr>
        <w:t xml:space="preserve"> referentes às Debêntures, sempre respeitados os prazos de cura específicos determinados nos itens abaixo, e exigir da </w:t>
      </w:r>
      <w:r w:rsidR="00411B02" w:rsidRPr="00CA4352">
        <w:rPr>
          <w:rFonts w:cs="Tahoma"/>
          <w:sz w:val="21"/>
          <w:szCs w:val="21"/>
        </w:rPr>
        <w:t>Companhia</w:t>
      </w:r>
      <w:r w:rsidR="000B290B" w:rsidRPr="00CA4352">
        <w:rPr>
          <w:rFonts w:cs="Tahoma"/>
          <w:sz w:val="21"/>
          <w:szCs w:val="21"/>
        </w:rPr>
        <w:t xml:space="preserve"> o pagamento em até 2 (dois) Dias Úteis, contados do recebimento da notificação acima referida pela </w:t>
      </w:r>
      <w:r w:rsidR="00411B02" w:rsidRPr="00CA4352">
        <w:rPr>
          <w:rFonts w:cs="Tahoma"/>
          <w:sz w:val="21"/>
          <w:szCs w:val="21"/>
        </w:rPr>
        <w:t>Companhia</w:t>
      </w:r>
      <w:r w:rsidR="000B290B" w:rsidRPr="00CA4352">
        <w:rPr>
          <w:rFonts w:cs="Tahoma"/>
          <w:sz w:val="21"/>
          <w:szCs w:val="21"/>
        </w:rPr>
        <w:t xml:space="preserve">, do Valor Nominal Unitário das Debêntures da Primeira Série e do Valor Nominal Unitário das Debêntures da Segunda Série, acrescido da respectiva Remuneração devida até a data do efetivo pagamento, calculada </w:t>
      </w:r>
      <w:r w:rsidR="000B290B" w:rsidRPr="00CA4352">
        <w:rPr>
          <w:rFonts w:cs="Tahoma"/>
          <w:i/>
          <w:sz w:val="21"/>
          <w:szCs w:val="21"/>
        </w:rPr>
        <w:t xml:space="preserve">pro rata </w:t>
      </w:r>
      <w:proofErr w:type="spellStart"/>
      <w:r w:rsidR="000B290B" w:rsidRPr="00CA4352">
        <w:rPr>
          <w:rFonts w:cs="Tahoma"/>
          <w:i/>
          <w:sz w:val="21"/>
          <w:szCs w:val="21"/>
        </w:rPr>
        <w:t>temporis</w:t>
      </w:r>
      <w:proofErr w:type="spellEnd"/>
      <w:r w:rsidR="000B290B" w:rsidRPr="00CA4352">
        <w:rPr>
          <w:rFonts w:cs="Tahoma"/>
          <w:sz w:val="21"/>
          <w:szCs w:val="21"/>
        </w:rPr>
        <w:t xml:space="preserve">, dos Encargos Moratórios, se houver, e de quaisquer outros valores eventualmente devidos pela </w:t>
      </w:r>
      <w:r w:rsidR="00411B02" w:rsidRPr="00CA4352">
        <w:rPr>
          <w:rFonts w:cs="Tahoma"/>
          <w:sz w:val="21"/>
          <w:szCs w:val="21"/>
        </w:rPr>
        <w:t>Companhia</w:t>
      </w:r>
      <w:r w:rsidR="000B290B" w:rsidRPr="00CA4352">
        <w:rPr>
          <w:rFonts w:cs="Tahoma"/>
          <w:sz w:val="21"/>
          <w:szCs w:val="21"/>
        </w:rPr>
        <w:t xml:space="preserve"> nos termos da Escritura de Emissão, na ciência da ocorrência de qualquer das seguintes hipóteses</w:t>
      </w:r>
      <w:r w:rsidR="00CA4352" w:rsidRPr="00CA4352">
        <w:rPr>
          <w:rFonts w:cs="Tahoma"/>
          <w:sz w:val="21"/>
          <w:szCs w:val="21"/>
        </w:rPr>
        <w:t xml:space="preserve"> (“</w:t>
      </w:r>
      <w:r w:rsidR="00CA4352" w:rsidRPr="00CA4352">
        <w:rPr>
          <w:rFonts w:cs="Tahoma"/>
          <w:sz w:val="21"/>
          <w:szCs w:val="21"/>
          <w:u w:val="single"/>
        </w:rPr>
        <w:t>Eventos de Vencimento Antecipado Automático</w:t>
      </w:r>
      <w:r w:rsidR="00CA4352" w:rsidRPr="00CA4352">
        <w:rPr>
          <w:rFonts w:cs="Tahoma"/>
          <w:sz w:val="21"/>
          <w:szCs w:val="21"/>
        </w:rPr>
        <w:t>”)</w:t>
      </w:r>
      <w:r w:rsidR="0014078A" w:rsidRPr="00CA4352">
        <w:rPr>
          <w:rFonts w:cs="Tahoma"/>
          <w:sz w:val="21"/>
          <w:szCs w:val="21"/>
        </w:rPr>
        <w:t xml:space="preserve">: </w:t>
      </w:r>
      <w:r w:rsidR="0014078A" w:rsidRPr="00CA4352">
        <w:rPr>
          <w:rFonts w:eastAsia="Calibri" w:cs="Tahoma"/>
          <w:b/>
          <w:w w:val="0"/>
          <w:sz w:val="21"/>
          <w:szCs w:val="21"/>
          <w:lang w:eastAsia="en-US"/>
        </w:rPr>
        <w:t>(i)</w:t>
      </w:r>
      <w:r w:rsidR="0014078A" w:rsidRPr="00CA4352">
        <w:rPr>
          <w:rFonts w:eastAsia="Calibri" w:cs="Tahoma"/>
          <w:w w:val="0"/>
          <w:sz w:val="21"/>
          <w:szCs w:val="21"/>
          <w:lang w:eastAsia="en-US"/>
        </w:rPr>
        <w:t xml:space="preserve"> inadimplemento, pela </w:t>
      </w:r>
      <w:r w:rsidR="00411B02" w:rsidRPr="00CA4352">
        <w:rPr>
          <w:rFonts w:eastAsia="Calibri" w:cs="Tahoma"/>
          <w:w w:val="0"/>
          <w:sz w:val="21"/>
          <w:szCs w:val="21"/>
          <w:lang w:eastAsia="en-US"/>
        </w:rPr>
        <w:t>Companhia</w:t>
      </w:r>
      <w:r w:rsidR="0014078A" w:rsidRPr="00CA4352">
        <w:rPr>
          <w:rFonts w:eastAsia="Calibri" w:cs="Tahoma"/>
          <w:w w:val="0"/>
          <w:sz w:val="21"/>
          <w:szCs w:val="21"/>
          <w:lang w:eastAsia="en-US"/>
        </w:rPr>
        <w:t xml:space="preserve"> e/ou pela Fiadora, de qualquer obrigação pecuniária relativa às Debêntures e/ou prevista n</w:t>
      </w:r>
      <w:r w:rsidR="00411B02" w:rsidRPr="00CA4352">
        <w:rPr>
          <w:rFonts w:eastAsia="Calibri" w:cs="Tahoma"/>
          <w:w w:val="0"/>
          <w:sz w:val="21"/>
          <w:szCs w:val="21"/>
          <w:lang w:eastAsia="en-US"/>
        </w:rPr>
        <w:t>a Escritura</w:t>
      </w:r>
      <w:r w:rsidR="0014078A" w:rsidRPr="00CA4352">
        <w:rPr>
          <w:rFonts w:eastAsia="Calibri" w:cs="Tahoma"/>
          <w:w w:val="0"/>
          <w:sz w:val="21"/>
          <w:szCs w:val="21"/>
          <w:lang w:eastAsia="en-US"/>
        </w:rPr>
        <w:t xml:space="preserve"> </w:t>
      </w:r>
      <w:r w:rsidR="0014078A" w:rsidRPr="00CA4352">
        <w:rPr>
          <w:rFonts w:eastAsia="Arial Unicode MS" w:cs="Tahoma"/>
          <w:w w:val="0"/>
          <w:sz w:val="21"/>
          <w:szCs w:val="21"/>
        </w:rPr>
        <w:t xml:space="preserve">de Emissão </w:t>
      </w:r>
      <w:r w:rsidR="0014078A" w:rsidRPr="00CA4352">
        <w:rPr>
          <w:rFonts w:eastAsia="Calibri" w:cs="Tahoma"/>
          <w:w w:val="0"/>
          <w:sz w:val="21"/>
          <w:szCs w:val="21"/>
          <w:lang w:eastAsia="en-US"/>
        </w:rPr>
        <w:t xml:space="preserve">na respectiva data de pagamento, não sanado </w:t>
      </w:r>
      <w:r w:rsidR="002D43C4">
        <w:rPr>
          <w:rFonts w:eastAsia="Calibri" w:cs="Tahoma"/>
          <w:w w:val="0"/>
          <w:sz w:val="21"/>
          <w:szCs w:val="21"/>
          <w:lang w:eastAsia="en-US"/>
        </w:rPr>
        <w:t>em</w:t>
      </w:r>
      <w:r w:rsidR="0014078A" w:rsidRPr="00CA4352">
        <w:rPr>
          <w:rFonts w:eastAsia="Calibri" w:cs="Tahoma"/>
          <w:w w:val="0"/>
          <w:sz w:val="21"/>
          <w:szCs w:val="21"/>
          <w:lang w:eastAsia="en-US"/>
        </w:rPr>
        <w:t xml:space="preserve"> 1 (um) Dia Út</w:t>
      </w:r>
      <w:r w:rsidR="002D43C4">
        <w:rPr>
          <w:rFonts w:eastAsia="Calibri" w:cs="Tahoma"/>
          <w:w w:val="0"/>
          <w:sz w:val="21"/>
          <w:szCs w:val="21"/>
          <w:lang w:eastAsia="en-US"/>
        </w:rPr>
        <w:t>il</w:t>
      </w:r>
      <w:r w:rsidR="0014078A" w:rsidRPr="00CA4352">
        <w:rPr>
          <w:rFonts w:eastAsia="Calibri" w:cs="Tahoma"/>
          <w:w w:val="0"/>
          <w:sz w:val="21"/>
          <w:szCs w:val="21"/>
          <w:lang w:eastAsia="en-US"/>
        </w:rPr>
        <w:t xml:space="preserve">; </w:t>
      </w:r>
      <w:r w:rsidR="0014078A" w:rsidRPr="00CA4352">
        <w:rPr>
          <w:rFonts w:eastAsia="Calibri" w:cs="Tahoma"/>
          <w:b/>
          <w:w w:val="0"/>
          <w:sz w:val="21"/>
          <w:szCs w:val="21"/>
          <w:lang w:eastAsia="en-US"/>
        </w:rPr>
        <w:t>(</w:t>
      </w:r>
      <w:proofErr w:type="spellStart"/>
      <w:r w:rsidR="0014078A" w:rsidRPr="00CA4352">
        <w:rPr>
          <w:rFonts w:eastAsia="Calibri" w:cs="Tahoma"/>
          <w:b/>
          <w:w w:val="0"/>
          <w:sz w:val="21"/>
          <w:szCs w:val="21"/>
          <w:lang w:eastAsia="en-US"/>
        </w:rPr>
        <w:t>ii</w:t>
      </w:r>
      <w:proofErr w:type="spellEnd"/>
      <w:r w:rsidR="0014078A" w:rsidRPr="00CA4352">
        <w:rPr>
          <w:rFonts w:eastAsia="Calibri" w:cs="Tahoma"/>
          <w:b/>
          <w:w w:val="0"/>
          <w:sz w:val="21"/>
          <w:szCs w:val="21"/>
          <w:lang w:eastAsia="en-US"/>
        </w:rPr>
        <w:t>)</w:t>
      </w:r>
      <w:r w:rsidR="0014078A" w:rsidRPr="00CA4352">
        <w:rPr>
          <w:rFonts w:eastAsia="Calibri" w:cs="Tahoma"/>
          <w:w w:val="0"/>
          <w:sz w:val="21"/>
          <w:szCs w:val="21"/>
          <w:lang w:eastAsia="en-US"/>
        </w:rPr>
        <w:t xml:space="preserve"> </w:t>
      </w:r>
      <w:r w:rsidR="0014078A" w:rsidRPr="00CA4352">
        <w:rPr>
          <w:rFonts w:eastAsia="Calibri" w:cs="Tahoma"/>
          <w:b/>
          <w:w w:val="0"/>
          <w:sz w:val="21"/>
          <w:szCs w:val="21"/>
          <w:lang w:eastAsia="en-US"/>
        </w:rPr>
        <w:t>(1)</w:t>
      </w:r>
      <w:r w:rsidR="0014078A" w:rsidRPr="00CA4352">
        <w:rPr>
          <w:rFonts w:eastAsia="Calibri" w:cs="Tahoma"/>
          <w:w w:val="0"/>
          <w:sz w:val="21"/>
          <w:szCs w:val="21"/>
          <w:lang w:eastAsia="en-US"/>
        </w:rPr>
        <w:t xml:space="preserve"> liquidação, dissolução ou extinção da </w:t>
      </w:r>
      <w:r w:rsidR="00411B02" w:rsidRPr="00CA4352">
        <w:rPr>
          <w:rFonts w:eastAsia="Calibri" w:cs="Tahoma"/>
          <w:w w:val="0"/>
          <w:sz w:val="21"/>
          <w:szCs w:val="21"/>
          <w:lang w:eastAsia="en-US"/>
        </w:rPr>
        <w:t>Companhia</w:t>
      </w:r>
      <w:r w:rsidR="0014078A" w:rsidRPr="00CA4352">
        <w:rPr>
          <w:rFonts w:eastAsia="Calibri" w:cs="Tahoma"/>
          <w:w w:val="0"/>
          <w:sz w:val="21"/>
          <w:szCs w:val="21"/>
          <w:lang w:eastAsia="en-US"/>
        </w:rPr>
        <w:t>, da Fiadora e/ou de qualquer de suas respectivas controladas ou coligadas, exceto se a liquidação, dissolução e/ou extinção decorrer de uma operação societária que não constitua um evento de vencimento antecipado nos termos dos incisos (</w:t>
      </w:r>
      <w:proofErr w:type="spellStart"/>
      <w:r w:rsidR="0014078A" w:rsidRPr="00CA4352">
        <w:rPr>
          <w:rFonts w:eastAsia="Calibri" w:cs="Tahoma"/>
          <w:w w:val="0"/>
          <w:sz w:val="21"/>
          <w:szCs w:val="21"/>
          <w:lang w:eastAsia="en-US"/>
        </w:rPr>
        <w:t>xiii</w:t>
      </w:r>
      <w:proofErr w:type="spellEnd"/>
      <w:r w:rsidR="0014078A" w:rsidRPr="00CA4352">
        <w:rPr>
          <w:rFonts w:eastAsia="Calibri" w:cs="Tahoma"/>
          <w:w w:val="0"/>
          <w:sz w:val="21"/>
          <w:szCs w:val="21"/>
          <w:lang w:eastAsia="en-US"/>
        </w:rPr>
        <w:t>) e (</w:t>
      </w:r>
      <w:proofErr w:type="spellStart"/>
      <w:r w:rsidR="0014078A" w:rsidRPr="00CA4352">
        <w:rPr>
          <w:rFonts w:eastAsia="Calibri" w:cs="Tahoma"/>
          <w:w w:val="0"/>
          <w:sz w:val="21"/>
          <w:szCs w:val="21"/>
          <w:lang w:eastAsia="en-US"/>
        </w:rPr>
        <w:t>xiv</w:t>
      </w:r>
      <w:proofErr w:type="spellEnd"/>
      <w:r w:rsidR="0014078A" w:rsidRPr="00CA4352">
        <w:rPr>
          <w:rFonts w:eastAsia="Calibri" w:cs="Tahoma"/>
          <w:w w:val="0"/>
          <w:sz w:val="21"/>
          <w:szCs w:val="21"/>
          <w:lang w:eastAsia="en-US"/>
        </w:rPr>
        <w:t>) da alínea (y) abaixo</w:t>
      </w:r>
      <w:r w:rsidR="0014078A" w:rsidRPr="00CA4352">
        <w:rPr>
          <w:rFonts w:eastAsia="MS Mincho" w:cs="Tahoma"/>
          <w:w w:val="0"/>
          <w:sz w:val="21"/>
          <w:szCs w:val="21"/>
        </w:rPr>
        <w:t>;</w:t>
      </w:r>
      <w:r w:rsidR="0014078A" w:rsidRPr="00CA4352">
        <w:rPr>
          <w:rFonts w:eastAsia="Calibri" w:cs="Tahoma"/>
          <w:w w:val="0"/>
          <w:sz w:val="21"/>
          <w:szCs w:val="21"/>
          <w:lang w:eastAsia="en-US"/>
        </w:rPr>
        <w:t xml:space="preserve"> </w:t>
      </w:r>
      <w:r w:rsidR="0014078A" w:rsidRPr="00CA4352">
        <w:rPr>
          <w:rFonts w:eastAsia="Calibri" w:cs="Tahoma"/>
          <w:b/>
          <w:w w:val="0"/>
          <w:sz w:val="21"/>
          <w:szCs w:val="21"/>
          <w:lang w:eastAsia="en-US"/>
        </w:rPr>
        <w:t>(2)</w:t>
      </w:r>
      <w:r w:rsidR="0014078A" w:rsidRPr="00CA4352">
        <w:rPr>
          <w:rFonts w:eastAsia="Calibri" w:cs="Tahoma"/>
          <w:w w:val="0"/>
          <w:sz w:val="21"/>
          <w:szCs w:val="21"/>
          <w:lang w:eastAsia="en-US"/>
        </w:rPr>
        <w:t xml:space="preserve"> decretação de falência da </w:t>
      </w:r>
      <w:r w:rsidR="00411B02" w:rsidRPr="00CA4352">
        <w:rPr>
          <w:rFonts w:eastAsia="Calibri" w:cs="Tahoma"/>
          <w:w w:val="0"/>
          <w:sz w:val="21"/>
          <w:szCs w:val="21"/>
          <w:lang w:eastAsia="en-US"/>
        </w:rPr>
        <w:t>Companhia</w:t>
      </w:r>
      <w:r w:rsidR="0014078A" w:rsidRPr="00CA4352">
        <w:rPr>
          <w:rFonts w:eastAsia="Calibri" w:cs="Tahoma"/>
          <w:w w:val="0"/>
          <w:sz w:val="21"/>
          <w:szCs w:val="21"/>
          <w:lang w:eastAsia="en-US"/>
        </w:rPr>
        <w:t xml:space="preserve">, da Fiadora e/ou de qualquer de suas respectivas controladas ou coligadas; </w:t>
      </w:r>
      <w:r w:rsidR="0014078A" w:rsidRPr="00CA4352">
        <w:rPr>
          <w:rFonts w:eastAsia="Calibri" w:cs="Tahoma"/>
          <w:b/>
          <w:w w:val="0"/>
          <w:sz w:val="21"/>
          <w:szCs w:val="21"/>
          <w:lang w:eastAsia="en-US"/>
        </w:rPr>
        <w:t>(3)</w:t>
      </w:r>
      <w:r w:rsidR="0014078A" w:rsidRPr="00CA4352">
        <w:rPr>
          <w:rFonts w:eastAsia="Calibri" w:cs="Tahoma"/>
          <w:w w:val="0"/>
          <w:sz w:val="21"/>
          <w:szCs w:val="21"/>
          <w:lang w:eastAsia="en-US"/>
        </w:rPr>
        <w:t xml:space="preserve"> pedido de autofalência formulado pela </w:t>
      </w:r>
      <w:r w:rsidR="00411B02" w:rsidRPr="00CA4352">
        <w:rPr>
          <w:rFonts w:eastAsia="Calibri" w:cs="Tahoma"/>
          <w:w w:val="0"/>
          <w:sz w:val="21"/>
          <w:szCs w:val="21"/>
          <w:lang w:eastAsia="en-US"/>
        </w:rPr>
        <w:t>Companhia</w:t>
      </w:r>
      <w:r w:rsidR="0014078A" w:rsidRPr="00CA4352">
        <w:rPr>
          <w:rFonts w:eastAsia="Calibri" w:cs="Tahoma"/>
          <w:w w:val="0"/>
          <w:sz w:val="21"/>
          <w:szCs w:val="21"/>
          <w:lang w:eastAsia="en-US"/>
        </w:rPr>
        <w:t xml:space="preserve">, pela Fiadora e/ou por qualquer de suas respectivas controladas ou coligadas; </w:t>
      </w:r>
      <w:r w:rsidR="0014078A" w:rsidRPr="00CA4352">
        <w:rPr>
          <w:rFonts w:eastAsia="Calibri" w:cs="Tahoma"/>
          <w:b/>
          <w:w w:val="0"/>
          <w:sz w:val="21"/>
          <w:szCs w:val="21"/>
          <w:lang w:eastAsia="en-US"/>
        </w:rPr>
        <w:t>(4)</w:t>
      </w:r>
      <w:r w:rsidR="0014078A" w:rsidRPr="00CA4352">
        <w:rPr>
          <w:rFonts w:eastAsia="Calibri" w:cs="Tahoma"/>
          <w:w w:val="0"/>
          <w:sz w:val="21"/>
          <w:szCs w:val="21"/>
          <w:lang w:eastAsia="en-US"/>
        </w:rPr>
        <w:t xml:space="preserve"> pedido de falência da </w:t>
      </w:r>
      <w:r w:rsidR="00411B02" w:rsidRPr="00CA4352">
        <w:rPr>
          <w:rFonts w:eastAsia="Calibri" w:cs="Tahoma"/>
          <w:w w:val="0"/>
          <w:sz w:val="21"/>
          <w:szCs w:val="21"/>
          <w:lang w:eastAsia="en-US"/>
        </w:rPr>
        <w:t>Companhia</w:t>
      </w:r>
      <w:r w:rsidR="0014078A" w:rsidRPr="00CA4352">
        <w:rPr>
          <w:rFonts w:eastAsia="Calibri" w:cs="Tahoma"/>
          <w:w w:val="0"/>
          <w:sz w:val="21"/>
          <w:szCs w:val="21"/>
          <w:lang w:eastAsia="en-US"/>
        </w:rPr>
        <w:t xml:space="preserve">, da Fiadora e/ou de qualquer de suas respectivas controladas ou coligadas, formulado por terceiros, não elidido no prazo legal por meio do depósito judicial e/ou contestação; ou </w:t>
      </w:r>
      <w:r w:rsidR="0014078A" w:rsidRPr="00CA4352">
        <w:rPr>
          <w:rFonts w:eastAsia="Calibri" w:cs="Tahoma"/>
          <w:b/>
          <w:w w:val="0"/>
          <w:sz w:val="21"/>
          <w:szCs w:val="21"/>
          <w:lang w:eastAsia="en-US"/>
        </w:rPr>
        <w:t>(5)</w:t>
      </w:r>
      <w:r w:rsidR="0014078A" w:rsidRPr="00CA4352">
        <w:rPr>
          <w:rFonts w:eastAsia="Calibri" w:cs="Tahoma"/>
          <w:w w:val="0"/>
          <w:sz w:val="21"/>
          <w:szCs w:val="21"/>
          <w:lang w:eastAsia="en-US"/>
        </w:rPr>
        <w:t xml:space="preserve"> pedido de recuperação judicial ou de recuperação extrajudicial da </w:t>
      </w:r>
      <w:r w:rsidR="00411B02" w:rsidRPr="00CA4352">
        <w:rPr>
          <w:rFonts w:eastAsia="Calibri" w:cs="Tahoma"/>
          <w:w w:val="0"/>
          <w:sz w:val="21"/>
          <w:szCs w:val="21"/>
          <w:lang w:eastAsia="en-US"/>
        </w:rPr>
        <w:t>Companhia</w:t>
      </w:r>
      <w:r w:rsidR="0014078A" w:rsidRPr="00CA4352">
        <w:rPr>
          <w:rFonts w:eastAsia="Calibri" w:cs="Tahoma"/>
          <w:w w:val="0"/>
          <w:sz w:val="21"/>
          <w:szCs w:val="21"/>
          <w:lang w:eastAsia="en-US"/>
        </w:rPr>
        <w:t xml:space="preserve">, da Fiadora e/ou de qualquer de suas respectivas controladas ou coligadas, independentemente do deferimento do respectivo pedido; </w:t>
      </w:r>
      <w:r w:rsidR="0014078A" w:rsidRPr="00CA4352">
        <w:rPr>
          <w:rFonts w:eastAsia="Calibri" w:cs="Tahoma"/>
          <w:b/>
          <w:w w:val="0"/>
          <w:sz w:val="21"/>
          <w:szCs w:val="21"/>
          <w:lang w:eastAsia="en-US"/>
        </w:rPr>
        <w:t>(</w:t>
      </w:r>
      <w:proofErr w:type="spellStart"/>
      <w:r w:rsidR="0014078A" w:rsidRPr="00CA4352">
        <w:rPr>
          <w:rFonts w:eastAsia="Calibri" w:cs="Tahoma"/>
          <w:b/>
          <w:w w:val="0"/>
          <w:sz w:val="21"/>
          <w:szCs w:val="21"/>
          <w:lang w:eastAsia="en-US"/>
        </w:rPr>
        <w:t>iii</w:t>
      </w:r>
      <w:proofErr w:type="spellEnd"/>
      <w:r w:rsidR="0014078A" w:rsidRPr="00CA4352">
        <w:rPr>
          <w:rFonts w:eastAsia="Calibri" w:cs="Tahoma"/>
          <w:b/>
          <w:w w:val="0"/>
          <w:sz w:val="21"/>
          <w:szCs w:val="21"/>
          <w:lang w:eastAsia="en-US"/>
        </w:rPr>
        <w:t>)</w:t>
      </w:r>
      <w:r w:rsidR="0014078A" w:rsidRPr="00CA4352">
        <w:rPr>
          <w:rFonts w:eastAsia="Calibri" w:cs="Tahoma"/>
          <w:w w:val="0"/>
          <w:sz w:val="21"/>
          <w:szCs w:val="21"/>
          <w:lang w:eastAsia="en-US"/>
        </w:rPr>
        <w:t xml:space="preserve"> </w:t>
      </w:r>
      <w:r w:rsidR="0014078A" w:rsidRPr="00CA4352">
        <w:rPr>
          <w:rFonts w:eastAsia="Calibri" w:cs="Tahoma"/>
          <w:color w:val="000000"/>
          <w:w w:val="0"/>
          <w:sz w:val="21"/>
          <w:szCs w:val="21"/>
          <w:lang w:eastAsia="en-US"/>
        </w:rPr>
        <w:t xml:space="preserve">transformação do tipo societário da </w:t>
      </w:r>
      <w:r w:rsidR="00411B02" w:rsidRPr="00CA4352">
        <w:rPr>
          <w:rFonts w:eastAsia="Calibri" w:cs="Tahoma"/>
          <w:color w:val="000000"/>
          <w:w w:val="0"/>
          <w:sz w:val="21"/>
          <w:szCs w:val="21"/>
          <w:lang w:eastAsia="en-US"/>
        </w:rPr>
        <w:t>Companhia</w:t>
      </w:r>
      <w:r w:rsidR="0014078A" w:rsidRPr="00CA4352">
        <w:rPr>
          <w:rFonts w:eastAsia="Calibri" w:cs="Tahoma"/>
          <w:color w:val="000000"/>
          <w:w w:val="0"/>
          <w:sz w:val="21"/>
          <w:szCs w:val="21"/>
          <w:lang w:eastAsia="en-US"/>
        </w:rPr>
        <w:t xml:space="preserve"> e/ou da Fiadora (sociedade por ações), </w:t>
      </w:r>
      <w:r w:rsidR="0014078A" w:rsidRPr="00CA4352">
        <w:rPr>
          <w:rFonts w:eastAsia="Calibri" w:cs="Tahoma"/>
          <w:w w:val="0"/>
          <w:sz w:val="21"/>
          <w:szCs w:val="21"/>
          <w:lang w:eastAsia="en-US"/>
        </w:rPr>
        <w:t>nos</w:t>
      </w:r>
      <w:r w:rsidR="0014078A" w:rsidRPr="00CA4352">
        <w:rPr>
          <w:rFonts w:eastAsia="Calibri" w:cs="Tahoma"/>
          <w:color w:val="000000"/>
          <w:w w:val="0"/>
          <w:sz w:val="21"/>
          <w:szCs w:val="21"/>
          <w:lang w:eastAsia="en-US"/>
        </w:rPr>
        <w:t xml:space="preserve"> termos dos artigos 220 a 222 da Lei </w:t>
      </w:r>
      <w:r w:rsidR="0014078A" w:rsidRPr="00CA4352">
        <w:rPr>
          <w:rFonts w:eastAsia="MS Mincho" w:cs="Tahoma"/>
          <w:color w:val="000000"/>
          <w:w w:val="0"/>
          <w:sz w:val="21"/>
          <w:szCs w:val="21"/>
        </w:rPr>
        <w:t>das Sociedades por Ações</w:t>
      </w:r>
      <w:r w:rsidR="0014078A" w:rsidRPr="00CA4352">
        <w:rPr>
          <w:rFonts w:eastAsia="Calibri" w:cs="Tahoma"/>
          <w:color w:val="000000"/>
          <w:w w:val="0"/>
          <w:sz w:val="21"/>
          <w:szCs w:val="21"/>
          <w:lang w:eastAsia="en-US"/>
        </w:rPr>
        <w:t>;</w:t>
      </w:r>
      <w:r w:rsidR="0014078A" w:rsidRPr="00CA4352">
        <w:rPr>
          <w:rFonts w:eastAsia="Calibri" w:cs="Tahoma"/>
          <w:w w:val="0"/>
          <w:sz w:val="21"/>
          <w:szCs w:val="21"/>
          <w:lang w:eastAsia="en-US"/>
        </w:rPr>
        <w:t xml:space="preserve"> </w:t>
      </w:r>
      <w:r w:rsidR="0014078A" w:rsidRPr="00CA4352">
        <w:rPr>
          <w:rFonts w:eastAsia="Calibri" w:cs="Tahoma"/>
          <w:b/>
          <w:w w:val="0"/>
          <w:sz w:val="21"/>
          <w:szCs w:val="21"/>
          <w:lang w:eastAsia="en-US"/>
        </w:rPr>
        <w:t>(</w:t>
      </w:r>
      <w:proofErr w:type="spellStart"/>
      <w:r w:rsidR="0014078A" w:rsidRPr="00CA4352">
        <w:rPr>
          <w:rFonts w:eastAsia="Calibri" w:cs="Tahoma"/>
          <w:b/>
          <w:w w:val="0"/>
          <w:sz w:val="21"/>
          <w:szCs w:val="21"/>
          <w:lang w:eastAsia="en-US"/>
        </w:rPr>
        <w:t>iv</w:t>
      </w:r>
      <w:proofErr w:type="spellEnd"/>
      <w:r w:rsidR="0014078A" w:rsidRPr="00CA4352">
        <w:rPr>
          <w:rFonts w:eastAsia="Calibri" w:cs="Tahoma"/>
          <w:b/>
          <w:w w:val="0"/>
          <w:sz w:val="21"/>
          <w:szCs w:val="21"/>
          <w:lang w:eastAsia="en-US"/>
        </w:rPr>
        <w:t>)</w:t>
      </w:r>
      <w:r w:rsidR="0014078A" w:rsidRPr="00CA4352">
        <w:rPr>
          <w:rFonts w:eastAsia="Calibri" w:cs="Tahoma"/>
          <w:w w:val="0"/>
          <w:sz w:val="21"/>
          <w:szCs w:val="21"/>
          <w:lang w:eastAsia="en-US"/>
        </w:rPr>
        <w:t xml:space="preserve"> </w:t>
      </w:r>
      <w:r w:rsidR="0014078A" w:rsidRPr="00CA4352">
        <w:rPr>
          <w:rFonts w:eastAsia="Calibri" w:cs="Tahoma"/>
          <w:color w:val="000000"/>
          <w:w w:val="0"/>
          <w:sz w:val="21"/>
          <w:szCs w:val="21"/>
          <w:lang w:eastAsia="en-US"/>
        </w:rPr>
        <w:t xml:space="preserve">alteração do objeto social da </w:t>
      </w:r>
      <w:r w:rsidR="00411B02" w:rsidRPr="00CA4352">
        <w:rPr>
          <w:rFonts w:eastAsia="Calibri" w:cs="Tahoma"/>
          <w:color w:val="000000"/>
          <w:w w:val="0"/>
          <w:sz w:val="21"/>
          <w:szCs w:val="21"/>
          <w:lang w:eastAsia="en-US"/>
        </w:rPr>
        <w:t>Companhia</w:t>
      </w:r>
      <w:r w:rsidR="0014078A" w:rsidRPr="00CA4352">
        <w:rPr>
          <w:rFonts w:eastAsia="Calibri" w:cs="Tahoma"/>
          <w:color w:val="000000"/>
          <w:w w:val="0"/>
          <w:sz w:val="21"/>
          <w:szCs w:val="21"/>
          <w:lang w:eastAsia="en-US"/>
        </w:rPr>
        <w:t xml:space="preserve"> e/ou da Fiadora, de forma que </w:t>
      </w:r>
      <w:r w:rsidR="0014078A" w:rsidRPr="00CA4352">
        <w:rPr>
          <w:rFonts w:eastAsia="Calibri" w:cs="Tahoma"/>
          <w:b/>
          <w:color w:val="000000"/>
          <w:w w:val="0"/>
          <w:sz w:val="21"/>
          <w:szCs w:val="21"/>
          <w:lang w:eastAsia="en-US"/>
        </w:rPr>
        <w:t>(1)</w:t>
      </w:r>
      <w:r w:rsidR="0014078A" w:rsidRPr="00CA4352">
        <w:rPr>
          <w:rFonts w:eastAsia="Calibri" w:cs="Tahoma"/>
          <w:color w:val="000000"/>
          <w:w w:val="0"/>
          <w:sz w:val="21"/>
          <w:szCs w:val="21"/>
          <w:lang w:eastAsia="en-US"/>
        </w:rPr>
        <w:t xml:space="preserve"> a </w:t>
      </w:r>
      <w:r w:rsidR="00411B02" w:rsidRPr="00CA4352">
        <w:rPr>
          <w:rFonts w:eastAsia="Calibri" w:cs="Tahoma"/>
          <w:color w:val="000000"/>
          <w:w w:val="0"/>
          <w:sz w:val="21"/>
          <w:szCs w:val="21"/>
          <w:lang w:eastAsia="en-US"/>
        </w:rPr>
        <w:t>Companhia</w:t>
      </w:r>
      <w:r w:rsidR="0014078A" w:rsidRPr="00CA4352">
        <w:rPr>
          <w:rFonts w:eastAsia="Calibri" w:cs="Tahoma"/>
          <w:color w:val="000000"/>
          <w:w w:val="0"/>
          <w:sz w:val="21"/>
          <w:szCs w:val="21"/>
          <w:lang w:eastAsia="en-US"/>
        </w:rPr>
        <w:t xml:space="preserve"> </w:t>
      </w:r>
      <w:r w:rsidR="0014078A" w:rsidRPr="00CA4352">
        <w:rPr>
          <w:rFonts w:eastAsia="Calibri" w:cs="Tahoma"/>
          <w:w w:val="0"/>
          <w:sz w:val="21"/>
          <w:szCs w:val="21"/>
          <w:lang w:eastAsia="en-US"/>
        </w:rPr>
        <w:t>deixe</w:t>
      </w:r>
      <w:r w:rsidR="0014078A" w:rsidRPr="00CA4352">
        <w:rPr>
          <w:rFonts w:eastAsia="Calibri" w:cs="Tahoma"/>
          <w:color w:val="000000"/>
          <w:w w:val="0"/>
          <w:sz w:val="21"/>
          <w:szCs w:val="21"/>
          <w:lang w:eastAsia="en-US"/>
        </w:rPr>
        <w:t xml:space="preserve"> de atuar na distribuição e comercialização de energia elétrica; ou </w:t>
      </w:r>
      <w:r w:rsidR="0014078A" w:rsidRPr="00CA4352">
        <w:rPr>
          <w:rFonts w:eastAsia="Calibri" w:cs="Tahoma"/>
          <w:b/>
          <w:color w:val="000000"/>
          <w:w w:val="0"/>
          <w:sz w:val="21"/>
          <w:szCs w:val="21"/>
          <w:lang w:eastAsia="en-US"/>
        </w:rPr>
        <w:t>(2)</w:t>
      </w:r>
      <w:r w:rsidR="0014078A" w:rsidRPr="00CA4352">
        <w:rPr>
          <w:rFonts w:eastAsia="Calibri" w:cs="Tahoma"/>
          <w:color w:val="000000"/>
          <w:w w:val="0"/>
          <w:sz w:val="21"/>
          <w:szCs w:val="21"/>
          <w:lang w:eastAsia="en-US"/>
        </w:rPr>
        <w:t xml:space="preserve"> a Fiadora deixe de ter como objeto principal a participação em sociedades que atuem na geração, distribuição e/ou comercialização de energia elétrica, conforme disposto em </w:t>
      </w:r>
      <w:r w:rsidR="0014078A" w:rsidRPr="00CA4352">
        <w:rPr>
          <w:rFonts w:eastAsia="MS Mincho" w:cs="Tahoma"/>
          <w:color w:val="000000"/>
          <w:w w:val="0"/>
          <w:sz w:val="21"/>
          <w:szCs w:val="21"/>
        </w:rPr>
        <w:t>seus respectivos estatutos sociais</w:t>
      </w:r>
      <w:r w:rsidR="0014078A" w:rsidRPr="00CA4352">
        <w:rPr>
          <w:rFonts w:eastAsia="Calibri" w:cs="Tahoma"/>
          <w:color w:val="000000"/>
          <w:w w:val="0"/>
          <w:sz w:val="21"/>
          <w:szCs w:val="21"/>
          <w:lang w:eastAsia="en-US"/>
        </w:rPr>
        <w:t>;</w:t>
      </w:r>
      <w:r w:rsidR="0014078A" w:rsidRPr="00CA4352">
        <w:rPr>
          <w:rFonts w:eastAsia="Calibri" w:cs="Tahoma"/>
          <w:w w:val="0"/>
          <w:sz w:val="21"/>
          <w:szCs w:val="21"/>
          <w:lang w:eastAsia="en-US"/>
        </w:rPr>
        <w:t xml:space="preserve"> </w:t>
      </w:r>
      <w:r w:rsidR="0014078A" w:rsidRPr="00CA4352">
        <w:rPr>
          <w:rFonts w:eastAsia="Calibri" w:cs="Tahoma"/>
          <w:b/>
          <w:w w:val="0"/>
          <w:sz w:val="21"/>
          <w:szCs w:val="21"/>
          <w:lang w:eastAsia="en-US"/>
        </w:rPr>
        <w:t>(v)</w:t>
      </w:r>
      <w:r w:rsidR="0014078A" w:rsidRPr="00CA4352">
        <w:rPr>
          <w:rFonts w:eastAsia="Calibri" w:cs="Tahoma"/>
          <w:w w:val="0"/>
          <w:sz w:val="21"/>
          <w:szCs w:val="21"/>
          <w:lang w:eastAsia="en-US"/>
        </w:rPr>
        <w:t xml:space="preserve"> ocorrência</w:t>
      </w:r>
      <w:r w:rsidR="0014078A" w:rsidRPr="00CA4352">
        <w:rPr>
          <w:rFonts w:eastAsia="Calibri" w:cs="Tahoma"/>
          <w:color w:val="000000"/>
          <w:w w:val="0"/>
          <w:sz w:val="21"/>
          <w:szCs w:val="21"/>
          <w:lang w:eastAsia="en-US"/>
        </w:rPr>
        <w:t xml:space="preserve"> de qualquer medida administrativa ou judicial que resulte no confisco, desapropriação, bloqueio, arresto, sequestro ou de qualquer outra forma venha onerar ou limitar, por qualquer motivo, a concessão outorgada à </w:t>
      </w:r>
      <w:r w:rsidR="00411B02" w:rsidRPr="00CA4352">
        <w:rPr>
          <w:rFonts w:eastAsia="Calibri" w:cs="Tahoma"/>
          <w:color w:val="000000"/>
          <w:w w:val="0"/>
          <w:sz w:val="21"/>
          <w:szCs w:val="21"/>
          <w:lang w:eastAsia="en-US"/>
        </w:rPr>
        <w:t>Companhia</w:t>
      </w:r>
      <w:r w:rsidR="0014078A" w:rsidRPr="00CA4352">
        <w:rPr>
          <w:rFonts w:eastAsia="Calibri" w:cs="Tahoma"/>
          <w:color w:val="000000"/>
          <w:w w:val="0"/>
          <w:sz w:val="21"/>
          <w:szCs w:val="21"/>
          <w:lang w:eastAsia="en-US"/>
        </w:rPr>
        <w:t xml:space="preserve"> para explorar atividades relacionadas à distribuição de energia;</w:t>
      </w:r>
      <w:r w:rsidR="0014078A" w:rsidRPr="00CA4352">
        <w:rPr>
          <w:rFonts w:eastAsia="Calibri" w:cs="Tahoma"/>
          <w:w w:val="0"/>
          <w:sz w:val="21"/>
          <w:szCs w:val="21"/>
          <w:lang w:eastAsia="en-US"/>
        </w:rPr>
        <w:t xml:space="preserve"> </w:t>
      </w:r>
      <w:r w:rsidR="0014078A" w:rsidRPr="00CA4352">
        <w:rPr>
          <w:rFonts w:eastAsia="Calibri" w:cs="Tahoma"/>
          <w:b/>
          <w:w w:val="0"/>
          <w:sz w:val="21"/>
          <w:szCs w:val="21"/>
          <w:lang w:eastAsia="en-US"/>
        </w:rPr>
        <w:t>(vi)</w:t>
      </w:r>
      <w:r w:rsidR="0014078A" w:rsidRPr="00CA4352">
        <w:rPr>
          <w:rFonts w:eastAsia="Calibri" w:cs="Tahoma"/>
          <w:w w:val="0"/>
          <w:sz w:val="21"/>
          <w:szCs w:val="21"/>
          <w:lang w:eastAsia="en-US"/>
        </w:rPr>
        <w:t xml:space="preserve"> </w:t>
      </w:r>
      <w:r w:rsidR="0014078A" w:rsidRPr="00CA4352">
        <w:rPr>
          <w:rFonts w:eastAsia="Calibri" w:cs="Tahoma"/>
          <w:color w:val="000000"/>
          <w:w w:val="0"/>
          <w:sz w:val="21"/>
          <w:szCs w:val="21"/>
          <w:lang w:eastAsia="en-US"/>
        </w:rPr>
        <w:t xml:space="preserve">intervenção do poder concedente na concessão outorgada à </w:t>
      </w:r>
      <w:r w:rsidR="00411B02" w:rsidRPr="00CA4352">
        <w:rPr>
          <w:rFonts w:eastAsia="Calibri" w:cs="Tahoma"/>
          <w:color w:val="000000"/>
          <w:w w:val="0"/>
          <w:sz w:val="21"/>
          <w:szCs w:val="21"/>
          <w:lang w:eastAsia="en-US"/>
        </w:rPr>
        <w:t>Companhia</w:t>
      </w:r>
      <w:r w:rsidR="0014078A" w:rsidRPr="00CA4352">
        <w:rPr>
          <w:rFonts w:eastAsia="Calibri" w:cs="Tahoma"/>
          <w:color w:val="000000"/>
          <w:w w:val="0"/>
          <w:sz w:val="21"/>
          <w:szCs w:val="21"/>
          <w:lang w:eastAsia="en-US"/>
        </w:rPr>
        <w:t xml:space="preserve"> para explorar </w:t>
      </w:r>
      <w:r w:rsidR="0014078A" w:rsidRPr="00CA4352">
        <w:rPr>
          <w:rFonts w:eastAsia="Calibri" w:cs="Tahoma"/>
          <w:w w:val="0"/>
          <w:sz w:val="21"/>
          <w:szCs w:val="21"/>
          <w:lang w:eastAsia="en-US"/>
        </w:rPr>
        <w:t>atividades</w:t>
      </w:r>
      <w:r w:rsidR="0014078A" w:rsidRPr="00CA4352">
        <w:rPr>
          <w:rFonts w:eastAsia="Calibri" w:cs="Tahoma"/>
          <w:color w:val="000000"/>
          <w:w w:val="0"/>
          <w:sz w:val="21"/>
          <w:szCs w:val="21"/>
          <w:lang w:eastAsia="en-US"/>
        </w:rPr>
        <w:t xml:space="preserve"> relacionadas à distribuição de energia decorrente de fatos relacionados à sua capacidade econômica;</w:t>
      </w:r>
      <w:r w:rsidR="0014078A" w:rsidRPr="00CA4352">
        <w:rPr>
          <w:rFonts w:eastAsia="Calibri" w:cs="Tahoma"/>
          <w:w w:val="0"/>
          <w:sz w:val="21"/>
          <w:szCs w:val="21"/>
          <w:lang w:eastAsia="en-US"/>
        </w:rPr>
        <w:t xml:space="preserve"> </w:t>
      </w:r>
      <w:r w:rsidR="0014078A" w:rsidRPr="00CA4352">
        <w:rPr>
          <w:rFonts w:eastAsia="Calibri" w:cs="Tahoma"/>
          <w:b/>
          <w:w w:val="0"/>
          <w:sz w:val="21"/>
          <w:szCs w:val="21"/>
          <w:lang w:eastAsia="en-US"/>
        </w:rPr>
        <w:t>(</w:t>
      </w:r>
      <w:proofErr w:type="spellStart"/>
      <w:r w:rsidR="0014078A" w:rsidRPr="00CA4352">
        <w:rPr>
          <w:rFonts w:eastAsia="Calibri" w:cs="Tahoma"/>
          <w:b/>
          <w:w w:val="0"/>
          <w:sz w:val="21"/>
          <w:szCs w:val="21"/>
          <w:lang w:eastAsia="en-US"/>
        </w:rPr>
        <w:t>vii</w:t>
      </w:r>
      <w:proofErr w:type="spellEnd"/>
      <w:r w:rsidR="0014078A" w:rsidRPr="00CA4352">
        <w:rPr>
          <w:rFonts w:eastAsia="Calibri" w:cs="Tahoma"/>
          <w:b/>
          <w:w w:val="0"/>
          <w:sz w:val="21"/>
          <w:szCs w:val="21"/>
          <w:lang w:eastAsia="en-US"/>
        </w:rPr>
        <w:t>)</w:t>
      </w:r>
      <w:r w:rsidR="0014078A" w:rsidRPr="00CA4352">
        <w:rPr>
          <w:rFonts w:eastAsia="Calibri" w:cs="Tahoma"/>
          <w:w w:val="0"/>
          <w:sz w:val="21"/>
          <w:szCs w:val="21"/>
          <w:lang w:eastAsia="en-US"/>
        </w:rPr>
        <w:t xml:space="preserve"> </w:t>
      </w:r>
      <w:r w:rsidR="0014078A" w:rsidRPr="00CA4352">
        <w:rPr>
          <w:rFonts w:eastAsia="Calibri" w:cs="Tahoma"/>
          <w:sz w:val="21"/>
          <w:szCs w:val="21"/>
          <w:lang w:eastAsia="en-US"/>
        </w:rPr>
        <w:t xml:space="preserve">vencimento antecipado de qualquer dívida da </w:t>
      </w:r>
      <w:r w:rsidR="00411B02" w:rsidRPr="00CA4352">
        <w:rPr>
          <w:rFonts w:eastAsia="Calibri" w:cs="Tahoma"/>
          <w:sz w:val="21"/>
          <w:szCs w:val="21"/>
          <w:lang w:eastAsia="en-US"/>
        </w:rPr>
        <w:lastRenderedPageBreak/>
        <w:t>Companhia</w:t>
      </w:r>
      <w:r w:rsidR="0014078A" w:rsidRPr="00CA4352">
        <w:rPr>
          <w:rFonts w:eastAsia="Calibri" w:cs="Tahoma"/>
          <w:sz w:val="21"/>
          <w:szCs w:val="21"/>
          <w:lang w:eastAsia="en-US"/>
        </w:rPr>
        <w:t xml:space="preserve">, da Fiadora ou de qualquer de suas </w:t>
      </w:r>
      <w:r w:rsidR="0014078A" w:rsidRPr="00CA4352">
        <w:rPr>
          <w:rFonts w:eastAsia="Calibri" w:cs="Tahoma"/>
          <w:w w:val="0"/>
          <w:sz w:val="21"/>
          <w:szCs w:val="21"/>
          <w:lang w:eastAsia="en-US"/>
        </w:rPr>
        <w:t>respectivas</w:t>
      </w:r>
      <w:r w:rsidR="0014078A" w:rsidRPr="00CA4352">
        <w:rPr>
          <w:rFonts w:eastAsia="Calibri" w:cs="Tahoma"/>
          <w:sz w:val="21"/>
          <w:szCs w:val="21"/>
          <w:lang w:eastAsia="en-US"/>
        </w:rPr>
        <w:t xml:space="preserve"> controladas ou coligadas, cujo valor, individual ou agregado, seja igual ou superior a R$50.000.000,00 (cinquenta milhões de reais</w:t>
      </w:r>
      <w:r w:rsidR="0014078A" w:rsidRPr="00CA4352">
        <w:rPr>
          <w:rFonts w:eastAsia="MS Mincho" w:cs="Tahoma"/>
          <w:sz w:val="21"/>
          <w:szCs w:val="21"/>
        </w:rPr>
        <w:t>)</w:t>
      </w:r>
      <w:r w:rsidR="0014078A" w:rsidRPr="00CA4352">
        <w:rPr>
          <w:rFonts w:eastAsia="Calibri" w:cs="Tahoma"/>
          <w:sz w:val="21"/>
          <w:szCs w:val="21"/>
          <w:lang w:eastAsia="en-US"/>
        </w:rPr>
        <w:t xml:space="preserve"> ou seu equivalente em outras moedas;</w:t>
      </w:r>
      <w:r w:rsidR="0014078A" w:rsidRPr="00CA4352">
        <w:rPr>
          <w:rFonts w:eastAsia="Calibri" w:cs="Tahoma"/>
          <w:w w:val="0"/>
          <w:sz w:val="21"/>
          <w:szCs w:val="21"/>
          <w:lang w:eastAsia="en-US"/>
        </w:rPr>
        <w:t xml:space="preserve"> </w:t>
      </w:r>
      <w:r w:rsidR="0014078A" w:rsidRPr="00CA4352">
        <w:rPr>
          <w:rFonts w:eastAsia="Calibri" w:cs="Tahoma"/>
          <w:b/>
          <w:w w:val="0"/>
          <w:sz w:val="21"/>
          <w:szCs w:val="21"/>
          <w:lang w:eastAsia="en-US"/>
        </w:rPr>
        <w:t>(</w:t>
      </w:r>
      <w:proofErr w:type="spellStart"/>
      <w:r w:rsidR="0014078A" w:rsidRPr="00CA4352">
        <w:rPr>
          <w:rFonts w:eastAsia="Calibri" w:cs="Tahoma"/>
          <w:b/>
          <w:w w:val="0"/>
          <w:sz w:val="21"/>
          <w:szCs w:val="21"/>
          <w:lang w:eastAsia="en-US"/>
        </w:rPr>
        <w:t>viii</w:t>
      </w:r>
      <w:proofErr w:type="spellEnd"/>
      <w:r w:rsidR="0014078A" w:rsidRPr="00CA4352">
        <w:rPr>
          <w:rFonts w:eastAsia="Calibri" w:cs="Tahoma"/>
          <w:b/>
          <w:w w:val="0"/>
          <w:sz w:val="21"/>
          <w:szCs w:val="21"/>
          <w:lang w:eastAsia="en-US"/>
        </w:rPr>
        <w:t>)</w:t>
      </w:r>
      <w:r w:rsidR="0014078A" w:rsidRPr="00CA4352">
        <w:rPr>
          <w:rFonts w:eastAsia="Calibri" w:cs="Tahoma"/>
          <w:w w:val="0"/>
          <w:sz w:val="21"/>
          <w:szCs w:val="21"/>
          <w:lang w:eastAsia="en-US"/>
        </w:rPr>
        <w:t xml:space="preserve"> declaração</w:t>
      </w:r>
      <w:r w:rsidR="0014078A" w:rsidRPr="00CA4352">
        <w:rPr>
          <w:rFonts w:eastAsia="Calibri" w:cs="Tahoma"/>
          <w:color w:val="000000"/>
          <w:w w:val="0"/>
          <w:sz w:val="21"/>
          <w:szCs w:val="21"/>
          <w:lang w:eastAsia="en-US"/>
        </w:rPr>
        <w:t xml:space="preserve"> de invalidade, nulidade ou inexequibilidade </w:t>
      </w:r>
      <w:r w:rsidR="0014078A" w:rsidRPr="00CA4352">
        <w:rPr>
          <w:rFonts w:eastAsia="Calibri" w:cs="Tahoma"/>
          <w:b/>
          <w:color w:val="000000"/>
          <w:w w:val="0"/>
          <w:sz w:val="21"/>
          <w:szCs w:val="21"/>
          <w:lang w:eastAsia="en-US"/>
        </w:rPr>
        <w:t>(1)</w:t>
      </w:r>
      <w:r w:rsidR="0014078A" w:rsidRPr="00CA4352">
        <w:rPr>
          <w:rFonts w:eastAsia="Calibri" w:cs="Tahoma"/>
          <w:color w:val="000000"/>
          <w:w w:val="0"/>
          <w:sz w:val="21"/>
          <w:szCs w:val="21"/>
          <w:lang w:eastAsia="en-US"/>
        </w:rPr>
        <w:t xml:space="preserve"> d</w:t>
      </w:r>
      <w:r w:rsidR="00411B02" w:rsidRPr="00CA4352">
        <w:rPr>
          <w:rFonts w:eastAsia="Calibri" w:cs="Tahoma"/>
          <w:color w:val="000000"/>
          <w:w w:val="0"/>
          <w:sz w:val="21"/>
          <w:szCs w:val="21"/>
          <w:lang w:eastAsia="en-US"/>
        </w:rPr>
        <w:t>a Escritura</w:t>
      </w:r>
      <w:r w:rsidR="0014078A" w:rsidRPr="00CA4352">
        <w:rPr>
          <w:rFonts w:eastAsia="MS Mincho" w:cs="Tahoma"/>
          <w:color w:val="000000"/>
          <w:w w:val="0"/>
          <w:sz w:val="21"/>
          <w:szCs w:val="21"/>
        </w:rPr>
        <w:t xml:space="preserve"> de Emissão</w:t>
      </w:r>
      <w:r w:rsidR="0014078A" w:rsidRPr="00CA4352">
        <w:rPr>
          <w:rFonts w:eastAsia="Calibri" w:cs="Tahoma"/>
          <w:color w:val="000000"/>
          <w:w w:val="0"/>
          <w:sz w:val="21"/>
          <w:szCs w:val="21"/>
          <w:lang w:eastAsia="en-US"/>
        </w:rPr>
        <w:t xml:space="preserve"> e/ou </w:t>
      </w:r>
      <w:r w:rsidR="0014078A" w:rsidRPr="00CA4352">
        <w:rPr>
          <w:rFonts w:eastAsia="Calibri" w:cs="Tahoma"/>
          <w:b/>
          <w:color w:val="000000"/>
          <w:w w:val="0"/>
          <w:sz w:val="21"/>
          <w:szCs w:val="21"/>
          <w:lang w:eastAsia="en-US"/>
        </w:rPr>
        <w:t>(2)</w:t>
      </w:r>
      <w:r w:rsidR="0014078A" w:rsidRPr="00CA4352">
        <w:rPr>
          <w:rFonts w:eastAsia="Calibri" w:cs="Tahoma"/>
          <w:color w:val="000000"/>
          <w:w w:val="0"/>
          <w:sz w:val="21"/>
          <w:szCs w:val="21"/>
          <w:lang w:eastAsia="en-US"/>
        </w:rPr>
        <w:t xml:space="preserve"> de qualquer de suas disposições, desde que não seja obtida decisão judicial suspendendo os efeitos de tal declaração, e, desde que, no caso </w:t>
      </w:r>
      <w:r w:rsidR="0014078A" w:rsidRPr="00CA4352">
        <w:rPr>
          <w:rFonts w:eastAsia="MS Mincho" w:cs="Tahoma"/>
          <w:color w:val="000000"/>
          <w:w w:val="0"/>
          <w:sz w:val="21"/>
          <w:szCs w:val="21"/>
        </w:rPr>
        <w:t>do item (</w:t>
      </w:r>
      <w:r w:rsidR="0014078A" w:rsidRPr="00CA4352">
        <w:rPr>
          <w:rFonts w:eastAsia="Calibri" w:cs="Tahoma"/>
          <w:color w:val="000000"/>
          <w:w w:val="0"/>
          <w:sz w:val="21"/>
          <w:szCs w:val="21"/>
          <w:lang w:eastAsia="en-US"/>
        </w:rPr>
        <w:t>2</w:t>
      </w:r>
      <w:r w:rsidR="0014078A" w:rsidRPr="00CA4352">
        <w:rPr>
          <w:rFonts w:eastAsia="MS Mincho" w:cs="Tahoma"/>
          <w:color w:val="000000"/>
          <w:w w:val="0"/>
          <w:sz w:val="21"/>
          <w:szCs w:val="21"/>
        </w:rPr>
        <w:t>)</w:t>
      </w:r>
      <w:r w:rsidR="0014078A" w:rsidRPr="00CA4352">
        <w:rPr>
          <w:rFonts w:eastAsia="Calibri" w:cs="Tahoma"/>
          <w:color w:val="000000"/>
          <w:w w:val="0"/>
          <w:sz w:val="21"/>
          <w:szCs w:val="21"/>
          <w:lang w:eastAsia="en-US"/>
        </w:rPr>
        <w:t xml:space="preserve"> acima, tal declaração torne impossível o seu cumprimento e/ou execução na forma pactuada n</w:t>
      </w:r>
      <w:r w:rsidR="00411B02" w:rsidRPr="00CA4352">
        <w:rPr>
          <w:rFonts w:eastAsia="Calibri" w:cs="Tahoma"/>
          <w:color w:val="000000"/>
          <w:w w:val="0"/>
          <w:sz w:val="21"/>
          <w:szCs w:val="21"/>
          <w:lang w:eastAsia="en-US"/>
        </w:rPr>
        <w:t>a Escritura</w:t>
      </w:r>
      <w:r w:rsidR="0014078A" w:rsidRPr="00CA4352">
        <w:rPr>
          <w:rFonts w:eastAsia="MS Mincho" w:cs="Tahoma"/>
          <w:color w:val="000000"/>
          <w:w w:val="0"/>
          <w:sz w:val="21"/>
          <w:szCs w:val="21"/>
        </w:rPr>
        <w:t xml:space="preserve"> de Emissão</w:t>
      </w:r>
      <w:r w:rsidR="0014078A" w:rsidRPr="00CA4352">
        <w:rPr>
          <w:rFonts w:eastAsia="Calibri" w:cs="Tahoma"/>
          <w:color w:val="000000"/>
          <w:w w:val="0"/>
          <w:sz w:val="21"/>
          <w:szCs w:val="21"/>
          <w:lang w:eastAsia="en-US"/>
        </w:rPr>
        <w:t>;</w:t>
      </w:r>
      <w:r w:rsidR="0014078A" w:rsidRPr="00CA4352">
        <w:rPr>
          <w:rFonts w:eastAsia="Calibri" w:cs="Tahoma"/>
          <w:w w:val="0"/>
          <w:sz w:val="21"/>
          <w:szCs w:val="21"/>
          <w:lang w:eastAsia="en-US"/>
        </w:rPr>
        <w:t xml:space="preserve"> </w:t>
      </w:r>
      <w:r w:rsidR="0014078A" w:rsidRPr="00CA4352">
        <w:rPr>
          <w:rFonts w:eastAsia="Calibri" w:cs="Tahoma"/>
          <w:b/>
          <w:w w:val="0"/>
          <w:sz w:val="21"/>
          <w:szCs w:val="21"/>
          <w:lang w:eastAsia="en-US"/>
        </w:rPr>
        <w:t>(</w:t>
      </w:r>
      <w:proofErr w:type="spellStart"/>
      <w:r w:rsidR="0014078A" w:rsidRPr="00CA4352">
        <w:rPr>
          <w:rFonts w:eastAsia="Calibri" w:cs="Tahoma"/>
          <w:b/>
          <w:w w:val="0"/>
          <w:sz w:val="21"/>
          <w:szCs w:val="21"/>
          <w:lang w:eastAsia="en-US"/>
        </w:rPr>
        <w:t>ix</w:t>
      </w:r>
      <w:proofErr w:type="spellEnd"/>
      <w:r w:rsidR="0014078A" w:rsidRPr="00CA4352">
        <w:rPr>
          <w:rFonts w:eastAsia="Calibri" w:cs="Tahoma"/>
          <w:b/>
          <w:w w:val="0"/>
          <w:sz w:val="21"/>
          <w:szCs w:val="21"/>
          <w:lang w:eastAsia="en-US"/>
        </w:rPr>
        <w:t xml:space="preserve">) </w:t>
      </w:r>
      <w:r w:rsidR="0014078A" w:rsidRPr="00CA4352">
        <w:rPr>
          <w:rFonts w:eastAsia="Calibri" w:cs="Tahoma"/>
          <w:color w:val="000000"/>
          <w:w w:val="0"/>
          <w:sz w:val="21"/>
          <w:szCs w:val="21"/>
          <w:lang w:eastAsia="en-US"/>
        </w:rPr>
        <w:t xml:space="preserve">qualquer forma de cessão, promessa de cessão ou qualquer forma de transferência ou </w:t>
      </w:r>
      <w:r w:rsidR="0014078A" w:rsidRPr="00CA4352">
        <w:rPr>
          <w:rFonts w:eastAsia="Calibri" w:cs="Tahoma"/>
          <w:w w:val="0"/>
          <w:sz w:val="21"/>
          <w:szCs w:val="21"/>
          <w:lang w:eastAsia="en-US"/>
        </w:rPr>
        <w:t>promessa</w:t>
      </w:r>
      <w:r w:rsidR="0014078A" w:rsidRPr="00CA4352">
        <w:rPr>
          <w:rFonts w:eastAsia="Calibri" w:cs="Tahoma"/>
          <w:color w:val="000000"/>
          <w:w w:val="0"/>
          <w:sz w:val="21"/>
          <w:szCs w:val="21"/>
          <w:lang w:eastAsia="en-US"/>
        </w:rPr>
        <w:t xml:space="preserve"> de transferência a terceiros, no todo ou em parte, pela </w:t>
      </w:r>
      <w:r w:rsidR="00411B02" w:rsidRPr="00CA4352">
        <w:rPr>
          <w:rFonts w:eastAsia="Calibri" w:cs="Tahoma"/>
          <w:color w:val="000000"/>
          <w:w w:val="0"/>
          <w:sz w:val="21"/>
          <w:szCs w:val="21"/>
          <w:lang w:eastAsia="en-US"/>
        </w:rPr>
        <w:t>Companhia</w:t>
      </w:r>
      <w:r w:rsidR="0014078A" w:rsidRPr="00CA4352">
        <w:rPr>
          <w:rFonts w:eastAsia="Calibri" w:cs="Tahoma"/>
          <w:color w:val="000000"/>
          <w:w w:val="0"/>
          <w:sz w:val="21"/>
          <w:szCs w:val="21"/>
          <w:lang w:eastAsia="en-US"/>
        </w:rPr>
        <w:t xml:space="preserve"> e/ou pela Fiadora, de qualquer de suas obrigações nos termos d</w:t>
      </w:r>
      <w:r w:rsidR="00411B02" w:rsidRPr="00CA4352">
        <w:rPr>
          <w:rFonts w:eastAsia="Calibri" w:cs="Tahoma"/>
          <w:color w:val="000000"/>
          <w:w w:val="0"/>
          <w:sz w:val="21"/>
          <w:szCs w:val="21"/>
          <w:lang w:eastAsia="en-US"/>
        </w:rPr>
        <w:t>a Escritura</w:t>
      </w:r>
      <w:r w:rsidR="0014078A" w:rsidRPr="00CA4352">
        <w:rPr>
          <w:rFonts w:eastAsia="MS Mincho" w:cs="Tahoma"/>
          <w:color w:val="000000"/>
          <w:w w:val="0"/>
          <w:sz w:val="21"/>
          <w:szCs w:val="21"/>
        </w:rPr>
        <w:t xml:space="preserve"> de Emissão</w:t>
      </w:r>
      <w:r w:rsidR="0014078A" w:rsidRPr="00CA4352">
        <w:rPr>
          <w:rFonts w:eastAsia="Calibri" w:cs="Tahoma"/>
          <w:color w:val="000000"/>
          <w:w w:val="0"/>
          <w:sz w:val="21"/>
          <w:szCs w:val="21"/>
          <w:lang w:eastAsia="en-US"/>
        </w:rPr>
        <w:t>;</w:t>
      </w:r>
      <w:r w:rsidR="0014078A" w:rsidRPr="00CA4352">
        <w:rPr>
          <w:rFonts w:eastAsia="Calibri" w:cs="Tahoma"/>
          <w:w w:val="0"/>
          <w:sz w:val="21"/>
          <w:szCs w:val="21"/>
          <w:lang w:eastAsia="en-US"/>
        </w:rPr>
        <w:t xml:space="preserve"> </w:t>
      </w:r>
      <w:r w:rsidR="0014078A" w:rsidRPr="00CA4352">
        <w:rPr>
          <w:rFonts w:eastAsia="Calibri" w:cs="Tahoma"/>
          <w:b/>
          <w:w w:val="0"/>
          <w:sz w:val="21"/>
          <w:szCs w:val="21"/>
          <w:lang w:eastAsia="en-US"/>
        </w:rPr>
        <w:t>(x)</w:t>
      </w:r>
      <w:r w:rsidR="0014078A" w:rsidRPr="00CA4352">
        <w:rPr>
          <w:rFonts w:eastAsia="Calibri" w:cs="Tahoma"/>
          <w:w w:val="0"/>
          <w:sz w:val="21"/>
          <w:szCs w:val="21"/>
          <w:lang w:eastAsia="en-US"/>
        </w:rPr>
        <w:t xml:space="preserve"> </w:t>
      </w:r>
      <w:r w:rsidR="0014078A" w:rsidRPr="00CA4352">
        <w:rPr>
          <w:rFonts w:eastAsia="Calibri" w:cs="Tahoma"/>
          <w:sz w:val="21"/>
          <w:szCs w:val="21"/>
          <w:lang w:eastAsia="en-US"/>
        </w:rPr>
        <w:t xml:space="preserve">redução do capital social da </w:t>
      </w:r>
      <w:r w:rsidR="00411B02" w:rsidRPr="00CA4352">
        <w:rPr>
          <w:rFonts w:eastAsia="Calibri" w:cs="Tahoma"/>
          <w:sz w:val="21"/>
          <w:szCs w:val="21"/>
          <w:lang w:eastAsia="en-US"/>
        </w:rPr>
        <w:t>Companhia</w:t>
      </w:r>
      <w:r w:rsidR="0014078A" w:rsidRPr="00CA4352">
        <w:rPr>
          <w:rFonts w:eastAsia="Calibri" w:cs="Tahoma"/>
          <w:sz w:val="21"/>
          <w:szCs w:val="21"/>
          <w:lang w:eastAsia="en-US"/>
        </w:rPr>
        <w:t xml:space="preserve"> e/ou da Fiadora que não seja realizada para absorção de prejuízos acumulados ou a realização de </w:t>
      </w:r>
      <w:r w:rsidR="0014078A" w:rsidRPr="00CA4352">
        <w:rPr>
          <w:rFonts w:eastAsia="Calibri" w:cs="Tahoma"/>
          <w:color w:val="000000"/>
          <w:sz w:val="21"/>
          <w:szCs w:val="21"/>
          <w:lang w:eastAsia="en-US"/>
        </w:rPr>
        <w:t xml:space="preserve">resgate ou amortização de ações de emissão da </w:t>
      </w:r>
      <w:r w:rsidR="00411B02" w:rsidRPr="00CA4352">
        <w:rPr>
          <w:rFonts w:eastAsia="Calibri" w:cs="Tahoma"/>
          <w:color w:val="000000"/>
          <w:sz w:val="21"/>
          <w:szCs w:val="21"/>
          <w:lang w:eastAsia="en-US"/>
        </w:rPr>
        <w:t>Companhia</w:t>
      </w:r>
      <w:r w:rsidR="0014078A" w:rsidRPr="00CA4352">
        <w:rPr>
          <w:rFonts w:eastAsia="Calibri" w:cs="Tahoma"/>
          <w:color w:val="000000"/>
          <w:sz w:val="21"/>
          <w:szCs w:val="21"/>
          <w:lang w:eastAsia="en-US"/>
        </w:rPr>
        <w:t xml:space="preserve"> ou da Fiadora</w:t>
      </w:r>
      <w:r w:rsidR="0014078A" w:rsidRPr="00CA4352">
        <w:rPr>
          <w:rFonts w:eastAsia="Calibri" w:cs="Tahoma"/>
          <w:sz w:val="21"/>
          <w:szCs w:val="21"/>
          <w:lang w:eastAsia="en-US"/>
        </w:rPr>
        <w:t>, desde que sem aprovação prévia dos Debenturistas, nos termos da Lei das Sociedades por Ações;</w:t>
      </w:r>
      <w:r w:rsidR="0014078A" w:rsidRPr="00CA4352">
        <w:rPr>
          <w:rFonts w:eastAsia="Calibri" w:cs="Tahoma"/>
          <w:w w:val="0"/>
          <w:sz w:val="21"/>
          <w:szCs w:val="21"/>
          <w:lang w:eastAsia="en-US"/>
        </w:rPr>
        <w:t xml:space="preserve"> </w:t>
      </w:r>
      <w:r w:rsidR="0014078A" w:rsidRPr="00CA4352">
        <w:rPr>
          <w:rFonts w:eastAsia="Calibri" w:cs="Tahoma"/>
          <w:b/>
          <w:w w:val="0"/>
          <w:sz w:val="21"/>
          <w:szCs w:val="21"/>
          <w:lang w:eastAsia="en-US"/>
        </w:rPr>
        <w:t>(xi)</w:t>
      </w:r>
      <w:r w:rsidR="0014078A" w:rsidRPr="00CA4352">
        <w:rPr>
          <w:rFonts w:eastAsia="Calibri" w:cs="Tahoma"/>
          <w:w w:val="0"/>
          <w:sz w:val="21"/>
          <w:szCs w:val="21"/>
          <w:lang w:eastAsia="en-US"/>
        </w:rPr>
        <w:t xml:space="preserve"> questionamento</w:t>
      </w:r>
      <w:r w:rsidR="0014078A" w:rsidRPr="00CA4352">
        <w:rPr>
          <w:rFonts w:eastAsia="Calibri" w:cs="Tahoma"/>
          <w:color w:val="000000"/>
          <w:sz w:val="21"/>
          <w:szCs w:val="21"/>
          <w:lang w:eastAsia="en-US"/>
        </w:rPr>
        <w:t xml:space="preserve"> judicial sobre a validade, exequibilidade e eficácia de quaisquer das disposições d</w:t>
      </w:r>
      <w:r w:rsidR="00411B02" w:rsidRPr="00CA4352">
        <w:rPr>
          <w:rFonts w:eastAsia="Calibri" w:cs="Tahoma"/>
          <w:color w:val="000000"/>
          <w:sz w:val="21"/>
          <w:szCs w:val="21"/>
          <w:lang w:eastAsia="en-US"/>
        </w:rPr>
        <w:t>a Escritura</w:t>
      </w:r>
      <w:r w:rsidR="0014078A" w:rsidRPr="00CA4352">
        <w:rPr>
          <w:rFonts w:eastAsia="Calibri" w:cs="Tahoma"/>
          <w:color w:val="000000"/>
          <w:sz w:val="21"/>
          <w:szCs w:val="21"/>
          <w:lang w:eastAsia="en-US"/>
        </w:rPr>
        <w:t xml:space="preserve"> </w:t>
      </w:r>
      <w:r w:rsidR="0014078A" w:rsidRPr="00CA4352">
        <w:rPr>
          <w:rFonts w:eastAsia="MS Mincho" w:cs="Tahoma"/>
          <w:color w:val="000000"/>
          <w:sz w:val="21"/>
          <w:szCs w:val="21"/>
        </w:rPr>
        <w:t xml:space="preserve">de Emissão </w:t>
      </w:r>
      <w:r w:rsidR="0014078A" w:rsidRPr="00CA4352">
        <w:rPr>
          <w:rFonts w:eastAsia="Calibri" w:cs="Tahoma"/>
          <w:color w:val="000000"/>
          <w:sz w:val="21"/>
          <w:szCs w:val="21"/>
          <w:lang w:eastAsia="en-US"/>
        </w:rPr>
        <w:t xml:space="preserve">e/ou da Fiança pela </w:t>
      </w:r>
      <w:r w:rsidR="00411B02" w:rsidRPr="00CA4352">
        <w:rPr>
          <w:rFonts w:eastAsia="Calibri" w:cs="Tahoma"/>
          <w:color w:val="000000"/>
          <w:sz w:val="21"/>
          <w:szCs w:val="21"/>
          <w:lang w:eastAsia="en-US"/>
        </w:rPr>
        <w:t>Companhia</w:t>
      </w:r>
      <w:r w:rsidR="0014078A" w:rsidRPr="00CA4352">
        <w:rPr>
          <w:rFonts w:eastAsia="Calibri" w:cs="Tahoma"/>
          <w:color w:val="000000"/>
          <w:sz w:val="21"/>
          <w:szCs w:val="21"/>
          <w:lang w:eastAsia="en-US"/>
        </w:rPr>
        <w:t xml:space="preserve"> e/ou pela Fiadora; ou</w:t>
      </w:r>
      <w:r w:rsidR="0014078A" w:rsidRPr="00CA4352">
        <w:rPr>
          <w:rFonts w:eastAsia="Calibri" w:cs="Tahoma"/>
          <w:w w:val="0"/>
          <w:sz w:val="21"/>
          <w:szCs w:val="21"/>
          <w:lang w:eastAsia="en-US"/>
        </w:rPr>
        <w:t xml:space="preserve"> </w:t>
      </w:r>
      <w:r w:rsidR="0014078A" w:rsidRPr="00CA4352">
        <w:rPr>
          <w:rFonts w:eastAsia="Calibri" w:cs="Tahoma"/>
          <w:b/>
          <w:w w:val="0"/>
          <w:sz w:val="21"/>
          <w:szCs w:val="21"/>
          <w:lang w:eastAsia="en-US"/>
        </w:rPr>
        <w:t>(</w:t>
      </w:r>
      <w:proofErr w:type="spellStart"/>
      <w:r w:rsidR="0014078A" w:rsidRPr="00CA4352">
        <w:rPr>
          <w:rFonts w:eastAsia="Calibri" w:cs="Tahoma"/>
          <w:b/>
          <w:w w:val="0"/>
          <w:sz w:val="21"/>
          <w:szCs w:val="21"/>
          <w:lang w:eastAsia="en-US"/>
        </w:rPr>
        <w:t>xii</w:t>
      </w:r>
      <w:proofErr w:type="spellEnd"/>
      <w:r w:rsidR="0014078A" w:rsidRPr="00CA4352">
        <w:rPr>
          <w:rFonts w:eastAsia="Calibri" w:cs="Tahoma"/>
          <w:b/>
          <w:w w:val="0"/>
          <w:sz w:val="21"/>
          <w:szCs w:val="21"/>
          <w:lang w:eastAsia="en-US"/>
        </w:rPr>
        <w:t>)</w:t>
      </w:r>
      <w:r w:rsidR="0014078A" w:rsidRPr="00CA4352">
        <w:rPr>
          <w:rFonts w:eastAsia="Calibri" w:cs="Tahoma"/>
          <w:w w:val="0"/>
          <w:sz w:val="21"/>
          <w:szCs w:val="21"/>
          <w:lang w:eastAsia="en-US"/>
        </w:rPr>
        <w:t xml:space="preserve"> </w:t>
      </w:r>
      <w:r w:rsidR="0014078A" w:rsidRPr="00CA4352">
        <w:rPr>
          <w:rFonts w:eastAsia="Calibri" w:cs="Tahoma"/>
          <w:color w:val="000000"/>
          <w:w w:val="0"/>
          <w:sz w:val="21"/>
          <w:szCs w:val="21"/>
          <w:lang w:eastAsia="en-US"/>
        </w:rPr>
        <w:t xml:space="preserve">término ou extinção da concessão outorgada à </w:t>
      </w:r>
      <w:r w:rsidR="00411B02" w:rsidRPr="00CA4352">
        <w:rPr>
          <w:rFonts w:eastAsia="Calibri" w:cs="Tahoma"/>
          <w:color w:val="000000"/>
          <w:w w:val="0"/>
          <w:sz w:val="21"/>
          <w:szCs w:val="21"/>
          <w:lang w:eastAsia="en-US"/>
        </w:rPr>
        <w:t>Companhia</w:t>
      </w:r>
      <w:r w:rsidR="0014078A" w:rsidRPr="00CA4352">
        <w:rPr>
          <w:rFonts w:eastAsia="Calibri" w:cs="Tahoma"/>
          <w:color w:val="000000"/>
          <w:w w:val="0"/>
          <w:sz w:val="21"/>
          <w:szCs w:val="21"/>
          <w:lang w:eastAsia="en-US"/>
        </w:rPr>
        <w:t xml:space="preserve"> para explorar atividades </w:t>
      </w:r>
      <w:r w:rsidR="0014078A" w:rsidRPr="00CA4352">
        <w:rPr>
          <w:rFonts w:eastAsia="Calibri" w:cs="Tahoma"/>
          <w:w w:val="0"/>
          <w:sz w:val="21"/>
          <w:szCs w:val="21"/>
          <w:lang w:eastAsia="en-US"/>
        </w:rPr>
        <w:t>relacionadas</w:t>
      </w:r>
      <w:r w:rsidR="0014078A" w:rsidRPr="00CA4352">
        <w:rPr>
          <w:rFonts w:eastAsia="Calibri" w:cs="Tahoma"/>
          <w:color w:val="000000"/>
          <w:w w:val="0"/>
          <w:sz w:val="21"/>
          <w:szCs w:val="21"/>
          <w:lang w:eastAsia="en-US"/>
        </w:rPr>
        <w:t xml:space="preserve"> à distribuição de energia, ou extinção antecipada, por qualquer motivo, do </w:t>
      </w:r>
      <w:r w:rsidR="0014078A" w:rsidRPr="00CA4352">
        <w:rPr>
          <w:rFonts w:eastAsia="MS Mincho" w:cs="Tahoma"/>
          <w:color w:val="000000"/>
          <w:w w:val="0"/>
          <w:sz w:val="21"/>
          <w:szCs w:val="21"/>
        </w:rPr>
        <w:t>“</w:t>
      </w:r>
      <w:r w:rsidR="0014078A" w:rsidRPr="00CA4352">
        <w:rPr>
          <w:rFonts w:eastAsia="Calibri" w:cs="Tahoma"/>
          <w:i/>
          <w:sz w:val="21"/>
          <w:szCs w:val="21"/>
          <w:lang w:val="x-none" w:eastAsia="en-US"/>
        </w:rPr>
        <w:t>Contrato de Concessão de Serviços Públicos de Energia Elétrica nº</w:t>
      </w:r>
      <w:r w:rsidR="0014078A" w:rsidRPr="00CA4352">
        <w:rPr>
          <w:rFonts w:eastAsia="Calibri" w:cs="Tahoma"/>
          <w:i/>
          <w:sz w:val="21"/>
          <w:szCs w:val="21"/>
          <w:lang w:eastAsia="en-US"/>
        </w:rPr>
        <w:t> </w:t>
      </w:r>
      <w:r w:rsidR="0014078A" w:rsidRPr="00CA4352">
        <w:rPr>
          <w:rFonts w:eastAsia="Calibri" w:cs="Tahoma"/>
          <w:i/>
          <w:sz w:val="21"/>
          <w:szCs w:val="21"/>
          <w:lang w:val="x-none" w:eastAsia="en-US"/>
        </w:rPr>
        <w:t>001/96</w:t>
      </w:r>
      <w:r w:rsidR="0014078A" w:rsidRPr="00CA4352">
        <w:rPr>
          <w:rFonts w:cs="Tahoma"/>
          <w:sz w:val="21"/>
          <w:szCs w:val="21"/>
          <w:lang w:eastAsia="x-none"/>
        </w:rPr>
        <w:t>”</w:t>
      </w:r>
      <w:r w:rsidR="0014078A" w:rsidRPr="00CA4352">
        <w:rPr>
          <w:rFonts w:cs="Tahoma"/>
          <w:sz w:val="21"/>
          <w:szCs w:val="21"/>
          <w:lang w:val="x-none" w:eastAsia="x-none"/>
        </w:rPr>
        <w:t>,</w:t>
      </w:r>
      <w:r w:rsidR="0014078A" w:rsidRPr="00CA4352">
        <w:rPr>
          <w:rFonts w:eastAsia="Calibri" w:cs="Tahoma"/>
          <w:sz w:val="21"/>
          <w:szCs w:val="21"/>
          <w:lang w:val="x-none" w:eastAsia="en-US"/>
        </w:rPr>
        <w:t xml:space="preserve"> conforme alterado, celebrado entre </w:t>
      </w:r>
      <w:r w:rsidR="00411B02" w:rsidRPr="00CA4352">
        <w:rPr>
          <w:rFonts w:eastAsia="Calibri" w:cs="Tahoma"/>
          <w:sz w:val="21"/>
          <w:szCs w:val="21"/>
          <w:lang w:val="x-none" w:eastAsia="en-US"/>
        </w:rPr>
        <w:t>Companhia</w:t>
      </w:r>
      <w:r w:rsidR="0014078A" w:rsidRPr="00CA4352">
        <w:rPr>
          <w:rFonts w:eastAsia="Calibri" w:cs="Tahoma"/>
          <w:sz w:val="21"/>
          <w:szCs w:val="21"/>
          <w:lang w:val="x-none" w:eastAsia="en-US"/>
        </w:rPr>
        <w:t xml:space="preserve"> e União Federal, em 4 de junho de 1996</w:t>
      </w:r>
      <w:r w:rsidR="0014078A" w:rsidRPr="00CA4352">
        <w:rPr>
          <w:rFonts w:eastAsia="Calibri" w:cs="Tahoma"/>
          <w:sz w:val="21"/>
          <w:szCs w:val="21"/>
          <w:lang w:eastAsia="en-US"/>
        </w:rPr>
        <w:t xml:space="preserve"> (“</w:t>
      </w:r>
      <w:r w:rsidR="0014078A" w:rsidRPr="00CA4352">
        <w:rPr>
          <w:rFonts w:eastAsia="Calibri" w:cs="Tahoma"/>
          <w:sz w:val="21"/>
          <w:szCs w:val="21"/>
          <w:u w:val="single"/>
          <w:lang w:eastAsia="en-US"/>
        </w:rPr>
        <w:t>Contrato de Concessão</w:t>
      </w:r>
      <w:r w:rsidR="0014078A" w:rsidRPr="00CA4352">
        <w:rPr>
          <w:rFonts w:eastAsia="Calibri" w:cs="Tahoma"/>
          <w:sz w:val="21"/>
          <w:szCs w:val="21"/>
          <w:lang w:eastAsia="en-US"/>
        </w:rPr>
        <w:t>”)</w:t>
      </w:r>
      <w:r w:rsidR="0014078A" w:rsidRPr="00CA4352">
        <w:rPr>
          <w:rFonts w:eastAsia="Calibri" w:cs="Tahoma"/>
          <w:color w:val="000000"/>
          <w:sz w:val="21"/>
          <w:szCs w:val="21"/>
          <w:lang w:eastAsia="en-US"/>
        </w:rPr>
        <w:t xml:space="preserve">. </w:t>
      </w:r>
    </w:p>
    <w:p w14:paraId="6C255335" w14:textId="77777777" w:rsidR="0014078A" w:rsidRPr="00CA4352" w:rsidRDefault="0014078A" w:rsidP="002D43C4">
      <w:pPr>
        <w:pStyle w:val="PargrafodaLista"/>
        <w:spacing w:line="316" w:lineRule="exact"/>
        <w:rPr>
          <w:rFonts w:cs="Tahoma"/>
          <w:sz w:val="21"/>
          <w:szCs w:val="21"/>
        </w:rPr>
      </w:pPr>
    </w:p>
    <w:p w14:paraId="2CD95F3D" w14:textId="06EF3CA0" w:rsidR="0014078A" w:rsidRPr="00CA4352" w:rsidRDefault="000B290B" w:rsidP="002D43C4">
      <w:pPr>
        <w:pStyle w:val="Texto-MattosFilho"/>
        <w:numPr>
          <w:ilvl w:val="0"/>
          <w:numId w:val="7"/>
        </w:numPr>
        <w:spacing w:line="316" w:lineRule="exact"/>
        <w:ind w:left="1843" w:hanging="709"/>
        <w:rPr>
          <w:rFonts w:cs="Tahoma"/>
          <w:sz w:val="21"/>
          <w:szCs w:val="21"/>
        </w:rPr>
      </w:pPr>
      <w:r w:rsidRPr="00CA4352">
        <w:rPr>
          <w:rFonts w:cs="Tahoma"/>
          <w:b/>
          <w:sz w:val="21"/>
          <w:szCs w:val="21"/>
        </w:rPr>
        <w:t>Vencimento Antecipado Não Automático</w:t>
      </w:r>
      <w:r w:rsidRPr="00CA4352">
        <w:rPr>
          <w:rFonts w:cs="Tahoma"/>
          <w:sz w:val="21"/>
          <w:szCs w:val="21"/>
        </w:rPr>
        <w:t xml:space="preserve">: </w:t>
      </w:r>
      <w:bookmarkStart w:id="3" w:name="_Ref34297496"/>
      <w:r w:rsidR="0014078A" w:rsidRPr="00CA4352">
        <w:rPr>
          <w:rFonts w:cs="Tahoma"/>
          <w:sz w:val="21"/>
          <w:szCs w:val="21"/>
        </w:rPr>
        <w:t xml:space="preserve">O Agente Fiduciário deverá convocar a AGD, a se realizar no prazo mínimo previsto em lei, e comunicar a </w:t>
      </w:r>
      <w:r w:rsidR="00411B02" w:rsidRPr="00CA4352">
        <w:rPr>
          <w:rFonts w:cs="Tahoma"/>
          <w:sz w:val="21"/>
          <w:szCs w:val="21"/>
        </w:rPr>
        <w:t>Companhia</w:t>
      </w:r>
      <w:r w:rsidR="0014078A" w:rsidRPr="00CA4352">
        <w:rPr>
          <w:rFonts w:cs="Tahoma"/>
          <w:sz w:val="21"/>
          <w:szCs w:val="21"/>
        </w:rPr>
        <w:t xml:space="preserve">, em até 2 (dois) Dias Úteis após tomar ciência de quaisquer dos eventos listados abaixo, para deliberar </w:t>
      </w:r>
      <w:r w:rsidR="0014078A" w:rsidRPr="00CA4352">
        <w:rPr>
          <w:rFonts w:cs="Tahoma"/>
          <w:b/>
          <w:sz w:val="21"/>
          <w:szCs w:val="21"/>
        </w:rPr>
        <w:t>(i)</w:t>
      </w:r>
      <w:r w:rsidR="0014078A" w:rsidRPr="00CA4352">
        <w:rPr>
          <w:rFonts w:cs="Tahoma"/>
          <w:sz w:val="21"/>
          <w:szCs w:val="21"/>
        </w:rPr>
        <w:t xml:space="preserve"> a respeito da eventual não declaração do vencimento antecipado de todas as obrigações da </w:t>
      </w:r>
      <w:r w:rsidR="00411B02" w:rsidRPr="00CA4352">
        <w:rPr>
          <w:rFonts w:cs="Tahoma"/>
          <w:sz w:val="21"/>
          <w:szCs w:val="21"/>
        </w:rPr>
        <w:t>Companhia</w:t>
      </w:r>
      <w:r w:rsidR="0014078A" w:rsidRPr="00CA4352">
        <w:rPr>
          <w:rFonts w:cs="Tahoma"/>
          <w:sz w:val="21"/>
          <w:szCs w:val="21"/>
        </w:rPr>
        <w:t xml:space="preserve"> referentes às Debêntures, ou </w:t>
      </w:r>
      <w:r w:rsidR="0014078A" w:rsidRPr="00CA4352">
        <w:rPr>
          <w:rFonts w:cs="Tahoma"/>
          <w:b/>
          <w:sz w:val="21"/>
          <w:szCs w:val="21"/>
        </w:rPr>
        <w:t>(</w:t>
      </w:r>
      <w:proofErr w:type="spellStart"/>
      <w:r w:rsidR="0014078A" w:rsidRPr="00CA4352">
        <w:rPr>
          <w:rFonts w:cs="Tahoma"/>
          <w:b/>
          <w:sz w:val="21"/>
          <w:szCs w:val="21"/>
        </w:rPr>
        <w:t>ii</w:t>
      </w:r>
      <w:proofErr w:type="spellEnd"/>
      <w:r w:rsidR="0014078A" w:rsidRPr="00CA4352">
        <w:rPr>
          <w:rFonts w:cs="Tahoma"/>
          <w:b/>
          <w:sz w:val="21"/>
          <w:szCs w:val="21"/>
        </w:rPr>
        <w:t>)</w:t>
      </w:r>
      <w:r w:rsidR="0014078A" w:rsidRPr="00CA4352">
        <w:rPr>
          <w:rFonts w:cs="Tahoma"/>
          <w:sz w:val="21"/>
          <w:szCs w:val="21"/>
        </w:rPr>
        <w:t xml:space="preserve"> tomar quaisquer outras providências necessárias, na ciência da ocorrência das hipóteses previstas abaixo</w:t>
      </w:r>
      <w:r w:rsidR="00CA4352" w:rsidRPr="00CA4352">
        <w:rPr>
          <w:rFonts w:cs="Tahoma"/>
          <w:sz w:val="21"/>
          <w:szCs w:val="21"/>
        </w:rPr>
        <w:t xml:space="preserve"> (“</w:t>
      </w:r>
      <w:r w:rsidR="00CA4352" w:rsidRPr="00CA4352">
        <w:rPr>
          <w:rFonts w:cs="Tahoma"/>
          <w:sz w:val="21"/>
          <w:szCs w:val="21"/>
          <w:u w:val="single"/>
        </w:rPr>
        <w:t>Eventos de Vencimento Antecipado Não Automático</w:t>
      </w:r>
      <w:r w:rsidR="00CA4352" w:rsidRPr="00CA4352">
        <w:rPr>
          <w:rFonts w:cs="Tahoma"/>
          <w:sz w:val="21"/>
          <w:szCs w:val="21"/>
        </w:rPr>
        <w:t>” e, em conjunto com os Eventos de Vencimento Antecipado Automático, “</w:t>
      </w:r>
      <w:r w:rsidR="00CA4352" w:rsidRPr="00CA4352">
        <w:rPr>
          <w:rFonts w:cs="Tahoma"/>
          <w:sz w:val="21"/>
          <w:szCs w:val="21"/>
          <w:u w:val="single"/>
        </w:rPr>
        <w:t>Eventos de Inadimplemento</w:t>
      </w:r>
      <w:r w:rsidR="00CA4352" w:rsidRPr="00CA4352">
        <w:rPr>
          <w:rFonts w:cs="Tahoma"/>
          <w:sz w:val="21"/>
          <w:szCs w:val="21"/>
        </w:rPr>
        <w:t>”)</w:t>
      </w:r>
      <w:r w:rsidR="0014078A" w:rsidRPr="00CA4352">
        <w:rPr>
          <w:rFonts w:cs="Tahoma"/>
          <w:sz w:val="21"/>
          <w:szCs w:val="21"/>
        </w:rPr>
        <w:t>:</w:t>
      </w:r>
      <w:bookmarkEnd w:id="3"/>
      <w:r w:rsidR="0014078A" w:rsidRPr="00CA4352">
        <w:rPr>
          <w:rFonts w:cs="Tahoma"/>
          <w:sz w:val="21"/>
          <w:szCs w:val="21"/>
        </w:rPr>
        <w:t xml:space="preserve"> </w:t>
      </w:r>
      <w:r w:rsidR="0014078A" w:rsidRPr="00CA4352">
        <w:rPr>
          <w:rFonts w:cs="Tahoma"/>
          <w:b/>
          <w:sz w:val="21"/>
          <w:szCs w:val="21"/>
        </w:rPr>
        <w:t>(i)</w:t>
      </w:r>
      <w:r w:rsidR="0014078A" w:rsidRPr="00CA4352">
        <w:rPr>
          <w:rFonts w:cs="Tahoma"/>
          <w:sz w:val="21"/>
          <w:szCs w:val="21"/>
        </w:rPr>
        <w:t xml:space="preserve"> </w:t>
      </w:r>
      <w:r w:rsidR="0014078A" w:rsidRPr="00CA4352">
        <w:rPr>
          <w:rFonts w:eastAsia="Calibri" w:cs="Tahoma"/>
          <w:sz w:val="21"/>
          <w:szCs w:val="21"/>
          <w:lang w:eastAsia="en-US"/>
        </w:rPr>
        <w:t xml:space="preserve">pagamento, pela </w:t>
      </w:r>
      <w:r w:rsidR="00411B02" w:rsidRPr="00CA4352">
        <w:rPr>
          <w:rFonts w:eastAsia="Calibri" w:cs="Tahoma"/>
          <w:sz w:val="21"/>
          <w:szCs w:val="21"/>
          <w:lang w:eastAsia="en-US"/>
        </w:rPr>
        <w:t>Companhia</w:t>
      </w:r>
      <w:r w:rsidR="0014078A" w:rsidRPr="00CA4352">
        <w:rPr>
          <w:rFonts w:eastAsia="Calibri" w:cs="Tahoma"/>
          <w:sz w:val="21"/>
          <w:szCs w:val="21"/>
          <w:lang w:eastAsia="en-US"/>
        </w:rPr>
        <w:t xml:space="preserve"> ou pela Fiadora, de dividendos, juros sobre capital próprio ou qualquer outra participação no lucro prevista no estatuto social da </w:t>
      </w:r>
      <w:r w:rsidR="00411B02" w:rsidRPr="00CA4352">
        <w:rPr>
          <w:rFonts w:eastAsia="Calibri" w:cs="Tahoma"/>
          <w:sz w:val="21"/>
          <w:szCs w:val="21"/>
          <w:lang w:eastAsia="en-US"/>
        </w:rPr>
        <w:t>Companhia</w:t>
      </w:r>
      <w:r w:rsidR="0014078A" w:rsidRPr="00CA4352">
        <w:rPr>
          <w:rFonts w:eastAsia="MS Mincho" w:cs="Tahoma"/>
          <w:sz w:val="21"/>
          <w:szCs w:val="21"/>
        </w:rPr>
        <w:t xml:space="preserve"> e da Fiadora</w:t>
      </w:r>
      <w:r w:rsidR="0014078A" w:rsidRPr="00CA4352">
        <w:rPr>
          <w:rFonts w:eastAsia="Calibri" w:cs="Tahoma"/>
          <w:sz w:val="21"/>
          <w:szCs w:val="21"/>
          <w:lang w:eastAsia="en-US"/>
        </w:rPr>
        <w:t xml:space="preserve">, caso a </w:t>
      </w:r>
      <w:r w:rsidR="00411B02" w:rsidRPr="00CA4352">
        <w:rPr>
          <w:rFonts w:eastAsia="Calibri" w:cs="Tahoma"/>
          <w:sz w:val="21"/>
          <w:szCs w:val="21"/>
          <w:lang w:eastAsia="en-US"/>
        </w:rPr>
        <w:t>Companhia</w:t>
      </w:r>
      <w:r w:rsidR="0014078A" w:rsidRPr="00CA4352">
        <w:rPr>
          <w:rFonts w:eastAsia="Calibri" w:cs="Tahoma"/>
          <w:sz w:val="21"/>
          <w:szCs w:val="21"/>
          <w:lang w:eastAsia="en-US"/>
        </w:rPr>
        <w:t xml:space="preserve"> e/ou a Fiadora estejam em mora relativamente ao cumprimento de quaisquer de suas obrigações pecuniárias aqui previstas, ressalvado o pagamento do dividendo mínimo obrigatório limitado a 25% (vinte e cinco por cento) do lucro líquido de cada exercício social, conforme previsto no estatuto social atualmente vigente da </w:t>
      </w:r>
      <w:r w:rsidR="00411B02" w:rsidRPr="00CA4352">
        <w:rPr>
          <w:rFonts w:eastAsia="Calibri" w:cs="Tahoma"/>
          <w:sz w:val="21"/>
          <w:szCs w:val="21"/>
          <w:lang w:eastAsia="en-US"/>
        </w:rPr>
        <w:t>Companhia</w:t>
      </w:r>
      <w:r w:rsidR="0014078A" w:rsidRPr="00CA4352">
        <w:rPr>
          <w:rFonts w:eastAsia="Calibri" w:cs="Tahoma"/>
          <w:sz w:val="21"/>
          <w:szCs w:val="21"/>
          <w:lang w:eastAsia="en-US"/>
        </w:rPr>
        <w:t xml:space="preserve"> e da Fiadora; </w:t>
      </w:r>
      <w:r w:rsidR="0014078A" w:rsidRPr="00CA4352">
        <w:rPr>
          <w:rFonts w:eastAsia="Calibri" w:cs="Tahoma"/>
          <w:b/>
          <w:sz w:val="21"/>
          <w:szCs w:val="21"/>
          <w:lang w:eastAsia="en-US"/>
        </w:rPr>
        <w:t>(</w:t>
      </w:r>
      <w:proofErr w:type="spellStart"/>
      <w:r w:rsidR="0014078A" w:rsidRPr="00CA4352">
        <w:rPr>
          <w:rFonts w:eastAsia="Calibri" w:cs="Tahoma"/>
          <w:b/>
          <w:sz w:val="21"/>
          <w:szCs w:val="21"/>
          <w:lang w:eastAsia="en-US"/>
        </w:rPr>
        <w:t>ii</w:t>
      </w:r>
      <w:proofErr w:type="spellEnd"/>
      <w:r w:rsidR="0014078A" w:rsidRPr="00CA4352">
        <w:rPr>
          <w:rFonts w:eastAsia="Calibri" w:cs="Tahoma"/>
          <w:b/>
          <w:sz w:val="21"/>
          <w:szCs w:val="21"/>
          <w:lang w:eastAsia="en-US"/>
        </w:rPr>
        <w:t>)</w:t>
      </w:r>
      <w:r w:rsidR="0014078A" w:rsidRPr="00CA4352">
        <w:rPr>
          <w:rFonts w:eastAsia="Calibri" w:cs="Tahoma"/>
          <w:sz w:val="21"/>
          <w:szCs w:val="21"/>
          <w:lang w:eastAsia="en-US"/>
        </w:rPr>
        <w:t xml:space="preserve"> inadimplemento, pela </w:t>
      </w:r>
      <w:r w:rsidR="00411B02" w:rsidRPr="00CA4352">
        <w:rPr>
          <w:rFonts w:eastAsia="Calibri" w:cs="Tahoma"/>
          <w:sz w:val="21"/>
          <w:szCs w:val="21"/>
          <w:lang w:eastAsia="en-US"/>
        </w:rPr>
        <w:t>Companhia</w:t>
      </w:r>
      <w:r w:rsidR="0014078A" w:rsidRPr="00CA4352">
        <w:rPr>
          <w:rFonts w:eastAsia="Calibri" w:cs="Tahoma"/>
          <w:sz w:val="21"/>
          <w:szCs w:val="21"/>
          <w:lang w:eastAsia="en-US"/>
        </w:rPr>
        <w:t xml:space="preserve">, pela </w:t>
      </w:r>
      <w:r w:rsidR="0014078A" w:rsidRPr="00CA4352">
        <w:rPr>
          <w:rFonts w:eastAsia="Calibri" w:cs="Tahoma"/>
          <w:sz w:val="21"/>
          <w:szCs w:val="21"/>
          <w:lang w:eastAsia="en-US"/>
        </w:rPr>
        <w:lastRenderedPageBreak/>
        <w:t xml:space="preserve">Fiadora ou por qualquer </w:t>
      </w:r>
      <w:r w:rsidR="0014078A" w:rsidRPr="00CA4352">
        <w:rPr>
          <w:rFonts w:eastAsia="Calibri" w:cs="Tahoma"/>
          <w:color w:val="000000"/>
          <w:w w:val="0"/>
          <w:sz w:val="21"/>
          <w:szCs w:val="21"/>
          <w:lang w:eastAsia="en-US"/>
        </w:rPr>
        <w:t>de suas respectivas controladas ou coligadas</w:t>
      </w:r>
      <w:r w:rsidR="0014078A" w:rsidRPr="00CA4352">
        <w:rPr>
          <w:rFonts w:eastAsia="Calibri" w:cs="Tahoma"/>
          <w:sz w:val="21"/>
          <w:szCs w:val="21"/>
          <w:lang w:eastAsia="en-US"/>
        </w:rPr>
        <w:t>, no pagamento de dívidas ou em obrigações pecuniárias cujo valor, individual ou agregado, seja igual ou superior a R$50.000.000,00 (cinquenta milhões de reais</w:t>
      </w:r>
      <w:r w:rsidR="0014078A" w:rsidRPr="00CA4352">
        <w:rPr>
          <w:rFonts w:eastAsia="MS Mincho" w:cs="Tahoma"/>
          <w:sz w:val="21"/>
          <w:szCs w:val="21"/>
        </w:rPr>
        <w:t>)</w:t>
      </w:r>
      <w:r w:rsidR="0014078A" w:rsidRPr="00CA4352">
        <w:rPr>
          <w:rFonts w:eastAsia="Calibri" w:cs="Tahoma"/>
          <w:sz w:val="21"/>
          <w:szCs w:val="21"/>
          <w:lang w:eastAsia="en-US"/>
        </w:rPr>
        <w:t xml:space="preserve"> ou seu equivalente em outras moedas, não sanado no prazo de 1 (um) Dia Útil contado da data do respectivo inadimplemento ou nos prazos de cura previstos nos respectivos instrumentos, conforme o caso;</w:t>
      </w:r>
      <w:r w:rsidR="0014078A" w:rsidRPr="00CA4352">
        <w:rPr>
          <w:rFonts w:eastAsia="MS Mincho" w:cs="Tahoma"/>
          <w:sz w:val="21"/>
          <w:szCs w:val="21"/>
        </w:rPr>
        <w:t xml:space="preserve"> </w:t>
      </w:r>
      <w:r w:rsidR="0014078A" w:rsidRPr="00CA4352">
        <w:rPr>
          <w:rFonts w:eastAsia="MS Mincho" w:cs="Tahoma"/>
          <w:b/>
          <w:sz w:val="21"/>
          <w:szCs w:val="21"/>
        </w:rPr>
        <w:t>(</w:t>
      </w:r>
      <w:proofErr w:type="spellStart"/>
      <w:r w:rsidR="0014078A" w:rsidRPr="00CA4352">
        <w:rPr>
          <w:rFonts w:eastAsia="MS Mincho" w:cs="Tahoma"/>
          <w:b/>
          <w:sz w:val="21"/>
          <w:szCs w:val="21"/>
        </w:rPr>
        <w:t>iii</w:t>
      </w:r>
      <w:proofErr w:type="spellEnd"/>
      <w:r w:rsidR="0014078A" w:rsidRPr="00CA4352">
        <w:rPr>
          <w:rFonts w:eastAsia="MS Mincho" w:cs="Tahoma"/>
          <w:b/>
          <w:sz w:val="21"/>
          <w:szCs w:val="21"/>
        </w:rPr>
        <w:t>)</w:t>
      </w:r>
      <w:r w:rsidR="0014078A" w:rsidRPr="00CA4352">
        <w:rPr>
          <w:rFonts w:eastAsia="MS Mincho" w:cs="Tahoma"/>
          <w:sz w:val="21"/>
          <w:szCs w:val="21"/>
        </w:rPr>
        <w:t xml:space="preserve"> </w:t>
      </w:r>
      <w:r w:rsidR="0014078A" w:rsidRPr="00CA4352">
        <w:rPr>
          <w:rFonts w:eastAsia="Calibri" w:cs="Tahoma"/>
          <w:sz w:val="21"/>
          <w:szCs w:val="21"/>
          <w:lang w:eastAsia="en-US"/>
        </w:rPr>
        <w:t xml:space="preserve">protesto de títulos contra (ainda que na condição de garantidora) a </w:t>
      </w:r>
      <w:r w:rsidR="00411B02" w:rsidRPr="00CA4352">
        <w:rPr>
          <w:rFonts w:eastAsia="Calibri" w:cs="Tahoma"/>
          <w:sz w:val="21"/>
          <w:szCs w:val="21"/>
          <w:lang w:eastAsia="en-US"/>
        </w:rPr>
        <w:t>Companhia</w:t>
      </w:r>
      <w:r w:rsidR="0014078A" w:rsidRPr="00CA4352">
        <w:rPr>
          <w:rFonts w:eastAsia="Calibri" w:cs="Tahoma"/>
          <w:sz w:val="21"/>
          <w:szCs w:val="21"/>
          <w:lang w:eastAsia="en-US"/>
        </w:rPr>
        <w:t xml:space="preserve">, a Fiadora ou qualquer </w:t>
      </w:r>
      <w:r w:rsidR="0014078A" w:rsidRPr="00CA4352">
        <w:rPr>
          <w:rFonts w:eastAsia="Calibri" w:cs="Tahoma"/>
          <w:color w:val="000000"/>
          <w:w w:val="0"/>
          <w:sz w:val="21"/>
          <w:szCs w:val="21"/>
          <w:lang w:eastAsia="en-US"/>
        </w:rPr>
        <w:t>de suas respectivas controladas ou coligadas</w:t>
      </w:r>
      <w:r w:rsidR="0014078A" w:rsidRPr="00CA4352">
        <w:rPr>
          <w:rFonts w:eastAsia="Calibri" w:cs="Tahoma"/>
          <w:sz w:val="21"/>
          <w:szCs w:val="21"/>
          <w:lang w:eastAsia="en-US"/>
        </w:rPr>
        <w:t>, cujo valor, individual ou agregado, seja igual ou superior a R$50.000.000,00 (cinquenta milhões de reais</w:t>
      </w:r>
      <w:r w:rsidR="0014078A" w:rsidRPr="00CA4352">
        <w:rPr>
          <w:rFonts w:eastAsia="MS Mincho" w:cs="Tahoma"/>
          <w:sz w:val="21"/>
          <w:szCs w:val="21"/>
        </w:rPr>
        <w:t>)</w:t>
      </w:r>
      <w:r w:rsidR="0014078A" w:rsidRPr="00CA4352">
        <w:rPr>
          <w:rFonts w:eastAsia="Calibri" w:cs="Tahoma"/>
          <w:sz w:val="21"/>
          <w:szCs w:val="21"/>
          <w:lang w:eastAsia="en-US"/>
        </w:rPr>
        <w:t xml:space="preserve"> ou seu equivalente em outras moedas, exceto se, no prazo de 10 (dez) Dias Úteis contados do respectivo protesto, tiver sido validamente comprovado ao Agente Fiduciário que </w:t>
      </w:r>
      <w:r w:rsidR="0014078A" w:rsidRPr="00CA4352">
        <w:rPr>
          <w:rFonts w:eastAsia="Calibri" w:cs="Tahoma"/>
          <w:b/>
          <w:sz w:val="21"/>
          <w:szCs w:val="21"/>
          <w:lang w:eastAsia="en-US"/>
        </w:rPr>
        <w:t>(1)</w:t>
      </w:r>
      <w:r w:rsidR="0014078A" w:rsidRPr="00CA4352">
        <w:rPr>
          <w:rFonts w:eastAsia="Calibri" w:cs="Tahoma"/>
          <w:sz w:val="21"/>
          <w:szCs w:val="21"/>
          <w:lang w:eastAsia="en-US"/>
        </w:rPr>
        <w:t xml:space="preserve"> o protesto foi cancelado ou suspenso por medida judicial ou administrativa; </w:t>
      </w:r>
      <w:r w:rsidR="0014078A" w:rsidRPr="00CA4352">
        <w:rPr>
          <w:rFonts w:eastAsia="Calibri" w:cs="Tahoma"/>
          <w:b/>
          <w:sz w:val="21"/>
          <w:szCs w:val="21"/>
          <w:lang w:eastAsia="en-US"/>
        </w:rPr>
        <w:t>(2)</w:t>
      </w:r>
      <w:r w:rsidR="0014078A" w:rsidRPr="00CA4352">
        <w:rPr>
          <w:rFonts w:eastAsia="Calibri" w:cs="Tahoma"/>
          <w:sz w:val="21"/>
          <w:szCs w:val="21"/>
          <w:lang w:eastAsia="en-US"/>
        </w:rPr>
        <w:t xml:space="preserve"> foram prestadas garantias aceitas pelo juízo competente; ou </w:t>
      </w:r>
      <w:r w:rsidR="0014078A" w:rsidRPr="00CA4352">
        <w:rPr>
          <w:rFonts w:eastAsia="Calibri" w:cs="Tahoma"/>
          <w:b/>
          <w:sz w:val="21"/>
          <w:szCs w:val="21"/>
          <w:lang w:eastAsia="en-US"/>
        </w:rPr>
        <w:t>(3)</w:t>
      </w:r>
      <w:r w:rsidR="0014078A" w:rsidRPr="00CA4352">
        <w:rPr>
          <w:rFonts w:eastAsia="Calibri" w:cs="Tahoma"/>
          <w:sz w:val="21"/>
          <w:szCs w:val="21"/>
          <w:lang w:eastAsia="en-US"/>
        </w:rPr>
        <w:t xml:space="preserve"> o protesto foi devidamente quitado;</w:t>
      </w:r>
      <w:r w:rsidR="0014078A" w:rsidRPr="00CA4352">
        <w:rPr>
          <w:rFonts w:eastAsia="MS Mincho" w:cs="Tahoma"/>
          <w:sz w:val="21"/>
          <w:szCs w:val="21"/>
        </w:rPr>
        <w:t xml:space="preserve"> </w:t>
      </w:r>
      <w:r w:rsidR="0014078A" w:rsidRPr="00CA4352">
        <w:rPr>
          <w:rFonts w:eastAsia="MS Mincho" w:cs="Tahoma"/>
          <w:b/>
          <w:w w:val="0"/>
          <w:sz w:val="21"/>
          <w:szCs w:val="21"/>
        </w:rPr>
        <w:t>(</w:t>
      </w:r>
      <w:proofErr w:type="spellStart"/>
      <w:r w:rsidR="0014078A" w:rsidRPr="00CA4352">
        <w:rPr>
          <w:rFonts w:eastAsia="MS Mincho" w:cs="Tahoma"/>
          <w:b/>
          <w:w w:val="0"/>
          <w:sz w:val="21"/>
          <w:szCs w:val="21"/>
        </w:rPr>
        <w:t>iv</w:t>
      </w:r>
      <w:proofErr w:type="spellEnd"/>
      <w:r w:rsidR="0014078A" w:rsidRPr="00CA4352">
        <w:rPr>
          <w:rFonts w:eastAsia="MS Mincho" w:cs="Tahoma"/>
          <w:b/>
          <w:w w:val="0"/>
          <w:sz w:val="21"/>
          <w:szCs w:val="21"/>
        </w:rPr>
        <w:t>)</w:t>
      </w:r>
      <w:r w:rsidR="0014078A" w:rsidRPr="00CA4352">
        <w:rPr>
          <w:rFonts w:eastAsia="MS Mincho" w:cs="Tahoma"/>
          <w:w w:val="0"/>
          <w:sz w:val="21"/>
          <w:szCs w:val="21"/>
        </w:rPr>
        <w:t xml:space="preserve"> </w:t>
      </w:r>
      <w:r w:rsidR="0014078A" w:rsidRPr="00CA4352">
        <w:rPr>
          <w:rFonts w:eastAsia="Calibri" w:cs="Tahoma"/>
          <w:color w:val="000000"/>
          <w:sz w:val="21"/>
          <w:szCs w:val="21"/>
          <w:lang w:eastAsia="en-US"/>
        </w:rPr>
        <w:t xml:space="preserve">alteração </w:t>
      </w:r>
      <w:r w:rsidR="0014078A" w:rsidRPr="00CA4352">
        <w:rPr>
          <w:rFonts w:eastAsia="Calibri" w:cs="Tahoma"/>
          <w:sz w:val="21"/>
          <w:szCs w:val="21"/>
          <w:lang w:eastAsia="en-US"/>
        </w:rPr>
        <w:t>ou</w:t>
      </w:r>
      <w:r w:rsidR="0014078A" w:rsidRPr="00CA4352">
        <w:rPr>
          <w:rFonts w:eastAsia="Calibri" w:cs="Tahoma"/>
          <w:color w:val="000000"/>
          <w:sz w:val="21"/>
          <w:szCs w:val="21"/>
          <w:lang w:eastAsia="en-US"/>
        </w:rPr>
        <w:t xml:space="preserve"> transferência do controle acionário, direto ou indireto, da </w:t>
      </w:r>
      <w:r w:rsidR="00411B02" w:rsidRPr="00CA4352">
        <w:rPr>
          <w:rFonts w:eastAsia="Calibri" w:cs="Tahoma"/>
          <w:color w:val="000000"/>
          <w:sz w:val="21"/>
          <w:szCs w:val="21"/>
          <w:lang w:eastAsia="en-US"/>
        </w:rPr>
        <w:t>Companhia</w:t>
      </w:r>
      <w:r w:rsidR="0014078A" w:rsidRPr="00CA4352">
        <w:rPr>
          <w:rFonts w:eastAsia="Calibri" w:cs="Tahoma"/>
          <w:color w:val="000000"/>
          <w:sz w:val="21"/>
          <w:szCs w:val="21"/>
          <w:lang w:eastAsia="en-US"/>
        </w:rPr>
        <w:t xml:space="preserve"> ou da Fiadora, nos termos do artigo 116 da Lei </w:t>
      </w:r>
      <w:r w:rsidR="0014078A" w:rsidRPr="00CA4352">
        <w:rPr>
          <w:rFonts w:eastAsia="MS Mincho" w:cs="Tahoma"/>
          <w:color w:val="000000"/>
          <w:sz w:val="21"/>
          <w:szCs w:val="21"/>
        </w:rPr>
        <w:t>das Sociedades por Ações</w:t>
      </w:r>
      <w:r w:rsidR="0014078A" w:rsidRPr="00CA4352">
        <w:rPr>
          <w:rFonts w:eastAsia="Calibri" w:cs="Tahoma"/>
          <w:color w:val="000000"/>
          <w:sz w:val="21"/>
          <w:szCs w:val="21"/>
          <w:lang w:eastAsia="en-US"/>
        </w:rPr>
        <w:t>, desde que em razão de referida alteração ou transferência, a classificação de risco (</w:t>
      </w:r>
      <w:r w:rsidR="0014078A" w:rsidRPr="00CA4352">
        <w:rPr>
          <w:rFonts w:eastAsia="Calibri" w:cs="Tahoma"/>
          <w:i/>
          <w:color w:val="000000"/>
          <w:sz w:val="21"/>
          <w:szCs w:val="21"/>
          <w:lang w:eastAsia="en-US"/>
        </w:rPr>
        <w:t>rating</w:t>
      </w:r>
      <w:r w:rsidR="0014078A" w:rsidRPr="00CA4352">
        <w:rPr>
          <w:rFonts w:eastAsia="Calibri" w:cs="Tahoma"/>
          <w:color w:val="000000"/>
          <w:sz w:val="21"/>
          <w:szCs w:val="21"/>
          <w:lang w:eastAsia="en-US"/>
        </w:rPr>
        <w:t xml:space="preserve">) vigente à época seja objeto de rebaixamento por uma ou mais agências de classificação de risco dentre as seguintes: </w:t>
      </w:r>
      <w:r w:rsidR="0014078A" w:rsidRPr="00CA4352">
        <w:rPr>
          <w:rFonts w:eastAsia="Calibri" w:cs="Tahoma"/>
          <w:b/>
          <w:color w:val="000000"/>
          <w:sz w:val="21"/>
          <w:szCs w:val="21"/>
          <w:lang w:eastAsia="en-US"/>
        </w:rPr>
        <w:t>(1)</w:t>
      </w:r>
      <w:r w:rsidR="0014078A" w:rsidRPr="00CA4352">
        <w:rPr>
          <w:rFonts w:eastAsia="Calibri" w:cs="Tahoma"/>
          <w:color w:val="000000"/>
          <w:sz w:val="21"/>
          <w:szCs w:val="21"/>
          <w:lang w:eastAsia="en-US"/>
        </w:rPr>
        <w:t xml:space="preserve"> Standard &amp; </w:t>
      </w:r>
      <w:proofErr w:type="spellStart"/>
      <w:r w:rsidR="0014078A" w:rsidRPr="00CA4352">
        <w:rPr>
          <w:rFonts w:eastAsia="Calibri" w:cs="Tahoma"/>
          <w:color w:val="000000"/>
          <w:sz w:val="21"/>
          <w:szCs w:val="21"/>
          <w:lang w:eastAsia="en-US"/>
        </w:rPr>
        <w:t>Poor’s</w:t>
      </w:r>
      <w:proofErr w:type="spellEnd"/>
      <w:r w:rsidR="0014078A" w:rsidRPr="00CA4352">
        <w:rPr>
          <w:rFonts w:eastAsia="Calibri" w:cs="Tahoma"/>
          <w:color w:val="000000"/>
          <w:sz w:val="21"/>
          <w:szCs w:val="21"/>
          <w:lang w:eastAsia="en-US"/>
        </w:rPr>
        <w:t xml:space="preserve">; </w:t>
      </w:r>
      <w:r w:rsidR="0014078A" w:rsidRPr="00CA4352">
        <w:rPr>
          <w:rFonts w:eastAsia="Calibri" w:cs="Tahoma"/>
          <w:b/>
          <w:color w:val="000000"/>
          <w:sz w:val="21"/>
          <w:szCs w:val="21"/>
          <w:lang w:eastAsia="en-US"/>
        </w:rPr>
        <w:t>(2)</w:t>
      </w:r>
      <w:r w:rsidR="0014078A" w:rsidRPr="00CA4352">
        <w:rPr>
          <w:rFonts w:eastAsia="Calibri" w:cs="Tahoma"/>
          <w:color w:val="000000"/>
          <w:sz w:val="21"/>
          <w:szCs w:val="21"/>
          <w:lang w:eastAsia="en-US"/>
        </w:rPr>
        <w:t xml:space="preserve"> Moody’s; e </w:t>
      </w:r>
      <w:r w:rsidR="0014078A" w:rsidRPr="00CA4352">
        <w:rPr>
          <w:rFonts w:eastAsia="Calibri" w:cs="Tahoma"/>
          <w:b/>
          <w:color w:val="000000"/>
          <w:sz w:val="21"/>
          <w:szCs w:val="21"/>
          <w:lang w:eastAsia="en-US"/>
        </w:rPr>
        <w:t>(3)</w:t>
      </w:r>
      <w:r w:rsidR="0014078A" w:rsidRPr="00CA4352">
        <w:rPr>
          <w:rFonts w:eastAsia="Calibri" w:cs="Tahoma"/>
          <w:color w:val="000000"/>
          <w:sz w:val="21"/>
          <w:szCs w:val="21"/>
          <w:lang w:eastAsia="en-US"/>
        </w:rPr>
        <w:t xml:space="preserve"> Fitch Ratings, ou seus sucessores; </w:t>
      </w:r>
      <w:r w:rsidR="0014078A" w:rsidRPr="00CA4352">
        <w:rPr>
          <w:rFonts w:eastAsia="Calibri" w:cs="Tahoma"/>
          <w:b/>
          <w:color w:val="000000"/>
          <w:sz w:val="21"/>
          <w:szCs w:val="21"/>
          <w:lang w:eastAsia="en-US"/>
        </w:rPr>
        <w:t>(v)</w:t>
      </w:r>
      <w:r w:rsidR="0014078A" w:rsidRPr="00CA4352">
        <w:rPr>
          <w:rFonts w:eastAsia="Calibri" w:cs="Tahoma"/>
          <w:color w:val="000000"/>
          <w:sz w:val="21"/>
          <w:szCs w:val="21"/>
          <w:lang w:eastAsia="en-US"/>
        </w:rPr>
        <w:t xml:space="preserve"> </w:t>
      </w:r>
      <w:r w:rsidR="0014078A" w:rsidRPr="00CA4352">
        <w:rPr>
          <w:rFonts w:eastAsia="Calibri" w:cs="Tahoma"/>
          <w:sz w:val="21"/>
          <w:szCs w:val="21"/>
          <w:lang w:eastAsia="en-US"/>
        </w:rPr>
        <w:t xml:space="preserve">descumprimento, pela </w:t>
      </w:r>
      <w:r w:rsidR="00411B02" w:rsidRPr="00CA4352">
        <w:rPr>
          <w:rFonts w:eastAsia="Calibri" w:cs="Tahoma"/>
          <w:sz w:val="21"/>
          <w:szCs w:val="21"/>
          <w:lang w:eastAsia="en-US"/>
        </w:rPr>
        <w:t>Companhia</w:t>
      </w:r>
      <w:r w:rsidR="0014078A" w:rsidRPr="00CA4352">
        <w:rPr>
          <w:rFonts w:eastAsia="Calibri" w:cs="Tahoma"/>
          <w:sz w:val="21"/>
          <w:szCs w:val="21"/>
          <w:lang w:eastAsia="en-US"/>
        </w:rPr>
        <w:t xml:space="preserve"> ou pela Fiadora, de qualquer decisão judicial e/ou de qualquer decisão arbitral não sujeita a recurso que resulte em uma obrigação de pagamento pela </w:t>
      </w:r>
      <w:r w:rsidR="00411B02" w:rsidRPr="00CA4352">
        <w:rPr>
          <w:rFonts w:eastAsia="Calibri" w:cs="Tahoma"/>
          <w:sz w:val="21"/>
          <w:szCs w:val="21"/>
          <w:lang w:eastAsia="en-US"/>
        </w:rPr>
        <w:t>Companhia</w:t>
      </w:r>
      <w:r w:rsidR="0014078A" w:rsidRPr="00CA4352">
        <w:rPr>
          <w:rFonts w:eastAsia="Calibri" w:cs="Tahoma"/>
          <w:sz w:val="21"/>
          <w:szCs w:val="21"/>
          <w:lang w:eastAsia="en-US"/>
        </w:rPr>
        <w:t xml:space="preserve"> ou pela Fiadora envolvendo valor, individual ou agregado, superior a R$50.000.000,00 (cinquenta milhões de reais</w:t>
      </w:r>
      <w:r w:rsidR="0014078A" w:rsidRPr="00CA4352">
        <w:rPr>
          <w:rFonts w:eastAsia="MS Mincho" w:cs="Tahoma"/>
          <w:sz w:val="21"/>
          <w:szCs w:val="21"/>
        </w:rPr>
        <w:t>)</w:t>
      </w:r>
      <w:r w:rsidR="0014078A" w:rsidRPr="00CA4352">
        <w:rPr>
          <w:rFonts w:eastAsia="Calibri" w:cs="Tahoma"/>
          <w:sz w:val="21"/>
          <w:szCs w:val="21"/>
          <w:lang w:eastAsia="en-US"/>
        </w:rPr>
        <w:t xml:space="preserve"> ou seu equivalente em outras moedas, contra a </w:t>
      </w:r>
      <w:r w:rsidR="00411B02" w:rsidRPr="00CA4352">
        <w:rPr>
          <w:rFonts w:eastAsia="Calibri" w:cs="Tahoma"/>
          <w:sz w:val="21"/>
          <w:szCs w:val="21"/>
          <w:lang w:eastAsia="en-US"/>
        </w:rPr>
        <w:t>Companhia</w:t>
      </w:r>
      <w:r w:rsidR="0014078A" w:rsidRPr="00CA4352">
        <w:rPr>
          <w:rFonts w:eastAsia="Calibri" w:cs="Tahoma"/>
          <w:sz w:val="21"/>
          <w:szCs w:val="21"/>
          <w:lang w:eastAsia="en-US"/>
        </w:rPr>
        <w:t xml:space="preserve"> e/ou a Fiadora; </w:t>
      </w:r>
      <w:r w:rsidR="0014078A" w:rsidRPr="00CA4352">
        <w:rPr>
          <w:rFonts w:eastAsia="Calibri" w:cs="Tahoma"/>
          <w:b/>
          <w:sz w:val="21"/>
          <w:szCs w:val="21"/>
          <w:lang w:eastAsia="en-US"/>
        </w:rPr>
        <w:t>(vi)</w:t>
      </w:r>
      <w:r w:rsidR="0014078A" w:rsidRPr="00CA4352">
        <w:rPr>
          <w:rFonts w:eastAsia="Calibri" w:cs="Tahoma"/>
          <w:sz w:val="21"/>
          <w:szCs w:val="21"/>
          <w:lang w:eastAsia="en-US"/>
        </w:rPr>
        <w:t xml:space="preserve"> ato de qualquer autoridade governamental com o objetivo de sequestrar, expropriar, nacionalizar, desapropriar ou de qualquer modo adquirir, compulsoriamente, totalidade ou parte substancial dos ativos da </w:t>
      </w:r>
      <w:r w:rsidR="00411B02" w:rsidRPr="00CA4352">
        <w:rPr>
          <w:rFonts w:eastAsia="Calibri" w:cs="Tahoma"/>
          <w:sz w:val="21"/>
          <w:szCs w:val="21"/>
          <w:lang w:eastAsia="en-US"/>
        </w:rPr>
        <w:t>Companhia</w:t>
      </w:r>
      <w:r w:rsidR="0014078A" w:rsidRPr="00CA4352">
        <w:rPr>
          <w:rFonts w:eastAsia="Calibri" w:cs="Tahoma"/>
          <w:sz w:val="21"/>
          <w:szCs w:val="21"/>
          <w:lang w:eastAsia="en-US"/>
        </w:rPr>
        <w:t xml:space="preserve"> ou da Fiadora;  </w:t>
      </w:r>
      <w:r w:rsidR="0014078A" w:rsidRPr="00CA4352">
        <w:rPr>
          <w:rFonts w:eastAsia="Calibri" w:cs="Tahoma"/>
          <w:b/>
          <w:sz w:val="21"/>
          <w:szCs w:val="21"/>
          <w:lang w:eastAsia="en-US"/>
        </w:rPr>
        <w:t>(</w:t>
      </w:r>
      <w:proofErr w:type="spellStart"/>
      <w:r w:rsidR="0014078A" w:rsidRPr="00CA4352">
        <w:rPr>
          <w:rFonts w:eastAsia="Calibri" w:cs="Tahoma"/>
          <w:b/>
          <w:sz w:val="21"/>
          <w:szCs w:val="21"/>
          <w:lang w:eastAsia="en-US"/>
        </w:rPr>
        <w:t>vii</w:t>
      </w:r>
      <w:proofErr w:type="spellEnd"/>
      <w:r w:rsidR="0014078A" w:rsidRPr="00CA4352">
        <w:rPr>
          <w:rFonts w:eastAsia="Calibri" w:cs="Tahoma"/>
          <w:b/>
          <w:sz w:val="21"/>
          <w:szCs w:val="21"/>
          <w:lang w:eastAsia="en-US"/>
        </w:rPr>
        <w:t>)</w:t>
      </w:r>
      <w:r w:rsidR="0014078A" w:rsidRPr="00CA4352">
        <w:rPr>
          <w:rFonts w:eastAsia="Calibri" w:cs="Tahoma"/>
          <w:sz w:val="21"/>
          <w:szCs w:val="21"/>
          <w:lang w:eastAsia="en-US"/>
        </w:rPr>
        <w:t xml:space="preserve"> comprovação de que qualquer das declarações prestadas pela </w:t>
      </w:r>
      <w:r w:rsidR="00411B02" w:rsidRPr="00CA4352">
        <w:rPr>
          <w:rFonts w:eastAsia="Calibri" w:cs="Tahoma"/>
          <w:sz w:val="21"/>
          <w:szCs w:val="21"/>
          <w:lang w:eastAsia="en-US"/>
        </w:rPr>
        <w:t>Companhia</w:t>
      </w:r>
      <w:r w:rsidR="0014078A" w:rsidRPr="00CA4352">
        <w:rPr>
          <w:rFonts w:eastAsia="Calibri" w:cs="Tahoma"/>
          <w:sz w:val="21"/>
          <w:szCs w:val="21"/>
          <w:lang w:eastAsia="en-US"/>
        </w:rPr>
        <w:t xml:space="preserve"> ou pela </w:t>
      </w:r>
      <w:r w:rsidR="0014078A" w:rsidRPr="00CA4352">
        <w:rPr>
          <w:rFonts w:eastAsia="Calibri" w:cs="Tahoma"/>
          <w:w w:val="0"/>
          <w:sz w:val="21"/>
          <w:szCs w:val="21"/>
          <w:lang w:eastAsia="en-US"/>
        </w:rPr>
        <w:t>Fiadora</w:t>
      </w:r>
      <w:r w:rsidR="0014078A" w:rsidRPr="00CA4352">
        <w:rPr>
          <w:rFonts w:eastAsia="Calibri" w:cs="Tahoma"/>
          <w:sz w:val="21"/>
          <w:szCs w:val="21"/>
          <w:lang w:eastAsia="en-US"/>
        </w:rPr>
        <w:t xml:space="preserve"> n</w:t>
      </w:r>
      <w:r w:rsidR="00411B02" w:rsidRPr="00CA4352">
        <w:rPr>
          <w:rFonts w:eastAsia="Calibri" w:cs="Tahoma"/>
          <w:sz w:val="21"/>
          <w:szCs w:val="21"/>
          <w:lang w:eastAsia="en-US"/>
        </w:rPr>
        <w:t>a Escritura</w:t>
      </w:r>
      <w:r w:rsidR="0014078A" w:rsidRPr="00CA4352">
        <w:rPr>
          <w:rFonts w:eastAsia="Calibri" w:cs="Tahoma"/>
          <w:sz w:val="21"/>
          <w:szCs w:val="21"/>
          <w:lang w:eastAsia="en-US"/>
        </w:rPr>
        <w:t xml:space="preserve"> </w:t>
      </w:r>
      <w:r w:rsidR="0014078A" w:rsidRPr="00CA4352">
        <w:rPr>
          <w:rFonts w:eastAsia="MS Mincho" w:cs="Tahoma"/>
          <w:sz w:val="21"/>
          <w:szCs w:val="21"/>
        </w:rPr>
        <w:t xml:space="preserve">de Emissão </w:t>
      </w:r>
      <w:r w:rsidR="0014078A" w:rsidRPr="00CA4352">
        <w:rPr>
          <w:rFonts w:eastAsia="Calibri" w:cs="Tahoma"/>
          <w:sz w:val="21"/>
          <w:szCs w:val="21"/>
          <w:lang w:eastAsia="en-US"/>
        </w:rPr>
        <w:t>sejam inconsistentes, incorretas ou insuficientes, em qualquer aspecto relevante, ou falsas, na data de assinatura d</w:t>
      </w:r>
      <w:r w:rsidR="00411B02" w:rsidRPr="00CA4352">
        <w:rPr>
          <w:rFonts w:eastAsia="Calibri" w:cs="Tahoma"/>
          <w:sz w:val="21"/>
          <w:szCs w:val="21"/>
          <w:lang w:eastAsia="en-US"/>
        </w:rPr>
        <w:t>a Escritura</w:t>
      </w:r>
      <w:r w:rsidR="0014078A" w:rsidRPr="00CA4352">
        <w:rPr>
          <w:rFonts w:eastAsia="MS Mincho" w:cs="Tahoma"/>
          <w:sz w:val="21"/>
          <w:szCs w:val="21"/>
        </w:rPr>
        <w:t xml:space="preserve"> de Emissão</w:t>
      </w:r>
      <w:r w:rsidR="0014078A" w:rsidRPr="00CA4352">
        <w:rPr>
          <w:rFonts w:eastAsia="Calibri" w:cs="Tahoma"/>
          <w:sz w:val="21"/>
          <w:szCs w:val="21"/>
          <w:lang w:eastAsia="en-US"/>
        </w:rPr>
        <w:t xml:space="preserve">; </w:t>
      </w:r>
      <w:r w:rsidR="0014078A" w:rsidRPr="00CA4352">
        <w:rPr>
          <w:rFonts w:eastAsia="Calibri" w:cs="Tahoma"/>
          <w:b/>
          <w:sz w:val="21"/>
          <w:szCs w:val="21"/>
          <w:lang w:eastAsia="en-US"/>
        </w:rPr>
        <w:t>(</w:t>
      </w:r>
      <w:proofErr w:type="spellStart"/>
      <w:r w:rsidR="0014078A" w:rsidRPr="00CA4352">
        <w:rPr>
          <w:rFonts w:eastAsia="Calibri" w:cs="Tahoma"/>
          <w:b/>
          <w:sz w:val="21"/>
          <w:szCs w:val="21"/>
          <w:lang w:eastAsia="en-US"/>
        </w:rPr>
        <w:t>viii</w:t>
      </w:r>
      <w:proofErr w:type="spellEnd"/>
      <w:r w:rsidR="0014078A" w:rsidRPr="00CA4352">
        <w:rPr>
          <w:rFonts w:eastAsia="Calibri" w:cs="Tahoma"/>
          <w:b/>
          <w:sz w:val="21"/>
          <w:szCs w:val="21"/>
          <w:lang w:eastAsia="en-US"/>
        </w:rPr>
        <w:t>)</w:t>
      </w:r>
      <w:r w:rsidR="0014078A" w:rsidRPr="00CA4352">
        <w:rPr>
          <w:rFonts w:eastAsia="Calibri" w:cs="Tahoma"/>
          <w:sz w:val="21"/>
          <w:szCs w:val="21"/>
          <w:lang w:eastAsia="en-US"/>
        </w:rPr>
        <w:t xml:space="preserve"> não manutenção, pela </w:t>
      </w:r>
      <w:r w:rsidR="00411B02" w:rsidRPr="00CA4352">
        <w:rPr>
          <w:rFonts w:eastAsia="Calibri" w:cs="Tahoma"/>
          <w:sz w:val="21"/>
          <w:szCs w:val="21"/>
          <w:lang w:eastAsia="en-US"/>
        </w:rPr>
        <w:t>Companhia</w:t>
      </w:r>
      <w:r w:rsidR="0014078A" w:rsidRPr="00CA4352">
        <w:rPr>
          <w:rFonts w:eastAsia="Calibri" w:cs="Tahoma"/>
          <w:sz w:val="21"/>
          <w:szCs w:val="21"/>
          <w:lang w:eastAsia="en-US"/>
        </w:rPr>
        <w:t xml:space="preserve"> e/ou pela Fiadora, de seguro para seus ativos operacionais relevantes, caso aplicável, conforme as melhores práticas correntes em seus mercados de atuação, não sanado no prazo de 10 (dez) dias corridos contados da data do respectivo inadimplemento; </w:t>
      </w:r>
      <w:r w:rsidR="0014078A" w:rsidRPr="00CA4352">
        <w:rPr>
          <w:rFonts w:eastAsia="Calibri" w:cs="Tahoma"/>
          <w:b/>
          <w:sz w:val="21"/>
          <w:szCs w:val="21"/>
          <w:lang w:eastAsia="en-US"/>
        </w:rPr>
        <w:t>(</w:t>
      </w:r>
      <w:proofErr w:type="spellStart"/>
      <w:r w:rsidR="0014078A" w:rsidRPr="00CA4352">
        <w:rPr>
          <w:rFonts w:eastAsia="Calibri" w:cs="Tahoma"/>
          <w:b/>
          <w:sz w:val="21"/>
          <w:szCs w:val="21"/>
          <w:lang w:eastAsia="en-US"/>
        </w:rPr>
        <w:t>ix</w:t>
      </w:r>
      <w:proofErr w:type="spellEnd"/>
      <w:r w:rsidR="0014078A" w:rsidRPr="00CA4352">
        <w:rPr>
          <w:rFonts w:eastAsia="Calibri" w:cs="Tahoma"/>
          <w:b/>
          <w:sz w:val="21"/>
          <w:szCs w:val="21"/>
          <w:lang w:eastAsia="en-US"/>
        </w:rPr>
        <w:t>)</w:t>
      </w:r>
      <w:r w:rsidR="0014078A" w:rsidRPr="00CA4352">
        <w:rPr>
          <w:rFonts w:eastAsia="Calibri" w:cs="Tahoma"/>
          <w:sz w:val="21"/>
          <w:szCs w:val="21"/>
          <w:lang w:eastAsia="en-US"/>
        </w:rPr>
        <w:t xml:space="preserve"> realização, pela </w:t>
      </w:r>
      <w:r w:rsidR="00411B02" w:rsidRPr="00CA4352">
        <w:rPr>
          <w:rFonts w:eastAsia="Calibri" w:cs="Tahoma"/>
          <w:sz w:val="21"/>
          <w:szCs w:val="21"/>
          <w:lang w:eastAsia="en-US"/>
        </w:rPr>
        <w:t>Companhia</w:t>
      </w:r>
      <w:r w:rsidR="0014078A" w:rsidRPr="00CA4352">
        <w:rPr>
          <w:rFonts w:eastAsia="Calibri" w:cs="Tahoma"/>
          <w:sz w:val="21"/>
          <w:szCs w:val="21"/>
          <w:lang w:eastAsia="en-US"/>
        </w:rPr>
        <w:t xml:space="preserve">, pela Fiadora e/ou por qualquer </w:t>
      </w:r>
      <w:r w:rsidR="0014078A" w:rsidRPr="00CA4352">
        <w:rPr>
          <w:rFonts w:eastAsia="Calibri" w:cs="Tahoma"/>
          <w:color w:val="000000"/>
          <w:w w:val="0"/>
          <w:sz w:val="21"/>
          <w:szCs w:val="21"/>
          <w:lang w:eastAsia="en-US"/>
        </w:rPr>
        <w:t>de suas respectivas controladas ou coligadas</w:t>
      </w:r>
      <w:r w:rsidR="0014078A" w:rsidRPr="00CA4352">
        <w:rPr>
          <w:rFonts w:eastAsia="Calibri" w:cs="Tahoma"/>
          <w:sz w:val="21"/>
          <w:szCs w:val="21"/>
          <w:lang w:eastAsia="en-US"/>
        </w:rPr>
        <w:t xml:space="preserve">, de operações fora de seu objeto social ou em desacordo com o seu respectivo estatuto social ou contrato social, observadas as disposições estatutárias, legais e regulamentares em vigor; </w:t>
      </w:r>
      <w:r w:rsidR="0014078A" w:rsidRPr="00CA4352">
        <w:rPr>
          <w:rFonts w:eastAsia="Calibri" w:cs="Tahoma"/>
          <w:b/>
          <w:sz w:val="21"/>
          <w:szCs w:val="21"/>
          <w:lang w:eastAsia="en-US"/>
        </w:rPr>
        <w:t>(x)</w:t>
      </w:r>
      <w:r w:rsidR="0014078A" w:rsidRPr="00CA4352">
        <w:rPr>
          <w:rFonts w:eastAsia="Calibri" w:cs="Tahoma"/>
          <w:sz w:val="21"/>
          <w:szCs w:val="21"/>
          <w:lang w:eastAsia="en-US"/>
        </w:rPr>
        <w:t xml:space="preserve"> descumprimento, pela </w:t>
      </w:r>
      <w:r w:rsidR="00411B02" w:rsidRPr="00CA4352">
        <w:rPr>
          <w:rFonts w:eastAsia="Calibri" w:cs="Tahoma"/>
          <w:sz w:val="21"/>
          <w:szCs w:val="21"/>
          <w:lang w:eastAsia="en-US"/>
        </w:rPr>
        <w:t>Companhia</w:t>
      </w:r>
      <w:r w:rsidR="0014078A" w:rsidRPr="00CA4352">
        <w:rPr>
          <w:rFonts w:eastAsia="Calibri" w:cs="Tahoma"/>
          <w:sz w:val="21"/>
          <w:szCs w:val="21"/>
          <w:lang w:eastAsia="en-US"/>
        </w:rPr>
        <w:t>, de qualquer obrigação não pecuniária prevista n</w:t>
      </w:r>
      <w:r w:rsidR="00411B02" w:rsidRPr="00CA4352">
        <w:rPr>
          <w:rFonts w:eastAsia="Calibri" w:cs="Tahoma"/>
          <w:sz w:val="21"/>
          <w:szCs w:val="21"/>
          <w:lang w:eastAsia="en-US"/>
        </w:rPr>
        <w:t>a Escritura</w:t>
      </w:r>
      <w:r w:rsidR="0014078A" w:rsidRPr="00CA4352">
        <w:rPr>
          <w:rFonts w:eastAsia="MS Mincho" w:cs="Tahoma"/>
          <w:sz w:val="21"/>
          <w:szCs w:val="21"/>
        </w:rPr>
        <w:t xml:space="preserve"> de Emissão</w:t>
      </w:r>
      <w:r w:rsidR="0014078A" w:rsidRPr="00CA4352">
        <w:rPr>
          <w:rFonts w:eastAsia="Calibri" w:cs="Tahoma"/>
          <w:sz w:val="21"/>
          <w:szCs w:val="21"/>
          <w:lang w:eastAsia="en-US"/>
        </w:rPr>
        <w:t xml:space="preserve">, não sanada no prazo de 10 (dez) dias contados do </w:t>
      </w:r>
      <w:r w:rsidR="0014078A" w:rsidRPr="00CA4352">
        <w:rPr>
          <w:rFonts w:eastAsia="Calibri" w:cs="Tahoma"/>
          <w:sz w:val="21"/>
          <w:szCs w:val="21"/>
          <w:lang w:eastAsia="en-US"/>
        </w:rPr>
        <w:lastRenderedPageBreak/>
        <w:t>recebimento de notificação por escrito a ser enviada diretamente pelo Agente Fiduciário e/ou pelos Debenturistas, individualmente ou em conjunto, exceto em relação àquelas hipóteses em que haja prazos de cura previstos de forma específica na Escritura</w:t>
      </w:r>
      <w:r w:rsidR="0014078A" w:rsidRPr="00CA4352">
        <w:rPr>
          <w:rFonts w:eastAsia="MS Mincho" w:cs="Tahoma"/>
          <w:sz w:val="21"/>
          <w:szCs w:val="21"/>
        </w:rPr>
        <w:t xml:space="preserve"> de Emissão</w:t>
      </w:r>
      <w:r w:rsidR="0014078A" w:rsidRPr="00CA4352">
        <w:rPr>
          <w:rFonts w:eastAsia="Calibri" w:cs="Tahoma"/>
          <w:sz w:val="21"/>
          <w:szCs w:val="21"/>
          <w:lang w:eastAsia="en-US"/>
        </w:rPr>
        <w:t xml:space="preserve">; </w:t>
      </w:r>
      <w:r w:rsidR="0014078A" w:rsidRPr="00CA4352">
        <w:rPr>
          <w:rFonts w:eastAsia="Calibri" w:cs="Tahoma"/>
          <w:b/>
          <w:w w:val="0"/>
          <w:sz w:val="21"/>
          <w:szCs w:val="21"/>
          <w:lang w:eastAsia="en-US"/>
        </w:rPr>
        <w:t>(xi)</w:t>
      </w:r>
      <w:r w:rsidR="0014078A" w:rsidRPr="00CA4352">
        <w:rPr>
          <w:rFonts w:eastAsia="Calibri" w:cs="Tahoma"/>
          <w:w w:val="0"/>
          <w:sz w:val="21"/>
          <w:szCs w:val="21"/>
          <w:lang w:eastAsia="en-US"/>
        </w:rPr>
        <w:t xml:space="preserve"> </w:t>
      </w:r>
      <w:r w:rsidR="0014078A" w:rsidRPr="00CA4352">
        <w:rPr>
          <w:rFonts w:eastAsia="Calibri" w:cs="Tahoma"/>
          <w:sz w:val="21"/>
          <w:szCs w:val="21"/>
          <w:lang w:eastAsia="en-US"/>
        </w:rPr>
        <w:t xml:space="preserve">realização, pela </w:t>
      </w:r>
      <w:r w:rsidR="00411B02" w:rsidRPr="00CA4352">
        <w:rPr>
          <w:rFonts w:eastAsia="Calibri" w:cs="Tahoma"/>
          <w:sz w:val="21"/>
          <w:szCs w:val="21"/>
          <w:lang w:eastAsia="en-US"/>
        </w:rPr>
        <w:t>Companhia</w:t>
      </w:r>
      <w:r w:rsidR="0014078A" w:rsidRPr="00CA4352">
        <w:rPr>
          <w:rFonts w:eastAsia="Calibri" w:cs="Tahoma"/>
          <w:sz w:val="21"/>
          <w:szCs w:val="21"/>
          <w:lang w:eastAsia="en-US"/>
        </w:rPr>
        <w:t xml:space="preserve"> e/ou pela Fiadora, de qualquer ato em desacordo com </w:t>
      </w:r>
      <w:r w:rsidR="00411B02" w:rsidRPr="00CA4352">
        <w:rPr>
          <w:rFonts w:eastAsia="Calibri" w:cs="Tahoma"/>
          <w:sz w:val="21"/>
          <w:szCs w:val="21"/>
          <w:lang w:eastAsia="en-US"/>
        </w:rPr>
        <w:t>a Escritura</w:t>
      </w:r>
      <w:r w:rsidR="0014078A" w:rsidRPr="00CA4352">
        <w:rPr>
          <w:rFonts w:eastAsia="MS Mincho" w:cs="Tahoma"/>
          <w:sz w:val="21"/>
          <w:szCs w:val="21"/>
        </w:rPr>
        <w:t xml:space="preserve"> de Emissão</w:t>
      </w:r>
      <w:r w:rsidR="0014078A" w:rsidRPr="00CA4352">
        <w:rPr>
          <w:rFonts w:eastAsia="Calibri" w:cs="Tahoma"/>
          <w:sz w:val="21"/>
          <w:szCs w:val="21"/>
          <w:lang w:eastAsia="en-US"/>
        </w:rPr>
        <w:t xml:space="preserve"> ou com qualquer outro documento relacionado à Emissão, que possa comprometer o pontual e integral cumprimento, pela </w:t>
      </w:r>
      <w:r w:rsidR="00411B02" w:rsidRPr="00CA4352">
        <w:rPr>
          <w:rFonts w:eastAsia="Calibri" w:cs="Tahoma"/>
          <w:sz w:val="21"/>
          <w:szCs w:val="21"/>
          <w:lang w:eastAsia="en-US"/>
        </w:rPr>
        <w:t>Companhia</w:t>
      </w:r>
      <w:r w:rsidR="0014078A" w:rsidRPr="00CA4352">
        <w:rPr>
          <w:rFonts w:eastAsia="Calibri" w:cs="Tahoma"/>
          <w:sz w:val="21"/>
          <w:szCs w:val="21"/>
          <w:lang w:eastAsia="en-US"/>
        </w:rPr>
        <w:t xml:space="preserve">, de qualquer de suas obrigações previstas em tais documentos; </w:t>
      </w:r>
      <w:r w:rsidR="0014078A" w:rsidRPr="00CA4352">
        <w:rPr>
          <w:rFonts w:eastAsia="Calibri" w:cs="Tahoma"/>
          <w:b/>
          <w:sz w:val="21"/>
          <w:szCs w:val="21"/>
          <w:lang w:eastAsia="en-US"/>
        </w:rPr>
        <w:t>(</w:t>
      </w:r>
      <w:proofErr w:type="spellStart"/>
      <w:r w:rsidR="0014078A" w:rsidRPr="00CA4352">
        <w:rPr>
          <w:rFonts w:eastAsia="Calibri" w:cs="Tahoma"/>
          <w:b/>
          <w:sz w:val="21"/>
          <w:szCs w:val="21"/>
          <w:lang w:eastAsia="en-US"/>
        </w:rPr>
        <w:t>xii</w:t>
      </w:r>
      <w:proofErr w:type="spellEnd"/>
      <w:r w:rsidR="0014078A" w:rsidRPr="00CA4352">
        <w:rPr>
          <w:rFonts w:eastAsia="Calibri" w:cs="Tahoma"/>
          <w:b/>
          <w:sz w:val="21"/>
          <w:szCs w:val="21"/>
          <w:lang w:eastAsia="en-US"/>
        </w:rPr>
        <w:t>)</w:t>
      </w:r>
      <w:r w:rsidR="0014078A" w:rsidRPr="00CA4352">
        <w:rPr>
          <w:rFonts w:eastAsia="Calibri" w:cs="Tahoma"/>
          <w:sz w:val="21"/>
          <w:szCs w:val="21"/>
          <w:lang w:eastAsia="en-US"/>
        </w:rPr>
        <w:t xml:space="preserve"> não observância, pela Fiadora, por 2 (dois) trimestres consecutivos ou 4 (quatro) não-consecutivos, de quaisquer dos índices financeiros previstos na Escritura de Emissão, indistintamente, a serem apurados pela Fiadora e acompanhados pelo Agente Fiduciário, com base nas demonstrações financeiras consolidadas da Fiadora relativas a cada trimestre do ano civil, a partir, inclusive, das demonstrações financeiras de 31 de dezembro de 2019 (“</w:t>
      </w:r>
      <w:r w:rsidR="0014078A" w:rsidRPr="00CA4352">
        <w:rPr>
          <w:rFonts w:eastAsia="Calibri" w:cs="Tahoma"/>
          <w:sz w:val="21"/>
          <w:szCs w:val="21"/>
          <w:u w:val="single"/>
          <w:lang w:eastAsia="en-US"/>
        </w:rPr>
        <w:t>Índices Financeiros</w:t>
      </w:r>
      <w:r w:rsidR="0014078A" w:rsidRPr="00CA4352">
        <w:rPr>
          <w:rFonts w:eastAsia="Calibri" w:cs="Tahoma"/>
          <w:sz w:val="21"/>
          <w:szCs w:val="21"/>
          <w:lang w:eastAsia="en-US"/>
        </w:rPr>
        <w:t>”);</w:t>
      </w:r>
      <w:r w:rsidR="0014078A" w:rsidRPr="00CA4352">
        <w:rPr>
          <w:rFonts w:eastAsia="MS Mincho" w:cs="Tahoma"/>
          <w:sz w:val="21"/>
          <w:szCs w:val="21"/>
        </w:rPr>
        <w:t xml:space="preserve"> </w:t>
      </w:r>
      <w:r w:rsidR="0014078A" w:rsidRPr="00CA4352">
        <w:rPr>
          <w:rFonts w:eastAsia="MS Mincho" w:cs="Tahoma"/>
          <w:b/>
          <w:sz w:val="21"/>
          <w:szCs w:val="21"/>
        </w:rPr>
        <w:t>(</w:t>
      </w:r>
      <w:proofErr w:type="spellStart"/>
      <w:r w:rsidR="0014078A" w:rsidRPr="00CA4352">
        <w:rPr>
          <w:rFonts w:eastAsia="MS Mincho" w:cs="Tahoma"/>
          <w:b/>
          <w:sz w:val="21"/>
          <w:szCs w:val="21"/>
        </w:rPr>
        <w:t>xiii</w:t>
      </w:r>
      <w:proofErr w:type="spellEnd"/>
      <w:r w:rsidR="0014078A" w:rsidRPr="00CA4352">
        <w:rPr>
          <w:rFonts w:eastAsia="MS Mincho" w:cs="Tahoma"/>
          <w:b/>
          <w:sz w:val="21"/>
          <w:szCs w:val="21"/>
        </w:rPr>
        <w:t>)</w:t>
      </w:r>
      <w:r w:rsidR="0014078A" w:rsidRPr="00CA4352">
        <w:rPr>
          <w:rFonts w:eastAsia="MS Mincho" w:cs="Tahoma"/>
          <w:sz w:val="21"/>
          <w:szCs w:val="21"/>
        </w:rPr>
        <w:t xml:space="preserve"> </w:t>
      </w:r>
      <w:r w:rsidR="0014078A" w:rsidRPr="00CA4352">
        <w:rPr>
          <w:rFonts w:eastAsia="Calibri" w:cs="Tahoma"/>
          <w:sz w:val="21"/>
          <w:szCs w:val="21"/>
          <w:lang w:eastAsia="en-US"/>
        </w:rPr>
        <w:t xml:space="preserve">alienação, pela </w:t>
      </w:r>
      <w:r w:rsidR="00411B02" w:rsidRPr="00CA4352">
        <w:rPr>
          <w:rFonts w:eastAsia="Calibri" w:cs="Tahoma"/>
          <w:sz w:val="21"/>
          <w:szCs w:val="21"/>
          <w:lang w:eastAsia="en-US"/>
        </w:rPr>
        <w:t>Companhia</w:t>
      </w:r>
      <w:r w:rsidR="0014078A" w:rsidRPr="00CA4352">
        <w:rPr>
          <w:rFonts w:eastAsia="Calibri" w:cs="Tahoma"/>
          <w:sz w:val="21"/>
          <w:szCs w:val="21"/>
          <w:lang w:eastAsia="en-US"/>
        </w:rPr>
        <w:t xml:space="preserve"> e/ou pela Fiadora, de ativos permanentes que representem, em um mesmo exercício social, de forma individual ou agregada, valor igual ou superior a </w:t>
      </w:r>
      <w:r w:rsidR="0014078A" w:rsidRPr="00CA4352">
        <w:rPr>
          <w:rFonts w:eastAsia="Calibri" w:cs="Tahoma"/>
          <w:b/>
          <w:sz w:val="21"/>
          <w:szCs w:val="21"/>
          <w:lang w:eastAsia="en-US"/>
        </w:rPr>
        <w:t xml:space="preserve">(1) </w:t>
      </w:r>
      <w:r w:rsidR="0014078A" w:rsidRPr="00CA4352">
        <w:rPr>
          <w:rFonts w:eastAsia="Calibri" w:cs="Tahoma"/>
          <w:sz w:val="21"/>
          <w:szCs w:val="21"/>
          <w:lang w:eastAsia="en-US"/>
        </w:rPr>
        <w:t xml:space="preserve">2% (dois por cento) do seu patrimônio líquido, no caso da </w:t>
      </w:r>
      <w:r w:rsidR="00411B02" w:rsidRPr="00CA4352">
        <w:rPr>
          <w:rFonts w:eastAsia="Calibri" w:cs="Tahoma"/>
          <w:sz w:val="21"/>
          <w:szCs w:val="21"/>
          <w:lang w:eastAsia="en-US"/>
        </w:rPr>
        <w:t>Companhia</w:t>
      </w:r>
      <w:r w:rsidR="0014078A" w:rsidRPr="00CA4352">
        <w:rPr>
          <w:rFonts w:eastAsia="Calibri" w:cs="Tahoma"/>
          <w:sz w:val="21"/>
          <w:szCs w:val="21"/>
          <w:lang w:eastAsia="en-US"/>
        </w:rPr>
        <w:t xml:space="preserve">, e </w:t>
      </w:r>
      <w:r w:rsidR="0014078A" w:rsidRPr="00CA4352">
        <w:rPr>
          <w:rFonts w:eastAsia="Calibri" w:cs="Tahoma"/>
          <w:b/>
          <w:sz w:val="21"/>
          <w:szCs w:val="21"/>
          <w:lang w:eastAsia="en-US"/>
        </w:rPr>
        <w:t>(2)</w:t>
      </w:r>
      <w:r w:rsidR="0014078A" w:rsidRPr="00CA4352">
        <w:rPr>
          <w:rFonts w:eastAsia="Calibri" w:cs="Tahoma"/>
          <w:sz w:val="21"/>
          <w:szCs w:val="21"/>
          <w:lang w:eastAsia="en-US"/>
        </w:rPr>
        <w:t xml:space="preserve"> 5% (cinco por cento) do seu patrimônio líquido, no caso da Fiadora, em ambos os casos, considerando as demonstrações financeiras mais recentes da </w:t>
      </w:r>
      <w:r w:rsidR="00411B02" w:rsidRPr="00CA4352">
        <w:rPr>
          <w:rFonts w:eastAsia="Calibri" w:cs="Tahoma"/>
          <w:sz w:val="21"/>
          <w:szCs w:val="21"/>
          <w:lang w:eastAsia="en-US"/>
        </w:rPr>
        <w:t>Companhia</w:t>
      </w:r>
      <w:r w:rsidR="0014078A" w:rsidRPr="00CA4352">
        <w:rPr>
          <w:rFonts w:eastAsia="Calibri" w:cs="Tahoma"/>
          <w:sz w:val="21"/>
          <w:szCs w:val="21"/>
          <w:lang w:eastAsia="en-US"/>
        </w:rPr>
        <w:t xml:space="preserve"> e/ou da Fiadora, respectivamente; </w:t>
      </w:r>
      <w:r w:rsidR="0014078A" w:rsidRPr="00CA4352">
        <w:rPr>
          <w:rFonts w:eastAsia="Calibri" w:cs="Tahoma"/>
          <w:b/>
          <w:sz w:val="21"/>
          <w:szCs w:val="21"/>
          <w:lang w:eastAsia="en-US"/>
        </w:rPr>
        <w:t>(</w:t>
      </w:r>
      <w:proofErr w:type="spellStart"/>
      <w:r w:rsidR="0014078A" w:rsidRPr="00CA4352">
        <w:rPr>
          <w:rFonts w:eastAsia="Calibri" w:cs="Tahoma"/>
          <w:b/>
          <w:sz w:val="21"/>
          <w:szCs w:val="21"/>
          <w:lang w:eastAsia="en-US"/>
        </w:rPr>
        <w:t>xiv</w:t>
      </w:r>
      <w:proofErr w:type="spellEnd"/>
      <w:r w:rsidR="0014078A" w:rsidRPr="00CA4352">
        <w:rPr>
          <w:rFonts w:eastAsia="Calibri" w:cs="Tahoma"/>
          <w:b/>
          <w:sz w:val="21"/>
          <w:szCs w:val="21"/>
          <w:lang w:eastAsia="en-US"/>
        </w:rPr>
        <w:t>)</w:t>
      </w:r>
      <w:r w:rsidR="0014078A" w:rsidRPr="00CA4352">
        <w:rPr>
          <w:rFonts w:eastAsia="Calibri" w:cs="Tahoma"/>
          <w:sz w:val="21"/>
          <w:szCs w:val="21"/>
          <w:lang w:eastAsia="en-US"/>
        </w:rPr>
        <w:t xml:space="preserve"> cisão, fusão, incorporação ou incorporação de ações envolvendo a </w:t>
      </w:r>
      <w:r w:rsidR="00411B02" w:rsidRPr="00CA4352">
        <w:rPr>
          <w:rFonts w:eastAsia="Calibri" w:cs="Tahoma"/>
          <w:sz w:val="21"/>
          <w:szCs w:val="21"/>
          <w:lang w:eastAsia="en-US"/>
        </w:rPr>
        <w:t>Companhia</w:t>
      </w:r>
      <w:r w:rsidR="0014078A" w:rsidRPr="00CA4352">
        <w:rPr>
          <w:rFonts w:eastAsia="Calibri" w:cs="Tahoma"/>
          <w:sz w:val="21"/>
          <w:szCs w:val="21"/>
          <w:lang w:eastAsia="en-US"/>
        </w:rPr>
        <w:t xml:space="preserve">, a Fiadora e/ou qualquer </w:t>
      </w:r>
      <w:r w:rsidR="0014078A" w:rsidRPr="00CA4352">
        <w:rPr>
          <w:rFonts w:eastAsia="Calibri" w:cs="Tahoma"/>
          <w:color w:val="000000"/>
          <w:w w:val="0"/>
          <w:sz w:val="21"/>
          <w:szCs w:val="21"/>
          <w:lang w:eastAsia="en-US"/>
        </w:rPr>
        <w:t>de suas respectivas controladas ou coligadas</w:t>
      </w:r>
      <w:r w:rsidR="0014078A" w:rsidRPr="00CA4352">
        <w:rPr>
          <w:rFonts w:eastAsia="Calibri" w:cs="Tahoma"/>
          <w:sz w:val="21"/>
          <w:szCs w:val="21"/>
          <w:lang w:eastAsia="en-US"/>
        </w:rPr>
        <w:t xml:space="preserve">, exceto se for assegurado aos Debenturistas que o desejarem, durante o prazo mínimo de 6 (seis) meses contados da data de publicação das atas dos atos societários relativos à operação, o resgate das Debêntures de que forem titulares, mediante o pagamento do Valor Nominal Unitário das Debêntures de cada </w:t>
      </w:r>
      <w:r w:rsidR="0014078A" w:rsidRPr="00CA4352">
        <w:rPr>
          <w:rFonts w:eastAsia="MS Mincho" w:cs="Tahoma"/>
          <w:sz w:val="21"/>
          <w:szCs w:val="21"/>
        </w:rPr>
        <w:t>Série</w:t>
      </w:r>
      <w:r w:rsidR="0014078A" w:rsidRPr="00CA4352">
        <w:rPr>
          <w:rFonts w:eastAsia="Calibri" w:cs="Tahoma"/>
          <w:sz w:val="21"/>
          <w:szCs w:val="21"/>
          <w:lang w:eastAsia="en-US"/>
        </w:rPr>
        <w:t xml:space="preserve">, acrescido da respectiva Remuneração, calculada </w:t>
      </w:r>
      <w:r w:rsidR="0014078A" w:rsidRPr="00CA4352">
        <w:rPr>
          <w:rFonts w:eastAsia="Calibri" w:cs="Tahoma"/>
          <w:i/>
          <w:sz w:val="21"/>
          <w:szCs w:val="21"/>
          <w:lang w:eastAsia="en-US"/>
        </w:rPr>
        <w:t xml:space="preserve">pro rata </w:t>
      </w:r>
      <w:proofErr w:type="spellStart"/>
      <w:r w:rsidR="0014078A" w:rsidRPr="00CA4352">
        <w:rPr>
          <w:rFonts w:eastAsia="Calibri" w:cs="Tahoma"/>
          <w:i/>
          <w:sz w:val="21"/>
          <w:szCs w:val="21"/>
          <w:lang w:eastAsia="en-US"/>
        </w:rPr>
        <w:t>temporis</w:t>
      </w:r>
      <w:proofErr w:type="spellEnd"/>
      <w:r w:rsidR="0014078A" w:rsidRPr="00CA4352">
        <w:rPr>
          <w:rFonts w:eastAsia="Calibri" w:cs="Tahoma"/>
          <w:sz w:val="21"/>
          <w:szCs w:val="21"/>
          <w:lang w:eastAsia="en-US"/>
        </w:rPr>
        <w:t xml:space="preserve"> desde a Data da Primeira Integralização ou a Data de Pagamento de Remuneração das Debêntures anterior aplicável, até a data do efetivo pagamento, em uma única parcela, em até 4 (quatro) Dias Úteis contados da ciência da </w:t>
      </w:r>
      <w:r w:rsidR="00411B02" w:rsidRPr="00CA4352">
        <w:rPr>
          <w:rFonts w:eastAsia="Calibri" w:cs="Tahoma"/>
          <w:sz w:val="21"/>
          <w:szCs w:val="21"/>
          <w:lang w:eastAsia="en-US"/>
        </w:rPr>
        <w:t>Companhia</w:t>
      </w:r>
      <w:r w:rsidR="0014078A" w:rsidRPr="00CA4352">
        <w:rPr>
          <w:rFonts w:eastAsia="Calibri" w:cs="Tahoma"/>
          <w:sz w:val="21"/>
          <w:szCs w:val="21"/>
          <w:lang w:eastAsia="en-US"/>
        </w:rPr>
        <w:t xml:space="preserve"> da manifestação do respectivo Debenturista acerca do resgate das Debêntures de sua titularidade; </w:t>
      </w:r>
      <w:r w:rsidR="0014078A" w:rsidRPr="00CA4352">
        <w:rPr>
          <w:rFonts w:eastAsia="Calibri" w:cs="Tahoma"/>
          <w:b/>
          <w:sz w:val="21"/>
          <w:szCs w:val="21"/>
          <w:lang w:eastAsia="en-US"/>
        </w:rPr>
        <w:t>(</w:t>
      </w:r>
      <w:proofErr w:type="spellStart"/>
      <w:r w:rsidR="0014078A" w:rsidRPr="00CA4352">
        <w:rPr>
          <w:rFonts w:eastAsia="Calibri" w:cs="Tahoma"/>
          <w:b/>
          <w:sz w:val="21"/>
          <w:szCs w:val="21"/>
          <w:lang w:eastAsia="en-US"/>
        </w:rPr>
        <w:t>xv</w:t>
      </w:r>
      <w:proofErr w:type="spellEnd"/>
      <w:r w:rsidR="0014078A" w:rsidRPr="00CA4352">
        <w:rPr>
          <w:rFonts w:eastAsia="Calibri" w:cs="Tahoma"/>
          <w:b/>
          <w:sz w:val="21"/>
          <w:szCs w:val="21"/>
          <w:lang w:eastAsia="en-US"/>
        </w:rPr>
        <w:t>)</w:t>
      </w:r>
      <w:r w:rsidR="0014078A" w:rsidRPr="00CA4352">
        <w:rPr>
          <w:rFonts w:eastAsia="Calibri" w:cs="Tahoma"/>
          <w:sz w:val="21"/>
          <w:szCs w:val="21"/>
          <w:lang w:eastAsia="en-US"/>
        </w:rPr>
        <w:t xml:space="preserve"> destinação dos recursos decorrentes da Emissão para finalidade diversa daquela prevista n</w:t>
      </w:r>
      <w:r w:rsidR="00411B02" w:rsidRPr="00CA4352">
        <w:rPr>
          <w:rFonts w:eastAsia="Calibri" w:cs="Tahoma"/>
          <w:sz w:val="21"/>
          <w:szCs w:val="21"/>
          <w:lang w:eastAsia="en-US"/>
        </w:rPr>
        <w:t>a Escritura</w:t>
      </w:r>
      <w:r w:rsidR="0014078A" w:rsidRPr="00CA4352">
        <w:rPr>
          <w:rFonts w:eastAsia="MS Mincho" w:cs="Tahoma"/>
          <w:sz w:val="21"/>
          <w:szCs w:val="21"/>
        </w:rPr>
        <w:t xml:space="preserve"> de Emissão</w:t>
      </w:r>
      <w:r w:rsidR="0014078A" w:rsidRPr="00CA4352">
        <w:rPr>
          <w:rFonts w:eastAsia="Calibri" w:cs="Tahoma"/>
          <w:sz w:val="21"/>
          <w:szCs w:val="21"/>
          <w:lang w:eastAsia="en-US"/>
        </w:rPr>
        <w:t xml:space="preserve">; </w:t>
      </w:r>
      <w:r w:rsidR="0014078A" w:rsidRPr="00CA4352">
        <w:rPr>
          <w:rFonts w:eastAsia="Calibri" w:cs="Tahoma"/>
          <w:b/>
          <w:sz w:val="21"/>
          <w:szCs w:val="21"/>
          <w:lang w:eastAsia="en-US"/>
        </w:rPr>
        <w:t>(</w:t>
      </w:r>
      <w:proofErr w:type="spellStart"/>
      <w:r w:rsidR="0014078A" w:rsidRPr="00CA4352">
        <w:rPr>
          <w:rFonts w:eastAsia="Calibri" w:cs="Tahoma"/>
          <w:b/>
          <w:sz w:val="21"/>
          <w:szCs w:val="21"/>
          <w:lang w:eastAsia="en-US"/>
        </w:rPr>
        <w:t>xvi</w:t>
      </w:r>
      <w:proofErr w:type="spellEnd"/>
      <w:r w:rsidR="0014078A" w:rsidRPr="00CA4352">
        <w:rPr>
          <w:rFonts w:eastAsia="Calibri" w:cs="Tahoma"/>
          <w:b/>
          <w:sz w:val="21"/>
          <w:szCs w:val="21"/>
          <w:lang w:eastAsia="en-US"/>
        </w:rPr>
        <w:t>)</w:t>
      </w:r>
      <w:r w:rsidR="0014078A" w:rsidRPr="00CA4352">
        <w:rPr>
          <w:rFonts w:eastAsia="Calibri" w:cs="Tahoma"/>
          <w:sz w:val="21"/>
          <w:szCs w:val="21"/>
          <w:lang w:eastAsia="en-US"/>
        </w:rPr>
        <w:t xml:space="preserve"> a </w:t>
      </w:r>
      <w:r w:rsidR="00411B02" w:rsidRPr="00CA4352">
        <w:rPr>
          <w:rFonts w:eastAsia="Calibri" w:cs="Tahoma"/>
          <w:sz w:val="21"/>
          <w:szCs w:val="21"/>
          <w:lang w:eastAsia="en-US"/>
        </w:rPr>
        <w:t>Companhia</w:t>
      </w:r>
      <w:r w:rsidR="0014078A" w:rsidRPr="00CA4352">
        <w:rPr>
          <w:rFonts w:eastAsia="Calibri" w:cs="Tahoma"/>
          <w:sz w:val="21"/>
          <w:szCs w:val="21"/>
          <w:lang w:eastAsia="en-US"/>
        </w:rPr>
        <w:t xml:space="preserve"> e/ou a Fiadora deixar de ter suas demonstrações financeiras auditadas por qualquer das seguintes empresas de auditoria independente registradas na CVM: </w:t>
      </w:r>
      <w:r w:rsidR="0014078A" w:rsidRPr="00CA4352">
        <w:rPr>
          <w:rFonts w:eastAsia="Calibri" w:cs="Tahoma"/>
          <w:b/>
          <w:sz w:val="21"/>
          <w:szCs w:val="21"/>
          <w:lang w:eastAsia="en-US"/>
        </w:rPr>
        <w:t>(1)</w:t>
      </w:r>
      <w:r w:rsidR="0014078A" w:rsidRPr="00CA4352">
        <w:rPr>
          <w:rFonts w:eastAsia="Calibri" w:cs="Tahoma"/>
          <w:sz w:val="21"/>
          <w:szCs w:val="21"/>
          <w:lang w:eastAsia="en-US"/>
        </w:rPr>
        <w:t xml:space="preserve"> KPMG Auditores Independentes; </w:t>
      </w:r>
      <w:r w:rsidR="0014078A" w:rsidRPr="00CA4352">
        <w:rPr>
          <w:rFonts w:eastAsia="Calibri" w:cs="Tahoma"/>
          <w:b/>
          <w:sz w:val="21"/>
          <w:szCs w:val="21"/>
          <w:lang w:eastAsia="en-US"/>
        </w:rPr>
        <w:t>(2)</w:t>
      </w:r>
      <w:r w:rsidR="0014078A" w:rsidRPr="00CA4352">
        <w:rPr>
          <w:rFonts w:eastAsia="Calibri" w:cs="Tahoma"/>
          <w:sz w:val="21"/>
          <w:szCs w:val="21"/>
          <w:lang w:eastAsia="en-US"/>
        </w:rPr>
        <w:t xml:space="preserve"> Deloitte </w:t>
      </w:r>
      <w:proofErr w:type="spellStart"/>
      <w:r w:rsidR="0014078A" w:rsidRPr="00CA4352">
        <w:rPr>
          <w:rFonts w:eastAsia="Calibri" w:cs="Tahoma"/>
          <w:sz w:val="21"/>
          <w:szCs w:val="21"/>
          <w:lang w:eastAsia="en-US"/>
        </w:rPr>
        <w:t>Touche</w:t>
      </w:r>
      <w:proofErr w:type="spellEnd"/>
      <w:r w:rsidR="0014078A" w:rsidRPr="00CA4352">
        <w:rPr>
          <w:rFonts w:eastAsia="Calibri" w:cs="Tahoma"/>
          <w:sz w:val="21"/>
          <w:szCs w:val="21"/>
          <w:lang w:eastAsia="en-US"/>
        </w:rPr>
        <w:t xml:space="preserve"> </w:t>
      </w:r>
      <w:proofErr w:type="spellStart"/>
      <w:r w:rsidR="0014078A" w:rsidRPr="00CA4352">
        <w:rPr>
          <w:rFonts w:eastAsia="Calibri" w:cs="Tahoma"/>
          <w:sz w:val="21"/>
          <w:szCs w:val="21"/>
          <w:lang w:eastAsia="en-US"/>
        </w:rPr>
        <w:t>Tohmatsu</w:t>
      </w:r>
      <w:proofErr w:type="spellEnd"/>
      <w:r w:rsidR="0014078A" w:rsidRPr="00CA4352">
        <w:rPr>
          <w:rFonts w:eastAsia="Calibri" w:cs="Tahoma"/>
          <w:sz w:val="21"/>
          <w:szCs w:val="21"/>
          <w:lang w:eastAsia="en-US"/>
        </w:rPr>
        <w:t xml:space="preserve"> Auditores Independentes; </w:t>
      </w:r>
      <w:r w:rsidR="0014078A" w:rsidRPr="00CA4352">
        <w:rPr>
          <w:rFonts w:eastAsia="Calibri" w:cs="Tahoma"/>
          <w:b/>
          <w:sz w:val="21"/>
          <w:szCs w:val="21"/>
          <w:lang w:eastAsia="en-US"/>
        </w:rPr>
        <w:t>(3)</w:t>
      </w:r>
      <w:r w:rsidR="0014078A" w:rsidRPr="00CA4352">
        <w:rPr>
          <w:rFonts w:eastAsia="Calibri" w:cs="Tahoma"/>
          <w:sz w:val="21"/>
          <w:szCs w:val="21"/>
          <w:lang w:eastAsia="en-US"/>
        </w:rPr>
        <w:t xml:space="preserve"> </w:t>
      </w:r>
      <w:proofErr w:type="spellStart"/>
      <w:r w:rsidR="0014078A" w:rsidRPr="00CA4352">
        <w:rPr>
          <w:rFonts w:eastAsia="Calibri" w:cs="Tahoma"/>
          <w:sz w:val="21"/>
          <w:szCs w:val="21"/>
          <w:lang w:eastAsia="en-US"/>
        </w:rPr>
        <w:t>PricewaterhouseCoopers</w:t>
      </w:r>
      <w:proofErr w:type="spellEnd"/>
      <w:r w:rsidR="0014078A" w:rsidRPr="00CA4352">
        <w:rPr>
          <w:rFonts w:eastAsia="Calibri" w:cs="Tahoma"/>
          <w:sz w:val="21"/>
          <w:szCs w:val="21"/>
          <w:lang w:eastAsia="en-US"/>
        </w:rPr>
        <w:t xml:space="preserve"> Auditores Independentes; ou </w:t>
      </w:r>
      <w:r w:rsidR="0014078A" w:rsidRPr="00CA4352">
        <w:rPr>
          <w:rFonts w:eastAsia="Calibri" w:cs="Tahoma"/>
          <w:b/>
          <w:sz w:val="21"/>
          <w:szCs w:val="21"/>
          <w:lang w:eastAsia="en-US"/>
        </w:rPr>
        <w:t>(4)</w:t>
      </w:r>
      <w:r w:rsidR="0014078A" w:rsidRPr="00CA4352">
        <w:rPr>
          <w:rFonts w:eastAsia="Calibri" w:cs="Tahoma"/>
          <w:sz w:val="21"/>
          <w:szCs w:val="21"/>
          <w:lang w:eastAsia="en-US"/>
        </w:rPr>
        <w:t xml:space="preserve"> Ernst &amp; Young Auditores Independentes, ou seus sucessores; </w:t>
      </w:r>
      <w:r w:rsidR="0014078A" w:rsidRPr="00CA4352">
        <w:rPr>
          <w:rFonts w:eastAsia="Calibri" w:cs="Tahoma"/>
          <w:b/>
          <w:sz w:val="21"/>
          <w:szCs w:val="21"/>
          <w:lang w:eastAsia="en-US"/>
        </w:rPr>
        <w:t>(</w:t>
      </w:r>
      <w:proofErr w:type="spellStart"/>
      <w:r w:rsidR="0014078A" w:rsidRPr="00CA4352">
        <w:rPr>
          <w:rFonts w:eastAsia="Calibri" w:cs="Tahoma"/>
          <w:b/>
          <w:sz w:val="21"/>
          <w:szCs w:val="21"/>
          <w:lang w:eastAsia="en-US"/>
        </w:rPr>
        <w:t>xvii</w:t>
      </w:r>
      <w:proofErr w:type="spellEnd"/>
      <w:r w:rsidR="0014078A" w:rsidRPr="00CA4352">
        <w:rPr>
          <w:rFonts w:eastAsia="Calibri" w:cs="Tahoma"/>
          <w:b/>
          <w:sz w:val="21"/>
          <w:szCs w:val="21"/>
          <w:lang w:eastAsia="en-US"/>
        </w:rPr>
        <w:t>)</w:t>
      </w:r>
      <w:r w:rsidR="0014078A" w:rsidRPr="00CA4352">
        <w:rPr>
          <w:rFonts w:eastAsia="Calibri" w:cs="Tahoma"/>
          <w:sz w:val="21"/>
          <w:szCs w:val="21"/>
          <w:lang w:eastAsia="en-US"/>
        </w:rPr>
        <w:t xml:space="preserve"> concessão pela </w:t>
      </w:r>
      <w:r w:rsidR="00411B02" w:rsidRPr="00CA4352">
        <w:rPr>
          <w:rFonts w:eastAsia="Calibri" w:cs="Tahoma"/>
          <w:sz w:val="21"/>
          <w:szCs w:val="21"/>
          <w:lang w:eastAsia="en-US"/>
        </w:rPr>
        <w:t>Companhia</w:t>
      </w:r>
      <w:r w:rsidR="0014078A" w:rsidRPr="00CA4352">
        <w:rPr>
          <w:rFonts w:eastAsia="Calibri" w:cs="Tahoma"/>
          <w:sz w:val="21"/>
          <w:szCs w:val="21"/>
          <w:lang w:eastAsia="en-US"/>
        </w:rPr>
        <w:t xml:space="preserve"> e/ou pela Fiadora, a partir da Data de Emissão das Debêntures, de mútuos e/ou empréstimos para quaisquer sociedades, exceto, em relação à Fiadora, caso o </w:t>
      </w:r>
      <w:r w:rsidR="0014078A" w:rsidRPr="00CA4352">
        <w:rPr>
          <w:rFonts w:eastAsia="Calibri" w:cs="Tahoma"/>
          <w:sz w:val="21"/>
          <w:szCs w:val="21"/>
          <w:lang w:eastAsia="en-US"/>
        </w:rPr>
        <w:lastRenderedPageBreak/>
        <w:t xml:space="preserve">mútuo seja concedido para sociedades controladas ou coligadas, vedada em qualquer caso a concessão de mútuos para seus acionistas; </w:t>
      </w:r>
      <w:r w:rsidR="0014078A" w:rsidRPr="00CA4352">
        <w:rPr>
          <w:rFonts w:eastAsia="Calibri" w:cs="Tahoma"/>
          <w:b/>
          <w:sz w:val="21"/>
          <w:szCs w:val="21"/>
          <w:lang w:eastAsia="en-US"/>
        </w:rPr>
        <w:t>(</w:t>
      </w:r>
      <w:proofErr w:type="spellStart"/>
      <w:r w:rsidR="0014078A" w:rsidRPr="00CA4352">
        <w:rPr>
          <w:rFonts w:eastAsia="Calibri" w:cs="Tahoma"/>
          <w:b/>
          <w:sz w:val="21"/>
          <w:szCs w:val="21"/>
          <w:lang w:eastAsia="en-US"/>
        </w:rPr>
        <w:t>xviii</w:t>
      </w:r>
      <w:proofErr w:type="spellEnd"/>
      <w:r w:rsidR="0014078A" w:rsidRPr="00CA4352">
        <w:rPr>
          <w:rFonts w:eastAsia="Calibri" w:cs="Tahoma"/>
          <w:b/>
          <w:sz w:val="21"/>
          <w:szCs w:val="21"/>
          <w:lang w:eastAsia="en-US"/>
        </w:rPr>
        <w:t>)</w:t>
      </w:r>
      <w:r w:rsidR="0014078A" w:rsidRPr="00CA4352">
        <w:rPr>
          <w:rFonts w:eastAsia="Calibri" w:cs="Tahoma"/>
          <w:sz w:val="21"/>
          <w:szCs w:val="21"/>
          <w:lang w:eastAsia="en-US"/>
        </w:rPr>
        <w:t xml:space="preserve"> outorga de garantias ou oneração de Ativos Relevantes em benefício de credores, em favor de dívidas da </w:t>
      </w:r>
      <w:r w:rsidR="00411B02" w:rsidRPr="00CA4352">
        <w:rPr>
          <w:rFonts w:eastAsia="Calibri" w:cs="Tahoma"/>
          <w:sz w:val="21"/>
          <w:szCs w:val="21"/>
          <w:lang w:eastAsia="en-US"/>
        </w:rPr>
        <w:t>Companhia</w:t>
      </w:r>
      <w:r w:rsidR="0014078A" w:rsidRPr="00CA4352">
        <w:rPr>
          <w:rFonts w:eastAsia="Calibri" w:cs="Tahoma"/>
          <w:sz w:val="21"/>
          <w:szCs w:val="21"/>
          <w:lang w:eastAsia="en-US"/>
        </w:rPr>
        <w:t xml:space="preserve"> com prazo de vencimento inferior ou igual aos das Debêntures, que acarretem na concessão de preferência de outros créditos em relação às Debêntures, pela </w:t>
      </w:r>
      <w:r w:rsidR="00411B02" w:rsidRPr="00CA4352">
        <w:rPr>
          <w:rFonts w:eastAsia="Calibri" w:cs="Tahoma"/>
          <w:sz w:val="21"/>
          <w:szCs w:val="21"/>
          <w:lang w:eastAsia="en-US"/>
        </w:rPr>
        <w:t>Companhia</w:t>
      </w:r>
      <w:r w:rsidR="0014078A" w:rsidRPr="00CA4352">
        <w:rPr>
          <w:rFonts w:eastAsia="Calibri" w:cs="Tahoma"/>
          <w:sz w:val="21"/>
          <w:szCs w:val="21"/>
          <w:lang w:eastAsia="en-US"/>
        </w:rPr>
        <w:t xml:space="preserve"> ou pela Fiadora, considerando-se como “</w:t>
      </w:r>
      <w:r w:rsidR="0014078A" w:rsidRPr="00CA4352">
        <w:rPr>
          <w:rFonts w:eastAsia="Calibri" w:cs="Tahoma"/>
          <w:sz w:val="21"/>
          <w:szCs w:val="21"/>
          <w:u w:val="single"/>
          <w:lang w:eastAsia="en-US"/>
        </w:rPr>
        <w:t>Ativos Relevantes</w:t>
      </w:r>
      <w:r w:rsidR="0014078A" w:rsidRPr="00CA4352">
        <w:rPr>
          <w:rFonts w:eastAsia="Calibri" w:cs="Tahoma"/>
          <w:sz w:val="21"/>
          <w:szCs w:val="21"/>
          <w:lang w:eastAsia="en-US"/>
        </w:rPr>
        <w:t>”, além dos ativos vinculados à concessão, aqueles cujo valor, individual ou agregado, seja igual ou superior a R$50.000.000,00 (cinquenta milhões de reais</w:t>
      </w:r>
      <w:r w:rsidR="0014078A" w:rsidRPr="00CA4352">
        <w:rPr>
          <w:rFonts w:eastAsia="MS Mincho" w:cs="Tahoma"/>
          <w:sz w:val="21"/>
          <w:szCs w:val="21"/>
        </w:rPr>
        <w:t>)</w:t>
      </w:r>
      <w:r w:rsidR="0014078A" w:rsidRPr="00CA4352">
        <w:rPr>
          <w:rFonts w:eastAsia="Calibri" w:cs="Tahoma"/>
          <w:sz w:val="21"/>
          <w:szCs w:val="21"/>
          <w:lang w:eastAsia="en-US"/>
        </w:rPr>
        <w:t xml:space="preserve"> ou seu equivalente em outras moedas. Este item não se aplica para outorga de garantias ou oneração de Ativos Relevantes, em favor de </w:t>
      </w:r>
      <w:r w:rsidR="0014078A" w:rsidRPr="00CA4352">
        <w:rPr>
          <w:rFonts w:eastAsia="Calibri" w:cs="Tahoma"/>
          <w:b/>
          <w:sz w:val="21"/>
          <w:szCs w:val="21"/>
          <w:lang w:eastAsia="en-US"/>
        </w:rPr>
        <w:t>(1)</w:t>
      </w:r>
      <w:r w:rsidR="0014078A" w:rsidRPr="00CA4352">
        <w:rPr>
          <w:rFonts w:eastAsia="Calibri" w:cs="Tahoma"/>
          <w:sz w:val="21"/>
          <w:szCs w:val="21"/>
          <w:lang w:eastAsia="en-US"/>
        </w:rPr>
        <w:t xml:space="preserve"> processos judiciais contra a </w:t>
      </w:r>
      <w:r w:rsidR="00411B02" w:rsidRPr="00CA4352">
        <w:rPr>
          <w:rFonts w:eastAsia="Calibri" w:cs="Tahoma"/>
          <w:sz w:val="21"/>
          <w:szCs w:val="21"/>
          <w:lang w:eastAsia="en-US"/>
        </w:rPr>
        <w:t>Companhia</w:t>
      </w:r>
      <w:r w:rsidR="0014078A" w:rsidRPr="00CA4352">
        <w:rPr>
          <w:rFonts w:eastAsia="Calibri" w:cs="Tahoma"/>
          <w:sz w:val="21"/>
          <w:szCs w:val="21"/>
          <w:lang w:eastAsia="en-US"/>
        </w:rPr>
        <w:t xml:space="preserve">; ou </w:t>
      </w:r>
      <w:r w:rsidR="0014078A" w:rsidRPr="00CA4352">
        <w:rPr>
          <w:rFonts w:eastAsia="Calibri" w:cs="Tahoma"/>
          <w:b/>
          <w:sz w:val="21"/>
          <w:szCs w:val="21"/>
          <w:lang w:eastAsia="en-US"/>
        </w:rPr>
        <w:t>(2)</w:t>
      </w:r>
      <w:r w:rsidR="0014078A" w:rsidRPr="00CA4352">
        <w:rPr>
          <w:rFonts w:eastAsia="Calibri" w:cs="Tahoma"/>
          <w:sz w:val="21"/>
          <w:szCs w:val="21"/>
          <w:lang w:eastAsia="en-US"/>
        </w:rPr>
        <w:t xml:space="preserve"> processos administrativos contra a </w:t>
      </w:r>
      <w:r w:rsidR="00411B02" w:rsidRPr="00CA4352">
        <w:rPr>
          <w:rFonts w:eastAsia="Calibri" w:cs="Tahoma"/>
          <w:sz w:val="21"/>
          <w:szCs w:val="21"/>
          <w:lang w:eastAsia="en-US"/>
        </w:rPr>
        <w:t>Companhia</w:t>
      </w:r>
      <w:r w:rsidR="0014078A" w:rsidRPr="00CA4352">
        <w:rPr>
          <w:rFonts w:eastAsia="Calibri" w:cs="Tahoma"/>
          <w:sz w:val="21"/>
          <w:szCs w:val="21"/>
          <w:lang w:eastAsia="en-US"/>
        </w:rPr>
        <w:t xml:space="preserve">; ou </w:t>
      </w:r>
      <w:r w:rsidR="0014078A" w:rsidRPr="00CA4352">
        <w:rPr>
          <w:rFonts w:eastAsia="Calibri" w:cs="Tahoma"/>
          <w:b/>
          <w:sz w:val="21"/>
          <w:szCs w:val="21"/>
          <w:lang w:eastAsia="en-US"/>
        </w:rPr>
        <w:t>(3)</w:t>
      </w:r>
      <w:r w:rsidR="0014078A" w:rsidRPr="00CA4352">
        <w:rPr>
          <w:rFonts w:eastAsia="Calibri" w:cs="Tahoma"/>
          <w:sz w:val="21"/>
          <w:szCs w:val="21"/>
          <w:lang w:eastAsia="en-US"/>
        </w:rPr>
        <w:t xml:space="preserve"> de contrato de compra de energia elétrica celebrados pela </w:t>
      </w:r>
      <w:r w:rsidR="00411B02" w:rsidRPr="00CA4352">
        <w:rPr>
          <w:rFonts w:eastAsia="Calibri" w:cs="Tahoma"/>
          <w:sz w:val="21"/>
          <w:szCs w:val="21"/>
          <w:lang w:eastAsia="en-US"/>
        </w:rPr>
        <w:t>Companhia</w:t>
      </w:r>
      <w:r w:rsidR="0014078A" w:rsidRPr="00CA4352">
        <w:rPr>
          <w:rFonts w:eastAsia="Calibri" w:cs="Tahoma"/>
          <w:sz w:val="21"/>
          <w:szCs w:val="21"/>
          <w:lang w:eastAsia="en-US"/>
        </w:rPr>
        <w:t xml:space="preserve"> ou </w:t>
      </w:r>
      <w:r w:rsidR="0014078A" w:rsidRPr="00CA4352">
        <w:rPr>
          <w:rFonts w:eastAsia="Calibri" w:cs="Tahoma"/>
          <w:b/>
          <w:sz w:val="21"/>
          <w:szCs w:val="21"/>
          <w:lang w:eastAsia="en-US"/>
        </w:rPr>
        <w:t>(4)</w:t>
      </w:r>
      <w:r w:rsidR="0014078A" w:rsidRPr="00CA4352">
        <w:rPr>
          <w:rFonts w:eastAsia="Calibri" w:cs="Tahoma"/>
          <w:sz w:val="21"/>
          <w:szCs w:val="21"/>
          <w:lang w:eastAsia="en-US"/>
        </w:rPr>
        <w:t xml:space="preserve"> contratos de financiamento celebrados pela </w:t>
      </w:r>
      <w:r w:rsidR="00411B02" w:rsidRPr="00CA4352">
        <w:rPr>
          <w:rFonts w:eastAsia="Calibri" w:cs="Tahoma"/>
          <w:sz w:val="21"/>
          <w:szCs w:val="21"/>
          <w:lang w:eastAsia="en-US"/>
        </w:rPr>
        <w:t>Companhia</w:t>
      </w:r>
      <w:r w:rsidR="0014078A" w:rsidRPr="00CA4352">
        <w:rPr>
          <w:rFonts w:eastAsia="Calibri" w:cs="Tahoma"/>
          <w:sz w:val="21"/>
          <w:szCs w:val="21"/>
          <w:lang w:eastAsia="en-US"/>
        </w:rPr>
        <w:t xml:space="preserve"> junto ao Banco Nacional de Desenvolvimento Econômico – BNDES; ou</w:t>
      </w:r>
      <w:r w:rsidR="0014078A" w:rsidRPr="00CA4352">
        <w:rPr>
          <w:rFonts w:eastAsia="MS Mincho" w:cs="Tahoma"/>
          <w:sz w:val="21"/>
          <w:szCs w:val="21"/>
        </w:rPr>
        <w:t xml:space="preserve"> </w:t>
      </w:r>
      <w:r w:rsidR="0014078A" w:rsidRPr="00CA4352">
        <w:rPr>
          <w:rFonts w:eastAsia="MS Mincho" w:cs="Tahoma"/>
          <w:b/>
          <w:sz w:val="21"/>
          <w:szCs w:val="21"/>
        </w:rPr>
        <w:t>(</w:t>
      </w:r>
      <w:proofErr w:type="spellStart"/>
      <w:r w:rsidR="0014078A" w:rsidRPr="00CA4352">
        <w:rPr>
          <w:rFonts w:eastAsia="MS Mincho" w:cs="Tahoma"/>
          <w:b/>
          <w:sz w:val="21"/>
          <w:szCs w:val="21"/>
        </w:rPr>
        <w:t>xix</w:t>
      </w:r>
      <w:proofErr w:type="spellEnd"/>
      <w:r w:rsidR="0014078A" w:rsidRPr="00CA4352">
        <w:rPr>
          <w:rFonts w:eastAsia="MS Mincho" w:cs="Tahoma"/>
          <w:b/>
          <w:sz w:val="21"/>
          <w:szCs w:val="21"/>
        </w:rPr>
        <w:t>)</w:t>
      </w:r>
      <w:r w:rsidR="0014078A" w:rsidRPr="00CA4352">
        <w:rPr>
          <w:rFonts w:eastAsia="MS Mincho" w:cs="Tahoma"/>
          <w:sz w:val="21"/>
          <w:szCs w:val="21"/>
        </w:rPr>
        <w:t xml:space="preserve"> </w:t>
      </w:r>
      <w:r w:rsidR="0014078A" w:rsidRPr="00CA4352">
        <w:rPr>
          <w:rFonts w:eastAsia="Calibri" w:cs="Tahoma"/>
          <w:color w:val="000000"/>
          <w:w w:val="0"/>
          <w:sz w:val="21"/>
          <w:szCs w:val="21"/>
          <w:lang w:eastAsia="en-US"/>
        </w:rPr>
        <w:t xml:space="preserve">não renovação da concessão outorgada à </w:t>
      </w:r>
      <w:r w:rsidR="00411B02" w:rsidRPr="00CA4352">
        <w:rPr>
          <w:rFonts w:eastAsia="Calibri" w:cs="Tahoma"/>
          <w:color w:val="000000"/>
          <w:w w:val="0"/>
          <w:sz w:val="21"/>
          <w:szCs w:val="21"/>
          <w:lang w:eastAsia="en-US"/>
        </w:rPr>
        <w:t>Companhia</w:t>
      </w:r>
      <w:r w:rsidR="0014078A" w:rsidRPr="00CA4352">
        <w:rPr>
          <w:rFonts w:eastAsia="Calibri" w:cs="Tahoma"/>
          <w:color w:val="000000"/>
          <w:w w:val="0"/>
          <w:sz w:val="21"/>
          <w:szCs w:val="21"/>
          <w:lang w:eastAsia="en-US"/>
        </w:rPr>
        <w:t xml:space="preserve"> para explorar atividades </w:t>
      </w:r>
      <w:r w:rsidR="0014078A" w:rsidRPr="00CA4352">
        <w:rPr>
          <w:rFonts w:eastAsia="Calibri" w:cs="Tahoma"/>
          <w:sz w:val="21"/>
          <w:szCs w:val="21"/>
          <w:lang w:eastAsia="en-US"/>
        </w:rPr>
        <w:t>relacionadas</w:t>
      </w:r>
      <w:r w:rsidR="0014078A" w:rsidRPr="00CA4352">
        <w:rPr>
          <w:rFonts w:eastAsia="Calibri" w:cs="Tahoma"/>
          <w:color w:val="000000"/>
          <w:w w:val="0"/>
          <w:sz w:val="21"/>
          <w:szCs w:val="21"/>
          <w:lang w:eastAsia="en-US"/>
        </w:rPr>
        <w:t xml:space="preserve"> à distribuição de energia em até 12 (doze) meses antes da data de vencimento</w:t>
      </w:r>
      <w:r w:rsidR="0014078A" w:rsidRPr="00CA4352">
        <w:rPr>
          <w:rFonts w:eastAsia="Calibri" w:cs="Tahoma"/>
          <w:sz w:val="21"/>
          <w:szCs w:val="21"/>
          <w:lang w:eastAsia="en-US"/>
        </w:rPr>
        <w:t xml:space="preserve"> do Contrato de Concessão</w:t>
      </w:r>
      <w:r w:rsidR="0014078A" w:rsidRPr="00CA4352">
        <w:rPr>
          <w:rFonts w:eastAsia="Calibri" w:cs="Tahoma"/>
          <w:color w:val="000000"/>
          <w:w w:val="0"/>
          <w:sz w:val="21"/>
          <w:szCs w:val="21"/>
          <w:lang w:eastAsia="en-US"/>
        </w:rPr>
        <w:t>.</w:t>
      </w:r>
    </w:p>
    <w:p w14:paraId="4903997C" w14:textId="77777777" w:rsidR="000B290B" w:rsidRPr="00CA4352" w:rsidRDefault="000B290B" w:rsidP="002D43C4">
      <w:pPr>
        <w:pStyle w:val="Texto-MattosFilho"/>
        <w:spacing w:line="316" w:lineRule="exact"/>
        <w:ind w:left="1843"/>
        <w:rPr>
          <w:rFonts w:cs="Tahoma"/>
          <w:sz w:val="21"/>
          <w:szCs w:val="21"/>
        </w:rPr>
      </w:pPr>
    </w:p>
    <w:p w14:paraId="4C6FA9B1" w14:textId="1BB3634B" w:rsidR="003B081D" w:rsidRPr="00CA4352" w:rsidRDefault="003B081D" w:rsidP="002D43C4">
      <w:pPr>
        <w:pStyle w:val="Texto-MattosFilho"/>
        <w:numPr>
          <w:ilvl w:val="0"/>
          <w:numId w:val="7"/>
        </w:numPr>
        <w:spacing w:line="316" w:lineRule="exact"/>
        <w:ind w:left="1843" w:hanging="709"/>
        <w:rPr>
          <w:rFonts w:cs="Tahoma"/>
          <w:sz w:val="21"/>
          <w:szCs w:val="21"/>
        </w:rPr>
      </w:pPr>
      <w:r w:rsidRPr="00CA4352">
        <w:rPr>
          <w:rFonts w:cs="Tahoma"/>
          <w:b/>
          <w:sz w:val="21"/>
          <w:szCs w:val="21"/>
        </w:rPr>
        <w:t>Local de Pagamento</w:t>
      </w:r>
      <w:r w:rsidRPr="00CA4352">
        <w:rPr>
          <w:rFonts w:cs="Tahoma"/>
          <w:sz w:val="21"/>
          <w:szCs w:val="21"/>
        </w:rPr>
        <w:t xml:space="preserve">: </w:t>
      </w:r>
      <w:r w:rsidR="00A832F7" w:rsidRPr="00CA4352">
        <w:rPr>
          <w:rFonts w:cs="Tahoma"/>
          <w:sz w:val="21"/>
          <w:szCs w:val="21"/>
        </w:rPr>
        <w:t xml:space="preserve">Os pagamentos referentes às Debêntures e quaisquer outros valores eventualmente devidos pela </w:t>
      </w:r>
      <w:r w:rsidR="001F0627" w:rsidRPr="00CA4352">
        <w:rPr>
          <w:rFonts w:cs="Tahoma"/>
          <w:sz w:val="21"/>
          <w:szCs w:val="21"/>
        </w:rPr>
        <w:t>Companhia</w:t>
      </w:r>
      <w:r w:rsidR="00A832F7" w:rsidRPr="00CA4352">
        <w:rPr>
          <w:rFonts w:cs="Tahoma"/>
          <w:sz w:val="21"/>
          <w:szCs w:val="21"/>
        </w:rPr>
        <w:t xml:space="preserve"> nos termos d</w:t>
      </w:r>
      <w:r w:rsidR="001F0627" w:rsidRPr="00CA4352">
        <w:rPr>
          <w:rFonts w:cs="Tahoma"/>
          <w:sz w:val="21"/>
          <w:szCs w:val="21"/>
        </w:rPr>
        <w:t>a Escritura</w:t>
      </w:r>
      <w:r w:rsidR="00A832F7" w:rsidRPr="00CA4352">
        <w:rPr>
          <w:rFonts w:cs="Tahoma"/>
          <w:sz w:val="21"/>
          <w:szCs w:val="21"/>
        </w:rPr>
        <w:t xml:space="preserve"> </w:t>
      </w:r>
      <w:r w:rsidR="0096314C" w:rsidRPr="00CA4352">
        <w:rPr>
          <w:rFonts w:cs="Tahoma"/>
          <w:sz w:val="21"/>
          <w:szCs w:val="21"/>
        </w:rPr>
        <w:t xml:space="preserve">de Emissão </w:t>
      </w:r>
      <w:r w:rsidR="00A832F7" w:rsidRPr="00CA4352">
        <w:rPr>
          <w:rFonts w:cs="Tahoma"/>
          <w:sz w:val="21"/>
          <w:szCs w:val="21"/>
        </w:rPr>
        <w:t xml:space="preserve">serão efetuados </w:t>
      </w:r>
      <w:r w:rsidR="00A832F7" w:rsidRPr="00CA4352">
        <w:rPr>
          <w:rFonts w:cs="Tahoma"/>
          <w:b/>
          <w:sz w:val="21"/>
          <w:szCs w:val="21"/>
        </w:rPr>
        <w:t>(i)</w:t>
      </w:r>
      <w:r w:rsidR="00A832F7" w:rsidRPr="00CA4352">
        <w:rPr>
          <w:rFonts w:cs="Tahoma"/>
          <w:sz w:val="21"/>
          <w:szCs w:val="21"/>
        </w:rPr>
        <w:t xml:space="preserve"> utilizando-se os procedimentos adotados pela B3 para as Debêntures custodiadas eletronicamente na B3, conforme o caso; ou </w:t>
      </w:r>
      <w:r w:rsidR="00A832F7" w:rsidRPr="00CA4352">
        <w:rPr>
          <w:rFonts w:cs="Tahoma"/>
          <w:b/>
          <w:sz w:val="21"/>
          <w:szCs w:val="21"/>
        </w:rPr>
        <w:t>(</w:t>
      </w:r>
      <w:proofErr w:type="spellStart"/>
      <w:r w:rsidR="00A832F7" w:rsidRPr="00CA4352">
        <w:rPr>
          <w:rFonts w:cs="Tahoma"/>
          <w:b/>
          <w:sz w:val="21"/>
          <w:szCs w:val="21"/>
        </w:rPr>
        <w:t>ii</w:t>
      </w:r>
      <w:proofErr w:type="spellEnd"/>
      <w:r w:rsidR="00A832F7" w:rsidRPr="00CA4352">
        <w:rPr>
          <w:rFonts w:cs="Tahoma"/>
          <w:b/>
          <w:sz w:val="21"/>
          <w:szCs w:val="21"/>
        </w:rPr>
        <w:t>)</w:t>
      </w:r>
      <w:r w:rsidR="00A832F7" w:rsidRPr="00CA4352">
        <w:rPr>
          <w:rFonts w:cs="Tahoma"/>
          <w:sz w:val="21"/>
          <w:szCs w:val="21"/>
        </w:rPr>
        <w:t xml:space="preserve"> na hipótese de as Debêntures não estarem custodiadas eletronicamente na B3, </w:t>
      </w:r>
      <w:r w:rsidR="00A832F7" w:rsidRPr="00CA4352">
        <w:rPr>
          <w:rFonts w:cs="Tahoma"/>
          <w:b/>
          <w:sz w:val="21"/>
          <w:szCs w:val="21"/>
        </w:rPr>
        <w:t>(a)</w:t>
      </w:r>
      <w:r w:rsidR="00A832F7" w:rsidRPr="00CA4352">
        <w:rPr>
          <w:rFonts w:cs="Tahoma"/>
          <w:sz w:val="21"/>
          <w:szCs w:val="21"/>
        </w:rPr>
        <w:t xml:space="preserve"> na sede da </w:t>
      </w:r>
      <w:r w:rsidR="001F0627" w:rsidRPr="00CA4352">
        <w:rPr>
          <w:rFonts w:cs="Tahoma"/>
          <w:sz w:val="21"/>
          <w:szCs w:val="21"/>
        </w:rPr>
        <w:t>Companhia</w:t>
      </w:r>
      <w:r w:rsidR="00A832F7" w:rsidRPr="00CA4352">
        <w:rPr>
          <w:rFonts w:cs="Tahoma"/>
          <w:sz w:val="21"/>
          <w:szCs w:val="21"/>
        </w:rPr>
        <w:t xml:space="preserve">; ou </w:t>
      </w:r>
      <w:r w:rsidR="00A832F7" w:rsidRPr="00CA4352">
        <w:rPr>
          <w:rFonts w:cs="Tahoma"/>
          <w:b/>
          <w:sz w:val="21"/>
          <w:szCs w:val="21"/>
        </w:rPr>
        <w:t>(b)</w:t>
      </w:r>
      <w:r w:rsidR="00A832F7" w:rsidRPr="00CA4352">
        <w:rPr>
          <w:rFonts w:cs="Tahoma"/>
          <w:sz w:val="21"/>
          <w:szCs w:val="21"/>
        </w:rPr>
        <w:t xml:space="preserve"> conforme o caso, de acordo com os procedimentos adotados pelo </w:t>
      </w:r>
      <w:proofErr w:type="spellStart"/>
      <w:r w:rsidR="00A832F7" w:rsidRPr="00CA4352">
        <w:rPr>
          <w:rFonts w:cs="Tahoma"/>
          <w:sz w:val="21"/>
          <w:szCs w:val="21"/>
        </w:rPr>
        <w:t>Escriturador</w:t>
      </w:r>
      <w:proofErr w:type="spellEnd"/>
      <w:r w:rsidR="00A832F7" w:rsidRPr="00CA4352">
        <w:rPr>
          <w:rFonts w:cs="Tahoma"/>
          <w:sz w:val="21"/>
          <w:szCs w:val="21"/>
        </w:rPr>
        <w:t>, conforme o caso.</w:t>
      </w:r>
    </w:p>
    <w:p w14:paraId="72CDC968" w14:textId="77777777" w:rsidR="00B5061D" w:rsidRPr="00CA4352" w:rsidRDefault="00B5061D" w:rsidP="002D43C4">
      <w:pPr>
        <w:pStyle w:val="Texto-MattosFilho"/>
        <w:spacing w:line="316" w:lineRule="exact"/>
        <w:ind w:left="1843"/>
        <w:rPr>
          <w:rFonts w:cs="Tahoma"/>
          <w:sz w:val="21"/>
          <w:szCs w:val="21"/>
        </w:rPr>
      </w:pPr>
    </w:p>
    <w:p w14:paraId="5BB4A061" w14:textId="6CB15CA3" w:rsidR="003B081D" w:rsidRPr="00CA4352" w:rsidRDefault="003B081D" w:rsidP="002D43C4">
      <w:pPr>
        <w:pStyle w:val="Texto-MattosFilho"/>
        <w:numPr>
          <w:ilvl w:val="0"/>
          <w:numId w:val="7"/>
        </w:numPr>
        <w:spacing w:line="316" w:lineRule="exact"/>
        <w:ind w:left="1843" w:hanging="709"/>
        <w:rPr>
          <w:rFonts w:cs="Tahoma"/>
          <w:sz w:val="21"/>
          <w:szCs w:val="21"/>
        </w:rPr>
      </w:pPr>
      <w:r w:rsidRPr="00CA4352">
        <w:rPr>
          <w:rFonts w:cs="Tahoma"/>
          <w:b/>
          <w:sz w:val="21"/>
          <w:szCs w:val="21"/>
        </w:rPr>
        <w:t>Encargos Moratórios</w:t>
      </w:r>
      <w:r w:rsidRPr="00CA4352">
        <w:rPr>
          <w:rFonts w:cs="Tahoma"/>
          <w:sz w:val="21"/>
          <w:szCs w:val="21"/>
        </w:rPr>
        <w:t xml:space="preserve">: </w:t>
      </w:r>
      <w:r w:rsidR="00EE2A26" w:rsidRPr="00CA4352">
        <w:rPr>
          <w:rFonts w:cs="Tahoma"/>
          <w:sz w:val="21"/>
          <w:szCs w:val="21"/>
        </w:rPr>
        <w:t xml:space="preserve">Ocorrendo impontualidade no pagamento pela </w:t>
      </w:r>
      <w:r w:rsidR="001F0627" w:rsidRPr="00CA4352">
        <w:rPr>
          <w:rFonts w:cs="Tahoma"/>
          <w:sz w:val="21"/>
          <w:szCs w:val="21"/>
        </w:rPr>
        <w:t>Companhia</w:t>
      </w:r>
      <w:r w:rsidR="00EE2A26" w:rsidRPr="00CA4352">
        <w:rPr>
          <w:rFonts w:cs="Tahoma"/>
          <w:sz w:val="21"/>
          <w:szCs w:val="21"/>
        </w:rPr>
        <w:t xml:space="preserve"> de quaisquer obrigações pecuniárias relativas às Debêntures, os débitos vencidos e não pagos ficarão sujeitos a, sem prejuízo do pagamento da respectiva Remuneração </w:t>
      </w:r>
      <w:bookmarkStart w:id="4" w:name="_Hlk20325166"/>
      <w:r w:rsidR="00767E55" w:rsidRPr="00CA4352">
        <w:rPr>
          <w:rFonts w:cs="Tahoma"/>
          <w:sz w:val="21"/>
          <w:szCs w:val="21"/>
        </w:rPr>
        <w:t>e Atualização Monetária, quando aplicável</w:t>
      </w:r>
      <w:bookmarkEnd w:id="4"/>
      <w:r w:rsidR="00B045CD" w:rsidRPr="00CA4352">
        <w:rPr>
          <w:rFonts w:cs="Tahoma"/>
          <w:sz w:val="21"/>
          <w:szCs w:val="21"/>
        </w:rPr>
        <w:t>,</w:t>
      </w:r>
      <w:r w:rsidR="00767E55" w:rsidRPr="00CA4352">
        <w:rPr>
          <w:rFonts w:cs="Tahoma"/>
          <w:sz w:val="21"/>
          <w:szCs w:val="21"/>
        </w:rPr>
        <w:t xml:space="preserve"> </w:t>
      </w:r>
      <w:r w:rsidR="00EE2A26" w:rsidRPr="00CA4352">
        <w:rPr>
          <w:rFonts w:cs="Tahoma"/>
          <w:b/>
          <w:sz w:val="21"/>
          <w:szCs w:val="21"/>
        </w:rPr>
        <w:t>(i)</w:t>
      </w:r>
      <w:r w:rsidR="00EE2A26" w:rsidRPr="00CA4352">
        <w:rPr>
          <w:rFonts w:cs="Tahoma"/>
          <w:sz w:val="21"/>
          <w:szCs w:val="21"/>
        </w:rPr>
        <w:t xml:space="preserve"> multa moratória convencional, irredutível e de natureza não compensatória, de 2% (dois inteiros por cento) sobre o valor devido e não pago; e </w:t>
      </w:r>
      <w:r w:rsidR="00EE2A26" w:rsidRPr="00CA4352">
        <w:rPr>
          <w:rFonts w:cs="Tahoma"/>
          <w:b/>
          <w:sz w:val="21"/>
          <w:szCs w:val="21"/>
        </w:rPr>
        <w:t>(</w:t>
      </w:r>
      <w:proofErr w:type="spellStart"/>
      <w:r w:rsidR="00EE2A26" w:rsidRPr="00CA4352">
        <w:rPr>
          <w:rFonts w:cs="Tahoma"/>
          <w:b/>
          <w:sz w:val="21"/>
          <w:szCs w:val="21"/>
        </w:rPr>
        <w:t>ii</w:t>
      </w:r>
      <w:proofErr w:type="spellEnd"/>
      <w:r w:rsidR="00EE2A26" w:rsidRPr="00CA4352">
        <w:rPr>
          <w:rFonts w:cs="Tahoma"/>
          <w:b/>
          <w:sz w:val="21"/>
          <w:szCs w:val="21"/>
        </w:rPr>
        <w:t>)</w:t>
      </w:r>
      <w:r w:rsidR="00EE2A26" w:rsidRPr="00CA4352">
        <w:rPr>
          <w:rFonts w:cs="Tahoma"/>
          <w:sz w:val="21"/>
          <w:szCs w:val="21"/>
        </w:rPr>
        <w:t xml:space="preserve"> juros de mora calculados </w:t>
      </w:r>
      <w:r w:rsidR="00EE2A26" w:rsidRPr="00CA4352">
        <w:rPr>
          <w:rFonts w:cs="Tahoma"/>
          <w:i/>
          <w:sz w:val="21"/>
          <w:szCs w:val="21"/>
        </w:rPr>
        <w:t xml:space="preserve">pro rata </w:t>
      </w:r>
      <w:proofErr w:type="spellStart"/>
      <w:r w:rsidR="00EE2A26" w:rsidRPr="00CA4352">
        <w:rPr>
          <w:rFonts w:cs="Tahoma"/>
          <w:i/>
          <w:sz w:val="21"/>
          <w:szCs w:val="21"/>
        </w:rPr>
        <w:t>temporis</w:t>
      </w:r>
      <w:proofErr w:type="spellEnd"/>
      <w:r w:rsidR="00EE2A26" w:rsidRPr="00CA4352">
        <w:rPr>
          <w:rFonts w:cs="Tahoma"/>
          <w:sz w:val="21"/>
          <w:szCs w:val="21"/>
        </w:rPr>
        <w:t xml:space="preserve"> desde a data do inadimplemento até a data do efetivo pagamento dos débitos em atraso, à taxa de 1% (um inteiro por cento) ao mês sobre o montante devido e não pago, independentemente de aviso, notificação ou interpelação judicial ou extrajudicial (“</w:t>
      </w:r>
      <w:r w:rsidR="00EE2A26" w:rsidRPr="00CA4352">
        <w:rPr>
          <w:rFonts w:cs="Tahoma"/>
          <w:sz w:val="21"/>
          <w:szCs w:val="21"/>
          <w:u w:val="single"/>
        </w:rPr>
        <w:t>Encargos Moratórios</w:t>
      </w:r>
      <w:r w:rsidR="00EE2A26" w:rsidRPr="00CA4352">
        <w:rPr>
          <w:rFonts w:cs="Tahoma"/>
          <w:sz w:val="21"/>
          <w:szCs w:val="21"/>
        </w:rPr>
        <w:t xml:space="preserve">”). </w:t>
      </w:r>
    </w:p>
    <w:p w14:paraId="3B797DFC" w14:textId="77777777" w:rsidR="00B5061D" w:rsidRPr="00CA4352" w:rsidRDefault="00B5061D" w:rsidP="002D43C4">
      <w:pPr>
        <w:pStyle w:val="Texto-MattosFilho"/>
        <w:spacing w:line="316" w:lineRule="exact"/>
        <w:ind w:left="1843"/>
        <w:rPr>
          <w:rFonts w:cs="Tahoma"/>
          <w:sz w:val="21"/>
          <w:szCs w:val="21"/>
        </w:rPr>
      </w:pPr>
    </w:p>
    <w:p w14:paraId="3EE2F0BB" w14:textId="57EF080A" w:rsidR="003B081D" w:rsidRPr="00CA4352" w:rsidRDefault="003B081D" w:rsidP="002D43C4">
      <w:pPr>
        <w:pStyle w:val="Texto-MattosFilho"/>
        <w:numPr>
          <w:ilvl w:val="0"/>
          <w:numId w:val="7"/>
        </w:numPr>
        <w:spacing w:line="316" w:lineRule="exact"/>
        <w:ind w:left="1843" w:hanging="709"/>
        <w:rPr>
          <w:rFonts w:cs="Tahoma"/>
          <w:sz w:val="21"/>
          <w:szCs w:val="21"/>
        </w:rPr>
      </w:pPr>
      <w:r w:rsidRPr="00CA4352">
        <w:rPr>
          <w:rFonts w:cs="Tahoma"/>
          <w:b/>
          <w:sz w:val="21"/>
          <w:szCs w:val="21"/>
        </w:rPr>
        <w:t>Destinação d</w:t>
      </w:r>
      <w:r w:rsidR="0014345E" w:rsidRPr="00CA4352">
        <w:rPr>
          <w:rFonts w:cs="Tahoma"/>
          <w:b/>
          <w:sz w:val="21"/>
          <w:szCs w:val="21"/>
        </w:rPr>
        <w:t>os</w:t>
      </w:r>
      <w:r w:rsidRPr="00CA4352">
        <w:rPr>
          <w:rFonts w:cs="Tahoma"/>
          <w:b/>
          <w:sz w:val="21"/>
          <w:szCs w:val="21"/>
        </w:rPr>
        <w:t xml:space="preserve"> Recursos</w:t>
      </w:r>
      <w:r w:rsidRPr="00CA4352">
        <w:rPr>
          <w:rFonts w:cs="Tahoma"/>
          <w:sz w:val="21"/>
          <w:szCs w:val="21"/>
        </w:rPr>
        <w:t xml:space="preserve">: </w:t>
      </w:r>
      <w:r w:rsidR="00E930EF" w:rsidRPr="00CA4352">
        <w:rPr>
          <w:rFonts w:cs="Tahoma"/>
          <w:sz w:val="21"/>
          <w:szCs w:val="21"/>
        </w:rPr>
        <w:t xml:space="preserve">Os recursos obtidos pela </w:t>
      </w:r>
      <w:r w:rsidR="001F0627" w:rsidRPr="00CA4352">
        <w:rPr>
          <w:rFonts w:cs="Tahoma"/>
          <w:sz w:val="21"/>
          <w:szCs w:val="21"/>
        </w:rPr>
        <w:t>Companhia</w:t>
      </w:r>
      <w:r w:rsidR="00E930EF" w:rsidRPr="00CA4352">
        <w:rPr>
          <w:rFonts w:cs="Tahoma"/>
          <w:sz w:val="21"/>
          <w:szCs w:val="21"/>
        </w:rPr>
        <w:t xml:space="preserve"> com a Emissão serão destinados ao reforço do capital de giro da </w:t>
      </w:r>
      <w:r w:rsidR="001F0627" w:rsidRPr="00CA4352">
        <w:rPr>
          <w:rFonts w:cs="Tahoma"/>
          <w:sz w:val="21"/>
          <w:szCs w:val="21"/>
        </w:rPr>
        <w:t>Companhia</w:t>
      </w:r>
      <w:r w:rsidR="0014345E" w:rsidRPr="00CA4352">
        <w:rPr>
          <w:rFonts w:cs="Tahoma"/>
          <w:sz w:val="21"/>
          <w:szCs w:val="21"/>
        </w:rPr>
        <w:t>, dentro da gestão ordinária de seus negócios</w:t>
      </w:r>
      <w:r w:rsidR="00E930EF" w:rsidRPr="00CA4352">
        <w:rPr>
          <w:rFonts w:cs="Tahoma"/>
          <w:sz w:val="21"/>
          <w:szCs w:val="21"/>
        </w:rPr>
        <w:t xml:space="preserve">. </w:t>
      </w:r>
    </w:p>
    <w:p w14:paraId="233A1B04" w14:textId="77777777" w:rsidR="00B5061D" w:rsidRPr="00CA4352" w:rsidRDefault="00B5061D" w:rsidP="002D43C4">
      <w:pPr>
        <w:pStyle w:val="Texto-MattosFilho"/>
        <w:spacing w:line="316" w:lineRule="exact"/>
        <w:ind w:left="1843"/>
        <w:rPr>
          <w:rFonts w:cs="Tahoma"/>
          <w:sz w:val="21"/>
          <w:szCs w:val="21"/>
        </w:rPr>
      </w:pPr>
    </w:p>
    <w:p w14:paraId="072B1D35" w14:textId="77777777" w:rsidR="003B081D" w:rsidRPr="00CA4352" w:rsidRDefault="003B081D" w:rsidP="002D43C4">
      <w:pPr>
        <w:pStyle w:val="Texto-MattosFilho"/>
        <w:numPr>
          <w:ilvl w:val="0"/>
          <w:numId w:val="7"/>
        </w:numPr>
        <w:spacing w:line="316" w:lineRule="exact"/>
        <w:ind w:left="1843" w:hanging="709"/>
        <w:rPr>
          <w:rFonts w:cs="Tahoma"/>
          <w:sz w:val="21"/>
          <w:szCs w:val="21"/>
        </w:rPr>
      </w:pPr>
      <w:r w:rsidRPr="00CA4352">
        <w:rPr>
          <w:rFonts w:cs="Tahoma"/>
          <w:b/>
          <w:sz w:val="21"/>
          <w:szCs w:val="21"/>
        </w:rPr>
        <w:t>Demais Condições</w:t>
      </w:r>
      <w:r w:rsidRPr="00CA4352">
        <w:rPr>
          <w:rFonts w:cs="Tahoma"/>
          <w:sz w:val="21"/>
          <w:szCs w:val="21"/>
        </w:rPr>
        <w:t xml:space="preserve">: As demais características da Emissão e da </w:t>
      </w:r>
      <w:r w:rsidR="00B5061D" w:rsidRPr="00CA4352">
        <w:rPr>
          <w:rFonts w:cs="Tahoma"/>
          <w:sz w:val="21"/>
          <w:szCs w:val="21"/>
        </w:rPr>
        <w:t>Oferta Restrita</w:t>
      </w:r>
      <w:r w:rsidRPr="00CA4352">
        <w:rPr>
          <w:rFonts w:cs="Tahoma"/>
          <w:sz w:val="21"/>
          <w:szCs w:val="21"/>
        </w:rPr>
        <w:t xml:space="preserve"> </w:t>
      </w:r>
      <w:r w:rsidR="00B5061D" w:rsidRPr="00CA4352">
        <w:rPr>
          <w:rFonts w:cs="Tahoma"/>
          <w:sz w:val="21"/>
          <w:szCs w:val="21"/>
        </w:rPr>
        <w:t>constarão da Escritura de Emissão.</w:t>
      </w:r>
    </w:p>
    <w:p w14:paraId="1C0C28F0" w14:textId="77777777" w:rsidR="00B5061D" w:rsidRPr="00CA4352" w:rsidRDefault="00B5061D" w:rsidP="002D43C4">
      <w:pPr>
        <w:pStyle w:val="Texto-MattosFilho"/>
        <w:spacing w:line="316" w:lineRule="exact"/>
        <w:ind w:left="1843"/>
        <w:rPr>
          <w:rFonts w:cs="Tahoma"/>
          <w:sz w:val="21"/>
          <w:szCs w:val="21"/>
        </w:rPr>
      </w:pPr>
    </w:p>
    <w:p w14:paraId="198B38E3" w14:textId="0BD2F420" w:rsidR="005751F8" w:rsidRPr="00CA4352" w:rsidRDefault="005751F8" w:rsidP="002D43C4">
      <w:pPr>
        <w:pStyle w:val="PargrafodaLista"/>
        <w:numPr>
          <w:ilvl w:val="0"/>
          <w:numId w:val="6"/>
        </w:numPr>
        <w:tabs>
          <w:tab w:val="clear" w:pos="720"/>
          <w:tab w:val="num" w:pos="1134"/>
        </w:tabs>
        <w:spacing w:line="316" w:lineRule="exact"/>
        <w:ind w:left="1134" w:hanging="850"/>
        <w:rPr>
          <w:rFonts w:cs="Tahoma"/>
          <w:sz w:val="21"/>
          <w:szCs w:val="21"/>
        </w:rPr>
      </w:pPr>
      <w:r w:rsidRPr="00CA4352">
        <w:rPr>
          <w:rFonts w:cs="Tahoma"/>
          <w:sz w:val="21"/>
          <w:szCs w:val="21"/>
        </w:rPr>
        <w:t>aprovaram a delegação de poderes à Diretoria da Companhia, de forma direta ou</w:t>
      </w:r>
      <w:r w:rsidR="00B5061D" w:rsidRPr="00CA4352">
        <w:rPr>
          <w:rFonts w:cs="Tahoma"/>
          <w:sz w:val="21"/>
          <w:szCs w:val="21"/>
        </w:rPr>
        <w:t xml:space="preserve"> </w:t>
      </w:r>
      <w:r w:rsidRPr="00CA4352">
        <w:rPr>
          <w:rFonts w:cs="Tahoma"/>
          <w:sz w:val="21"/>
          <w:szCs w:val="21"/>
        </w:rPr>
        <w:t>indireta, por meio de procuradores, e nos term</w:t>
      </w:r>
      <w:r w:rsidR="00D00A1B" w:rsidRPr="00CA4352">
        <w:rPr>
          <w:rFonts w:cs="Tahoma"/>
          <w:sz w:val="21"/>
          <w:szCs w:val="21"/>
        </w:rPr>
        <w:t>os do seu estatuto s</w:t>
      </w:r>
      <w:r w:rsidRPr="00CA4352">
        <w:rPr>
          <w:rFonts w:cs="Tahoma"/>
          <w:sz w:val="21"/>
          <w:szCs w:val="21"/>
        </w:rPr>
        <w:t>ocial, para a prática</w:t>
      </w:r>
      <w:r w:rsidR="00B5061D" w:rsidRPr="00CA4352">
        <w:rPr>
          <w:rFonts w:cs="Tahoma"/>
          <w:sz w:val="21"/>
          <w:szCs w:val="21"/>
        </w:rPr>
        <w:t xml:space="preserve"> </w:t>
      </w:r>
      <w:r w:rsidRPr="00CA4352">
        <w:rPr>
          <w:rFonts w:cs="Tahoma"/>
          <w:sz w:val="21"/>
          <w:szCs w:val="21"/>
        </w:rPr>
        <w:t xml:space="preserve">de todos os atos necessários ou convenientes à formalização da Emissão e da </w:t>
      </w:r>
      <w:r w:rsidR="00B5061D" w:rsidRPr="00CA4352">
        <w:rPr>
          <w:rFonts w:cs="Tahoma"/>
          <w:sz w:val="21"/>
          <w:szCs w:val="21"/>
        </w:rPr>
        <w:t>Oferta Restrita</w:t>
      </w:r>
      <w:r w:rsidRPr="00CA4352">
        <w:rPr>
          <w:rFonts w:cs="Tahoma"/>
          <w:sz w:val="21"/>
          <w:szCs w:val="21"/>
        </w:rPr>
        <w:t>,</w:t>
      </w:r>
      <w:r w:rsidR="00B5061D" w:rsidRPr="00CA4352">
        <w:rPr>
          <w:rFonts w:cs="Tahoma"/>
          <w:sz w:val="21"/>
          <w:szCs w:val="21"/>
        </w:rPr>
        <w:t xml:space="preserve"> </w:t>
      </w:r>
      <w:r w:rsidRPr="00CA4352">
        <w:rPr>
          <w:rFonts w:cs="Tahoma"/>
          <w:sz w:val="21"/>
          <w:szCs w:val="21"/>
        </w:rPr>
        <w:t xml:space="preserve">inclusive, mas não se limitando, </w:t>
      </w:r>
      <w:r w:rsidRPr="00CA4352">
        <w:rPr>
          <w:rFonts w:cs="Tahoma"/>
          <w:b/>
          <w:sz w:val="21"/>
          <w:szCs w:val="21"/>
        </w:rPr>
        <w:t>(a)</w:t>
      </w:r>
      <w:r w:rsidRPr="00CA4352">
        <w:rPr>
          <w:rFonts w:cs="Tahoma"/>
          <w:sz w:val="21"/>
          <w:szCs w:val="21"/>
        </w:rPr>
        <w:t xml:space="preserve"> a discussão, negociação e definição dos termos</w:t>
      </w:r>
      <w:r w:rsidR="00B5061D" w:rsidRPr="00CA4352">
        <w:rPr>
          <w:rFonts w:cs="Tahoma"/>
          <w:sz w:val="21"/>
          <w:szCs w:val="21"/>
        </w:rPr>
        <w:t xml:space="preserve"> </w:t>
      </w:r>
      <w:r w:rsidRPr="00CA4352">
        <w:rPr>
          <w:rFonts w:cs="Tahoma"/>
          <w:sz w:val="21"/>
          <w:szCs w:val="21"/>
        </w:rPr>
        <w:t>das Debêntures</w:t>
      </w:r>
      <w:r w:rsidR="00D00A1B" w:rsidRPr="00CA4352">
        <w:rPr>
          <w:rFonts w:cs="Tahoma"/>
          <w:sz w:val="21"/>
          <w:szCs w:val="21"/>
        </w:rPr>
        <w:t xml:space="preserve"> (incluindo, mas não se limitando a, negociação das hipóteses de vencimento antecipado das Debêntures a serem descritas na Escritura de Emissão),</w:t>
      </w:r>
      <w:r w:rsidRPr="00CA4352">
        <w:rPr>
          <w:rFonts w:cs="Tahoma"/>
          <w:sz w:val="21"/>
          <w:szCs w:val="21"/>
        </w:rPr>
        <w:t xml:space="preserve"> bem como a celebração, pela Companhia, da Escritura</w:t>
      </w:r>
      <w:r w:rsidR="00992500" w:rsidRPr="00CA4352">
        <w:rPr>
          <w:rFonts w:cs="Tahoma"/>
          <w:sz w:val="21"/>
          <w:szCs w:val="21"/>
        </w:rPr>
        <w:t xml:space="preserve">, </w:t>
      </w:r>
      <w:r w:rsidRPr="00CA4352">
        <w:rPr>
          <w:rFonts w:cs="Tahoma"/>
          <w:sz w:val="21"/>
          <w:szCs w:val="21"/>
        </w:rPr>
        <w:t>do Contrato</w:t>
      </w:r>
      <w:r w:rsidR="00B5061D" w:rsidRPr="00CA4352">
        <w:rPr>
          <w:rFonts w:cs="Tahoma"/>
          <w:sz w:val="21"/>
          <w:szCs w:val="21"/>
        </w:rPr>
        <w:t xml:space="preserve"> </w:t>
      </w:r>
      <w:r w:rsidRPr="00CA4352">
        <w:rPr>
          <w:rFonts w:cs="Tahoma"/>
          <w:sz w:val="21"/>
          <w:szCs w:val="21"/>
        </w:rPr>
        <w:t>de Distribuição, seus eventuais aditamentos e demais documentos relacionados às</w:t>
      </w:r>
      <w:r w:rsidR="00B5061D" w:rsidRPr="00CA4352">
        <w:rPr>
          <w:rFonts w:cs="Tahoma"/>
          <w:sz w:val="21"/>
          <w:szCs w:val="21"/>
        </w:rPr>
        <w:t xml:space="preserve"> </w:t>
      </w:r>
      <w:r w:rsidRPr="00CA4352">
        <w:rPr>
          <w:rFonts w:cs="Tahoma"/>
          <w:sz w:val="21"/>
          <w:szCs w:val="21"/>
        </w:rPr>
        <w:t xml:space="preserve">Debêntures; </w:t>
      </w:r>
      <w:r w:rsidRPr="00CA4352">
        <w:rPr>
          <w:rFonts w:cs="Tahoma"/>
          <w:b/>
          <w:sz w:val="21"/>
          <w:szCs w:val="21"/>
        </w:rPr>
        <w:t>(b)</w:t>
      </w:r>
      <w:r w:rsidRPr="00CA4352">
        <w:rPr>
          <w:rFonts w:cs="Tahoma"/>
          <w:sz w:val="21"/>
          <w:szCs w:val="21"/>
        </w:rPr>
        <w:t xml:space="preserve"> a contratação dos Coordenadores para a realização da </w:t>
      </w:r>
      <w:r w:rsidR="00B5061D" w:rsidRPr="00CA4352">
        <w:rPr>
          <w:rFonts w:cs="Tahoma"/>
          <w:sz w:val="21"/>
          <w:szCs w:val="21"/>
        </w:rPr>
        <w:t>Oferta Restrita</w:t>
      </w:r>
      <w:r w:rsidRPr="00CA4352">
        <w:rPr>
          <w:rFonts w:cs="Tahoma"/>
          <w:sz w:val="21"/>
          <w:szCs w:val="21"/>
        </w:rPr>
        <w:t xml:space="preserve">; </w:t>
      </w:r>
      <w:r w:rsidRPr="00CA4352">
        <w:rPr>
          <w:rFonts w:cs="Tahoma"/>
          <w:b/>
          <w:sz w:val="21"/>
          <w:szCs w:val="21"/>
        </w:rPr>
        <w:t>(c)</w:t>
      </w:r>
      <w:r w:rsidRPr="00CA4352">
        <w:rPr>
          <w:rFonts w:cs="Tahoma"/>
          <w:sz w:val="21"/>
          <w:szCs w:val="21"/>
        </w:rPr>
        <w:t xml:space="preserve"> a</w:t>
      </w:r>
      <w:r w:rsidR="00B5061D" w:rsidRPr="00CA4352">
        <w:rPr>
          <w:rFonts w:cs="Tahoma"/>
          <w:sz w:val="21"/>
          <w:szCs w:val="21"/>
        </w:rPr>
        <w:t xml:space="preserve"> </w:t>
      </w:r>
      <w:r w:rsidRPr="00CA4352">
        <w:rPr>
          <w:rFonts w:cs="Tahoma"/>
          <w:sz w:val="21"/>
          <w:szCs w:val="21"/>
        </w:rPr>
        <w:t>contratação dos Prestadores de Serviço, podendo, para tanto, negociar e assinar os</w:t>
      </w:r>
      <w:r w:rsidR="00B5061D" w:rsidRPr="00CA4352">
        <w:rPr>
          <w:rFonts w:cs="Tahoma"/>
          <w:sz w:val="21"/>
          <w:szCs w:val="21"/>
        </w:rPr>
        <w:t xml:space="preserve"> </w:t>
      </w:r>
      <w:r w:rsidRPr="00CA4352">
        <w:rPr>
          <w:rFonts w:cs="Tahoma"/>
          <w:sz w:val="21"/>
          <w:szCs w:val="21"/>
        </w:rPr>
        <w:t xml:space="preserve">respectivos contratos e fixar seus honorários; e </w:t>
      </w:r>
      <w:r w:rsidRPr="00CA4352">
        <w:rPr>
          <w:rFonts w:cs="Tahoma"/>
          <w:b/>
          <w:sz w:val="21"/>
          <w:szCs w:val="21"/>
        </w:rPr>
        <w:t>(d)</w:t>
      </w:r>
      <w:r w:rsidRPr="00CA4352">
        <w:rPr>
          <w:rFonts w:cs="Tahoma"/>
          <w:sz w:val="21"/>
          <w:szCs w:val="21"/>
        </w:rPr>
        <w:t xml:space="preserve"> a celebração de todos os demais</w:t>
      </w:r>
      <w:r w:rsidR="00B5061D" w:rsidRPr="00CA4352">
        <w:rPr>
          <w:rFonts w:cs="Tahoma"/>
          <w:sz w:val="21"/>
          <w:szCs w:val="21"/>
        </w:rPr>
        <w:t xml:space="preserve"> </w:t>
      </w:r>
      <w:r w:rsidRPr="00CA4352">
        <w:rPr>
          <w:rFonts w:cs="Tahoma"/>
          <w:sz w:val="21"/>
          <w:szCs w:val="21"/>
        </w:rPr>
        <w:t>documentos e eventuais aditamentos no âmbito da Emissão;</w:t>
      </w:r>
    </w:p>
    <w:p w14:paraId="0D120AB3" w14:textId="77777777" w:rsidR="00B5061D" w:rsidRPr="00CA4352" w:rsidRDefault="00B5061D" w:rsidP="002D43C4">
      <w:pPr>
        <w:pStyle w:val="PargrafodaLista"/>
        <w:spacing w:line="316" w:lineRule="exact"/>
        <w:ind w:left="1134"/>
        <w:rPr>
          <w:rFonts w:cs="Tahoma"/>
          <w:sz w:val="21"/>
          <w:szCs w:val="21"/>
        </w:rPr>
      </w:pPr>
    </w:p>
    <w:p w14:paraId="08312B47" w14:textId="77777777" w:rsidR="005751F8" w:rsidRPr="00CA4352" w:rsidRDefault="005751F8" w:rsidP="002D43C4">
      <w:pPr>
        <w:pStyle w:val="PargrafodaLista"/>
        <w:numPr>
          <w:ilvl w:val="0"/>
          <w:numId w:val="6"/>
        </w:numPr>
        <w:tabs>
          <w:tab w:val="clear" w:pos="720"/>
          <w:tab w:val="num" w:pos="1134"/>
        </w:tabs>
        <w:spacing w:line="316" w:lineRule="exact"/>
        <w:ind w:left="1134" w:hanging="850"/>
        <w:rPr>
          <w:rFonts w:cs="Tahoma"/>
          <w:sz w:val="21"/>
          <w:szCs w:val="21"/>
        </w:rPr>
      </w:pPr>
      <w:r w:rsidRPr="00CA4352">
        <w:rPr>
          <w:rFonts w:cs="Tahoma"/>
          <w:sz w:val="21"/>
          <w:szCs w:val="21"/>
        </w:rPr>
        <w:t>autorizaram a Diretoria da Companhia a realizar a publicação e o registro dos</w:t>
      </w:r>
      <w:r w:rsidR="00B5061D" w:rsidRPr="00CA4352">
        <w:rPr>
          <w:rFonts w:cs="Tahoma"/>
          <w:sz w:val="21"/>
          <w:szCs w:val="21"/>
        </w:rPr>
        <w:t xml:space="preserve"> </w:t>
      </w:r>
      <w:r w:rsidRPr="00CA4352">
        <w:rPr>
          <w:rFonts w:cs="Tahoma"/>
          <w:sz w:val="21"/>
          <w:szCs w:val="21"/>
        </w:rPr>
        <w:t xml:space="preserve">documentos de natureza societária ou outros relativos à </w:t>
      </w:r>
      <w:r w:rsidR="00B5061D" w:rsidRPr="00CA4352">
        <w:rPr>
          <w:rFonts w:cs="Tahoma"/>
          <w:sz w:val="21"/>
          <w:szCs w:val="21"/>
        </w:rPr>
        <w:t>Oferta Restrita</w:t>
      </w:r>
      <w:r w:rsidRPr="00CA4352">
        <w:rPr>
          <w:rFonts w:cs="Tahoma"/>
          <w:sz w:val="21"/>
          <w:szCs w:val="21"/>
        </w:rPr>
        <w:t xml:space="preserve"> perante os órgãos</w:t>
      </w:r>
      <w:r w:rsidR="00B5061D" w:rsidRPr="00CA4352">
        <w:rPr>
          <w:rFonts w:cs="Tahoma"/>
          <w:sz w:val="21"/>
          <w:szCs w:val="21"/>
        </w:rPr>
        <w:t xml:space="preserve"> </w:t>
      </w:r>
      <w:r w:rsidRPr="00CA4352">
        <w:rPr>
          <w:rFonts w:cs="Tahoma"/>
          <w:sz w:val="21"/>
          <w:szCs w:val="21"/>
        </w:rPr>
        <w:t>competentes e/ou perante a ANBIMA, se for o caso, inclusive realizando o respectivo</w:t>
      </w:r>
      <w:r w:rsidR="00B5061D" w:rsidRPr="00CA4352">
        <w:rPr>
          <w:rFonts w:cs="Tahoma"/>
          <w:sz w:val="21"/>
          <w:szCs w:val="21"/>
        </w:rPr>
        <w:t xml:space="preserve"> </w:t>
      </w:r>
      <w:r w:rsidRPr="00CA4352">
        <w:rPr>
          <w:rFonts w:cs="Tahoma"/>
          <w:sz w:val="21"/>
          <w:szCs w:val="21"/>
        </w:rPr>
        <w:t>pagamento de eventuais taxas que se fizerem necessárias; e</w:t>
      </w:r>
    </w:p>
    <w:p w14:paraId="615609C0" w14:textId="77777777" w:rsidR="00B5061D" w:rsidRPr="00CA4352" w:rsidRDefault="00B5061D" w:rsidP="002D43C4">
      <w:pPr>
        <w:pStyle w:val="PargrafodaLista"/>
        <w:spacing w:line="316" w:lineRule="exact"/>
        <w:ind w:left="1134"/>
        <w:rPr>
          <w:rFonts w:cs="Tahoma"/>
          <w:sz w:val="21"/>
          <w:szCs w:val="21"/>
        </w:rPr>
      </w:pPr>
    </w:p>
    <w:p w14:paraId="3CC0E51D" w14:textId="77777777" w:rsidR="005751F8" w:rsidRPr="00CA4352" w:rsidRDefault="005751F8" w:rsidP="002D43C4">
      <w:pPr>
        <w:pStyle w:val="PargrafodaLista"/>
        <w:numPr>
          <w:ilvl w:val="0"/>
          <w:numId w:val="6"/>
        </w:numPr>
        <w:tabs>
          <w:tab w:val="clear" w:pos="720"/>
          <w:tab w:val="num" w:pos="1134"/>
        </w:tabs>
        <w:spacing w:line="316" w:lineRule="exact"/>
        <w:ind w:left="1134" w:hanging="850"/>
        <w:rPr>
          <w:rFonts w:cs="Tahoma"/>
          <w:sz w:val="21"/>
          <w:szCs w:val="21"/>
        </w:rPr>
      </w:pPr>
      <w:r w:rsidRPr="00CA4352">
        <w:rPr>
          <w:rFonts w:cs="Tahoma"/>
          <w:sz w:val="21"/>
          <w:szCs w:val="21"/>
        </w:rPr>
        <w:t>ratificaram todos os atos anteriores à data desta reunião praticados pela Diretoria da</w:t>
      </w:r>
      <w:r w:rsidR="00B5061D" w:rsidRPr="00CA4352">
        <w:rPr>
          <w:rFonts w:cs="Tahoma"/>
          <w:sz w:val="21"/>
          <w:szCs w:val="21"/>
        </w:rPr>
        <w:t xml:space="preserve"> </w:t>
      </w:r>
      <w:r w:rsidRPr="00CA4352">
        <w:rPr>
          <w:rFonts w:cs="Tahoma"/>
          <w:sz w:val="21"/>
          <w:szCs w:val="21"/>
        </w:rPr>
        <w:t xml:space="preserve">Companhia no âmbito da Emissão e da </w:t>
      </w:r>
      <w:r w:rsidR="00B5061D" w:rsidRPr="00CA4352">
        <w:rPr>
          <w:rFonts w:cs="Tahoma"/>
          <w:sz w:val="21"/>
          <w:szCs w:val="21"/>
        </w:rPr>
        <w:t>Oferta Restrita</w:t>
      </w:r>
      <w:r w:rsidRPr="00CA4352">
        <w:rPr>
          <w:rFonts w:cs="Tahoma"/>
          <w:sz w:val="21"/>
          <w:szCs w:val="21"/>
        </w:rPr>
        <w:t>.</w:t>
      </w:r>
    </w:p>
    <w:p w14:paraId="4F22659F" w14:textId="77777777" w:rsidR="00D7286C" w:rsidRPr="00CA4352" w:rsidRDefault="00D7286C" w:rsidP="002D43C4">
      <w:pPr>
        <w:pStyle w:val="Texto-MattosFilho"/>
        <w:spacing w:line="316" w:lineRule="exact"/>
        <w:rPr>
          <w:rFonts w:cs="Tahoma"/>
          <w:sz w:val="21"/>
          <w:szCs w:val="21"/>
        </w:rPr>
      </w:pPr>
    </w:p>
    <w:p w14:paraId="75A167AA" w14:textId="36EC1ED5" w:rsidR="00D7286C" w:rsidRPr="00CA4352" w:rsidRDefault="00C64ABB" w:rsidP="002D43C4">
      <w:pPr>
        <w:pStyle w:val="PargrafodaLista"/>
        <w:numPr>
          <w:ilvl w:val="0"/>
          <w:numId w:val="4"/>
        </w:numPr>
        <w:tabs>
          <w:tab w:val="clear" w:pos="720"/>
          <w:tab w:val="num" w:pos="1134"/>
        </w:tabs>
        <w:spacing w:line="316" w:lineRule="exact"/>
        <w:ind w:left="0" w:firstLine="0"/>
        <w:contextualSpacing w:val="0"/>
        <w:rPr>
          <w:rFonts w:cs="Tahoma"/>
          <w:b/>
          <w:sz w:val="21"/>
          <w:szCs w:val="21"/>
        </w:rPr>
      </w:pPr>
      <w:r w:rsidRPr="00CA4352">
        <w:rPr>
          <w:rFonts w:cs="Tahoma"/>
          <w:b/>
          <w:sz w:val="21"/>
          <w:szCs w:val="21"/>
          <w:u w:val="single"/>
        </w:rPr>
        <w:t>Encerramento</w:t>
      </w:r>
      <w:r w:rsidR="00D7286C" w:rsidRPr="00CA4352">
        <w:rPr>
          <w:rFonts w:cs="Tahoma"/>
          <w:b/>
          <w:sz w:val="21"/>
          <w:szCs w:val="21"/>
          <w:u w:val="single"/>
        </w:rPr>
        <w:t>:</w:t>
      </w:r>
      <w:r w:rsidR="00D7286C" w:rsidRPr="00CA4352">
        <w:rPr>
          <w:rFonts w:cs="Tahoma"/>
          <w:sz w:val="21"/>
          <w:szCs w:val="21"/>
        </w:rPr>
        <w:t xml:space="preserve"> Foi oferecida a palavra a quem dela quisesse fazer uso, e como ninguém o fez, foram encerrados os trabalhos e suspensa a reunião pelo tempo necessário à lavratura desta ata em livro próprio. Reaberta a sessão, foi a ata lida, aprovada e assinada por todos os presentes. </w:t>
      </w:r>
      <w:r w:rsidR="00D7286C" w:rsidRPr="00CA4352">
        <w:rPr>
          <w:rFonts w:cs="Tahoma"/>
          <w:sz w:val="21"/>
          <w:szCs w:val="21"/>
          <w:u w:val="single"/>
        </w:rPr>
        <w:t>Mesa</w:t>
      </w:r>
      <w:r w:rsidR="00D7286C" w:rsidRPr="00CA4352">
        <w:rPr>
          <w:rFonts w:cs="Tahoma"/>
          <w:sz w:val="21"/>
          <w:szCs w:val="21"/>
        </w:rPr>
        <w:t xml:space="preserve">: </w:t>
      </w:r>
      <w:r w:rsidR="000B290B" w:rsidRPr="00CA4352">
        <w:rPr>
          <w:rFonts w:cs="Tahoma"/>
          <w:sz w:val="21"/>
          <w:szCs w:val="21"/>
        </w:rPr>
        <w:t>[</w:t>
      </w:r>
      <w:r w:rsidR="007752AD" w:rsidRPr="00CA4352">
        <w:rPr>
          <w:rFonts w:cs="Tahoma"/>
          <w:sz w:val="21"/>
          <w:szCs w:val="21"/>
        </w:rPr>
        <w:t>David Zylbersztajn</w:t>
      </w:r>
      <w:r w:rsidR="000B290B" w:rsidRPr="00CA4352">
        <w:rPr>
          <w:rFonts w:cs="Tahoma"/>
          <w:sz w:val="21"/>
          <w:szCs w:val="21"/>
        </w:rPr>
        <w:t>]</w:t>
      </w:r>
      <w:r w:rsidR="00D7286C" w:rsidRPr="00CA4352">
        <w:rPr>
          <w:rFonts w:cs="Tahoma"/>
          <w:b/>
          <w:sz w:val="21"/>
          <w:szCs w:val="21"/>
        </w:rPr>
        <w:t xml:space="preserve"> </w:t>
      </w:r>
      <w:r w:rsidR="00D7286C" w:rsidRPr="00CA4352">
        <w:rPr>
          <w:rFonts w:cs="Tahoma"/>
          <w:sz w:val="21"/>
          <w:szCs w:val="21"/>
        </w:rPr>
        <w:t xml:space="preserve">– Presidente; e </w:t>
      </w:r>
      <w:r w:rsidR="000B290B" w:rsidRPr="00CA4352">
        <w:rPr>
          <w:rFonts w:cs="Tahoma"/>
          <w:sz w:val="21"/>
          <w:szCs w:val="21"/>
        </w:rPr>
        <w:t>[</w:t>
      </w:r>
      <w:r w:rsidR="007752AD" w:rsidRPr="00CA4352">
        <w:rPr>
          <w:rFonts w:cs="Tahoma"/>
          <w:sz w:val="21"/>
          <w:szCs w:val="21"/>
        </w:rPr>
        <w:t xml:space="preserve">Paula Regina </w:t>
      </w:r>
      <w:proofErr w:type="spellStart"/>
      <w:r w:rsidR="007752AD" w:rsidRPr="00CA4352">
        <w:rPr>
          <w:rFonts w:cs="Tahoma"/>
          <w:sz w:val="21"/>
          <w:szCs w:val="21"/>
        </w:rPr>
        <w:t>Novello</w:t>
      </w:r>
      <w:proofErr w:type="spellEnd"/>
      <w:r w:rsidR="007752AD" w:rsidRPr="00CA4352">
        <w:rPr>
          <w:rFonts w:cs="Tahoma"/>
          <w:sz w:val="21"/>
          <w:szCs w:val="21"/>
        </w:rPr>
        <w:t xml:space="preserve"> Cury</w:t>
      </w:r>
      <w:r w:rsidR="000B290B" w:rsidRPr="00CA4352">
        <w:rPr>
          <w:rFonts w:cs="Tahoma"/>
          <w:sz w:val="21"/>
          <w:szCs w:val="21"/>
        </w:rPr>
        <w:t>]</w:t>
      </w:r>
      <w:r w:rsidR="007752AD" w:rsidRPr="00CA4352">
        <w:rPr>
          <w:rFonts w:cs="Tahoma"/>
          <w:sz w:val="21"/>
          <w:szCs w:val="21"/>
        </w:rPr>
        <w:t xml:space="preserve"> – Secretária</w:t>
      </w:r>
      <w:r w:rsidR="00D7286C" w:rsidRPr="00CA4352">
        <w:rPr>
          <w:rFonts w:cs="Tahoma"/>
          <w:sz w:val="21"/>
          <w:szCs w:val="21"/>
        </w:rPr>
        <w:t xml:space="preserve">. </w:t>
      </w:r>
      <w:r w:rsidR="00D7286C" w:rsidRPr="00CA4352">
        <w:rPr>
          <w:rFonts w:cs="Tahoma"/>
          <w:sz w:val="21"/>
          <w:szCs w:val="21"/>
          <w:u w:val="single"/>
        </w:rPr>
        <w:t>Conselheiros Presentes</w:t>
      </w:r>
      <w:r w:rsidR="00D7286C" w:rsidRPr="00CA4352">
        <w:rPr>
          <w:rFonts w:cs="Tahoma"/>
          <w:sz w:val="21"/>
          <w:szCs w:val="21"/>
        </w:rPr>
        <w:t xml:space="preserve">: </w:t>
      </w:r>
      <w:r w:rsidR="000B290B" w:rsidRPr="00CA4352">
        <w:rPr>
          <w:rFonts w:cs="Tahoma"/>
          <w:sz w:val="21"/>
          <w:szCs w:val="21"/>
        </w:rPr>
        <w:t>[</w:t>
      </w:r>
      <w:r w:rsidR="00290351" w:rsidRPr="00CA4352">
        <w:rPr>
          <w:rFonts w:cs="Tahoma"/>
          <w:sz w:val="21"/>
          <w:szCs w:val="21"/>
        </w:rPr>
        <w:t xml:space="preserve">David Zylbersztajn, Presidente da Mesa, Ricardo </w:t>
      </w:r>
      <w:proofErr w:type="spellStart"/>
      <w:r w:rsidR="00290351" w:rsidRPr="00CA4352">
        <w:rPr>
          <w:rFonts w:cs="Tahoma"/>
          <w:sz w:val="21"/>
          <w:szCs w:val="21"/>
        </w:rPr>
        <w:t>Reisen</w:t>
      </w:r>
      <w:proofErr w:type="spellEnd"/>
      <w:r w:rsidR="00290351" w:rsidRPr="00CA4352">
        <w:rPr>
          <w:rFonts w:cs="Tahoma"/>
          <w:sz w:val="21"/>
          <w:szCs w:val="21"/>
        </w:rPr>
        <w:t xml:space="preserve"> de Pinho, Afonso Henriques Moreira Santos, </w:t>
      </w:r>
      <w:proofErr w:type="spellStart"/>
      <w:r w:rsidR="00290351" w:rsidRPr="00CA4352">
        <w:rPr>
          <w:rFonts w:cs="Tahoma"/>
          <w:sz w:val="21"/>
          <w:szCs w:val="21"/>
        </w:rPr>
        <w:t>Antonio</w:t>
      </w:r>
      <w:proofErr w:type="spellEnd"/>
      <w:r w:rsidR="00290351" w:rsidRPr="00CA4352">
        <w:rPr>
          <w:rFonts w:cs="Tahoma"/>
          <w:sz w:val="21"/>
          <w:szCs w:val="21"/>
        </w:rPr>
        <w:t xml:space="preserve"> Rodrigues dos Santos e Junqueira, </w:t>
      </w:r>
      <w:proofErr w:type="spellStart"/>
      <w:r w:rsidR="00290351" w:rsidRPr="00CA4352">
        <w:rPr>
          <w:rFonts w:cs="Tahoma"/>
          <w:sz w:val="21"/>
          <w:szCs w:val="21"/>
        </w:rPr>
        <w:t>Doris</w:t>
      </w:r>
      <w:proofErr w:type="spellEnd"/>
      <w:r w:rsidR="00290351" w:rsidRPr="00CA4352">
        <w:rPr>
          <w:rFonts w:cs="Tahoma"/>
          <w:sz w:val="21"/>
          <w:szCs w:val="21"/>
        </w:rPr>
        <w:t xml:space="preserve"> Beatriz França Wilhelm, Raphael </w:t>
      </w:r>
      <w:proofErr w:type="spellStart"/>
      <w:r w:rsidR="00290351" w:rsidRPr="00CA4352">
        <w:rPr>
          <w:rFonts w:cs="Tahoma"/>
          <w:sz w:val="21"/>
          <w:szCs w:val="21"/>
        </w:rPr>
        <w:t>Manhães</w:t>
      </w:r>
      <w:proofErr w:type="spellEnd"/>
      <w:r w:rsidR="00290351" w:rsidRPr="00CA4352">
        <w:rPr>
          <w:rFonts w:cs="Tahoma"/>
          <w:sz w:val="21"/>
          <w:szCs w:val="21"/>
        </w:rPr>
        <w:t xml:space="preserve"> Martins. Justificada a ausência do Conselheiro Carlos Alberto da Cruz</w:t>
      </w:r>
      <w:r w:rsidR="000B290B" w:rsidRPr="00CA4352">
        <w:rPr>
          <w:rFonts w:cs="Tahoma"/>
          <w:sz w:val="21"/>
          <w:szCs w:val="21"/>
        </w:rPr>
        <w:t>]</w:t>
      </w:r>
      <w:r w:rsidR="00D7286C" w:rsidRPr="00CA4352">
        <w:rPr>
          <w:rFonts w:cs="Tahoma"/>
          <w:sz w:val="21"/>
          <w:szCs w:val="21"/>
        </w:rPr>
        <w:t xml:space="preserve">. </w:t>
      </w:r>
    </w:p>
    <w:p w14:paraId="4C12DBF8" w14:textId="77777777" w:rsidR="00D7286C" w:rsidRPr="00CA4352" w:rsidRDefault="00D7286C" w:rsidP="002D43C4">
      <w:pPr>
        <w:pStyle w:val="Texto-MattosFilho"/>
        <w:spacing w:line="316" w:lineRule="exact"/>
        <w:rPr>
          <w:rFonts w:cs="Tahoma"/>
          <w:sz w:val="21"/>
          <w:szCs w:val="21"/>
        </w:rPr>
      </w:pPr>
    </w:p>
    <w:p w14:paraId="0A8D92A3" w14:textId="6FDEBA84" w:rsidR="00D7286C" w:rsidRPr="00CA4352" w:rsidRDefault="002962F0" w:rsidP="002D43C4">
      <w:pPr>
        <w:pStyle w:val="Texto-MattosFilho"/>
        <w:spacing w:line="316" w:lineRule="exact"/>
        <w:jc w:val="center"/>
        <w:rPr>
          <w:rFonts w:cs="Tahoma"/>
          <w:sz w:val="21"/>
          <w:szCs w:val="21"/>
        </w:rPr>
      </w:pPr>
      <w:r w:rsidRPr="00CA4352">
        <w:rPr>
          <w:rFonts w:cs="Tahoma"/>
          <w:sz w:val="21"/>
          <w:szCs w:val="21"/>
        </w:rPr>
        <w:t>Rio de Janeiro</w:t>
      </w:r>
      <w:r w:rsidR="00D7286C" w:rsidRPr="00CA4352">
        <w:rPr>
          <w:rFonts w:cs="Tahoma"/>
          <w:sz w:val="21"/>
          <w:szCs w:val="21"/>
        </w:rPr>
        <w:t xml:space="preserve">, </w:t>
      </w:r>
      <w:r w:rsidR="0014345E" w:rsidRPr="00CA4352">
        <w:rPr>
          <w:rFonts w:cs="Tahoma"/>
          <w:sz w:val="21"/>
          <w:szCs w:val="21"/>
        </w:rPr>
        <w:t>[•]</w:t>
      </w:r>
      <w:r w:rsidR="000B290B" w:rsidRPr="00CA4352">
        <w:rPr>
          <w:rFonts w:cs="Tahoma"/>
          <w:sz w:val="21"/>
          <w:szCs w:val="21"/>
        </w:rPr>
        <w:t xml:space="preserve"> de [março] de 2020</w:t>
      </w:r>
      <w:r w:rsidR="00D7286C" w:rsidRPr="00CA4352">
        <w:rPr>
          <w:rFonts w:cs="Tahoma"/>
          <w:sz w:val="21"/>
          <w:szCs w:val="21"/>
        </w:rPr>
        <w:t>.</w:t>
      </w:r>
      <w:r w:rsidR="00176BC2" w:rsidRPr="00CA4352">
        <w:rPr>
          <w:rFonts w:cs="Tahoma"/>
          <w:sz w:val="21"/>
          <w:szCs w:val="21"/>
        </w:rPr>
        <w:t xml:space="preserve"> </w:t>
      </w:r>
    </w:p>
    <w:p w14:paraId="743F2D03" w14:textId="77777777" w:rsidR="00C64ABB" w:rsidRPr="00CA4352" w:rsidRDefault="00C64ABB" w:rsidP="002D43C4">
      <w:pPr>
        <w:pStyle w:val="Texto-MattosFilho"/>
        <w:spacing w:line="316" w:lineRule="exact"/>
        <w:jc w:val="center"/>
        <w:rPr>
          <w:rFonts w:cs="Tahoma"/>
          <w:sz w:val="21"/>
          <w:szCs w:val="21"/>
        </w:rPr>
      </w:pPr>
    </w:p>
    <w:p w14:paraId="36AEB5F7" w14:textId="77777777" w:rsidR="00D7286C" w:rsidRPr="00CA4352" w:rsidRDefault="00D7286C" w:rsidP="002D43C4">
      <w:pPr>
        <w:spacing w:line="316" w:lineRule="exact"/>
        <w:jc w:val="center"/>
        <w:rPr>
          <w:rFonts w:cs="Tahoma"/>
          <w:sz w:val="21"/>
          <w:szCs w:val="21"/>
        </w:rPr>
      </w:pPr>
      <w:r w:rsidRPr="00CA4352">
        <w:rPr>
          <w:rFonts w:cs="Tahoma"/>
          <w:sz w:val="21"/>
          <w:szCs w:val="21"/>
        </w:rPr>
        <w:t>Confere com a original, lavrada em livro próprio.</w:t>
      </w:r>
    </w:p>
    <w:p w14:paraId="67879188" w14:textId="77777777" w:rsidR="00D7286C" w:rsidRPr="00CA4352" w:rsidRDefault="00D7286C" w:rsidP="002D43C4">
      <w:pPr>
        <w:spacing w:line="316" w:lineRule="exact"/>
        <w:rPr>
          <w:rFonts w:cs="Tahoma"/>
          <w:b/>
          <w:sz w:val="21"/>
          <w:szCs w:val="21"/>
          <w:u w:val="single"/>
        </w:rPr>
      </w:pPr>
    </w:p>
    <w:p w14:paraId="56E6EF36" w14:textId="77777777" w:rsidR="00D7286C" w:rsidRPr="00CA4352" w:rsidRDefault="00D7286C" w:rsidP="002D43C4">
      <w:pPr>
        <w:spacing w:line="316" w:lineRule="exact"/>
        <w:rPr>
          <w:rFonts w:cs="Tahoma"/>
          <w:b/>
          <w:sz w:val="21"/>
          <w:szCs w:val="21"/>
          <w:u w:val="single"/>
        </w:rPr>
      </w:pPr>
      <w:r w:rsidRPr="00CA4352">
        <w:rPr>
          <w:rFonts w:cs="Tahoma"/>
          <w:b/>
          <w:sz w:val="21"/>
          <w:szCs w:val="21"/>
          <w:u w:val="single"/>
        </w:rPr>
        <w:t>Mesa:</w:t>
      </w:r>
    </w:p>
    <w:p w14:paraId="7473DE87" w14:textId="77777777" w:rsidR="00C64ABB" w:rsidRPr="00CA4352" w:rsidRDefault="00C64ABB" w:rsidP="002D43C4">
      <w:pPr>
        <w:pStyle w:val="Texto-MattosFilho"/>
        <w:spacing w:line="316" w:lineRule="exact"/>
        <w:rPr>
          <w:rFonts w:cs="Tahoma"/>
          <w:sz w:val="21"/>
          <w:szCs w:val="21"/>
        </w:rPr>
      </w:pPr>
    </w:p>
    <w:p w14:paraId="1C2CE12C" w14:textId="77777777" w:rsidR="00D7286C" w:rsidRPr="00CA4352" w:rsidRDefault="00D7286C" w:rsidP="002D43C4">
      <w:pPr>
        <w:spacing w:line="316" w:lineRule="exact"/>
        <w:rPr>
          <w:rFonts w:cs="Tahoma"/>
          <w:b/>
          <w:sz w:val="21"/>
          <w:szCs w:val="21"/>
          <w:u w:val="single"/>
        </w:rPr>
      </w:pPr>
    </w:p>
    <w:p w14:paraId="00C71FD8" w14:textId="77777777" w:rsidR="00D7286C" w:rsidRPr="00CA4352" w:rsidRDefault="00D7286C" w:rsidP="002D43C4">
      <w:pPr>
        <w:spacing w:line="316" w:lineRule="exact"/>
        <w:rPr>
          <w:rFonts w:cs="Tahoma"/>
          <w:b/>
          <w:sz w:val="21"/>
          <w:szCs w:val="21"/>
          <w:u w:val="single"/>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14078A" w:rsidRPr="00CA4352" w14:paraId="63EF7B63" w14:textId="77777777" w:rsidTr="00C64ABB">
        <w:trPr>
          <w:cantSplit/>
          <w:jc w:val="center"/>
        </w:trPr>
        <w:tc>
          <w:tcPr>
            <w:tcW w:w="4253" w:type="dxa"/>
            <w:tcBorders>
              <w:top w:val="single" w:sz="6" w:space="0" w:color="auto"/>
            </w:tcBorders>
          </w:tcPr>
          <w:p w14:paraId="27915A41" w14:textId="3CF0F472" w:rsidR="00D7286C" w:rsidRPr="00CA4352" w:rsidRDefault="000B290B" w:rsidP="002D43C4">
            <w:pPr>
              <w:tabs>
                <w:tab w:val="left" w:pos="1560"/>
              </w:tabs>
              <w:spacing w:line="316" w:lineRule="exact"/>
              <w:jc w:val="center"/>
              <w:rPr>
                <w:rFonts w:cs="Tahoma"/>
                <w:sz w:val="21"/>
                <w:szCs w:val="21"/>
              </w:rPr>
            </w:pPr>
            <w:r w:rsidRPr="00CA4352">
              <w:rPr>
                <w:rFonts w:cs="Tahoma"/>
                <w:sz w:val="21"/>
                <w:szCs w:val="21"/>
              </w:rPr>
              <w:t>[</w:t>
            </w:r>
            <w:r w:rsidR="007752AD" w:rsidRPr="00CA4352">
              <w:rPr>
                <w:rFonts w:cs="Tahoma"/>
                <w:sz w:val="21"/>
                <w:szCs w:val="21"/>
              </w:rPr>
              <w:t>David Zylbersztajn</w:t>
            </w:r>
            <w:r w:rsidRPr="00CA4352">
              <w:rPr>
                <w:rFonts w:cs="Tahoma"/>
                <w:sz w:val="21"/>
                <w:szCs w:val="21"/>
              </w:rPr>
              <w:t>]</w:t>
            </w:r>
          </w:p>
          <w:p w14:paraId="67345D69" w14:textId="19BD4B94" w:rsidR="00D7286C" w:rsidRPr="00CA4352" w:rsidRDefault="00D7286C" w:rsidP="002D43C4">
            <w:pPr>
              <w:tabs>
                <w:tab w:val="left" w:pos="1560"/>
              </w:tabs>
              <w:spacing w:line="316" w:lineRule="exact"/>
              <w:jc w:val="center"/>
              <w:rPr>
                <w:rFonts w:cs="Tahoma"/>
                <w:sz w:val="21"/>
                <w:szCs w:val="21"/>
              </w:rPr>
            </w:pPr>
            <w:r w:rsidRPr="00CA4352">
              <w:rPr>
                <w:rFonts w:cs="Tahoma"/>
                <w:sz w:val="21"/>
                <w:szCs w:val="21"/>
              </w:rPr>
              <w:t>Presidente</w:t>
            </w:r>
          </w:p>
        </w:tc>
        <w:tc>
          <w:tcPr>
            <w:tcW w:w="567" w:type="dxa"/>
          </w:tcPr>
          <w:p w14:paraId="5EF060C8" w14:textId="77777777" w:rsidR="00D7286C" w:rsidRPr="00CA4352" w:rsidRDefault="00D7286C" w:rsidP="002D43C4">
            <w:pPr>
              <w:spacing w:line="316" w:lineRule="exact"/>
              <w:rPr>
                <w:rFonts w:cs="Tahoma"/>
                <w:sz w:val="21"/>
                <w:szCs w:val="21"/>
              </w:rPr>
            </w:pPr>
          </w:p>
        </w:tc>
        <w:tc>
          <w:tcPr>
            <w:tcW w:w="4253" w:type="dxa"/>
            <w:tcBorders>
              <w:top w:val="single" w:sz="6" w:space="0" w:color="auto"/>
            </w:tcBorders>
          </w:tcPr>
          <w:p w14:paraId="0E403ED1" w14:textId="0207E554" w:rsidR="00D7286C" w:rsidRPr="00CA4352" w:rsidRDefault="000B290B" w:rsidP="002D43C4">
            <w:pPr>
              <w:spacing w:line="316" w:lineRule="exact"/>
              <w:jc w:val="center"/>
              <w:rPr>
                <w:rFonts w:cs="Tahoma"/>
                <w:sz w:val="21"/>
                <w:szCs w:val="21"/>
              </w:rPr>
            </w:pPr>
            <w:r w:rsidRPr="00CA4352">
              <w:rPr>
                <w:rFonts w:cs="Tahoma"/>
                <w:sz w:val="21"/>
                <w:szCs w:val="21"/>
              </w:rPr>
              <w:t>[</w:t>
            </w:r>
            <w:r w:rsidR="007752AD" w:rsidRPr="00CA4352">
              <w:rPr>
                <w:rFonts w:cs="Tahoma"/>
                <w:sz w:val="21"/>
                <w:szCs w:val="21"/>
              </w:rPr>
              <w:t xml:space="preserve">Paula Regina </w:t>
            </w:r>
            <w:proofErr w:type="spellStart"/>
            <w:r w:rsidR="007752AD" w:rsidRPr="00CA4352">
              <w:rPr>
                <w:rFonts w:cs="Tahoma"/>
                <w:sz w:val="21"/>
                <w:szCs w:val="21"/>
              </w:rPr>
              <w:t>Novello</w:t>
            </w:r>
            <w:proofErr w:type="spellEnd"/>
            <w:r w:rsidR="007752AD" w:rsidRPr="00CA4352">
              <w:rPr>
                <w:rFonts w:cs="Tahoma"/>
                <w:sz w:val="21"/>
                <w:szCs w:val="21"/>
              </w:rPr>
              <w:t xml:space="preserve"> Cury</w:t>
            </w:r>
            <w:r w:rsidRPr="00CA4352">
              <w:rPr>
                <w:rFonts w:cs="Tahoma"/>
                <w:sz w:val="21"/>
                <w:szCs w:val="21"/>
              </w:rPr>
              <w:t>]</w:t>
            </w:r>
          </w:p>
          <w:p w14:paraId="774D1A1B" w14:textId="31EDE24A" w:rsidR="00D7286C" w:rsidRPr="00CA4352" w:rsidRDefault="00D7286C" w:rsidP="002D43C4">
            <w:pPr>
              <w:spacing w:line="316" w:lineRule="exact"/>
              <w:jc w:val="center"/>
              <w:rPr>
                <w:rFonts w:cs="Tahoma"/>
                <w:sz w:val="21"/>
                <w:szCs w:val="21"/>
              </w:rPr>
            </w:pPr>
            <w:r w:rsidRPr="00CA4352">
              <w:rPr>
                <w:rFonts w:cs="Tahoma"/>
                <w:sz w:val="21"/>
                <w:szCs w:val="21"/>
              </w:rPr>
              <w:t>Secretári</w:t>
            </w:r>
            <w:r w:rsidR="007752AD" w:rsidRPr="00CA4352">
              <w:rPr>
                <w:rFonts w:cs="Tahoma"/>
                <w:sz w:val="21"/>
                <w:szCs w:val="21"/>
              </w:rPr>
              <w:t>a</w:t>
            </w:r>
          </w:p>
        </w:tc>
      </w:tr>
    </w:tbl>
    <w:p w14:paraId="1C833A0F" w14:textId="77777777" w:rsidR="003B081D" w:rsidRPr="00CA4352" w:rsidRDefault="003B081D" w:rsidP="002D43C4">
      <w:pPr>
        <w:pStyle w:val="Texto-MattosFilho"/>
        <w:spacing w:line="316" w:lineRule="exact"/>
        <w:rPr>
          <w:rFonts w:cs="Tahoma"/>
          <w:sz w:val="21"/>
          <w:szCs w:val="21"/>
        </w:rPr>
      </w:pPr>
    </w:p>
    <w:sectPr w:rsidR="003B081D" w:rsidRPr="00CA4352" w:rsidSect="00543EA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84CAE" w14:textId="77777777" w:rsidR="0014078A" w:rsidRDefault="0014078A">
      <w:r>
        <w:separator/>
      </w:r>
    </w:p>
  </w:endnote>
  <w:endnote w:type="continuationSeparator" w:id="0">
    <w:p w14:paraId="691D1230" w14:textId="77777777" w:rsidR="0014078A" w:rsidRDefault="0014078A">
      <w:r>
        <w:continuationSeparator/>
      </w:r>
    </w:p>
  </w:endnote>
  <w:endnote w:type="continuationNotice" w:id="1">
    <w:p w14:paraId="58CDC311" w14:textId="77777777" w:rsidR="0014078A" w:rsidRDefault="001407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6FB9B" w14:textId="77777777" w:rsidR="00543EAF" w:rsidRDefault="00543EA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627037"/>
      <w:docPartObj>
        <w:docPartGallery w:val="Page Numbers (Bottom of Page)"/>
        <w:docPartUnique/>
      </w:docPartObj>
    </w:sdtPr>
    <w:sdtEndPr>
      <w:rPr>
        <w:sz w:val="19"/>
        <w:szCs w:val="19"/>
      </w:rPr>
    </w:sdtEndPr>
    <w:sdtContent>
      <w:p w14:paraId="715712B6" w14:textId="58DE4339" w:rsidR="0014078A" w:rsidRPr="008F754B" w:rsidRDefault="0014078A">
        <w:pPr>
          <w:pStyle w:val="Rodap"/>
          <w:jc w:val="right"/>
          <w:rPr>
            <w:sz w:val="19"/>
            <w:szCs w:val="19"/>
          </w:rPr>
        </w:pPr>
        <w:r w:rsidRPr="008F754B">
          <w:rPr>
            <w:sz w:val="19"/>
            <w:szCs w:val="19"/>
          </w:rPr>
          <w:fldChar w:fldCharType="begin"/>
        </w:r>
        <w:r w:rsidRPr="008F754B">
          <w:rPr>
            <w:sz w:val="19"/>
            <w:szCs w:val="19"/>
          </w:rPr>
          <w:instrText>PAGE   \* MERGEFORMAT</w:instrText>
        </w:r>
        <w:r w:rsidRPr="008F754B">
          <w:rPr>
            <w:sz w:val="19"/>
            <w:szCs w:val="19"/>
          </w:rPr>
          <w:fldChar w:fldCharType="separate"/>
        </w:r>
        <w:r>
          <w:rPr>
            <w:noProof/>
            <w:sz w:val="19"/>
            <w:szCs w:val="19"/>
          </w:rPr>
          <w:t>13</w:t>
        </w:r>
        <w:r w:rsidRPr="008F754B">
          <w:rPr>
            <w:sz w:val="19"/>
            <w:szCs w:val="19"/>
          </w:rPr>
          <w:fldChar w:fldCharType="end"/>
        </w:r>
      </w:p>
    </w:sdtContent>
  </w:sdt>
  <w:p w14:paraId="038E0793" w14:textId="32DAF25D" w:rsidR="00543EAF" w:rsidRDefault="00543EAF" w:rsidP="00543EAF">
    <w:pPr>
      <w:pStyle w:val="Rodap"/>
      <w:jc w:val="left"/>
      <w:rPr>
        <w:rFonts w:cs="Tahoma"/>
        <w:color w:val="FFFFFF" w:themeColor="background1"/>
        <w:sz w:val="12"/>
      </w:rPr>
    </w:pPr>
    <w:r>
      <w:rPr>
        <w:rFonts w:cs="Tahoma"/>
        <w:color w:val="FFFFFF" w:themeColor="background1"/>
        <w:sz w:val="12"/>
      </w:rPr>
      <w:fldChar w:fldCharType="begin"/>
    </w:r>
    <w:r>
      <w:rPr>
        <w:rFonts w:cs="Tahoma"/>
        <w:color w:val="FFFFFF" w:themeColor="background1"/>
        <w:sz w:val="12"/>
      </w:rPr>
      <w:instrText xml:space="preserve"> DOCPROPERTY "iManageFooter"  \* MERGEFORMAT </w:instrText>
    </w:r>
    <w:r>
      <w:rPr>
        <w:rFonts w:cs="Tahoma"/>
        <w:color w:val="FFFFFF" w:themeColor="background1"/>
        <w:sz w:val="12"/>
      </w:rPr>
      <w:fldChar w:fldCharType="separate"/>
    </w:r>
  </w:p>
  <w:p w14:paraId="3475B1F9" w14:textId="7AC53910" w:rsidR="0014078A" w:rsidRPr="00543EAF" w:rsidRDefault="00543EAF" w:rsidP="00543EAF">
    <w:pPr>
      <w:pStyle w:val="Rodap"/>
      <w:jc w:val="left"/>
      <w:rPr>
        <w:rFonts w:cs="Tahoma"/>
        <w:color w:val="FFFFFF" w:themeColor="background1"/>
        <w:sz w:val="12"/>
      </w:rPr>
    </w:pPr>
    <w:r>
      <w:rPr>
        <w:rFonts w:cs="Tahoma"/>
        <w:color w:val="FFFFFF" w:themeColor="background1"/>
        <w:sz w:val="12"/>
      </w:rPr>
      <w:t xml:space="preserve">SP - 27592607v1 </w:t>
    </w:r>
    <w:r>
      <w:rPr>
        <w:rFonts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D3ABC" w14:textId="0298BDB3" w:rsidR="00543EAF" w:rsidRDefault="00543EAF" w:rsidP="00543EAF">
    <w:pPr>
      <w:pStyle w:val="Rodap"/>
      <w:jc w:val="left"/>
      <w:rPr>
        <w:rFonts w:cs="Tahoma"/>
        <w:sz w:val="12"/>
        <w:szCs w:val="18"/>
      </w:rPr>
    </w:pPr>
    <w:r>
      <w:rPr>
        <w:rFonts w:cs="Tahoma"/>
        <w:sz w:val="12"/>
        <w:szCs w:val="18"/>
      </w:rPr>
      <w:fldChar w:fldCharType="begin"/>
    </w:r>
    <w:r>
      <w:rPr>
        <w:rFonts w:cs="Tahoma"/>
        <w:sz w:val="12"/>
        <w:szCs w:val="18"/>
      </w:rPr>
      <w:instrText xml:space="preserve"> DOCPROPERTY "iManageFooter"  \* MERGEFORMAT </w:instrText>
    </w:r>
    <w:r>
      <w:rPr>
        <w:rFonts w:cs="Tahoma"/>
        <w:sz w:val="12"/>
        <w:szCs w:val="18"/>
      </w:rPr>
      <w:fldChar w:fldCharType="separate"/>
    </w:r>
  </w:p>
  <w:p w14:paraId="70298782" w14:textId="7D232EC3" w:rsidR="0014078A" w:rsidRPr="00543EAF" w:rsidRDefault="00543EAF" w:rsidP="00543EAF">
    <w:pPr>
      <w:pStyle w:val="Rodap"/>
      <w:jc w:val="left"/>
      <w:rPr>
        <w:rFonts w:cs="Tahoma"/>
        <w:sz w:val="12"/>
        <w:szCs w:val="18"/>
      </w:rPr>
    </w:pPr>
    <w:r>
      <w:rPr>
        <w:rFonts w:cs="Tahoma"/>
        <w:sz w:val="12"/>
        <w:szCs w:val="18"/>
      </w:rPr>
      <w:t xml:space="preserve">SP - 27592607v1 </w:t>
    </w:r>
    <w:r>
      <w:rPr>
        <w:rFonts w:cs="Tahoma"/>
        <w:sz w:val="12"/>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4751D" w14:textId="77777777" w:rsidR="0014078A" w:rsidRDefault="0014078A">
      <w:r>
        <w:separator/>
      </w:r>
    </w:p>
  </w:footnote>
  <w:footnote w:type="continuationSeparator" w:id="0">
    <w:p w14:paraId="1B5C4A19" w14:textId="77777777" w:rsidR="0014078A" w:rsidRDefault="0014078A">
      <w:r>
        <w:continuationSeparator/>
      </w:r>
    </w:p>
  </w:footnote>
  <w:footnote w:type="continuationNotice" w:id="1">
    <w:p w14:paraId="37E8A38D" w14:textId="77777777" w:rsidR="0014078A" w:rsidRDefault="0014078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CCBD5" w14:textId="77777777" w:rsidR="00543EAF" w:rsidRDefault="00543EA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63778" w14:textId="77777777" w:rsidR="00543EAF" w:rsidRDefault="00543EA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24EDE" w14:textId="0C004D0E" w:rsidR="0014078A" w:rsidRDefault="0014078A" w:rsidP="002D43C4">
    <w:pPr>
      <w:pStyle w:val="Cabealho"/>
      <w:jc w:val="right"/>
      <w:rPr>
        <w:i/>
        <w:sz w:val="21"/>
        <w:szCs w:val="21"/>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08F7"/>
    <w:multiLevelType w:val="hybridMultilevel"/>
    <w:tmpl w:val="13342784"/>
    <w:lvl w:ilvl="0" w:tplc="6E4A7B8E">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27881"/>
    <w:multiLevelType w:val="hybridMultilevel"/>
    <w:tmpl w:val="83BEB2C2"/>
    <w:lvl w:ilvl="0" w:tplc="4BFEBFCA">
      <w:start w:val="1"/>
      <w:numFmt w:val="lowerRoman"/>
      <w:lvlText w:val="(%1)"/>
      <w:lvlJc w:val="left"/>
      <w:pPr>
        <w:ind w:left="1080" w:hanging="720"/>
      </w:pPr>
      <w:rPr>
        <w:rFonts w:ascii="Tahoma" w:eastAsia="Calibri" w:hAnsi="Tahoma" w:cs="Tahoma"/>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4" w15:restartNumberingAfterBreak="0">
    <w:nsid w:val="2122505F"/>
    <w:multiLevelType w:val="hybridMultilevel"/>
    <w:tmpl w:val="3754FB48"/>
    <w:lvl w:ilvl="0" w:tplc="2784719A">
      <w:start w:val="1"/>
      <w:numFmt w:val="decimal"/>
      <w:lvlText w:val="%1."/>
      <w:lvlJc w:val="left"/>
      <w:pPr>
        <w:tabs>
          <w:tab w:val="num" w:pos="720"/>
        </w:tabs>
        <w:ind w:left="720" w:hanging="360"/>
      </w:pPr>
      <w:rPr>
        <w:rFonts w:hint="default"/>
        <w:b/>
      </w:rPr>
    </w:lvl>
    <w:lvl w:ilvl="1" w:tplc="82FC6B10">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491A28"/>
    <w:multiLevelType w:val="hybridMultilevel"/>
    <w:tmpl w:val="49662D8A"/>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CC5440"/>
    <w:multiLevelType w:val="hybridMultilevel"/>
    <w:tmpl w:val="D3B08FA6"/>
    <w:lvl w:ilvl="0" w:tplc="34E47B68">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4742A4A"/>
    <w:multiLevelType w:val="hybridMultilevel"/>
    <w:tmpl w:val="782A7842"/>
    <w:lvl w:ilvl="0" w:tplc="ED961EAC">
      <w:start w:val="1"/>
      <w:numFmt w:val="upperRoman"/>
      <w:lvlText w:val="(%1)"/>
      <w:lvlJc w:val="left"/>
      <w:pPr>
        <w:ind w:left="1080" w:hanging="720"/>
      </w:pPr>
      <w:rPr>
        <w:rFonts w:ascii="Tahoma" w:eastAsia="Calibri" w:hAnsi="Tahoma" w:cs="Tahoma"/>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D4324FC"/>
    <w:multiLevelType w:val="hybridMultilevel"/>
    <w:tmpl w:val="13342784"/>
    <w:lvl w:ilvl="0" w:tplc="6E4A7B8E">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FC47B0F"/>
    <w:multiLevelType w:val="hybridMultilevel"/>
    <w:tmpl w:val="371CADB8"/>
    <w:lvl w:ilvl="0" w:tplc="FE5EF402">
      <w:start w:val="1"/>
      <w:numFmt w:val="upperRoman"/>
      <w:lvlText w:val="(%1)"/>
      <w:lvlJc w:val="right"/>
      <w:pPr>
        <w:tabs>
          <w:tab w:val="num" w:pos="720"/>
        </w:tabs>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28F3468"/>
    <w:multiLevelType w:val="hybridMultilevel"/>
    <w:tmpl w:val="13342784"/>
    <w:lvl w:ilvl="0" w:tplc="6E4A7B8E">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2"/>
  </w:num>
  <w:num w:numId="4">
    <w:abstractNumId w:val="4"/>
  </w:num>
  <w:num w:numId="5">
    <w:abstractNumId w:val="5"/>
  </w:num>
  <w:num w:numId="6">
    <w:abstractNumId w:val="9"/>
  </w:num>
  <w:num w:numId="7">
    <w:abstractNumId w:val="8"/>
  </w:num>
  <w:num w:numId="8">
    <w:abstractNumId w:val="0"/>
  </w:num>
  <w:num w:numId="9">
    <w:abstractNumId w:val="10"/>
  </w:num>
  <w:num w:numId="10">
    <w:abstractNumId w:val="7"/>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FCB"/>
    <w:rsid w:val="0000172B"/>
    <w:rsid w:val="000047FA"/>
    <w:rsid w:val="00005A91"/>
    <w:rsid w:val="00006168"/>
    <w:rsid w:val="0000687A"/>
    <w:rsid w:val="000254C2"/>
    <w:rsid w:val="000259A5"/>
    <w:rsid w:val="00025C22"/>
    <w:rsid w:val="0002718D"/>
    <w:rsid w:val="00030A02"/>
    <w:rsid w:val="000316BB"/>
    <w:rsid w:val="0004690F"/>
    <w:rsid w:val="00046EA9"/>
    <w:rsid w:val="000517B2"/>
    <w:rsid w:val="00051B4F"/>
    <w:rsid w:val="000539B9"/>
    <w:rsid w:val="000556C2"/>
    <w:rsid w:val="0006241F"/>
    <w:rsid w:val="000629B8"/>
    <w:rsid w:val="00065FF8"/>
    <w:rsid w:val="0007096D"/>
    <w:rsid w:val="0007302A"/>
    <w:rsid w:val="00084757"/>
    <w:rsid w:val="00086E23"/>
    <w:rsid w:val="00097640"/>
    <w:rsid w:val="00097D4E"/>
    <w:rsid w:val="000A0AB0"/>
    <w:rsid w:val="000B1750"/>
    <w:rsid w:val="000B2529"/>
    <w:rsid w:val="000B290B"/>
    <w:rsid w:val="000B4044"/>
    <w:rsid w:val="000B4CAD"/>
    <w:rsid w:val="000B5523"/>
    <w:rsid w:val="000C3372"/>
    <w:rsid w:val="000C4A92"/>
    <w:rsid w:val="000C6F54"/>
    <w:rsid w:val="000D1E62"/>
    <w:rsid w:val="000D5078"/>
    <w:rsid w:val="000D6DBE"/>
    <w:rsid w:val="000D705A"/>
    <w:rsid w:val="000E0216"/>
    <w:rsid w:val="000E3CAB"/>
    <w:rsid w:val="000E515C"/>
    <w:rsid w:val="000E729B"/>
    <w:rsid w:val="000F15AA"/>
    <w:rsid w:val="000F3E12"/>
    <w:rsid w:val="000F4BD9"/>
    <w:rsid w:val="000F4C9A"/>
    <w:rsid w:val="0010005E"/>
    <w:rsid w:val="00100DDD"/>
    <w:rsid w:val="00100F01"/>
    <w:rsid w:val="001028A9"/>
    <w:rsid w:val="0010319E"/>
    <w:rsid w:val="001068D5"/>
    <w:rsid w:val="00112B7D"/>
    <w:rsid w:val="00116074"/>
    <w:rsid w:val="00120B20"/>
    <w:rsid w:val="00122852"/>
    <w:rsid w:val="00122CF7"/>
    <w:rsid w:val="0012571D"/>
    <w:rsid w:val="00126BBB"/>
    <w:rsid w:val="00130D4C"/>
    <w:rsid w:val="00131183"/>
    <w:rsid w:val="00133514"/>
    <w:rsid w:val="00133659"/>
    <w:rsid w:val="0013393B"/>
    <w:rsid w:val="00134226"/>
    <w:rsid w:val="001352F1"/>
    <w:rsid w:val="00137DC3"/>
    <w:rsid w:val="0014078A"/>
    <w:rsid w:val="0014345E"/>
    <w:rsid w:val="00151632"/>
    <w:rsid w:val="00154A84"/>
    <w:rsid w:val="00156263"/>
    <w:rsid w:val="0015698F"/>
    <w:rsid w:val="0016037F"/>
    <w:rsid w:val="001630AE"/>
    <w:rsid w:val="001709F8"/>
    <w:rsid w:val="00171758"/>
    <w:rsid w:val="00173F97"/>
    <w:rsid w:val="00175E81"/>
    <w:rsid w:val="0017692D"/>
    <w:rsid w:val="00176BC2"/>
    <w:rsid w:val="00176CB0"/>
    <w:rsid w:val="00180AF6"/>
    <w:rsid w:val="00187FE5"/>
    <w:rsid w:val="001914D1"/>
    <w:rsid w:val="00193FD4"/>
    <w:rsid w:val="001963C4"/>
    <w:rsid w:val="001977BD"/>
    <w:rsid w:val="001A23DB"/>
    <w:rsid w:val="001B0379"/>
    <w:rsid w:val="001B03A1"/>
    <w:rsid w:val="001B105A"/>
    <w:rsid w:val="001C0D7C"/>
    <w:rsid w:val="001C160C"/>
    <w:rsid w:val="001C55A1"/>
    <w:rsid w:val="001C71E5"/>
    <w:rsid w:val="001D3054"/>
    <w:rsid w:val="001D347C"/>
    <w:rsid w:val="001D3DCE"/>
    <w:rsid w:val="001D4E81"/>
    <w:rsid w:val="001D4FE1"/>
    <w:rsid w:val="001D7976"/>
    <w:rsid w:val="001E0871"/>
    <w:rsid w:val="001E38C8"/>
    <w:rsid w:val="001E3A8A"/>
    <w:rsid w:val="001E46AC"/>
    <w:rsid w:val="001E6224"/>
    <w:rsid w:val="001F0627"/>
    <w:rsid w:val="001F0646"/>
    <w:rsid w:val="00205F48"/>
    <w:rsid w:val="0020782D"/>
    <w:rsid w:val="00210E38"/>
    <w:rsid w:val="00216960"/>
    <w:rsid w:val="0021729C"/>
    <w:rsid w:val="00221433"/>
    <w:rsid w:val="00223B7B"/>
    <w:rsid w:val="00231C92"/>
    <w:rsid w:val="002352F3"/>
    <w:rsid w:val="00236E5D"/>
    <w:rsid w:val="002412A6"/>
    <w:rsid w:val="002417FE"/>
    <w:rsid w:val="00241A59"/>
    <w:rsid w:val="0024230B"/>
    <w:rsid w:val="00246A85"/>
    <w:rsid w:val="00252BAA"/>
    <w:rsid w:val="00257E65"/>
    <w:rsid w:val="00260245"/>
    <w:rsid w:val="00261C90"/>
    <w:rsid w:val="00263274"/>
    <w:rsid w:val="002709F2"/>
    <w:rsid w:val="00272B49"/>
    <w:rsid w:val="00274F1A"/>
    <w:rsid w:val="00280FD3"/>
    <w:rsid w:val="00290351"/>
    <w:rsid w:val="00291BFD"/>
    <w:rsid w:val="00293055"/>
    <w:rsid w:val="0029324D"/>
    <w:rsid w:val="002962F0"/>
    <w:rsid w:val="00297050"/>
    <w:rsid w:val="002A1E7C"/>
    <w:rsid w:val="002A3E30"/>
    <w:rsid w:val="002A3E44"/>
    <w:rsid w:val="002A424D"/>
    <w:rsid w:val="002A5A08"/>
    <w:rsid w:val="002A6226"/>
    <w:rsid w:val="002A6EFA"/>
    <w:rsid w:val="002B192F"/>
    <w:rsid w:val="002B7A0B"/>
    <w:rsid w:val="002C2701"/>
    <w:rsid w:val="002C5705"/>
    <w:rsid w:val="002D43C4"/>
    <w:rsid w:val="002D4D1A"/>
    <w:rsid w:val="002D7A43"/>
    <w:rsid w:val="002E0FCB"/>
    <w:rsid w:val="002E2E16"/>
    <w:rsid w:val="002E448A"/>
    <w:rsid w:val="002E540B"/>
    <w:rsid w:val="002E6C3E"/>
    <w:rsid w:val="002F037E"/>
    <w:rsid w:val="002F0E47"/>
    <w:rsid w:val="002F2848"/>
    <w:rsid w:val="00300B20"/>
    <w:rsid w:val="00307011"/>
    <w:rsid w:val="003113D9"/>
    <w:rsid w:val="00314AC1"/>
    <w:rsid w:val="00320058"/>
    <w:rsid w:val="00332777"/>
    <w:rsid w:val="00333053"/>
    <w:rsid w:val="00346072"/>
    <w:rsid w:val="003542CA"/>
    <w:rsid w:val="00354CC3"/>
    <w:rsid w:val="00357BDF"/>
    <w:rsid w:val="00371CA8"/>
    <w:rsid w:val="003726FF"/>
    <w:rsid w:val="003728A8"/>
    <w:rsid w:val="00377267"/>
    <w:rsid w:val="00381E21"/>
    <w:rsid w:val="00383E4F"/>
    <w:rsid w:val="00392A69"/>
    <w:rsid w:val="00394735"/>
    <w:rsid w:val="00396A25"/>
    <w:rsid w:val="003B081D"/>
    <w:rsid w:val="003C7A79"/>
    <w:rsid w:val="003D1459"/>
    <w:rsid w:val="003D232F"/>
    <w:rsid w:val="003D5D4A"/>
    <w:rsid w:val="003D689B"/>
    <w:rsid w:val="003D746B"/>
    <w:rsid w:val="003E1799"/>
    <w:rsid w:val="003F1A9C"/>
    <w:rsid w:val="003F7D1C"/>
    <w:rsid w:val="0040293E"/>
    <w:rsid w:val="00406431"/>
    <w:rsid w:val="00411B02"/>
    <w:rsid w:val="00413D25"/>
    <w:rsid w:val="00416BF7"/>
    <w:rsid w:val="004247B2"/>
    <w:rsid w:val="00430E0F"/>
    <w:rsid w:val="0043713C"/>
    <w:rsid w:val="00443580"/>
    <w:rsid w:val="00451CC7"/>
    <w:rsid w:val="004546D4"/>
    <w:rsid w:val="00454BF8"/>
    <w:rsid w:val="00457304"/>
    <w:rsid w:val="0047271B"/>
    <w:rsid w:val="0047718B"/>
    <w:rsid w:val="00482231"/>
    <w:rsid w:val="0048532D"/>
    <w:rsid w:val="004A0324"/>
    <w:rsid w:val="004A41A3"/>
    <w:rsid w:val="004B2678"/>
    <w:rsid w:val="004B7253"/>
    <w:rsid w:val="004C153A"/>
    <w:rsid w:val="004D1B45"/>
    <w:rsid w:val="004D3AAD"/>
    <w:rsid w:val="004D4D50"/>
    <w:rsid w:val="004D5805"/>
    <w:rsid w:val="004E114A"/>
    <w:rsid w:val="004E2E5E"/>
    <w:rsid w:val="004F6D23"/>
    <w:rsid w:val="0050233F"/>
    <w:rsid w:val="00503BB3"/>
    <w:rsid w:val="0050587F"/>
    <w:rsid w:val="00506492"/>
    <w:rsid w:val="00512D76"/>
    <w:rsid w:val="00521CD3"/>
    <w:rsid w:val="00526FFB"/>
    <w:rsid w:val="005370B4"/>
    <w:rsid w:val="00542F9B"/>
    <w:rsid w:val="00543EAF"/>
    <w:rsid w:val="005505CA"/>
    <w:rsid w:val="00552286"/>
    <w:rsid w:val="00556539"/>
    <w:rsid w:val="00561289"/>
    <w:rsid w:val="005632E5"/>
    <w:rsid w:val="00571BF3"/>
    <w:rsid w:val="0057283E"/>
    <w:rsid w:val="00574630"/>
    <w:rsid w:val="005751F8"/>
    <w:rsid w:val="0058102C"/>
    <w:rsid w:val="005813E1"/>
    <w:rsid w:val="005825D2"/>
    <w:rsid w:val="00583040"/>
    <w:rsid w:val="00585507"/>
    <w:rsid w:val="00591CE6"/>
    <w:rsid w:val="00595EE0"/>
    <w:rsid w:val="0059774B"/>
    <w:rsid w:val="005A6B3D"/>
    <w:rsid w:val="005B3D0B"/>
    <w:rsid w:val="005B43C4"/>
    <w:rsid w:val="005B6B7E"/>
    <w:rsid w:val="005C1052"/>
    <w:rsid w:val="005C4766"/>
    <w:rsid w:val="005C7319"/>
    <w:rsid w:val="005D37E5"/>
    <w:rsid w:val="005D40BF"/>
    <w:rsid w:val="005E40E1"/>
    <w:rsid w:val="005E534B"/>
    <w:rsid w:val="005E6BAF"/>
    <w:rsid w:val="005E704F"/>
    <w:rsid w:val="005F028A"/>
    <w:rsid w:val="005F63F8"/>
    <w:rsid w:val="005F7116"/>
    <w:rsid w:val="006028F8"/>
    <w:rsid w:val="00606371"/>
    <w:rsid w:val="006174A0"/>
    <w:rsid w:val="00621341"/>
    <w:rsid w:val="0062350D"/>
    <w:rsid w:val="00634509"/>
    <w:rsid w:val="00645CD4"/>
    <w:rsid w:val="0064690E"/>
    <w:rsid w:val="00647E8D"/>
    <w:rsid w:val="0065779F"/>
    <w:rsid w:val="0066493A"/>
    <w:rsid w:val="00666B07"/>
    <w:rsid w:val="00666C83"/>
    <w:rsid w:val="00682ECC"/>
    <w:rsid w:val="0068517C"/>
    <w:rsid w:val="00687488"/>
    <w:rsid w:val="0069288A"/>
    <w:rsid w:val="00693776"/>
    <w:rsid w:val="006A537E"/>
    <w:rsid w:val="006A772D"/>
    <w:rsid w:val="006A7B7C"/>
    <w:rsid w:val="006B0419"/>
    <w:rsid w:val="006B26CF"/>
    <w:rsid w:val="006B751C"/>
    <w:rsid w:val="006B7F11"/>
    <w:rsid w:val="006C1B3D"/>
    <w:rsid w:val="006C64D4"/>
    <w:rsid w:val="006D4A8B"/>
    <w:rsid w:val="006D6690"/>
    <w:rsid w:val="006E30DD"/>
    <w:rsid w:val="006E34EA"/>
    <w:rsid w:val="006E69BF"/>
    <w:rsid w:val="006F5C52"/>
    <w:rsid w:val="006F6A6B"/>
    <w:rsid w:val="00701238"/>
    <w:rsid w:val="00704DD6"/>
    <w:rsid w:val="00707249"/>
    <w:rsid w:val="00710E03"/>
    <w:rsid w:val="0072010A"/>
    <w:rsid w:val="00721F89"/>
    <w:rsid w:val="00730DE3"/>
    <w:rsid w:val="0073465F"/>
    <w:rsid w:val="00734EE1"/>
    <w:rsid w:val="00745D9E"/>
    <w:rsid w:val="00745F9C"/>
    <w:rsid w:val="00747FBE"/>
    <w:rsid w:val="00764236"/>
    <w:rsid w:val="0076764C"/>
    <w:rsid w:val="00767E55"/>
    <w:rsid w:val="00773DC4"/>
    <w:rsid w:val="007751DE"/>
    <w:rsid w:val="007752AD"/>
    <w:rsid w:val="00775C64"/>
    <w:rsid w:val="007925D0"/>
    <w:rsid w:val="00793FEC"/>
    <w:rsid w:val="0079426F"/>
    <w:rsid w:val="007A0A4A"/>
    <w:rsid w:val="007A0D05"/>
    <w:rsid w:val="007A294D"/>
    <w:rsid w:val="007B1F8A"/>
    <w:rsid w:val="007B3251"/>
    <w:rsid w:val="007B761E"/>
    <w:rsid w:val="007B797F"/>
    <w:rsid w:val="007C230C"/>
    <w:rsid w:val="007D4A03"/>
    <w:rsid w:val="007E027C"/>
    <w:rsid w:val="007E3400"/>
    <w:rsid w:val="007E39BE"/>
    <w:rsid w:val="007E47A5"/>
    <w:rsid w:val="007E7DDB"/>
    <w:rsid w:val="007F0F86"/>
    <w:rsid w:val="008014AA"/>
    <w:rsid w:val="008067C8"/>
    <w:rsid w:val="00806C3E"/>
    <w:rsid w:val="0081004D"/>
    <w:rsid w:val="00810E6F"/>
    <w:rsid w:val="0081353F"/>
    <w:rsid w:val="00813AFA"/>
    <w:rsid w:val="00814054"/>
    <w:rsid w:val="00814217"/>
    <w:rsid w:val="00817BD1"/>
    <w:rsid w:val="008210A3"/>
    <w:rsid w:val="008245BC"/>
    <w:rsid w:val="008306D6"/>
    <w:rsid w:val="0083246B"/>
    <w:rsid w:val="00833CC0"/>
    <w:rsid w:val="00835000"/>
    <w:rsid w:val="008428DB"/>
    <w:rsid w:val="00842B22"/>
    <w:rsid w:val="008506D0"/>
    <w:rsid w:val="00853280"/>
    <w:rsid w:val="008613F3"/>
    <w:rsid w:val="00861CF5"/>
    <w:rsid w:val="00861F65"/>
    <w:rsid w:val="008627CB"/>
    <w:rsid w:val="00865296"/>
    <w:rsid w:val="0087531B"/>
    <w:rsid w:val="00875F73"/>
    <w:rsid w:val="00876A33"/>
    <w:rsid w:val="008775A4"/>
    <w:rsid w:val="0088023A"/>
    <w:rsid w:val="00883511"/>
    <w:rsid w:val="00883672"/>
    <w:rsid w:val="00886D39"/>
    <w:rsid w:val="00892954"/>
    <w:rsid w:val="00894396"/>
    <w:rsid w:val="00897158"/>
    <w:rsid w:val="00897665"/>
    <w:rsid w:val="008A3111"/>
    <w:rsid w:val="008A40E8"/>
    <w:rsid w:val="008A42E9"/>
    <w:rsid w:val="008A441D"/>
    <w:rsid w:val="008A4519"/>
    <w:rsid w:val="008A5645"/>
    <w:rsid w:val="008A60B2"/>
    <w:rsid w:val="008B0B1E"/>
    <w:rsid w:val="008B24D9"/>
    <w:rsid w:val="008B4CFD"/>
    <w:rsid w:val="008C13C9"/>
    <w:rsid w:val="008C2AC1"/>
    <w:rsid w:val="008C6FBD"/>
    <w:rsid w:val="008D1660"/>
    <w:rsid w:val="008D26BD"/>
    <w:rsid w:val="008D41F6"/>
    <w:rsid w:val="008D662B"/>
    <w:rsid w:val="008E3CCC"/>
    <w:rsid w:val="008E4213"/>
    <w:rsid w:val="008E6521"/>
    <w:rsid w:val="008F0DD7"/>
    <w:rsid w:val="008F152C"/>
    <w:rsid w:val="008F2254"/>
    <w:rsid w:val="008F5C0F"/>
    <w:rsid w:val="008F754B"/>
    <w:rsid w:val="008F7E06"/>
    <w:rsid w:val="00900F7F"/>
    <w:rsid w:val="00905541"/>
    <w:rsid w:val="00906030"/>
    <w:rsid w:val="0090693A"/>
    <w:rsid w:val="00911F71"/>
    <w:rsid w:val="00914508"/>
    <w:rsid w:val="009154A1"/>
    <w:rsid w:val="009200BE"/>
    <w:rsid w:val="00920AA0"/>
    <w:rsid w:val="00920B6E"/>
    <w:rsid w:val="0092690C"/>
    <w:rsid w:val="00927D5A"/>
    <w:rsid w:val="009367A3"/>
    <w:rsid w:val="00942A57"/>
    <w:rsid w:val="00943AD6"/>
    <w:rsid w:val="009522F2"/>
    <w:rsid w:val="009543CC"/>
    <w:rsid w:val="00955588"/>
    <w:rsid w:val="00955C92"/>
    <w:rsid w:val="009562C5"/>
    <w:rsid w:val="00957CF9"/>
    <w:rsid w:val="00957FF0"/>
    <w:rsid w:val="00961A18"/>
    <w:rsid w:val="0096314C"/>
    <w:rsid w:val="0096324D"/>
    <w:rsid w:val="0096344A"/>
    <w:rsid w:val="009761A0"/>
    <w:rsid w:val="009774CC"/>
    <w:rsid w:val="0098108E"/>
    <w:rsid w:val="00985B92"/>
    <w:rsid w:val="0098653F"/>
    <w:rsid w:val="00987D80"/>
    <w:rsid w:val="00990C1E"/>
    <w:rsid w:val="00992500"/>
    <w:rsid w:val="00993DF4"/>
    <w:rsid w:val="00997179"/>
    <w:rsid w:val="009A086C"/>
    <w:rsid w:val="009A0947"/>
    <w:rsid w:val="009A1D92"/>
    <w:rsid w:val="009B2C26"/>
    <w:rsid w:val="009B3EF1"/>
    <w:rsid w:val="009B4A56"/>
    <w:rsid w:val="009B4D8A"/>
    <w:rsid w:val="009B57E5"/>
    <w:rsid w:val="009C028D"/>
    <w:rsid w:val="009C3E62"/>
    <w:rsid w:val="009C5C7B"/>
    <w:rsid w:val="009C5DB1"/>
    <w:rsid w:val="009D080C"/>
    <w:rsid w:val="009D0A46"/>
    <w:rsid w:val="009D25E5"/>
    <w:rsid w:val="009D2FAD"/>
    <w:rsid w:val="009D3AB3"/>
    <w:rsid w:val="009D5B0E"/>
    <w:rsid w:val="009D7A64"/>
    <w:rsid w:val="009F1433"/>
    <w:rsid w:val="009F2846"/>
    <w:rsid w:val="009F3AF2"/>
    <w:rsid w:val="009F5914"/>
    <w:rsid w:val="009F59D1"/>
    <w:rsid w:val="009F6E8D"/>
    <w:rsid w:val="00A01915"/>
    <w:rsid w:val="00A035EE"/>
    <w:rsid w:val="00A150FB"/>
    <w:rsid w:val="00A24F26"/>
    <w:rsid w:val="00A27C15"/>
    <w:rsid w:val="00A31746"/>
    <w:rsid w:val="00A32542"/>
    <w:rsid w:val="00A370ED"/>
    <w:rsid w:val="00A37A9A"/>
    <w:rsid w:val="00A46B13"/>
    <w:rsid w:val="00A5423F"/>
    <w:rsid w:val="00A6511B"/>
    <w:rsid w:val="00A67096"/>
    <w:rsid w:val="00A67DC9"/>
    <w:rsid w:val="00A70FD3"/>
    <w:rsid w:val="00A72543"/>
    <w:rsid w:val="00A76F74"/>
    <w:rsid w:val="00A832F7"/>
    <w:rsid w:val="00A87ABA"/>
    <w:rsid w:val="00A94932"/>
    <w:rsid w:val="00A94CB1"/>
    <w:rsid w:val="00A97E77"/>
    <w:rsid w:val="00AA1F52"/>
    <w:rsid w:val="00AA29CA"/>
    <w:rsid w:val="00AA44D7"/>
    <w:rsid w:val="00AA71AC"/>
    <w:rsid w:val="00AB27FB"/>
    <w:rsid w:val="00AB47BE"/>
    <w:rsid w:val="00AC34C0"/>
    <w:rsid w:val="00AC383D"/>
    <w:rsid w:val="00AC44AE"/>
    <w:rsid w:val="00AC634E"/>
    <w:rsid w:val="00AC7492"/>
    <w:rsid w:val="00AD6D81"/>
    <w:rsid w:val="00AE0598"/>
    <w:rsid w:val="00AE2203"/>
    <w:rsid w:val="00B045CD"/>
    <w:rsid w:val="00B14DB4"/>
    <w:rsid w:val="00B21F56"/>
    <w:rsid w:val="00B349F2"/>
    <w:rsid w:val="00B35451"/>
    <w:rsid w:val="00B3549E"/>
    <w:rsid w:val="00B3567F"/>
    <w:rsid w:val="00B424CF"/>
    <w:rsid w:val="00B42CB8"/>
    <w:rsid w:val="00B5061D"/>
    <w:rsid w:val="00B57CF6"/>
    <w:rsid w:val="00B71159"/>
    <w:rsid w:val="00B75DFA"/>
    <w:rsid w:val="00B76659"/>
    <w:rsid w:val="00B77D08"/>
    <w:rsid w:val="00B8066B"/>
    <w:rsid w:val="00B85BD5"/>
    <w:rsid w:val="00B957D7"/>
    <w:rsid w:val="00B9695B"/>
    <w:rsid w:val="00BA3EA2"/>
    <w:rsid w:val="00BA4ADD"/>
    <w:rsid w:val="00BC1BB2"/>
    <w:rsid w:val="00BC321A"/>
    <w:rsid w:val="00BD2492"/>
    <w:rsid w:val="00BD3CF2"/>
    <w:rsid w:val="00BD60AF"/>
    <w:rsid w:val="00BD675C"/>
    <w:rsid w:val="00BE2C5E"/>
    <w:rsid w:val="00BE515E"/>
    <w:rsid w:val="00BE5E4A"/>
    <w:rsid w:val="00BF0D94"/>
    <w:rsid w:val="00BF2FEC"/>
    <w:rsid w:val="00BF4127"/>
    <w:rsid w:val="00BF4484"/>
    <w:rsid w:val="00C0143A"/>
    <w:rsid w:val="00C034B0"/>
    <w:rsid w:val="00C10F43"/>
    <w:rsid w:val="00C12E33"/>
    <w:rsid w:val="00C137A2"/>
    <w:rsid w:val="00C139C9"/>
    <w:rsid w:val="00C16793"/>
    <w:rsid w:val="00C2663E"/>
    <w:rsid w:val="00C32EBC"/>
    <w:rsid w:val="00C52792"/>
    <w:rsid w:val="00C52F86"/>
    <w:rsid w:val="00C53685"/>
    <w:rsid w:val="00C54322"/>
    <w:rsid w:val="00C57791"/>
    <w:rsid w:val="00C64ABB"/>
    <w:rsid w:val="00C65DE1"/>
    <w:rsid w:val="00C704BC"/>
    <w:rsid w:val="00C731AE"/>
    <w:rsid w:val="00C75F5B"/>
    <w:rsid w:val="00C80850"/>
    <w:rsid w:val="00C80C28"/>
    <w:rsid w:val="00C816D7"/>
    <w:rsid w:val="00C839D8"/>
    <w:rsid w:val="00C8660C"/>
    <w:rsid w:val="00C929B8"/>
    <w:rsid w:val="00C92ECE"/>
    <w:rsid w:val="00C972E4"/>
    <w:rsid w:val="00CA0561"/>
    <w:rsid w:val="00CA1467"/>
    <w:rsid w:val="00CA170A"/>
    <w:rsid w:val="00CA4352"/>
    <w:rsid w:val="00CA7B29"/>
    <w:rsid w:val="00CB707D"/>
    <w:rsid w:val="00CB758D"/>
    <w:rsid w:val="00CC109F"/>
    <w:rsid w:val="00CC28C7"/>
    <w:rsid w:val="00CC4870"/>
    <w:rsid w:val="00CC6D63"/>
    <w:rsid w:val="00CC74AF"/>
    <w:rsid w:val="00CC7A84"/>
    <w:rsid w:val="00CD02E3"/>
    <w:rsid w:val="00CD1D19"/>
    <w:rsid w:val="00CD2366"/>
    <w:rsid w:val="00CD2E81"/>
    <w:rsid w:val="00CD4BF2"/>
    <w:rsid w:val="00CD4EBB"/>
    <w:rsid w:val="00CE4C48"/>
    <w:rsid w:val="00CE6A6F"/>
    <w:rsid w:val="00CE7D80"/>
    <w:rsid w:val="00CF04A1"/>
    <w:rsid w:val="00CF2474"/>
    <w:rsid w:val="00CF5653"/>
    <w:rsid w:val="00D00A1B"/>
    <w:rsid w:val="00D022B7"/>
    <w:rsid w:val="00D03B94"/>
    <w:rsid w:val="00D046EA"/>
    <w:rsid w:val="00D05597"/>
    <w:rsid w:val="00D07B81"/>
    <w:rsid w:val="00D352DF"/>
    <w:rsid w:val="00D3614C"/>
    <w:rsid w:val="00D4342E"/>
    <w:rsid w:val="00D43CE8"/>
    <w:rsid w:val="00D448B2"/>
    <w:rsid w:val="00D47017"/>
    <w:rsid w:val="00D602BE"/>
    <w:rsid w:val="00D635A8"/>
    <w:rsid w:val="00D66EE3"/>
    <w:rsid w:val="00D71692"/>
    <w:rsid w:val="00D71761"/>
    <w:rsid w:val="00D7286C"/>
    <w:rsid w:val="00D73FDB"/>
    <w:rsid w:val="00D80D68"/>
    <w:rsid w:val="00D83257"/>
    <w:rsid w:val="00D91E1B"/>
    <w:rsid w:val="00D92628"/>
    <w:rsid w:val="00DA72AE"/>
    <w:rsid w:val="00DB1135"/>
    <w:rsid w:val="00DB7959"/>
    <w:rsid w:val="00DB79C3"/>
    <w:rsid w:val="00DC13B9"/>
    <w:rsid w:val="00DC3003"/>
    <w:rsid w:val="00DC597D"/>
    <w:rsid w:val="00DD1423"/>
    <w:rsid w:val="00DD2356"/>
    <w:rsid w:val="00DD29C6"/>
    <w:rsid w:val="00DD6C1B"/>
    <w:rsid w:val="00DE5CEC"/>
    <w:rsid w:val="00DE621A"/>
    <w:rsid w:val="00DE7497"/>
    <w:rsid w:val="00DE7829"/>
    <w:rsid w:val="00DF07B4"/>
    <w:rsid w:val="00DF1D72"/>
    <w:rsid w:val="00DF25CB"/>
    <w:rsid w:val="00DF2A12"/>
    <w:rsid w:val="00E03A50"/>
    <w:rsid w:val="00E12B76"/>
    <w:rsid w:val="00E1536D"/>
    <w:rsid w:val="00E207A7"/>
    <w:rsid w:val="00E30DF3"/>
    <w:rsid w:val="00E34A40"/>
    <w:rsid w:val="00E34B0A"/>
    <w:rsid w:val="00E41272"/>
    <w:rsid w:val="00E53B3F"/>
    <w:rsid w:val="00E54EE7"/>
    <w:rsid w:val="00E63496"/>
    <w:rsid w:val="00E7385E"/>
    <w:rsid w:val="00E84281"/>
    <w:rsid w:val="00E87829"/>
    <w:rsid w:val="00E930EF"/>
    <w:rsid w:val="00EA1E02"/>
    <w:rsid w:val="00EA4F79"/>
    <w:rsid w:val="00EA4FFA"/>
    <w:rsid w:val="00EC6446"/>
    <w:rsid w:val="00EC6681"/>
    <w:rsid w:val="00EC7C59"/>
    <w:rsid w:val="00EC7D83"/>
    <w:rsid w:val="00ED67E9"/>
    <w:rsid w:val="00EE2A26"/>
    <w:rsid w:val="00EE3698"/>
    <w:rsid w:val="00EE54BD"/>
    <w:rsid w:val="00EE5519"/>
    <w:rsid w:val="00EF1EF0"/>
    <w:rsid w:val="00EF288A"/>
    <w:rsid w:val="00EF5547"/>
    <w:rsid w:val="00F01DBA"/>
    <w:rsid w:val="00F02ACD"/>
    <w:rsid w:val="00F067AB"/>
    <w:rsid w:val="00F06834"/>
    <w:rsid w:val="00F118DD"/>
    <w:rsid w:val="00F1460B"/>
    <w:rsid w:val="00F151E8"/>
    <w:rsid w:val="00F171E9"/>
    <w:rsid w:val="00F21A3D"/>
    <w:rsid w:val="00F34725"/>
    <w:rsid w:val="00F356DA"/>
    <w:rsid w:val="00F37DCB"/>
    <w:rsid w:val="00F420B1"/>
    <w:rsid w:val="00F432AD"/>
    <w:rsid w:val="00F44EA7"/>
    <w:rsid w:val="00F452A2"/>
    <w:rsid w:val="00F4574A"/>
    <w:rsid w:val="00F5123A"/>
    <w:rsid w:val="00F514EC"/>
    <w:rsid w:val="00F518C9"/>
    <w:rsid w:val="00F5585C"/>
    <w:rsid w:val="00F60C7B"/>
    <w:rsid w:val="00F71B53"/>
    <w:rsid w:val="00F81185"/>
    <w:rsid w:val="00F8176F"/>
    <w:rsid w:val="00F950BE"/>
    <w:rsid w:val="00F9637F"/>
    <w:rsid w:val="00F96A7F"/>
    <w:rsid w:val="00FA07A2"/>
    <w:rsid w:val="00FA0B5F"/>
    <w:rsid w:val="00FA1937"/>
    <w:rsid w:val="00FA1D4F"/>
    <w:rsid w:val="00FA2781"/>
    <w:rsid w:val="00FA5BB8"/>
    <w:rsid w:val="00FA6DE3"/>
    <w:rsid w:val="00FA7357"/>
    <w:rsid w:val="00FB106C"/>
    <w:rsid w:val="00FB1773"/>
    <w:rsid w:val="00FB431F"/>
    <w:rsid w:val="00FC1C73"/>
    <w:rsid w:val="00FD02B0"/>
    <w:rsid w:val="00FD0B21"/>
    <w:rsid w:val="00FE3501"/>
    <w:rsid w:val="00FE6E8E"/>
    <w:rsid w:val="00FF0391"/>
    <w:rsid w:val="00FF0BD2"/>
    <w:rsid w:val="00FF12E4"/>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68921B4"/>
  <w15:chartTrackingRefBased/>
  <w15:docId w15:val="{BDDF1457-06F9-4438-B020-8B3D86E6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styleId="PargrafodaLista">
    <w:name w:val="List Paragraph"/>
    <w:basedOn w:val="Normal"/>
    <w:uiPriority w:val="34"/>
    <w:rsid w:val="008F754B"/>
    <w:pPr>
      <w:ind w:left="720"/>
      <w:contextualSpacing/>
    </w:pPr>
  </w:style>
  <w:style w:type="character" w:styleId="TextodoEspaoReservado">
    <w:name w:val="Placeholder Text"/>
    <w:basedOn w:val="Fontepargpadro"/>
    <w:uiPriority w:val="99"/>
    <w:semiHidden/>
    <w:rsid w:val="00EC7C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D086F-A508-40DE-A54C-460461CE0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5697</Words>
  <Characters>32622</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 Advogados</dc:creator>
  <cp:keywords/>
  <dc:description/>
  <cp:lastModifiedBy>Juliana Roshi Muto Soares</cp:lastModifiedBy>
  <cp:revision>4</cp:revision>
  <cp:lastPrinted>2014-10-09T17:03:00Z</cp:lastPrinted>
  <dcterms:created xsi:type="dcterms:W3CDTF">2020-03-22T07:12:00Z</dcterms:created>
  <dcterms:modified xsi:type="dcterms:W3CDTF">2020-03-22T07:17:00Z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- 27592607v1 </vt:lpwstr>
  </property>
</Properties>
</file>