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1407E" w14:paraId="70327C89" w14:textId="77777777">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14:paraId="5BE08D9A" w14:textId="77777777">
      <w:pPr>
        <w:pStyle w:val="Heading"/>
        <w:widowControl w:val="0"/>
        <w:spacing w:before="140" w:after="0"/>
        <w:rPr>
          <w:smallCaps w:val="0"/>
          <w:sz w:val="20"/>
          <w:szCs w:val="20"/>
        </w:rPr>
      </w:pPr>
      <w:r w:rsidRPr="007552BF">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Pr>
          <w:sz w:val="20"/>
          <w:szCs w:val="20"/>
        </w:rPr>
        <w:t xml:space="preserve">EMISSÃO DE DEBÊNTURES SIMPLES, NÃO CONVERSÍVEIS EM AÇÕES, EM </w:t>
      </w:r>
      <w:r w:rsidRPr="006E595D" w:rsidR="00941C59">
        <w:rPr>
          <w:sz w:val="20"/>
          <w:szCs w:val="20"/>
        </w:rPr>
        <w:t xml:space="preserve">ATÉ DUAS </w:t>
      </w:r>
      <w:r w:rsidRPr="006E595D" w:rsidR="00A648C8">
        <w:rPr>
          <w:sz w:val="20"/>
          <w:szCs w:val="20"/>
        </w:rPr>
        <w:t>SÉRIE</w:t>
      </w:r>
      <w:r w:rsidRPr="006E595D" w:rsidR="00941C59">
        <w:rPr>
          <w:sz w:val="20"/>
          <w:szCs w:val="20"/>
        </w:rPr>
        <w:t>S</w:t>
      </w:r>
      <w:r w:rsidRPr="006E595D">
        <w:rPr>
          <w:sz w:val="20"/>
          <w:szCs w:val="20"/>
        </w:rPr>
        <w:t>, DA ESPÉCIE QUIROGRAFÁRIA, COM GARANTIA FIDEJUSSÓRIA</w:t>
      </w:r>
      <w:r w:rsidRPr="006E595D" w:rsidR="00D87809">
        <w:rPr>
          <w:sz w:val="20"/>
          <w:szCs w:val="20"/>
        </w:rPr>
        <w:t xml:space="preserve"> ADICIONAL</w:t>
      </w:r>
      <w:r w:rsidRPr="006E595D">
        <w:rPr>
          <w:sz w:val="20"/>
          <w:szCs w:val="20"/>
        </w:rPr>
        <w:t>, PARA DISTRIBUIÇÃO PÚBLICA,</w:t>
      </w:r>
      <w:r w:rsidRPr="006E595D" w:rsidR="00941C59">
        <w:rPr>
          <w:sz w:val="20"/>
          <w:szCs w:val="20"/>
        </w:rPr>
        <w:t xml:space="preserve"> COM ESFORÇOS RESTRITOS DE DISTRIBUIÇÃO,</w:t>
      </w:r>
      <w:r w:rsidRPr="006E595D">
        <w:rPr>
          <w:sz w:val="20"/>
          <w:szCs w:val="20"/>
        </w:rPr>
        <w:t xml:space="preserve"> DA LIGHT SERVIÇOS DE ELETRICIDADE S.A.</w:t>
      </w:r>
    </w:p>
    <w:p w:rsidR="00A47505" w:rsidRPr="007552BF" w14:paraId="50A53445" w14:textId="77777777">
      <w:pPr>
        <w:pStyle w:val="Body"/>
        <w:widowControl w:val="0"/>
        <w:tabs>
          <w:tab w:val="left" w:pos="3240"/>
        </w:tabs>
        <w:spacing w:before="140" w:after="0"/>
        <w:rPr>
          <w:szCs w:val="20"/>
        </w:rPr>
      </w:pPr>
      <w:r w:rsidRPr="007552BF">
        <w:rPr>
          <w:szCs w:val="20"/>
        </w:rPr>
        <w:tab/>
      </w:r>
    </w:p>
    <w:p w:rsidR="00A47505" w:rsidRPr="007552BF" w14:paraId="6CD32769" w14:textId="77777777">
      <w:pPr>
        <w:pStyle w:val="Body"/>
        <w:widowControl w:val="0"/>
        <w:spacing w:before="140" w:after="0"/>
        <w:jc w:val="center"/>
        <w:rPr>
          <w:szCs w:val="20"/>
        </w:rPr>
      </w:pPr>
    </w:p>
    <w:p w:rsidR="00A47505" w:rsidRPr="007552BF" w14:paraId="7B9BDA02" w14:textId="77777777">
      <w:pPr>
        <w:pStyle w:val="Body"/>
        <w:widowControl w:val="0"/>
        <w:spacing w:before="140" w:after="0"/>
        <w:jc w:val="center"/>
        <w:rPr>
          <w:szCs w:val="20"/>
        </w:rPr>
      </w:pPr>
    </w:p>
    <w:p w:rsidR="00A47505" w:rsidRPr="007552BF" w14:paraId="25076A1A" w14:textId="77777777">
      <w:pPr>
        <w:pStyle w:val="Body"/>
        <w:widowControl w:val="0"/>
        <w:spacing w:before="140" w:after="0"/>
        <w:jc w:val="center"/>
        <w:rPr>
          <w:szCs w:val="20"/>
        </w:rPr>
      </w:pPr>
      <w:r w:rsidRPr="007552BF">
        <w:rPr>
          <w:smallCaps w:val="0"/>
          <w:szCs w:val="20"/>
        </w:rPr>
        <w:t>entre</w:t>
      </w:r>
    </w:p>
    <w:p w:rsidR="007E0EE9" w:rsidRPr="007552BF" w14:paraId="287E2629" w14:textId="77777777">
      <w:pPr>
        <w:pStyle w:val="Body"/>
        <w:widowControl w:val="0"/>
        <w:spacing w:before="140" w:after="0"/>
        <w:jc w:val="center"/>
        <w:rPr>
          <w:szCs w:val="20"/>
        </w:rPr>
      </w:pPr>
    </w:p>
    <w:p w:rsidR="007E0EE9" w:rsidRPr="007552BF" w14:paraId="0A8ACE03" w14:textId="77777777">
      <w:pPr>
        <w:pStyle w:val="Body"/>
        <w:widowControl w:val="0"/>
        <w:spacing w:before="140" w:after="0"/>
        <w:jc w:val="center"/>
        <w:rPr>
          <w:szCs w:val="20"/>
        </w:rPr>
      </w:pPr>
    </w:p>
    <w:p w:rsidR="00A47505" w:rsidRPr="007552BF" w14:paraId="0A0DF7C6" w14:textId="77777777">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sidR="003732E3">
        <w:rPr>
          <w:i/>
          <w:smallCaps w:val="0"/>
          <w:szCs w:val="20"/>
        </w:rPr>
        <w:br/>
      </w:r>
      <w:r w:rsidRPr="007552BF">
        <w:rPr>
          <w:i/>
          <w:smallCaps w:val="0"/>
          <w:szCs w:val="20"/>
        </w:rPr>
        <w:t>como Emissora</w:t>
      </w:r>
    </w:p>
    <w:p w:rsidR="007E0EE9" w:rsidRPr="007552BF" w14:paraId="54E720A0" w14:textId="77777777">
      <w:pPr>
        <w:pStyle w:val="Body"/>
        <w:widowControl w:val="0"/>
        <w:spacing w:before="140" w:after="0"/>
        <w:jc w:val="center"/>
        <w:rPr>
          <w:szCs w:val="20"/>
        </w:rPr>
      </w:pPr>
    </w:p>
    <w:p w:rsidR="007E0EE9" w:rsidRPr="007552BF" w14:paraId="41DB6EB8" w14:textId="77777777">
      <w:pPr>
        <w:pStyle w:val="Body"/>
        <w:widowControl w:val="0"/>
        <w:spacing w:before="140" w:after="0"/>
        <w:jc w:val="center"/>
        <w:rPr>
          <w:szCs w:val="20"/>
        </w:rPr>
      </w:pPr>
    </w:p>
    <w:p w:rsidR="00A47505" w:rsidRPr="007552BF" w14:paraId="1A336575" w14:textId="77777777">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rsidP="00E92C30" w14:paraId="53C6893B" w14:textId="77777777">
      <w:pPr>
        <w:pStyle w:val="Body"/>
        <w:widowControl w:val="0"/>
        <w:spacing w:before="140" w:after="0"/>
        <w:rPr>
          <w:szCs w:val="20"/>
        </w:rPr>
      </w:pPr>
    </w:p>
    <w:p w:rsidR="007E0EE9" w:rsidRPr="007552BF" w14:paraId="028B7886" w14:textId="77777777">
      <w:pPr>
        <w:pStyle w:val="Body"/>
        <w:widowControl w:val="0"/>
        <w:spacing w:before="140" w:after="0"/>
        <w:jc w:val="center"/>
        <w:rPr>
          <w:szCs w:val="20"/>
        </w:rPr>
      </w:pPr>
      <w:r w:rsidRPr="007552BF">
        <w:rPr>
          <w:szCs w:val="20"/>
        </w:rPr>
        <w:t>e</w:t>
      </w:r>
    </w:p>
    <w:p w:rsidR="007E0EE9" w:rsidRPr="007552BF" w14:paraId="3B9B6939" w14:textId="77777777">
      <w:pPr>
        <w:pStyle w:val="Body"/>
        <w:widowControl w:val="0"/>
        <w:spacing w:before="140" w:after="0"/>
        <w:jc w:val="center"/>
        <w:rPr>
          <w:szCs w:val="20"/>
        </w:rPr>
      </w:pPr>
    </w:p>
    <w:p w:rsidR="00A47505" w:rsidRPr="007552BF" w14:paraId="5420808E" w14:textId="77777777">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14:paraId="7DF0B80D" w14:textId="77777777">
      <w:pPr>
        <w:pStyle w:val="Body"/>
        <w:widowControl w:val="0"/>
        <w:spacing w:before="140" w:after="0"/>
        <w:jc w:val="center"/>
        <w:rPr>
          <w:szCs w:val="20"/>
        </w:rPr>
      </w:pPr>
    </w:p>
    <w:p w:rsidR="00A47505" w:rsidRPr="007552BF" w14:paraId="0754AF71" w14:textId="77777777">
      <w:pPr>
        <w:pStyle w:val="Body"/>
        <w:widowControl w:val="0"/>
        <w:spacing w:before="140" w:after="0"/>
        <w:jc w:val="center"/>
        <w:rPr>
          <w:szCs w:val="20"/>
        </w:rPr>
      </w:pPr>
      <w:r w:rsidRPr="007552BF">
        <w:rPr>
          <w:szCs w:val="20"/>
        </w:rPr>
        <w:t>___________________</w:t>
      </w:r>
    </w:p>
    <w:p w:rsidR="00A47505" w:rsidRPr="007552BF" w14:paraId="56DB27F7" w14:textId="77777777">
      <w:pPr>
        <w:pStyle w:val="Body"/>
        <w:widowControl w:val="0"/>
        <w:spacing w:before="140" w:after="0"/>
        <w:jc w:val="center"/>
        <w:rPr>
          <w:szCs w:val="20"/>
        </w:rPr>
      </w:pPr>
      <w:r w:rsidRPr="007552BF">
        <w:rPr>
          <w:smallCaps w:val="0"/>
          <w:szCs w:val="20"/>
        </w:rPr>
        <w:t>Datado de</w:t>
      </w:r>
    </w:p>
    <w:p w:rsidR="00A47505" w:rsidRPr="007552BF" w14:paraId="30990520" w14:textId="7518B177">
      <w:pPr>
        <w:pStyle w:val="Body"/>
        <w:widowControl w:val="0"/>
        <w:spacing w:before="140" w:after="0"/>
        <w:jc w:val="center"/>
        <w:rPr>
          <w:szCs w:val="20"/>
        </w:rPr>
      </w:pPr>
      <w:r>
        <w:rPr>
          <w:bCs/>
          <w:smallCaps w:val="0"/>
          <w:szCs w:val="20"/>
        </w:rPr>
        <w:t>15</w:t>
      </w:r>
      <w:r w:rsidRPr="007552BF" w:rsidR="000E402B">
        <w:rPr>
          <w:bCs/>
          <w:smallCaps w:val="0"/>
          <w:szCs w:val="20"/>
        </w:rPr>
        <w:t xml:space="preserve"> </w:t>
      </w:r>
      <w:r w:rsidRPr="007552BF" w:rsidR="00006456">
        <w:rPr>
          <w:bCs/>
          <w:smallCaps w:val="0"/>
          <w:szCs w:val="20"/>
        </w:rPr>
        <w:t>de</w:t>
      </w:r>
      <w:r w:rsidR="006F2201">
        <w:rPr>
          <w:bCs/>
          <w:smallCaps w:val="0"/>
          <w:szCs w:val="20"/>
        </w:rPr>
        <w:t xml:space="preserve"> outubro</w:t>
      </w:r>
      <w:r w:rsidR="006F2201">
        <w:rPr>
          <w:smallCaps w:val="0"/>
          <w:szCs w:val="20"/>
        </w:rPr>
        <w:t xml:space="preserve"> </w:t>
      </w:r>
      <w:r w:rsidRPr="007552BF" w:rsidR="00F33193">
        <w:rPr>
          <w:smallCaps w:val="0"/>
          <w:szCs w:val="20"/>
        </w:rPr>
        <w:t>de 2021</w:t>
      </w:r>
    </w:p>
    <w:p w:rsidR="00E41221" w:rsidRPr="00E92C30" w:rsidP="00E41221" w14:paraId="06949DCD" w14:textId="20D569B7">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rsidR="00E41221" w:rsidRPr="00E41221" w:rsidP="00E41221" w14:paraId="352FD1B0" w14:textId="4F5D0BCE">
      <w:pPr>
        <w:widowControl w:val="0"/>
        <w:autoSpaceDE/>
        <w:autoSpaceDN/>
        <w:adjustRightInd/>
        <w:spacing w:before="140" w:line="290" w:lineRule="auto"/>
        <w:jc w:val="center"/>
        <w:rPr>
          <w:rFonts w:ascii="Arial" w:hAnsi="Arial" w:cs="Arial"/>
          <w:b/>
          <w:smallCaps/>
          <w:color w:val="000000"/>
          <w:sz w:val="20"/>
          <w:szCs w:val="20"/>
        </w:rPr>
      </w:pPr>
    </w:p>
    <w:p w:rsidR="00E41221" w:rsidRPr="00B56924" w:rsidP="00E41221" w14:paraId="0E767EB1" w14:textId="77777777">
      <w:pPr>
        <w:widowControl w:val="0"/>
        <w:pBdr>
          <w:bottom w:val="double" w:sz="6" w:space="1" w:color="auto"/>
        </w:pBdr>
        <w:tabs>
          <w:tab w:val="left" w:pos="2366"/>
        </w:tabs>
        <w:spacing w:line="290" w:lineRule="auto"/>
        <w:jc w:val="center"/>
        <w:rPr>
          <w:rFonts w:ascii="Arial" w:hAnsi="Arial" w:cs="Arial"/>
          <w:smallCaps/>
          <w:sz w:val="20"/>
          <w:szCs w:val="20"/>
        </w:rPr>
      </w:pPr>
    </w:p>
    <w:p w:rsidR="00E41221" w:rsidRPr="00B56924" w:rsidP="00E41221" w14:paraId="72E70F22" w14:textId="77777777">
      <w:pPr>
        <w:spacing w:before="140" w:line="290" w:lineRule="auto"/>
        <w:rPr>
          <w:rFonts w:ascii="Arial" w:hAnsi="Arial" w:cs="Arial"/>
          <w:sz w:val="20"/>
          <w:szCs w:val="20"/>
        </w:rPr>
      </w:pPr>
      <w:r w:rsidRPr="00B56924">
        <w:rPr>
          <w:rFonts w:ascii="Arial" w:hAnsi="Arial" w:cs="Arial"/>
          <w:sz w:val="20"/>
          <w:szCs w:val="20"/>
        </w:rPr>
        <w:t>*</w:t>
      </w:r>
      <w:r w:rsidRPr="00B56924">
        <w:rPr>
          <w:rFonts w:ascii="Arial" w:hAnsi="Arial" w:cs="Arial"/>
          <w:sz w:val="20"/>
          <w:szCs w:val="20"/>
        </w:rPr>
        <w:t>Esta</w:t>
      </w:r>
      <w:r w:rsidRPr="00B56924">
        <w:rPr>
          <w:rFonts w:ascii="Arial" w:hAnsi="Arial" w:cs="Arial"/>
          <w:sz w:val="20"/>
          <w:szCs w:val="20"/>
        </w:rPr>
        <w:t xml:space="preserve">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A47505" w:rsidRPr="007552BF" w14:paraId="67970A89" w14:textId="253C8C74">
      <w:pPr>
        <w:widowControl w:val="0"/>
        <w:autoSpaceDE/>
        <w:autoSpaceDN/>
        <w:adjustRightInd/>
        <w:spacing w:before="140" w:line="290" w:lineRule="auto"/>
        <w:rPr>
          <w:rFonts w:ascii="Arial" w:hAnsi="Arial" w:cs="Arial"/>
          <w:b/>
          <w:smallCaps/>
          <w:color w:val="000000"/>
          <w:sz w:val="20"/>
          <w:szCs w:val="20"/>
        </w:rPr>
      </w:pPr>
    </w:p>
    <w:p w:rsidR="00941C59" w:rsidRPr="006E595D" w14:paraId="287C0D33" w14:textId="77777777">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14:paraId="3A1338CA" w14:textId="77777777">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14:paraId="0E76805E" w14:textId="77777777">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14:paraId="73274799" w14:textId="77777777">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14:paraId="44F2B44A" w14:textId="77777777">
      <w:pPr>
        <w:pStyle w:val="Body"/>
        <w:widowControl w:val="0"/>
        <w:spacing w:before="140" w:after="0"/>
        <w:rPr>
          <w:szCs w:val="20"/>
        </w:rPr>
      </w:pPr>
      <w:r w:rsidRPr="007552BF">
        <w:rPr>
          <w:smallCaps w:val="0"/>
          <w:szCs w:val="20"/>
        </w:rPr>
        <w:t>E, na condição de fiadora:</w:t>
      </w:r>
    </w:p>
    <w:p w:rsidR="00A45162" w:rsidRPr="007552BF" w14:paraId="2DFB5087" w14:textId="77777777">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14:paraId="1D4D1620" w14:textId="77777777">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Pr="007552BF" w:rsidR="00E47EBA">
        <w:rPr>
          <w:i/>
          <w:iCs/>
          <w:smallCaps w:val="0"/>
          <w:szCs w:val="20"/>
        </w:rPr>
        <w:t xml:space="preserve">té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Pr="007552BF" w:rsidR="00FC3203">
        <w:rPr>
          <w:smallCaps w:val="0"/>
          <w:szCs w:val="20"/>
        </w:rPr>
        <w:t xml:space="preserve"> </w:t>
      </w:r>
    </w:p>
    <w:p w:rsidR="00A45162" w:rsidRPr="00083831" w14:paraId="31567D40" w14:textId="77777777">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rsidR="007B2178" w:rsidRPr="007552BF" w:rsidP="006E595D" w14:paraId="5E0FDFDB" w14:textId="77777777">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tblPr>
      <w:tblGrid>
        <w:gridCol w:w="3616"/>
        <w:gridCol w:w="5535"/>
      </w:tblGrid>
      <w:tr w14:paraId="61C795A9" w14:textId="77777777" w:rsidTr="00653684">
        <w:tblPrEx>
          <w:tblW w:w="9151" w:type="dxa"/>
          <w:tblInd w:w="70" w:type="dxa"/>
          <w:tblLayout w:type="fixed"/>
          <w:tblCellMar>
            <w:left w:w="70" w:type="dxa"/>
            <w:right w:w="70" w:type="dxa"/>
          </w:tblCellMar>
          <w:tblLook w:val="0000"/>
        </w:tblPrEx>
        <w:tc>
          <w:tcPr>
            <w:tcW w:w="3616" w:type="dxa"/>
          </w:tcPr>
          <w:p w:rsidR="00A45162" w:rsidRPr="00F95AE7" w14:paraId="220BCC12" w14:textId="7777777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14:paraId="39A09D84" w14:textId="4ED4CA6C">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bookmarkStart w:id="10" w:name="_GoBack"/>
            <w:r w:rsidR="00E92C30">
              <w:rPr>
                <w:smallCaps w:val="0"/>
                <w:szCs w:val="20"/>
              </w:rPr>
              <w:t>5.2.2</w:t>
            </w:r>
            <w:bookmarkEnd w:id="10"/>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14:paraId="63C2D062"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40C563E3" w14:textId="77777777">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14:paraId="6F95E017" w14:textId="77777777">
            <w:pPr>
              <w:pStyle w:val="Body"/>
              <w:widowControl w:val="0"/>
              <w:spacing w:before="140" w:after="0"/>
              <w:rPr>
                <w:smallCaps w:val="0"/>
                <w:szCs w:val="20"/>
                <w:lang w:val="x-none"/>
              </w:rPr>
            </w:pPr>
            <w:r w:rsidRPr="00083831">
              <w:rPr>
                <w:smallCaps w:val="0"/>
                <w:szCs w:val="20"/>
                <w:lang w:val="x-none"/>
              </w:rPr>
              <w:t>Assembleia Geral de Debenturistas.</w:t>
            </w:r>
          </w:p>
        </w:tc>
      </w:tr>
      <w:tr w14:paraId="3A3FCE4B" w14:textId="77777777"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14:paraId="43C12D85" w14:textId="7777777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14:paraId="64FC3310" w14:textId="77777777">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14:paraId="2CAB898C" w14:textId="77777777"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14:paraId="3CD9F926" w14:textId="7777777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14:paraId="113801D9" w14:textId="10E1D027">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E92C30" w:rsidR="00E92C30">
              <w:rPr>
                <w:smallCaps w:val="0"/>
                <w:szCs w:val="20"/>
              </w:rPr>
              <w:t>9.1.1</w:t>
            </w:r>
            <w:r w:rsidRPr="00E92C30" w:rsidR="00E92C30">
              <w:rPr>
                <w:smallCaps w:val="0"/>
                <w:color w:val="auto"/>
                <w:szCs w:val="20"/>
                <w:lang w:val="x-none"/>
              </w:rPr>
              <w:t>(</w:t>
            </w:r>
            <w:r w:rsidRPr="00E92C30" w:rsidR="00E92C30">
              <w:rPr>
                <w:smallCaps w:val="0"/>
                <w:color w:val="auto"/>
                <w:szCs w:val="20"/>
                <w:lang w:val="x-none"/>
              </w:rPr>
              <w:t>xxi</w:t>
            </w:r>
            <w:r w:rsidRPr="00E92C30" w:rsidR="00E92C30">
              <w:rPr>
                <w:smallCaps w:val="0"/>
                <w:color w:val="auto"/>
                <w:szCs w:val="20"/>
                <w:lang w:val="x-none"/>
              </w:rPr>
              <w:t>)</w:t>
            </w:r>
            <w:r w:rsidRPr="00083831" w:rsidR="00C10DC2">
              <w:rPr>
                <w:smallCaps w:val="0"/>
                <w:color w:val="auto"/>
                <w:szCs w:val="20"/>
                <w:lang w:val="x-none"/>
              </w:rPr>
              <w:fldChar w:fldCharType="end"/>
            </w:r>
            <w:r w:rsidRPr="00F95AE7">
              <w:rPr>
                <w:smallCaps w:val="0"/>
                <w:szCs w:val="20"/>
                <w:lang w:val="x-none"/>
              </w:rPr>
              <w:t xml:space="preserve"> desta Escritura.</w:t>
            </w:r>
          </w:p>
        </w:tc>
      </w:tr>
      <w:tr w14:paraId="007CAE50"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4BC87DAD" w14:textId="7777777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14:paraId="658A2A11" w14:textId="77777777">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14:paraId="7C36002C" w14:textId="77777777" w:rsidTr="00653684">
        <w:tblPrEx>
          <w:tblW w:w="9151" w:type="dxa"/>
          <w:tblInd w:w="70" w:type="dxa"/>
          <w:tblLayout w:type="fixed"/>
          <w:tblCellMar>
            <w:left w:w="70" w:type="dxa"/>
            <w:right w:w="70" w:type="dxa"/>
          </w:tblCellMar>
          <w:tblLook w:val="0000"/>
        </w:tblPrEx>
        <w:tc>
          <w:tcPr>
            <w:tcW w:w="3616" w:type="dxa"/>
          </w:tcPr>
          <w:p w:rsidR="00DA7CD7" w:rsidRPr="00F95AE7" w14:paraId="4A37E843" w14:textId="77777777">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14:paraId="5DD62AD4" w14:textId="77777777">
            <w:pPr>
              <w:pStyle w:val="Body"/>
              <w:widowControl w:val="0"/>
              <w:spacing w:before="140" w:after="0"/>
              <w:rPr>
                <w:smallCaps w:val="0"/>
                <w:szCs w:val="20"/>
                <w:lang w:val="x-none"/>
              </w:rPr>
            </w:pPr>
            <w:r w:rsidRPr="00083831">
              <w:rPr>
                <w:smallCaps w:val="0"/>
                <w:szCs w:val="20"/>
                <w:lang w:val="x-none"/>
              </w:rPr>
              <w:t>Agência Nacional de Energia Elétrica</w:t>
            </w:r>
          </w:p>
        </w:tc>
      </w:tr>
      <w:tr w14:paraId="5601ACA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3EB18D2C" w14:textId="77777777">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14:paraId="3C81AE1F" w14:textId="77777777">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14:paraId="6170AE32"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1948A6BC" w14:textId="77777777">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14:paraId="133132A5" w14:textId="77777777">
            <w:pPr>
              <w:pStyle w:val="Body"/>
              <w:widowControl w:val="0"/>
              <w:spacing w:before="140" w:after="0"/>
              <w:rPr>
                <w:smallCaps w:val="0"/>
                <w:szCs w:val="20"/>
                <w:lang w:val="x-none"/>
              </w:rPr>
            </w:pPr>
            <w:r>
              <w:rPr>
                <w:smallCaps w:val="0"/>
                <w:color w:val="auto"/>
                <w:szCs w:val="20"/>
                <w:lang w:eastAsia="x-none"/>
              </w:rPr>
              <w:t>Itaú Unibanco</w:t>
            </w:r>
            <w:r w:rsidRPr="007552BF" w:rsidR="00AF0F2E">
              <w:rPr>
                <w:smallCaps w:val="0"/>
                <w:color w:val="auto"/>
                <w:szCs w:val="20"/>
                <w:lang w:val="x-none" w:eastAsia="x-none"/>
              </w:rPr>
              <w:t xml:space="preserve"> S.A.,</w:t>
            </w:r>
            <w:r w:rsidRPr="00F95AE7" w:rsidR="00AF0F2E">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Pr="007552BF" w:rsidR="00AF0F2E">
              <w:rPr>
                <w:smallCaps w:val="0"/>
                <w:szCs w:val="20"/>
                <w:lang w:val="x-none" w:eastAsia="x-none"/>
              </w:rPr>
              <w:t>.</w:t>
            </w:r>
            <w:r w:rsidRPr="007552BF" w:rsidR="00AF0F2E">
              <w:rPr>
                <w:smallCaps w:val="0"/>
                <w:szCs w:val="20"/>
                <w:lang w:eastAsia="x-none"/>
              </w:rPr>
              <w:t xml:space="preserve"> </w:t>
            </w:r>
          </w:p>
        </w:tc>
      </w:tr>
      <w:tr w14:paraId="6F7C0654"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3AD78E3A" w14:textId="77777777">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14:paraId="7A782DA5"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14:paraId="4216D085"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40BBA3B" w14:textId="7777777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14:paraId="50F42AB2" w14:textId="77777777">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14:paraId="1C7C73D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04A60B4" w14:textId="77777777">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14:paraId="406C7976" w14:textId="77777777">
            <w:pPr>
              <w:pStyle w:val="Body"/>
              <w:widowControl w:val="0"/>
              <w:spacing w:before="140" w:after="0"/>
              <w:rPr>
                <w:smallCaps w:val="0"/>
                <w:szCs w:val="20"/>
                <w:lang w:val="x-none"/>
              </w:rPr>
            </w:pPr>
            <w:bookmarkStart w:id="11"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11"/>
          </w:p>
        </w:tc>
      </w:tr>
      <w:tr w14:paraId="40762874"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6D73F9E1" w14:textId="7777777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14:paraId="15462E98" w14:textId="77777777">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14:paraId="7E72C8C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14:paraId="0FFABC91" w14:textId="7777777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14:paraId="2120B2A9" w14:textId="77777777">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14:paraId="4080B88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48D236E" w14:textId="77777777">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14:paraId="0595022A" w14:textId="77777777">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14:paraId="3212C6AA" w14:textId="77777777" w:rsidTr="00653684">
        <w:tblPrEx>
          <w:tblW w:w="9151" w:type="dxa"/>
          <w:tblInd w:w="70" w:type="dxa"/>
          <w:tblLayout w:type="fixed"/>
          <w:tblCellMar>
            <w:left w:w="70" w:type="dxa"/>
            <w:right w:w="70" w:type="dxa"/>
          </w:tblCellMar>
          <w:tblLook w:val="0000"/>
        </w:tblPrEx>
        <w:tc>
          <w:tcPr>
            <w:tcW w:w="3616" w:type="dxa"/>
          </w:tcPr>
          <w:p w:rsidR="00EB73C9" w:rsidRPr="007552BF" w14:paraId="2533365C" w14:textId="77777777">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14:paraId="38B926D0" w14:textId="77777777">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14:paraId="66EB9224"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55C3E14" w14:textId="7777777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14:paraId="0EC64256" w14:textId="77777777">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14:paraId="0828C30D"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7652520E" w14:textId="7777777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14:paraId="4F22E144" w14:textId="77777777">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14:paraId="108BED27"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1ECF78EE" w14:textId="7777777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14:paraId="185F0693" w14:textId="45A26C6C">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00FE1201">
              <w:rPr>
                <w:smallCaps w:val="0"/>
                <w:szCs w:val="20"/>
              </w:rPr>
              <w:t xml:space="preserve">, </w:t>
            </w:r>
            <w:r w:rsidRPr="007B451F" w:rsidR="00FE1201">
              <w:rPr>
                <w:smallCaps w:val="0"/>
                <w:szCs w:val="20"/>
              </w:rPr>
              <w:t>sendo</w:t>
            </w:r>
            <w:r w:rsidR="00FE1201">
              <w:rPr>
                <w:smallCaps w:val="0"/>
                <w:szCs w:val="20"/>
              </w:rPr>
              <w:t xml:space="preserve"> uma delas</w:t>
            </w:r>
            <w:r w:rsidR="00181ECE">
              <w:rPr>
                <w:smallCaps w:val="0"/>
                <w:szCs w:val="20"/>
              </w:rPr>
              <w:t xml:space="preserve"> </w:t>
            </w:r>
            <w:r w:rsidRPr="007B451F" w:rsidR="00FE1201">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14:paraId="30496B8E"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6315AA09" w14:textId="7777777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14:paraId="5129164D" w14:textId="77777777">
            <w:pPr>
              <w:pStyle w:val="Body"/>
              <w:widowControl w:val="0"/>
              <w:spacing w:before="140" w:after="0"/>
              <w:rPr>
                <w:smallCaps w:val="0"/>
                <w:szCs w:val="20"/>
                <w:lang w:val="x-none"/>
              </w:rPr>
            </w:pPr>
            <w:r w:rsidRPr="00083831">
              <w:rPr>
                <w:smallCaps w:val="0"/>
                <w:szCs w:val="20"/>
                <w:lang w:val="x-none"/>
              </w:rPr>
              <w:t>Comissão de Valores Mobiliários.</w:t>
            </w:r>
          </w:p>
        </w:tc>
      </w:tr>
      <w:tr w14:paraId="27375F06"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0BAFE96D" w14:textId="77777777">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14:paraId="769AAEF8" w14:textId="77777777">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14:paraId="709CFD6B"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124537A2" w14:textId="77777777">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14:paraId="0473FC26" w14:textId="77777777">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14:paraId="7A60F2DA"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51B2D3E0" w14:textId="77777777">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14:paraId="547728B1" w14:textId="77777777">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14:paraId="4CBD913E" w14:textId="77777777" w:rsidTr="00653684">
        <w:tblPrEx>
          <w:tblW w:w="9151" w:type="dxa"/>
          <w:tblInd w:w="70" w:type="dxa"/>
          <w:tblLayout w:type="fixed"/>
          <w:tblCellMar>
            <w:left w:w="70" w:type="dxa"/>
            <w:right w:w="70" w:type="dxa"/>
          </w:tblCellMar>
          <w:tblLook w:val="0000"/>
        </w:tblPrEx>
        <w:tc>
          <w:tcPr>
            <w:tcW w:w="3616" w:type="dxa"/>
          </w:tcPr>
          <w:p w:rsidR="00C25A1F" w:rsidRPr="003549E9" w14:paraId="74518C41" w14:textId="77777777">
            <w:pPr>
              <w:pStyle w:val="Body"/>
              <w:widowControl w:val="0"/>
              <w:spacing w:before="140" w:after="0"/>
              <w:jc w:val="left"/>
              <w:rPr>
                <w:b/>
                <w:smallCaps w:val="0"/>
                <w:szCs w:val="20"/>
              </w:rPr>
            </w:pPr>
            <w:r w:rsidRPr="003549E9">
              <w:rPr>
                <w:b/>
                <w:bCs/>
                <w:smallCaps w:val="0"/>
                <w:szCs w:val="20"/>
              </w:rPr>
              <w:t>Data de Emissão</w:t>
            </w:r>
          </w:p>
        </w:tc>
        <w:tc>
          <w:tcPr>
            <w:tcW w:w="5535" w:type="dxa"/>
          </w:tcPr>
          <w:p w:rsidR="00C25A1F" w:rsidRPr="003549E9" w14:paraId="777E8B93" w14:textId="77777777">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Pr="003549E9" w:rsidR="00AF0F2E">
              <w:rPr>
                <w:smallCaps w:val="0"/>
                <w:szCs w:val="20"/>
                <w:lang w:val="x-none"/>
              </w:rPr>
              <w:t xml:space="preserve">de </w:t>
            </w:r>
            <w:r w:rsidRPr="003549E9" w:rsidR="00AF0F2E">
              <w:rPr>
                <w:smallCaps w:val="0"/>
                <w:szCs w:val="20"/>
              </w:rPr>
              <w:t>outubro</w:t>
            </w:r>
            <w:r w:rsidRPr="003549E9" w:rsidR="00AF0F2E">
              <w:rPr>
                <w:smallCaps w:val="0"/>
                <w:szCs w:val="20"/>
                <w:lang w:val="x-none"/>
              </w:rPr>
              <w:t xml:space="preserve"> de 2021.</w:t>
            </w:r>
          </w:p>
        </w:tc>
      </w:tr>
      <w:tr w14:paraId="5F65DB4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F79E7B2" w14:textId="7777777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14:paraId="22BA47EC" w14:textId="77777777">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14:paraId="2822F63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19B56D7" w14:textId="7777777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14:paraId="1F5F5A96" w14:textId="5812E99D">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E92C30">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AC667AA"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604CB85B"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14:paraId="7A49581E" w14:textId="5418564D">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E92C30">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22689F1A"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5883CCD5"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14:paraId="5355ECC2" w14:textId="3BF1679D">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E92C30">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36D0443E"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22AC6D02" w14:textId="77777777">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Pr="0061407E" w:rsidR="00F33343">
              <w:rPr>
                <w:b/>
                <w:smallCaps w:val="0"/>
              </w:rPr>
              <w:t>da</w:t>
            </w:r>
            <w:r w:rsidRPr="00F95AE7">
              <w:rPr>
                <w:b/>
                <w:smallCaps w:val="0"/>
                <w:szCs w:val="20"/>
                <w:lang w:val="x-none"/>
              </w:rPr>
              <w:t xml:space="preserve"> Primeira Série</w:t>
            </w:r>
          </w:p>
        </w:tc>
        <w:tc>
          <w:tcPr>
            <w:tcW w:w="5535" w:type="dxa"/>
          </w:tcPr>
          <w:p w:rsidR="00FD40C2" w:rsidRPr="00F95AE7" w14:paraId="4BDEA0EB" w14:textId="77518E18">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E92C30">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BE9F53B"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6ED6D570" w14:textId="77777777">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14:paraId="42C71E80" w14:textId="3B97DD1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E92C30">
              <w:rPr>
                <w:smallCaps w:val="0"/>
                <w:szCs w:val="20"/>
              </w:rPr>
              <w:t>6.6</w:t>
            </w:r>
            <w:r w:rsidR="00343518">
              <w:rPr>
                <w:smallCaps w:val="0"/>
                <w:szCs w:val="20"/>
              </w:rPr>
              <w:fldChar w:fldCharType="end"/>
            </w:r>
            <w:r w:rsidRPr="00F95AE7">
              <w:rPr>
                <w:smallCaps w:val="0"/>
                <w:szCs w:val="20"/>
                <w:lang w:val="x-none"/>
              </w:rPr>
              <w:t xml:space="preserve"> desta Escritura.</w:t>
            </w:r>
          </w:p>
        </w:tc>
      </w:tr>
      <w:tr w14:paraId="691A6DB1"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971C562" w14:textId="77777777">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14:paraId="6CADF845" w14:textId="3720B971">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E92C30" w:rsidR="00E92C30">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14:paraId="13C88F7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5EF1E9B" w14:textId="7777777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14:paraId="3175EB17" w14:textId="598F3EA5">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espécie quirografária, objeto da presente Emissão, emitidas nos termos da presente Escritura, observado o disposto na Cláusula </w:t>
            </w:r>
            <w:r w:rsidRPr="00F95AE7" w:rsidR="00185DCD">
              <w:rPr>
                <w:smallCaps w:val="0"/>
                <w:color w:val="auto"/>
                <w:szCs w:val="20"/>
                <w:lang w:eastAsia="x-none"/>
              </w:rPr>
              <w:fldChar w:fldCharType="begin"/>
            </w:r>
            <w:r w:rsidRPr="007552BF" w:rsidR="00185DCD">
              <w:rPr>
                <w:smallCaps w:val="0"/>
                <w:color w:val="auto"/>
                <w:szCs w:val="20"/>
                <w:lang w:eastAsia="x-none"/>
              </w:rPr>
              <w:instrText xml:space="preserve"> REF _Ref84166113 \r \h </w:instrText>
            </w:r>
            <w:r w:rsidRPr="007552BF" w:rsidR="007552BF">
              <w:rPr>
                <w:smallCaps w:val="0"/>
                <w:color w:val="auto"/>
                <w:szCs w:val="20"/>
                <w:lang w:eastAsia="x-none"/>
              </w:rPr>
              <w:instrText xml:space="preserve"> \* MERGEFORMAT </w:instrText>
            </w:r>
            <w:r w:rsidRPr="00F95AE7" w:rsidR="00185DCD">
              <w:rPr>
                <w:smallCaps w:val="0"/>
                <w:color w:val="auto"/>
                <w:szCs w:val="20"/>
                <w:lang w:eastAsia="x-none"/>
              </w:rPr>
              <w:fldChar w:fldCharType="separate"/>
            </w:r>
            <w:r w:rsidR="00E92C30">
              <w:rPr>
                <w:smallCaps w:val="0"/>
                <w:color w:val="auto"/>
                <w:szCs w:val="20"/>
                <w:lang w:eastAsia="x-none"/>
              </w:rPr>
              <w:t>6.10.2</w:t>
            </w:r>
            <w:r w:rsidRPr="00F95AE7" w:rsidR="00185DCD">
              <w:rPr>
                <w:smallCaps w:val="0"/>
                <w:color w:val="auto"/>
                <w:szCs w:val="20"/>
                <w:lang w:eastAsia="x-none"/>
              </w:rPr>
              <w:fldChar w:fldCharType="end"/>
            </w:r>
            <w:r w:rsidRPr="007552BF" w:rsidR="00185DCD">
              <w:rPr>
                <w:smallCaps w:val="0"/>
                <w:color w:val="auto"/>
                <w:szCs w:val="20"/>
                <w:lang w:eastAsia="x-none"/>
              </w:rPr>
              <w:t xml:space="preserve"> abaixo</w:t>
            </w:r>
            <w:r w:rsidRPr="007552BF">
              <w:rPr>
                <w:smallCaps w:val="0"/>
                <w:color w:val="auto"/>
                <w:szCs w:val="20"/>
                <w:lang w:val="x-none" w:eastAsia="x-none"/>
              </w:rPr>
              <w:t>.</w:t>
            </w:r>
          </w:p>
        </w:tc>
      </w:tr>
      <w:tr w14:paraId="760A76E8" w14:textId="77777777" w:rsidTr="00653684">
        <w:tblPrEx>
          <w:tblW w:w="9151" w:type="dxa"/>
          <w:tblInd w:w="70" w:type="dxa"/>
          <w:tblLayout w:type="fixed"/>
          <w:tblCellMar>
            <w:left w:w="70" w:type="dxa"/>
            <w:right w:w="70" w:type="dxa"/>
          </w:tblCellMar>
          <w:tblLook w:val="0000"/>
        </w:tblPrEx>
        <w:tc>
          <w:tcPr>
            <w:tcW w:w="3616" w:type="dxa"/>
          </w:tcPr>
          <w:p w:rsidR="00702C31" w:rsidRPr="007552BF" w14:paraId="1034DEB1" w14:textId="77777777">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14:paraId="574FD596" w14:textId="77777777">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14:paraId="2CC1B88E" w14:textId="6195CBAB">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E92C30">
              <w:rPr>
                <w:smallCaps w:val="0"/>
                <w:color w:val="auto"/>
                <w:szCs w:val="20"/>
                <w:lang w:eastAsia="x-none"/>
              </w:rPr>
              <w:t>6.10.2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14:paraId="1ED1E9FE" w14:textId="5C689B5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E92C30">
              <w:rPr>
                <w:smallCaps w:val="0"/>
                <w:color w:val="auto"/>
                <w:szCs w:val="20"/>
                <w:lang w:eastAsia="x-none"/>
              </w:rPr>
              <w:t>6.10.2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14:paraId="0BD15D8C"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A80A6FC" w14:textId="77777777">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14:paraId="0492B90A" w14:textId="77777777">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14:paraId="78A5F78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9FE7E13" w14:textId="7777777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14:paraId="3337A447" w14:textId="77777777">
            <w:pPr>
              <w:pStyle w:val="Body"/>
              <w:widowControl w:val="0"/>
              <w:spacing w:before="140" w:after="0"/>
              <w:rPr>
                <w:smallCaps w:val="0"/>
                <w:szCs w:val="20"/>
                <w:lang w:val="x-none"/>
              </w:rPr>
            </w:pPr>
            <w:r w:rsidRPr="00083831">
              <w:rPr>
                <w:smallCaps w:val="0"/>
                <w:szCs w:val="20"/>
                <w:lang w:val="x-none"/>
              </w:rPr>
              <w:t xml:space="preserve">Os titulares das Debêntures. </w:t>
            </w:r>
          </w:p>
        </w:tc>
      </w:tr>
      <w:tr w14:paraId="1400DCF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216F288" w14:textId="77777777">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14:paraId="15630D45" w14:textId="77777777">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14:paraId="6094DA0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028F155" w14:textId="77777777">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14:paraId="3DBEECF2" w14:textId="77777777">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14:paraId="4B47F030" w14:textId="77777777" w:rsidTr="00653684">
        <w:tblPrEx>
          <w:tblW w:w="9151" w:type="dxa"/>
          <w:tblInd w:w="70" w:type="dxa"/>
          <w:tblLayout w:type="fixed"/>
          <w:tblCellMar>
            <w:left w:w="70" w:type="dxa"/>
            <w:right w:w="70" w:type="dxa"/>
          </w:tblCellMar>
          <w:tblLook w:val="0000"/>
        </w:tblPrEx>
        <w:tc>
          <w:tcPr>
            <w:tcW w:w="3616" w:type="dxa"/>
          </w:tcPr>
          <w:p w:rsidR="005A0D44" w:rsidRPr="007552BF" w14:paraId="497E20A7" w14:textId="77777777">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14:paraId="06B79125" w14:textId="25B16CF1">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E92C30">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31934AC0"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21D640AC" w14:textId="77777777">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14:paraId="337BDB28"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14:paraId="323DCB1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AA76A95" w14:textId="7777777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14:paraId="03B0D73C"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14:paraId="09E5E5B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7A46D2D" w14:textId="7777777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14:paraId="49FCFF95"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 xml:space="preserve">no </w:t>
            </w:r>
            <w:r w:rsidRPr="006E595D">
              <w:rPr>
                <w:i/>
                <w:smallCaps w:val="0"/>
                <w:szCs w:val="20"/>
                <w:lang w:val="x-none"/>
              </w:rPr>
              <w:t>press</w:t>
            </w:r>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Pr="0061407E" w:rsidR="00BC5E8A">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Pr="0061407E" w:rsidR="00BC5E8A">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Pr="0061407E" w:rsidR="00BC5E8A">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14:paraId="00E6D89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3AAC7F1" w14:textId="77777777">
            <w:pPr>
              <w:pStyle w:val="Body"/>
              <w:widowControl w:val="0"/>
              <w:spacing w:before="140" w:after="0"/>
              <w:jc w:val="left"/>
              <w:rPr>
                <w:b/>
                <w:smallCaps w:val="0"/>
                <w:szCs w:val="20"/>
              </w:rPr>
            </w:pPr>
            <w:r w:rsidRPr="007552BF">
              <w:rPr>
                <w:b/>
                <w:bCs/>
                <w:smallCaps w:val="0"/>
                <w:szCs w:val="20"/>
              </w:rPr>
              <w:t xml:space="preserve">Edital de Oferta de </w:t>
            </w:r>
            <w:r w:rsidRPr="007552BF" w:rsidR="002E230B">
              <w:rPr>
                <w:b/>
                <w:bCs/>
                <w:smallCaps w:val="0"/>
                <w:szCs w:val="20"/>
              </w:rPr>
              <w:t>Resgate Antecipado Facultativo Total</w:t>
            </w:r>
          </w:p>
        </w:tc>
        <w:tc>
          <w:tcPr>
            <w:tcW w:w="5535" w:type="dxa"/>
          </w:tcPr>
          <w:p w:rsidR="00C25A1F" w:rsidRPr="00083831" w14:paraId="59C54B4E" w14:textId="6754AF1F">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E92C30" w:rsidR="00E92C30">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14:paraId="3B59E6C0"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310BA61" w14:textId="7777777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14:paraId="23CAEFB0" w14:textId="62FE8ECD">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E92C30" w:rsidR="00E92C30">
              <w:rPr>
                <w:smallCaps w:val="0"/>
                <w:szCs w:val="20"/>
              </w:rPr>
              <w:t>9.1.1</w:t>
            </w:r>
            <w:r w:rsidRPr="00E92C30" w:rsidR="00E92C30">
              <w:rPr>
                <w:smallCaps w:val="0"/>
                <w:color w:val="auto"/>
                <w:szCs w:val="20"/>
                <w:lang w:val="x-none"/>
              </w:rPr>
              <w:t>(</w:t>
            </w:r>
            <w:r w:rsidRPr="00E92C30" w:rsidR="00E92C30">
              <w:rPr>
                <w:smallCaps w:val="0"/>
                <w:color w:val="auto"/>
                <w:szCs w:val="20"/>
                <w:lang w:val="x-none"/>
              </w:rPr>
              <w:t>iv</w:t>
            </w:r>
            <w:r w:rsidRPr="00E92C30" w:rsidR="00E92C30">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6B28648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2F6319A" w14:textId="7777777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14:paraId="39D994A6" w14:textId="77777777">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14:paraId="1B84514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7A52659" w14:textId="7777777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14:paraId="65BCEAB0" w14:textId="77777777">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14:paraId="7A08C8A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E2F0DD9" w14:textId="7777777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14:paraId="2E331DBE" w14:textId="5AB92D7B">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E92C30" w:rsidR="00E92C30">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14:paraId="6AFABAB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E07A011" w14:textId="7777777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14:paraId="45947289" w14:textId="77777777">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Pr="006E595D" w:rsidR="00E47EBA">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14:paraId="17A977E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FDB2E71" w14:textId="77777777">
            <w:pPr>
              <w:pStyle w:val="Body"/>
              <w:widowControl w:val="0"/>
              <w:spacing w:before="140" w:after="0"/>
              <w:jc w:val="left"/>
              <w:rPr>
                <w:b/>
                <w:smallCaps w:val="0"/>
                <w:szCs w:val="20"/>
              </w:rPr>
            </w:pPr>
            <w:r w:rsidRPr="007552BF">
              <w:rPr>
                <w:b/>
                <w:bCs/>
                <w:smallCaps w:val="0"/>
                <w:szCs w:val="20"/>
              </w:rPr>
              <w:t>Escriturador</w:t>
            </w:r>
            <w:r w:rsidRPr="007552BF">
              <w:rPr>
                <w:b/>
                <w:bCs/>
                <w:smallCaps w:val="0"/>
                <w:szCs w:val="20"/>
              </w:rPr>
              <w:t xml:space="preserve"> </w:t>
            </w:r>
          </w:p>
        </w:tc>
        <w:tc>
          <w:tcPr>
            <w:tcW w:w="5535" w:type="dxa"/>
          </w:tcPr>
          <w:p w:rsidR="00C25A1F" w:rsidRPr="006E595D" w14:paraId="0691850A" w14:textId="77777777">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14:paraId="552F9F18"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5B696CEC" w14:textId="77777777">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14:paraId="768486AD" w14:textId="0D12ADD0">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E92C30" w:rsidR="00E92C30">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14:paraId="3953BFB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EF74C7D" w14:textId="7777777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14:paraId="103E190D" w14:textId="77777777">
            <w:pPr>
              <w:pStyle w:val="Body"/>
              <w:widowControl w:val="0"/>
              <w:spacing w:before="140" w:after="0"/>
              <w:rPr>
                <w:smallCaps w:val="0"/>
                <w:szCs w:val="20"/>
                <w:lang w:val="x-none"/>
              </w:rPr>
            </w:pPr>
            <w:r w:rsidRPr="00083831">
              <w:rPr>
                <w:smallCaps w:val="0"/>
                <w:szCs w:val="20"/>
                <w:lang w:val="x-none"/>
              </w:rPr>
              <w:t>Light S.A., acima qualificada.</w:t>
            </w:r>
          </w:p>
        </w:tc>
      </w:tr>
      <w:tr w14:paraId="53FB87C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CEDDD70" w14:textId="7777777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14:paraId="2C55005C" w14:textId="2C107479">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E92C30" w:rsidR="00E92C30">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14:paraId="0B75C9A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3942279" w14:textId="77777777">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14:paraId="14FB659C" w14:textId="77777777">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14:paraId="1DB49183" w14:textId="77777777"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14:paraId="40C58CB8" w14:textId="7777777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14:paraId="75B43726" w14:textId="21CAC7AA">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E92C30" w:rsidR="00E92C30">
              <w:rPr>
                <w:smallCaps w:val="0"/>
                <w:szCs w:val="20"/>
              </w:rPr>
              <w:t>8.2.1</w:t>
            </w:r>
            <w:r w:rsidRPr="00E92C30" w:rsidR="00E92C30">
              <w:rPr>
                <w:smallCaps w:val="0"/>
                <w:color w:val="auto"/>
                <w:szCs w:val="20"/>
                <w:lang w:val="x-none"/>
              </w:rPr>
              <w:t>(</w:t>
            </w:r>
            <w:r w:rsidRPr="00E92C30" w:rsidR="00E92C30">
              <w:rPr>
                <w:smallCaps w:val="0"/>
                <w:color w:val="auto"/>
                <w:szCs w:val="20"/>
                <w:lang w:val="x-none"/>
              </w:rPr>
              <w:t>xii</w:t>
            </w:r>
            <w:r w:rsidRPr="00E92C30" w:rsidR="00E92C30">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081D323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33F06DD" w14:textId="7777777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14:paraId="13F70F93" w14:textId="77777777">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14:paraId="665414C1" w14:textId="77777777" w:rsidTr="00653684">
        <w:tblPrEx>
          <w:tblW w:w="9151" w:type="dxa"/>
          <w:tblInd w:w="70" w:type="dxa"/>
          <w:tblLayout w:type="fixed"/>
          <w:tblCellMar>
            <w:left w:w="70" w:type="dxa"/>
            <w:right w:w="70" w:type="dxa"/>
          </w:tblCellMar>
          <w:tblLook w:val="0000"/>
        </w:tblPrEx>
        <w:tc>
          <w:tcPr>
            <w:tcW w:w="3616" w:type="dxa"/>
          </w:tcPr>
          <w:p w:rsidR="00CC3321" w:rsidRPr="007552BF" w14:paraId="631C9AE8" w14:textId="77777777">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1407E" w14:paraId="5B6FAD31" w14:textId="77777777">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14:paraId="308BDC2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2AD15CB" w14:textId="7777777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14:paraId="0529D2E2" w14:textId="77777777">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14:paraId="11D2A71E" w14:textId="77777777" w:rsidTr="00653684">
        <w:tblPrEx>
          <w:tblW w:w="9151" w:type="dxa"/>
          <w:tblInd w:w="70" w:type="dxa"/>
          <w:tblLayout w:type="fixed"/>
          <w:tblCellMar>
            <w:left w:w="70" w:type="dxa"/>
            <w:right w:w="70" w:type="dxa"/>
          </w:tblCellMar>
          <w:tblLook w:val="0000"/>
        </w:tblPrEx>
        <w:tc>
          <w:tcPr>
            <w:tcW w:w="3616" w:type="dxa"/>
          </w:tcPr>
          <w:p w:rsidR="00C25A1F" w:rsidRPr="007552BF" w14:paraId="008A8D68" w14:textId="77777777">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14:paraId="5E5F8733" w14:textId="77777777">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14:paraId="5083043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961E4F1" w14:textId="77777777">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14:paraId="1B98D07D" w14:textId="672EABDF">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E92C30">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6320CC6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D4532F4" w14:textId="7777777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14:paraId="72C0A257" w14:textId="77777777">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14:paraId="58AD116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C4F764B" w14:textId="7777777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14:paraId="0F7A0F63" w14:textId="77777777">
            <w:pPr>
              <w:pStyle w:val="Body"/>
              <w:widowControl w:val="0"/>
              <w:spacing w:before="140" w:after="0"/>
              <w:rPr>
                <w:smallCaps w:val="0"/>
                <w:szCs w:val="20"/>
                <w:lang w:val="x-none"/>
              </w:rPr>
            </w:pPr>
            <w:r w:rsidRPr="00083831">
              <w:rPr>
                <w:smallCaps w:val="0"/>
                <w:szCs w:val="20"/>
                <w:lang w:val="x-none"/>
              </w:rPr>
              <w:t>Junta Comercial do Estado do Rio de Janeiro</w:t>
            </w:r>
          </w:p>
        </w:tc>
      </w:tr>
      <w:tr w14:paraId="2F612A9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02822884" w14:textId="7777777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14:paraId="5658FFFB" w14:textId="77777777">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14:paraId="71ABA6F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DAB8446" w14:textId="77777777">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14:paraId="77FE4BB7" w14:textId="77777777">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14:paraId="1220711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1311264" w14:textId="7777777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14:paraId="329B7D3E" w14:textId="77777777">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14:paraId="238589FA"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1A04B38" w14:textId="77777777">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14:paraId="7D72431C" w14:textId="77777777">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r w:rsidRPr="0061407E">
              <w:rPr>
                <w:b/>
                <w:smallCaps w:val="0"/>
                <w:lang w:val="x-none"/>
              </w:rPr>
              <w:t>iii</w:t>
            </w:r>
            <w:r w:rsidRPr="0061407E" w:rsidR="007F2598">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w:t>
            </w:r>
            <w:r w:rsidRPr="0061407E">
              <w:rPr>
                <w:b/>
                <w:smallCaps w:val="0"/>
                <w:lang w:val="x-none"/>
              </w:rPr>
              <w:t>iv</w:t>
            </w:r>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w:t>
            </w:r>
            <w:r w:rsidRPr="0061407E">
              <w:rPr>
                <w:b/>
                <w:smallCaps w:val="0"/>
                <w:lang w:val="x-none"/>
              </w:rPr>
              <w:t>vii</w:t>
            </w:r>
            <w:r w:rsidRPr="0061407E">
              <w:rPr>
                <w:b/>
                <w:smallCaps w:val="0"/>
                <w:lang w:val="x-none"/>
              </w:rPr>
              <w:t>)</w:t>
            </w:r>
            <w:r w:rsidRPr="006E595D">
              <w:rPr>
                <w:smallCaps w:val="0"/>
                <w:szCs w:val="20"/>
                <w:lang w:val="x-none"/>
              </w:rPr>
              <w:t xml:space="preserve"> o efeito fiscal de quaisquer dos itens descritos acima.</w:t>
            </w:r>
          </w:p>
        </w:tc>
      </w:tr>
      <w:tr w14:paraId="7440892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50B0420" w14:textId="7777777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14:paraId="22AA2455" w14:textId="77777777">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r w:rsidRPr="0061407E">
              <w:rPr>
                <w:i/>
                <w:smallCaps w:val="0"/>
                <w:lang w:val="x-none"/>
              </w:rPr>
              <w:t>Foreign</w:t>
            </w:r>
            <w:r w:rsidRPr="0061407E">
              <w:rPr>
                <w:i/>
                <w:smallCaps w:val="0"/>
                <w:lang w:val="x-none"/>
              </w:rPr>
              <w:t xml:space="preserve"> </w:t>
            </w:r>
            <w:r w:rsidRPr="0061407E">
              <w:rPr>
                <w:i/>
                <w:smallCaps w:val="0"/>
                <w:lang w:val="x-none"/>
              </w:rPr>
              <w:t>Corrupt</w:t>
            </w:r>
            <w:r w:rsidRPr="0061407E">
              <w:rPr>
                <w:i/>
                <w:smallCaps w:val="0"/>
                <w:lang w:val="x-none"/>
              </w:rPr>
              <w:t xml:space="preserve"> </w:t>
            </w:r>
            <w:r w:rsidRPr="0061407E">
              <w:rPr>
                <w:i/>
                <w:smallCaps w:val="0"/>
                <w:lang w:val="x-none"/>
              </w:rPr>
              <w:t>Practices</w:t>
            </w:r>
            <w:r w:rsidRPr="0061407E">
              <w:rPr>
                <w:i/>
                <w:smallCaps w:val="0"/>
                <w:lang w:val="x-none"/>
              </w:rPr>
              <w:t xml:space="preserve"> </w:t>
            </w:r>
            <w:r w:rsidRPr="0061407E">
              <w:rPr>
                <w:i/>
                <w:smallCaps w:val="0"/>
                <w:lang w:val="x-none"/>
              </w:rPr>
              <w:t>Act</w:t>
            </w:r>
            <w:r w:rsidRPr="0061407E">
              <w:rPr>
                <w:i/>
                <w:smallCaps w:val="0"/>
                <w:lang w:val="x-none"/>
              </w:rPr>
              <w:t xml:space="preserve"> </w:t>
            </w:r>
            <w:r w:rsidRPr="0061407E">
              <w:rPr>
                <w:i/>
                <w:smallCaps w:val="0"/>
                <w:lang w:val="x-none"/>
              </w:rPr>
              <w:t>of</w:t>
            </w:r>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r w:rsidRPr="0061407E">
              <w:rPr>
                <w:i/>
                <w:smallCaps w:val="0"/>
                <w:lang w:val="x-none"/>
              </w:rPr>
              <w:t>Bribery</w:t>
            </w:r>
            <w:r w:rsidRPr="0061407E">
              <w:rPr>
                <w:i/>
                <w:smallCaps w:val="0"/>
                <w:lang w:val="x-none"/>
              </w:rPr>
              <w:t xml:space="preserve"> </w:t>
            </w:r>
            <w:r w:rsidRPr="0061407E">
              <w:rPr>
                <w:i/>
                <w:smallCaps w:val="0"/>
                <w:lang w:val="x-none"/>
              </w:rPr>
              <w:t>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14:paraId="30F1B62C"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6ADA6074" w14:textId="7777777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14:paraId="56B32079" w14:textId="77777777">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14:paraId="0EAEEDF6"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14:paraId="43E68542" w14:textId="77777777">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14:paraId="7D93158E" w14:textId="5C24A08A">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E92C30">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7F853588"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67EBB621" w14:textId="7777777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14:paraId="58B6FFEE" w14:textId="77777777">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14:paraId="4D95AEA1"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3463AE13" w14:textId="77777777">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14:paraId="6F19D88E" w14:textId="3711A1AD">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E92C30" w:rsidR="00E92C30">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14:paraId="4CB6DFE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025937D3" w14:textId="7777777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14:paraId="33BF4B42" w14:textId="77777777">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r w:rsidRPr="006E595D">
              <w:rPr>
                <w:smallCaps w:val="0"/>
                <w:szCs w:val="20"/>
                <w:lang w:val="x-none"/>
              </w:rPr>
              <w:t>fundados</w:t>
            </w:r>
            <w:r w:rsidRPr="006E595D">
              <w:rPr>
                <w:smallCaps w:val="0"/>
                <w:szCs w:val="2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14:paraId="3CE681D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1EB83886" w14:textId="77777777">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14:paraId="1C5D287A" w14:textId="18BA4F98">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E92C30">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14:paraId="79090962"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2103E24" w14:textId="7777777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14:paraId="742CE2E3" w14:textId="274B2317">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E92C30">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14:paraId="63E1BD1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AB9FC98" w14:textId="77777777">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14:paraId="7C1C4721" w14:textId="77777777">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14:paraId="3A07B923"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6620F2C0" w14:textId="7777777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14:paraId="190D9B33" w14:textId="088DF377">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E92C30" w:rsidR="00E92C30">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14:paraId="42C317B0"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55643BD" w14:textId="7777777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14:paraId="69718332" w14:textId="4C3C1C18">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E92C30">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14:paraId="7765CCB8"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170A4CF" w14:textId="7777777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14:paraId="696F8C49" w14:textId="2FB4B902">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15</w:t>
            </w:r>
            <w:r w:rsidRPr="00E92C30" w:rsidR="00E41221">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14:paraId="1B9B82F5"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176BA6E2" w14:textId="7777777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14:paraId="17EDDF48" w14:textId="3BA0BA29">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15</w:t>
            </w:r>
            <w:r w:rsidRPr="00E92C30" w:rsidR="00E41221">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14:paraId="6079050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7FBB484" w14:textId="77777777">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14:paraId="4E48F8AE" w14:textId="7EDD5D07">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E92C30">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14:paraId="0A337CD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1DC39566" w14:textId="77777777">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14:paraId="73471D14" w14:textId="6E3E57B1">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E92C30">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14:paraId="678016AA"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7449A94F" w14:textId="77777777">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14:paraId="48F12E0A" w14:textId="503A757A">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E92C30">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14:paraId="111D246F"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7F25A37" w14:textId="77777777">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14:paraId="677BBD61" w14:textId="77777777">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14:paraId="718BE9E3"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260B62E9" w14:textId="77777777">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1407E" w14:paraId="1DDE3B0B" w14:textId="77777777">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14:paraId="69356865"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1F98A1F4"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1407E" w14:paraId="3D89C41D" w14:textId="77777777">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14:paraId="565FB0F3"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40F2DF0E"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14:paraId="4063F94C" w14:textId="0F90B805">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E92C30">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00484BCC"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30143A09"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14:paraId="13034A5B" w14:textId="0408E0D7">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E92C30">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1848F0C7"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70907034"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14:paraId="702D6357" w14:textId="7DA8A50E">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E92C30">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14:paraId="63545624"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4149B29F" w14:textId="7777777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14:paraId="43565DAC" w14:textId="77777777">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Pr="006E595D" w:rsidR="002A47EA">
              <w:rPr>
                <w:smallCaps w:val="0"/>
                <w:szCs w:val="20"/>
                <w:lang w:val="x-none"/>
              </w:rPr>
              <w:t xml:space="preserv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do </w:t>
            </w:r>
            <w:r w:rsidRPr="006E595D">
              <w:rPr>
                <w:smallCaps w:val="0"/>
                <w:szCs w:val="20"/>
                <w:lang w:val="x-none"/>
              </w:rPr>
              <w:t>Escriturador</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das taxas da B3.</w:t>
            </w:r>
          </w:p>
        </w:tc>
      </w:tr>
      <w:tr w14:paraId="2034EE51"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357987EF" w14:textId="7777777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14:paraId="1260A209" w14:textId="77777777">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14:paraId="3C0399D0"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29A75200" w14:textId="7777777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14:paraId="130182CC" w14:textId="77777777">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14:paraId="713081E6" w14:textId="1FEB5579">
      <w:pPr>
        <w:pStyle w:val="Level1"/>
        <w:keepNext w:val="0"/>
        <w:widowControl w:val="0"/>
        <w:spacing w:before="140" w:after="0"/>
        <w:rPr>
          <w:rFonts w:cs="Arial"/>
          <w:sz w:val="20"/>
          <w:szCs w:val="20"/>
        </w:rPr>
      </w:pPr>
      <w:bookmarkStart w:id="12" w:name="_Toc312057160"/>
      <w:r w:rsidRPr="00F95AE7">
        <w:rPr>
          <w:rFonts w:cs="Arial"/>
          <w:sz w:val="20"/>
          <w:szCs w:val="20"/>
        </w:rPr>
        <w:t>AUTORIZAÇÃO</w:t>
      </w:r>
      <w:bookmarkEnd w:id="8"/>
      <w:bookmarkEnd w:id="12"/>
    </w:p>
    <w:p w:rsidR="00A45162" w:rsidRPr="007552BF" w14:paraId="6CF43D61" w14:textId="3E6AAD45">
      <w:pPr>
        <w:pStyle w:val="Level2"/>
        <w:widowControl w:val="0"/>
        <w:spacing w:before="140" w:after="0"/>
        <w:rPr>
          <w:rFonts w:cs="Arial"/>
          <w:szCs w:val="20"/>
        </w:rPr>
      </w:pPr>
      <w:bookmarkStart w:id="13" w:name="_DV_M14"/>
      <w:bookmarkStart w:id="14" w:name="_Hlk66618592"/>
      <w:bookmarkEnd w:id="13"/>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00E41221">
        <w:rPr>
          <w:rFonts w:cs="Arial"/>
          <w:szCs w:val="20"/>
          <w:lang w:val="pt-BR"/>
        </w:rPr>
        <w:t>15</w:t>
      </w:r>
      <w:r w:rsidRPr="00E92C30" w:rsidR="00E41221">
        <w:rPr>
          <w:lang w:val="pt-BR"/>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1407E" w:rsidR="0012515C">
        <w:rPr>
          <w:b/>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1407E" w:rsidR="0012515C">
        <w:rPr>
          <w:b/>
          <w:lang w:val="pt-BR"/>
        </w:rPr>
        <w:t>(</w:t>
      </w:r>
      <w:r w:rsidRPr="0061407E" w:rsidR="0012515C">
        <w:rPr>
          <w:b/>
          <w:lang w:val="pt-BR"/>
        </w:rPr>
        <w:t>ii</w:t>
      </w:r>
      <w:r w:rsidRPr="0061407E" w:rsidR="0012515C">
        <w:rPr>
          <w:b/>
          <w:lang w:val="pt-BR"/>
        </w:rPr>
        <w:t>)</w:t>
      </w:r>
      <w:r w:rsidRPr="007552BF" w:rsidR="0012515C">
        <w:rPr>
          <w:rFonts w:cs="Arial"/>
          <w:iCs/>
          <w:szCs w:val="20"/>
          <w:lang w:val="pt-BR"/>
        </w:rPr>
        <w:t xml:space="preserve"> formalizar e efetivar a contratação dos Coordenadores, do Agente Fiduciário e dos prestadores de serviços necessários à implementação da Emissão e da Oferta, tais como </w:t>
      </w:r>
      <w:r w:rsidRPr="007552BF" w:rsidR="0012515C">
        <w:rPr>
          <w:rFonts w:cs="Arial"/>
          <w:iCs/>
          <w:szCs w:val="20"/>
          <w:lang w:val="pt-BR"/>
        </w:rPr>
        <w:t>Escriturador</w:t>
      </w:r>
      <w:r w:rsidRPr="007552BF" w:rsidR="0012515C">
        <w:rPr>
          <w:rFonts w:cs="Arial"/>
          <w:iCs/>
          <w:szCs w:val="20"/>
          <w:lang w:val="pt-BR"/>
        </w:rPr>
        <w:t>,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14:paraId="70E39092" w14:textId="5B9AD063">
      <w:pPr>
        <w:pStyle w:val="Level2"/>
        <w:widowControl w:val="0"/>
        <w:spacing w:before="140" w:after="0"/>
        <w:rPr>
          <w:rFonts w:cs="Arial"/>
          <w:szCs w:val="20"/>
        </w:rPr>
      </w:pPr>
      <w:bookmarkStart w:id="15" w:name="_Hlk66618627"/>
      <w:bookmarkEnd w:id="14"/>
      <w:r w:rsidRPr="007552BF">
        <w:rPr>
          <w:rFonts w:cs="Arial"/>
          <w:szCs w:val="20"/>
        </w:rPr>
        <w:t xml:space="preserve">A Fiança é outorgada com base nas deliberações da RCA da Fiadora realizada em </w:t>
      </w:r>
      <w:r w:rsidR="00E41221">
        <w:rPr>
          <w:rFonts w:cs="Arial"/>
          <w:szCs w:val="20"/>
          <w:lang w:val="pt-BR"/>
        </w:rPr>
        <w:t>15</w:t>
      </w:r>
      <w:r w:rsidRPr="00E92C30" w:rsidR="00E41221">
        <w:rPr>
          <w:lang w:val="pt-BR"/>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encerramento do Procedimento de </w:t>
      </w:r>
      <w:r w:rsidRPr="007552BF" w:rsidR="003E49BB">
        <w:rPr>
          <w:rFonts w:cs="Arial"/>
          <w:i/>
          <w:szCs w:val="20"/>
        </w:rPr>
        <w:t>Bookbuilding</w:t>
      </w:r>
      <w:r w:rsidRPr="007552BF">
        <w:rPr>
          <w:rFonts w:cs="Arial"/>
          <w:szCs w:val="20"/>
        </w:rPr>
        <w:t xml:space="preserve">. </w:t>
      </w:r>
    </w:p>
    <w:p w:rsidR="00A45162" w:rsidRPr="00F95AE7" w14:paraId="652E2540" w14:textId="51DB5427">
      <w:pPr>
        <w:pStyle w:val="Level1"/>
        <w:keepNext w:val="0"/>
        <w:widowControl w:val="0"/>
        <w:spacing w:before="140" w:after="0"/>
        <w:rPr>
          <w:rFonts w:cs="Arial"/>
          <w:sz w:val="20"/>
          <w:szCs w:val="20"/>
        </w:rPr>
      </w:pPr>
      <w:bookmarkStart w:id="16" w:name="_DV_M15"/>
      <w:bookmarkStart w:id="17" w:name="_Toc499990314"/>
      <w:bookmarkStart w:id="18" w:name="_Toc312057161"/>
      <w:bookmarkEnd w:id="15"/>
      <w:bookmarkEnd w:id="16"/>
      <w:r w:rsidRPr="00F95AE7">
        <w:rPr>
          <w:rFonts w:cs="Arial"/>
          <w:sz w:val="20"/>
          <w:szCs w:val="20"/>
        </w:rPr>
        <w:t>REQUISITOS</w:t>
      </w:r>
      <w:bookmarkEnd w:id="17"/>
      <w:bookmarkEnd w:id="18"/>
    </w:p>
    <w:p w:rsidR="00A45162" w:rsidRPr="00E92C30" w:rsidP="006E595D" w14:paraId="3657FDF7" w14:textId="407657DD">
      <w:pPr>
        <w:pStyle w:val="Level2"/>
        <w:widowControl w:val="0"/>
        <w:numPr>
          <w:ilvl w:val="0"/>
          <w:numId w:val="0"/>
        </w:numPr>
        <w:spacing w:before="140" w:after="0"/>
        <w:rPr>
          <w:lang w:val="pt-BR"/>
        </w:rPr>
      </w:pPr>
      <w:bookmarkStart w:id="19" w:name="_DV_M16"/>
      <w:bookmarkEnd w:id="19"/>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r w:rsidR="00941A2D">
        <w:rPr>
          <w:rFonts w:cs="Arial"/>
          <w:szCs w:val="20"/>
          <w:lang w:val="pt-BR"/>
        </w:rPr>
        <w:t>.</w:t>
      </w:r>
    </w:p>
    <w:p w:rsidR="00CC3321" w:rsidRPr="006E595D" w:rsidP="006E595D" w14:paraId="68B6ADEA" w14:textId="77777777">
      <w:pPr>
        <w:pStyle w:val="Level2"/>
        <w:spacing w:before="140" w:after="0"/>
        <w:rPr>
          <w:rFonts w:cs="Arial"/>
          <w:b/>
          <w:szCs w:val="20"/>
        </w:rPr>
      </w:pPr>
      <w:bookmarkStart w:id="20" w:name="_DV_M22"/>
      <w:bookmarkEnd w:id="20"/>
      <w:r w:rsidRPr="006E595D">
        <w:rPr>
          <w:rFonts w:cs="Arial"/>
          <w:b/>
          <w:szCs w:val="20"/>
        </w:rPr>
        <w:t>Dispensa de Registro na CVM</w:t>
      </w:r>
    </w:p>
    <w:p w:rsidR="00CC3321" w:rsidRPr="006E595D" w:rsidP="006E595D" w14:paraId="433AEB42" w14:textId="77777777">
      <w:pPr>
        <w:pStyle w:val="Level3"/>
        <w:spacing w:before="140" w:after="0"/>
        <w:rPr>
          <w:rFonts w:cs="Arial"/>
          <w:szCs w:val="20"/>
        </w:rPr>
      </w:pPr>
      <w:r w:rsidRPr="00F95AE7">
        <w:rPr>
          <w:rFonts w:cs="Arial"/>
          <w:szCs w:val="20"/>
        </w:rPr>
        <w:t xml:space="preserve">A Oferta será realizada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14:paraId="4660297A" w14:textId="77777777">
      <w:pPr>
        <w:pStyle w:val="Level2"/>
        <w:spacing w:before="140" w:after="0"/>
        <w:rPr>
          <w:rFonts w:cs="Arial"/>
          <w:b/>
          <w:szCs w:val="20"/>
        </w:rPr>
      </w:pPr>
      <w:bookmarkStart w:id="21" w:name="_Ref514711305"/>
      <w:r w:rsidRPr="006E595D">
        <w:rPr>
          <w:rFonts w:cs="Arial"/>
          <w:b/>
          <w:szCs w:val="20"/>
        </w:rPr>
        <w:t xml:space="preserve">Registro na </w:t>
      </w:r>
      <w:bookmarkEnd w:id="21"/>
      <w:r w:rsidRPr="00F95AE7" w:rsidR="00FB623C">
        <w:rPr>
          <w:rFonts w:cs="Arial"/>
          <w:b/>
          <w:szCs w:val="20"/>
          <w:lang w:val="pt-BR"/>
        </w:rPr>
        <w:t>ANBIMA</w:t>
      </w:r>
    </w:p>
    <w:p w:rsidR="00CC3321" w:rsidRPr="006E595D" w:rsidP="006E595D" w14:paraId="722419BD" w14:textId="77777777">
      <w:pPr>
        <w:pStyle w:val="Level3"/>
        <w:spacing w:before="140" w:after="0"/>
        <w:rPr>
          <w:rFonts w:cs="Arial"/>
          <w:szCs w:val="20"/>
        </w:rPr>
      </w:pPr>
      <w:bookmarkStart w:id="22"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2"/>
    </w:p>
    <w:p w:rsidR="00A45162" w:rsidRPr="00F95AE7" w:rsidP="006E595D" w14:paraId="6DFC617E" w14:textId="77777777">
      <w:pPr>
        <w:pStyle w:val="Level2"/>
        <w:spacing w:before="140" w:after="0"/>
        <w:rPr>
          <w:rFonts w:cs="Arial"/>
          <w:b/>
          <w:szCs w:val="20"/>
        </w:rPr>
      </w:pPr>
      <w:bookmarkStart w:id="23" w:name="_DV_M23"/>
      <w:bookmarkStart w:id="24" w:name="_DV_M28"/>
      <w:bookmarkStart w:id="25" w:name="_DV_M29"/>
      <w:bookmarkStart w:id="26" w:name="_DV_M33"/>
      <w:bookmarkStart w:id="27" w:name="_Ref65839923"/>
      <w:bookmarkStart w:id="28" w:name="_Hlk66976654"/>
      <w:bookmarkEnd w:id="23"/>
      <w:bookmarkEnd w:id="24"/>
      <w:bookmarkEnd w:id="25"/>
      <w:bookmarkEnd w:id="26"/>
      <w:r w:rsidRPr="00F95AE7">
        <w:rPr>
          <w:rFonts w:cs="Arial"/>
          <w:b/>
          <w:szCs w:val="20"/>
        </w:rPr>
        <w:t>Arquivamento e Publicação dos Documentos Societários</w:t>
      </w:r>
      <w:bookmarkEnd w:id="27"/>
    </w:p>
    <w:p w:rsidR="00A45162" w:rsidRPr="007552BF" w:rsidP="006E595D" w14:paraId="0635061A" w14:textId="77777777">
      <w:pPr>
        <w:pStyle w:val="Level3"/>
        <w:spacing w:before="140" w:after="0"/>
        <w:rPr>
          <w:rFonts w:cs="Arial"/>
          <w:szCs w:val="20"/>
        </w:rPr>
      </w:pPr>
      <w:bookmarkStart w:id="29" w:name="_Hlk66977172"/>
      <w:bookmarkStart w:id="30" w:name="_Ref66619486"/>
      <w:bookmarkEnd w:id="28"/>
      <w:r w:rsidRPr="007552BF">
        <w:rPr>
          <w:rFonts w:cs="Arial"/>
          <w:szCs w:val="20"/>
        </w:rPr>
        <w:t xml:space="preserve">A ata da RCA </w:t>
      </w:r>
      <w:bookmarkStart w:id="31" w:name="_DV_C36"/>
      <w:r w:rsidRPr="007552BF">
        <w:rPr>
          <w:rFonts w:cs="Arial"/>
          <w:szCs w:val="20"/>
        </w:rPr>
        <w:t>da Emissora que deliberou sobre a presente Emissão</w:t>
      </w:r>
      <w:bookmarkEnd w:id="31"/>
      <w:r w:rsidRPr="007552BF">
        <w:rPr>
          <w:rFonts w:cs="Arial"/>
          <w:szCs w:val="20"/>
        </w:rPr>
        <w:t xml:space="preserve"> será devidamente arquivada na JUCERJA e será publicada no</w:t>
      </w:r>
      <w:r w:rsidRPr="007552BF" w:rsidR="00D765A7">
        <w:rPr>
          <w:rFonts w:cs="Arial"/>
          <w:szCs w:val="20"/>
        </w:rPr>
        <w:t xml:space="preserve"> </w:t>
      </w:r>
      <w:r w:rsidRPr="007552BF" w:rsidR="00141FEB">
        <w:rPr>
          <w:rFonts w:cs="Arial"/>
          <w:szCs w:val="20"/>
        </w:rPr>
        <w:t>Diário Comercial</w:t>
      </w:r>
      <w:r w:rsidRPr="007552BF">
        <w:rPr>
          <w:rFonts w:cs="Arial"/>
          <w:szCs w:val="20"/>
        </w:rPr>
        <w:t xml:space="preserve"> e no Diário Oficial do Estado do Rio de Janeiro </w:t>
      </w:r>
      <w:bookmarkStart w:id="32" w:name="_Hlk66624398"/>
      <w:r w:rsidRPr="007552BF">
        <w:rPr>
          <w:rFonts w:cs="Arial"/>
          <w:szCs w:val="20"/>
        </w:rPr>
        <w:t xml:space="preserve">nos termos do </w:t>
      </w:r>
      <w:bookmarkStart w:id="33" w:name="_Hlk66109968"/>
      <w:r w:rsidRPr="007552BF">
        <w:rPr>
          <w:rFonts w:cs="Arial"/>
          <w:szCs w:val="20"/>
        </w:rPr>
        <w:t>inciso I do artigo 62</w:t>
      </w:r>
      <w:bookmarkEnd w:id="33"/>
      <w:r w:rsidRPr="00F95AE7" w:rsidR="008744D3">
        <w:rPr>
          <w:rFonts w:cs="Arial"/>
          <w:szCs w:val="20"/>
        </w:rPr>
        <w:t xml:space="preserve"> </w:t>
      </w:r>
      <w:r w:rsidRPr="007552BF" w:rsidR="008744D3">
        <w:rPr>
          <w:rFonts w:cs="Arial"/>
          <w:szCs w:val="20"/>
        </w:rPr>
        <w:t>e do artigo 289</w:t>
      </w:r>
      <w:r w:rsidRPr="007552BF">
        <w:rPr>
          <w:rFonts w:cs="Arial"/>
          <w:szCs w:val="20"/>
        </w:rPr>
        <w:t xml:space="preserve"> da Lei</w:t>
      </w:r>
      <w:r w:rsidRPr="007552BF" w:rsidR="002B4AA1">
        <w:rPr>
          <w:rFonts w:cs="Arial"/>
          <w:szCs w:val="20"/>
        </w:rPr>
        <w:t xml:space="preserve"> </w:t>
      </w:r>
      <w:r w:rsidRPr="007552BF" w:rsidR="002B4AA1">
        <w:rPr>
          <w:rFonts w:cs="Arial"/>
          <w:color w:val="000000"/>
          <w:w w:val="0"/>
          <w:szCs w:val="20"/>
        </w:rPr>
        <w:t>das Sociedades por Ações</w:t>
      </w:r>
      <w:bookmarkEnd w:id="29"/>
      <w:bookmarkEnd w:id="32"/>
      <w:r w:rsidRPr="007552BF">
        <w:rPr>
          <w:rFonts w:cs="Arial"/>
          <w:szCs w:val="20"/>
        </w:rPr>
        <w:t>.</w:t>
      </w:r>
      <w:r w:rsidRPr="007552BF" w:rsidR="000C3052">
        <w:rPr>
          <w:rFonts w:cs="Arial"/>
          <w:szCs w:val="20"/>
        </w:rPr>
        <w:t xml:space="preserve"> </w:t>
      </w:r>
      <w:bookmarkEnd w:id="30"/>
    </w:p>
    <w:p w:rsidR="00FC0CD7" w:rsidRPr="006E595D" w:rsidP="006E595D" w14:paraId="3B37D981" w14:textId="77777777">
      <w:pPr>
        <w:pStyle w:val="Level3"/>
        <w:spacing w:before="140" w:after="0"/>
        <w:rPr>
          <w:rFonts w:cs="Arial"/>
          <w:b/>
          <w:szCs w:val="20"/>
        </w:rPr>
      </w:pPr>
      <w:bookmarkStart w:id="34" w:name="_Ref65839615"/>
      <w:r w:rsidRPr="00F95AE7">
        <w:rPr>
          <w:rFonts w:cs="Arial"/>
          <w:szCs w:val="20"/>
        </w:rPr>
        <w:t xml:space="preserve">A ata da RCA da Fiadora que deliberou sobre a presente Emissão será devidamente arquivada na JUCERJA e será publicada no </w:t>
      </w:r>
      <w:r w:rsidRPr="00083831" w:rsidR="00141FEB">
        <w:rPr>
          <w:rFonts w:cs="Arial"/>
          <w:szCs w:val="20"/>
        </w:rPr>
        <w:t>Diário Comercial</w:t>
      </w:r>
      <w:r w:rsidRPr="006E595D">
        <w:rPr>
          <w:rFonts w:cs="Arial"/>
          <w:szCs w:val="20"/>
        </w:rPr>
        <w:t xml:space="preserve"> e no Diário Oficial do Estado do Rio de Janeiro</w:t>
      </w:r>
      <w:r w:rsidRPr="006E595D" w:rsidR="00CB2F24">
        <w:rPr>
          <w:rFonts w:cs="Arial"/>
          <w:szCs w:val="20"/>
        </w:rPr>
        <w:t>, nos termos do artigo 289, parágrafo 1º, da Lei das Sociedades por Ações, conforme aplicável</w:t>
      </w:r>
      <w:r w:rsidRPr="006E595D">
        <w:rPr>
          <w:rFonts w:cs="Arial"/>
          <w:szCs w:val="20"/>
        </w:rPr>
        <w:t>.</w:t>
      </w:r>
      <w:bookmarkEnd w:id="34"/>
      <w:r w:rsidRPr="006E595D" w:rsidR="000C3052">
        <w:rPr>
          <w:rFonts w:cs="Arial"/>
          <w:szCs w:val="20"/>
        </w:rPr>
        <w:t xml:space="preserve"> </w:t>
      </w:r>
    </w:p>
    <w:p w:rsidR="00FC0CD7" w:rsidRPr="007552BF" w14:paraId="689FFD55" w14:textId="0B3176CA">
      <w:pPr>
        <w:pStyle w:val="Level3"/>
        <w:spacing w:before="140" w:after="0"/>
        <w:rPr>
          <w:rFonts w:cs="Arial"/>
          <w:szCs w:val="20"/>
        </w:rPr>
      </w:pPr>
      <w:bookmarkStart w:id="35" w:name="_Hlk66624307"/>
      <w:bookmarkStart w:id="36"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fldChar w:fldCharType="separate"/>
      </w:r>
      <w:r w:rsidR="00E92C30">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Pr="00083831" w:rsidR="00494289">
        <w:rPr>
          <w:rFonts w:cs="Arial"/>
          <w:szCs w:val="20"/>
        </w:rPr>
        <w:t xml:space="preserve">na respectiva junta </w:t>
      </w:r>
      <w:r w:rsidRPr="006E595D" w:rsidR="00494289">
        <w:rPr>
          <w:rFonts w:cs="Arial"/>
          <w:szCs w:val="20"/>
        </w:rPr>
        <w:t>comercial</w:t>
      </w:r>
      <w:r w:rsidRPr="007552BF" w:rsidR="00B0566C">
        <w:rPr>
          <w:rFonts w:cs="Arial"/>
          <w:szCs w:val="20"/>
        </w:rPr>
        <w:t>,</w:t>
      </w:r>
      <w:r w:rsidRPr="007552BF">
        <w:rPr>
          <w:rFonts w:cs="Arial"/>
          <w:szCs w:val="20"/>
        </w:rPr>
        <w:t xml:space="preserve"> bem como do envio de suas respectivas publicações, nos termos da Cláusula </w:t>
      </w:r>
      <w:r w:rsidRPr="00083831" w:rsidR="00AB2D47">
        <w:rPr>
          <w:rFonts w:cs="Arial"/>
          <w:szCs w:val="20"/>
        </w:rPr>
        <w:fldChar w:fldCharType="begin"/>
      </w:r>
      <w:r w:rsidRPr="007552BF" w:rsidR="00AB2D47">
        <w:rPr>
          <w:rFonts w:cs="Arial"/>
          <w:szCs w:val="20"/>
        </w:rPr>
        <w:instrText xml:space="preserve"> REF _Ref66619486 \w \h </w:instrText>
      </w:r>
      <w:r w:rsidRPr="007552BF" w:rsidR="00943894">
        <w:rPr>
          <w:rFonts w:cs="Arial"/>
          <w:szCs w:val="20"/>
        </w:rPr>
        <w:instrText xml:space="preserve"> \* MERGEFORMAT </w:instrText>
      </w:r>
      <w:r w:rsidRPr="00083831" w:rsidR="00AB2D47">
        <w:rPr>
          <w:rFonts w:cs="Arial"/>
          <w:szCs w:val="20"/>
        </w:rPr>
        <w:fldChar w:fldCharType="separate"/>
      </w:r>
      <w:r w:rsidR="00E92C30">
        <w:rPr>
          <w:rFonts w:cs="Arial"/>
          <w:szCs w:val="20"/>
        </w:rPr>
        <w:t>3.3.1</w:t>
      </w:r>
      <w:r w:rsidRPr="00083831" w:rsidR="00AB2D47">
        <w:rPr>
          <w:rFonts w:cs="Arial"/>
          <w:szCs w:val="20"/>
        </w:rPr>
        <w:fldChar w:fldCharType="end"/>
      </w:r>
      <w:r w:rsidRPr="007552BF">
        <w:rPr>
          <w:rFonts w:cs="Arial"/>
          <w:szCs w:val="20"/>
        </w:rPr>
        <w:t xml:space="preserve"> acima. </w:t>
      </w:r>
      <w:bookmarkEnd w:id="35"/>
    </w:p>
    <w:p w:rsidR="00494289" w:rsidRPr="006E595D" w:rsidP="006E595D" w14:paraId="5CC68D0E" w14:textId="77777777">
      <w:pPr>
        <w:pStyle w:val="Level3"/>
        <w:spacing w:before="140" w:after="0"/>
        <w:rPr>
          <w:rFonts w:cs="Arial"/>
          <w:b/>
          <w:szCs w:val="20"/>
        </w:rPr>
      </w:pPr>
      <w:bookmarkStart w:id="37"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Pr="006E595D" w:rsidR="00CB2F24">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8" w:name="_Hlk67930631"/>
      <w:r w:rsidRPr="006E595D">
        <w:rPr>
          <w:rFonts w:cs="Arial"/>
          <w:szCs w:val="20"/>
        </w:rPr>
        <w:t xml:space="preserve">da data em que a respectiva junta comercial restabelecer </w:t>
      </w:r>
      <w:bookmarkEnd w:id="38"/>
      <w:r w:rsidRPr="006E595D">
        <w:rPr>
          <w:rFonts w:cs="Arial"/>
          <w:szCs w:val="20"/>
        </w:rPr>
        <w:t xml:space="preserve">a prestação regular de seus serviços; </w:t>
      </w:r>
      <w:r w:rsidRPr="0061407E">
        <w:rPr>
          <w:b/>
        </w:rPr>
        <w:t>(</w:t>
      </w:r>
      <w:r w:rsidRPr="0061407E">
        <w:rPr>
          <w:b/>
        </w:rPr>
        <w:t>ii</w:t>
      </w:r>
      <w:r w:rsidRPr="0061407E">
        <w:rPr>
          <w:b/>
        </w:rPr>
        <w:t>)</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9"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9"/>
      <w:r w:rsidRPr="006E595D">
        <w:rPr>
          <w:rFonts w:cs="Arial"/>
          <w:szCs w:val="20"/>
        </w:rPr>
        <w:t>respectiva junta comercial levar para conceder o registro, sem que seja considerado vencimento antecipado das Debêntures, nos termos desta Escritura.</w:t>
      </w:r>
      <w:bookmarkEnd w:id="37"/>
      <w:r w:rsidRPr="006E595D">
        <w:rPr>
          <w:rFonts w:cs="Arial"/>
          <w:szCs w:val="20"/>
        </w:rPr>
        <w:t xml:space="preserve"> </w:t>
      </w:r>
    </w:p>
    <w:p w:rsidR="00A45162" w:rsidRPr="00F95AE7" w:rsidP="006E595D" w14:paraId="481E307F" w14:textId="77777777">
      <w:pPr>
        <w:pStyle w:val="Level2"/>
        <w:spacing w:before="140" w:after="0"/>
        <w:rPr>
          <w:rFonts w:cs="Arial"/>
          <w:b/>
          <w:szCs w:val="20"/>
        </w:rPr>
      </w:pPr>
      <w:bookmarkStart w:id="40" w:name="_DV_M35"/>
      <w:bookmarkStart w:id="41" w:name="_DV_M37"/>
      <w:bookmarkStart w:id="42" w:name="_DV_M36"/>
      <w:bookmarkStart w:id="43" w:name="_Ref68030228"/>
      <w:bookmarkStart w:id="44" w:name="_Ref84161994"/>
      <w:bookmarkStart w:id="45" w:name="_Hlk66624510"/>
      <w:bookmarkEnd w:id="36"/>
      <w:bookmarkEnd w:id="40"/>
      <w:bookmarkEnd w:id="41"/>
      <w:bookmarkEnd w:id="42"/>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3"/>
      <w:r w:rsidRPr="006E595D" w:rsidR="00FB623C">
        <w:rPr>
          <w:rFonts w:cs="Arial"/>
          <w:b/>
          <w:szCs w:val="20"/>
          <w:lang w:val="pt-BR"/>
        </w:rPr>
        <w:t xml:space="preserve"> e seus aditamentos</w:t>
      </w:r>
      <w:bookmarkEnd w:id="44"/>
    </w:p>
    <w:p w:rsidR="00A45162" w:rsidRPr="007552BF" w:rsidP="006E595D" w14:paraId="49374CE1" w14:textId="77777777">
      <w:pPr>
        <w:pStyle w:val="Level3"/>
        <w:spacing w:before="140" w:after="0"/>
        <w:rPr>
          <w:rFonts w:cs="Arial"/>
          <w:szCs w:val="20"/>
        </w:rPr>
      </w:pPr>
      <w:bookmarkStart w:id="46" w:name="_DV_M38"/>
      <w:bookmarkStart w:id="47" w:name="_Ref66619699"/>
      <w:bookmarkEnd w:id="46"/>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8" w:name="_Hlk66110055"/>
      <w:r w:rsidRPr="007552BF">
        <w:rPr>
          <w:rFonts w:eastAsia="MS Mincho" w:cs="Arial"/>
          <w:szCs w:val="20"/>
          <w:lang w:eastAsia="pt-BR"/>
        </w:rPr>
        <w:t xml:space="preserve">conforme o disposto no artigo 62, inciso II, e parágrafo 3º da </w:t>
      </w:r>
      <w:bookmarkStart w:id="49" w:name="_Hlk66623475"/>
      <w:r w:rsidRPr="007552BF">
        <w:rPr>
          <w:rFonts w:eastAsia="MS Mincho" w:cs="Arial"/>
          <w:szCs w:val="20"/>
          <w:lang w:eastAsia="pt-BR"/>
        </w:rPr>
        <w:t>Lei</w:t>
      </w:r>
      <w:r w:rsidRPr="007552BF" w:rsidR="002B4AA1">
        <w:rPr>
          <w:rFonts w:eastAsia="MS Mincho" w:cs="Arial"/>
          <w:szCs w:val="20"/>
          <w:lang w:eastAsia="pt-BR"/>
        </w:rPr>
        <w:t xml:space="preserve"> </w:t>
      </w:r>
      <w:r w:rsidRPr="007552BF" w:rsidR="002B4AA1">
        <w:rPr>
          <w:rFonts w:cs="Arial"/>
          <w:color w:val="000000"/>
          <w:w w:val="0"/>
          <w:szCs w:val="20"/>
        </w:rPr>
        <w:t>das Sociedades por Ações</w:t>
      </w:r>
      <w:bookmarkStart w:id="50" w:name="_Hlk66623499"/>
      <w:bookmarkEnd w:id="48"/>
      <w:bookmarkEnd w:id="49"/>
      <w:r w:rsidRPr="007552BF" w:rsidR="00D5479A">
        <w:rPr>
          <w:rFonts w:eastAsia="MS Mincho" w:cs="Arial"/>
          <w:szCs w:val="20"/>
          <w:lang w:eastAsia="pt-BR"/>
        </w:rPr>
        <w:t xml:space="preserve">, </w:t>
      </w:r>
      <w:r w:rsidRPr="007552BF" w:rsidR="00226E31">
        <w:rPr>
          <w:rFonts w:eastAsia="MS Mincho" w:cs="Arial"/>
          <w:szCs w:val="20"/>
          <w:lang w:eastAsia="pt-BR"/>
        </w:rPr>
        <w:t xml:space="preserve">devendo </w:t>
      </w:r>
      <w:r w:rsidRPr="007552BF" w:rsidR="0084449E">
        <w:rPr>
          <w:rFonts w:eastAsia="MS Mincho" w:cs="Arial"/>
          <w:szCs w:val="20"/>
          <w:lang w:eastAsia="pt-BR"/>
        </w:rPr>
        <w:t>1 (</w:t>
      </w:r>
      <w:r w:rsidRPr="007552BF" w:rsidR="00226E31">
        <w:rPr>
          <w:rFonts w:eastAsia="MS Mincho" w:cs="Arial"/>
          <w:szCs w:val="20"/>
          <w:lang w:eastAsia="pt-BR"/>
        </w:rPr>
        <w:t>uma</w:t>
      </w:r>
      <w:r w:rsidRPr="007552BF" w:rsidR="0084449E">
        <w:rPr>
          <w:rFonts w:eastAsia="MS Mincho" w:cs="Arial"/>
          <w:szCs w:val="20"/>
          <w:lang w:eastAsia="pt-BR"/>
        </w:rPr>
        <w:t>)</w:t>
      </w:r>
      <w:r w:rsidRPr="007552BF" w:rsidR="00226E31">
        <w:rPr>
          <w:rFonts w:eastAsia="MS Mincho" w:cs="Arial"/>
          <w:szCs w:val="20"/>
          <w:lang w:eastAsia="pt-BR"/>
        </w:rPr>
        <w:t xml:space="preserve"> </w:t>
      </w:r>
      <w:r w:rsidRPr="007552BF" w:rsidR="0084449E">
        <w:rPr>
          <w:rFonts w:eastAsia="MS Mincho" w:cs="Arial"/>
          <w:szCs w:val="20"/>
          <w:lang w:eastAsia="pt-BR"/>
        </w:rPr>
        <w:t xml:space="preserve">cópia </w:t>
      </w:r>
      <w:r w:rsidRPr="006E595D" w:rsidR="0084449E">
        <w:rPr>
          <w:rFonts w:cs="Arial"/>
          <w:szCs w:val="20"/>
        </w:rPr>
        <w:t>eletrônica</w:t>
      </w:r>
      <w:r w:rsidRPr="007552BF" w:rsidR="0084449E">
        <w:rPr>
          <w:rFonts w:eastAsia="MS Mincho" w:cs="Arial"/>
          <w:szCs w:val="20"/>
          <w:lang w:eastAsia="pt-BR"/>
        </w:rPr>
        <w:t xml:space="preserve"> (PDF) contendo o comprovante de</w:t>
      </w:r>
      <w:r w:rsidRPr="007552BF" w:rsidR="002120DE">
        <w:rPr>
          <w:rFonts w:eastAsia="MS Mincho" w:cs="Arial"/>
          <w:szCs w:val="20"/>
          <w:lang w:eastAsia="pt-BR"/>
        </w:rPr>
        <w:t xml:space="preserve"> </w:t>
      </w:r>
      <w:r w:rsidRPr="007552BF" w:rsidR="00F61E6C">
        <w:rPr>
          <w:rFonts w:eastAsia="MS Mincho" w:cs="Arial"/>
          <w:szCs w:val="20"/>
          <w:lang w:eastAsia="pt-BR"/>
        </w:rPr>
        <w:t xml:space="preserve">tais </w:t>
      </w:r>
      <w:r w:rsidRPr="007552BF" w:rsidR="0084449E">
        <w:rPr>
          <w:rFonts w:eastAsia="MS Mincho" w:cs="Arial"/>
          <w:szCs w:val="20"/>
          <w:lang w:eastAsia="pt-BR"/>
        </w:rPr>
        <w:t>registro</w:t>
      </w:r>
      <w:r w:rsidRPr="007552BF" w:rsidR="00F61E6C">
        <w:rPr>
          <w:rFonts w:eastAsia="MS Mincho" w:cs="Arial"/>
          <w:szCs w:val="20"/>
          <w:lang w:eastAsia="pt-BR"/>
        </w:rPr>
        <w:t>s</w:t>
      </w:r>
      <w:r w:rsidRPr="007552BF" w:rsidR="0084449E">
        <w:rPr>
          <w:rFonts w:eastAsia="MS Mincho" w:cs="Arial"/>
          <w:szCs w:val="20"/>
          <w:lang w:eastAsia="pt-BR"/>
        </w:rPr>
        <w:t>,</w:t>
      </w:r>
      <w:r w:rsidRPr="007552BF" w:rsidR="00226E31">
        <w:rPr>
          <w:rFonts w:eastAsia="MS Mincho" w:cs="Arial"/>
          <w:szCs w:val="20"/>
          <w:lang w:eastAsia="pt-BR"/>
        </w:rPr>
        <w:t xml:space="preserve"> ser enviada ao Agente Fiduciário em até </w:t>
      </w:r>
      <w:r w:rsidRPr="007552BF" w:rsidR="002120DE">
        <w:rPr>
          <w:rFonts w:eastAsia="MS Mincho" w:cs="Arial"/>
          <w:szCs w:val="20"/>
          <w:lang w:eastAsia="pt-BR"/>
        </w:rPr>
        <w:t xml:space="preserve">2 </w:t>
      </w:r>
      <w:r w:rsidRPr="007552BF" w:rsidR="00CE693B">
        <w:rPr>
          <w:rFonts w:eastAsia="MS Mincho" w:cs="Arial"/>
          <w:szCs w:val="20"/>
          <w:lang w:eastAsia="pt-BR"/>
        </w:rPr>
        <w:t>(</w:t>
      </w:r>
      <w:r w:rsidRPr="007552BF" w:rsidR="002120DE">
        <w:rPr>
          <w:rFonts w:eastAsia="MS Mincho" w:cs="Arial"/>
          <w:szCs w:val="20"/>
          <w:lang w:eastAsia="pt-BR"/>
        </w:rPr>
        <w:t>dois</w:t>
      </w:r>
      <w:r w:rsidRPr="007552BF" w:rsidR="00CE693B">
        <w:rPr>
          <w:rFonts w:eastAsia="MS Mincho" w:cs="Arial"/>
          <w:szCs w:val="20"/>
          <w:lang w:eastAsia="pt-BR"/>
        </w:rPr>
        <w:t xml:space="preserve">) </w:t>
      </w:r>
      <w:r w:rsidRPr="007552BF" w:rsidR="0013041D">
        <w:rPr>
          <w:rFonts w:eastAsia="MS Mincho" w:cs="Arial"/>
          <w:szCs w:val="20"/>
          <w:lang w:eastAsia="pt-BR"/>
        </w:rPr>
        <w:t xml:space="preserve">Dias Úteis </w:t>
      </w:r>
      <w:r w:rsidRPr="007552BF" w:rsidR="00226E31">
        <w:rPr>
          <w:rFonts w:eastAsia="MS Mincho" w:cs="Arial"/>
          <w:szCs w:val="20"/>
          <w:lang w:eastAsia="pt-BR"/>
        </w:rPr>
        <w:t>após seu efetivo arquivamento</w:t>
      </w:r>
      <w:bookmarkEnd w:id="50"/>
      <w:r w:rsidRPr="007552BF">
        <w:rPr>
          <w:rFonts w:eastAsia="MS Mincho" w:cs="Arial"/>
          <w:szCs w:val="20"/>
          <w:lang w:eastAsia="pt-BR"/>
        </w:rPr>
        <w:t>.</w:t>
      </w:r>
      <w:r w:rsidRPr="007552BF" w:rsidR="00F61E6C">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Pr="007552BF" w:rsidR="00F61E6C">
        <w:rPr>
          <w:rFonts w:eastAsia="MS Mincho" w:cs="Arial"/>
          <w:smallCaps/>
          <w:szCs w:val="20"/>
          <w:lang w:eastAsia="pt-BR"/>
        </w:rPr>
        <w:t>.</w:t>
      </w:r>
      <w:bookmarkEnd w:id="47"/>
    </w:p>
    <w:p w:rsidR="00847F2C" w:rsidRPr="007552BF" w14:paraId="698D3E49" w14:textId="1A9945C0">
      <w:pPr>
        <w:pStyle w:val="Level3"/>
        <w:spacing w:before="140" w:after="0"/>
        <w:rPr>
          <w:rFonts w:cs="Arial"/>
          <w:szCs w:val="20"/>
        </w:rPr>
      </w:pPr>
      <w:bookmarkStart w:id="51"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fldChar w:fldCharType="separate"/>
      </w:r>
      <w:r w:rsidR="00E92C30">
        <w:rPr>
          <w:rFonts w:cs="Arial"/>
          <w:szCs w:val="20"/>
        </w:rPr>
        <w:t>3.4.3</w:t>
      </w:r>
      <w:r>
        <w:rPr>
          <w:rFonts w:cs="Arial"/>
          <w:szCs w:val="20"/>
        </w:rPr>
        <w:fldChar w:fldCharType="end"/>
      </w:r>
      <w:r>
        <w:rPr>
          <w:rFonts w:cs="Arial"/>
          <w:szCs w:val="20"/>
        </w:rPr>
        <w:t xml:space="preserve"> abaixo, a</w:t>
      </w:r>
      <w:r w:rsidRPr="007552BF" w:rsidR="00A45162">
        <w:rPr>
          <w:rFonts w:cs="Arial"/>
          <w:szCs w:val="20"/>
        </w:rPr>
        <w:t xml:space="preserve"> Emissora declara-se ciente de que a </w:t>
      </w:r>
      <w:r w:rsidRPr="007552BF" w:rsidR="00FF6A55">
        <w:rPr>
          <w:rFonts w:cs="Arial"/>
          <w:szCs w:val="20"/>
        </w:rPr>
        <w:t>integralização</w:t>
      </w:r>
      <w:r w:rsidRPr="007552BF" w:rsidR="00A45162">
        <w:rPr>
          <w:rFonts w:cs="Arial"/>
          <w:szCs w:val="20"/>
        </w:rPr>
        <w:t xml:space="preserve"> da</w:t>
      </w:r>
      <w:r w:rsidRPr="007552BF" w:rsidR="00FF6A55">
        <w:rPr>
          <w:rFonts w:cs="Arial"/>
          <w:szCs w:val="20"/>
        </w:rPr>
        <w:t>s</w:t>
      </w:r>
      <w:r w:rsidRPr="007552BF" w:rsidR="00A45162">
        <w:rPr>
          <w:rFonts w:cs="Arial"/>
          <w:szCs w:val="20"/>
        </w:rPr>
        <w:t xml:space="preserve"> </w:t>
      </w:r>
      <w:r w:rsidRPr="007552BF" w:rsidR="00FF6A55">
        <w:rPr>
          <w:rFonts w:cs="Arial"/>
          <w:szCs w:val="20"/>
        </w:rPr>
        <w:t xml:space="preserve">Debêntures da </w:t>
      </w:r>
      <w:r w:rsidRPr="007552BF" w:rsidR="00A45162">
        <w:rPr>
          <w:rFonts w:cs="Arial"/>
          <w:szCs w:val="20"/>
        </w:rPr>
        <w:t>presente Emissão somente será realizada após o registro desta Escritur</w:t>
      </w:r>
      <w:r w:rsidRPr="007552BF" w:rsidR="00FC0CD7">
        <w:rPr>
          <w:rFonts w:cs="Arial"/>
          <w:szCs w:val="20"/>
        </w:rPr>
        <w:t>a</w:t>
      </w:r>
      <w:r w:rsidRPr="007552BF" w:rsidR="00A45162">
        <w:rPr>
          <w:rFonts w:cs="Arial"/>
          <w:szCs w:val="20"/>
        </w:rPr>
        <w:t xml:space="preserve"> na JUCERJA</w:t>
      </w:r>
      <w:r w:rsidRPr="007552BF" w:rsidR="00A63CB2">
        <w:rPr>
          <w:rFonts w:cs="Arial"/>
          <w:szCs w:val="20"/>
        </w:rPr>
        <w:t xml:space="preserve">, nos termos da Cláusula </w:t>
      </w:r>
      <w:r w:rsidRPr="00F95AE7" w:rsidR="00A63CB2">
        <w:rPr>
          <w:rFonts w:cs="Arial"/>
          <w:szCs w:val="20"/>
        </w:rPr>
        <w:fldChar w:fldCharType="begin"/>
      </w:r>
      <w:r w:rsidRPr="007552BF" w:rsidR="00A63CB2">
        <w:rPr>
          <w:rFonts w:cs="Arial"/>
          <w:szCs w:val="20"/>
        </w:rPr>
        <w:instrText xml:space="preserve"> REF _Ref66619699 \w \h </w:instrText>
      </w:r>
      <w:r w:rsidRPr="007552BF" w:rsidR="00943894">
        <w:rPr>
          <w:rFonts w:cs="Arial"/>
          <w:szCs w:val="20"/>
        </w:rPr>
        <w:instrText xml:space="preserve"> \* MERGEFORMAT </w:instrText>
      </w:r>
      <w:r w:rsidRPr="00F95AE7" w:rsidR="00A63CB2">
        <w:rPr>
          <w:rFonts w:cs="Arial"/>
          <w:szCs w:val="20"/>
        </w:rPr>
        <w:fldChar w:fldCharType="separate"/>
      </w:r>
      <w:r w:rsidR="00E92C30">
        <w:rPr>
          <w:rFonts w:cs="Arial"/>
          <w:szCs w:val="20"/>
        </w:rPr>
        <w:t>3.4.1</w:t>
      </w:r>
      <w:r w:rsidRPr="00F95AE7" w:rsidR="00A63CB2">
        <w:rPr>
          <w:rFonts w:cs="Arial"/>
          <w:szCs w:val="20"/>
        </w:rPr>
        <w:fldChar w:fldCharType="end"/>
      </w:r>
      <w:r w:rsidRPr="007552BF" w:rsidR="00E36F50">
        <w:rPr>
          <w:rFonts w:cs="Arial"/>
          <w:szCs w:val="20"/>
        </w:rPr>
        <w:t xml:space="preserve"> acima</w:t>
      </w:r>
      <w:bookmarkEnd w:id="51"/>
      <w:r w:rsidRPr="007552BF" w:rsidR="00A45162">
        <w:rPr>
          <w:rFonts w:cs="Arial"/>
          <w:szCs w:val="20"/>
        </w:rPr>
        <w:t>.</w:t>
      </w:r>
      <w:r w:rsidRPr="007552BF" w:rsidR="00FC0CD7">
        <w:rPr>
          <w:rFonts w:cs="Arial"/>
          <w:szCs w:val="20"/>
        </w:rPr>
        <w:t xml:space="preserve"> </w:t>
      </w:r>
    </w:p>
    <w:p w:rsidR="00CB2F24" w:rsidRPr="006E595D" w:rsidP="006E595D" w14:paraId="6A9B5B98" w14:textId="77777777">
      <w:pPr>
        <w:pStyle w:val="Level3"/>
        <w:spacing w:before="140" w:after="0"/>
        <w:rPr>
          <w:rFonts w:cs="Arial"/>
          <w:szCs w:val="20"/>
        </w:rPr>
      </w:pPr>
      <w:bookmarkStart w:id="52"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Pr="0061407E" w:rsidR="00323FAB">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r w:rsidRPr="0061407E">
        <w:rPr>
          <w:b/>
        </w:rPr>
        <w:t>ii</w:t>
      </w:r>
      <w:r w:rsidRPr="0061407E">
        <w:rPr>
          <w:b/>
        </w:rPr>
        <w:t>)</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2"/>
      <w:r w:rsidRPr="006E595D">
        <w:rPr>
          <w:rFonts w:cs="Arial"/>
          <w:szCs w:val="20"/>
        </w:rPr>
        <w:t xml:space="preserve"> </w:t>
      </w:r>
    </w:p>
    <w:p w:rsidR="00A45162" w:rsidRPr="00083831" w:rsidP="006E595D" w14:paraId="6515D7B1" w14:textId="77777777">
      <w:pPr>
        <w:pStyle w:val="Level2"/>
        <w:spacing w:before="140" w:after="0"/>
        <w:rPr>
          <w:rFonts w:cs="Arial"/>
          <w:b/>
          <w:szCs w:val="20"/>
        </w:rPr>
      </w:pPr>
      <w:bookmarkStart w:id="53" w:name="_Ref84162013"/>
      <w:bookmarkEnd w:id="45"/>
      <w:r w:rsidRPr="00F95AE7">
        <w:rPr>
          <w:rFonts w:cs="Arial"/>
          <w:b/>
          <w:szCs w:val="20"/>
        </w:rPr>
        <w:t>Registro da Escritura em Cartório de Registro de Títulos e Documentos</w:t>
      </w:r>
      <w:bookmarkEnd w:id="53"/>
    </w:p>
    <w:p w:rsidR="00A45162" w:rsidRPr="007552BF" w:rsidP="006E595D" w14:paraId="12009CB6" w14:textId="77777777">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54"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54"/>
      <w:r w:rsidRPr="007552BF">
        <w:rPr>
          <w:rFonts w:cs="Arial"/>
          <w:szCs w:val="20"/>
        </w:rPr>
        <w:t xml:space="preserve">. </w:t>
      </w:r>
      <w:bookmarkStart w:id="55"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55"/>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14:paraId="3C88ABD0" w14:textId="77777777">
      <w:pPr>
        <w:pStyle w:val="Level2"/>
        <w:spacing w:before="140" w:after="0"/>
        <w:rPr>
          <w:rFonts w:cs="Arial"/>
          <w:b/>
          <w:szCs w:val="20"/>
        </w:rPr>
      </w:pPr>
      <w:bookmarkStart w:id="56" w:name="_DV_M41"/>
      <w:bookmarkEnd w:id="56"/>
      <w:r w:rsidRPr="00F95AE7">
        <w:rPr>
          <w:rFonts w:cs="Arial"/>
          <w:b/>
          <w:szCs w:val="20"/>
        </w:rPr>
        <w:t>Distribuição, Negociação e Custódia Eletrônica</w:t>
      </w:r>
      <w:bookmarkStart w:id="57" w:name="_DV_M43"/>
      <w:bookmarkEnd w:id="57"/>
    </w:p>
    <w:p w:rsidR="00A45162" w:rsidRPr="007552BF" w14:paraId="62341F28" w14:textId="77777777">
      <w:pPr>
        <w:pStyle w:val="Level3"/>
        <w:spacing w:before="140" w:after="0"/>
        <w:rPr>
          <w:rFonts w:cs="Arial"/>
          <w:szCs w:val="20"/>
        </w:rPr>
      </w:pPr>
      <w:bookmarkStart w:id="58" w:name="_DV_M44"/>
      <w:bookmarkStart w:id="59" w:name="_Hlk68348902"/>
      <w:bookmarkStart w:id="60" w:name="_Ref84160385"/>
      <w:bookmarkStart w:id="61" w:name="_Toc499990318"/>
      <w:bookmarkEnd w:id="58"/>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59"/>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1407E">
        <w:rPr>
          <w:b/>
        </w:rPr>
        <w:t>(</w:t>
      </w:r>
      <w:r w:rsidRPr="0061407E">
        <w:rPr>
          <w:b/>
        </w:rPr>
        <w:t>ii</w:t>
      </w:r>
      <w:r w:rsidRPr="0061407E">
        <w:rPr>
          <w:b/>
        </w:rPr>
        <w:t>)</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60"/>
    </w:p>
    <w:p w:rsidR="0007080F" w:rsidRPr="006E595D" w:rsidP="006E595D" w14:paraId="049C1E26" w14:textId="0C1EA10F">
      <w:pPr>
        <w:pStyle w:val="Level3"/>
        <w:spacing w:before="140" w:after="0"/>
        <w:rPr>
          <w:rFonts w:cs="Arial"/>
          <w:szCs w:val="20"/>
        </w:rPr>
      </w:pPr>
      <w:bookmarkStart w:id="62"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E92C30">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2"/>
    </w:p>
    <w:p w:rsidR="0007080F" w:rsidRPr="007552BF" w:rsidP="006E595D" w14:paraId="743D3865" w14:textId="77777777">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p>
    <w:p w:rsidR="00BF6AA2" w:rsidRPr="007552BF" w14:paraId="6BA97B6A" w14:textId="77777777">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14:paraId="5FF0941B" w14:textId="77777777">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r w:rsidRPr="009D4F84">
        <w:rPr>
          <w:rFonts w:cs="Arial"/>
          <w:b/>
          <w:szCs w:val="20"/>
        </w:rPr>
        <w:t>ii</w:t>
      </w:r>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r w:rsidRPr="009D4F84">
        <w:rPr>
          <w:rFonts w:cs="Arial"/>
          <w:b/>
          <w:szCs w:val="20"/>
        </w:rPr>
        <w:t>iii</w:t>
      </w:r>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r w:rsidRPr="009D4F84">
        <w:rPr>
          <w:rFonts w:cs="Arial"/>
          <w:b/>
          <w:szCs w:val="20"/>
        </w:rPr>
        <w:t>iv</w:t>
      </w:r>
      <w:r w:rsidRPr="009D4F84">
        <w:rPr>
          <w:rFonts w:cs="Arial"/>
          <w:b/>
          <w:szCs w:val="20"/>
        </w:rPr>
        <w:t>)</w:t>
      </w:r>
      <w:r w:rsidRPr="007552BF">
        <w:rPr>
          <w:rFonts w:cs="Arial"/>
          <w:szCs w:val="20"/>
        </w:rPr>
        <w:t xml:space="preserve"> serviços de otimização de processos energéticos e instalações de consumidores</w:t>
      </w:r>
      <w:r w:rsidRPr="007552BF" w:rsidR="00A4530D">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rsidR="00C332E0" w:rsidRPr="006E595D" w14:paraId="2B6EC0BA" w14:textId="77777777">
      <w:pPr>
        <w:pStyle w:val="Level2"/>
        <w:widowControl w:val="0"/>
        <w:spacing w:before="140" w:after="0"/>
        <w:rPr>
          <w:rFonts w:cs="Arial"/>
          <w:b/>
          <w:bCs/>
          <w:szCs w:val="20"/>
        </w:rPr>
      </w:pPr>
      <w:r w:rsidRPr="00083831">
        <w:rPr>
          <w:rFonts w:cs="Arial"/>
          <w:b/>
          <w:szCs w:val="20"/>
        </w:rPr>
        <w:t>DESTINAÇÃO DOS RECURSOS</w:t>
      </w:r>
    </w:p>
    <w:p w:rsidR="00727CD9" w:rsidRPr="006E595D" w14:paraId="52E46F25" w14:textId="77777777">
      <w:pPr>
        <w:pStyle w:val="Level3"/>
        <w:spacing w:before="140" w:after="0"/>
        <w:rPr>
          <w:rFonts w:cs="Arial"/>
          <w:szCs w:val="20"/>
        </w:rPr>
      </w:pPr>
      <w:bookmarkStart w:id="63" w:name="_Hlk66618919"/>
      <w:bookmarkStart w:id="64" w:name="_Hlk66625594"/>
      <w:bookmarkStart w:id="65" w:name="_Ref66121486"/>
      <w:r w:rsidRPr="006E595D">
        <w:rPr>
          <w:rFonts w:cs="Arial"/>
          <w:szCs w:val="20"/>
        </w:rPr>
        <w:t>Os recursos captados pela Emissora por meio das Debêntures serão integralmente utilizados, dentro da gestão ordinária de seus negócios, para</w:t>
      </w:r>
      <w:bookmarkStart w:id="66"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6"/>
    </w:p>
    <w:p w:rsidR="00727CD9" w:rsidRPr="007552BF" w14:paraId="2088B489" w14:textId="77777777">
      <w:pPr>
        <w:pStyle w:val="Level3"/>
        <w:spacing w:before="140" w:after="0"/>
        <w:rPr>
          <w:rFonts w:cs="Arial"/>
          <w:szCs w:val="20"/>
        </w:rPr>
      </w:pPr>
      <w:bookmarkEnd w:id="63"/>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64792C" w:rsidRPr="006E595D" w:rsidP="0064792C" w14:paraId="0AB5B0ED" w14:textId="24EB9728">
      <w:pPr>
        <w:pStyle w:val="Level1"/>
        <w:keepNext w:val="0"/>
        <w:widowControl w:val="0"/>
        <w:spacing w:before="140" w:after="0"/>
        <w:rPr>
          <w:rFonts w:cs="Arial"/>
          <w:b w:val="0"/>
          <w:bCs w:val="0"/>
          <w:sz w:val="20"/>
          <w:szCs w:val="20"/>
        </w:rPr>
      </w:pPr>
      <w:bookmarkStart w:id="67" w:name="_DV_M46"/>
      <w:bookmarkStart w:id="68" w:name="_Toc312057162"/>
      <w:bookmarkEnd w:id="64"/>
      <w:bookmarkEnd w:id="65"/>
      <w:bookmarkEnd w:id="67"/>
      <w:r w:rsidRPr="007552BF">
        <w:rPr>
          <w:rFonts w:cs="Arial"/>
          <w:sz w:val="20"/>
          <w:szCs w:val="20"/>
        </w:rPr>
        <w:t xml:space="preserve">CARACTERÍSTICAS DA </w:t>
      </w:r>
      <w:r w:rsidR="005F0284">
        <w:rPr>
          <w:rFonts w:cs="Arial"/>
          <w:sz w:val="20"/>
          <w:szCs w:val="20"/>
        </w:rPr>
        <w:t>EMISSÃO</w:t>
      </w:r>
    </w:p>
    <w:p w:rsidR="0064792C" w:rsidRPr="007552BF" w:rsidP="0064792C" w14:paraId="77512E2A" w14:textId="77777777">
      <w:pPr>
        <w:pStyle w:val="Level2"/>
        <w:widowControl w:val="0"/>
        <w:spacing w:before="140" w:after="0"/>
        <w:rPr>
          <w:rFonts w:cs="Arial"/>
          <w:b/>
          <w:bCs/>
          <w:szCs w:val="20"/>
        </w:rPr>
      </w:pPr>
      <w:bookmarkStart w:id="69" w:name="_Hlk66626214"/>
      <w:r w:rsidRPr="007552BF">
        <w:rPr>
          <w:rFonts w:cs="Arial"/>
          <w:b/>
          <w:bCs/>
          <w:szCs w:val="20"/>
        </w:rPr>
        <w:t>Colocação e Procedimento de Distribuição</w:t>
      </w:r>
    </w:p>
    <w:p w:rsidR="0064792C" w:rsidRPr="007552BF" w:rsidP="0064792C" w14:paraId="0064F8B3" w14:textId="77777777">
      <w:pPr>
        <w:pStyle w:val="Level3"/>
        <w:widowControl w:val="0"/>
        <w:spacing w:before="140" w:after="0"/>
        <w:rPr>
          <w:rFonts w:cs="Arial"/>
          <w:szCs w:val="20"/>
        </w:rPr>
      </w:pPr>
      <w:bookmarkStart w:id="70" w:name="_Hlk66626241"/>
      <w:bookmarkEnd w:id="69"/>
      <w:r w:rsidRPr="007552BF">
        <w:rPr>
          <w:rFonts w:cs="Arial"/>
          <w:szCs w:val="20"/>
        </w:rPr>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rsidR="0064792C" w:rsidRPr="006E595D" w:rsidP="0064792C" w14:paraId="3CA58CD2" w14:textId="77777777">
      <w:pPr>
        <w:pStyle w:val="Level3"/>
        <w:widowControl w:val="0"/>
        <w:spacing w:before="140" w:after="0"/>
        <w:rPr>
          <w:rFonts w:cs="Arial"/>
          <w:szCs w:val="20"/>
        </w:rPr>
      </w:pPr>
      <w:bookmarkStart w:id="71"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w:t>
      </w:r>
      <w:r w:rsidRPr="0061407E">
        <w:rPr>
          <w:b/>
        </w:rPr>
        <w:t>ii</w:t>
      </w:r>
      <w:r w:rsidRPr="0061407E">
        <w:rPr>
          <w:b/>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71"/>
    </w:p>
    <w:p w:rsidR="0064792C" w:rsidRPr="006E595D" w:rsidP="0064792C" w14:paraId="36182B0F" w14:textId="77777777">
      <w:pPr>
        <w:pStyle w:val="Level4"/>
        <w:spacing w:before="140" w:after="0"/>
        <w:rPr>
          <w:rFonts w:cs="Arial"/>
          <w:szCs w:val="20"/>
        </w:rPr>
      </w:pPr>
      <w:bookmarkStart w:id="72"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72"/>
    </w:p>
    <w:p w:rsidR="0064792C" w:rsidRPr="00083831" w:rsidP="0064792C" w14:paraId="5838AD59" w14:textId="2B0AAF34">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E92C30">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rsidR="0064792C" w:rsidRPr="006E595D" w:rsidP="0064792C" w14:paraId="115F1370" w14:textId="77777777">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64792C" w:rsidRPr="006E595D" w:rsidP="0064792C" w14:paraId="07797CF1" w14:textId="77777777">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64792C" w:rsidRPr="006E595D" w:rsidP="0064792C" w14:paraId="5ABAE771" w14:textId="77777777">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64792C" w:rsidRPr="006E595D" w:rsidP="0064792C" w14:paraId="4F4DB53D" w14:textId="77777777">
      <w:pPr>
        <w:pStyle w:val="Level4"/>
        <w:spacing w:before="140" w:after="0"/>
        <w:rPr>
          <w:rFonts w:cs="Arial"/>
          <w:szCs w:val="20"/>
        </w:rPr>
      </w:pPr>
      <w:bookmarkStart w:id="73"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rsidR="0064792C" w:rsidRPr="006E595D" w:rsidP="0064792C" w14:paraId="732EC12B" w14:textId="77777777">
      <w:pPr>
        <w:pStyle w:val="Level4"/>
        <w:spacing w:before="140" w:after="0"/>
        <w:rPr>
          <w:rFonts w:cs="Arial"/>
          <w:szCs w:val="20"/>
        </w:rPr>
      </w:pPr>
      <w:bookmarkEnd w:id="73"/>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rsidR="0064792C" w:rsidRPr="006E595D" w:rsidP="0064792C" w14:paraId="63B590EB" w14:textId="77777777">
      <w:pPr>
        <w:pStyle w:val="Level4"/>
        <w:spacing w:before="140" w:after="0"/>
        <w:rPr>
          <w:rFonts w:cs="Arial"/>
          <w:szCs w:val="20"/>
        </w:rPr>
      </w:pPr>
      <w:r w:rsidRPr="006E595D">
        <w:rPr>
          <w:rFonts w:cs="Arial"/>
          <w:szCs w:val="20"/>
        </w:rPr>
        <w:t>Não haverá preferência para subscrição das Debêntures pelos atuais acionistas da Emissora;</w:t>
      </w:r>
    </w:p>
    <w:p w:rsidR="0064792C" w:rsidRPr="00083831" w:rsidP="0064792C" w14:paraId="478582C7" w14:textId="3ECDF2AE">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fldChar w:fldCharType="separate"/>
      </w:r>
      <w:r w:rsidR="00E92C30">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rsidR="0064792C" w:rsidRPr="006E595D" w:rsidP="0064792C" w14:paraId="67F6EC59" w14:textId="77777777">
      <w:pPr>
        <w:pStyle w:val="Level4"/>
        <w:spacing w:before="140" w:after="0"/>
        <w:rPr>
          <w:rFonts w:cs="Arial"/>
          <w:szCs w:val="20"/>
        </w:rPr>
      </w:pPr>
      <w:bookmarkStart w:id="74"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rsidR="0064792C" w:rsidRPr="007552BF" w:rsidP="0064792C" w14:paraId="06D60D4B" w14:textId="77777777">
      <w:pPr>
        <w:pStyle w:val="Level2"/>
        <w:widowControl w:val="0"/>
        <w:spacing w:before="140" w:after="0"/>
        <w:rPr>
          <w:rFonts w:cs="Arial"/>
          <w:b/>
          <w:bCs/>
          <w:szCs w:val="20"/>
        </w:rPr>
      </w:pPr>
      <w:bookmarkStart w:id="75" w:name="_Ref84233519"/>
      <w:r w:rsidRPr="007552BF">
        <w:rPr>
          <w:rFonts w:cs="Arial"/>
          <w:b/>
          <w:bCs/>
          <w:szCs w:val="20"/>
          <w:lang w:val="pt-BR"/>
        </w:rPr>
        <w:t xml:space="preserve">Procedimento de </w:t>
      </w:r>
      <w:r w:rsidRPr="00E92C30">
        <w:rPr>
          <w:rFonts w:cs="Arial"/>
          <w:b/>
          <w:bCs/>
          <w:i/>
          <w:szCs w:val="20"/>
          <w:lang w:val="pt-BR"/>
        </w:rPr>
        <w:t>Bookbuilding</w:t>
      </w:r>
      <w:bookmarkEnd w:id="75"/>
    </w:p>
    <w:p w:rsidR="0064792C" w:rsidRPr="006E595D" w:rsidP="0064792C" w14:paraId="5CC8AC7E" w14:textId="76BC3624">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w:t>
      </w:r>
      <w:r w:rsidRPr="006E595D">
        <w:rPr>
          <w:rFonts w:cs="Arial"/>
          <w:szCs w:val="20"/>
        </w:rPr>
        <w:t xml:space="preserve">da definição do número de séries; </w:t>
      </w:r>
      <w:r w:rsidRPr="0061407E">
        <w:rPr>
          <w:b/>
        </w:rPr>
        <w:t>(</w:t>
      </w:r>
      <w:r w:rsidR="00A759E1">
        <w:rPr>
          <w:b/>
        </w:rPr>
        <w:t>b</w:t>
      </w:r>
      <w:r w:rsidRPr="0061407E">
        <w:rPr>
          <w:b/>
        </w:rPr>
        <w:t>)</w:t>
      </w:r>
      <w:r w:rsidRPr="006E595D">
        <w:rPr>
          <w:rFonts w:cs="Arial"/>
          <w:szCs w:val="20"/>
        </w:rPr>
        <w:t xml:space="preserve"> do volume da Emissão; e </w:t>
      </w:r>
      <w:r w:rsidRPr="0061407E">
        <w:rPr>
          <w:b/>
        </w:rPr>
        <w:t>(</w:t>
      </w:r>
      <w:r w:rsidR="00A759E1">
        <w:rPr>
          <w:b/>
        </w:rPr>
        <w:t>c</w:t>
      </w:r>
      <w:r w:rsidRPr="0061407E">
        <w:rPr>
          <w:b/>
        </w:rPr>
        <w:t>)</w:t>
      </w:r>
      <w:r w:rsidR="00A759E1">
        <w:rPr>
          <w:rFonts w:cs="Arial"/>
          <w:szCs w:val="20"/>
        </w:rPr>
        <w:t> </w:t>
      </w:r>
      <w:r w:rsidRPr="006E595D">
        <w:rPr>
          <w:rFonts w:cs="Arial"/>
          <w:szCs w:val="20"/>
        </w:rPr>
        <w:t>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rsidR="0064792C" w:rsidRPr="006E595D" w:rsidP="0064792C" w14:paraId="198E4B19" w14:textId="77777777">
      <w:pPr>
        <w:pStyle w:val="Level3"/>
        <w:widowControl w:val="0"/>
        <w:spacing w:before="140" w:after="0"/>
        <w:rPr>
          <w:rFonts w:cs="Arial"/>
          <w:szCs w:val="20"/>
        </w:rPr>
      </w:pPr>
      <w:bookmarkStart w:id="76" w:name="_Ref84232668"/>
      <w:r w:rsidRPr="006E595D">
        <w:rPr>
          <w:rFonts w:cs="Arial"/>
          <w:szCs w:val="20"/>
        </w:rPr>
        <w:t xml:space="preserve">O resultado do Procedimento de </w:t>
      </w:r>
      <w:r w:rsidRPr="006E595D">
        <w:rPr>
          <w:rFonts w:cs="Arial"/>
          <w:i/>
          <w:szCs w:val="20"/>
        </w:rPr>
        <w:t>Bookbuilding</w:t>
      </w:r>
      <w:r w:rsidRPr="006E595D">
        <w:rPr>
          <w:rFonts w:cs="Arial"/>
          <w:i/>
          <w:szCs w:val="20"/>
        </w:rPr>
        <w:t xml:space="preserve">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76"/>
      <w:r w:rsidRPr="006E595D">
        <w:rPr>
          <w:rFonts w:cs="Arial"/>
          <w:szCs w:val="20"/>
        </w:rPr>
        <w:t xml:space="preserve"> </w:t>
      </w:r>
    </w:p>
    <w:p w:rsidR="0064792C" w:rsidRPr="007552BF" w:rsidP="0064792C" w14:paraId="02E3B216" w14:textId="77777777">
      <w:pPr>
        <w:pStyle w:val="Level2"/>
        <w:widowControl w:val="0"/>
        <w:spacing w:before="140" w:after="0"/>
        <w:rPr>
          <w:rFonts w:cs="Arial"/>
          <w:b/>
          <w:bCs/>
          <w:szCs w:val="20"/>
        </w:rPr>
      </w:pPr>
      <w:bookmarkStart w:id="77" w:name="_Ref84169188"/>
      <w:r w:rsidRPr="007552BF">
        <w:rPr>
          <w:rFonts w:cs="Arial"/>
          <w:b/>
          <w:bCs/>
          <w:szCs w:val="20"/>
          <w:lang w:val="pt-BR"/>
        </w:rPr>
        <w:t>Distribuição Parcial</w:t>
      </w:r>
      <w:bookmarkEnd w:id="77"/>
    </w:p>
    <w:p w:rsidR="0064792C" w:rsidRPr="006E595D" w:rsidP="0064792C" w14:paraId="7433ABB7" w14:textId="77777777">
      <w:pPr>
        <w:pStyle w:val="Level3"/>
        <w:widowControl w:val="0"/>
        <w:spacing w:before="140" w:after="0"/>
        <w:rPr>
          <w:rFonts w:cs="Arial"/>
          <w:szCs w:val="20"/>
        </w:rPr>
      </w:pPr>
      <w:bookmarkStart w:id="78"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78"/>
    </w:p>
    <w:p w:rsidR="0064792C" w:rsidRPr="006E595D" w:rsidP="0064792C" w14:paraId="7D4F6E62" w14:textId="77777777">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w:t>
      </w:r>
      <w:r w:rsidRPr="0061407E">
        <w:rPr>
          <w:b/>
        </w:rPr>
        <w:t>ii</w:t>
      </w:r>
      <w:r w:rsidRPr="0061407E">
        <w:rPr>
          <w:b/>
        </w:rPr>
        <w:t>)</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64792C" w:rsidRPr="006E595D" w:rsidP="0064792C" w14:paraId="6B4AB3E3" w14:textId="77777777">
      <w:pPr>
        <w:pStyle w:val="Level3"/>
        <w:widowControl w:val="0"/>
        <w:spacing w:before="140" w:after="0"/>
        <w:rPr>
          <w:rFonts w:cs="Arial"/>
          <w:szCs w:val="20"/>
        </w:rPr>
      </w:pPr>
      <w:bookmarkStart w:id="79"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79"/>
      <w:r w:rsidRPr="006E595D">
        <w:rPr>
          <w:rFonts w:cs="Arial"/>
          <w:szCs w:val="20"/>
        </w:rPr>
        <w:t xml:space="preserve"> </w:t>
      </w:r>
    </w:p>
    <w:p w:rsidR="0064792C" w:rsidRPr="00F33193" w:rsidP="00F33193" w14:paraId="015E0F5F" w14:textId="269BB7F8">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fldChar w:fldCharType="separate"/>
      </w:r>
      <w:r w:rsidR="00E92C30">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70"/>
      <w:bookmarkEnd w:id="74"/>
    </w:p>
    <w:p w:rsidR="00A45162" w:rsidRPr="00F95AE7" w14:paraId="3782BA4C" w14:textId="74427760">
      <w:pPr>
        <w:pStyle w:val="Level1"/>
        <w:keepNext w:val="0"/>
        <w:widowControl w:val="0"/>
        <w:spacing w:before="140" w:after="0"/>
        <w:rPr>
          <w:rFonts w:cs="Arial"/>
          <w:sz w:val="20"/>
          <w:szCs w:val="20"/>
        </w:rPr>
      </w:pPr>
      <w:bookmarkEnd w:id="61"/>
      <w:bookmarkEnd w:id="68"/>
      <w:r>
        <w:rPr>
          <w:rFonts w:cs="Arial"/>
          <w:sz w:val="20"/>
          <w:szCs w:val="20"/>
        </w:rPr>
        <w:t>CARACTERÍSTICAS GERAIS</w:t>
      </w:r>
      <w:r w:rsidRPr="007552BF" w:rsidR="00C332E0">
        <w:rPr>
          <w:rFonts w:cs="Arial"/>
          <w:sz w:val="20"/>
          <w:szCs w:val="20"/>
        </w:rPr>
        <w:t xml:space="preserve"> DAS DEBÊNTURES</w:t>
      </w:r>
    </w:p>
    <w:p w:rsidR="008077F3" w14:paraId="4647EF7C" w14:textId="62AF8049">
      <w:pPr>
        <w:pStyle w:val="Level2"/>
        <w:widowControl w:val="0"/>
        <w:spacing w:before="140" w:after="0"/>
        <w:rPr>
          <w:rFonts w:cs="Arial"/>
          <w:szCs w:val="20"/>
        </w:rPr>
      </w:pPr>
      <w:bookmarkStart w:id="80" w:name="_DV_M47"/>
      <w:bookmarkEnd w:id="80"/>
      <w:r w:rsidRPr="007552BF">
        <w:rPr>
          <w:rFonts w:cs="Arial"/>
          <w:b/>
          <w:bCs/>
          <w:szCs w:val="20"/>
        </w:rPr>
        <w:t>Número da Emissão</w:t>
      </w:r>
      <w:r w:rsidRPr="007552BF" w:rsidR="00FE7709">
        <w:rPr>
          <w:rFonts w:cs="Arial"/>
          <w:b/>
          <w:bCs/>
          <w:szCs w:val="20"/>
        </w:rPr>
        <w:t xml:space="preserve">. </w:t>
      </w:r>
      <w:bookmarkStart w:id="81" w:name="_DV_M48"/>
      <w:bookmarkEnd w:id="81"/>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emissão de debêntures da Emissora.</w:t>
      </w:r>
    </w:p>
    <w:p w:rsidR="00A45162" w:rsidRPr="00C26F9D" w14:paraId="2D31B6E0" w14:textId="34B407C9">
      <w:pPr>
        <w:pStyle w:val="Level2"/>
        <w:widowControl w:val="0"/>
        <w:spacing w:before="140" w:after="0"/>
        <w:rPr>
          <w:rFonts w:cs="Arial"/>
          <w:szCs w:val="20"/>
        </w:rPr>
      </w:pPr>
      <w:bookmarkStart w:id="82" w:name="_Hlk85181963"/>
      <w:r w:rsidRPr="008077F3">
        <w:rPr>
          <w:rFonts w:cs="Arial"/>
          <w:b/>
          <w:bCs/>
          <w:szCs w:val="20"/>
          <w:lang w:val="pt-BR"/>
        </w:rPr>
        <w:t xml:space="preserve">Data de </w:t>
      </w:r>
      <w:r w:rsidR="00134471">
        <w:rPr>
          <w:rFonts w:cs="Arial"/>
          <w:b/>
          <w:bCs/>
          <w:szCs w:val="20"/>
          <w:lang w:val="pt-BR"/>
        </w:rPr>
        <w:t>I</w:t>
      </w:r>
      <w:r w:rsidRPr="008077F3">
        <w:rPr>
          <w:rFonts w:cs="Arial"/>
          <w:b/>
          <w:bCs/>
          <w:szCs w:val="20"/>
          <w:lang w:val="pt-BR"/>
        </w:rPr>
        <w:t xml:space="preserve">nício da </w:t>
      </w:r>
      <w:r w:rsidR="00134471">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bookmarkEnd w:id="82"/>
    </w:p>
    <w:p w:rsidR="00C26F9D" w:rsidRPr="007552BF" w:rsidP="00C26F9D" w14:paraId="31C3E9FD" w14:textId="799B6C54">
      <w:pPr>
        <w:pStyle w:val="Level2"/>
        <w:widowControl w:val="0"/>
        <w:spacing w:before="140" w:after="0"/>
        <w:rPr>
          <w:rFonts w:cs="Arial"/>
          <w:szCs w:val="20"/>
        </w:rPr>
      </w:pPr>
      <w:bookmarkStart w:id="83" w:name="_Hlk85182630"/>
      <w:r w:rsidRPr="007552BF">
        <w:rPr>
          <w:rFonts w:cs="Arial"/>
          <w:b/>
          <w:bCs/>
          <w:szCs w:val="20"/>
        </w:rPr>
        <w:t>Forma</w:t>
      </w:r>
      <w:r w:rsidR="00A67E90">
        <w:rPr>
          <w:rFonts w:cs="Arial"/>
          <w:b/>
          <w:bCs/>
          <w:szCs w:val="20"/>
          <w:lang w:val="pt-BR"/>
        </w:rPr>
        <w:t xml:space="preserve">, </w:t>
      </w:r>
      <w:r w:rsidR="00134471">
        <w:rPr>
          <w:rFonts w:cs="Arial"/>
          <w:b/>
          <w:bCs/>
          <w:szCs w:val="20"/>
          <w:lang w:val="pt-BR"/>
        </w:rPr>
        <w:t>T</w:t>
      </w:r>
      <w:r w:rsidR="00A67E90">
        <w:rPr>
          <w:rFonts w:cs="Arial"/>
          <w:b/>
          <w:bCs/>
          <w:szCs w:val="20"/>
          <w:lang w:val="pt-BR"/>
        </w:rPr>
        <w:t xml:space="preserve">ipo e </w:t>
      </w:r>
      <w:r w:rsidRPr="007552BF" w:rsidR="00A67E90">
        <w:rPr>
          <w:rFonts w:cs="Arial"/>
          <w:b/>
          <w:bCs/>
          <w:szCs w:val="20"/>
        </w:rPr>
        <w:t xml:space="preserve">Comprovação de Titularidade </w:t>
      </w:r>
      <w:bookmarkEnd w:id="83"/>
      <w:r w:rsidRPr="007552BF" w:rsidR="00A67E90">
        <w:rPr>
          <w:rFonts w:cs="Arial"/>
          <w:b/>
          <w:bCs/>
          <w:szCs w:val="20"/>
        </w:rPr>
        <w:t xml:space="preserve">das Debêntures. </w:t>
      </w:r>
      <w:bookmarkStart w:id="84" w:name="_Hlk85182620"/>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Pr="00AE0489" w:rsidR="00A67E90">
        <w:t xml:space="preserve"> </w:t>
      </w:r>
      <w:bookmarkEnd w:id="84"/>
      <w:r w:rsidRPr="007552BF" w:rsidR="00A67E90">
        <w:rPr>
          <w:rFonts w:cs="Arial"/>
          <w:szCs w:val="20"/>
        </w:rPr>
        <w:t xml:space="preserve">A Emissora não emitirá certificados de Debêntures. Para todos os fins de direito, a titularidade das Debêntures será comprovada pelo extrato emitido pelo </w:t>
      </w:r>
      <w:r w:rsidRPr="007552BF" w:rsidR="00A67E90">
        <w:rPr>
          <w:rFonts w:cs="Arial"/>
          <w:szCs w:val="20"/>
        </w:rPr>
        <w:t>Escriturador</w:t>
      </w:r>
      <w:r w:rsidRPr="007552BF" w:rsidR="00A67E90">
        <w:rPr>
          <w:rFonts w:cs="Arial"/>
          <w:szCs w:val="20"/>
        </w:rPr>
        <w:t>. Adicionalmente, as Debêntures custodiadas eletronicamente na B3 terão sua titularidade comprovada pelo extrato em nome dos Debenturistas emitido pela B3</w:t>
      </w:r>
      <w:r w:rsidR="007248DE">
        <w:rPr>
          <w:rFonts w:cs="Arial"/>
          <w:szCs w:val="20"/>
          <w:lang w:val="pt-BR"/>
        </w:rPr>
        <w:t>.</w:t>
      </w:r>
    </w:p>
    <w:p w:rsidR="00C26F9D" w:rsidRPr="007552BF" w:rsidP="00C26F9D" w14:paraId="1CE7ECD0" w14:textId="77777777">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rsidR="00C26F9D" w:rsidP="00C26F9D" w14:paraId="08749E90" w14:textId="5A35534C">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rsidR="006B6363" w:rsidRPr="007552BF" w:rsidP="006B6363" w14:paraId="2A090CAE" w14:textId="77777777">
      <w:pPr>
        <w:pStyle w:val="Level2"/>
        <w:widowControl w:val="0"/>
        <w:spacing w:before="140" w:after="0"/>
        <w:rPr>
          <w:rFonts w:cs="Arial"/>
          <w:szCs w:val="20"/>
        </w:rPr>
      </w:pPr>
      <w:bookmarkStart w:id="85"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rsidR="00F8238E" w:rsidRPr="006E595D" w:rsidP="00F8238E" w14:paraId="4A7FBB53" w14:textId="77777777">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Oferta de Resgate Antecipado 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86" w:name="_Ref65837373"/>
      <w:r w:rsidRPr="007552BF">
        <w:rPr>
          <w:rFonts w:eastAsia="Arial Unicode MS" w:cs="Arial"/>
          <w:szCs w:val="20"/>
          <w:lang w:val="pt-BR"/>
        </w:rPr>
        <w:t>:</w:t>
      </w:r>
      <w:bookmarkEnd w:id="85"/>
    </w:p>
    <w:p w:rsidR="00F8238E" w:rsidRPr="006E595D" w:rsidP="00F8238E" w14:paraId="2142370C" w14:textId="77777777">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rsidR="00F8238E" w:rsidRPr="006E595D" w:rsidP="00F8238E" w14:paraId="04467D50" w14:textId="77777777">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p w:rsidR="00F8238E" w:rsidRPr="007552BF" w:rsidP="00F8238E" w14:paraId="1F421126" w14:textId="77777777">
      <w:pPr>
        <w:pStyle w:val="Level3"/>
        <w:widowControl w:val="0"/>
        <w:spacing w:before="140" w:after="0"/>
        <w:rPr>
          <w:rFonts w:eastAsia="Arial Unicode MS" w:cs="Arial"/>
          <w:szCs w:val="20"/>
        </w:rPr>
      </w:pPr>
      <w:bookmarkEnd w:id="86"/>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rsidR="006B6363" w:rsidRPr="00F8238E" w:rsidP="00E52EA4" w14:paraId="6C2FE491" w14:textId="77777777">
      <w:pPr>
        <w:pStyle w:val="Level2"/>
        <w:widowControl w:val="0"/>
        <w:spacing w:before="140" w:after="0"/>
        <w:rPr>
          <w:rFonts w:cs="Arial"/>
          <w:color w:val="000000"/>
          <w:szCs w:val="20"/>
        </w:rPr>
      </w:pPr>
      <w:bookmarkStart w:id="87" w:name="_Ref84161389"/>
      <w:bookmarkStart w:id="88" w:name="_Hlk66625114"/>
      <w:r w:rsidRPr="007552BF">
        <w:rPr>
          <w:rFonts w:cs="Arial"/>
          <w:b/>
          <w:bCs/>
          <w:szCs w:val="20"/>
        </w:rPr>
        <w:t>Valor da Emissão.</w:t>
      </w:r>
      <w:r w:rsidRPr="00F95AE7">
        <w:rPr>
          <w:rFonts w:cs="Arial"/>
          <w:b/>
          <w:szCs w:val="20"/>
        </w:rPr>
        <w:t xml:space="preserve"> </w:t>
      </w:r>
      <w:bookmarkStart w:id="89" w:name="_DV_M50"/>
      <w:bookmarkEnd w:id="89"/>
      <w:r w:rsidRPr="007552BF">
        <w:rPr>
          <w:rFonts w:cs="Arial"/>
          <w:szCs w:val="20"/>
        </w:rPr>
        <w:t>O valor da Emissão será de</w:t>
      </w:r>
      <w:r w:rsidRPr="007552BF">
        <w:rPr>
          <w:rFonts w:cs="Arial"/>
          <w:szCs w:val="20"/>
          <w:lang w:val="pt-BR"/>
        </w:rPr>
        <w:t>, inicialmente, até</w:t>
      </w:r>
      <w:r w:rsidRPr="007552BF">
        <w:rPr>
          <w:rFonts w:cs="Arial"/>
          <w:szCs w:val="20"/>
        </w:rPr>
        <w:t xml:space="preserve"> R$ </w:t>
      </w:r>
      <w:r w:rsidRPr="007552BF">
        <w:rPr>
          <w:rFonts w:cs="Arial"/>
          <w:szCs w:val="20"/>
          <w:lang w:val="pt-BR"/>
        </w:rPr>
        <w:t>7</w:t>
      </w:r>
      <w:r w:rsidRPr="007552BF">
        <w:rPr>
          <w:rFonts w:cs="Arial"/>
          <w:szCs w:val="20"/>
        </w:rPr>
        <w:t>50.000.000,00 (</w:t>
      </w:r>
      <w:r w:rsidRPr="007552BF">
        <w:rPr>
          <w:rFonts w:cs="Arial"/>
          <w:szCs w:val="20"/>
          <w:lang w:val="pt-BR"/>
        </w:rPr>
        <w:t>setecentos</w:t>
      </w:r>
      <w:r w:rsidRPr="007552BF">
        <w:rPr>
          <w:rFonts w:cs="Arial"/>
          <w:szCs w:val="20"/>
        </w:rPr>
        <w:t xml:space="preserve"> e cinquenta milhões de reais)</w:t>
      </w:r>
      <w:bookmarkStart w:id="90" w:name="_DV_C40"/>
      <w:r w:rsidRPr="007552BF">
        <w:rPr>
          <w:rFonts w:cs="Arial"/>
          <w:szCs w:val="20"/>
        </w:rPr>
        <w:t>, na Data de Emissão</w:t>
      </w:r>
      <w:r w:rsidRPr="007552BF">
        <w:rPr>
          <w:rFonts w:cs="Arial"/>
          <w:szCs w:val="20"/>
          <w:lang w:val="pt-BR"/>
        </w:rPr>
        <w:t>, montante este que poderá ser diminuído observada a possibilidade de Distribuição Parcial</w:t>
      </w:r>
      <w:r>
        <w:rPr>
          <w:rFonts w:cs="Arial"/>
          <w:szCs w:val="20"/>
          <w:lang w:val="pt-BR"/>
        </w:rPr>
        <w:t xml:space="preserve"> </w:t>
      </w:r>
      <w:r>
        <w:t>(“</w:t>
      </w:r>
      <w:r w:rsidRPr="00A84432">
        <w:rPr>
          <w:u w:val="single"/>
        </w:rPr>
        <w:t>Valor da Emissão</w:t>
      </w:r>
      <w:r>
        <w:t>”)</w:t>
      </w:r>
      <w:r w:rsidRPr="007552BF">
        <w:rPr>
          <w:rFonts w:cs="Arial"/>
          <w:szCs w:val="20"/>
        </w:rPr>
        <w:t>.</w:t>
      </w:r>
    </w:p>
    <w:p w:rsidR="006B6363" w:rsidRPr="00F95AE7" w:rsidP="006B6363" w14:paraId="04607BB3" w14:textId="4C75ACEF">
      <w:pPr>
        <w:pStyle w:val="Level3"/>
        <w:spacing w:before="140" w:after="0"/>
        <w:rPr>
          <w:rFonts w:cs="Arial"/>
          <w:szCs w:val="20"/>
        </w:rPr>
      </w:pPr>
      <w:bookmarkStart w:id="91"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 MERGEFORMAT </w:instrText>
      </w:r>
      <w:r w:rsidRPr="00F95AE7">
        <w:rPr>
          <w:rFonts w:cs="Arial"/>
          <w:iCs/>
          <w:szCs w:val="20"/>
        </w:rPr>
        <w:fldChar w:fldCharType="separate"/>
      </w:r>
      <w:r w:rsidR="00E92C30">
        <w:rPr>
          <w:rFonts w:cs="Arial"/>
          <w:iCs/>
          <w:szCs w:val="20"/>
        </w:rPr>
        <w:t>6.10.1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92" w:name="_Ref72949958"/>
      <w:bookmarkEnd w:id="91"/>
    </w:p>
    <w:p w:rsidR="006B6363" w:rsidRPr="00C26F9D" w:rsidP="006B6363" w14:paraId="04764099" w14:textId="7727EFD0">
      <w:pPr>
        <w:pStyle w:val="Level3"/>
        <w:spacing w:before="140" w:after="0"/>
        <w:rPr>
          <w:rFonts w:cs="Arial"/>
          <w:szCs w:val="20"/>
        </w:rPr>
      </w:pPr>
      <w:bookmarkStart w:id="93" w:name="_Ref72962811"/>
      <w:bookmarkEnd w:id="92"/>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w:t>
      </w:r>
      <w:r w:rsidRPr="00083831">
        <w:rPr>
          <w:rFonts w:cs="Arial"/>
          <w:szCs w:val="20"/>
        </w:rPr>
        <w:t xml:space="preserve">a, nos termos da </w:t>
      </w:r>
      <w:r w:rsidRPr="006E595D">
        <w:rPr>
          <w:rFonts w:cs="Arial"/>
          <w:szCs w:val="20"/>
        </w:rPr>
        <w:t>RCA da Emissora, e da Fiadora, nos termos da RCA da Fiadora, ou de realização de Assembleia Geral de Debenturistas</w:t>
      </w:r>
      <w:r w:rsidRPr="006E595D">
        <w:rPr>
          <w:rFonts w:cs="Arial"/>
          <w:i/>
          <w:szCs w:val="20"/>
        </w:rPr>
        <w:t>.</w:t>
      </w:r>
      <w:bookmarkEnd w:id="93"/>
    </w:p>
    <w:p w:rsidR="00F8238E" w:rsidRPr="007552BF" w:rsidP="00F8238E" w14:paraId="19E558D3" w14:textId="77777777">
      <w:pPr>
        <w:pStyle w:val="Level2"/>
        <w:widowControl w:val="0"/>
        <w:spacing w:before="140" w:after="0"/>
        <w:rPr>
          <w:rFonts w:cs="Arial"/>
          <w:szCs w:val="20"/>
        </w:rPr>
      </w:pPr>
      <w:bookmarkEnd w:id="90"/>
      <w:r w:rsidRPr="007552BF">
        <w:rPr>
          <w:rFonts w:cs="Arial"/>
          <w:b/>
          <w:bCs/>
          <w:szCs w:val="20"/>
        </w:rPr>
        <w:t xml:space="preserve">Quantidade de Debêntures. </w:t>
      </w:r>
      <w:r>
        <w:rPr>
          <w:rFonts w:cs="Arial"/>
          <w:szCs w:val="20"/>
          <w:lang w:val="pt-BR"/>
        </w:rPr>
        <w:t>Serão</w:t>
      </w:r>
      <w:r w:rsidRPr="007552BF">
        <w:rPr>
          <w:rFonts w:cs="Arial"/>
          <w:szCs w:val="20"/>
        </w:rPr>
        <w:t xml:space="preserve"> emitidas</w:t>
      </w:r>
      <w:r w:rsidRPr="007552BF">
        <w:rPr>
          <w:rFonts w:cs="Arial"/>
          <w:szCs w:val="20"/>
          <w:lang w:val="pt-BR"/>
        </w:rPr>
        <w:t>, inicialmente,</w:t>
      </w:r>
      <w:r w:rsidRPr="007552BF">
        <w:rPr>
          <w:rFonts w:cs="Arial"/>
          <w:szCs w:val="20"/>
        </w:rPr>
        <w:t xml:space="preserve"> </w:t>
      </w:r>
      <w:r w:rsidRPr="007552BF">
        <w:rPr>
          <w:rFonts w:cs="Arial"/>
          <w:szCs w:val="20"/>
          <w:lang w:val="pt-BR"/>
        </w:rPr>
        <w:t>até 7</w:t>
      </w:r>
      <w:r w:rsidRPr="007552BF">
        <w:rPr>
          <w:rFonts w:cs="Arial"/>
          <w:szCs w:val="20"/>
        </w:rPr>
        <w:t>50.000 (</w:t>
      </w:r>
      <w:r w:rsidRPr="007552BF">
        <w:rPr>
          <w:rFonts w:cs="Arial"/>
          <w:szCs w:val="20"/>
          <w:lang w:val="pt-BR"/>
        </w:rPr>
        <w:t>setecentas</w:t>
      </w:r>
      <w:r w:rsidRPr="007552BF">
        <w:rPr>
          <w:rFonts w:cs="Arial"/>
          <w:szCs w:val="20"/>
        </w:rPr>
        <w:t xml:space="preserve"> e cinquenta mil) Debêntures</w:t>
      </w:r>
      <w:r w:rsidRPr="007552BF">
        <w:rPr>
          <w:rFonts w:cs="Arial"/>
          <w:szCs w:val="20"/>
          <w:lang w:val="pt-BR"/>
        </w:rPr>
        <w:t>, quantidade esta que poderá ser diminuída observada a possibilidade de Distribuição Parcial</w:t>
      </w:r>
      <w:r w:rsidRPr="007552BF">
        <w:rPr>
          <w:rFonts w:cs="Arial"/>
          <w:szCs w:val="20"/>
        </w:rPr>
        <w:t>.</w:t>
      </w:r>
      <w:bookmarkEnd w:id="87"/>
      <w:r w:rsidRPr="007552BF">
        <w:rPr>
          <w:rFonts w:cs="Arial"/>
          <w:szCs w:val="20"/>
        </w:rPr>
        <w:t xml:space="preserve"> </w:t>
      </w:r>
    </w:p>
    <w:p w:rsidR="00F8238E" w:rsidRPr="007552BF" w:rsidP="00F8238E" w14:paraId="0E8D64E1" w14:textId="62DB7D28">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 MERGEFORMAT </w:instrText>
      </w:r>
      <w:r w:rsidRPr="00F95AE7">
        <w:rPr>
          <w:rFonts w:cs="Arial"/>
          <w:szCs w:val="20"/>
        </w:rPr>
        <w:fldChar w:fldCharType="separate"/>
      </w:r>
      <w:r w:rsidR="00E92C30">
        <w:rPr>
          <w:rFonts w:cs="Arial"/>
          <w:szCs w:val="20"/>
        </w:rPr>
        <w:t>6.10</w:t>
      </w:r>
      <w:r w:rsidRPr="00F95AE7">
        <w:rPr>
          <w:rFonts w:cs="Arial"/>
          <w:szCs w:val="20"/>
        </w:rPr>
        <w:fldChar w:fldCharType="end"/>
      </w:r>
      <w:r w:rsidRPr="007552BF">
        <w:rPr>
          <w:rFonts w:cs="Arial"/>
          <w:szCs w:val="20"/>
        </w:rPr>
        <w:t xml:space="preserve"> acima.</w:t>
      </w:r>
    </w:p>
    <w:p w:rsidR="00F8238E" w:rsidRPr="006E595D" w:rsidP="00F8238E" w14:paraId="6163D77D" w14:textId="2C270C52">
      <w:pPr>
        <w:pStyle w:val="Level3"/>
        <w:spacing w:before="140" w:after="0"/>
        <w:rPr>
          <w:rFonts w:cs="Arial"/>
          <w:szCs w:val="20"/>
        </w:rPr>
      </w:pPr>
      <w:bookmarkStart w:id="94" w:name="_Ref84162666"/>
      <w:r w:rsidRPr="00F95AE7">
        <w:rPr>
          <w:rFonts w:cs="Arial"/>
          <w:szCs w:val="20"/>
        </w:rPr>
        <w:t xml:space="preserve">Esta Escritura deverá ser aditada de maneira a refletir a quantidade </w:t>
      </w:r>
      <w:r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94"/>
    </w:p>
    <w:p w:rsidR="00F8238E" w:rsidRPr="007552BF" w:rsidP="00F8238E" w14:paraId="4E4EC8C0" w14:textId="137F893B">
      <w:pPr>
        <w:pStyle w:val="Level3"/>
        <w:widowControl w:val="0"/>
        <w:spacing w:before="140" w:after="0"/>
        <w:rPr>
          <w:rFonts w:cs="Arial"/>
          <w:szCs w:val="20"/>
        </w:rPr>
      </w:pPr>
      <w:r w:rsidRPr="007552BF">
        <w:rPr>
          <w:rFonts w:cs="Arial"/>
          <w:szCs w:val="20"/>
        </w:rPr>
        <w:t xml:space="preserve">Adicionalmente, </w:t>
      </w:r>
      <w:bookmarkStart w:id="95" w:name="_Ref65858003"/>
      <w:bookmarkStart w:id="96" w:name="_DV_C80"/>
      <w:bookmarkStart w:id="97" w:name="_Hlk66109058"/>
      <w:bookmarkEnd w:id="88"/>
      <w:r w:rsidRPr="007552BF">
        <w:rPr>
          <w:rFonts w:cs="Arial"/>
          <w:szCs w:val="20"/>
        </w:rPr>
        <w:t>caso ocorra a diminuição na quantidade de Debêntures originalmente ofertada, conforme previsto n</w:t>
      </w:r>
      <w:r>
        <w:rPr>
          <w:rFonts w:cs="Arial"/>
          <w:szCs w:val="20"/>
        </w:rPr>
        <w:t>esta</w:t>
      </w:r>
      <w:r w:rsidRPr="007552BF">
        <w:rPr>
          <w:rFonts w:cs="Arial"/>
          <w:szCs w:val="20"/>
        </w:rPr>
        <w:t xml:space="preserve"> Cláusula </w:t>
      </w:r>
      <w:r w:rsidRPr="00F95AE7">
        <w:rPr>
          <w:rFonts w:cs="Arial"/>
          <w:szCs w:val="20"/>
        </w:rPr>
        <w:fldChar w:fldCharType="begin"/>
      </w:r>
      <w:r w:rsidRPr="007552BF">
        <w:rPr>
          <w:rFonts w:cs="Arial"/>
          <w:szCs w:val="20"/>
        </w:rPr>
        <w:instrText xml:space="preserve"> REF _Ref84161389 \r \h  \* MERGEFORMAT </w:instrText>
      </w:r>
      <w:r w:rsidRPr="00F95AE7">
        <w:rPr>
          <w:rFonts w:cs="Arial"/>
          <w:szCs w:val="20"/>
        </w:rPr>
        <w:fldChar w:fldCharType="separate"/>
      </w:r>
      <w:r w:rsidR="00E92C30">
        <w:rPr>
          <w:rFonts w:cs="Arial"/>
          <w:szCs w:val="20"/>
        </w:rPr>
        <w:t>6.8</w:t>
      </w:r>
      <w:r w:rsidRPr="00F95AE7">
        <w:rPr>
          <w:rFonts w:cs="Arial"/>
          <w:szCs w:val="20"/>
        </w:rPr>
        <w:fldChar w:fldCharType="end"/>
      </w:r>
      <w:r w:rsidRPr="007552BF">
        <w:rPr>
          <w:rFonts w:cs="Arial"/>
          <w:szCs w:val="20"/>
        </w:rPr>
        <w:t xml:space="preserve">, esta Escritura deverá ser aditada de maneira a refletir a quantidade final de Debêntures emitidas e alocadas em cada série efetivamente emitidas, após a conclusão do Procedimento de </w:t>
      </w:r>
      <w:r w:rsidRPr="006E595D">
        <w:rPr>
          <w:rFonts w:cs="Arial"/>
          <w:i/>
          <w:iCs/>
          <w:szCs w:val="20"/>
        </w:rPr>
        <w:t>Bookbuilding</w:t>
      </w:r>
      <w:r w:rsidRPr="007552BF">
        <w:rPr>
          <w:rFonts w:cs="Arial"/>
          <w:szCs w:val="20"/>
        </w:rPr>
        <w:t xml:space="preserve">, mediante a celebração do Aditamento, a ser celebrado anteriormente à Data da Primeira Integralização, que deverá ser inscrito e registrado nos termos da Cláusula </w:t>
      </w:r>
      <w:r w:rsidRPr="00F95AE7">
        <w:rPr>
          <w:rFonts w:cs="Arial"/>
          <w:szCs w:val="20"/>
        </w:rPr>
        <w:fldChar w:fldCharType="begin"/>
      </w:r>
      <w:r w:rsidRPr="007552BF">
        <w:rPr>
          <w:rFonts w:cs="Arial"/>
          <w:szCs w:val="20"/>
        </w:rPr>
        <w:instrText xml:space="preserve"> REF _Ref84162666 \r \h  \* MERGEFORMAT </w:instrText>
      </w:r>
      <w:r w:rsidRPr="00F95AE7">
        <w:rPr>
          <w:rFonts w:cs="Arial"/>
          <w:szCs w:val="20"/>
        </w:rPr>
        <w:fldChar w:fldCharType="separate"/>
      </w:r>
      <w:r w:rsidR="00E92C30">
        <w:rPr>
          <w:rFonts w:cs="Arial"/>
          <w:szCs w:val="20"/>
        </w:rPr>
        <w:t>6.9.2</w:t>
      </w:r>
      <w:r w:rsidRPr="00F95AE7">
        <w:rPr>
          <w:rFonts w:cs="Arial"/>
          <w:szCs w:val="20"/>
        </w:rPr>
        <w:fldChar w:fldCharType="end"/>
      </w:r>
      <w:r w:rsidRPr="007552BF">
        <w:rPr>
          <w:rFonts w:cs="Arial"/>
          <w:szCs w:val="20"/>
        </w:rPr>
        <w:t xml:space="preserve"> acima.</w:t>
      </w:r>
      <w:bookmarkEnd w:id="95"/>
    </w:p>
    <w:p w:rsidR="00BE7CF5" w:rsidRPr="006E595D" w:rsidP="00BE7CF5" w14:paraId="5FCCD977" w14:textId="100723D5">
      <w:pPr>
        <w:pStyle w:val="Level2"/>
        <w:widowControl w:val="0"/>
        <w:spacing w:before="140" w:after="0"/>
        <w:rPr>
          <w:rFonts w:cs="Arial"/>
          <w:b/>
          <w:szCs w:val="20"/>
        </w:rPr>
      </w:pPr>
      <w:bookmarkStart w:id="98" w:name="_Ref84161562"/>
      <w:bookmarkEnd w:id="96"/>
      <w:bookmarkEnd w:id="97"/>
      <w:r w:rsidRPr="006E595D">
        <w:rPr>
          <w:rFonts w:cs="Arial"/>
          <w:b/>
          <w:bCs/>
          <w:szCs w:val="20"/>
        </w:rPr>
        <w:t>Número de Séries</w:t>
      </w:r>
      <w:r w:rsidRPr="007552BF">
        <w:rPr>
          <w:rFonts w:cs="Arial"/>
          <w:b/>
          <w:bCs/>
          <w:szCs w:val="20"/>
        </w:rPr>
        <w:t xml:space="preserve">. </w:t>
      </w:r>
      <w:bookmarkStart w:id="99" w:name="_DV_M53"/>
      <w:bookmarkStart w:id="100" w:name="_Ref484032278"/>
      <w:bookmarkEnd w:id="99"/>
      <w:r w:rsidRPr="006E595D">
        <w:rPr>
          <w:rFonts w:cs="Arial"/>
          <w:szCs w:val="20"/>
        </w:rPr>
        <w:t>A Emissão será realizada em</w:t>
      </w:r>
      <w:r w:rsidRPr="007552BF">
        <w:rPr>
          <w:rFonts w:cs="Arial"/>
          <w:szCs w:val="20"/>
          <w:lang w:val="pt-BR"/>
        </w:rPr>
        <w:t xml:space="preserve"> até</w:t>
      </w:r>
      <w:r w:rsidRPr="006E595D">
        <w:rPr>
          <w:rFonts w:cs="Arial"/>
          <w:szCs w:val="20"/>
        </w:rPr>
        <w:t xml:space="preserve"> 2 (duas) séries,</w:t>
      </w:r>
      <w:r w:rsidRPr="007552BF">
        <w:rPr>
          <w:rFonts w:cs="Arial"/>
          <w:szCs w:val="20"/>
          <w:lang w:val="pt-BR"/>
        </w:rPr>
        <w:t xml:space="preserve"> </w:t>
      </w:r>
      <w:r w:rsidRPr="00F95AE7">
        <w:rPr>
          <w:rFonts w:cs="Arial"/>
          <w:szCs w:val="20"/>
        </w:rPr>
        <w:t>no sistema de vasos comunicantes (“</w:t>
      </w:r>
      <w:r w:rsidRPr="00083831">
        <w:rPr>
          <w:rFonts w:cs="Arial"/>
          <w:b/>
          <w:szCs w:val="20"/>
        </w:rPr>
        <w:t xml:space="preserve">Sistema de </w:t>
      </w:r>
      <w:r w:rsidRPr="006E595D">
        <w:rPr>
          <w:rFonts w:cs="Arial"/>
          <w:b/>
          <w:szCs w:val="20"/>
        </w:rPr>
        <w:t>Vasos Comunicantes</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w:t>
      </w:r>
      <w:r w:rsidRPr="006E595D">
        <w:rPr>
          <w:rFonts w:cs="Arial"/>
          <w:i/>
          <w:szCs w:val="20"/>
        </w:rPr>
        <w:t>Bookbuilding</w:t>
      </w:r>
      <w:r w:rsidRPr="006E595D">
        <w:rPr>
          <w:rFonts w:cs="Arial"/>
          <w:szCs w:val="20"/>
        </w:rPr>
        <w:t>, observado que o somatório das Debêntures da Primeira Série</w:t>
      </w:r>
      <w:r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fldChar w:fldCharType="separate"/>
      </w:r>
      <w:r w:rsidR="00E92C30">
        <w:rPr>
          <w:rFonts w:cs="Arial"/>
          <w:szCs w:val="20"/>
        </w:rPr>
        <w:t>6.8</w:t>
      </w:r>
      <w:r w:rsidRPr="00F95AE7">
        <w:rPr>
          <w:rFonts w:cs="Arial"/>
          <w:szCs w:val="20"/>
        </w:rPr>
        <w:fldChar w:fldCharType="end"/>
      </w:r>
      <w:r w:rsidRPr="00F95AE7">
        <w:rPr>
          <w:rFonts w:cs="Arial"/>
          <w:szCs w:val="20"/>
        </w:rPr>
        <w:t xml:space="preserve"> </w:t>
      </w:r>
      <w:r w:rsidRPr="00F95AE7">
        <w:rPr>
          <w:rFonts w:cs="Arial"/>
          <w:szCs w:val="20"/>
          <w:lang w:val="pt-BR"/>
        </w:rPr>
        <w:t>abaixo</w:t>
      </w:r>
      <w:r w:rsidRPr="00083831">
        <w:rPr>
          <w:rFonts w:cs="Arial"/>
          <w:szCs w:val="20"/>
        </w:rPr>
        <w:t>.</w:t>
      </w:r>
      <w:bookmarkEnd w:id="98"/>
      <w:r w:rsidRPr="00083831">
        <w:rPr>
          <w:rFonts w:cs="Arial"/>
          <w:szCs w:val="20"/>
        </w:rPr>
        <w:t xml:space="preserve"> </w:t>
      </w:r>
    </w:p>
    <w:p w:rsidR="00BE7CF5" w:rsidRPr="006E595D" w:rsidP="00BE7CF5" w14:paraId="50BFA689" w14:textId="6CB771F8">
      <w:pPr>
        <w:pStyle w:val="Level3"/>
        <w:spacing w:before="140" w:after="0"/>
        <w:rPr>
          <w:rFonts w:cs="Arial"/>
          <w:szCs w:val="20"/>
        </w:rPr>
      </w:pPr>
      <w:bookmarkStart w:id="10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fldChar w:fldCharType="separate"/>
      </w:r>
      <w:r w:rsidR="00E92C30">
        <w:rPr>
          <w:rFonts w:cs="Arial"/>
          <w:szCs w:val="20"/>
        </w:rPr>
        <w:t>6.8</w:t>
      </w:r>
      <w:r w:rsidRPr="00F95AE7">
        <w:rPr>
          <w:rFonts w:cs="Arial"/>
          <w:szCs w:val="20"/>
        </w:rPr>
        <w:fldChar w:fldCharType="end"/>
      </w:r>
      <w:r w:rsidRPr="00F95AE7">
        <w:rPr>
          <w:rFonts w:cs="Arial"/>
          <w:szCs w:val="20"/>
        </w:rPr>
        <w:t xml:space="preserve"> abaixo</w:t>
      </w:r>
      <w:r w:rsidRPr="00083831">
        <w:rPr>
          <w:rFonts w:cs="Arial"/>
          <w:szCs w:val="20"/>
        </w:rPr>
        <w:t xml:space="preserve">, definindo a quantidade a ser alocada </w:t>
      </w:r>
      <w:r w:rsidRPr="006E595D">
        <w:rPr>
          <w:rFonts w:cs="Arial"/>
          <w:szCs w:val="20"/>
        </w:rPr>
        <w:t xml:space="preserve">em cada série, de forma que a soma das Debêntures alocadas em cada uma das séries efetivamente emitida deverá corresponder à quantidade total de Debêntures objeto da Emissão. Observado o disposto na Cláusula </w:t>
      </w:r>
      <w:r w:rsidRPr="00F95AE7">
        <w:rPr>
          <w:rFonts w:cs="Arial"/>
          <w:szCs w:val="20"/>
        </w:rPr>
        <w:fldChar w:fldCharType="begin"/>
      </w:r>
      <w:r w:rsidRPr="006E595D">
        <w:rPr>
          <w:rFonts w:cs="Arial"/>
          <w:szCs w:val="20"/>
        </w:rPr>
        <w:instrText xml:space="preserve"> REF _Ref84161562 \r \h  \* MERGEFORMAT </w:instrText>
      </w:r>
      <w:r w:rsidRPr="00F95AE7">
        <w:rPr>
          <w:rFonts w:cs="Arial"/>
          <w:szCs w:val="20"/>
        </w:rPr>
        <w:fldChar w:fldCharType="separate"/>
      </w:r>
      <w:r w:rsidR="00E92C30">
        <w:rPr>
          <w:rFonts w:cs="Arial"/>
          <w:szCs w:val="20"/>
        </w:rPr>
        <w:t>6.10</w:t>
      </w:r>
      <w:r w:rsidRPr="00F95AE7">
        <w:rPr>
          <w:rFonts w:cs="Arial"/>
          <w:szCs w:val="20"/>
        </w:rPr>
        <w:fldChar w:fldCharType="end"/>
      </w:r>
      <w:r w:rsidRPr="00F95AE7">
        <w:rPr>
          <w:rFonts w:cs="Arial"/>
          <w:szCs w:val="20"/>
        </w:rPr>
        <w:t xml:space="preserve"> acima, as Debêntures serão alocadas entre as séries de forma a atender a demanda verificada no Procedimento de </w:t>
      </w:r>
      <w:r w:rsidRPr="00083831">
        <w:rPr>
          <w:rFonts w:cs="Arial"/>
          <w:i/>
          <w:szCs w:val="20"/>
        </w:rPr>
        <w:t>Bookbuilding</w:t>
      </w:r>
      <w:r w:rsidRPr="00083831">
        <w:rPr>
          <w:rFonts w:cs="Arial"/>
          <w:i/>
          <w:szCs w:val="20"/>
        </w:rPr>
        <w:t xml:space="preserve">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102" w:name="_Hlk22249778"/>
      <w:r w:rsidRPr="006E595D">
        <w:rPr>
          <w:rFonts w:cs="Arial"/>
          <w:szCs w:val="20"/>
        </w:rPr>
        <w:t xml:space="preserve">na série remanescente, </w:t>
      </w:r>
      <w:bookmarkEnd w:id="10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101"/>
      <w:r w:rsidRPr="006E595D">
        <w:rPr>
          <w:rFonts w:cs="Arial"/>
          <w:szCs w:val="20"/>
        </w:rPr>
        <w:t xml:space="preserve"> </w:t>
      </w:r>
    </w:p>
    <w:p w:rsidR="00BE7CF5" w:rsidRPr="006E595D" w:rsidP="00BE7CF5" w14:paraId="6364BCB8" w14:textId="77777777">
      <w:pPr>
        <w:pStyle w:val="Level3"/>
        <w:spacing w:before="140" w:after="0"/>
        <w:rPr>
          <w:rFonts w:cs="Arial"/>
          <w:b/>
          <w:szCs w:val="20"/>
        </w:rPr>
      </w:pPr>
      <w:bookmarkStart w:id="103" w:name="_Ref84166113"/>
      <w:r w:rsidRPr="006E595D">
        <w:rPr>
          <w:rFonts w:cs="Arial"/>
          <w:szCs w:val="20"/>
        </w:rPr>
        <w:t xml:space="preserve">Ressalvadas as referências expressas às Debêntures da Primeira Série e às Debêntures da Segunda Série, todas as referências às </w:t>
      </w:r>
      <w:r w:rsidRPr="007552BF">
        <w:rPr>
          <w:rFonts w:cs="Arial"/>
          <w:szCs w:val="20"/>
        </w:rPr>
        <w:t>“</w:t>
      </w:r>
      <w:r w:rsidRPr="006E595D">
        <w:rPr>
          <w:rFonts w:cs="Arial"/>
          <w:b/>
          <w:szCs w:val="20"/>
        </w:rPr>
        <w:t>Debêntures</w:t>
      </w:r>
      <w:r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103"/>
    </w:p>
    <w:p w:rsidR="00BE7CF5" w:rsidRPr="00F95AE7" w:rsidP="00BE7CF5" w14:paraId="2AA8CEB7" w14:textId="7D74B8B8">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rsidR="00F8238E" w:rsidRPr="006E595D" w:rsidP="00F8238E" w14:paraId="2BB61B33" w14:textId="025CA889">
      <w:pPr>
        <w:pStyle w:val="Level2"/>
        <w:widowControl w:val="0"/>
        <w:spacing w:before="140" w:after="0"/>
        <w:rPr>
          <w:rFonts w:cs="Arial"/>
          <w:szCs w:val="20"/>
          <w:lang w:val="pt-BR"/>
        </w:rPr>
      </w:pPr>
      <w:bookmarkEnd w:id="100"/>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104"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104"/>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r w:rsidRPr="006E595D">
        <w:rPr>
          <w:rFonts w:cs="Arial"/>
          <w:i/>
          <w:szCs w:val="20"/>
          <w:lang w:val="pt-BR"/>
        </w:rPr>
        <w:t>temporis</w:t>
      </w:r>
      <w:r w:rsidRPr="006E595D">
        <w:rPr>
          <w:rFonts w:cs="Arial"/>
          <w:szCs w:val="20"/>
          <w:lang w:val="pt-BR"/>
        </w:rPr>
        <w:t xml:space="preserve"> desde a Data da Primeira Integralização até a data de sua efetiva integralização, de acordo com as normas de liquidação aplicáveis à B3. As Debêntures serão integralizadas à vista, em moeda corrente nacional, no ato da subscrição, pelo Preço de Integralização, de acordo com os procedimentos aplicáveis da B3.</w:t>
      </w:r>
    </w:p>
    <w:p w:rsidR="006B6363" w:rsidRPr="007552BF" w:rsidP="006B6363" w14:paraId="1652F9E8" w14:textId="77777777">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105"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105"/>
      <w:r w:rsidRPr="007552BF">
        <w:rPr>
          <w:rFonts w:cs="Arial"/>
          <w:szCs w:val="20"/>
        </w:rPr>
        <w:t xml:space="preserve"> </w:t>
      </w:r>
    </w:p>
    <w:p w:rsidR="00C26F9D" w:rsidRPr="007552BF" w:rsidP="00C26F9D" w14:paraId="2C97F082" w14:textId="3891F4C1">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Pr="00AE0489" w:rsidR="00B74B9A">
        <w:rPr>
          <w:lang w:val="pt-BR"/>
        </w:rPr>
        <w:t xml:space="preserve"> </w:t>
      </w:r>
      <w:r w:rsidR="00B74B9A">
        <w:rPr>
          <w:rFonts w:cs="Arial"/>
          <w:szCs w:val="20"/>
          <w:lang w:val="pt-BR"/>
        </w:rPr>
        <w:t>v</w:t>
      </w:r>
      <w:r w:rsidRPr="00AE0489" w:rsidR="00B74B9A">
        <w:rPr>
          <w:lang w:val="pt-BR"/>
        </w:rPr>
        <w:t xml:space="preserve">alor </w:t>
      </w:r>
      <w:r w:rsidR="00B74B9A">
        <w:rPr>
          <w:rFonts w:cs="Arial"/>
          <w:szCs w:val="20"/>
          <w:lang w:val="pt-BR"/>
        </w:rPr>
        <w:t>n</w:t>
      </w:r>
      <w:r w:rsidRPr="00AE0489" w:rsidR="00B74B9A">
        <w:rPr>
          <w:lang w:val="pt-BR"/>
        </w:rPr>
        <w:t xml:space="preserve">ominal </w:t>
      </w:r>
      <w:r w:rsidR="00B74B9A">
        <w:rPr>
          <w:rFonts w:cs="Arial"/>
          <w:szCs w:val="20"/>
          <w:lang w:val="pt-BR"/>
        </w:rPr>
        <w:t>u</w:t>
      </w:r>
      <w:r w:rsidRPr="00AE0489" w:rsidR="00B74B9A">
        <w:rPr>
          <w:lang w:val="pt-BR"/>
        </w:rPr>
        <w:t xml:space="preserve">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rsidR="00BE7CF5" w:rsidRPr="006E595D" w:rsidP="00BE7CF5" w14:paraId="7CF446D8" w14:textId="77777777">
      <w:pPr>
        <w:pStyle w:val="Level2"/>
        <w:spacing w:before="140" w:after="0"/>
        <w:rPr>
          <w:rFonts w:eastAsia="Arial Unicode MS" w:cs="Arial"/>
          <w:szCs w:val="20"/>
        </w:rPr>
      </w:pPr>
      <w:bookmarkStart w:id="106"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106"/>
      <w:r w:rsidRPr="007552BF">
        <w:rPr>
          <w:rFonts w:eastAsia="Arial Unicode MS" w:cs="Arial"/>
          <w:b/>
          <w:szCs w:val="20"/>
        </w:rPr>
        <w:t xml:space="preserve">. </w:t>
      </w:r>
      <w:bookmarkStart w:id="107"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108" w:name="_Ref65839158"/>
      <w:bookmarkEnd w:id="107"/>
      <w:r>
        <w:rPr>
          <w:rFonts w:cs="Arial"/>
          <w:szCs w:val="20"/>
          <w:lang w:val="pt-BR"/>
        </w:rPr>
        <w:t xml:space="preserve"> </w:t>
      </w:r>
    </w:p>
    <w:p w:rsidR="00BE7CF5" w:rsidRPr="007552BF" w:rsidP="00BE7CF5" w14:paraId="424EC39B" w14:textId="643B7859">
      <w:pPr>
        <w:pStyle w:val="Level2"/>
        <w:widowControl w:val="0"/>
        <w:spacing w:before="140" w:after="0"/>
        <w:rPr>
          <w:rFonts w:cs="Arial"/>
          <w:b/>
          <w:bCs/>
          <w:szCs w:val="20"/>
        </w:rPr>
      </w:pPr>
      <w:bookmarkStart w:id="109" w:name="_Ref65837801"/>
      <w:bookmarkEnd w:id="108"/>
      <w:r w:rsidRPr="007552BF">
        <w:rPr>
          <w:rFonts w:cs="Arial"/>
          <w:b/>
          <w:bCs/>
          <w:szCs w:val="20"/>
        </w:rPr>
        <w:t>Remuneração das Debêntures</w:t>
      </w:r>
      <w:bookmarkEnd w:id="109"/>
    </w:p>
    <w:p w:rsidR="00BE7CF5" w:rsidRPr="006E595D" w:rsidP="00BE7CF5" w14:paraId="62B2E3F4" w14:textId="6B1B0CBC">
      <w:pPr>
        <w:pStyle w:val="Level3"/>
        <w:widowControl w:val="0"/>
        <w:spacing w:before="140" w:after="0"/>
        <w:rPr>
          <w:rFonts w:cs="Arial"/>
          <w:szCs w:val="20"/>
        </w:rPr>
      </w:pPr>
      <w:bookmarkStart w:id="110" w:name="_Ref84233570"/>
      <w:bookmarkStart w:id="111" w:name="_Ref65839095"/>
      <w:bookmarkStart w:id="112"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w:t>
      </w:r>
      <w:r w:rsidRPr="007552BF" w:rsidR="00A759E1">
        <w:rPr>
          <w:rFonts w:cs="Arial"/>
          <w:szCs w:val="20"/>
        </w:rPr>
        <w:t>1</w:t>
      </w:r>
      <w:r w:rsidRPr="006E595D" w:rsidR="00A759E1">
        <w:rPr>
          <w:rFonts w:cs="Arial"/>
          <w:szCs w:val="20"/>
        </w:rPr>
        <w:t>,</w:t>
      </w:r>
      <w:r w:rsidRPr="007552BF" w:rsidR="00A759E1">
        <w:rPr>
          <w:rFonts w:cs="Arial"/>
          <w:szCs w:val="20"/>
        </w:rPr>
        <w:t>65</w:t>
      </w:r>
      <w:r w:rsidRPr="006E595D" w:rsidR="00A759E1">
        <w:rPr>
          <w:rFonts w:cs="Arial"/>
          <w:szCs w:val="20"/>
        </w:rPr>
        <w:t xml:space="preserve">% </w:t>
      </w:r>
      <w:r w:rsidRPr="006E595D" w:rsidR="00A759E1">
        <w:rPr>
          <w:rFonts w:cs="Arial"/>
          <w:bCs/>
          <w:szCs w:val="20"/>
        </w:rPr>
        <w:t>(</w:t>
      </w:r>
      <w:r w:rsidRPr="007552BF" w:rsidR="00A759E1">
        <w:rPr>
          <w:rFonts w:cs="Arial"/>
          <w:bCs/>
          <w:szCs w:val="20"/>
        </w:rPr>
        <w:t>um</w:t>
      </w:r>
      <w:r w:rsidRPr="006E595D" w:rsidR="00A759E1">
        <w:rPr>
          <w:rFonts w:cs="Arial"/>
          <w:bCs/>
          <w:szCs w:val="20"/>
        </w:rPr>
        <w:t xml:space="preserve"> inteiro e </w:t>
      </w:r>
      <w:r w:rsidRPr="007552BF" w:rsidR="00A759E1">
        <w:rPr>
          <w:rFonts w:cs="Arial"/>
          <w:bCs/>
          <w:szCs w:val="20"/>
        </w:rPr>
        <w:t>sessenta e cinco</w:t>
      </w:r>
      <w:r w:rsidRPr="006E595D" w:rsidR="00A759E1">
        <w:rPr>
          <w:rFonts w:cs="Arial"/>
          <w:bCs/>
          <w:szCs w:val="20"/>
        </w:rPr>
        <w:t xml:space="preserve"> centésimos por cento)</w:t>
      </w:r>
      <w:r w:rsidRPr="006E595D">
        <w:rPr>
          <w:rFonts w:cs="Arial"/>
          <w:bCs/>
          <w:szCs w:val="20"/>
        </w:rPr>
        <w:t xml:space="preserve"> ao ano, </w:t>
      </w:r>
      <w:r w:rsidRPr="006E595D">
        <w:rPr>
          <w:rFonts w:cs="Arial"/>
          <w:szCs w:val="20"/>
        </w:rPr>
        <w:t>base 252 (duzentos e cinquenta e dois) Dias Úteis</w:t>
      </w:r>
      <w:r w:rsidR="00A759E1">
        <w:rPr>
          <w:rFonts w:cs="Arial"/>
          <w:szCs w:val="20"/>
        </w:rPr>
        <w:t xml:space="preserve"> </w:t>
      </w:r>
      <w:r w:rsidRPr="006E595D">
        <w:rPr>
          <w:rFonts w:cs="Arial"/>
          <w:szCs w:val="20"/>
        </w:rPr>
        <w:t>(</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r w:rsidRPr="006E595D">
        <w:rPr>
          <w:rFonts w:cs="Arial"/>
          <w:i/>
          <w:szCs w:val="20"/>
        </w:rPr>
        <w:t>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110"/>
      <w:r w:rsidRPr="007552BF">
        <w:rPr>
          <w:rFonts w:cs="Arial"/>
          <w:i/>
          <w:szCs w:val="20"/>
        </w:rPr>
        <w:t xml:space="preserve"> </w:t>
      </w:r>
    </w:p>
    <w:p w:rsidR="00BE7CF5" w:rsidRPr="006E595D" w:rsidP="00BE7CF5" w14:paraId="03DFEEE5" w14:textId="77777777">
      <w:pPr>
        <w:pStyle w:val="Level3"/>
        <w:widowControl w:val="0"/>
        <w:spacing w:before="140" w:after="0"/>
        <w:rPr>
          <w:rFonts w:cs="Arial"/>
          <w:szCs w:val="20"/>
        </w:rPr>
      </w:pPr>
      <w:bookmarkEnd w:id="111"/>
      <w:r w:rsidRPr="007552BF">
        <w:rPr>
          <w:rFonts w:eastAsia="Arial Unicode MS" w:cs="Arial"/>
          <w:szCs w:val="20"/>
        </w:rPr>
        <w:t>A Remuneração das Debêntures da Primeira Série deverá ser calculada de acordo com a seguinte fórmula:</w:t>
      </w:r>
    </w:p>
    <w:p w:rsidR="00BE7CF5" w:rsidRPr="00083831" w:rsidP="00BE7CF5" w14:paraId="40DC8635"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BE7CF5" w:rsidRPr="007552BF" w:rsidP="00BE7CF5" w14:paraId="67156FE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083831" w:rsidP="00BE7CF5" w14:paraId="3C71CF4C" w14:textId="266A8C0B">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rsidR="00BE7CF5" w:rsidRPr="00083831" w:rsidP="00BE7CF5" w14:paraId="752A782A"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BE7CF5" w:rsidRPr="00083831" w:rsidP="00BE7CF5" w14:paraId="7950D02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w:t>
      </w:r>
      <w:bookmarkStart w:id="113"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3"/>
      <w:r w:rsidRPr="00F95AE7">
        <w:rPr>
          <w:rFonts w:ascii="Arial" w:eastAsia="Arial" w:hAnsi="Arial" w:cs="Arial"/>
          <w:sz w:val="20"/>
          <w:szCs w:val="20"/>
          <w:lang w:eastAsia="en-GB"/>
        </w:rPr>
        <w:t>:</w:t>
      </w:r>
    </w:p>
    <w:p w:rsidR="00BE7CF5" w:rsidRPr="00F95AE7" w:rsidP="00BE7CF5" w14:paraId="2C4D58FB"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7pt" o:oleicon="f" o:ole="" fillcolor="window">
            <v:imagedata r:id="rId9" o:title=""/>
          </v:shape>
          <o:OLEObject Type="Embed" ProgID="Equation.3" ShapeID="_x0000_i1025" DrawAspect="Content" ObjectID="_1695807923" r:id="rId10"/>
        </w:object>
      </w:r>
    </w:p>
    <w:p w:rsidR="00BE7CF5" w:rsidRPr="007552BF" w:rsidP="00BE7CF5" w14:paraId="2E5B6AAE"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6E595D" w:rsidP="00BE7CF5" w14:paraId="0418525B"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rsidR="00BE7CF5" w:rsidRPr="006E595D" w:rsidP="00BE7CF5" w14:paraId="341C28ED"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BE7CF5" w:rsidRPr="00F95AE7" w:rsidP="00BE7CF5" w14:paraId="375AEAF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BE7CF5" w:rsidRPr="00F95AE7" w:rsidP="00BE7CF5" w14:paraId="35F49132"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083831" w:rsidP="00BE7CF5" w14:paraId="0272FCFD"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rsidR="00BE7CF5" w:rsidRPr="007552BF" w:rsidP="00BE7CF5" w14:paraId="106036E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rsidR="00BE7CF5" w:rsidRPr="006E595D" w:rsidP="00BE7CF5" w14:paraId="5625F55C"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BE7CF5" w:rsidRPr="006E595D" w:rsidP="00BE7CF5" w14:paraId="0942ADEE"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E173F5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BE7CF5" w:rsidRPr="007552BF" w:rsidP="00BE7CF5" w14:paraId="3CE5586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F95AE7" w:rsidP="00BE7CF5" w14:paraId="457C331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BE7CF5" w:rsidRPr="00083831" w:rsidP="00BE7CF5" w14:paraId="48BFE4FF"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BE7CF5" w:rsidRPr="00F95AE7" w:rsidP="00BE7CF5" w14:paraId="04C0F1F7"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3" o:title=""/>
          </v:shape>
          <o:OLEObject Type="Embed" ProgID="Equation.3" ShapeID="_x0000_s1026" DrawAspect="Content" ObjectID="_1695807925" r:id="rId14"/>
        </w:pict>
      </w:r>
    </w:p>
    <w:p w:rsidR="00BE7CF5" w:rsidRPr="00083831" w:rsidP="00BE7CF5" w14:paraId="790F56B6"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C7E76FB"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7552BF" w:rsidP="00BE7CF5" w14:paraId="7AA7668D" w14:textId="581221A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1,6500; e</w:t>
      </w:r>
    </w:p>
    <w:p w:rsidR="00BE7CF5" w:rsidRPr="00083831" w:rsidP="00BE7CF5" w14:paraId="03163A98"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BE7CF5" w:rsidRPr="00F95AE7" w:rsidP="00BE7CF5" w14:paraId="06D2870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BE7CF5" w:rsidRPr="006E595D" w:rsidP="00BE7CF5" w14:paraId="5591E42B"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(1 + </w:t>
      </w:r>
      <w:r w:rsidRPr="006E595D">
        <w:rPr>
          <w:rFonts w:eastAsia="Arial" w:cs="Arial"/>
          <w:szCs w:val="20"/>
        </w:rPr>
        <w:t>TDIk</w:t>
      </w:r>
      <w:r w:rsidRPr="006E595D">
        <w:rPr>
          <w:rFonts w:eastAsia="Arial" w:cs="Arial"/>
          <w:szCs w:val="20"/>
        </w:rPr>
        <w:t>) é considerado com 16 (dezesseis) casas decimais, sem arredondamento.</w:t>
      </w:r>
    </w:p>
    <w:p w:rsidR="00BE7CF5" w:rsidRPr="006E595D" w:rsidP="00BE7CF5" w14:paraId="58EB15EF"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BE7CF5" w:rsidRPr="006E595D" w:rsidP="00BE7CF5" w14:paraId="4DB557F3"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rsidR="00BE7CF5" w:rsidRPr="006E595D" w:rsidP="00BE7CF5" w14:paraId="40FBF538"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BE7CF5" w:rsidRPr="006E595D" w:rsidP="00BE7CF5" w14:paraId="1CFB4D6C"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BE7CF5" w:rsidRPr="007552BF" w:rsidP="00BE7CF5" w14:paraId="6FD5E72C" w14:textId="4A6B7D14">
      <w:pPr>
        <w:pStyle w:val="Level3"/>
        <w:widowControl w:val="0"/>
        <w:spacing w:before="140" w:after="0"/>
        <w:rPr>
          <w:rFonts w:cs="Arial"/>
          <w:szCs w:val="20"/>
        </w:rPr>
      </w:pPr>
      <w:bookmarkStart w:id="114"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w:t>
      </w:r>
      <w:r w:rsidRPr="007552BF" w:rsidR="00A759E1">
        <w:rPr>
          <w:rFonts w:cs="Arial"/>
          <w:szCs w:val="20"/>
        </w:rPr>
        <w:t xml:space="preserve">1,95% </w:t>
      </w:r>
      <w:r w:rsidRPr="007552BF" w:rsidR="00A759E1">
        <w:rPr>
          <w:rFonts w:cs="Arial"/>
          <w:bCs/>
          <w:szCs w:val="20"/>
        </w:rPr>
        <w:t xml:space="preserve">(um inteiro e noventa e cinco centésimos por cento) </w:t>
      </w:r>
      <w:r w:rsidRPr="007552BF" w:rsidR="00A759E1">
        <w:rPr>
          <w:rFonts w:cs="Arial"/>
          <w:szCs w:val="20"/>
        </w:rPr>
        <w:t>ao ano</w:t>
      </w:r>
      <w:r w:rsidRPr="007552BF">
        <w:rPr>
          <w:rFonts w:cs="Arial"/>
          <w:bCs/>
          <w:szCs w:val="20"/>
        </w:rPr>
        <w:t xml:space="preserve">, </w:t>
      </w:r>
      <w:r w:rsidRPr="007552BF">
        <w:rPr>
          <w:rFonts w:cs="Arial"/>
          <w:szCs w:val="20"/>
        </w:rPr>
        <w:t>base 252 (duzentos e cinquenta e dois) Dias Úteis</w:t>
      </w:r>
      <w:r w:rsidR="00A759E1">
        <w:rPr>
          <w:rFonts w:cs="Arial"/>
          <w:szCs w:val="20"/>
        </w:rPr>
        <w:t xml:space="preserve"> </w:t>
      </w:r>
      <w:r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 xml:space="preserve">pro rata </w:t>
      </w:r>
      <w:r w:rsidRPr="007552BF">
        <w:rPr>
          <w:rFonts w:cs="Arial"/>
          <w:i/>
          <w:szCs w:val="20"/>
        </w:rPr>
        <w:t>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4"/>
      <w:r w:rsidRPr="007552BF">
        <w:rPr>
          <w:rFonts w:cs="Arial"/>
          <w:i/>
          <w:szCs w:val="20"/>
        </w:rPr>
        <w:t xml:space="preserve"> </w:t>
      </w:r>
    </w:p>
    <w:p w:rsidR="00BE7CF5" w:rsidRPr="007552BF" w:rsidP="00BE7CF5" w14:paraId="7C127300" w14:textId="77777777">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rsidR="00BE7CF5" w:rsidRPr="00083831" w:rsidP="00BE7CF5" w14:paraId="6AD2B61E"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r w:rsidRPr="00F95AE7">
        <w:rPr>
          <w:rFonts w:ascii="Arial" w:eastAsia="Arial" w:hAnsi="Arial" w:cs="Arial"/>
          <w:sz w:val="20"/>
          <w:szCs w:val="20"/>
          <w:lang w:eastAsia="en-GB"/>
        </w:rPr>
        <w:t>VNe</w:t>
      </w:r>
      <w:r w:rsidRPr="00F95AE7">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BE7CF5" w:rsidRPr="007552BF" w:rsidP="00BE7CF5" w14:paraId="30A18520"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083831" w:rsidP="00BE7CF5" w14:paraId="3F7CE994" w14:textId="42B0D5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BE7CF5" w:rsidRPr="00083831" w:rsidP="00BE7CF5" w14:paraId="36199B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BE7CF5" w:rsidRPr="00F95AE7" w:rsidP="00BE7CF5" w14:paraId="0F61C61E"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BE7CF5" w:rsidRPr="00F95AE7" w:rsidP="00BE7CF5" w14:paraId="34FA210D"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4pt;height:17pt" o:oleicon="f" o:ole="" fillcolor="window">
            <v:imagedata r:id="rId9" o:title=""/>
          </v:shape>
          <o:OLEObject Type="Embed" ProgID="Equation.3" ShapeID="_x0000_i1027" DrawAspect="Content" ObjectID="_1695807924" r:id="rId15"/>
        </w:object>
      </w:r>
    </w:p>
    <w:p w:rsidR="00BE7CF5" w:rsidRPr="007552BF" w:rsidP="00BE7CF5" w14:paraId="7AD2B361"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6E595D" w:rsidP="00BE7CF5" w14:paraId="00389145"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BE7CF5" w:rsidRPr="006E595D" w:rsidP="00BE7CF5" w14:paraId="1529AF7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BE7CF5" w:rsidRPr="00F95AE7" w:rsidP="00BE7CF5" w14:paraId="7B3CAF22"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BE7CF5" w:rsidRPr="00F95AE7" w:rsidP="00BE7CF5" w14:paraId="6217AA2F"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083831" w:rsidP="00BE7CF5" w14:paraId="40E8C2A3"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rsidR="00BE7CF5" w:rsidRPr="007552BF" w:rsidP="00BE7CF5" w14:paraId="3C7FC0D4"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rsidR="00BE7CF5" w:rsidRPr="006E595D" w:rsidP="00BE7CF5" w14:paraId="0C1568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BE7CF5" w:rsidRPr="006E595D" w:rsidP="00BE7CF5" w14:paraId="2C493932"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1024004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BE7CF5" w:rsidRPr="007552BF" w:rsidP="00BE7CF5" w14:paraId="502B0705"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BE7CF5" w:rsidRPr="00F95AE7" w:rsidP="00BE7CF5" w14:paraId="1DB92E4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BE7CF5" w:rsidRPr="00083831" w:rsidP="00BE7CF5" w14:paraId="6430022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BE7CF5" w:rsidRPr="00F95AE7" w:rsidP="00BE7CF5" w14:paraId="20CF4ECA"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3" o:title=""/>
          </v:shape>
          <o:OLEObject Type="Embed" ProgID="Equation.3" ShapeID="_x0000_s1028" DrawAspect="Content" ObjectID="_1695807926" r:id="rId16"/>
        </w:pict>
      </w:r>
    </w:p>
    <w:p w:rsidR="00BE7CF5" w:rsidRPr="00083831" w:rsidP="00BE7CF5" w14:paraId="4C0E4CD6"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BE7CF5" w:rsidRPr="00F95AE7" w:rsidP="00BE7CF5" w14:paraId="5BA68316"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BE7CF5" w:rsidRPr="007552BF" w:rsidP="00BE7CF5" w14:paraId="1DFFB890" w14:textId="747BEE09">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1,9500; e</w:t>
      </w:r>
    </w:p>
    <w:p w:rsidR="00BE7CF5" w:rsidRPr="00083831" w:rsidP="00BE7CF5" w14:paraId="7658306B"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BE7CF5" w:rsidRPr="00F95AE7" w:rsidP="00BE7CF5" w14:paraId="30467D58"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BE7CF5" w:rsidRPr="006E595D" w:rsidP="00BE7CF5" w14:paraId="1B437835" w14:textId="77777777">
      <w:pPr>
        <w:pStyle w:val="Level4"/>
        <w:tabs>
          <w:tab w:val="clear" w:pos="2041"/>
          <w:tab w:val="num" w:pos="2098"/>
        </w:tabs>
        <w:spacing w:before="140" w:after="0"/>
        <w:ind w:left="2098"/>
        <w:rPr>
          <w:rFonts w:eastAsia="Arial" w:cs="Arial"/>
          <w:szCs w:val="20"/>
        </w:rPr>
      </w:pPr>
      <w:r w:rsidRPr="00083831">
        <w:rPr>
          <w:rFonts w:eastAsia="Arial" w:cs="Arial"/>
          <w:szCs w:val="20"/>
        </w:rPr>
        <w:t xml:space="preserve">O fator resultante da expressão (1 + </w:t>
      </w:r>
      <w:r w:rsidRPr="00083831">
        <w:rPr>
          <w:rFonts w:eastAsia="Arial" w:cs="Arial"/>
          <w:szCs w:val="20"/>
        </w:rPr>
        <w:t>TDIk</w:t>
      </w:r>
      <w:r w:rsidRPr="00083831">
        <w:rPr>
          <w:rFonts w:eastAsia="Arial" w:cs="Arial"/>
          <w:szCs w:val="20"/>
        </w:rPr>
        <w:t>) é considerado com 16 (dezesseis) casas decimais, sem arredondamento.</w:t>
      </w:r>
    </w:p>
    <w:p w:rsidR="00BE7CF5" w:rsidRPr="006E595D" w:rsidP="00BE7CF5" w14:paraId="06673790"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BE7CF5" w:rsidRPr="006E595D" w:rsidP="00BE7CF5" w14:paraId="40CB4C87"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rsidR="00BE7CF5" w:rsidRPr="006E595D" w:rsidP="00BE7CF5" w14:paraId="5243C03E"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BE7CF5" w:rsidRPr="006E595D" w:rsidP="00BE7CF5" w14:paraId="0C32E544"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BE7CF5" w:rsidRPr="007552BF" w:rsidP="00BE7CF5" w14:paraId="179213E8" w14:textId="77777777">
      <w:pPr>
        <w:pStyle w:val="Level3"/>
        <w:spacing w:before="140" w:after="0"/>
        <w:rPr>
          <w:rFonts w:cs="Arial"/>
          <w:szCs w:val="20"/>
        </w:rPr>
      </w:pPr>
      <w:r w:rsidRPr="006E595D">
        <w:rPr>
          <w:rFonts w:cs="Arial"/>
          <w:szCs w:val="20"/>
        </w:rPr>
        <w:t xml:space="preserve">Se, na data de vencimento de quaisquer obrigações pecuniárias da Emissora </w:t>
      </w:r>
      <w:bookmarkStart w:id="115" w:name="_Hlk84165286"/>
      <w:r w:rsidRPr="006E595D">
        <w:rPr>
          <w:rFonts w:cs="Arial"/>
          <w:szCs w:val="20"/>
        </w:rPr>
        <w:t>decorrentes desta Escritura</w:t>
      </w:r>
      <w:bookmarkEnd w:id="115"/>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r w:rsidRPr="006E595D">
        <w:rPr>
          <w:rFonts w:cs="Arial"/>
          <w:szCs w:val="20"/>
        </w:rPr>
        <w:t>TDIk</w:t>
      </w:r>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rsidR="00BE7CF5" w:rsidRPr="006E595D" w:rsidP="00BE7CF5" w14:paraId="5A127994" w14:textId="77777777">
      <w:pPr>
        <w:pStyle w:val="Level3"/>
        <w:spacing w:before="140" w:after="0"/>
        <w:rPr>
          <w:rFonts w:eastAsia="Arial Unicode MS" w:cs="Arial"/>
          <w:szCs w:val="20"/>
        </w:rPr>
      </w:pPr>
      <w:bookmarkStart w:id="116"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de obrigações pecuniárias da Emissora decorrentes desta Escritura até a data de deliberação da Taxa Substitutiva da Taxa DI.</w:t>
      </w:r>
      <w:bookmarkEnd w:id="116"/>
    </w:p>
    <w:p w:rsidR="00BE7CF5" w:rsidRPr="007552BF" w:rsidP="00BE7CF5" w14:paraId="11CF1BDA" w14:textId="77777777">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ser utilizado para o cálculo da Remuneração. Até a data de divulgação da Taxa DI, será utilizada a última variação disponível da Taxa DI divulgada oficialmente para fins de cálculo da Remuneração. </w:t>
      </w:r>
    </w:p>
    <w:p w:rsidR="00BE7CF5" w:rsidRPr="000D4AA2" w:rsidP="00BE7CF5" w14:paraId="516C420D" w14:textId="77777777">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 xml:space="preserve">para cálculo da Remuneração com relação às Debêntures serem resgatadas, será utilizado para a apuração de </w:t>
      </w:r>
      <w:r w:rsidRPr="006E595D">
        <w:rPr>
          <w:rFonts w:cs="Arial"/>
          <w:szCs w:val="20"/>
        </w:rPr>
        <w:t>TDIk</w:t>
      </w:r>
      <w:r w:rsidRPr="006E595D">
        <w:rPr>
          <w:rFonts w:cs="Arial"/>
          <w:szCs w:val="20"/>
        </w:rPr>
        <w:t xml:space="preserve"> o valor da última Taxa DI divulgada oficialmente, observadas ainda as demais disposições previstas na Cláusula 10 e seguintes</w:t>
      </w:r>
      <w:r w:rsidRPr="007552BF">
        <w:rPr>
          <w:rFonts w:cs="Arial"/>
          <w:szCs w:val="20"/>
        </w:rPr>
        <w:t>.</w:t>
      </w:r>
      <w:r>
        <w:rPr>
          <w:rFonts w:cs="Arial"/>
          <w:szCs w:val="20"/>
        </w:rPr>
        <w:t xml:space="preserve"> </w:t>
      </w:r>
    </w:p>
    <w:p w:rsidR="00BE7CF5" w:rsidRPr="006E595D" w:rsidP="00BE7CF5" w14:paraId="6D9A0BD4" w14:textId="5884ECBC">
      <w:pPr>
        <w:pStyle w:val="Level2"/>
        <w:widowControl w:val="0"/>
        <w:spacing w:before="140" w:after="0"/>
        <w:rPr>
          <w:rFonts w:cs="Arial"/>
          <w:szCs w:val="20"/>
          <w:lang w:val="pt-BR"/>
        </w:rPr>
      </w:pPr>
      <w:bookmarkStart w:id="117" w:name="_Ref66121119"/>
      <w:bookmarkEnd w:id="112"/>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8" w:name="_Hlk66652115"/>
      <w:bookmarkStart w:id="119"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118"/>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117"/>
      <w:bookmarkEnd w:id="119"/>
      <w:r w:rsidR="007B3E64">
        <w:rPr>
          <w:rFonts w:cs="Arial"/>
          <w:szCs w:val="20"/>
          <w:lang w:val="pt-BR"/>
        </w:rPr>
        <w:t xml:space="preserve"> </w:t>
      </w:r>
    </w:p>
    <w:p w:rsidR="00BE7CF5" w:rsidRPr="006E595D" w:rsidP="00BE7CF5" w14:paraId="49C4AFFD" w14:textId="77777777">
      <w:pPr>
        <w:pStyle w:val="Level3"/>
        <w:spacing w:before="140" w:after="0"/>
        <w:rPr>
          <w:rFonts w:cs="Arial"/>
          <w:szCs w:val="20"/>
        </w:rPr>
      </w:pPr>
      <w:bookmarkStart w:id="120"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120"/>
    </w:p>
    <w:p w:rsidR="00BE7CF5" w:rsidRPr="006E595D" w:rsidP="00BE7CF5" w14:paraId="19A04D03"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4E42A3D6" w14:textId="77777777" w:rsidTr="00FE1201">
        <w:tblPrEx>
          <w:tblW w:w="4221" w:type="pct"/>
          <w:tblInd w:w="1413" w:type="dxa"/>
          <w:tblCellMar>
            <w:top w:w="28" w:type="dxa"/>
            <w:left w:w="57" w:type="dxa"/>
            <w:bottom w:w="28" w:type="dxa"/>
            <w:right w:w="57" w:type="dxa"/>
          </w:tblCellMar>
          <w:tblLook w:val="04A0"/>
        </w:tblPrEx>
        <w:tc>
          <w:tcPr>
            <w:tcW w:w="5000" w:type="pct"/>
            <w:shd w:val="clear" w:color="auto" w:fill="182D4A"/>
          </w:tcPr>
          <w:p w:rsidR="00BE7CF5" w:rsidRPr="006E595D" w:rsidP="00FE1201" w14:paraId="35B7263C"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PRIMEIRA SÉRIE</w:t>
            </w:r>
          </w:p>
        </w:tc>
      </w:tr>
      <w:tr w14:paraId="6975037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6D9432FD" w14:textId="77777777">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14:paraId="0430CCC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6E595D" w:rsidP="00FE1201" w14:paraId="49134AF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14:paraId="61F2F1A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5F2D250B"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14:paraId="34122FB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402DB1F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14:paraId="353A487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083831" w:rsidP="00FE1201" w14:paraId="38BC9203"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14:paraId="114CAED9"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17FAF31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14:paraId="336CAACA"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45DC671D"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14:paraId="4C2807AD"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6AE0C665"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14:paraId="4DC9011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36BB62C5"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14:paraId="43AEC245"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333CEF22"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rsidR="00BE7CF5" w:rsidRPr="006E595D" w:rsidP="00BE7CF5" w14:paraId="225F9F85" w14:textId="77777777">
      <w:pPr>
        <w:pStyle w:val="Level3"/>
        <w:spacing w:before="140" w:after="0"/>
        <w:rPr>
          <w:rFonts w:cs="Arial"/>
          <w:szCs w:val="20"/>
        </w:rPr>
      </w:pPr>
      <w:bookmarkStart w:id="121"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121"/>
    </w:p>
    <w:p w:rsidR="00BE7CF5" w:rsidRPr="006E595D" w:rsidP="00BE7CF5" w14:paraId="49776B9C"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07793351" w14:textId="77777777" w:rsidTr="00FE1201">
        <w:tblPrEx>
          <w:tblW w:w="4221" w:type="pct"/>
          <w:tblInd w:w="1413" w:type="dxa"/>
          <w:tblCellMar>
            <w:top w:w="28" w:type="dxa"/>
            <w:left w:w="57" w:type="dxa"/>
            <w:bottom w:w="28" w:type="dxa"/>
            <w:right w:w="57" w:type="dxa"/>
          </w:tblCellMar>
          <w:tblLook w:val="04A0"/>
        </w:tblPrEx>
        <w:tc>
          <w:tcPr>
            <w:tcW w:w="5000" w:type="pct"/>
            <w:shd w:val="clear" w:color="auto" w:fill="182D4A"/>
          </w:tcPr>
          <w:p w:rsidR="00BE7CF5" w:rsidRPr="006E595D" w:rsidP="00FE1201" w14:paraId="056825A7"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14:paraId="0667D403"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FB24E04" w14:textId="77777777">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14:paraId="3C381E20"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583D216C"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14:paraId="27C51FB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FE88F0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14:paraId="3810F6A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505DC30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14:paraId="331F01A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7DD36D8F"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14:paraId="08838339"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7905E6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14:paraId="1BA50D0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384DCC5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14:paraId="22CF2598"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25F0D2AE"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14:paraId="1BC7FE8F"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7FE1FD86"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14:paraId="02627657"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627D779C"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14:paraId="5EA81487"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166292D8"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14:paraId="3639AD01"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71286864"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14:paraId="166541DC"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1C1980" w:rsidP="00FE1201" w14:paraId="5DAECFC3" w14:textId="77777777">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14:paraId="1A94A012" w14:textId="77777777" w:rsidTr="00FE1201">
        <w:tblPrEx>
          <w:tblW w:w="4221" w:type="pct"/>
          <w:tblInd w:w="1413" w:type="dxa"/>
          <w:tblCellMar>
            <w:top w:w="28" w:type="dxa"/>
            <w:left w:w="57" w:type="dxa"/>
            <w:bottom w:w="28" w:type="dxa"/>
            <w:right w:w="57" w:type="dxa"/>
          </w:tblCellMar>
          <w:tblLook w:val="04A0"/>
        </w:tblPrEx>
        <w:tc>
          <w:tcPr>
            <w:tcW w:w="5000" w:type="pct"/>
          </w:tcPr>
          <w:p w:rsidR="00BE7CF5" w:rsidRPr="007552BF" w:rsidP="00FE1201" w14:paraId="459C5C7A"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BE7CF5" w:rsidRPr="007552BF" w:rsidP="00BE7CF5" w14:paraId="32C04BEF" w14:textId="48EC0E10">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122" w:name="_DV_M112"/>
      <w:bookmarkStart w:id="123" w:name="_Hlk66652162"/>
      <w:bookmarkEnd w:id="122"/>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nesta Escritura, o Valor Nominal Unitário </w:t>
      </w:r>
      <w:r w:rsidRPr="006E595D">
        <w:rPr>
          <w:rFonts w:cs="Arial"/>
          <w:szCs w:val="20"/>
          <w:lang w:val="pt-BR"/>
        </w:rPr>
        <w:t>das Debêntures será amortizado da seguinte forma</w:t>
      </w:r>
      <w:bookmarkEnd w:id="123"/>
      <w:r w:rsidRPr="007552BF">
        <w:rPr>
          <w:rFonts w:cs="Arial"/>
          <w:szCs w:val="20"/>
        </w:rPr>
        <w:t>:</w:t>
      </w:r>
    </w:p>
    <w:p w:rsidR="00BE7CF5" w:rsidRPr="006E595D" w:rsidP="00BE7CF5" w14:paraId="162DEADD" w14:textId="6570BD3C">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rsidR="00BE7CF5" w:rsidRPr="006E595D" w:rsidP="00BE7CF5" w14:paraId="7A97EE5B" w14:textId="77777777">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1923CE44" w14:textId="77777777" w:rsidTr="00FE120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BE7CF5" w:rsidRPr="00083831" w:rsidP="00FE1201" w14:paraId="31A0239A"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BE7CF5" w:rsidRPr="00F95AE7" w:rsidP="00FE1201" w14:paraId="67829F3D"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14:paraId="1D6B747E"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0DACB7C9"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rsidR="00BE7CF5" w:rsidRPr="007552BF" w:rsidP="00FE1201" w14:paraId="36134C86" w14:textId="77777777">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14:paraId="0B79BC97"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3E60C803"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rsidR="00BE7CF5" w:rsidRPr="007552BF" w:rsidP="00FE1201" w14:paraId="21E5E472" w14:textId="77777777">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14:paraId="0523F1D4"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7552BF" w:rsidP="00FE1201" w14:paraId="584491CB"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rsidR="00BE7CF5" w:rsidRPr="007552BF" w:rsidP="00FE1201" w14:paraId="599A07A4"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BE7CF5" w:rsidRPr="006E595D" w:rsidP="00E52EA4" w14:paraId="4F00FDEC" w14:textId="0E4A7F1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rsidR="00BE7CF5" w:rsidRPr="006E595D" w:rsidP="00BE7CF5" w14:paraId="741A3181"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2AAA844C" w14:textId="77777777" w:rsidTr="00FE120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BE7CF5" w:rsidRPr="006E595D" w:rsidP="00FE1201" w14:paraId="2BEA1BD9"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BE7CF5" w:rsidRPr="00F95AE7" w:rsidP="00FE1201" w14:paraId="4F3B2295"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14:paraId="75884981"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F95AE7" w:rsidP="00FE1201" w14:paraId="6AA22D1A" w14:textId="77777777">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2027</w:t>
            </w:r>
          </w:p>
        </w:tc>
        <w:tc>
          <w:tcPr>
            <w:tcW w:w="3518" w:type="pct"/>
          </w:tcPr>
          <w:p w:rsidR="00BE7CF5" w:rsidRPr="007552BF" w:rsidP="00FE1201" w14:paraId="6AA921F3" w14:textId="77777777">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14:paraId="19D8C7A4" w14:textId="77777777" w:rsidTr="00FE1201">
        <w:tblPrEx>
          <w:tblW w:w="4221" w:type="pct"/>
          <w:tblInd w:w="1413" w:type="dxa"/>
          <w:tblCellMar>
            <w:top w:w="28" w:type="dxa"/>
            <w:left w:w="57" w:type="dxa"/>
            <w:bottom w:w="28" w:type="dxa"/>
            <w:right w:w="57" w:type="dxa"/>
          </w:tblCellMar>
          <w:tblLook w:val="04A0"/>
        </w:tblPrEx>
        <w:tc>
          <w:tcPr>
            <w:tcW w:w="1482" w:type="pct"/>
            <w:vAlign w:val="center"/>
          </w:tcPr>
          <w:p w:rsidR="00BE7CF5" w:rsidRPr="007552BF" w:rsidP="00FE1201" w14:paraId="0878DF17"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rsidR="00BE7CF5" w:rsidRPr="007552BF" w:rsidP="00FE1201" w14:paraId="20132756"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BE7CF5" w:rsidP="00BE7CF5" w14:paraId="2C6F974D" w14:textId="7105E90B">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w:t>
      </w:r>
      <w:r w:rsidRPr="0061407E">
        <w:rPr>
          <w:b/>
        </w:rPr>
        <w:t>ii</w:t>
      </w:r>
      <w:r w:rsidRPr="0061407E">
        <w:rPr>
          <w:b/>
        </w:rPr>
        <w:t>)</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w:t>
      </w:r>
      <w:r w:rsidRPr="007552BF">
        <w:rPr>
          <w:rFonts w:cs="Arial"/>
          <w:szCs w:val="20"/>
        </w:rPr>
        <w:t>Escriturador</w:t>
      </w:r>
      <w:r w:rsidRPr="007552BF">
        <w:rPr>
          <w:rFonts w:cs="Arial"/>
          <w:szCs w:val="20"/>
        </w:rPr>
        <w:t>.</w:t>
      </w:r>
    </w:p>
    <w:p w:rsidR="00FE1201" w:rsidRPr="007552BF" w:rsidP="00FE1201" w14:paraId="0ACA4C8D" w14:textId="2B466B22">
      <w:pPr>
        <w:pStyle w:val="Level3"/>
      </w:pPr>
      <w:r w:rsidRPr="00B479F6">
        <w:t>Farão jus ao recebimento de qualquer valor devido aos Debenturistas nos termos desta Escritura de Emissão aqueles que sejam Debenturistas ao final do Dia Útil imediatamente anterior à respectiva data do pagamento</w:t>
      </w:r>
      <w:r>
        <w:t>.</w:t>
      </w:r>
    </w:p>
    <w:p w:rsidR="00BE7CF5" w:rsidRPr="006E595D" w:rsidP="00BE7CF5" w14:paraId="74587DA8" w14:textId="77777777">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até o 1º (</w:t>
      </w:r>
      <w:r w:rsidRPr="006E595D">
        <w:rPr>
          <w:rFonts w:cs="Arial"/>
          <w:w w:val="0"/>
          <w:szCs w:val="20"/>
          <w:lang w:val="pt-BR"/>
        </w:rPr>
        <w:t xml:space="preserve">primeiro)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rsidR="00BE7CF5" w:rsidRPr="006E595D" w:rsidP="00BE7CF5" w14:paraId="01D99843" w14:textId="77777777">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126" w:name="_DV_M150"/>
      <w:bookmarkStart w:id="127" w:name="_Ref65837547"/>
      <w:bookmarkEnd w:id="126"/>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w:t>
      </w:r>
      <w:r w:rsidRPr="0061407E">
        <w:rPr>
          <w:b/>
          <w:w w:val="0"/>
          <w:lang w:val="pt-BR"/>
        </w:rPr>
        <w:t>ii</w:t>
      </w:r>
      <w:r w:rsidRPr="0061407E">
        <w:rPr>
          <w:b/>
          <w:w w:val="0"/>
          <w:lang w:val="pt-BR"/>
        </w:rPr>
        <w:t>)</w:t>
      </w:r>
      <w:r w:rsidRPr="00F95AE7">
        <w:rPr>
          <w:rFonts w:cs="Arial"/>
          <w:w w:val="0"/>
          <w:szCs w:val="20"/>
          <w:lang w:val="pt-BR"/>
        </w:rPr>
        <w:t xml:space="preserve"> juros de mora calculados </w:t>
      </w:r>
      <w:r w:rsidRPr="00083831">
        <w:rPr>
          <w:rFonts w:cs="Arial"/>
          <w:i/>
          <w:w w:val="0"/>
          <w:szCs w:val="20"/>
          <w:lang w:val="pt-BR"/>
        </w:rPr>
        <w:t xml:space="preserve">pro rata </w:t>
      </w:r>
      <w:r w:rsidRPr="00083831">
        <w:rPr>
          <w:rFonts w:cs="Arial"/>
          <w:i/>
          <w:w w:val="0"/>
          <w:szCs w:val="20"/>
          <w:lang w:val="pt-BR"/>
        </w:rPr>
        <w:t>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rsidR="00BE7CF5" w:rsidRPr="007552BF" w:rsidP="00BE7CF5" w14:paraId="13B2F585" w14:textId="715CF113">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fldChar w:fldCharType="separate"/>
      </w:r>
      <w:r w:rsidR="00E92C30">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rsidR="00BE7CF5" w:rsidRPr="006E595D" w:rsidP="00BE7CF5" w14:paraId="2FABBE3E" w14:textId="77777777">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rsidR="00BE7CF5" w:rsidRPr="007552BF" w:rsidP="00BE7CF5" w14:paraId="30C1957C" w14:textId="77777777">
      <w:pPr>
        <w:pStyle w:val="Level2"/>
        <w:widowControl w:val="0"/>
        <w:spacing w:before="140" w:after="0"/>
        <w:rPr>
          <w:rFonts w:cs="Arial"/>
          <w:w w:val="0"/>
          <w:szCs w:val="20"/>
        </w:rPr>
      </w:pPr>
      <w:bookmarkStart w:id="128" w:name="_Ref84410881"/>
      <w:r w:rsidRPr="007552BF">
        <w:rPr>
          <w:rFonts w:cs="Arial"/>
          <w:b/>
          <w:bCs/>
          <w:iCs/>
          <w:w w:val="0"/>
          <w:szCs w:val="20"/>
        </w:rPr>
        <w:t>Publicidade</w:t>
      </w:r>
      <w:r w:rsidRPr="00F95AE7">
        <w:rPr>
          <w:rFonts w:cs="Arial"/>
          <w:b/>
          <w:w w:val="0"/>
          <w:szCs w:val="20"/>
        </w:rPr>
        <w:t xml:space="preserve">. </w:t>
      </w:r>
      <w:bookmarkStart w:id="129"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pela legislação, no </w:t>
      </w:r>
      <w:bookmarkStart w:id="130"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130"/>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Pr="007552BF">
        <w:rPr>
          <w:rFonts w:cs="Arial"/>
          <w:w w:val="0"/>
          <w:szCs w:val="20"/>
        </w:rPr>
        <w:t xml:space="preserve"> </w:t>
      </w:r>
    </w:p>
    <w:p w:rsidR="00BE7CF5" w:rsidRPr="006E595D" w:rsidP="00BE7CF5" w14:paraId="5E8A1F94" w14:textId="77777777">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rsidR="00BE7CF5" w:rsidRPr="006E595D" w:rsidP="00E52EA4" w14:paraId="73EA58C3" w14:textId="77777777">
      <w:pPr>
        <w:pStyle w:val="Level3"/>
        <w:numPr>
          <w:ilvl w:val="2"/>
          <w:numId w:val="10"/>
        </w:numPr>
        <w:spacing w:before="140" w:after="0"/>
        <w:rPr>
          <w:rFonts w:cs="Arial"/>
          <w:szCs w:val="20"/>
        </w:rPr>
      </w:pPr>
      <w:bookmarkStart w:id="131" w:name="_Ref435690063"/>
      <w:r w:rsidRPr="006E595D">
        <w:rPr>
          <w:rFonts w:cs="Arial"/>
          <w:szCs w:val="2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31"/>
    </w:p>
    <w:p w:rsidR="00BE7CF5" w:rsidRPr="006E595D" w:rsidP="00E52EA4" w14:paraId="005C358B" w14:textId="36DB3A7C">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E92C30">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BE7CF5" w:rsidRPr="006E595D" w:rsidP="00E52EA4" w14:paraId="6C7EBCFB" w14:textId="50C3C2F0">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E92C30">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6B6363" w:rsidRPr="006E595D" w:rsidP="006B6363" w14:paraId="02A25E69" w14:textId="6C5213F5">
      <w:pPr>
        <w:pStyle w:val="Level2"/>
        <w:spacing w:before="140" w:after="0"/>
        <w:rPr>
          <w:rFonts w:cs="Arial"/>
          <w:szCs w:val="20"/>
        </w:rPr>
      </w:pPr>
      <w:bookmarkStart w:id="132" w:name="_DV_M49"/>
      <w:bookmarkStart w:id="133" w:name="_DV_M51"/>
      <w:bookmarkStart w:id="134" w:name="_DV_M52"/>
      <w:bookmarkEnd w:id="132"/>
      <w:bookmarkEnd w:id="133"/>
      <w:bookmarkEnd w:id="134"/>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5" w:name="_Hlk66652382"/>
      <w:r w:rsidRPr="007552BF">
        <w:rPr>
          <w:rFonts w:cs="Arial"/>
          <w:w w:val="0"/>
          <w:szCs w:val="20"/>
        </w:rPr>
        <w:t xml:space="preserve">Standard &amp; </w:t>
      </w:r>
      <w:r w:rsidRPr="007552BF">
        <w:rPr>
          <w:rFonts w:cs="Arial"/>
          <w:w w:val="0"/>
          <w:szCs w:val="20"/>
        </w:rPr>
        <w:t>Poor's</w:t>
      </w:r>
      <w:r w:rsidRPr="00F95AE7">
        <w:rPr>
          <w:rFonts w:cs="Arial"/>
          <w:szCs w:val="20"/>
        </w:rPr>
        <w:t xml:space="preserve"> </w:t>
      </w:r>
      <w:bookmarkEnd w:id="135"/>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fldChar w:fldCharType="separate"/>
      </w:r>
      <w:r w:rsidR="00E92C30">
        <w:rPr>
          <w:rFonts w:eastAsia="TT108t00" w:cs="Arial"/>
          <w:szCs w:val="20"/>
        </w:rPr>
        <w:t>9.1.1(</w:t>
      </w:r>
      <w:r w:rsidR="00E92C30">
        <w:rPr>
          <w:rFonts w:eastAsia="TT108t00" w:cs="Arial"/>
          <w:szCs w:val="20"/>
        </w:rPr>
        <w:t>xxi</w:t>
      </w:r>
      <w:r w:rsidR="00E92C30">
        <w:rPr>
          <w:rFonts w:eastAsia="TT108t00" w:cs="Arial"/>
          <w:szCs w:val="20"/>
        </w:rPr>
        <w:t>)</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7552BF" w14:paraId="6AE8A415" w14:textId="77D3985F">
      <w:pPr>
        <w:pStyle w:val="Level2"/>
        <w:widowControl w:val="0"/>
        <w:spacing w:before="140" w:after="0"/>
        <w:rPr>
          <w:rFonts w:cs="Arial"/>
          <w:b/>
          <w:bCs/>
          <w:szCs w:val="20"/>
        </w:rPr>
      </w:pPr>
      <w:r w:rsidRPr="007552BF">
        <w:rPr>
          <w:rFonts w:cs="Arial"/>
          <w:b/>
          <w:bCs/>
          <w:szCs w:val="20"/>
        </w:rPr>
        <w:t xml:space="preserve">Banco Liquidante e </w:t>
      </w:r>
      <w:r w:rsidRPr="007552BF">
        <w:rPr>
          <w:rFonts w:cs="Arial"/>
          <w:b/>
          <w:bCs/>
          <w:szCs w:val="20"/>
        </w:rPr>
        <w:t>Escriturador</w:t>
      </w:r>
      <w:r w:rsidRPr="007552BF" w:rsidR="00612034">
        <w:rPr>
          <w:rFonts w:cs="Arial"/>
          <w:b/>
          <w:bCs/>
          <w:szCs w:val="20"/>
        </w:rPr>
        <w:t xml:space="preserve"> </w:t>
      </w:r>
    </w:p>
    <w:p w:rsidR="009866EA" w:rsidRPr="007552BF" w14:paraId="79EBA200" w14:textId="77777777">
      <w:pPr>
        <w:pStyle w:val="Level3"/>
        <w:widowControl w:val="0"/>
        <w:spacing w:before="140" w:after="0"/>
        <w:rPr>
          <w:rFonts w:cs="Arial"/>
          <w:szCs w:val="20"/>
        </w:rPr>
      </w:pPr>
      <w:r w:rsidRPr="007552BF">
        <w:rPr>
          <w:rFonts w:cs="Arial"/>
          <w:iCs/>
          <w:szCs w:val="20"/>
        </w:rPr>
        <w:t xml:space="preserve">O Banco Liquidante da Emissão será o </w:t>
      </w:r>
      <w:r w:rsidRPr="00D62BCD" w:rsidR="00D62BCD">
        <w:rPr>
          <w:rFonts w:cs="Arial"/>
          <w:szCs w:val="20"/>
        </w:rPr>
        <w:t>Itaú Unibanco</w:t>
      </w:r>
      <w:r w:rsidRPr="00D62BCD" w:rsidR="00D62BCD">
        <w:rPr>
          <w:rFonts w:cs="Arial"/>
          <w:szCs w:val="20"/>
          <w:lang w:val="x-none"/>
        </w:rPr>
        <w:t xml:space="preserve"> S.A., </w:t>
      </w:r>
      <w:r w:rsidRPr="00D62BCD" w:rsidR="00D62BCD">
        <w:rPr>
          <w:rFonts w:cs="Arial"/>
          <w:szCs w:val="20"/>
        </w:rPr>
        <w:t xml:space="preserve">instituição financeira com sede na </w:t>
      </w:r>
      <w:r w:rsidR="00EC2DB3">
        <w:rPr>
          <w:rFonts w:cs="Arial"/>
          <w:szCs w:val="20"/>
        </w:rPr>
        <w:t>C</w:t>
      </w:r>
      <w:r w:rsidRPr="00D62BCD" w:rsidR="00D62BCD">
        <w:rPr>
          <w:rFonts w:cs="Arial"/>
          <w:szCs w:val="20"/>
        </w:rPr>
        <w:t xml:space="preserve">idade de São Paulo, </w:t>
      </w:r>
      <w:r w:rsidR="00EC2DB3">
        <w:rPr>
          <w:rFonts w:cs="Arial"/>
          <w:szCs w:val="20"/>
        </w:rPr>
        <w:t>E</w:t>
      </w:r>
      <w:r w:rsidRPr="00D62BCD" w:rsid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cuja </w:t>
      </w:r>
      <w:r w:rsidR="00D62BCD">
        <w:rPr>
          <w:rFonts w:cs="Arial"/>
          <w:iCs/>
          <w:szCs w:val="20"/>
        </w:rPr>
        <w:t>definição</w:t>
      </w:r>
      <w:r w:rsidRPr="007552BF" w:rsidR="00D62BCD">
        <w:rPr>
          <w:rFonts w:cs="Arial"/>
          <w:iCs/>
          <w:szCs w:val="20"/>
        </w:rPr>
        <w:t xml:space="preserve"> inclu</w:t>
      </w:r>
      <w:r w:rsidR="00D62BCD">
        <w:rPr>
          <w:rFonts w:cs="Arial"/>
          <w:iCs/>
          <w:szCs w:val="20"/>
        </w:rPr>
        <w:t>i</w:t>
      </w:r>
      <w:r w:rsidRPr="007552BF" w:rsidR="00D62BCD">
        <w:rPr>
          <w:rFonts w:cs="Arial"/>
          <w:iCs/>
          <w:szCs w:val="20"/>
        </w:rPr>
        <w:t xml:space="preserve"> </w:t>
      </w:r>
      <w:r w:rsidRPr="007552BF">
        <w:rPr>
          <w:rFonts w:cs="Arial"/>
          <w:iCs/>
          <w:szCs w:val="20"/>
        </w:rPr>
        <w:t>qualquer outra instituição que venha a suceder o Banco Liquidante na prestação dos serviços relativos às Debêntures).</w:t>
      </w:r>
      <w:r w:rsidRPr="007552BF" w:rsidR="0038267B">
        <w:rPr>
          <w:rFonts w:cs="Arial"/>
          <w:iCs/>
          <w:szCs w:val="20"/>
        </w:rPr>
        <w:t xml:space="preserve"> </w:t>
      </w:r>
    </w:p>
    <w:p w:rsidR="00D62BCD" w:rsidRPr="003549E9" w14:paraId="5FB2DB40" w14:textId="77777777">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Pr="007552BF" w:rsidR="000E2AF4">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rsidR="00A45162" w:rsidRPr="007552BF" w14:paraId="6B920CD3" w14:textId="2FC12F6D">
      <w:pPr>
        <w:pStyle w:val="Level3"/>
        <w:widowControl w:val="0"/>
        <w:spacing w:before="140" w:after="0"/>
        <w:rPr>
          <w:rFonts w:cs="Arial"/>
          <w:b/>
          <w:szCs w:val="20"/>
        </w:rPr>
      </w:pPr>
      <w:r w:rsidRPr="007552BF">
        <w:rPr>
          <w:rFonts w:cs="Arial"/>
          <w:szCs w:val="20"/>
        </w:rPr>
        <w:t xml:space="preserve">O Banco Liquidante e o </w:t>
      </w:r>
      <w:r w:rsidRPr="007552BF">
        <w:rPr>
          <w:rFonts w:cs="Arial"/>
          <w:szCs w:val="20"/>
        </w:rPr>
        <w:t>Escriturador</w:t>
      </w:r>
      <w:r w:rsidRPr="007552BF">
        <w:rPr>
          <w:rFonts w:cs="Arial"/>
          <w:szCs w:val="20"/>
        </w:rPr>
        <w:t xml:space="preserve"> poderão ser substituídos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E92C30">
        <w:rPr>
          <w:rFonts w:cs="Arial"/>
          <w:szCs w:val="20"/>
        </w:rPr>
        <w:t>11.4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14:paraId="5D02EE0A" w14:textId="77777777">
      <w:pPr>
        <w:pStyle w:val="Level2"/>
        <w:widowControl w:val="0"/>
        <w:spacing w:before="140" w:after="0"/>
        <w:rPr>
          <w:rFonts w:cs="Arial"/>
          <w:b/>
          <w:bCs/>
          <w:szCs w:val="20"/>
        </w:rPr>
      </w:pPr>
      <w:bookmarkStart w:id="136" w:name="_DV_M55"/>
      <w:bookmarkStart w:id="137" w:name="_DV_M56"/>
      <w:bookmarkStart w:id="138" w:name="_DV_M57"/>
      <w:bookmarkStart w:id="139" w:name="_DV_M61"/>
      <w:bookmarkStart w:id="140" w:name="_DV_M78"/>
      <w:bookmarkStart w:id="141" w:name="_Toc499990325"/>
      <w:bookmarkEnd w:id="136"/>
      <w:bookmarkEnd w:id="137"/>
      <w:bookmarkEnd w:id="138"/>
      <w:bookmarkEnd w:id="139"/>
      <w:bookmarkEnd w:id="140"/>
      <w:r w:rsidRPr="007552BF">
        <w:rPr>
          <w:rFonts w:cs="Arial"/>
          <w:b/>
          <w:bCs/>
          <w:szCs w:val="20"/>
        </w:rPr>
        <w:t>Garantia Fidejussória</w:t>
      </w:r>
    </w:p>
    <w:p w:rsidR="00A45162" w:rsidRPr="007552BF" w14:paraId="5472EB58" w14:textId="77777777">
      <w:pPr>
        <w:pStyle w:val="Level3"/>
        <w:widowControl w:val="0"/>
        <w:spacing w:before="140" w:after="0"/>
        <w:rPr>
          <w:rFonts w:cs="Arial"/>
          <w:szCs w:val="20"/>
        </w:rPr>
      </w:pPr>
      <w:bookmarkStart w:id="142"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142"/>
    </w:p>
    <w:p w:rsidR="00C34E83" w:rsidRPr="007552BF" w14:paraId="57BB7685" w14:textId="77777777">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14:paraId="4DBEA734" w14:textId="77777777">
      <w:pPr>
        <w:pStyle w:val="Level3"/>
        <w:widowControl w:val="0"/>
        <w:spacing w:before="140" w:after="0"/>
        <w:rPr>
          <w:rFonts w:cs="Arial"/>
          <w:szCs w:val="20"/>
        </w:rPr>
      </w:pPr>
      <w:bookmarkStart w:id="143"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143"/>
    </w:p>
    <w:p w:rsidR="00823CB8" w:rsidRPr="007552BF" w14:paraId="26215C65" w14:textId="77777777">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14:paraId="68E254BF" w14:textId="77777777">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14:paraId="4DDA1D38" w14:textId="77777777">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14:paraId="439FD485" w14:textId="77777777">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14:paraId="65A8D0B9" w14:textId="77777777">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os Debenturistas terem recebido integralmente o 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1407E" w:rsidR="00C11095">
        <w:rPr>
          <w:b/>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1407E" w:rsidR="00C11095">
        <w:rPr>
          <w:b/>
        </w:rPr>
        <w:t>(</w:t>
      </w:r>
      <w:r w:rsidRPr="0061407E" w:rsidR="00C11095">
        <w:rPr>
          <w:b/>
        </w:rPr>
        <w:t>ii</w:t>
      </w:r>
      <w:r w:rsidRPr="0061407E" w:rsidR="008F2F75">
        <w:rPr>
          <w:b/>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14:paraId="185C4451" w14:textId="77777777">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14:paraId="26B59B9D" w14:textId="77777777">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14:paraId="201F94C1" w14:textId="77777777">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14:paraId="769A64DC" w14:textId="339773A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E92C30">
        <w:rPr>
          <w:rFonts w:cs="Arial"/>
          <w:szCs w:val="20"/>
        </w:rPr>
        <w:t>6.27.3</w:t>
      </w:r>
      <w:r w:rsidRPr="00F95AE7" w:rsidR="00B15937">
        <w:rPr>
          <w:rFonts w:cs="Arial"/>
          <w:szCs w:val="20"/>
        </w:rPr>
        <w:fldChar w:fldCharType="end"/>
      </w:r>
      <w:r w:rsidRPr="007552BF">
        <w:rPr>
          <w:rFonts w:cs="Arial"/>
          <w:szCs w:val="20"/>
        </w:rPr>
        <w:t xml:space="preserve"> acima.</w:t>
      </w:r>
    </w:p>
    <w:p w:rsidR="00BE7CF5" w:rsidRPr="00BE7CF5" w:rsidP="00E52EA4" w14:paraId="3458C76E" w14:textId="3D003261">
      <w:pPr>
        <w:pStyle w:val="Level2"/>
        <w:widowControl w:val="0"/>
        <w:spacing w:before="140" w:after="0"/>
        <w:rPr>
          <w:rFonts w:cs="Arial"/>
          <w:szCs w:val="20"/>
          <w:lang w:val="pt-BR"/>
        </w:rPr>
      </w:pPr>
      <w:bookmarkStart w:id="144" w:name="_DV_M79"/>
      <w:bookmarkStart w:id="145" w:name="_DV_M80"/>
      <w:bookmarkStart w:id="146" w:name="_Toc499990326"/>
      <w:bookmarkEnd w:id="141"/>
      <w:bookmarkEnd w:id="144"/>
      <w:bookmarkEnd w:id="145"/>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84050D" w:rsidRPr="00134471" w:rsidP="00E92C30" w14:paraId="71854EF0" w14:textId="20AD347B">
      <w:pPr>
        <w:pStyle w:val="Level1"/>
        <w:keepNext w:val="0"/>
        <w:widowControl w:val="0"/>
        <w:spacing w:before="140" w:after="0"/>
      </w:pPr>
      <w:bookmarkStart w:id="147" w:name="_DV_M234"/>
      <w:bookmarkEnd w:id="147"/>
      <w:r w:rsidRPr="00E92C30">
        <w:rPr>
          <w:sz w:val="20"/>
        </w:rPr>
        <w:t>AQU</w:t>
      </w:r>
      <w:r w:rsidRPr="00E92C30" w:rsidR="00683A77">
        <w:rPr>
          <w:sz w:val="20"/>
        </w:rPr>
        <w:t>ISIÇÃO FACULTATIVA,</w:t>
      </w:r>
      <w:r w:rsidRPr="00E92C30">
        <w:rPr>
          <w:sz w:val="20"/>
        </w:rPr>
        <w:t xml:space="preserve"> RESGATE ANTECIPADO</w:t>
      </w:r>
      <w:r w:rsidRPr="00E92C30" w:rsidR="00683A77">
        <w:rPr>
          <w:sz w:val="20"/>
        </w:rPr>
        <w:t xml:space="preserve"> E OFERTA DE RESGATE ANTECIPADO</w:t>
      </w:r>
      <w:r w:rsidRPr="00E92C30" w:rsidR="002C42A4">
        <w:rPr>
          <w:sz w:val="20"/>
        </w:rPr>
        <w:t xml:space="preserve"> </w:t>
      </w:r>
      <w:r w:rsidRPr="00E92C30" w:rsidR="00016801">
        <w:rPr>
          <w:sz w:val="20"/>
        </w:rPr>
        <w:t xml:space="preserve">FACULTATIVO </w:t>
      </w:r>
      <w:r w:rsidRPr="00E92C30" w:rsidR="002C42A4">
        <w:rPr>
          <w:sz w:val="20"/>
        </w:rPr>
        <w:t>TOTAL</w:t>
      </w:r>
    </w:p>
    <w:p w:rsidR="0084050D" w:rsidRPr="0084050D" w:rsidP="0084050D" w14:paraId="0E2F9FB8" w14:textId="77777777">
      <w:pPr>
        <w:pStyle w:val="Level1"/>
        <w:keepNext w:val="0"/>
        <w:widowControl w:val="0"/>
        <w:numPr>
          <w:ilvl w:val="0"/>
          <w:numId w:val="0"/>
        </w:numPr>
        <w:spacing w:before="140" w:after="0"/>
        <w:ind w:left="680"/>
        <w:rPr>
          <w:rFonts w:cs="Arial"/>
          <w:sz w:val="20"/>
          <w:szCs w:val="20"/>
        </w:rPr>
      </w:pPr>
    </w:p>
    <w:p w:rsidR="00A45162" w:rsidRPr="00E92C30" w:rsidP="00E92C30" w14:paraId="766291BC" w14:textId="77777777">
      <w:pPr>
        <w:pStyle w:val="Level2"/>
      </w:pPr>
      <w:r w:rsidRPr="00E92C30">
        <w:t>Aquisição Facultativa</w:t>
      </w:r>
    </w:p>
    <w:p w:rsidR="00A93682" w:rsidRPr="006E595D" w:rsidP="00E92C30" w14:paraId="3E7DC3D8" w14:textId="1D6D1259">
      <w:pPr>
        <w:pStyle w:val="Level3"/>
        <w:tabs>
          <w:tab w:val="clear" w:pos="1361"/>
        </w:tabs>
      </w:pPr>
      <w:bookmarkStart w:id="148" w:name="_Ref65840279"/>
      <w:bookmarkStart w:id="149" w:name="_Hlk68046658"/>
      <w:r>
        <w:t>A</w:t>
      </w:r>
      <w:r w:rsidRPr="00F95AE7" w:rsidR="00043898">
        <w:t xml:space="preserve"> Emissora poderá adquirir Debêntures, condicionado ao aceite do respectivo Debenturista vendedor, no</w:t>
      </w:r>
      <w:r w:rsidRPr="00083831" w:rsidR="00867D50">
        <w:t>s termos do</w:t>
      </w:r>
      <w:r w:rsidRPr="00083831" w:rsidR="00043898">
        <w:t xml:space="preserve"> artigo 55, parágrafo 3°, da Lei das Sociedades por Ações</w:t>
      </w:r>
      <w:r w:rsidRPr="006E595D" w:rsidR="00867D50">
        <w:t xml:space="preserve"> e da Instrução CVM 620</w:t>
      </w:r>
      <w:r w:rsidRPr="006E595D" w:rsidR="00E224F2">
        <w:t>/</w:t>
      </w:r>
      <w:r w:rsidRPr="006E595D" w:rsidR="00867D50">
        <w:t>20</w:t>
      </w:r>
      <w:r w:rsidRPr="006E595D" w:rsidR="00761AB0">
        <w:t>,</w:t>
      </w:r>
      <w:r w:rsidRPr="006E595D" w:rsidR="00043898">
        <w:t xml:space="preserve"> </w:t>
      </w:r>
      <w:r w:rsidRPr="0061407E" w:rsidR="00F9151C">
        <w:rPr>
          <w:b/>
        </w:rPr>
        <w:t>(</w:t>
      </w:r>
      <w:r w:rsidRPr="0061407E">
        <w:rPr>
          <w:b/>
        </w:rPr>
        <w:t>a</w:t>
      </w:r>
      <w:r w:rsidRPr="0061407E" w:rsidR="00F9151C">
        <w:rPr>
          <w:b/>
        </w:rPr>
        <w:t>)</w:t>
      </w:r>
      <w:r w:rsidRPr="006E595D" w:rsidR="00F9151C">
        <w:t xml:space="preserve"> por valor igual ou inferior ao Valor Nominal Unitário </w:t>
      </w:r>
      <w:r w:rsidRPr="006E595D" w:rsidR="0028297E">
        <w:t>ou saldo do Valor Nominal Unitário, conforme o caso</w:t>
      </w:r>
      <w:r w:rsidRPr="006E595D" w:rsidR="00F9151C">
        <w:t xml:space="preserve">; ou </w:t>
      </w:r>
      <w:r w:rsidRPr="0061407E" w:rsidR="00F9151C">
        <w:rPr>
          <w:b/>
        </w:rPr>
        <w:t>(</w:t>
      </w:r>
      <w:r w:rsidRPr="0061407E">
        <w:rPr>
          <w:b/>
        </w:rPr>
        <w:t>b</w:t>
      </w:r>
      <w:r w:rsidRPr="0061407E" w:rsidR="00F9151C">
        <w:rPr>
          <w:b/>
        </w:rPr>
        <w:t>)</w:t>
      </w:r>
      <w:r w:rsidRPr="006E595D" w:rsidR="00F9151C">
        <w:t xml:space="preserve"> por valor superior ao </w:t>
      </w:r>
      <w:r w:rsidRPr="006E595D" w:rsidR="0028297E">
        <w:t>Valor Nominal Unitário ou saldo do Valor Nominal Unitário, conforme o caso</w:t>
      </w:r>
      <w:r w:rsidRPr="006E595D" w:rsidR="00F9151C">
        <w:t xml:space="preserve">, </w:t>
      </w:r>
      <w:r w:rsidRPr="006E595D" w:rsidR="00577BC1">
        <w:t>sendo certo que</w:t>
      </w:r>
      <w:r w:rsidRPr="006E595D" w:rsidR="00867D50">
        <w:t>,</w:t>
      </w:r>
      <w:r w:rsidRPr="006E595D" w:rsidR="00577BC1">
        <w:t xml:space="preserve"> neste caso,</w:t>
      </w:r>
      <w:r w:rsidRPr="006E595D" w:rsidR="00867D50">
        <w:t xml:space="preserve"> </w:t>
      </w:r>
      <w:r w:rsidRPr="006E595D">
        <w:t xml:space="preserve">a </w:t>
      </w:r>
      <w:r w:rsidRPr="006E595D" w:rsidR="0030467B">
        <w:t>a</w:t>
      </w:r>
      <w:r w:rsidRPr="006E595D">
        <w:t xml:space="preserve">quisição </w:t>
      </w:r>
      <w:r w:rsidRPr="006E595D" w:rsidR="0030467B">
        <w:t>f</w:t>
      </w:r>
      <w:r w:rsidRPr="006E595D">
        <w:t xml:space="preserve">acultativa deverá, necessariamente, observar o disposto </w:t>
      </w:r>
      <w:r w:rsidRPr="006E595D" w:rsidR="00905D0D">
        <w:t>na Cláusula</w:t>
      </w:r>
      <w:r w:rsidRPr="006E595D">
        <w:t xml:space="preserve"> </w:t>
      </w:r>
      <w:r w:rsidRPr="00083831">
        <w:fldChar w:fldCharType="begin"/>
      </w:r>
      <w:r w:rsidRPr="006E595D">
        <w:instrText xml:space="preserve"> REF _Ref67909990 \r \h </w:instrText>
      </w:r>
      <w:r w:rsidRPr="006E595D" w:rsidR="00943894">
        <w:instrText xml:space="preserve"> \* MERGEFORMAT </w:instrText>
      </w:r>
      <w:r w:rsidRPr="00083831">
        <w:fldChar w:fldCharType="separate"/>
      </w:r>
      <w:r w:rsidR="00E92C30">
        <w:t>7.1.2</w:t>
      </w:r>
      <w:r w:rsidRPr="00083831">
        <w:fldChar w:fldCharType="end"/>
      </w:r>
      <w:r w:rsidRPr="00F95AE7">
        <w:t xml:space="preserve"> abaixo</w:t>
      </w:r>
      <w:r w:rsidRPr="00083831" w:rsidR="00D819F9">
        <w:t>, deven</w:t>
      </w:r>
      <w:r w:rsidRPr="00083831" w:rsidR="00D415D6">
        <w:t>d</w:t>
      </w:r>
      <w:r w:rsidRPr="006E595D" w:rsidR="00D819F9">
        <w:t>o, em qualquer um dos casos dos subitens (a) e (b) acima, o fato constar do relatório da administração e das demonstrações financeiras da Emissora, observado o disposto no artigo 6º da Instrução CVM 620/20</w:t>
      </w:r>
      <w:r w:rsidRPr="006E595D">
        <w:t xml:space="preserve"> (</w:t>
      </w:r>
      <w:r w:rsidRPr="006E595D" w:rsidR="004008D1">
        <w:t>“</w:t>
      </w:r>
      <w:r w:rsidRPr="006E595D">
        <w:rPr>
          <w:b/>
          <w:bCs/>
        </w:rPr>
        <w:t>Aquisição Facultativa</w:t>
      </w:r>
      <w:r w:rsidRPr="006E595D" w:rsidR="004008D1">
        <w:t>”</w:t>
      </w:r>
      <w:r w:rsidRPr="006E595D">
        <w:t>)</w:t>
      </w:r>
      <w:r w:rsidRPr="006E595D" w:rsidR="000370EC">
        <w:t>.</w:t>
      </w:r>
    </w:p>
    <w:p w:rsidR="0074326B" w:rsidRPr="0084050D" w:rsidP="00E92C30" w14:paraId="79CF1AB2" w14:textId="0557A0CE">
      <w:pPr>
        <w:pStyle w:val="Level3"/>
        <w:tabs>
          <w:tab w:val="clear" w:pos="1361"/>
        </w:tabs>
      </w:pPr>
      <w:bookmarkStart w:id="150" w:name="_Ref67909990"/>
      <w:bookmarkEnd w:id="148"/>
      <w:r w:rsidRPr="0084050D">
        <w:t>Em atendimento ao disposto no</w:t>
      </w:r>
      <w:r w:rsidRPr="0084050D" w:rsidR="00994910">
        <w:t>s</w:t>
      </w:r>
      <w:r w:rsidRPr="0084050D">
        <w:t xml:space="preserve"> artigo</w:t>
      </w:r>
      <w:r w:rsidRPr="0084050D" w:rsidR="000144C3">
        <w:t>s</w:t>
      </w:r>
      <w:r w:rsidRPr="0084050D">
        <w:t xml:space="preserve"> 8º</w:t>
      </w:r>
      <w:r w:rsidRPr="0084050D" w:rsidR="00994910">
        <w:t xml:space="preserve"> e 9º</w:t>
      </w:r>
      <w:r w:rsidRPr="0084050D">
        <w:t xml:space="preserve"> da </w:t>
      </w:r>
      <w:r w:rsidRPr="0084050D" w:rsidR="00C93635">
        <w:t>Instrução CVM 620/20</w:t>
      </w:r>
      <w:r w:rsidRPr="0084050D">
        <w:t xml:space="preserve">, a Emissora realizará a </w:t>
      </w:r>
      <w:r w:rsidRPr="0084050D" w:rsidR="00AC6F1A">
        <w:t>Aquisição Facultativa</w:t>
      </w:r>
      <w:r w:rsidRPr="0084050D">
        <w:t xml:space="preserve"> por meio de comunicação individual aos Debenturistas</w:t>
      </w:r>
      <w:r w:rsidRPr="0084050D" w:rsidR="00A420E5">
        <w:t xml:space="preserve"> com cópia ao Agente Fiduciário, com</w:t>
      </w:r>
      <w:r w:rsidRPr="0084050D">
        <w:t xml:space="preserve"> ou por meio de publicação de aviso ao</w:t>
      </w:r>
      <w:r w:rsidRPr="0084050D" w:rsidR="00A420E5">
        <w:t>s</w:t>
      </w:r>
      <w:r w:rsidRPr="0084050D">
        <w:t xml:space="preserve"> </w:t>
      </w:r>
      <w:r w:rsidRPr="0084050D" w:rsidR="00A420E5">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E92C30">
        <w:t>6.23</w:t>
      </w:r>
      <w:r w:rsidRPr="0084050D">
        <w:fldChar w:fldCharType="end"/>
      </w:r>
      <w:r w:rsidRPr="0084050D">
        <w:t xml:space="preserve"> acima, em ambos os casos com cópia ao Agente Fiduciário (</w:t>
      </w:r>
      <w:r w:rsidRPr="0084050D" w:rsidR="004008D1">
        <w:t>“</w:t>
      </w:r>
      <w:r w:rsidRPr="00C503E0" w:rsidR="007F61EB">
        <w:rPr>
          <w:b/>
          <w:bCs/>
        </w:rPr>
        <w:t>Comunicação</w:t>
      </w:r>
      <w:r w:rsidRPr="00C503E0">
        <w:rPr>
          <w:b/>
          <w:bCs/>
        </w:rPr>
        <w:t xml:space="preserve"> de </w:t>
      </w:r>
      <w:r w:rsidRPr="00C503E0" w:rsidR="00A420E5">
        <w:rPr>
          <w:b/>
          <w:bCs/>
        </w:rPr>
        <w:t>Aquisição Facultativa</w:t>
      </w:r>
      <w:r w:rsidRPr="0084050D" w:rsidR="004008D1">
        <w:t>”</w:t>
      </w:r>
      <w:r w:rsidRPr="0084050D">
        <w:t xml:space="preserve">), o qual deverá descrever os termos e condições da </w:t>
      </w:r>
      <w:r w:rsidRPr="0084050D" w:rsidR="00A420E5">
        <w:t>Aquisição Facultativa</w:t>
      </w:r>
      <w:r w:rsidRPr="0084050D">
        <w:t xml:space="preserve">, incluindo </w:t>
      </w:r>
      <w:r w:rsidRPr="00E92C30">
        <w:t>(a)</w:t>
      </w:r>
      <w:r w:rsidRPr="0084050D">
        <w:t xml:space="preserve"> </w:t>
      </w:r>
      <w:r w:rsidRPr="0084050D" w:rsidR="00A420E5">
        <w:t>a data pretendida para a Aquisição Facultativa</w:t>
      </w:r>
      <w:r w:rsidRPr="0084050D">
        <w:t xml:space="preserve">; </w:t>
      </w:r>
      <w:r w:rsidRPr="00E92C30">
        <w:t>(b)</w:t>
      </w:r>
      <w:r w:rsidRPr="0084050D">
        <w:t xml:space="preserve"> </w:t>
      </w:r>
      <w:r w:rsidRPr="0084050D" w:rsidR="00A420E5">
        <w:t>a quantidade de Debêntures que pretende adquirir</w:t>
      </w:r>
      <w:r w:rsidRPr="0084050D">
        <w:t>, observado o disposto no art</w:t>
      </w:r>
      <w:r w:rsidRPr="0084050D" w:rsidR="00B7563E">
        <w:t>igo</w:t>
      </w:r>
      <w:r w:rsidRPr="0084050D">
        <w:t xml:space="preserve"> 9º, </w:t>
      </w:r>
      <w:r w:rsidRPr="0084050D" w:rsidR="00B7563E">
        <w:t xml:space="preserve">parágrafo </w:t>
      </w:r>
      <w:r w:rsidRPr="0084050D">
        <w:t xml:space="preserve">1º, inciso III, da </w:t>
      </w:r>
      <w:r w:rsidRPr="0084050D" w:rsidR="00C93635">
        <w:t>Instrução CVM 620/20</w:t>
      </w:r>
      <w:r w:rsidRPr="0084050D">
        <w:t xml:space="preserve">, no que aplicável; </w:t>
      </w:r>
      <w:r w:rsidRPr="00E92C30">
        <w:t>(c)</w:t>
      </w:r>
      <w:r w:rsidRPr="0084050D">
        <w:t xml:space="preserve"> a data da liquidação da Aquisição Facultativa e eventuais condições a que a liquidação esteja sujeita; </w:t>
      </w:r>
      <w:r w:rsidRPr="00E92C30">
        <w:t>(d)</w:t>
      </w:r>
      <w:r w:rsidRPr="0084050D">
        <w:t xml:space="preserve"> destinação a ser data pela Emissora para as Debêntures que vierem a ser adquiridas; </w:t>
      </w:r>
      <w:r w:rsidRPr="00E92C30">
        <w:t>(e)</w:t>
      </w:r>
      <w:r w:rsidRPr="0084050D">
        <w:t xml:space="preserve"> o preço máximo pelo qual as Debêntures serão adquiridas, destacando-se as informações previstas no art</w:t>
      </w:r>
      <w:r w:rsidRPr="0084050D" w:rsidR="00B7563E">
        <w:t>igo</w:t>
      </w:r>
      <w:r w:rsidRPr="0084050D">
        <w:t xml:space="preserve"> 9º, </w:t>
      </w:r>
      <w:r w:rsidRPr="0084050D" w:rsidR="00B7563E">
        <w:t xml:space="preserve">parágrafo </w:t>
      </w:r>
      <w:r w:rsidRPr="0084050D">
        <w:t xml:space="preserve">1º, inciso VI, (a) a (c) da </w:t>
      </w:r>
      <w:r w:rsidRPr="0084050D" w:rsidR="00C93635">
        <w:t>Instrução CVM 620/20</w:t>
      </w:r>
      <w:r w:rsidRPr="0084050D">
        <w:t xml:space="preserve">, no que aplicável; </w:t>
      </w:r>
      <w:r w:rsidRPr="00E92C30">
        <w:t>(f)</w:t>
      </w:r>
      <w:r w:rsidRPr="0084050D">
        <w:t xml:space="preserve"> prazo para os </w:t>
      </w:r>
      <w:r w:rsidRPr="0084050D" w:rsidR="007F61EB">
        <w:t>Debenturistas</w:t>
      </w:r>
      <w:r w:rsidRPr="0084050D">
        <w:t xml:space="preserve"> manifestarem interesse de alienação das </w:t>
      </w:r>
      <w:r w:rsidRPr="0084050D" w:rsidR="007F61EB">
        <w:t>D</w:t>
      </w:r>
      <w:r w:rsidRPr="0084050D">
        <w:t xml:space="preserve">ebêntures à </w:t>
      </w:r>
      <w:r w:rsidRPr="0084050D" w:rsidR="007F61EB">
        <w:t>E</w:t>
      </w:r>
      <w:r w:rsidRPr="0084050D">
        <w:t xml:space="preserve">missora, o qual não poderá ser inferior a 15 (quinze) dias contados da data da </w:t>
      </w:r>
      <w:r w:rsidRPr="0084050D" w:rsidR="007F61EB">
        <w:t xml:space="preserve">Comunicação de Aquisição Facultativa; e </w:t>
      </w:r>
      <w:r w:rsidRPr="00E92C30" w:rsidR="007F61EB">
        <w:t>(g</w:t>
      </w:r>
      <w:r w:rsidRPr="00E92C30" w:rsidR="00B7563E">
        <w:t>)</w:t>
      </w:r>
      <w:r w:rsidRPr="0084050D" w:rsidR="00B7563E">
        <w:t> </w:t>
      </w:r>
      <w:r w:rsidRPr="0084050D">
        <w:t>demais informações</w:t>
      </w:r>
      <w:r w:rsidRPr="0084050D" w:rsidR="00705218">
        <w:t xml:space="preserve"> </w:t>
      </w:r>
      <w:r w:rsidRPr="0084050D">
        <w:t>necessárias para tomada de decisão pelos Debenturistas e à</w:t>
      </w:r>
      <w:r w:rsidRPr="0084050D" w:rsidR="00705218">
        <w:t xml:space="preserve"> </w:t>
      </w:r>
      <w:r w:rsidRPr="0084050D">
        <w:t xml:space="preserve">operacionalização </w:t>
      </w:r>
      <w:r w:rsidRPr="0084050D" w:rsidR="007F61EB">
        <w:t>da Aquisição Facultativa</w:t>
      </w:r>
      <w:r w:rsidRPr="0084050D">
        <w:t>.</w:t>
      </w:r>
      <w:bookmarkEnd w:id="150"/>
    </w:p>
    <w:p w:rsidR="00D819F9" w:rsidRPr="0084050D" w:rsidP="00E92C30" w14:paraId="194007B7" w14:textId="2250FFF2">
      <w:pPr>
        <w:pStyle w:val="Level3"/>
        <w:tabs>
          <w:tab w:val="clear" w:pos="1361"/>
        </w:tabs>
      </w:pPr>
      <w:r w:rsidRPr="0084050D">
        <w:t xml:space="preserve">As Debêntures adquiridas pela Emissora poderão, a critério da Emissora </w:t>
      </w:r>
      <w:r w:rsidRPr="00E92C30">
        <w:t>(a</w:t>
      </w:r>
      <w:r w:rsidRPr="00E92C30" w:rsidR="007D7752">
        <w:t>)</w:t>
      </w:r>
      <w:r w:rsidRPr="0084050D" w:rsidR="007D7752">
        <w:t> </w:t>
      </w:r>
      <w:r w:rsidRPr="0084050D">
        <w:t xml:space="preserve">ser canceladas; </w:t>
      </w:r>
      <w:r w:rsidRPr="00E92C30">
        <w:t>(b)</w:t>
      </w:r>
      <w:r w:rsidRPr="0084050D">
        <w:t xml:space="preserve"> permanecer em tesouraria; ou </w:t>
      </w:r>
      <w:r w:rsidRPr="00E92C30">
        <w:t>(c)</w:t>
      </w:r>
      <w:r w:rsidRPr="0084050D">
        <w:t xml:space="preserve">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E92C30">
        <w:t>7.1.1</w:t>
      </w:r>
      <w:r w:rsidRPr="0084050D">
        <w:fldChar w:fldCharType="end"/>
      </w:r>
      <w:r w:rsidRPr="0084050D">
        <w:t>, se e quando recolocadas no mercado, farão jus à mesma Remuneração da Debêntures aplicável às demais Debêntures.</w:t>
      </w:r>
    </w:p>
    <w:p w:rsidR="00CA47EF" w:rsidRPr="00C503E0" w:rsidP="00E92C30" w14:paraId="4874C46E" w14:textId="77777777">
      <w:pPr>
        <w:pStyle w:val="Level2"/>
        <w:rPr>
          <w:bCs/>
        </w:rPr>
      </w:pPr>
      <w:bookmarkEnd w:id="149"/>
      <w:r w:rsidRPr="0011080E">
        <w:rPr>
          <w:b/>
        </w:rPr>
        <w:t xml:space="preserve">Resgate Antecipado </w:t>
      </w:r>
      <w:r w:rsidRPr="0011080E" w:rsidR="00791D3B">
        <w:rPr>
          <w:b/>
        </w:rPr>
        <w:t xml:space="preserve">Facultativo </w:t>
      </w:r>
      <w:r w:rsidRPr="0011080E">
        <w:rPr>
          <w:b/>
        </w:rPr>
        <w:t>e Amortização Extraordinária</w:t>
      </w:r>
      <w:r w:rsidRPr="00E92C30" w:rsidR="008E137F">
        <w:t xml:space="preserve">. </w:t>
      </w:r>
      <w:r w:rsidRPr="0011080E" w:rsidR="00172471">
        <w:rPr>
          <w:bCs/>
        </w:rPr>
        <w:t>Não</w:t>
      </w:r>
      <w:r w:rsidRPr="00C503E0" w:rsidR="00172471">
        <w:rPr>
          <w:bCs/>
        </w:rPr>
        <w:t xml:space="preserve"> será admitida a amortização </w:t>
      </w:r>
      <w:r w:rsidRPr="00C503E0" w:rsidR="006D2B06">
        <w:rPr>
          <w:bCs/>
        </w:rPr>
        <w:t xml:space="preserve">extraordinária </w:t>
      </w:r>
      <w:r w:rsidRPr="00C503E0" w:rsidR="00172471">
        <w:rPr>
          <w:bCs/>
        </w:rPr>
        <w:t xml:space="preserve">facultativa </w:t>
      </w:r>
      <w:r w:rsidRPr="00C503E0" w:rsidR="00F22299">
        <w:rPr>
          <w:bCs/>
        </w:rPr>
        <w:t xml:space="preserve">nem o resgate antecipado facultativo </w:t>
      </w:r>
      <w:r w:rsidRPr="00C503E0" w:rsidR="00172471">
        <w:rPr>
          <w:bCs/>
        </w:rPr>
        <w:t>das Debêntures</w:t>
      </w:r>
      <w:r w:rsidRPr="00C503E0" w:rsidR="00F22299">
        <w:rPr>
          <w:bCs/>
        </w:rPr>
        <w:t>.</w:t>
      </w:r>
      <w:r w:rsidRPr="00C503E0" w:rsidR="001836FE">
        <w:rPr>
          <w:bCs/>
        </w:rPr>
        <w:t xml:space="preserve"> </w:t>
      </w:r>
    </w:p>
    <w:p w:rsidR="001F2A7C" w:rsidRPr="00E92C30" w:rsidP="00E92C30" w14:paraId="42A09EB5" w14:textId="77777777">
      <w:pPr>
        <w:pStyle w:val="Level2"/>
        <w:rPr>
          <w:b/>
        </w:rPr>
      </w:pPr>
      <w:bookmarkStart w:id="151" w:name="_Ref84233436"/>
      <w:r w:rsidRPr="00C503E0">
        <w:rPr>
          <w:b/>
        </w:rPr>
        <w:t>Oferta de Resgate Antecipado</w:t>
      </w:r>
      <w:r w:rsidRPr="00C503E0" w:rsidR="006A14A6">
        <w:rPr>
          <w:b/>
        </w:rPr>
        <w:t xml:space="preserve"> Facultativo</w:t>
      </w:r>
      <w:r w:rsidRPr="00C503E0" w:rsidR="00DA1694">
        <w:rPr>
          <w:b/>
        </w:rPr>
        <w:t xml:space="preserve"> </w:t>
      </w:r>
      <w:r w:rsidRPr="00C503E0" w:rsidR="00791D3B">
        <w:rPr>
          <w:b/>
        </w:rPr>
        <w:t>Total</w:t>
      </w:r>
      <w:bookmarkEnd w:id="151"/>
      <w:r w:rsidRPr="00E92C30" w:rsidR="00791D3B">
        <w:rPr>
          <w:b/>
        </w:rPr>
        <w:t xml:space="preserve"> </w:t>
      </w:r>
    </w:p>
    <w:p w:rsidR="001F2A7C" w:rsidRPr="00E92C30" w:rsidP="00E92C30" w14:paraId="26F54B10" w14:textId="77777777">
      <w:pPr>
        <w:pStyle w:val="Level3"/>
        <w:tabs>
          <w:tab w:val="clear" w:pos="1361"/>
        </w:tabs>
      </w:pPr>
      <w:bookmarkStart w:id="152" w:name="_Ref65837769"/>
      <w:r w:rsidRPr="00C503E0">
        <w:t xml:space="preserve">A </w:t>
      </w:r>
      <w:r w:rsidRPr="00C503E0" w:rsidR="00E93059">
        <w:t xml:space="preserve">Emissora poderá, observados os termos e condições estabelecidos a seguir, a seu exclusivo critério, </w:t>
      </w:r>
      <w:r w:rsidRPr="00C503E0">
        <w:t xml:space="preserve">realizar, a qualquer tempo, </w:t>
      </w:r>
      <w:r w:rsidRPr="00C503E0" w:rsidR="000946FA">
        <w:t>oferta</w:t>
      </w:r>
      <w:r w:rsidRPr="00C503E0">
        <w:t xml:space="preserve"> de resgate antecipado total das Debêntures</w:t>
      </w:r>
      <w:r w:rsidRPr="00C503E0" w:rsidR="00C12CEE">
        <w:t xml:space="preserve"> </w:t>
      </w:r>
      <w:r w:rsidRPr="0061407E" w:rsidR="00C12CEE">
        <w:t>de cada uma das séries</w:t>
      </w:r>
      <w:r w:rsidRPr="00C503E0">
        <w:t>, com o consequente cancelamento de tais Debêntures, que será endereçada a todos os Debenturistas, sem distinção, assegurada a igualdade de condições a todos os Debenturistas</w:t>
      </w:r>
      <w:r w:rsidRPr="00C503E0" w:rsidR="007C2650">
        <w:t xml:space="preserve">, </w:t>
      </w:r>
      <w:r w:rsidRPr="00C503E0">
        <w:t>para aceitar o resgate antecipado das Debêntures</w:t>
      </w:r>
      <w:r w:rsidRPr="00C503E0" w:rsidR="00D72A93">
        <w:t>, conforme o caso</w:t>
      </w:r>
      <w:r w:rsidRPr="00C503E0">
        <w:t>, de acordo com os termos e condições previstos abaixo (</w:t>
      </w:r>
      <w:r w:rsidRPr="00C503E0" w:rsidR="004008D1">
        <w:t>“</w:t>
      </w:r>
      <w:r w:rsidRPr="00C503E0">
        <w:rPr>
          <w:b/>
          <w:bCs/>
        </w:rPr>
        <w:t>Oferta de Resgate Antecipado</w:t>
      </w:r>
      <w:r w:rsidRPr="00C503E0" w:rsidR="006A14A6">
        <w:rPr>
          <w:b/>
          <w:bCs/>
        </w:rPr>
        <w:t xml:space="preserve"> Facultativo</w:t>
      </w:r>
      <w:r w:rsidRPr="00C503E0" w:rsidR="00791D3B">
        <w:rPr>
          <w:b/>
          <w:bCs/>
        </w:rPr>
        <w:t xml:space="preserve"> Total</w:t>
      </w:r>
      <w:r w:rsidRPr="00C503E0" w:rsidR="004008D1">
        <w:t>”</w:t>
      </w:r>
      <w:r w:rsidRPr="00C503E0">
        <w:t>)</w:t>
      </w:r>
      <w:r w:rsidRPr="00C503E0" w:rsidR="001B0A28">
        <w:t>.</w:t>
      </w:r>
      <w:bookmarkEnd w:id="152"/>
    </w:p>
    <w:p w:rsidR="00AF709D" w:rsidRPr="00C503E0" w:rsidP="00E92C30" w14:paraId="2B4D7F54" w14:textId="2D2EB163">
      <w:pPr>
        <w:pStyle w:val="Level3"/>
        <w:tabs>
          <w:tab w:val="clear" w:pos="1361"/>
        </w:tabs>
      </w:pPr>
      <w:bookmarkStart w:id="153" w:name="_Ref65837441"/>
      <w:r w:rsidRPr="00C503E0">
        <w:t>A</w:t>
      </w:r>
      <w:r w:rsidRPr="00C503E0" w:rsidR="001F2A7C">
        <w:t xml:space="preserve"> </w:t>
      </w:r>
      <w:r w:rsidRPr="00C503E0" w:rsidR="008643F9">
        <w:t>Emissora</w:t>
      </w:r>
      <w:r w:rsidRPr="00C503E0" w:rsidR="001F2A7C">
        <w:t xml:space="preserve"> realizará a </w:t>
      </w:r>
      <w:r w:rsidRPr="00C503E0" w:rsidR="000946FA">
        <w:t>Oferta</w:t>
      </w:r>
      <w:r w:rsidRPr="00C503E0" w:rsidR="001F2A7C">
        <w:t xml:space="preserve"> de </w:t>
      </w:r>
      <w:r w:rsidRPr="00C503E0" w:rsidR="002E230B">
        <w:t xml:space="preserve">Resgate Antecipado Facultativo Total </w:t>
      </w:r>
      <w:r w:rsidRPr="00C503E0" w:rsidR="005660E0">
        <w:t xml:space="preserve">das Debêntures </w:t>
      </w:r>
      <w:r w:rsidRPr="00C503E0" w:rsidR="001F2A7C">
        <w:t>por meio de comunicação</w:t>
      </w:r>
      <w:r w:rsidRPr="00C503E0" w:rsidR="000A2820">
        <w:t xml:space="preserve"> individual</w:t>
      </w:r>
      <w:r w:rsidRPr="00C503E0" w:rsidR="001F2A7C">
        <w:t xml:space="preserve"> </w:t>
      </w:r>
      <w:r w:rsidRPr="00C503E0" w:rsidR="00BB1DAA">
        <w:t>aos Debenturistas</w:t>
      </w:r>
      <w:r w:rsidRPr="00C503E0" w:rsidR="001F2A7C">
        <w:t xml:space="preserve"> </w:t>
      </w:r>
      <w:r w:rsidRPr="00C503E0" w:rsidR="00A620EA">
        <w:t>ou</w:t>
      </w:r>
      <w:r w:rsidRPr="00C503E0" w:rsidR="001F2A7C">
        <w:t xml:space="preserve"> por meio de publicação de </w:t>
      </w:r>
      <w:r w:rsidRPr="00C503E0" w:rsidR="0084449E">
        <w:t>aviso ao mercado</w:t>
      </w:r>
      <w:r w:rsidRPr="00C503E0" w:rsidR="001F2A7C">
        <w:t xml:space="preserve"> nos termos da Cláusula</w:t>
      </w:r>
      <w:r w:rsidRPr="00C503E0" w:rsidR="007C2650">
        <w:t xml:space="preserve"> </w:t>
      </w:r>
      <w:r w:rsidRPr="00C503E0" w:rsidR="007B63F4">
        <w:fldChar w:fldCharType="begin"/>
      </w:r>
      <w:r w:rsidRPr="00C503E0" w:rsidR="007B63F4">
        <w:instrText xml:space="preserve"> REF _Ref65840344 \r \h </w:instrText>
      </w:r>
      <w:r w:rsidRPr="00C503E0" w:rsidR="004C165B">
        <w:instrText xml:space="preserve"> \* MERGEFORMAT </w:instrText>
      </w:r>
      <w:r w:rsidRPr="00C503E0" w:rsidR="007B63F4">
        <w:fldChar w:fldCharType="separate"/>
      </w:r>
      <w:r w:rsidR="00E92C30">
        <w:t>6.23</w:t>
      </w:r>
      <w:r w:rsidRPr="00C503E0" w:rsidR="007B63F4">
        <w:fldChar w:fldCharType="end"/>
      </w:r>
      <w:r w:rsidRPr="00C503E0" w:rsidR="000946FA">
        <w:t xml:space="preserve"> acima</w:t>
      </w:r>
      <w:r w:rsidRPr="00C503E0" w:rsidR="003F7FE7">
        <w:t>, em ambos os casos com cópia ao Agente Fiduciário</w:t>
      </w:r>
      <w:r w:rsidRPr="00C503E0" w:rsidR="00D045EC">
        <w:t xml:space="preserve"> </w:t>
      </w:r>
      <w:r w:rsidRPr="00C503E0" w:rsidR="001F2A7C">
        <w:t>(</w:t>
      </w:r>
      <w:r w:rsidRPr="00C503E0" w:rsidR="004008D1">
        <w:t>“</w:t>
      </w:r>
      <w:r w:rsidRPr="00C503E0" w:rsidR="001F2A7C">
        <w:rPr>
          <w:b/>
          <w:bCs/>
        </w:rPr>
        <w:t xml:space="preserve">Edital de Oferta de </w:t>
      </w:r>
      <w:r w:rsidRPr="00C503E0" w:rsidR="002E230B">
        <w:rPr>
          <w:b/>
          <w:bCs/>
        </w:rPr>
        <w:t>Resgate Antecipado Facultativo Total</w:t>
      </w:r>
      <w:r w:rsidRPr="00C503E0" w:rsidR="004008D1">
        <w:t>”</w:t>
      </w:r>
      <w:r w:rsidRPr="00C503E0" w:rsidR="001F2A7C">
        <w:t xml:space="preserve">), o qual deverá descrever os termos e condições da </w:t>
      </w:r>
      <w:r w:rsidRPr="00C503E0" w:rsidR="000946FA">
        <w:t>Oferta</w:t>
      </w:r>
      <w:r w:rsidRPr="00C503E0" w:rsidR="001F2A7C">
        <w:t xml:space="preserve"> de </w:t>
      </w:r>
      <w:r w:rsidRPr="00C503E0" w:rsidR="002E230B">
        <w:t>Resgate Antecipado Facultativo Total</w:t>
      </w:r>
      <w:r w:rsidRPr="00C503E0" w:rsidR="001F2A7C">
        <w:t xml:space="preserve">, incluindo </w:t>
      </w:r>
      <w:r w:rsidRPr="00E92C30" w:rsidR="00276A42">
        <w:t>(a)</w:t>
      </w:r>
      <w:r w:rsidRPr="00C503E0" w:rsidR="00276A42">
        <w:t xml:space="preserve"> que </w:t>
      </w:r>
      <w:r w:rsidRPr="00C503E0" w:rsidR="001F2A7C">
        <w:t xml:space="preserve">a </w:t>
      </w:r>
      <w:r w:rsidRPr="00C503E0" w:rsidR="000946FA">
        <w:t>Oferta</w:t>
      </w:r>
      <w:r w:rsidRPr="00C503E0" w:rsidR="001F2A7C">
        <w:t xml:space="preserve"> de </w:t>
      </w:r>
      <w:r w:rsidRPr="00C503E0" w:rsidR="002E230B">
        <w:t xml:space="preserve">Resgate Antecipado Facultativo Total </w:t>
      </w:r>
      <w:r w:rsidRPr="00C503E0" w:rsidR="001F2A7C">
        <w:t>será relativa à totalidade das Debêntures;</w:t>
      </w:r>
      <w:r w:rsidRPr="00C503E0" w:rsidR="004A5133">
        <w:t xml:space="preserve"> </w:t>
      </w:r>
      <w:r w:rsidRPr="00E92C30" w:rsidR="001F2A7C">
        <w:t>(</w:t>
      </w:r>
      <w:r w:rsidRPr="00E92C30" w:rsidR="00276A42">
        <w:t>b</w:t>
      </w:r>
      <w:r w:rsidRPr="00E92C30" w:rsidR="001F2A7C">
        <w:t>)</w:t>
      </w:r>
      <w:r w:rsidRPr="00C503E0" w:rsidR="00276A42">
        <w:t xml:space="preserve"> </w:t>
      </w:r>
      <w:r w:rsidRPr="00C503E0" w:rsidR="001F2A7C">
        <w:t xml:space="preserve">o valor do prêmio de resgate antecipado, caso exista, que não poderá ser negativo; </w:t>
      </w:r>
      <w:r w:rsidRPr="00E92C30" w:rsidR="001F2A7C">
        <w:t>(</w:t>
      </w:r>
      <w:r w:rsidRPr="00E92C30" w:rsidR="003A7158">
        <w:t>c</w:t>
      </w:r>
      <w:r w:rsidRPr="00E92C30" w:rsidR="001F2A7C">
        <w:t>)</w:t>
      </w:r>
      <w:r w:rsidRPr="00C503E0" w:rsidR="005A6CDD">
        <w:t xml:space="preserve"> </w:t>
      </w:r>
      <w:r w:rsidRPr="00C503E0" w:rsidR="001F2A7C">
        <w:t>a forma de manifestação dos Debenturistas</w:t>
      </w:r>
      <w:r w:rsidRPr="00C503E0" w:rsidR="004008D1">
        <w:t xml:space="preserve"> da respectiva série</w:t>
      </w:r>
      <w:r w:rsidRPr="00C503E0" w:rsidR="0084449E">
        <w:t xml:space="preserve"> à Emissora</w:t>
      </w:r>
      <w:r w:rsidRPr="00C503E0" w:rsidR="001F2A7C">
        <w:t xml:space="preserve"> que optarem pela adesão à </w:t>
      </w:r>
      <w:r w:rsidRPr="00C503E0" w:rsidR="000946FA">
        <w:t>Oferta</w:t>
      </w:r>
      <w:r w:rsidRPr="00C503E0" w:rsidR="001F2A7C">
        <w:t xml:space="preserve"> de </w:t>
      </w:r>
      <w:r w:rsidRPr="00C503E0" w:rsidR="002E230B">
        <w:t>Resgate Antecipado Facultativo Total</w:t>
      </w:r>
      <w:r w:rsidRPr="00C503E0" w:rsidR="00276A42">
        <w:t xml:space="preserve">, </w:t>
      </w:r>
      <w:r w:rsidRPr="00C503E0" w:rsidR="00927841">
        <w:t xml:space="preserve">no prazo de até </w:t>
      </w:r>
      <w:r w:rsidRPr="00C503E0" w:rsidR="00531DF7">
        <w:t xml:space="preserve">5 (cinco) </w:t>
      </w:r>
      <w:r w:rsidRPr="00C503E0" w:rsidR="00927841">
        <w:t xml:space="preserve">Dias Úteis, </w:t>
      </w:r>
      <w:r w:rsidRPr="00C503E0" w:rsidR="00A620EA">
        <w:t xml:space="preserve">contados da data </w:t>
      </w:r>
      <w:r w:rsidRPr="00C503E0" w:rsidR="00791D3B">
        <w:t xml:space="preserve">de </w:t>
      </w:r>
      <w:r w:rsidRPr="00C503E0" w:rsidR="00A620EA">
        <w:t xml:space="preserve">publicação </w:t>
      </w:r>
      <w:r w:rsidRPr="00C503E0" w:rsidR="003F7FE7">
        <w:t xml:space="preserve">ou do envio de comunicação, conforme aplicável, </w:t>
      </w:r>
      <w:r w:rsidRPr="00C503E0" w:rsidR="00A620EA">
        <w:t xml:space="preserve">da </w:t>
      </w:r>
      <w:r w:rsidRPr="00C503E0" w:rsidR="00791D3B">
        <w:t xml:space="preserve">Oferta </w:t>
      </w:r>
      <w:r w:rsidRPr="00C503E0" w:rsidR="00A620EA">
        <w:t xml:space="preserve">de </w:t>
      </w:r>
      <w:r w:rsidRPr="00C503E0" w:rsidR="002E230B">
        <w:t>Resgate Antecipado Facultativo Total</w:t>
      </w:r>
      <w:r w:rsidRPr="00C503E0" w:rsidR="001F2A7C">
        <w:t xml:space="preserve">; </w:t>
      </w:r>
      <w:r w:rsidRPr="00E92C30" w:rsidR="00F90E70">
        <w:t>(</w:t>
      </w:r>
      <w:r w:rsidRPr="00E92C30" w:rsidR="00C64950">
        <w:t>d</w:t>
      </w:r>
      <w:r w:rsidRPr="00E92C30" w:rsidR="00F90E70">
        <w:t>)</w:t>
      </w:r>
      <w:r w:rsidRPr="00C503E0" w:rsidR="00F90E70">
        <w:t xml:space="preserve"> que a Oferta de Resgate Antecipado das Debêntures estará condicionada à aceitação da totalidade das Debêntures</w:t>
      </w:r>
      <w:r w:rsidRPr="00C503E0" w:rsidR="00C64950">
        <w:t>;</w:t>
      </w:r>
      <w:r w:rsidRPr="00C503E0" w:rsidR="00F90E70">
        <w:t xml:space="preserve"> </w:t>
      </w:r>
      <w:r w:rsidRPr="00E92C30" w:rsidR="001F2A7C">
        <w:t>(</w:t>
      </w:r>
      <w:r w:rsidRPr="00E92C30" w:rsidR="00C64950">
        <w:t>e</w:t>
      </w:r>
      <w:r w:rsidRPr="00E92C30" w:rsidR="001F2A7C">
        <w:t>)</w:t>
      </w:r>
      <w:r w:rsidRPr="00C503E0" w:rsidR="005A6CDD">
        <w:t xml:space="preserve"> </w:t>
      </w:r>
      <w:r w:rsidRPr="00C503E0" w:rsidR="001F2A7C">
        <w:t>a data efetiva para o resgate antecipado das Debêntures</w:t>
      </w:r>
      <w:r w:rsidRPr="00C503E0" w:rsidR="00D561E4">
        <w:t>;</w:t>
      </w:r>
      <w:r w:rsidRPr="00C503E0" w:rsidR="001F2A7C">
        <w:t xml:space="preserve"> e </w:t>
      </w:r>
      <w:r w:rsidRPr="00E92C30" w:rsidR="001F2A7C">
        <w:t>(</w:t>
      </w:r>
      <w:r w:rsidRPr="00E92C30" w:rsidR="00C64950">
        <w:t>f</w:t>
      </w:r>
      <w:r w:rsidRPr="00E92C30" w:rsidR="007D7752">
        <w:t>)</w:t>
      </w:r>
      <w:r w:rsidRPr="00C503E0" w:rsidR="007D7752">
        <w:t> </w:t>
      </w:r>
      <w:r w:rsidRPr="00C503E0" w:rsidR="001F2A7C">
        <w:t xml:space="preserve">demais informações necessárias para tomada de decisão pelos Debenturistas </w:t>
      </w:r>
      <w:r w:rsidRPr="00C503E0" w:rsidR="0028297E">
        <w:t xml:space="preserve">da respectiva série </w:t>
      </w:r>
      <w:r w:rsidRPr="00C503E0" w:rsidR="001F2A7C">
        <w:t>e à operacionalização do resgate antecipado das Debêntures</w:t>
      </w:r>
      <w:r w:rsidRPr="00C503E0" w:rsidR="00AD4701">
        <w:t>.</w:t>
      </w:r>
      <w:bookmarkEnd w:id="153"/>
    </w:p>
    <w:p w:rsidR="00AF709D" w:rsidRPr="00C503E0" w:rsidP="00E92C30" w14:paraId="571A7D2D" w14:textId="77777777">
      <w:pPr>
        <w:pStyle w:val="Level3"/>
        <w:tabs>
          <w:tab w:val="clear" w:pos="1361"/>
        </w:tabs>
      </w:pPr>
      <w:r w:rsidRPr="00C503E0">
        <w:t>A</w:t>
      </w:r>
      <w:r w:rsidRPr="00C503E0" w:rsidR="00A3083C">
        <w:t xml:space="preserve"> </w:t>
      </w:r>
      <w:r w:rsidRPr="00C503E0" w:rsidR="008643F9">
        <w:t>Emissora</w:t>
      </w:r>
      <w:r w:rsidRPr="00C503E0" w:rsidR="00A3083C">
        <w:t xml:space="preserve"> deverá </w:t>
      </w:r>
      <w:r w:rsidRPr="00E92C30" w:rsidR="00A3083C">
        <w:t>(a)</w:t>
      </w:r>
      <w:r w:rsidRPr="00C503E0" w:rsidR="00A3083C">
        <w:t xml:space="preserve"> </w:t>
      </w:r>
      <w:r w:rsidRPr="00C503E0" w:rsidR="001F2A7C">
        <w:t xml:space="preserve">na respectiva data de término do prazo de adesão à </w:t>
      </w:r>
      <w:r w:rsidRPr="00C503E0" w:rsidR="000946FA">
        <w:t>Oferta</w:t>
      </w:r>
      <w:r w:rsidRPr="00C503E0" w:rsidR="001F2A7C">
        <w:t xml:space="preserve"> de </w:t>
      </w:r>
      <w:r w:rsidRPr="00C503E0" w:rsidR="002E230B">
        <w:t>Resgate Antecipado Facultativo Total</w:t>
      </w:r>
      <w:r w:rsidRPr="00C503E0" w:rsidR="001F2A7C">
        <w:t xml:space="preserve">, confirmar ao Agente Fiduciário </w:t>
      </w:r>
      <w:r w:rsidRPr="00C503E0" w:rsidR="00936596">
        <w:t xml:space="preserve">se haverá o </w:t>
      </w:r>
      <w:r w:rsidRPr="00C503E0" w:rsidR="001F2A7C">
        <w:t xml:space="preserve">resgate antecipado; e </w:t>
      </w:r>
      <w:r w:rsidRPr="00E92C30" w:rsidR="001F2A7C">
        <w:t>(b)</w:t>
      </w:r>
      <w:r w:rsidRPr="00C503E0" w:rsidR="000876BA">
        <w:t xml:space="preserve"> </w:t>
      </w:r>
      <w:r w:rsidRPr="00C503E0" w:rsidR="00F17D95">
        <w:t xml:space="preserve">com antecedência mínima de </w:t>
      </w:r>
      <w:r w:rsidRPr="00C503E0" w:rsidR="009B7104">
        <w:t xml:space="preserve">3 </w:t>
      </w:r>
      <w:r w:rsidRPr="00C503E0" w:rsidR="001F2A7C">
        <w:t>(</w:t>
      </w:r>
      <w:r w:rsidRPr="00C503E0" w:rsidR="009B7104">
        <w:t>três</w:t>
      </w:r>
      <w:r w:rsidRPr="00C503E0" w:rsidR="001F2A7C">
        <w:t xml:space="preserve">) Dias Úteis da respectiva data do resgate antecipado, comunicar </w:t>
      </w:r>
      <w:r w:rsidRPr="00C503E0" w:rsidR="00A65E3A">
        <w:t xml:space="preserve">ao </w:t>
      </w:r>
      <w:r w:rsidRPr="00C503E0" w:rsidR="00A65E3A">
        <w:t>Escriturador</w:t>
      </w:r>
      <w:r w:rsidRPr="00C503E0" w:rsidR="001F2A7C">
        <w:t xml:space="preserve">, ao Banco </w:t>
      </w:r>
      <w:r w:rsidRPr="00C503E0" w:rsidR="00A65E3A">
        <w:t xml:space="preserve">Liquidante </w:t>
      </w:r>
      <w:r w:rsidRPr="00C503E0" w:rsidR="001F2A7C">
        <w:t xml:space="preserve">e à </w:t>
      </w:r>
      <w:r w:rsidRPr="00C503E0" w:rsidR="00852615">
        <w:t xml:space="preserve">B3 </w:t>
      </w:r>
      <w:r w:rsidRPr="00C503E0" w:rsidR="001F2A7C">
        <w:t>a respectiva data do resgate antecipado</w:t>
      </w:r>
      <w:r w:rsidRPr="00C503E0" w:rsidR="00AD4701">
        <w:t>.</w:t>
      </w:r>
      <w:r w:rsidRPr="00C503E0" w:rsidR="00936596">
        <w:t xml:space="preserve"> </w:t>
      </w:r>
    </w:p>
    <w:p w:rsidR="001F2A7C" w:rsidRPr="00C503E0" w:rsidP="00E92C30" w14:paraId="2E410203" w14:textId="77777777">
      <w:pPr>
        <w:pStyle w:val="Level3"/>
        <w:tabs>
          <w:tab w:val="clear" w:pos="1361"/>
        </w:tabs>
      </w:pPr>
      <w:r w:rsidRPr="00C503E0">
        <w:t xml:space="preserve">O valor a ser pago em relação a cada uma das Debêntures </w:t>
      </w:r>
      <w:r w:rsidRPr="00C503E0" w:rsidR="0028297E">
        <w:t xml:space="preserve">da respectiva série </w:t>
      </w:r>
      <w:r w:rsidRPr="00C503E0" w:rsidR="00852615">
        <w:t>no âmbito da</w:t>
      </w:r>
      <w:r w:rsidRPr="00C503E0">
        <w:t xml:space="preserve"> </w:t>
      </w:r>
      <w:r w:rsidRPr="00C503E0" w:rsidR="000946FA">
        <w:t>Oferta</w:t>
      </w:r>
      <w:r w:rsidRPr="00C503E0">
        <w:t xml:space="preserve"> de </w:t>
      </w:r>
      <w:r w:rsidRPr="00C503E0" w:rsidR="002E230B">
        <w:t xml:space="preserve">Resgate Antecipado Facultativo Total </w:t>
      </w:r>
      <w:r w:rsidRPr="00C503E0">
        <w:t xml:space="preserve">será equivalente ao </w:t>
      </w:r>
      <w:r w:rsidRPr="00C503E0" w:rsidR="0028297E">
        <w:t>Valor Nominal Unitário ou saldo do Valor Nominal Unitário, conforme o caso</w:t>
      </w:r>
      <w:r w:rsidRPr="00C503E0" w:rsidR="007D7752">
        <w:t>,</w:t>
      </w:r>
      <w:r w:rsidRPr="00C503E0" w:rsidR="005660E0">
        <w:t xml:space="preserve"> das Debêntures</w:t>
      </w:r>
      <w:r w:rsidRPr="00C503E0" w:rsidR="002A66EB">
        <w:t xml:space="preserve"> </w:t>
      </w:r>
      <w:r w:rsidRPr="00C503E0">
        <w:t xml:space="preserve">acrescido </w:t>
      </w:r>
      <w:r w:rsidRPr="00E92C30">
        <w:t>(a)</w:t>
      </w:r>
      <w:r w:rsidRPr="00C503E0" w:rsidR="005A6CDD">
        <w:t xml:space="preserve"> </w:t>
      </w:r>
      <w:r w:rsidRPr="00C503E0">
        <w:t xml:space="preserve">da </w:t>
      </w:r>
      <w:r w:rsidRPr="00C503E0" w:rsidR="0028297E">
        <w:t xml:space="preserve">respectiva </w:t>
      </w:r>
      <w:r w:rsidRPr="00C503E0">
        <w:t xml:space="preserve">Remuneração, calculada </w:t>
      </w:r>
      <w:r w:rsidRPr="00E92C30">
        <w:rPr>
          <w:i/>
        </w:rPr>
        <w:t xml:space="preserve">pro rata </w:t>
      </w:r>
      <w:r w:rsidRPr="00E92C30">
        <w:rPr>
          <w:i/>
        </w:rPr>
        <w:t>temporis</w:t>
      </w:r>
      <w:r w:rsidRPr="00C503E0">
        <w:t xml:space="preserve"> desde a </w:t>
      </w:r>
      <w:r w:rsidRPr="00C503E0" w:rsidR="007258DF">
        <w:t xml:space="preserve">Data da Primeira Integralização </w:t>
      </w:r>
      <w:r w:rsidRPr="00C503E0">
        <w:t xml:space="preserve">ou a </w:t>
      </w:r>
      <w:r w:rsidRPr="00C503E0" w:rsidR="00C844E7">
        <w:t xml:space="preserve">Data </w:t>
      </w:r>
      <w:r w:rsidRPr="00C503E0">
        <w:t xml:space="preserve">de </w:t>
      </w:r>
      <w:r w:rsidRPr="00C503E0" w:rsidR="00C844E7">
        <w:t xml:space="preserve">Pagamento </w:t>
      </w:r>
      <w:r w:rsidRPr="00C503E0" w:rsidR="004C2D8D">
        <w:t xml:space="preserve">da </w:t>
      </w:r>
      <w:r w:rsidRPr="00C503E0">
        <w:t>Remuneração</w:t>
      </w:r>
      <w:r w:rsidRPr="00C503E0" w:rsidR="0028297E">
        <w:t xml:space="preserve"> da respectiva série</w:t>
      </w:r>
      <w:r w:rsidRPr="00C503E0" w:rsidR="007726CD">
        <w:t xml:space="preserve"> </w:t>
      </w:r>
      <w:r w:rsidRPr="00C503E0">
        <w:t>imediatamente anterior, até a d</w:t>
      </w:r>
      <w:r w:rsidRPr="00C503E0" w:rsidR="00A3083C">
        <w:t xml:space="preserve">ata do efetivo pagamento; e </w:t>
      </w:r>
      <w:r w:rsidRPr="00E92C30" w:rsidR="00A3083C">
        <w:t>(b)</w:t>
      </w:r>
      <w:r w:rsidRPr="00C503E0" w:rsidR="00A3083C">
        <w:t xml:space="preserve"> </w:t>
      </w:r>
      <w:r w:rsidRPr="00C503E0">
        <w:t xml:space="preserve">se for o caso, de prêmio de resgate antecipado a ser oferecido aos Debenturistas, a exclusivo critério da </w:t>
      </w:r>
      <w:r w:rsidRPr="00C503E0" w:rsidR="0013041D">
        <w:t>Emissora</w:t>
      </w:r>
      <w:r w:rsidRPr="00C503E0">
        <w:t>, o qual não poderá ser negativo</w:t>
      </w:r>
      <w:r w:rsidRPr="00C503E0" w:rsidR="00AD4701">
        <w:t>.</w:t>
      </w:r>
    </w:p>
    <w:p w:rsidR="00B05AFC" w:rsidRPr="00E92C30" w:rsidP="00E92C30" w14:paraId="0EF6FEB1" w14:textId="77777777">
      <w:pPr>
        <w:pStyle w:val="Level3"/>
        <w:tabs>
          <w:tab w:val="clear" w:pos="1361"/>
        </w:tabs>
      </w:pPr>
      <w:r w:rsidRPr="00C503E0">
        <w:t xml:space="preserve">Com relação às Debêntures </w:t>
      </w:r>
      <w:r w:rsidRPr="00E92C30">
        <w:t>(a)</w:t>
      </w:r>
      <w:r w:rsidRPr="00C503E0">
        <w:t xml:space="preserve"> que estejam custodiadas eletronicamente na B3, conforme o caso, o resgate antecipado deverá ocorrer de acordo com os procedimentos adotados pela B3, conforme o caso; e </w:t>
      </w:r>
      <w:r w:rsidRPr="00E92C30">
        <w:t>(b)</w:t>
      </w:r>
      <w:r w:rsidRPr="00C503E0">
        <w:t xml:space="preserve"> que não estejam custodiadas eletronicamente na B3, conforme o caso, mediante depósito em contas-correntes indicadas pelos Debenturistas a ser realizado por meio dos procedimentos do </w:t>
      </w:r>
      <w:r w:rsidRPr="00C503E0">
        <w:t>Escriturador</w:t>
      </w:r>
      <w:r w:rsidRPr="00C503E0">
        <w:t>.</w:t>
      </w:r>
    </w:p>
    <w:p w:rsidR="007F4993" w:rsidRPr="00083831" w14:paraId="27DA20DF" w14:textId="6DF2434D">
      <w:pPr>
        <w:pStyle w:val="Level1"/>
        <w:keepNext w:val="0"/>
        <w:widowControl w:val="0"/>
        <w:spacing w:before="140" w:after="0"/>
        <w:rPr>
          <w:rFonts w:cs="Arial"/>
          <w:sz w:val="20"/>
          <w:szCs w:val="20"/>
        </w:rPr>
      </w:pPr>
      <w:bookmarkStart w:id="154" w:name="_DV_M236"/>
      <w:bookmarkStart w:id="155" w:name="_DV_M238"/>
      <w:bookmarkStart w:id="156" w:name="_Ref65837565"/>
      <w:bookmarkEnd w:id="146"/>
      <w:bookmarkEnd w:id="154"/>
      <w:bookmarkEnd w:id="155"/>
      <w:r w:rsidRPr="00F95AE7">
        <w:rPr>
          <w:rFonts w:cs="Arial"/>
          <w:sz w:val="20"/>
          <w:szCs w:val="20"/>
        </w:rPr>
        <w:t>VENCIMENTO ANTECIPADO</w:t>
      </w:r>
      <w:bookmarkEnd w:id="156"/>
    </w:p>
    <w:p w:rsidR="007F4993" w:rsidRPr="007552BF" w14:paraId="762BE572" w14:textId="77777777">
      <w:pPr>
        <w:pStyle w:val="Level2"/>
        <w:widowControl w:val="0"/>
        <w:spacing w:before="140" w:after="0"/>
        <w:rPr>
          <w:rFonts w:cs="Arial"/>
          <w:b/>
          <w:bCs/>
          <w:w w:val="0"/>
          <w:szCs w:val="20"/>
        </w:rPr>
      </w:pPr>
      <w:bookmarkStart w:id="157" w:name="_DV_M239"/>
      <w:bookmarkStart w:id="158" w:name="_Ref65841153"/>
      <w:bookmarkEnd w:id="157"/>
      <w:r w:rsidRPr="007552BF">
        <w:rPr>
          <w:rFonts w:cs="Arial"/>
          <w:b/>
          <w:bCs/>
          <w:w w:val="0"/>
          <w:szCs w:val="20"/>
        </w:rPr>
        <w:t>Vencimento Antecipado Automático</w:t>
      </w:r>
      <w:bookmarkEnd w:id="158"/>
    </w:p>
    <w:p w:rsidR="007F4993" w:rsidRPr="007552BF" w14:paraId="0D0E4FD6" w14:textId="52A81016">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w:t>
      </w:r>
      <w:r w:rsidR="00FE1201">
        <w:rPr>
          <w:rFonts w:eastAsia="Arial Unicode MS" w:cs="Arial"/>
          <w:w w:val="0"/>
          <w:szCs w:val="20"/>
        </w:rPr>
        <w:t>da respectiva</w:t>
      </w:r>
      <w:r w:rsidRPr="007552BF">
        <w:rPr>
          <w:rFonts w:eastAsia="Arial Unicode MS" w:cs="Arial"/>
          <w:w w:val="0"/>
          <w:szCs w:val="20"/>
        </w:rPr>
        <w:t xml:space="preserve">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14:paraId="79197D4F" w14:textId="77777777">
      <w:pPr>
        <w:pStyle w:val="Level4"/>
        <w:widowControl w:val="0"/>
        <w:spacing w:before="140" w:after="0"/>
        <w:rPr>
          <w:rFonts w:cs="Arial"/>
          <w:w w:val="0"/>
          <w:szCs w:val="20"/>
        </w:rPr>
      </w:pPr>
      <w:bookmarkStart w:id="159"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14:paraId="61E94538" w14:textId="54059315">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E92C30">
        <w:rPr>
          <w:rFonts w:eastAsia="Arial Unicode MS" w:cs="Arial"/>
          <w:w w:val="0"/>
          <w:szCs w:val="20"/>
        </w:rPr>
        <w:t>8.2.1(</w:t>
      </w:r>
      <w:r w:rsidR="00E92C30">
        <w:rPr>
          <w:rFonts w:eastAsia="Arial Unicode MS" w:cs="Arial"/>
          <w:w w:val="0"/>
          <w:szCs w:val="20"/>
        </w:rPr>
        <w:t>xiii</w:t>
      </w:r>
      <w:r w:rsidR="00E92C30">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E92C30">
        <w:rPr>
          <w:rFonts w:eastAsia="Arial Unicode MS" w:cs="Arial"/>
          <w:w w:val="0"/>
          <w:szCs w:val="20"/>
        </w:rPr>
        <w:t>8.2.1(</w:t>
      </w:r>
      <w:r w:rsidR="00E92C30">
        <w:rPr>
          <w:rFonts w:eastAsia="Arial Unicode MS" w:cs="Arial"/>
          <w:w w:val="0"/>
          <w:szCs w:val="20"/>
        </w:rPr>
        <w:t>xiv</w:t>
      </w:r>
      <w:r w:rsidR="00E92C30">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E92C30">
        <w:rPr>
          <w:rFonts w:eastAsia="Arial Unicode MS" w:cs="Arial"/>
          <w:w w:val="0"/>
          <w:szCs w:val="20"/>
        </w:rPr>
        <w:t>8.2.1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Pr="0061407E" w:rsidR="00335477">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rsidR="007F4993" w:rsidRPr="007552BF" w14:paraId="4D11698F" w14:textId="77777777">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14:paraId="300B623A" w14:textId="77777777">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14:paraId="3FC4054A" w14:textId="77777777">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rsidR="007F4993" w:rsidRPr="007552BF" w14:paraId="5E0BC6E4" w14:textId="77777777">
      <w:pPr>
        <w:pStyle w:val="Level4"/>
        <w:widowControl w:val="0"/>
        <w:spacing w:before="140" w:after="0"/>
        <w:rPr>
          <w:rFonts w:cs="Arial"/>
          <w:color w:val="000000"/>
          <w:w w:val="0"/>
          <w:szCs w:val="20"/>
        </w:rPr>
      </w:pPr>
      <w:bookmarkStart w:id="160"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14:paraId="04D9FEF6" w14:textId="77777777">
      <w:pPr>
        <w:pStyle w:val="Level4"/>
        <w:widowControl w:val="0"/>
        <w:spacing w:before="140" w:after="0"/>
        <w:rPr>
          <w:rFonts w:cs="Arial"/>
          <w:color w:val="000000"/>
          <w:w w:val="0"/>
          <w:szCs w:val="20"/>
        </w:rPr>
      </w:pPr>
      <w:bookmarkEnd w:id="160"/>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14:paraId="3A16C696" w14:textId="77777777">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1407E" w:rsidR="003B22C7">
        <w:rPr>
          <w:b/>
          <w:color w:val="000000"/>
          <w:w w:val="0"/>
        </w:rPr>
        <w:t>(a)</w:t>
      </w:r>
      <w:r w:rsidRPr="007552BF" w:rsidR="003B22C7">
        <w:rPr>
          <w:rFonts w:cs="Arial"/>
          <w:color w:val="000000"/>
          <w:w w:val="0"/>
          <w:szCs w:val="20"/>
        </w:rPr>
        <w:t xml:space="preserve"> desta Escritura e/ou </w:t>
      </w:r>
      <w:r w:rsidRPr="0061407E" w:rsidR="003B22C7">
        <w:rPr>
          <w:b/>
          <w:color w:val="000000"/>
          <w:w w:val="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14:paraId="16CD2A35" w14:textId="77777777">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14:paraId="57D8F231" w14:textId="77777777">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14:paraId="38D031D2" w14:textId="77777777">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14:paraId="26140DF9" w14:textId="77777777">
      <w:pPr>
        <w:pStyle w:val="Level4"/>
        <w:widowControl w:val="0"/>
        <w:spacing w:before="140" w:after="0"/>
        <w:rPr>
          <w:rFonts w:cs="Arial"/>
          <w:color w:val="000000"/>
          <w:w w:val="0"/>
          <w:szCs w:val="20"/>
        </w:rPr>
      </w:pPr>
      <w:bookmarkStart w:id="161"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14:paraId="6A68C446" w14:textId="77777777">
      <w:pPr>
        <w:pStyle w:val="Level2"/>
        <w:widowControl w:val="0"/>
        <w:spacing w:before="140" w:after="0"/>
        <w:rPr>
          <w:rFonts w:cs="Arial"/>
          <w:b/>
          <w:bCs/>
          <w:szCs w:val="20"/>
        </w:rPr>
      </w:pPr>
      <w:bookmarkStart w:id="162" w:name="_Ref65841158"/>
      <w:bookmarkEnd w:id="161"/>
      <w:r w:rsidRPr="007552BF">
        <w:rPr>
          <w:rFonts w:cs="Arial"/>
          <w:b/>
          <w:bCs/>
          <w:szCs w:val="20"/>
        </w:rPr>
        <w:t xml:space="preserve">Vencimento Antecipado </w:t>
      </w:r>
      <w:bookmarkEnd w:id="162"/>
      <w:r w:rsidRPr="007552BF" w:rsidR="00CF14FC">
        <w:rPr>
          <w:rFonts w:cs="Arial"/>
          <w:b/>
          <w:bCs/>
          <w:szCs w:val="20"/>
          <w:lang w:val="pt-BR"/>
        </w:rPr>
        <w:t>Não Automático</w:t>
      </w:r>
    </w:p>
    <w:p w:rsidR="007F4993" w:rsidRPr="007552BF" w14:paraId="503EA1D2" w14:textId="77777777">
      <w:pPr>
        <w:pStyle w:val="Level3"/>
        <w:widowControl w:val="0"/>
        <w:spacing w:before="140" w:after="0"/>
        <w:rPr>
          <w:rFonts w:eastAsia="Arial Unicode MS" w:cs="Arial"/>
          <w:w w:val="0"/>
          <w:szCs w:val="20"/>
        </w:rPr>
      </w:pPr>
      <w:bookmarkStart w:id="163"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w:t>
      </w:r>
      <w:r w:rsidRPr="0061407E">
        <w:rPr>
          <w:rFonts w:eastAsia="Arial Unicode MS"/>
          <w:b/>
          <w:w w:val="0"/>
        </w:rPr>
        <w:t>ii</w:t>
      </w:r>
      <w:r w:rsidRPr="0061407E">
        <w:rPr>
          <w:rFonts w:eastAsia="Arial Unicode MS"/>
          <w:b/>
          <w:w w:val="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163"/>
      <w:r w:rsidRPr="007552BF">
        <w:rPr>
          <w:rFonts w:eastAsia="Arial Unicode MS" w:cs="Arial"/>
          <w:w w:val="0"/>
          <w:szCs w:val="20"/>
        </w:rPr>
        <w:t xml:space="preserve"> </w:t>
      </w:r>
    </w:p>
    <w:p w:rsidR="007F4993" w:rsidRPr="007552BF" w14:paraId="0DD2E0D1" w14:textId="77777777">
      <w:pPr>
        <w:pStyle w:val="Level4"/>
        <w:widowControl w:val="0"/>
        <w:spacing w:before="140" w:after="0"/>
        <w:rPr>
          <w:rFonts w:cs="Arial"/>
          <w:szCs w:val="20"/>
        </w:rPr>
      </w:pPr>
      <w:bookmarkEnd w:id="159"/>
      <w:r w:rsidRPr="007552BF">
        <w:rPr>
          <w:rFonts w:cs="Arial"/>
          <w:szCs w:val="20"/>
        </w:rPr>
        <w:t xml:space="preserve">pagamento, pela Emissora ou pela Fiadora, de dividendos, juros sobre capital próprio ou qualquer outra participação no lucro prevista no </w:t>
      </w:r>
      <w:r w:rsidRPr="007552BF" w:rsidR="006C5F87">
        <w:rPr>
          <w:rFonts w:cs="Arial"/>
          <w:szCs w:val="20"/>
        </w:rPr>
        <w:t xml:space="preserve">estatuto social </w:t>
      </w:r>
      <w:r w:rsidRPr="007552BF">
        <w:rPr>
          <w:rFonts w:cs="Arial"/>
          <w:szCs w:val="20"/>
        </w:rPr>
        <w:t>da 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14:paraId="6E075823" w14:textId="77777777">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conforme o caso</w:t>
      </w:r>
      <w:r w:rsidRPr="007552BF" w:rsidR="006D2B06">
        <w:rPr>
          <w:rFonts w:cs="Arial"/>
          <w:szCs w:val="20"/>
        </w:rPr>
        <w:t>;</w:t>
      </w:r>
      <w:r w:rsidRPr="007552BF" w:rsidR="00863F8F">
        <w:rPr>
          <w:rFonts w:cs="Arial"/>
          <w:szCs w:val="20"/>
        </w:rPr>
        <w:t xml:space="preserve"> </w:t>
      </w:r>
    </w:p>
    <w:p w:rsidR="007F4993" w:rsidRPr="007552BF" w14:paraId="2ACD28FB" w14:textId="77777777">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1407E" w:rsidR="006C5F87">
        <w:rPr>
          <w:b/>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14:paraId="1BA9FF2D" w14:textId="77777777">
      <w:pPr>
        <w:pStyle w:val="Level4"/>
        <w:widowControl w:val="0"/>
        <w:spacing w:before="140" w:after="0"/>
        <w:rPr>
          <w:rFonts w:cs="Arial"/>
          <w:szCs w:val="20"/>
        </w:rPr>
      </w:pPr>
      <w:bookmarkStart w:id="164"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w:t>
      </w:r>
      <w:r w:rsidRPr="007552BF">
        <w:rPr>
          <w:rFonts w:cs="Arial"/>
          <w:color w:val="000000"/>
          <w:szCs w:val="20"/>
        </w:rPr>
        <w:t>Poor’s</w:t>
      </w:r>
      <w:r w:rsidRPr="007552BF">
        <w:rPr>
          <w:rFonts w:cs="Arial"/>
          <w:color w:val="000000"/>
          <w:szCs w:val="20"/>
        </w:rPr>
        <w:t xml:space="preserve">; </w:t>
      </w:r>
      <w:r w:rsidRPr="0061407E">
        <w:rPr>
          <w:b/>
          <w:color w:val="00000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4"/>
      <w:r w:rsidRPr="007552BF">
        <w:rPr>
          <w:rFonts w:cs="Arial"/>
          <w:color w:val="000000"/>
          <w:szCs w:val="20"/>
        </w:rPr>
        <w:t>;</w:t>
      </w:r>
      <w:r w:rsidRPr="007552BF" w:rsidR="00CF14FC">
        <w:rPr>
          <w:rFonts w:cs="Arial"/>
          <w:color w:val="000000"/>
          <w:szCs w:val="20"/>
        </w:rPr>
        <w:t xml:space="preserve"> </w:t>
      </w:r>
    </w:p>
    <w:p w:rsidR="007F4993" w:rsidRPr="007552BF" w14:paraId="63AF1A97" w14:textId="77777777">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14:paraId="4F9C0A5E" w14:textId="77777777">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14:paraId="30468720" w14:textId="77777777">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14:paraId="1CBA9B56" w14:textId="77777777">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operacionais relevantes, </w:t>
      </w:r>
      <w:r w:rsidRPr="007552BF" w:rsidR="001B1AFD">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rsidR="007F4993" w:rsidRPr="007552BF" w14:paraId="3DE5FB5F" w14:textId="77777777">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p>
    <w:p w:rsidR="007F4993" w:rsidRPr="007552BF" w14:paraId="3AE95024" w14:textId="77777777">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rsidR="007F4993" w:rsidRPr="007552BF" w14:paraId="23B44CBF" w14:textId="77777777">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14:paraId="56F102CB" w14:textId="77777777">
      <w:pPr>
        <w:pStyle w:val="Level4"/>
        <w:widowControl w:val="0"/>
        <w:spacing w:before="140" w:after="0"/>
        <w:rPr>
          <w:rFonts w:cs="Arial"/>
          <w:szCs w:val="20"/>
        </w:rPr>
      </w:pPr>
      <w:bookmarkStart w:id="165" w:name="_Ref65837657"/>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Pr="00214997" w:rsidR="00857E11">
        <w:rPr>
          <w:rFonts w:cs="Arial"/>
          <w:szCs w:val="20"/>
        </w:rPr>
        <w:t xml:space="preserve"> intermediárias</w:t>
      </w:r>
      <w:r w:rsidRPr="00214997">
        <w:rPr>
          <w:rFonts w:cs="Arial"/>
          <w:szCs w:val="20"/>
        </w:rPr>
        <w:t xml:space="preserve"> de </w:t>
      </w:r>
      <w:r w:rsidRPr="0061407E" w:rsidR="00857E11">
        <w:t>3</w:t>
      </w:r>
      <w:r w:rsidRPr="0061407E" w:rsidR="00083831">
        <w:t>0 de</w:t>
      </w:r>
      <w:r w:rsidRPr="0061407E" w:rsidR="00076441">
        <w:t xml:space="preserve"> </w:t>
      </w:r>
      <w:r w:rsidR="006271A9">
        <w:t xml:space="preserve">junho </w:t>
      </w:r>
      <w:r w:rsidRPr="0061407E" w:rsidR="00083831">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165"/>
    </w:p>
    <w:p w:rsidR="007F4993" w:rsidRPr="007552BF" w14:paraId="7705038E" w14:textId="77777777">
      <w:pPr>
        <w:pStyle w:val="Level4"/>
        <w:widowControl w:val="0"/>
        <w:spacing w:before="140" w:after="0"/>
        <w:rPr>
          <w:rFonts w:cs="Arial"/>
          <w:szCs w:val="20"/>
        </w:rPr>
      </w:pPr>
      <w:bookmarkStart w:id="166"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1407E" w:rsidR="00857E11">
        <w:rPr>
          <w:b/>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1407E" w:rsidR="00857E11">
        <w:rPr>
          <w:b/>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166"/>
      <w:r w:rsidR="00E32CC3">
        <w:rPr>
          <w:rFonts w:cs="Arial"/>
          <w:szCs w:val="20"/>
        </w:rPr>
        <w:t xml:space="preserve"> </w:t>
      </w:r>
    </w:p>
    <w:p w:rsidR="007F4993" w:rsidRPr="007552BF" w14:paraId="16664850" w14:textId="77777777">
      <w:pPr>
        <w:pStyle w:val="Level4"/>
        <w:widowControl w:val="0"/>
        <w:spacing w:before="140" w:after="0"/>
        <w:rPr>
          <w:rFonts w:cs="Arial"/>
          <w:szCs w:val="20"/>
        </w:rPr>
      </w:pPr>
      <w:bookmarkStart w:id="167"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7"/>
      <w:r w:rsidRPr="007552BF">
        <w:rPr>
          <w:rFonts w:cs="Arial"/>
          <w:szCs w:val="20"/>
        </w:rPr>
        <w:t xml:space="preserve"> </w:t>
      </w:r>
    </w:p>
    <w:p w:rsidR="007F4993" w:rsidRPr="007552BF" w14:paraId="6CF0E3ED" w14:textId="77777777">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14:paraId="7064E425" w14:textId="77777777">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Pr="0061407E" w:rsidR="006D2B06">
        <w:rPr>
          <w:b/>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1407E" w:rsidR="006D2B06">
        <w:rPr>
          <w:b/>
        </w:rPr>
        <w:t>(b)</w:t>
      </w:r>
      <w:r w:rsidRPr="007552BF">
        <w:rPr>
          <w:rFonts w:cs="Arial"/>
          <w:szCs w:val="20"/>
        </w:rPr>
        <w:t xml:space="preserve"> Deloitte </w:t>
      </w:r>
      <w:r w:rsidRPr="007552BF">
        <w:rPr>
          <w:rFonts w:cs="Arial"/>
          <w:szCs w:val="20"/>
        </w:rPr>
        <w:t>Touche</w:t>
      </w:r>
      <w:r w:rsidRPr="007552BF">
        <w:rPr>
          <w:rFonts w:cs="Arial"/>
          <w:szCs w:val="20"/>
        </w:rPr>
        <w:t xml:space="preserve"> </w:t>
      </w:r>
      <w:r w:rsidRPr="007552BF">
        <w:rPr>
          <w:rFonts w:cs="Arial"/>
          <w:szCs w:val="20"/>
        </w:rPr>
        <w:t>Tohmatsu</w:t>
      </w:r>
      <w:r w:rsidRPr="007552BF">
        <w:rPr>
          <w:rFonts w:cs="Arial"/>
          <w:szCs w:val="20"/>
        </w:rPr>
        <w:t xml:space="preserve"> Auditores Independentes</w:t>
      </w:r>
      <w:r w:rsidRPr="007552BF" w:rsidR="006D2B06">
        <w:rPr>
          <w:rFonts w:cs="Arial"/>
          <w:szCs w:val="20"/>
        </w:rPr>
        <w:t xml:space="preserve">; </w:t>
      </w:r>
      <w:r w:rsidRPr="0061407E" w:rsidR="006D2B06">
        <w:rPr>
          <w:b/>
        </w:rPr>
        <w:t>(c)</w:t>
      </w:r>
      <w:r w:rsidRPr="007552BF" w:rsidR="006D2B06">
        <w:rPr>
          <w:rFonts w:cs="Arial"/>
          <w:szCs w:val="20"/>
        </w:rPr>
        <w:t xml:space="preserve"> </w:t>
      </w:r>
      <w:r w:rsidRPr="007552BF">
        <w:rPr>
          <w:rFonts w:cs="Arial"/>
          <w:szCs w:val="20"/>
        </w:rPr>
        <w:t>PricewaterhouseCoopers</w:t>
      </w:r>
      <w:r w:rsidRPr="007552BF">
        <w:rPr>
          <w:rFonts w:cs="Arial"/>
          <w:szCs w:val="20"/>
        </w:rPr>
        <w:t xml:space="preserve"> Auditores Independentes</w:t>
      </w:r>
      <w:r w:rsidRPr="007552BF" w:rsidR="006D2B06">
        <w:rPr>
          <w:rFonts w:cs="Arial"/>
          <w:szCs w:val="20"/>
        </w:rPr>
        <w:t>;</w:t>
      </w:r>
      <w:r w:rsidRPr="007552BF">
        <w:rPr>
          <w:rFonts w:cs="Arial"/>
          <w:szCs w:val="20"/>
        </w:rPr>
        <w:t xml:space="preserve"> ou </w:t>
      </w:r>
      <w:r w:rsidRPr="0061407E" w:rsidR="006D2B06">
        <w:rPr>
          <w:b/>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14:paraId="699152C1" w14:textId="77777777">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14:paraId="0720A4F0" w14:textId="77777777">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favor de </w:t>
      </w:r>
      <w:r w:rsidRPr="0061407E">
        <w:rPr>
          <w:b/>
        </w:rPr>
        <w:t>(</w:t>
      </w:r>
      <w:r w:rsidRPr="0061407E" w:rsidR="00D33084">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Pr="0061407E" w:rsidR="00D33084">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Pr="0061407E" w:rsidR="00D33084">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Pr="0061407E" w:rsidR="00D33084">
        <w:rPr>
          <w:b/>
        </w:rPr>
        <w:t>d</w:t>
      </w:r>
      <w:r w:rsidRPr="0061407E">
        <w:rPr>
          <w:b/>
        </w:rPr>
        <w:t>)</w:t>
      </w:r>
      <w:r w:rsidRPr="007552BF">
        <w:rPr>
          <w:rFonts w:cs="Arial"/>
          <w:szCs w:val="20"/>
        </w:rPr>
        <w:t xml:space="preserve"> contratos de financiamento celebrados pela Emissora junto ao Banco Nacional de Desenvolvimento Econômico – BNDES; ou</w:t>
      </w:r>
      <w:r w:rsidRPr="007552BF" w:rsidR="00BC62B1">
        <w:rPr>
          <w:rFonts w:cs="Arial"/>
          <w:szCs w:val="20"/>
        </w:rPr>
        <w:t xml:space="preserve"> </w:t>
      </w:r>
    </w:p>
    <w:p w:rsidR="000338B5" w:rsidRPr="007552BF" w14:paraId="0A64311B" w14:textId="77777777">
      <w:pPr>
        <w:pStyle w:val="Level4"/>
        <w:widowControl w:val="0"/>
        <w:spacing w:before="140" w:after="0"/>
        <w:rPr>
          <w:rFonts w:cs="Arial"/>
          <w:szCs w:val="20"/>
        </w:rPr>
      </w:pPr>
      <w:bookmarkStart w:id="168"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14:paraId="40BC88D7" w14:textId="3A175A4C">
      <w:pPr>
        <w:pStyle w:val="Level3"/>
        <w:widowControl w:val="0"/>
        <w:spacing w:before="140" w:after="0"/>
        <w:rPr>
          <w:rFonts w:cs="Arial"/>
          <w:szCs w:val="20"/>
        </w:rPr>
      </w:pPr>
      <w:bookmarkEnd w:id="168"/>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E92C30">
        <w:rPr>
          <w:rFonts w:cs="Arial"/>
          <w:szCs w:val="20"/>
        </w:rPr>
        <w:t>8.2.1(</w:t>
      </w:r>
      <w:r w:rsidR="00E92C30">
        <w:rPr>
          <w:rFonts w:cs="Arial"/>
          <w:szCs w:val="20"/>
        </w:rPr>
        <w:t>xii</w:t>
      </w:r>
      <w:r w:rsidR="00E92C30">
        <w:rPr>
          <w:rFonts w:cs="Arial"/>
          <w:szCs w:val="20"/>
        </w:rPr>
        <w:t>)</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Pr="00DA7904" w:rsidR="00076441">
        <w:rPr>
          <w:rFonts w:cs="Arial"/>
          <w:szCs w:val="20"/>
        </w:rPr>
        <w:t>verificar</w:t>
      </w:r>
      <w:r w:rsidRPr="00D802A4">
        <w:rPr>
          <w:rFonts w:cs="Arial"/>
          <w:szCs w:val="20"/>
        </w:rPr>
        <w:t xml:space="preserve"> o</w:t>
      </w:r>
      <w:r w:rsidRPr="006E595D">
        <w:rPr>
          <w:rFonts w:cs="Arial"/>
          <w:szCs w:val="20"/>
        </w:rPr>
        <w:t xml:space="preserve"> Índice Financeiro.</w:t>
      </w:r>
    </w:p>
    <w:p w:rsidR="007F4993" w:rsidRPr="006E595D" w14:paraId="1BDA6425" w14:textId="0B773AD1">
      <w:pPr>
        <w:pStyle w:val="Level3"/>
        <w:widowControl w:val="0"/>
        <w:spacing w:before="140" w:after="0"/>
        <w:rPr>
          <w:rFonts w:cs="Arial"/>
          <w:szCs w:val="20"/>
        </w:rPr>
      </w:pPr>
      <w:bookmarkStart w:id="169"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E92C30">
        <w:rPr>
          <w:rFonts w:cs="Arial"/>
          <w:szCs w:val="20"/>
        </w:rPr>
        <w:t>8.2.1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w:t>
      </w:r>
      <w:r w:rsidRPr="00C947D1" w:rsidR="000338B5">
        <w:rPr>
          <w:rFonts w:cs="Arial"/>
          <w:szCs w:val="20"/>
        </w:rPr>
        <w:t>a não declaração do vencimento antecipado das Debêntures,</w:t>
      </w:r>
      <w:r w:rsidRPr="00C947D1">
        <w:rPr>
          <w:rFonts w:cs="Arial"/>
          <w:szCs w:val="20"/>
        </w:rPr>
        <w:t xml:space="preserve"> o quórum de Debenturistas que representem, no mínimo, </w:t>
      </w:r>
      <w:r w:rsidRPr="00AF3C5C" w:rsidR="00AF3C5C">
        <w:rPr>
          <w:rFonts w:cs="Arial"/>
          <w:b/>
          <w:bCs/>
          <w:szCs w:val="20"/>
        </w:rPr>
        <w:t>(a)</w:t>
      </w:r>
      <w:r w:rsidRPr="00AF3C5C" w:rsidR="00AF3C5C">
        <w:rPr>
          <w:rFonts w:cs="Arial"/>
          <w:szCs w:val="20"/>
        </w:rPr>
        <w:t xml:space="preserve"> em primeira convocação, no mínimo, 50% (cinquenta por cento) mais 1 (uma) das Debêntures em Circulação </w:t>
      </w:r>
      <w:r w:rsidR="005F318D">
        <w:rPr>
          <w:rFonts w:cs="Arial"/>
          <w:szCs w:val="20"/>
        </w:rPr>
        <w:t>da respectiva série</w:t>
      </w:r>
      <w:r w:rsidRPr="00AF3C5C" w:rsidR="00AF3C5C">
        <w:rPr>
          <w:rFonts w:cs="Arial"/>
          <w:szCs w:val="20"/>
        </w:rPr>
        <w:t xml:space="preserve">; ou </w:t>
      </w:r>
      <w:r w:rsidRPr="00AF3C5C" w:rsidR="00AF3C5C">
        <w:rPr>
          <w:rFonts w:cs="Arial"/>
          <w:b/>
          <w:bCs/>
          <w:szCs w:val="20"/>
        </w:rPr>
        <w:t>(b)</w:t>
      </w:r>
      <w:r w:rsidRPr="00AF3C5C" w:rsidR="00AF3C5C">
        <w:rPr>
          <w:rFonts w:cs="Arial"/>
          <w:szCs w:val="20"/>
        </w:rPr>
        <w:t xml:space="preserve"> em segunda convocação, </w:t>
      </w:r>
      <w:r w:rsidRPr="00AF3C5C" w:rsidR="00AF3C5C">
        <w:rPr>
          <w:rFonts w:cs="Arial"/>
          <w:b/>
          <w:bCs/>
          <w:szCs w:val="20"/>
        </w:rPr>
        <w:t>(1)</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igual ou superior a 30% (trinta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ou </w:t>
      </w:r>
      <w:r w:rsidRPr="00AF3C5C" w:rsidR="00AF3C5C">
        <w:rPr>
          <w:rFonts w:cs="Arial"/>
          <w:b/>
          <w:bCs/>
          <w:szCs w:val="20"/>
        </w:rPr>
        <w:t>(2)</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desde que os mesmos representem, no mínimo, 15% (quinze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Pr="00C947D1" w:rsidR="006D4A66">
        <w:rPr>
          <w:rFonts w:cs="Arial"/>
          <w:szCs w:val="20"/>
        </w:rPr>
        <w:t xml:space="preserve">aprovada </w:t>
      </w:r>
      <w:r w:rsidRPr="00C947D1">
        <w:rPr>
          <w:rFonts w:cs="Arial"/>
          <w:szCs w:val="20"/>
        </w:rPr>
        <w:t>a não declaração do vencimento antecipado pelos Debenturistas</w:t>
      </w:r>
      <w:r w:rsidRPr="00C947D1" w:rsidR="00DC52D1">
        <w:rPr>
          <w:rFonts w:cs="Arial"/>
          <w:szCs w:val="20"/>
        </w:rPr>
        <w:t xml:space="preserve"> da respectiva</w:t>
      </w:r>
      <w:r w:rsidRPr="006E595D" w:rsidR="00DC52D1">
        <w:rPr>
          <w:rFonts w:cs="Arial"/>
          <w:szCs w:val="20"/>
        </w:rPr>
        <w:t xml:space="preserve">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169"/>
      <w:r w:rsidR="00260C03">
        <w:rPr>
          <w:rFonts w:cs="Arial"/>
          <w:szCs w:val="20"/>
        </w:rPr>
        <w:t>.</w:t>
      </w:r>
    </w:p>
    <w:p w:rsidR="007F4993" w:rsidRPr="007552BF" w14:paraId="24409039" w14:textId="77777777">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14:paraId="5BE997B3" w14:textId="5FF243C4">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E92C30">
        <w:rPr>
          <w:rFonts w:eastAsia="Arial Unicode MS" w:cs="Arial"/>
          <w:w w:val="0"/>
          <w:szCs w:val="20"/>
        </w:rPr>
        <w:t>8.2.6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1407E" w:rsidR="007B7CE1">
        <w:rPr>
          <w:rFonts w:eastAsia="Arial Unicode MS"/>
          <w:b/>
          <w:w w:val="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14:paraId="2B6D8253" w14:textId="77777777">
      <w:pPr>
        <w:pStyle w:val="Level3"/>
        <w:widowControl w:val="0"/>
        <w:spacing w:before="140" w:after="0"/>
        <w:rPr>
          <w:rFonts w:eastAsia="Arial Unicode MS" w:cs="Arial"/>
          <w:w w:val="0"/>
          <w:szCs w:val="20"/>
        </w:rPr>
      </w:pPr>
      <w:bookmarkStart w:id="170"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170"/>
    </w:p>
    <w:p w:rsidR="009800C3" w:rsidRPr="007552BF" w14:paraId="232D6AE4" w14:textId="2C97A1C2">
      <w:pPr>
        <w:pStyle w:val="Level3"/>
        <w:widowControl w:val="0"/>
        <w:spacing w:before="140" w:after="0"/>
        <w:rPr>
          <w:rFonts w:eastAsia="Arial Unicode MS" w:cs="Arial"/>
          <w:w w:val="0"/>
          <w:szCs w:val="20"/>
        </w:rPr>
      </w:pPr>
      <w:r>
        <w:rPr>
          <w:rFonts w:eastAsia="Arial Unicode MS" w:cs="Arial"/>
          <w:w w:val="0"/>
          <w:szCs w:val="20"/>
        </w:rPr>
        <w:t>Para que</w:t>
      </w:r>
      <w:r>
        <w:rPr>
          <w:rFonts w:eastAsia="Arial Unicode MS" w:cs="Arial"/>
          <w:w w:val="0"/>
          <w:szCs w:val="20"/>
        </w:rPr>
        <w:t xml:space="preserve"> </w:t>
      </w:r>
      <w:r w:rsidRPr="007552BF" w:rsidR="00F33193">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fldChar w:fldCharType="separate"/>
      </w:r>
      <w:r w:rsidR="00E92C30">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Pr="007552BF" w:rsidR="00F33193">
        <w:rPr>
          <w:rFonts w:eastAsia="Arial Unicode MS" w:cs="Arial"/>
          <w:w w:val="0"/>
          <w:szCs w:val="20"/>
        </w:rPr>
        <w:t xml:space="preserve">acima </w:t>
      </w:r>
      <w:r w:rsidRPr="007552BF" w:rsidR="00576E30">
        <w:rPr>
          <w:rFonts w:eastAsia="Arial Unicode MS" w:cs="Arial"/>
          <w:w w:val="0"/>
          <w:szCs w:val="20"/>
        </w:rPr>
        <w:t xml:space="preserve">possa ser </w:t>
      </w:r>
      <w:r w:rsidRPr="007552BF" w:rsidR="00F33193">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14:paraId="206A8446" w14:textId="77777777">
      <w:pPr>
        <w:pStyle w:val="Level1"/>
        <w:keepNext w:val="0"/>
        <w:widowControl w:val="0"/>
        <w:spacing w:before="140" w:after="0"/>
        <w:rPr>
          <w:rFonts w:cs="Arial"/>
          <w:sz w:val="20"/>
          <w:szCs w:val="20"/>
        </w:rPr>
      </w:pPr>
      <w:bookmarkStart w:id="171" w:name="_DV_M267"/>
      <w:bookmarkStart w:id="172" w:name="_Toc312057166"/>
      <w:bookmarkEnd w:id="171"/>
      <w:r w:rsidRPr="00F95AE7">
        <w:rPr>
          <w:rFonts w:cs="Arial"/>
          <w:sz w:val="20"/>
          <w:szCs w:val="20"/>
        </w:rPr>
        <w:t xml:space="preserve">OBRIGAÇÕES ADICIONAIS DA </w:t>
      </w:r>
      <w:bookmarkStart w:id="173" w:name="_DV_M268"/>
      <w:bookmarkEnd w:id="173"/>
      <w:r w:rsidRPr="00F95AE7">
        <w:rPr>
          <w:rFonts w:cs="Arial"/>
          <w:sz w:val="20"/>
          <w:szCs w:val="20"/>
        </w:rPr>
        <w:t>EMISSORA</w:t>
      </w:r>
      <w:bookmarkEnd w:id="172"/>
      <w:r w:rsidRPr="00F95AE7">
        <w:rPr>
          <w:rFonts w:cs="Arial"/>
          <w:sz w:val="20"/>
          <w:szCs w:val="20"/>
        </w:rPr>
        <w:t xml:space="preserve"> E DA FIADORA</w:t>
      </w:r>
    </w:p>
    <w:p w:rsidR="00A45162" w:rsidRPr="007552BF" w14:paraId="316123EF" w14:textId="77777777">
      <w:pPr>
        <w:pStyle w:val="Level2"/>
        <w:widowControl w:val="0"/>
        <w:spacing w:before="140" w:after="0"/>
        <w:rPr>
          <w:rFonts w:cs="Arial"/>
          <w:szCs w:val="20"/>
        </w:rPr>
      </w:pPr>
      <w:bookmarkStart w:id="174" w:name="_DV_M269"/>
      <w:bookmarkStart w:id="175" w:name="_DV_M270"/>
      <w:bookmarkStart w:id="176" w:name="_DV_M271"/>
      <w:bookmarkEnd w:id="174"/>
      <w:bookmarkEnd w:id="175"/>
      <w:bookmarkEnd w:id="176"/>
      <w:r w:rsidRPr="007552BF">
        <w:rPr>
          <w:rFonts w:cs="Arial"/>
          <w:szCs w:val="20"/>
        </w:rPr>
        <w:t xml:space="preserve">Sem prejuízo das demais obrigações previstas nesta Escritura, a Emissora assume as obrigações a seguir mencionadas: </w:t>
      </w:r>
    </w:p>
    <w:p w:rsidR="00567759" w:rsidRPr="007552BF" w14:paraId="76AC4BA2" w14:textId="77777777">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14:paraId="4ADE6E73" w14:textId="77777777">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1407E" w:rsidR="00B96A23">
        <w:rPr>
          <w:b/>
        </w:rPr>
        <w:t>(</w:t>
      </w:r>
      <w:r w:rsidRPr="0061407E" w:rsidR="00567759">
        <w:rPr>
          <w:b/>
        </w:rPr>
        <w:t>a</w:t>
      </w:r>
      <w:r w:rsidRPr="0061407E" w:rsidR="00B96A23">
        <w:rPr>
          <w:b/>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1407E" w:rsidR="00B96A23">
        <w:rPr>
          <w:b/>
        </w:rPr>
        <w:t>(</w:t>
      </w:r>
      <w:r w:rsidRPr="0061407E" w:rsidR="00567759">
        <w:rPr>
          <w:b/>
        </w:rPr>
        <w:t>b</w:t>
      </w:r>
      <w:r w:rsidRPr="0061407E" w:rsidR="00B96A23">
        <w:rPr>
          <w:b/>
        </w:rPr>
        <w:t>)</w:t>
      </w:r>
      <w:r w:rsidRPr="007552BF" w:rsidR="00B96A23">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Pr="0061407E" w:rsidR="00567759">
        <w:rPr>
          <w:b/>
        </w:rPr>
        <w:t>i</w:t>
      </w:r>
      <w:r w:rsidRPr="0061407E">
        <w:rPr>
          <w:b/>
        </w:rPr>
        <w:t>)</w:t>
      </w:r>
      <w:r w:rsidRPr="007552BF">
        <w:rPr>
          <w:rFonts w:cs="Arial"/>
          <w:szCs w:val="20"/>
        </w:rPr>
        <w:t xml:space="preserve"> que permanecem válidas as disposições contidas na Emissão; e </w:t>
      </w:r>
      <w:r w:rsidRPr="0061407E">
        <w:rPr>
          <w:b/>
        </w:rPr>
        <w:t>(</w:t>
      </w:r>
      <w:r w:rsidRPr="0061407E" w:rsidR="00567759">
        <w:rPr>
          <w:b/>
        </w:rPr>
        <w:t>ii</w:t>
      </w:r>
      <w:r w:rsidRPr="0061407E">
        <w:rPr>
          <w:b/>
        </w:rPr>
        <w:t>)</w:t>
      </w:r>
      <w:r w:rsidRPr="007552BF">
        <w:rPr>
          <w:rFonts w:cs="Arial"/>
          <w:szCs w:val="20"/>
        </w:rPr>
        <w:t xml:space="preserve"> </w:t>
      </w:r>
      <w:r w:rsidRPr="007552BF" w:rsidR="0084792D">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rsidR="00173F6B" w:rsidRPr="007552BF" w14:paraId="5240217F" w14:textId="77777777">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14:paraId="0151D850" w14:textId="77777777">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14:paraId="3BE41A01" w14:textId="77777777">
      <w:pPr>
        <w:pStyle w:val="Level4"/>
        <w:widowControl w:val="0"/>
        <w:spacing w:before="140" w:after="0"/>
        <w:rPr>
          <w:rFonts w:cs="Arial"/>
          <w:w w:val="0"/>
          <w:szCs w:val="20"/>
        </w:rPr>
      </w:pPr>
      <w:bookmarkStart w:id="177"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1407E">
        <w:rPr>
          <w:b/>
          <w:w w:val="0"/>
        </w:rPr>
        <w:t>(i</w:t>
      </w:r>
      <w:r w:rsidRPr="0061407E" w:rsidR="000E4A66">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w:t>
      </w:r>
      <w:r w:rsidRPr="0061407E">
        <w:rPr>
          <w:b/>
          <w:w w:val="0"/>
        </w:rPr>
        <w:t>ii</w:t>
      </w:r>
      <w:r w:rsidRPr="0061407E">
        <w:rPr>
          <w:b/>
          <w:w w:val="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w:t>
      </w:r>
      <w:r w:rsidRPr="0061407E">
        <w:rPr>
          <w:b/>
          <w:w w:val="0"/>
        </w:rPr>
        <w:t>iii</w:t>
      </w:r>
      <w:r w:rsidRPr="0061407E">
        <w:rPr>
          <w:b/>
          <w:w w:val="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177"/>
    </w:p>
    <w:p w:rsidR="00533DFE" w:rsidRPr="007552BF" w14:paraId="38C660E5" w14:textId="77777777">
      <w:pPr>
        <w:pStyle w:val="Level4"/>
        <w:widowControl w:val="0"/>
        <w:spacing w:before="140" w:after="0"/>
        <w:rPr>
          <w:rFonts w:cs="Arial"/>
          <w:w w:val="0"/>
          <w:szCs w:val="20"/>
        </w:rPr>
      </w:pPr>
      <w:bookmarkStart w:id="178"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bem como disponibilizar em sua respectiva página na rede mundial de computadores</w:t>
      </w:r>
      <w:r w:rsidRPr="007552BF">
        <w:rPr>
          <w:rFonts w:cs="Arial"/>
          <w:w w:val="0"/>
          <w:szCs w:val="20"/>
        </w:rPr>
        <w:t>;</w:t>
      </w:r>
      <w:bookmarkEnd w:id="178"/>
    </w:p>
    <w:p w:rsidR="00FF3163" w:rsidRPr="007552BF" w14:paraId="2D800FE7" w14:textId="77777777">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14:paraId="24EEDB2D" w14:textId="77777777">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14:paraId="7A5B010C" w14:textId="77777777">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14:paraId="10440FF0" w14:textId="77777777">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14:paraId="1E24374B" w14:textId="77777777">
      <w:pPr>
        <w:pStyle w:val="Level4"/>
        <w:widowControl w:val="0"/>
        <w:spacing w:before="140" w:after="0"/>
        <w:rPr>
          <w:rFonts w:cs="Arial"/>
          <w:w w:val="0"/>
          <w:szCs w:val="20"/>
        </w:rPr>
      </w:pPr>
      <w:bookmarkStart w:id="179"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Pr="007552BF" w:rsidR="00EE5EA6">
        <w:rPr>
          <w:rFonts w:cs="Arial"/>
          <w:w w:val="0"/>
          <w:szCs w:val="20"/>
        </w:rPr>
        <w:t xml:space="preserve">, exceto por aquelas cujo descumprimento </w:t>
      </w:r>
      <w:r w:rsidRPr="0061407E" w:rsidR="0057344E">
        <w:rPr>
          <w:b/>
          <w:w w:val="0"/>
        </w:rPr>
        <w:t>(a)</w:t>
      </w:r>
      <w:r w:rsidRPr="007552BF" w:rsidR="0057344E">
        <w:rPr>
          <w:rFonts w:cs="Arial"/>
          <w:w w:val="0"/>
          <w:szCs w:val="20"/>
        </w:rPr>
        <w:t xml:space="preserve"> esteja sendo discutido de boa-fé nas esferas judiciais e/ou administrativas; e/ou </w:t>
      </w:r>
      <w:r w:rsidRPr="0061407E" w:rsidR="0057344E">
        <w:rPr>
          <w:b/>
          <w:w w:val="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p w:rsidR="005D36C1" w:rsidRPr="007552BF" w14:paraId="6E69E833" w14:textId="77777777">
      <w:pPr>
        <w:pStyle w:val="Level4"/>
        <w:widowControl w:val="0"/>
        <w:spacing w:before="140" w:after="0"/>
        <w:rPr>
          <w:rFonts w:cs="Arial"/>
          <w:szCs w:val="20"/>
        </w:rPr>
      </w:pPr>
      <w:bookmarkEnd w:id="179"/>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14:paraId="6FFDCFF4" w14:textId="77777777">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e, quando relacionados a questões ambientais, em um impacto </w:t>
      </w:r>
      <w:r w:rsidRPr="007552BF" w:rsidR="00013335">
        <w:rPr>
          <w:rFonts w:cs="Arial"/>
          <w:szCs w:val="20"/>
        </w:rPr>
        <w:t>reputacional</w:t>
      </w:r>
      <w:r w:rsidRPr="007552BF" w:rsidR="00013335">
        <w:rPr>
          <w:rFonts w:cs="Arial"/>
          <w:szCs w:val="20"/>
        </w:rPr>
        <w:t xml:space="preserve"> relevante à Emissora</w:t>
      </w:r>
      <w:r w:rsidRPr="007552BF">
        <w:rPr>
          <w:rFonts w:cs="Arial"/>
          <w:szCs w:val="20"/>
        </w:rPr>
        <w:t>;</w:t>
      </w:r>
    </w:p>
    <w:p w:rsidR="005D36C1" w:rsidRPr="007552BF" w14:paraId="771FC557" w14:textId="77777777">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14:paraId="18E284A2" w14:textId="77777777">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14:paraId="4506EF3A" w14:textId="77777777">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Pr="007552BF" w:rsidR="0050494A">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 xml:space="preserve">do Banco Liquidante e </w:t>
      </w:r>
      <w:r w:rsidRPr="007552BF">
        <w:rPr>
          <w:rFonts w:cs="Arial"/>
          <w:szCs w:val="20"/>
        </w:rPr>
        <w:t>Escriturador</w:t>
      </w:r>
      <w:r w:rsidRPr="007552BF">
        <w:rPr>
          <w:rFonts w:cs="Arial"/>
          <w:szCs w:val="20"/>
        </w:rPr>
        <w:t>;</w:t>
      </w:r>
    </w:p>
    <w:p w:rsidR="006F002A" w:rsidRPr="007552BF" w14:paraId="36145CA3" w14:textId="77777777">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w:t>
      </w:r>
      <w:r w:rsidRPr="007552BF">
        <w:rPr>
          <w:rFonts w:cs="Arial"/>
          <w:szCs w:val="20"/>
        </w:rPr>
        <w:t>Escriturador</w:t>
      </w:r>
      <w:r w:rsidRPr="007552BF">
        <w:rPr>
          <w:rFonts w:cs="Arial"/>
          <w:szCs w:val="20"/>
        </w:rPr>
        <w:t xml:space="preserve">, a </w:t>
      </w:r>
      <w:r w:rsidRPr="007552BF" w:rsidR="0050494A">
        <w:rPr>
          <w:rFonts w:cs="Arial"/>
          <w:szCs w:val="20"/>
        </w:rPr>
        <w:t>B3</w:t>
      </w:r>
      <w:r w:rsidRPr="007552BF" w:rsidR="00282BC3">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Pr="007552BF" w:rsidR="00BD5312">
        <w:rPr>
          <w:rFonts w:cs="Arial"/>
          <w:szCs w:val="20"/>
        </w:rPr>
        <w:t>;</w:t>
      </w:r>
    </w:p>
    <w:p w:rsidR="008D3CE1" w:rsidRPr="007552BF" w14:paraId="4632A784" w14:textId="77777777">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14:paraId="205145AD" w14:textId="77777777">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14:paraId="68EAC5B4" w14:textId="77777777">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14:paraId="11AF6BA7" w14:textId="77777777">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14:paraId="11C1904E" w14:textId="77777777">
      <w:pPr>
        <w:pStyle w:val="Level4"/>
        <w:widowControl w:val="0"/>
        <w:spacing w:before="140" w:after="0"/>
        <w:rPr>
          <w:rFonts w:cs="Arial"/>
          <w:w w:val="0"/>
          <w:szCs w:val="20"/>
        </w:rPr>
      </w:pPr>
      <w:bookmarkStart w:id="180" w:name="_Ref65836870"/>
      <w:r w:rsidRPr="007552BF">
        <w:rPr>
          <w:rFonts w:cs="Arial"/>
          <w:w w:val="0"/>
          <w:szCs w:val="20"/>
        </w:rPr>
        <w:t>contratar e manter contratada durante o prazo de vigência das Debêntures, às suas expensas, ao menos 1 (uma) agência de classificação de risco (</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w:t>
      </w:r>
      <w:r w:rsidRPr="007552BF">
        <w:rPr>
          <w:rFonts w:cs="Arial"/>
          <w:w w:val="0"/>
          <w:szCs w:val="20"/>
        </w:rPr>
        <w:t>Poor's</w:t>
      </w:r>
      <w:r w:rsidRPr="007552BF">
        <w:rPr>
          <w:rFonts w:cs="Arial"/>
          <w:w w:val="0"/>
          <w:szCs w:val="20"/>
        </w:rPr>
        <w:t xml:space="preserve">,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Pr="007552BF" w:rsidR="006D2B06">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180"/>
    </w:p>
    <w:p w:rsidR="00EE5EA6" w:rsidRPr="007552BF" w14:paraId="49C9C160" w14:textId="444955A1">
      <w:pPr>
        <w:pStyle w:val="Level4"/>
        <w:widowControl w:val="0"/>
        <w:spacing w:before="140" w:after="0"/>
        <w:rPr>
          <w:rFonts w:cs="Arial"/>
          <w:w w:val="0"/>
          <w:szCs w:val="20"/>
        </w:rPr>
      </w:pPr>
      <w:bookmarkStart w:id="181" w:name="_Hlk66978879"/>
      <w:r w:rsidRPr="00E92C30">
        <w:t xml:space="preserve">observar e cumprir, </w:t>
      </w:r>
      <w:r w:rsidR="00360BA0">
        <w:rPr>
          <w:rFonts w:cs="Arial"/>
          <w:w w:val="0"/>
          <w:szCs w:val="20"/>
        </w:rPr>
        <w:t xml:space="preserve">bem como envidar seus melhores esforços para que </w:t>
      </w:r>
      <w:r w:rsidRPr="00DC21C0" w:rsidR="00AF0F2E">
        <w:rPr>
          <w:rFonts w:cs="Arial"/>
          <w:w w:val="0"/>
          <w:szCs w:val="20"/>
        </w:rPr>
        <w:t xml:space="preserve">suas controladas, diretores, administradores, </w:t>
      </w:r>
      <w:r w:rsidRPr="00DC21C0" w:rsidR="00D802A4">
        <w:rPr>
          <w:rFonts w:cs="Arial"/>
          <w:w w:val="0"/>
          <w:szCs w:val="20"/>
        </w:rPr>
        <w:t>empregados</w:t>
      </w:r>
      <w:r w:rsidR="00360BA0">
        <w:rPr>
          <w:rFonts w:cs="Arial"/>
          <w:w w:val="0"/>
          <w:szCs w:val="20"/>
        </w:rPr>
        <w:t xml:space="preserve"> e membros do conselho, que atuem a mando e</w:t>
      </w:r>
      <w:r w:rsidRPr="005F14B7" w:rsidR="005F14B7">
        <w:rPr>
          <w:rFonts w:cs="Arial"/>
          <w:szCs w:val="20"/>
          <w:lang w:eastAsia="pt-BR"/>
        </w:rPr>
        <w:t xml:space="preserve"> </w:t>
      </w:r>
      <w:r w:rsidRPr="005F14B7" w:rsidR="005F14B7">
        <w:rPr>
          <w:rFonts w:cs="Arial"/>
          <w:w w:val="0"/>
          <w:szCs w:val="20"/>
        </w:rPr>
        <w:t>em</w:t>
      </w:r>
      <w:r w:rsidR="00360BA0">
        <w:rPr>
          <w:rFonts w:cs="Arial"/>
          <w:w w:val="0"/>
          <w:szCs w:val="20"/>
        </w:rPr>
        <w:t xml:space="preserve"> favor</w:t>
      </w:r>
      <w:r w:rsidRPr="007B584F" w:rsidR="00E9303C">
        <w:rPr>
          <w:w w:val="0"/>
        </w:rPr>
        <w:t xml:space="preserve"> </w:t>
      </w:r>
      <w:r w:rsidRPr="00E92C30" w:rsidR="00E9303C">
        <w:t>da Emissora,</w:t>
      </w:r>
      <w:r w:rsidRPr="007552BF" w:rsidR="00F33193">
        <w:rPr>
          <w:rFonts w:cs="Arial"/>
          <w:w w:val="0"/>
          <w:szCs w:val="20"/>
        </w:rPr>
        <w:t xml:space="preserve"> sob qualquer forma, cumpram, durante o prazo de vigência das Debêntures, </w:t>
      </w:r>
      <w:r w:rsidRPr="0061407E" w:rsidR="00F33193">
        <w:rPr>
          <w:b/>
          <w:w w:val="0"/>
        </w:rPr>
        <w:t>(a)</w:t>
      </w:r>
      <w:r w:rsidRPr="007552BF" w:rsidR="00F33193">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sidR="00F33193">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8609B">
        <w:rPr>
          <w:rFonts w:cs="Arial"/>
          <w:w w:val="0"/>
          <w:szCs w:val="20"/>
        </w:rPr>
        <w:t xml:space="preserve">, exceto por aqueles descumprimentos que não possam razoavelmente resultar em um Efeito Adverso Relevante e, quando relacionados a questões ambientais, em um impacto </w:t>
      </w:r>
      <w:r w:rsidRPr="00C947D1" w:rsidR="0008609B">
        <w:rPr>
          <w:rFonts w:cs="Arial"/>
          <w:w w:val="0"/>
          <w:szCs w:val="20"/>
        </w:rPr>
        <w:t>reputacional</w:t>
      </w:r>
      <w:r w:rsidRPr="00C947D1" w:rsidR="0008609B">
        <w:rPr>
          <w:rFonts w:cs="Arial"/>
          <w:w w:val="0"/>
          <w:szCs w:val="20"/>
        </w:rPr>
        <w:t xml:space="preserve"> </w:t>
      </w:r>
      <w:r w:rsidRPr="00C947D1" w:rsidR="003006AC">
        <w:rPr>
          <w:rFonts w:cs="Arial"/>
          <w:w w:val="0"/>
          <w:szCs w:val="20"/>
        </w:rPr>
        <w:t>relevante</w:t>
      </w:r>
      <w:r w:rsidRPr="00C947D1" w:rsidR="00C947D1">
        <w:rPr>
          <w:rFonts w:cs="Arial"/>
          <w:w w:val="0"/>
          <w:szCs w:val="20"/>
        </w:rPr>
        <w:t xml:space="preserve"> </w:t>
      </w:r>
      <w:r w:rsidRPr="00C947D1" w:rsidR="0008609B">
        <w:rPr>
          <w:rFonts w:cs="Arial"/>
          <w:w w:val="0"/>
          <w:szCs w:val="20"/>
        </w:rPr>
        <w:t>à Emissora</w:t>
      </w:r>
      <w:r w:rsidRPr="007552BF" w:rsidR="00F33193">
        <w:rPr>
          <w:rFonts w:cs="Arial"/>
          <w:w w:val="0"/>
          <w:szCs w:val="20"/>
        </w:rPr>
        <w:t xml:space="preserve">; e </w:t>
      </w:r>
      <w:r w:rsidRPr="0061407E" w:rsidR="00F33193">
        <w:rPr>
          <w:b/>
          <w:w w:val="0"/>
        </w:rPr>
        <w:t>(b)</w:t>
      </w:r>
      <w:r w:rsidRPr="007552BF" w:rsidR="00F33193">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552BF" w:rsidR="004008D1">
        <w:rPr>
          <w:rFonts w:cs="Arial"/>
          <w:w w:val="0"/>
          <w:szCs w:val="20"/>
        </w:rPr>
        <w:t>“</w:t>
      </w:r>
      <w:r w:rsidRPr="007552BF" w:rsidR="00F33193">
        <w:rPr>
          <w:rFonts w:cs="Arial"/>
          <w:b/>
          <w:w w:val="0"/>
          <w:szCs w:val="20"/>
        </w:rPr>
        <w:t>Legislação Socioambiental</w:t>
      </w:r>
      <w:r w:rsidRPr="007552BF" w:rsidR="004008D1">
        <w:rPr>
          <w:rFonts w:cs="Arial"/>
          <w:b/>
          <w:w w:val="0"/>
          <w:szCs w:val="20"/>
        </w:rPr>
        <w:t>”</w:t>
      </w:r>
      <w:r w:rsidRPr="007552BF" w:rsidR="00F33193">
        <w:rPr>
          <w:rFonts w:cs="Arial"/>
          <w:bCs/>
          <w:w w:val="0"/>
          <w:szCs w:val="20"/>
        </w:rPr>
        <w:t>)</w:t>
      </w:r>
      <w:r w:rsidRPr="007552BF" w:rsidR="00F62090">
        <w:rPr>
          <w:rFonts w:cs="Arial"/>
          <w:w w:val="0"/>
          <w:szCs w:val="20"/>
        </w:rPr>
        <w:t>;</w:t>
      </w:r>
      <w:r w:rsidR="00360BA0">
        <w:rPr>
          <w:rFonts w:cs="Arial"/>
          <w:w w:val="0"/>
          <w:szCs w:val="20"/>
        </w:rPr>
        <w:t xml:space="preserve"> e</w:t>
      </w:r>
    </w:p>
    <w:p w:rsidR="00F62090" w:rsidRPr="007552BF" w14:paraId="5C0C4CD3" w14:textId="5A17ADF0">
      <w:pPr>
        <w:pStyle w:val="Level4"/>
        <w:widowControl w:val="0"/>
        <w:spacing w:before="140" w:after="0"/>
        <w:rPr>
          <w:rFonts w:cs="Arial"/>
          <w:w w:val="0"/>
          <w:szCs w:val="20"/>
        </w:rPr>
      </w:pPr>
      <w:bookmarkEnd w:id="181"/>
      <w:r w:rsidRPr="00754BAA">
        <w:rPr>
          <w:rFonts w:cs="Arial"/>
          <w:szCs w:val="20"/>
        </w:rPr>
        <w:t>observar</w:t>
      </w:r>
      <w:r w:rsidR="00360BA0">
        <w:rPr>
          <w:rFonts w:cs="Arial"/>
          <w:szCs w:val="20"/>
        </w:rPr>
        <w:t>,</w:t>
      </w:r>
      <w:r w:rsidRPr="00754BAA">
        <w:rPr>
          <w:rFonts w:cs="Arial"/>
          <w:szCs w:val="20"/>
        </w:rPr>
        <w:t xml:space="preserve"> cumprir,</w:t>
      </w:r>
      <w:r>
        <w:rPr>
          <w:rFonts w:cs="Arial"/>
          <w:szCs w:val="20"/>
        </w:rPr>
        <w:t xml:space="preserve"> </w:t>
      </w:r>
      <w:r w:rsidR="00360BA0">
        <w:rPr>
          <w:rFonts w:cs="Arial"/>
          <w:w w:val="0"/>
          <w:szCs w:val="20"/>
        </w:rPr>
        <w:t>bem como envidar seus melhores esforços para que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sidR="00E9303C">
        <w:rPr>
          <w:rFonts w:cs="Arial"/>
          <w:szCs w:val="20"/>
        </w:rPr>
        <w:t>, no exercício de suas funções e agindo em nome da Emissora</w:t>
      </w:r>
      <w:r w:rsidRPr="00E92C30" w:rsidR="00E9303C">
        <w:t>,</w:t>
      </w:r>
      <w:r w:rsidRPr="007552BF" w:rsidR="00E9303C">
        <w:rPr>
          <w:rFonts w:cs="Arial"/>
          <w:w w:val="0"/>
          <w:szCs w:val="20"/>
        </w:rPr>
        <w:t xml:space="preserve"> </w:t>
      </w:r>
      <w:r w:rsidRPr="007552BF" w:rsidR="00AF0F2E">
        <w:rPr>
          <w:rFonts w:cs="Arial"/>
          <w:w w:val="0"/>
          <w:szCs w:val="20"/>
        </w:rPr>
        <w:t>observem e cumpram as leis, normas ou regulamentos, nacionais ou estrangeiros, contra prática</w:t>
      </w:r>
      <w:r w:rsidRPr="007552BF" w:rsidR="0036470C">
        <w:rPr>
          <w:rFonts w:cs="Arial"/>
          <w:w w:val="0"/>
          <w:szCs w:val="20"/>
        </w:rPr>
        <w:t xml:space="preserve"> </w:t>
      </w:r>
      <w:r w:rsidRPr="007552BF" w:rsidR="00867DA1">
        <w:rPr>
          <w:rFonts w:cs="Arial"/>
          <w:w w:val="0"/>
          <w:szCs w:val="20"/>
        </w:rPr>
        <w:t xml:space="preserve">de </w:t>
      </w:r>
      <w:r w:rsidRPr="007552BF" w:rsidR="0036470C">
        <w:rPr>
          <w:rFonts w:cs="Arial"/>
          <w:w w:val="0"/>
          <w:szCs w:val="20"/>
        </w:rPr>
        <w:t>financiamento ao terrorismo, lavagem de dinheiro,</w:t>
      </w:r>
      <w:r w:rsidRPr="007552BF" w:rsidR="00B733F3">
        <w:rPr>
          <w:rFonts w:cs="Arial"/>
          <w:w w:val="0"/>
          <w:szCs w:val="20"/>
        </w:rPr>
        <w:t xml:space="preserve"> </w:t>
      </w:r>
      <w:r w:rsidRPr="007552BF" w:rsidR="00AF0F2E">
        <w:rPr>
          <w:rFonts w:cs="Arial"/>
          <w:w w:val="0"/>
          <w:szCs w:val="20"/>
        </w:rPr>
        <w:t>de corrupção ou atos lesivos à administração pública, incluindo</w:t>
      </w:r>
      <w:r w:rsidRPr="007552BF" w:rsidR="0093100E">
        <w:rPr>
          <w:rFonts w:cs="Arial"/>
          <w:w w:val="0"/>
          <w:szCs w:val="20"/>
        </w:rPr>
        <w:t>, a</w:t>
      </w:r>
      <w:r w:rsidRPr="007552BF" w:rsidR="00FE5940">
        <w:rPr>
          <w:rFonts w:cs="Arial"/>
          <w:w w:val="0"/>
          <w:szCs w:val="20"/>
        </w:rPr>
        <w:t>s Leis Anticorrupção</w:t>
      </w:r>
      <w:r w:rsidRPr="007552BF" w:rsidR="0093100E">
        <w:rPr>
          <w:rFonts w:cs="Arial"/>
          <w:w w:val="0"/>
          <w:szCs w:val="20"/>
        </w:rPr>
        <w:t xml:space="preserve">, </w:t>
      </w:r>
      <w:r w:rsidRPr="007552BF" w:rsidR="00AF0F2E">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sidR="00AF0F2E">
        <w:rPr>
          <w:b/>
          <w:w w:val="0"/>
        </w:rPr>
        <w:t>(</w:t>
      </w:r>
      <w:r w:rsidRPr="006278BC" w:rsidR="00A87B00">
        <w:rPr>
          <w:rFonts w:cs="Arial"/>
          <w:b/>
          <w:w w:val="0"/>
          <w:szCs w:val="20"/>
        </w:rPr>
        <w:t>a</w:t>
      </w:r>
      <w:r w:rsidRPr="0061407E" w:rsidR="00AF0F2E">
        <w:rPr>
          <w:b/>
          <w:w w:val="0"/>
        </w:rPr>
        <w:t>)</w:t>
      </w:r>
      <w:r w:rsidRPr="007552BF" w:rsidR="00AF0F2E">
        <w:rPr>
          <w:rFonts w:cs="Arial"/>
          <w:w w:val="0"/>
          <w:szCs w:val="20"/>
        </w:rPr>
        <w:t xml:space="preserve"> manter políticas e procedimentos internos que assegurem o integral cumpri</w:t>
      </w:r>
      <w:r w:rsidRPr="0050056C" w:rsidR="00AF0F2E">
        <w:rPr>
          <w:rFonts w:cs="Arial"/>
          <w:w w:val="0"/>
          <w:szCs w:val="20"/>
        </w:rPr>
        <w:t>mento das Leis Anticorrupção</w:t>
      </w:r>
      <w:r w:rsidRPr="0050056C" w:rsidR="0036470C">
        <w:rPr>
          <w:rFonts w:cs="Arial"/>
          <w:w w:val="0"/>
          <w:szCs w:val="20"/>
        </w:rPr>
        <w:t xml:space="preserve"> em todas as jurisdições que a Emissora</w:t>
      </w:r>
      <w:r w:rsidRPr="0050056C" w:rsidR="00867DA1">
        <w:rPr>
          <w:rFonts w:cs="Arial"/>
          <w:w w:val="0"/>
          <w:szCs w:val="20"/>
        </w:rPr>
        <w:t xml:space="preserve"> </w:t>
      </w:r>
      <w:r w:rsidRPr="0050056C" w:rsidR="0036470C">
        <w:rPr>
          <w:rFonts w:cs="Arial"/>
          <w:w w:val="0"/>
          <w:szCs w:val="20"/>
        </w:rPr>
        <w:t>atua</w:t>
      </w:r>
      <w:r w:rsidRPr="0050056C" w:rsidR="00AF0F2E">
        <w:rPr>
          <w:rFonts w:cs="Arial"/>
          <w:w w:val="0"/>
          <w:szCs w:val="20"/>
        </w:rPr>
        <w:t>;</w:t>
      </w:r>
      <w:r w:rsidRPr="007552BF" w:rsidR="00AF0F2E">
        <w:rPr>
          <w:rFonts w:cs="Arial"/>
          <w:w w:val="0"/>
          <w:szCs w:val="20"/>
        </w:rPr>
        <w:t xml:space="preserve"> </w:t>
      </w:r>
      <w:r w:rsidRPr="006278BC" w:rsidR="00AF0F2E">
        <w:rPr>
          <w:rFonts w:cs="Arial"/>
          <w:b/>
          <w:w w:val="0"/>
          <w:szCs w:val="20"/>
        </w:rPr>
        <w:t>(</w:t>
      </w:r>
      <w:r w:rsidRPr="006278BC" w:rsidR="00A87B00">
        <w:rPr>
          <w:rFonts w:cs="Arial"/>
          <w:b/>
          <w:w w:val="0"/>
          <w:szCs w:val="20"/>
        </w:rPr>
        <w:t>b</w:t>
      </w:r>
      <w:r w:rsidRPr="0061407E" w:rsidR="00AF0F2E">
        <w:rPr>
          <w:b/>
          <w:w w:val="0"/>
        </w:rPr>
        <w:t>)</w:t>
      </w:r>
      <w:r w:rsidRPr="007552BF" w:rsidR="00AF0F2E">
        <w:rPr>
          <w:rFonts w:cs="Arial"/>
          <w:w w:val="0"/>
          <w:szCs w:val="20"/>
        </w:rPr>
        <w:t xml:space="preserve"> dar pleno conhecimento das Leis Anticorrupção a todos os profissionais com os quais venha a se relacionar previamente ao início de sua atuação no âmbito deste documento; </w:t>
      </w:r>
      <w:r w:rsidRPr="0061407E" w:rsidR="00AF0F2E">
        <w:rPr>
          <w:b/>
          <w:w w:val="0"/>
        </w:rPr>
        <w:t>(</w:t>
      </w:r>
      <w:r w:rsidRPr="006278BC" w:rsidR="00A87B00">
        <w:rPr>
          <w:rFonts w:cs="Arial"/>
          <w:b/>
          <w:w w:val="0"/>
          <w:szCs w:val="20"/>
        </w:rPr>
        <w:t>c</w:t>
      </w:r>
      <w:r w:rsidRPr="0061407E" w:rsidR="00AF0F2E">
        <w:rPr>
          <w:b/>
          <w:w w:val="0"/>
        </w:rPr>
        <w:t>)</w:t>
      </w:r>
      <w:r w:rsidRPr="007552BF" w:rsidR="00AF0F2E">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AF0F2E">
        <w:rPr>
          <w:b/>
          <w:w w:val="0"/>
        </w:rPr>
        <w:t>(</w:t>
      </w:r>
      <w:r w:rsidRPr="006278BC" w:rsidR="00A87B00">
        <w:rPr>
          <w:rFonts w:cs="Arial"/>
          <w:b/>
          <w:w w:val="0"/>
          <w:szCs w:val="20"/>
        </w:rPr>
        <w:t>d</w:t>
      </w:r>
      <w:r w:rsidRPr="0061407E" w:rsidR="00AF0F2E">
        <w:rPr>
          <w:b/>
          <w:w w:val="0"/>
        </w:rPr>
        <w:t>)</w:t>
      </w:r>
      <w:r w:rsidRPr="007552BF" w:rsidR="00AF0F2E">
        <w:rPr>
          <w:rFonts w:cs="Arial"/>
          <w:w w:val="0"/>
          <w:szCs w:val="20"/>
        </w:rPr>
        <w:t xml:space="preserve"> caso tenha conhecimento de qualquer ato ou fato relacionado a aludidas normas, comunicar em até 2 (dois) Dias Úteis contados do conhecimento de tal ato ou fato, ao Agente Fiduciário</w:t>
      </w:r>
      <w:r w:rsidR="00360BA0">
        <w:rPr>
          <w:rFonts w:cs="Arial"/>
          <w:w w:val="0"/>
          <w:szCs w:val="20"/>
        </w:rPr>
        <w:t>.</w:t>
      </w:r>
    </w:p>
    <w:p w:rsidR="00DC52D1" w:rsidRPr="006E595D" w:rsidP="006E595D" w14:paraId="5EEC2965" w14:textId="77777777">
      <w:pPr>
        <w:pStyle w:val="Level3"/>
        <w:widowControl w:val="0"/>
        <w:spacing w:before="140" w:after="0"/>
        <w:rPr>
          <w:rFonts w:cs="Arial"/>
          <w:szCs w:val="20"/>
        </w:rPr>
      </w:pPr>
      <w:bookmarkStart w:id="182"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bookmarkEnd w:id="182"/>
      <w:r w:rsidRPr="006E595D">
        <w:rPr>
          <w:rFonts w:cs="Arial"/>
          <w:szCs w:val="20"/>
        </w:rPr>
        <w:t xml:space="preserve"> </w:t>
      </w:r>
    </w:p>
    <w:p w:rsidR="00DC52D1" w:rsidRPr="006E595D" w:rsidP="006E595D" w14:paraId="24FCF35E" w14:textId="77777777">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14:paraId="1711114D" w14:textId="77777777">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14:paraId="04D17AA3" w14:textId="77777777">
      <w:pPr>
        <w:pStyle w:val="Level4"/>
        <w:spacing w:before="140" w:after="0"/>
        <w:rPr>
          <w:rFonts w:cs="Arial"/>
          <w:szCs w:val="20"/>
        </w:rPr>
      </w:pPr>
      <w:bookmarkStart w:id="183"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3"/>
    </w:p>
    <w:p w:rsidR="00DC52D1" w:rsidRPr="006E595D" w:rsidP="006E595D" w14:paraId="735A7383" w14:textId="77777777">
      <w:pPr>
        <w:pStyle w:val="Level4"/>
        <w:spacing w:before="140" w:after="0"/>
        <w:rPr>
          <w:rFonts w:cs="Arial"/>
          <w:szCs w:val="20"/>
        </w:rPr>
      </w:pPr>
      <w:bookmarkStart w:id="184"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4"/>
      <w:r w:rsidRPr="006E595D">
        <w:rPr>
          <w:rFonts w:cs="Arial"/>
          <w:szCs w:val="20"/>
        </w:rPr>
        <w:t xml:space="preserve"> </w:t>
      </w:r>
    </w:p>
    <w:p w:rsidR="00DC52D1" w:rsidRPr="00CB5EE8" w:rsidP="00CB5EE8" w14:paraId="700E608C" w14:textId="77777777">
      <w:pPr>
        <w:pStyle w:val="Level4"/>
        <w:spacing w:before="140" w:after="0"/>
        <w:rPr>
          <w:rFonts w:cs="Arial"/>
          <w:szCs w:val="20"/>
        </w:rPr>
      </w:pPr>
      <w:r w:rsidRPr="00CB5EE8">
        <w:rPr>
          <w:rFonts w:cs="Arial"/>
          <w:szCs w:val="20"/>
        </w:rPr>
        <w:t xml:space="preserve">observar as disposições da </w:t>
      </w:r>
      <w:bookmarkStart w:id="185" w:name="_Hlk80826440"/>
      <w:r w:rsidRPr="00CB5EE8">
        <w:rPr>
          <w:rFonts w:cs="Arial"/>
          <w:szCs w:val="20"/>
        </w:rPr>
        <w:t>Resolução CVM 44</w:t>
      </w:r>
      <w:bookmarkEnd w:id="185"/>
      <w:r w:rsidRPr="00CB5EE8" w:rsidR="007552BF">
        <w:rPr>
          <w:rFonts w:cs="Arial"/>
          <w:szCs w:val="20"/>
        </w:rPr>
        <w:t>/21</w:t>
      </w:r>
      <w:r w:rsidRPr="00CB5EE8">
        <w:rPr>
          <w:rFonts w:cs="Arial"/>
          <w:szCs w:val="20"/>
        </w:rPr>
        <w:t>, no que se refere a dever de sigilo e vedações à negociação;</w:t>
      </w:r>
    </w:p>
    <w:p w:rsidR="00DC52D1" w:rsidRPr="006E595D" w:rsidP="006E595D" w14:paraId="729AD3B7" w14:textId="77777777">
      <w:pPr>
        <w:pStyle w:val="Level4"/>
        <w:spacing w:before="140" w:after="0"/>
        <w:rPr>
          <w:rFonts w:cs="Arial"/>
          <w:szCs w:val="20"/>
        </w:rPr>
      </w:pPr>
      <w:bookmarkStart w:id="186"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186"/>
      <w:r w:rsidRPr="006E595D">
        <w:rPr>
          <w:rFonts w:cs="Arial"/>
          <w:szCs w:val="20"/>
        </w:rPr>
        <w:t xml:space="preserve"> </w:t>
      </w:r>
    </w:p>
    <w:p w:rsidR="00DC52D1" w:rsidRPr="006E595D" w:rsidP="006E595D" w14:paraId="38B9133C" w14:textId="77777777">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14:paraId="2F23B319" w14:textId="42B9C2F7">
      <w:pPr>
        <w:pStyle w:val="Level4"/>
        <w:spacing w:before="140" w:after="0"/>
        <w:rPr>
          <w:rFonts w:cs="Arial"/>
          <w:szCs w:val="20"/>
        </w:rPr>
      </w:pPr>
      <w:bookmarkStart w:id="187"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E92C30">
        <w:rPr>
          <w:rFonts w:cs="Arial"/>
          <w:szCs w:val="20"/>
        </w:rPr>
        <w:t>(</w:t>
      </w:r>
      <w:r w:rsidR="00E92C30">
        <w:rPr>
          <w:rFonts w:cs="Arial"/>
          <w:szCs w:val="20"/>
        </w:rPr>
        <w:t>iv</w:t>
      </w:r>
      <w:r w:rsidR="00E92C30">
        <w:rPr>
          <w:rFonts w:cs="Arial"/>
          <w:szCs w:val="20"/>
        </w:rPr>
        <w:t>)</w:t>
      </w:r>
      <w:r w:rsidRPr="00083831">
        <w:rPr>
          <w:rFonts w:cs="Arial"/>
          <w:szCs w:val="20"/>
        </w:rPr>
        <w:fldChar w:fldCharType="end"/>
      </w:r>
      <w:r w:rsidRPr="00F95AE7">
        <w:rPr>
          <w:rFonts w:cs="Arial"/>
          <w:szCs w:val="20"/>
        </w:rPr>
        <w:t xml:space="preserve"> acima;</w:t>
      </w:r>
      <w:bookmarkEnd w:id="187"/>
    </w:p>
    <w:p w:rsidR="00DC52D1" w:rsidP="006E595D" w14:paraId="079A98CE" w14:textId="77777777">
      <w:pPr>
        <w:pStyle w:val="Level4"/>
        <w:spacing w:before="140" w:after="0"/>
        <w:rPr>
          <w:rFonts w:cs="Arial"/>
          <w:szCs w:val="20"/>
        </w:rPr>
      </w:pPr>
      <w:bookmarkStart w:id="188"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8"/>
    </w:p>
    <w:p w:rsidR="00CB5EE8" w:rsidRPr="006E595D" w:rsidP="006E595D" w14:paraId="50E4DEB1" w14:textId="6D1295F3">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sidR="00E92C30">
        <w:rPr>
          <w:rFonts w:cs="Arial"/>
          <w:szCs w:val="20"/>
        </w:rPr>
        <w:t>(</w:t>
      </w:r>
      <w:r w:rsidR="00E92C30">
        <w:rPr>
          <w:rFonts w:cs="Arial"/>
          <w:szCs w:val="20"/>
        </w:rPr>
        <w:t>iii</w:t>
      </w:r>
      <w:r w:rsidR="00E92C30">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sidR="00E92C30">
        <w:rPr>
          <w:rFonts w:cs="Arial"/>
          <w:szCs w:val="20"/>
        </w:rPr>
        <w:t>(</w:t>
      </w:r>
      <w:r w:rsidR="00E92C30">
        <w:rPr>
          <w:rFonts w:cs="Arial"/>
          <w:szCs w:val="20"/>
        </w:rPr>
        <w:t>iv</w:t>
      </w:r>
      <w:r w:rsidR="00E92C30">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sidR="00E92C30">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sidR="00E92C30">
        <w:rPr>
          <w:rFonts w:cs="Arial"/>
          <w:szCs w:val="20"/>
        </w:rPr>
        <w:t>(</w:t>
      </w:r>
      <w:r w:rsidR="00E92C30">
        <w:rPr>
          <w:rFonts w:cs="Arial"/>
          <w:szCs w:val="20"/>
        </w:rPr>
        <w:t>ix</w:t>
      </w:r>
      <w:r w:rsidR="00E92C30">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sidR="00E92C30">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14:paraId="77400D8E" w14:textId="77777777">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14:paraId="6F54F7F2" w14:textId="77777777">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14:paraId="29B8E664" w14:textId="77777777">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14:paraId="356B5E53" w14:textId="77777777">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14:paraId="730E6161" w14:textId="77777777">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14:paraId="09BAAE2B" w14:textId="77777777">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14:paraId="59B858B3" w14:textId="77777777">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14:paraId="102FA3E5" w14:textId="77777777">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14:paraId="0EAF4C01" w14:textId="77777777">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14:paraId="76038499" w14:textId="77777777">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Pr="007552BF" w:rsidR="0051675E">
        <w:rPr>
          <w:rFonts w:cs="Arial"/>
          <w:w w:val="0"/>
          <w:szCs w:val="20"/>
        </w:rPr>
        <w:t xml:space="preserve">, exceto por aquelas cujo descumprimento </w:t>
      </w:r>
      <w:r w:rsidRPr="0061407E" w:rsidR="0051675E">
        <w:rPr>
          <w:b/>
          <w:w w:val="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1407E" w:rsidR="0051675E">
        <w:rPr>
          <w:b/>
          <w:w w:val="0"/>
        </w:rPr>
        <w:t>(2)</w:t>
      </w:r>
      <w:r w:rsidRPr="007552BF" w:rsidR="0051675E">
        <w:rPr>
          <w:rFonts w:cs="Arial"/>
          <w:w w:val="0"/>
          <w:szCs w:val="20"/>
        </w:rPr>
        <w:t xml:space="preserve"> não possa, direta ou indiretamente, comprometer o pontual e integral cumprimento, pela Emissora ou pela Fiadora, de qualquer de suas obrigações previstas nesta Escritura</w:t>
      </w:r>
      <w:r w:rsidRPr="007552BF" w:rsidR="003C142B">
        <w:rPr>
          <w:rFonts w:cs="Arial"/>
          <w:w w:val="0"/>
          <w:szCs w:val="20"/>
        </w:rPr>
        <w:t>;</w:t>
      </w:r>
    </w:p>
    <w:p w:rsidR="00533DFE" w:rsidRPr="007552BF" w14:paraId="0002D14E" w14:textId="77777777">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14:paraId="07244A39" w14:textId="77777777">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14:paraId="1640189F" w14:textId="77777777">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 xml:space="preserve">e, quando relacionados a questões ambientais, em um impacto </w:t>
      </w:r>
      <w:r w:rsidRPr="007552BF" w:rsidR="00013335">
        <w:rPr>
          <w:rFonts w:cs="Arial"/>
          <w:szCs w:val="20"/>
        </w:rPr>
        <w:t>reputacional</w:t>
      </w:r>
      <w:r w:rsidRPr="007552BF" w:rsidR="00013335">
        <w:rPr>
          <w:rFonts w:cs="Arial"/>
          <w:szCs w:val="20"/>
        </w:rPr>
        <w:t xml:space="preserve"> relevante à Emissora e a Fiadora</w:t>
      </w:r>
      <w:r w:rsidRPr="007552BF">
        <w:rPr>
          <w:rFonts w:cs="Arial"/>
          <w:w w:val="0"/>
          <w:szCs w:val="20"/>
        </w:rPr>
        <w:t>;</w:t>
      </w:r>
      <w:r w:rsidRPr="007552BF" w:rsidR="00C71AA2">
        <w:rPr>
          <w:rFonts w:cs="Arial"/>
          <w:w w:val="0"/>
          <w:szCs w:val="20"/>
        </w:rPr>
        <w:t xml:space="preserve"> </w:t>
      </w:r>
    </w:p>
    <w:p w:rsidR="003C142B" w:rsidRPr="007552BF" w14:paraId="33FD37A5" w14:textId="77777777">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rsidR="003C142B" w:rsidRPr="007552BF" w14:paraId="144C71F0" w14:textId="2641931F">
      <w:pPr>
        <w:pStyle w:val="Level4"/>
        <w:widowControl w:val="0"/>
        <w:spacing w:before="140" w:after="0"/>
        <w:rPr>
          <w:rFonts w:cs="Arial"/>
          <w:w w:val="0"/>
          <w:szCs w:val="20"/>
        </w:rPr>
      </w:pPr>
      <w:r w:rsidRPr="00E92C30">
        <w:t xml:space="preserve">observar e cumprir, </w:t>
      </w:r>
      <w:r w:rsidR="00CE6E5C">
        <w:rPr>
          <w:rFonts w:cs="Arial"/>
          <w:w w:val="0"/>
          <w:szCs w:val="20"/>
        </w:rPr>
        <w:t>bem como envida</w:t>
      </w:r>
      <w:r w:rsidR="00A57C56">
        <w:rPr>
          <w:rFonts w:cs="Arial"/>
          <w:w w:val="0"/>
          <w:szCs w:val="20"/>
        </w:rPr>
        <w:t>r</w:t>
      </w:r>
      <w:r w:rsidR="00CE6E5C">
        <w:rPr>
          <w:rFonts w:cs="Arial"/>
          <w:w w:val="0"/>
          <w:szCs w:val="20"/>
        </w:rPr>
        <w:t xml:space="preserve"> seus melhores esforços para que as </w:t>
      </w:r>
      <w:r w:rsidRPr="00DC21C0" w:rsidR="00C93FE0">
        <w:rPr>
          <w:rFonts w:cs="Arial"/>
          <w:w w:val="0"/>
          <w:szCs w:val="20"/>
        </w:rPr>
        <w:t>suas controladas, diretores, administradores, empregados</w:t>
      </w:r>
      <w:r w:rsidR="00360BA0">
        <w:rPr>
          <w:rFonts w:cs="Arial"/>
          <w:w w:val="0"/>
          <w:szCs w:val="20"/>
        </w:rPr>
        <w:t xml:space="preserve"> e membros do conselho, que atuem a mando e</w:t>
      </w:r>
      <w:r w:rsidR="00C93FE0">
        <w:rPr>
          <w:rFonts w:cs="Arial"/>
          <w:w w:val="0"/>
          <w:szCs w:val="20"/>
        </w:rPr>
        <w:t xml:space="preserve"> </w:t>
      </w:r>
      <w:r w:rsidR="00176496">
        <w:rPr>
          <w:rFonts w:cs="Arial"/>
          <w:szCs w:val="20"/>
        </w:rPr>
        <w:t>em</w:t>
      </w:r>
      <w:r w:rsidR="00360BA0">
        <w:rPr>
          <w:rFonts w:cs="Arial"/>
          <w:szCs w:val="20"/>
        </w:rPr>
        <w:t xml:space="preserve"> favor</w:t>
      </w:r>
      <w:r w:rsidRPr="007B584F" w:rsidR="00E9303C">
        <w:rPr>
          <w:w w:val="0"/>
        </w:rPr>
        <w:t xml:space="preserve"> </w:t>
      </w:r>
      <w:r w:rsidRPr="00E92C30" w:rsidR="00E9303C">
        <w:t xml:space="preserve">da </w:t>
      </w:r>
      <w:r w:rsidRPr="00E92C30" w:rsidR="007B3E64">
        <w:t>Fiadora</w:t>
      </w:r>
      <w:r w:rsidRPr="00E92C30" w:rsidR="00E9303C">
        <w:t>,</w:t>
      </w:r>
      <w:r w:rsidRPr="007552BF" w:rsidR="00E9303C">
        <w:rPr>
          <w:rFonts w:cs="Arial"/>
          <w:w w:val="0"/>
          <w:szCs w:val="20"/>
        </w:rPr>
        <w:t xml:space="preserve"> </w:t>
      </w:r>
      <w:r w:rsidRPr="007552BF" w:rsidR="00F33193">
        <w:rPr>
          <w:rFonts w:cs="Arial"/>
          <w:w w:val="0"/>
          <w:szCs w:val="20"/>
        </w:rPr>
        <w:t xml:space="preserve">sob qualquer forma, </w:t>
      </w:r>
      <w:r w:rsidRPr="007552BF" w:rsidR="00AF0F2E">
        <w:rPr>
          <w:rFonts w:cs="Arial"/>
          <w:szCs w:val="20"/>
        </w:rPr>
        <w:t>cumpram, durante o prazo de vigência das Debêntures</w:t>
      </w:r>
      <w:r w:rsidRPr="007552BF" w:rsidR="00AF0F2E">
        <w:rPr>
          <w:rFonts w:cs="Arial"/>
          <w:w w:val="0"/>
          <w:szCs w:val="20"/>
        </w:rPr>
        <w:t>,</w:t>
      </w:r>
      <w:r w:rsidRPr="007552BF" w:rsidR="00AF0F2E">
        <w:rPr>
          <w:rFonts w:cs="Arial"/>
          <w:szCs w:val="20"/>
        </w:rPr>
        <w:t xml:space="preserve"> </w:t>
      </w:r>
      <w:r w:rsidRPr="0061407E" w:rsidR="00AF0F2E">
        <w:rPr>
          <w:b/>
        </w:rPr>
        <w:t>(a)</w:t>
      </w:r>
      <w:r w:rsidRPr="007552BF" w:rsidR="00AF0F2E">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sidR="00AF0F2E">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65834">
        <w:rPr>
          <w:rFonts w:cs="Arial"/>
          <w:szCs w:val="20"/>
        </w:rPr>
        <w:t xml:space="preserve">, </w:t>
      </w:r>
      <w:r w:rsidRPr="007552BF" w:rsidR="00065834">
        <w:rPr>
          <w:rFonts w:cs="Arial"/>
          <w:w w:val="0"/>
          <w:szCs w:val="20"/>
        </w:rPr>
        <w:t xml:space="preserve">exceto por aqueles descumprimentos que não possam razoavelmente resultar em um Efeito Adverso Relevante e, em um impacto </w:t>
      </w:r>
      <w:r w:rsidRPr="007552BF" w:rsidR="00065834">
        <w:rPr>
          <w:rFonts w:cs="Arial"/>
          <w:w w:val="0"/>
          <w:szCs w:val="20"/>
        </w:rPr>
        <w:t>reputacional</w:t>
      </w:r>
      <w:r w:rsidRPr="007552BF" w:rsidR="00065834">
        <w:rPr>
          <w:rFonts w:cs="Arial"/>
          <w:w w:val="0"/>
          <w:szCs w:val="20"/>
        </w:rPr>
        <w:t xml:space="preserve"> relevante à </w:t>
      </w:r>
      <w:r w:rsidRPr="007552BF" w:rsidR="0051675E">
        <w:rPr>
          <w:rFonts w:cs="Arial"/>
          <w:w w:val="0"/>
          <w:szCs w:val="20"/>
        </w:rPr>
        <w:t>Fiadora</w:t>
      </w:r>
      <w:r w:rsidRPr="007552BF" w:rsidR="00AF0F2E">
        <w:rPr>
          <w:rFonts w:cs="Arial"/>
          <w:szCs w:val="20"/>
        </w:rPr>
        <w:t xml:space="preserve">; e </w:t>
      </w:r>
      <w:r w:rsidRPr="0061407E" w:rsidR="00AF0F2E">
        <w:rPr>
          <w:b/>
        </w:rPr>
        <w:t>(b)</w:t>
      </w:r>
      <w:r w:rsidRPr="007552BF" w:rsidR="00AF0F2E">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sidR="00AF0F2E">
        <w:rPr>
          <w:rFonts w:cs="Arial"/>
          <w:w w:val="0"/>
          <w:szCs w:val="20"/>
        </w:rPr>
        <w:t>; e</w:t>
      </w:r>
      <w:r w:rsidR="007B3E64">
        <w:rPr>
          <w:rFonts w:cs="Arial"/>
          <w:w w:val="0"/>
          <w:szCs w:val="20"/>
        </w:rPr>
        <w:t xml:space="preserve"> </w:t>
      </w:r>
    </w:p>
    <w:p w:rsidR="00E163E3" w:rsidRPr="007552BF" w14:paraId="53BBB21E" w14:textId="340E455D">
      <w:pPr>
        <w:pStyle w:val="Level4"/>
        <w:widowControl w:val="0"/>
        <w:spacing w:before="140" w:after="0"/>
        <w:rPr>
          <w:rFonts w:cs="Arial"/>
          <w:w w:val="0"/>
          <w:szCs w:val="20"/>
        </w:rPr>
      </w:pPr>
      <w:r w:rsidRPr="00754BAA">
        <w:rPr>
          <w:rFonts w:cs="Arial"/>
          <w:szCs w:val="20"/>
        </w:rPr>
        <w:t>observar</w:t>
      </w:r>
      <w:r w:rsidR="00360BA0">
        <w:rPr>
          <w:rFonts w:cs="Arial"/>
          <w:szCs w:val="20"/>
        </w:rPr>
        <w:t>,</w:t>
      </w:r>
      <w:r w:rsidRPr="00754BAA">
        <w:rPr>
          <w:rFonts w:cs="Arial"/>
          <w:szCs w:val="20"/>
        </w:rPr>
        <w:t xml:space="preserve"> cumprir,</w:t>
      </w:r>
      <w:r>
        <w:rPr>
          <w:rFonts w:cs="Arial"/>
          <w:szCs w:val="20"/>
        </w:rPr>
        <w:t xml:space="preserve"> </w:t>
      </w:r>
      <w:r w:rsidR="00360BA0">
        <w:rPr>
          <w:rFonts w:cs="Arial"/>
          <w:w w:val="0"/>
          <w:szCs w:val="20"/>
        </w:rPr>
        <w:t>bem como envida</w:t>
      </w:r>
      <w:r w:rsidR="000856D2">
        <w:rPr>
          <w:rFonts w:cs="Arial"/>
          <w:w w:val="0"/>
          <w:szCs w:val="20"/>
        </w:rPr>
        <w:t>r</w:t>
      </w:r>
      <w:r w:rsidR="00360BA0">
        <w:rPr>
          <w:rFonts w:cs="Arial"/>
          <w:w w:val="0"/>
          <w:szCs w:val="20"/>
        </w:rPr>
        <w:t xml:space="preserve"> seus melhores esforços para que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sidR="00E9303C">
        <w:rPr>
          <w:rFonts w:cs="Arial"/>
          <w:szCs w:val="20"/>
        </w:rPr>
        <w:t xml:space="preserve">, no exercício de suas funções e agindo em nome da </w:t>
      </w:r>
      <w:r w:rsidR="007B3E64">
        <w:rPr>
          <w:rFonts w:cs="Arial"/>
          <w:szCs w:val="20"/>
        </w:rPr>
        <w:t>Fiadora</w:t>
      </w:r>
      <w:r w:rsidRPr="00E92C30" w:rsidR="00E9303C">
        <w:t>,</w:t>
      </w:r>
      <w:r w:rsidRPr="007552BF" w:rsidR="00E9303C">
        <w:rPr>
          <w:rFonts w:cs="Arial"/>
          <w:w w:val="0"/>
          <w:szCs w:val="20"/>
        </w:rPr>
        <w:t xml:space="preserve"> </w:t>
      </w:r>
      <w:r w:rsidRPr="007552BF" w:rsidR="003C142B">
        <w:rPr>
          <w:rFonts w:cs="Arial"/>
          <w:w w:val="0"/>
          <w:szCs w:val="20"/>
        </w:rPr>
        <w:t>observem e cumpram as leis, normas ou regulamentos, nacionais ou estrangeiros, contra prática</w:t>
      </w:r>
      <w:r w:rsidRPr="007552BF" w:rsidR="003A091C">
        <w:rPr>
          <w:rFonts w:cs="Arial"/>
          <w:w w:val="0"/>
          <w:szCs w:val="20"/>
        </w:rPr>
        <w:t xml:space="preserve"> de financiamento ao terrorismo, lavagem de dinheiro,</w:t>
      </w:r>
      <w:r w:rsidRPr="007552BF" w:rsidR="003C142B">
        <w:rPr>
          <w:rFonts w:cs="Arial"/>
          <w:w w:val="0"/>
          <w:szCs w:val="20"/>
        </w:rPr>
        <w:t xml:space="preserve"> de corrupção ou atos lesivos à administração pública, incluindo, sem limitação, as Leis Anticorrupção, devendo </w:t>
      </w:r>
      <w:r w:rsidRPr="0061407E" w:rsidR="003C142B">
        <w:rPr>
          <w:b/>
          <w:w w:val="0"/>
        </w:rPr>
        <w:t>(a)</w:t>
      </w:r>
      <w:r w:rsidRPr="007552BF" w:rsidR="003C142B">
        <w:rPr>
          <w:rFonts w:cs="Arial"/>
          <w:w w:val="0"/>
          <w:szCs w:val="20"/>
        </w:rPr>
        <w:t xml:space="preserve"> manter políticas e procedimentos internos que assegurem o integral cumprimento das Leis Anticorrupção</w:t>
      </w:r>
      <w:r w:rsidRPr="007552BF" w:rsidR="00867DA1">
        <w:rPr>
          <w:rFonts w:cs="Arial"/>
          <w:w w:val="0"/>
          <w:szCs w:val="20"/>
        </w:rPr>
        <w:t xml:space="preserve"> em todas as jurisdições que a Fiadora atua</w:t>
      </w:r>
      <w:r w:rsidRPr="007552BF" w:rsidR="003C142B">
        <w:rPr>
          <w:rFonts w:cs="Arial"/>
          <w:w w:val="0"/>
          <w:szCs w:val="20"/>
        </w:rPr>
        <w:t xml:space="preserve">; </w:t>
      </w:r>
      <w:r w:rsidRPr="0061407E" w:rsidR="003C142B">
        <w:rPr>
          <w:b/>
          <w:w w:val="0"/>
        </w:rPr>
        <w:t>(b)</w:t>
      </w:r>
      <w:r w:rsidRPr="007552BF" w:rsidR="003C142B">
        <w:rPr>
          <w:rFonts w:cs="Arial"/>
          <w:w w:val="0"/>
          <w:szCs w:val="20"/>
        </w:rPr>
        <w:t xml:space="preserve"> dar pleno conhecimento das Leis Anticorrupção a todos os profissionais que venham a se relacionar, previamente ao início de sua atuação no âmbito deste documento; </w:t>
      </w:r>
      <w:r w:rsidRPr="0061407E" w:rsidR="003C142B">
        <w:rPr>
          <w:b/>
          <w:w w:val="0"/>
        </w:rPr>
        <w:t>(c)</w:t>
      </w:r>
      <w:r w:rsidRPr="007552BF" w:rsidR="003C142B">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3C142B">
        <w:rPr>
          <w:b/>
          <w:w w:val="0"/>
        </w:rPr>
        <w:t>(d)</w:t>
      </w:r>
      <w:r w:rsidRPr="007552BF" w:rsidR="003C142B">
        <w:rPr>
          <w:rFonts w:cs="Arial"/>
          <w:w w:val="0"/>
          <w:szCs w:val="20"/>
        </w:rPr>
        <w:t xml:space="preserve"> caso tenha conhecimento de qualquer ato ou fato relacionado a aludidas normas, comunicar em até 2 (dois) Dias Úteis contados do conhecimento de tal ato ou fato, ao Agente Fiduciário.</w:t>
      </w:r>
      <w:r w:rsidR="00F33193">
        <w:rPr>
          <w:rFonts w:cs="Arial"/>
          <w:w w:val="0"/>
          <w:szCs w:val="20"/>
        </w:rPr>
        <w:t xml:space="preserve"> </w:t>
      </w:r>
    </w:p>
    <w:p w:rsidR="00A45162" w:rsidRPr="00083831" w14:paraId="62AD0FFF" w14:textId="77777777">
      <w:pPr>
        <w:pStyle w:val="Level1"/>
        <w:keepNext w:val="0"/>
        <w:widowControl w:val="0"/>
        <w:spacing w:before="140" w:after="0"/>
        <w:rPr>
          <w:rFonts w:cs="Arial"/>
          <w:sz w:val="20"/>
          <w:szCs w:val="20"/>
        </w:rPr>
      </w:pPr>
      <w:bookmarkStart w:id="189" w:name="_DV_M298"/>
      <w:bookmarkStart w:id="190" w:name="_DV_M190"/>
      <w:bookmarkStart w:id="191" w:name="_DV_M191"/>
      <w:bookmarkStart w:id="192" w:name="_DV_M194"/>
      <w:bookmarkStart w:id="193" w:name="_DV_M199"/>
      <w:bookmarkStart w:id="194" w:name="_DV_M200"/>
      <w:bookmarkStart w:id="195" w:name="_DV_M201"/>
      <w:bookmarkStart w:id="196" w:name="_DV_M202"/>
      <w:bookmarkStart w:id="197" w:name="_DV_M210"/>
      <w:bookmarkStart w:id="198" w:name="_DV_M211"/>
      <w:bookmarkStart w:id="199" w:name="_DV_M76"/>
      <w:bookmarkStart w:id="200" w:name="_DV_M77"/>
      <w:bookmarkStart w:id="201" w:name="_DV_M75"/>
      <w:bookmarkStart w:id="202" w:name="_DV_M212"/>
      <w:bookmarkStart w:id="203" w:name="_DV_M213"/>
      <w:bookmarkStart w:id="204" w:name="_DV_M218"/>
      <w:bookmarkStart w:id="205" w:name="_DV_M219"/>
      <w:bookmarkStart w:id="206" w:name="_DV_M223"/>
      <w:bookmarkStart w:id="207" w:name="_DV_M299"/>
      <w:bookmarkStart w:id="208" w:name="_Toc31205716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95AE7">
        <w:rPr>
          <w:rFonts w:cs="Arial"/>
          <w:sz w:val="20"/>
          <w:szCs w:val="20"/>
        </w:rPr>
        <w:t>AGENTE FIDUCIÁRIO</w:t>
      </w:r>
      <w:bookmarkEnd w:id="208"/>
    </w:p>
    <w:p w:rsidR="00A45162" w:rsidRPr="007552BF" w14:paraId="244BA771" w14:textId="77777777">
      <w:pPr>
        <w:pStyle w:val="Level2"/>
        <w:widowControl w:val="0"/>
        <w:spacing w:before="140" w:after="0"/>
        <w:rPr>
          <w:rFonts w:cs="Arial"/>
          <w:b/>
          <w:bCs/>
          <w:w w:val="0"/>
          <w:szCs w:val="20"/>
        </w:rPr>
      </w:pPr>
      <w:bookmarkStart w:id="209" w:name="_DV_M300"/>
      <w:bookmarkStart w:id="210" w:name="_Toc499990371"/>
      <w:bookmarkEnd w:id="209"/>
      <w:r w:rsidRPr="007552BF">
        <w:rPr>
          <w:rFonts w:cs="Arial"/>
          <w:b/>
          <w:bCs/>
          <w:w w:val="0"/>
          <w:szCs w:val="20"/>
        </w:rPr>
        <w:t>Nomeação</w:t>
      </w:r>
    </w:p>
    <w:p w:rsidR="00A45162" w:rsidRPr="007552BF" w14:paraId="056372EB" w14:textId="77777777">
      <w:pPr>
        <w:pStyle w:val="Level3"/>
        <w:widowControl w:val="0"/>
        <w:spacing w:before="140" w:after="0"/>
        <w:rPr>
          <w:rFonts w:cs="Arial"/>
          <w:w w:val="0"/>
          <w:szCs w:val="20"/>
        </w:rPr>
      </w:pPr>
      <w:bookmarkStart w:id="211" w:name="_DV_M301"/>
      <w:bookmarkEnd w:id="211"/>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14:paraId="533C652E" w14:textId="77777777">
      <w:pPr>
        <w:pStyle w:val="Level2"/>
        <w:widowControl w:val="0"/>
        <w:spacing w:before="140" w:after="0"/>
        <w:rPr>
          <w:rFonts w:cs="Arial"/>
          <w:w w:val="0"/>
          <w:szCs w:val="20"/>
        </w:rPr>
      </w:pPr>
      <w:bookmarkStart w:id="212" w:name="_DV_M302"/>
      <w:bookmarkEnd w:id="212"/>
      <w:r w:rsidRPr="007552BF">
        <w:rPr>
          <w:rFonts w:cs="Arial"/>
          <w:b/>
          <w:bCs/>
          <w:w w:val="0"/>
          <w:szCs w:val="20"/>
        </w:rPr>
        <w:t>Declarações</w:t>
      </w:r>
    </w:p>
    <w:p w:rsidR="00A45162" w:rsidRPr="007552BF" w14:paraId="4F027E4F" w14:textId="77777777">
      <w:pPr>
        <w:pStyle w:val="Level3"/>
        <w:widowControl w:val="0"/>
        <w:spacing w:before="140" w:after="0"/>
        <w:rPr>
          <w:rFonts w:cs="Arial"/>
          <w:w w:val="0"/>
          <w:szCs w:val="20"/>
        </w:rPr>
      </w:pPr>
      <w:bookmarkStart w:id="213" w:name="_DV_M303"/>
      <w:bookmarkEnd w:id="213"/>
      <w:r w:rsidRPr="007552BF">
        <w:rPr>
          <w:rFonts w:cs="Arial"/>
          <w:w w:val="0"/>
          <w:szCs w:val="20"/>
        </w:rPr>
        <w:t>O Agente Fiduciário dos Debenturistas, nomeado na presente Escritura, declara e garante à Emissora, sob as penas da lei:</w:t>
      </w:r>
    </w:p>
    <w:p w:rsidR="00A45162" w:rsidRPr="007552BF" w14:paraId="2DB48C6B" w14:textId="77777777">
      <w:pPr>
        <w:pStyle w:val="Level4"/>
        <w:widowControl w:val="0"/>
        <w:spacing w:before="140" w:after="0"/>
        <w:rPr>
          <w:rFonts w:cs="Arial"/>
          <w:w w:val="0"/>
          <w:szCs w:val="20"/>
        </w:rPr>
      </w:pPr>
      <w:bookmarkStart w:id="214" w:name="_DV_M304"/>
      <w:bookmarkEnd w:id="214"/>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14:paraId="027BB80C" w14:textId="77777777">
      <w:pPr>
        <w:pStyle w:val="Level4"/>
        <w:widowControl w:val="0"/>
        <w:spacing w:before="140" w:after="0"/>
        <w:rPr>
          <w:rFonts w:cs="Arial"/>
          <w:w w:val="0"/>
          <w:szCs w:val="20"/>
        </w:rPr>
      </w:pPr>
      <w:bookmarkStart w:id="215" w:name="_DV_M305"/>
      <w:bookmarkEnd w:id="215"/>
      <w:r w:rsidRPr="007552BF">
        <w:rPr>
          <w:rFonts w:cs="Arial"/>
          <w:w w:val="0"/>
          <w:szCs w:val="20"/>
        </w:rPr>
        <w:t>aceitar a função que lhe é conferida, assumindo integralmente os deveres e atribuições previstos na legislação específica e nesta Escritura;</w:t>
      </w:r>
    </w:p>
    <w:p w:rsidR="00A45162" w:rsidRPr="007552BF" w14:paraId="5F50494C" w14:textId="77777777">
      <w:pPr>
        <w:pStyle w:val="Level4"/>
        <w:widowControl w:val="0"/>
        <w:spacing w:before="140" w:after="0"/>
        <w:rPr>
          <w:rFonts w:cs="Arial"/>
          <w:color w:val="000000"/>
          <w:w w:val="0"/>
          <w:szCs w:val="20"/>
        </w:rPr>
      </w:pPr>
      <w:bookmarkStart w:id="216" w:name="_DV_M306"/>
      <w:bookmarkEnd w:id="216"/>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14:paraId="2618D782" w14:textId="77777777">
      <w:pPr>
        <w:pStyle w:val="Level4"/>
        <w:widowControl w:val="0"/>
        <w:spacing w:before="140" w:after="0"/>
        <w:rPr>
          <w:rFonts w:cs="Arial"/>
          <w:color w:val="000000"/>
          <w:w w:val="0"/>
          <w:szCs w:val="20"/>
        </w:rPr>
      </w:pPr>
      <w:bookmarkStart w:id="217" w:name="_DV_M307"/>
      <w:bookmarkEnd w:id="217"/>
      <w:r w:rsidRPr="007552BF">
        <w:rPr>
          <w:rFonts w:cs="Arial"/>
          <w:color w:val="000000"/>
          <w:w w:val="0"/>
          <w:szCs w:val="20"/>
        </w:rPr>
        <w:t>não ter qualquer ligação com a Emissora que o impeça de exercer suas funções;</w:t>
      </w:r>
    </w:p>
    <w:p w:rsidR="00A45162" w:rsidRPr="007552BF" w14:paraId="22105A1D" w14:textId="77777777">
      <w:pPr>
        <w:pStyle w:val="Level4"/>
        <w:widowControl w:val="0"/>
        <w:spacing w:before="140" w:after="0"/>
        <w:rPr>
          <w:rFonts w:cs="Arial"/>
          <w:color w:val="000000"/>
          <w:w w:val="0"/>
          <w:szCs w:val="20"/>
        </w:rPr>
      </w:pPr>
      <w:bookmarkStart w:id="218" w:name="_DV_M308"/>
      <w:bookmarkStart w:id="219" w:name="_DV_X471"/>
      <w:bookmarkStart w:id="220" w:name="_DV_C422"/>
      <w:bookmarkEnd w:id="218"/>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219"/>
      <w:bookmarkEnd w:id="220"/>
    </w:p>
    <w:p w:rsidR="00A45162" w:rsidRPr="007552BF" w14:paraId="685DD3BD" w14:textId="77777777">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14:paraId="7290E541" w14:textId="77777777">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14:paraId="3BB7E886" w14:textId="77777777">
      <w:pPr>
        <w:pStyle w:val="Level4"/>
        <w:widowControl w:val="0"/>
        <w:spacing w:before="140" w:after="0"/>
        <w:rPr>
          <w:rFonts w:cs="Arial"/>
          <w:color w:val="000000"/>
          <w:w w:val="0"/>
          <w:szCs w:val="20"/>
        </w:rPr>
      </w:pPr>
      <w:bookmarkStart w:id="221" w:name="_DV_M309"/>
      <w:bookmarkEnd w:id="221"/>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14:paraId="1960248A" w14:textId="77777777">
      <w:pPr>
        <w:pStyle w:val="Level4"/>
        <w:widowControl w:val="0"/>
        <w:spacing w:before="140" w:after="0"/>
        <w:rPr>
          <w:rFonts w:cs="Arial"/>
          <w:color w:val="000000"/>
          <w:w w:val="0"/>
          <w:szCs w:val="20"/>
        </w:rPr>
      </w:pPr>
      <w:bookmarkStart w:id="222"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2"/>
    </w:p>
    <w:p w:rsidR="00A45162" w:rsidRPr="007552BF" w14:paraId="18667D07" w14:textId="77777777">
      <w:pPr>
        <w:pStyle w:val="Level4"/>
        <w:widowControl w:val="0"/>
        <w:spacing w:before="140" w:after="0"/>
        <w:rPr>
          <w:rFonts w:cs="Arial"/>
          <w:color w:val="000000"/>
          <w:w w:val="0"/>
          <w:szCs w:val="20"/>
        </w:rPr>
      </w:pPr>
      <w:bookmarkStart w:id="223" w:name="_DV_C424"/>
      <w:r w:rsidRPr="007552BF">
        <w:rPr>
          <w:rFonts w:cs="Arial"/>
          <w:color w:val="000000"/>
          <w:w w:val="0"/>
          <w:szCs w:val="20"/>
        </w:rPr>
        <w:t xml:space="preserve">que </w:t>
      </w:r>
      <w:bookmarkStart w:id="224" w:name="_DV_X465"/>
      <w:bookmarkStart w:id="225" w:name="_DV_C425"/>
      <w:bookmarkEnd w:id="223"/>
      <w:r w:rsidRPr="007552BF">
        <w:rPr>
          <w:rFonts w:cs="Arial"/>
          <w:color w:val="000000"/>
          <w:w w:val="0"/>
          <w:szCs w:val="20"/>
        </w:rPr>
        <w:t>esta Escritura constitui uma obrigação legal, válida</w:t>
      </w:r>
      <w:bookmarkStart w:id="226" w:name="_DV_C426"/>
      <w:bookmarkEnd w:id="224"/>
      <w:bookmarkEnd w:id="225"/>
      <w:r w:rsidRPr="007552BF">
        <w:rPr>
          <w:rFonts w:cs="Arial"/>
          <w:color w:val="000000"/>
          <w:w w:val="0"/>
          <w:szCs w:val="20"/>
        </w:rPr>
        <w:t>, vinculativa e eficaz</w:t>
      </w:r>
      <w:bookmarkStart w:id="227" w:name="_DV_X467"/>
      <w:bookmarkStart w:id="228" w:name="_DV_C427"/>
      <w:bookmarkEnd w:id="226"/>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7"/>
      <w:bookmarkEnd w:id="228"/>
    </w:p>
    <w:p w:rsidR="00A45162" w:rsidRPr="007552BF" w14:paraId="2ED7468B" w14:textId="77777777">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14:paraId="13BA0389" w14:textId="77777777">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w:t>
      </w:r>
      <w:r w:rsidRPr="007552BF">
        <w:rPr>
          <w:rFonts w:cs="Arial"/>
          <w:color w:val="000000"/>
          <w:w w:val="0"/>
          <w:szCs w:val="20"/>
        </w:rPr>
        <w:t>nesta</w:t>
      </w:r>
      <w:r w:rsidRPr="007552BF">
        <w:rPr>
          <w:rFonts w:cs="Arial"/>
          <w:color w:val="000000"/>
          <w:w w:val="0"/>
          <w:szCs w:val="20"/>
        </w:rPr>
        <w:t xml:space="preserve"> Escritura;</w:t>
      </w:r>
    </w:p>
    <w:p w:rsidR="00A45162" w:rsidRPr="007552BF" w14:paraId="62266BB8" w14:textId="77777777">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rsidR="00A45162" w:rsidRPr="007552BF" w14:paraId="76FF6096" w14:textId="77777777">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604A53" w14:paraId="3E29462A" w14:textId="77777777">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14:paraId="2868DECD" w14:textId="77777777" w:rsidTr="00476661">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76441" w:rsidRPr="007552BF" w:rsidP="00476661" w14:paraId="507593D8" w14:textId="77777777">
            <w:pPr>
              <w:pStyle w:val="Level1"/>
              <w:numPr>
                <w:ilvl w:val="0"/>
                <w:numId w:val="0"/>
              </w:numPr>
              <w:spacing w:before="140" w:after="0"/>
              <w:ind w:left="-115"/>
              <w:jc w:val="center"/>
              <w:rPr>
                <w:rFonts w:cs="Arial"/>
                <w:b w:val="0"/>
                <w:sz w:val="20"/>
                <w:szCs w:val="20"/>
                <w:lang w:eastAsia="pt-BR"/>
              </w:rPr>
            </w:pPr>
            <w:bookmarkStart w:id="229"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76441" w:rsidRPr="007552BF" w:rsidP="00476661" w14:paraId="49B5B676"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5B25A368"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4DFAC51E"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14:paraId="6346FCA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5A381C36" w14:textId="77777777">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76441" w:rsidRPr="007552BF" w:rsidP="00476661" w14:paraId="359F373C"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3816B6B0"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5A6B5920"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14:paraId="0D78CD76"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3556D527" w14:textId="77777777">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76441" w:rsidRPr="007552BF" w:rsidP="00476661" w14:paraId="5F3C0E23"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1DF72DCF"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2EA5108D"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r>
      <w:tr w14:paraId="1B3E79B7"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E6EF258" w14:textId="77777777">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76441" w:rsidRPr="007552BF" w:rsidP="00476661" w14:paraId="315408F0" w14:textId="77777777">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76441" w:rsidRPr="007552BF" w:rsidP="00476661" w14:paraId="7FE7B979" w14:textId="77777777">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76441" w:rsidRPr="007552BF" w:rsidP="00476661" w14:paraId="77C35270" w14:textId="77777777">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14:paraId="458A68E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46D03207" w14:textId="77777777">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76441" w:rsidRPr="007552BF" w:rsidP="00476661" w14:paraId="3C1C1A7F" w14:textId="77777777">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76441" w:rsidRPr="007552BF" w:rsidP="00476661" w14:paraId="1D315FD1" w14:textId="77777777">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76441" w:rsidRPr="007552BF" w:rsidP="00476661" w14:paraId="0A359B10" w14:textId="77777777">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14:paraId="5292F0C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9E6AF85" w14:textId="77777777">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76441" w:rsidRPr="007552BF" w:rsidP="00476661" w14:paraId="51E8601A" w14:textId="77777777">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76441" w:rsidRPr="007552BF" w:rsidP="00476661" w14:paraId="5ABB96AB" w14:textId="77777777">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76441" w:rsidRPr="007552BF" w:rsidP="00476661" w14:paraId="698FF410" w14:textId="77777777">
            <w:pPr>
              <w:spacing w:before="140" w:line="290" w:lineRule="auto"/>
              <w:jc w:val="center"/>
              <w:rPr>
                <w:rFonts w:ascii="Arial" w:hAnsi="Arial" w:cs="Arial"/>
                <w:sz w:val="20"/>
                <w:szCs w:val="20"/>
              </w:rPr>
            </w:pPr>
            <w:r>
              <w:rPr>
                <w:rFonts w:ascii="Arial" w:hAnsi="Arial" w:cs="Arial"/>
                <w:sz w:val="20"/>
                <w:szCs w:val="20"/>
              </w:rPr>
              <w:br/>
              <w:t>916.381</w:t>
            </w:r>
          </w:p>
        </w:tc>
      </w:tr>
      <w:tr w14:paraId="4EF1176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A2B58B5" w14:textId="77777777">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76441" w:rsidRPr="007552BF" w:rsidP="00476661" w14:paraId="1BF6F8DD"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6CB5F958"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1C2B949D"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14:paraId="12088D39"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121B0E54" w14:textId="77777777">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76441" w:rsidRPr="007552BF" w:rsidP="00476661" w14:paraId="33016C6E"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58A98F7A"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7BF21B26" w14:textId="77777777">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14:paraId="023FF821"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D1E8677" w14:textId="77777777">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76441" w:rsidRPr="007552BF" w:rsidP="00476661" w14:paraId="47197D5D"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37EB359F"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5574F09F" w14:textId="77777777">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14:paraId="6DBEB5E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6B1EC0D5" w14:textId="77777777">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76441" w:rsidRPr="007552BF" w:rsidP="00476661" w14:paraId="15D8AA16" w14:textId="77777777">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76441" w:rsidRPr="007552BF" w:rsidP="00476661" w14:paraId="3401DE64" w14:textId="77777777">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76441" w:rsidRPr="007552BF" w:rsidP="00476661" w14:paraId="46BD7859" w14:textId="77777777">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14:paraId="510A30CA"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76441" w:rsidRPr="007552BF" w:rsidP="00476661" w14:paraId="4854B136" w14:textId="77777777">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76441" w:rsidRPr="007552BF" w:rsidP="00476661" w14:paraId="741F463F"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6ED6D2B9"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425EFC84"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14:paraId="0EFE9140" w14:textId="77777777">
      <w:pPr>
        <w:pStyle w:val="Level4"/>
        <w:widowControl w:val="0"/>
        <w:spacing w:before="140" w:after="0"/>
        <w:rPr>
          <w:rFonts w:cs="Arial"/>
          <w:color w:val="000000"/>
          <w:w w:val="0"/>
          <w:szCs w:val="20"/>
        </w:rPr>
      </w:pPr>
      <w:bookmarkEnd w:id="229"/>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14:paraId="5716EBE3" w14:textId="77777777">
      <w:pPr>
        <w:pStyle w:val="Level2"/>
        <w:widowControl w:val="0"/>
        <w:spacing w:before="140" w:after="0"/>
        <w:rPr>
          <w:rFonts w:cs="Arial"/>
          <w:b/>
          <w:bCs/>
          <w:w w:val="0"/>
          <w:szCs w:val="20"/>
        </w:rPr>
      </w:pPr>
      <w:bookmarkStart w:id="230" w:name="_DV_M315"/>
      <w:bookmarkEnd w:id="230"/>
      <w:r w:rsidRPr="007552BF">
        <w:rPr>
          <w:rFonts w:cs="Arial"/>
          <w:b/>
          <w:bCs/>
          <w:w w:val="0"/>
          <w:szCs w:val="20"/>
        </w:rPr>
        <w:t>Substituição</w:t>
      </w:r>
    </w:p>
    <w:p w:rsidR="00495D9C" w:rsidRPr="007552BF" w14:paraId="256440AD" w14:textId="4A38CB56">
      <w:pPr>
        <w:pStyle w:val="Level3"/>
        <w:widowControl w:val="0"/>
        <w:spacing w:before="140" w:after="0"/>
        <w:rPr>
          <w:rFonts w:cs="Arial"/>
          <w:w w:val="0"/>
          <w:szCs w:val="20"/>
        </w:rPr>
      </w:pPr>
      <w:bookmarkStart w:id="231" w:name="_DV_M316"/>
      <w:bookmarkEnd w:id="231"/>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11.4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10.3.6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14:paraId="12120531" w14:textId="77777777">
      <w:pPr>
        <w:pStyle w:val="Level3"/>
        <w:widowControl w:val="0"/>
        <w:spacing w:before="140" w:after="0"/>
        <w:rPr>
          <w:rFonts w:cs="Arial"/>
          <w:w w:val="0"/>
          <w:szCs w:val="20"/>
        </w:rPr>
      </w:pPr>
      <w:bookmarkStart w:id="232" w:name="_DV_M317"/>
      <w:bookmarkEnd w:id="232"/>
      <w:r w:rsidRPr="007552BF">
        <w:rPr>
          <w:rFonts w:cs="Arial"/>
          <w:w w:val="0"/>
          <w:szCs w:val="20"/>
        </w:rPr>
        <w:t xml:space="preserve">Na hipótese de não poder continuar a exercer as suas funções por circunstâncias 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14:paraId="585DE232" w14:textId="77777777">
      <w:pPr>
        <w:pStyle w:val="Level3"/>
        <w:widowControl w:val="0"/>
        <w:spacing w:before="140" w:after="0"/>
        <w:rPr>
          <w:rFonts w:cs="Arial"/>
          <w:w w:val="0"/>
          <w:szCs w:val="20"/>
        </w:rPr>
      </w:pPr>
      <w:bookmarkStart w:id="233" w:name="_DV_M318"/>
      <w:bookmarkEnd w:id="233"/>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14:paraId="24BB7740" w14:textId="77777777">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14:paraId="46DA98FB" w14:textId="77777777">
      <w:pPr>
        <w:pStyle w:val="Level3"/>
        <w:widowControl w:val="0"/>
        <w:spacing w:before="140" w:after="0"/>
        <w:rPr>
          <w:rFonts w:cs="Arial"/>
          <w:w w:val="0"/>
          <w:szCs w:val="20"/>
        </w:rPr>
      </w:pPr>
      <w:bookmarkStart w:id="234" w:name="_DV_M320"/>
      <w:bookmarkEnd w:id="234"/>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14:paraId="4B2BC101" w14:textId="77777777">
      <w:pPr>
        <w:pStyle w:val="Level3"/>
        <w:widowControl w:val="0"/>
        <w:spacing w:before="140" w:after="0"/>
        <w:rPr>
          <w:rFonts w:cs="Arial"/>
          <w:w w:val="0"/>
          <w:szCs w:val="20"/>
        </w:rPr>
      </w:pPr>
      <w:bookmarkStart w:id="235" w:name="_DV_M321"/>
      <w:bookmarkStart w:id="236" w:name="_Ref65840985"/>
      <w:bookmarkEnd w:id="235"/>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 xml:space="preserve">pro rata </w:t>
      </w:r>
      <w:r w:rsidRPr="007552BF">
        <w:rPr>
          <w:rFonts w:cs="Arial"/>
          <w:i/>
          <w:w w:val="0"/>
          <w:szCs w:val="20"/>
        </w:rPr>
        <w:t>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6"/>
    </w:p>
    <w:p w:rsidR="00A45162" w:rsidRPr="007552BF" w14:paraId="68982BD0" w14:textId="77777777">
      <w:pPr>
        <w:pStyle w:val="Level3"/>
        <w:widowControl w:val="0"/>
        <w:spacing w:before="140" w:after="0"/>
        <w:rPr>
          <w:rFonts w:cs="Arial"/>
          <w:w w:val="0"/>
          <w:szCs w:val="20"/>
        </w:rPr>
      </w:pPr>
      <w:bookmarkStart w:id="237" w:name="_DV_M322"/>
      <w:bookmarkEnd w:id="237"/>
      <w:r w:rsidRPr="007552BF">
        <w:rPr>
          <w:rFonts w:cs="Arial"/>
          <w:w w:val="0"/>
          <w:szCs w:val="20"/>
        </w:rPr>
        <w:t>Aplicam-se às hipóteses de substituição do Agente Fiduciário as normas e preceitos a respeito, baixados por ato(s) da CVM.</w:t>
      </w:r>
    </w:p>
    <w:p w:rsidR="00A45162" w:rsidRPr="007552BF" w14:paraId="30D5AC58" w14:textId="77777777">
      <w:pPr>
        <w:pStyle w:val="Level2"/>
        <w:widowControl w:val="0"/>
        <w:spacing w:before="140" w:after="0"/>
        <w:rPr>
          <w:rFonts w:cs="Arial"/>
          <w:b/>
          <w:bCs/>
          <w:w w:val="0"/>
          <w:szCs w:val="20"/>
        </w:rPr>
      </w:pPr>
      <w:bookmarkStart w:id="238" w:name="_DV_M323"/>
      <w:bookmarkEnd w:id="238"/>
      <w:r w:rsidRPr="007552BF">
        <w:rPr>
          <w:rFonts w:cs="Arial"/>
          <w:b/>
          <w:bCs/>
          <w:w w:val="0"/>
          <w:szCs w:val="20"/>
        </w:rPr>
        <w:t>Deveres</w:t>
      </w:r>
    </w:p>
    <w:p w:rsidR="00A45162" w:rsidRPr="007552BF" w14:paraId="10418762" w14:textId="77777777">
      <w:pPr>
        <w:pStyle w:val="Level3"/>
        <w:widowControl w:val="0"/>
        <w:spacing w:before="140" w:after="0"/>
        <w:rPr>
          <w:rFonts w:cs="Arial"/>
          <w:w w:val="0"/>
          <w:szCs w:val="20"/>
        </w:rPr>
      </w:pPr>
      <w:bookmarkStart w:id="239" w:name="_DV_M324"/>
      <w:bookmarkEnd w:id="239"/>
      <w:r w:rsidRPr="007552BF">
        <w:rPr>
          <w:rFonts w:cs="Arial"/>
          <w:w w:val="0"/>
          <w:szCs w:val="20"/>
        </w:rPr>
        <w:t>Além de outros previstos em lei, em ato normativo da CVM, ou nesta Escritura, constituem deveres e atribuições do Agente Fiduciário:</w:t>
      </w:r>
    </w:p>
    <w:p w:rsidR="00FF6A55" w:rsidRPr="007552BF" w14:paraId="3CF38528" w14:textId="77777777">
      <w:pPr>
        <w:pStyle w:val="Level4"/>
        <w:widowControl w:val="0"/>
        <w:spacing w:before="140" w:after="0"/>
        <w:rPr>
          <w:rFonts w:cs="Arial"/>
          <w:color w:val="000000"/>
          <w:w w:val="0"/>
          <w:szCs w:val="20"/>
        </w:rPr>
      </w:pPr>
      <w:bookmarkStart w:id="240" w:name="_DV_M325"/>
      <w:bookmarkEnd w:id="240"/>
      <w:r w:rsidRPr="007552BF">
        <w:rPr>
          <w:rFonts w:cs="Arial"/>
          <w:szCs w:val="20"/>
        </w:rPr>
        <w:t>responsabilizar-se integralmente pelos serviços contratados, nos termos da legislação vigente;</w:t>
      </w:r>
    </w:p>
    <w:p w:rsidR="00FF6A55" w:rsidRPr="007552BF" w14:paraId="65481F1A" w14:textId="77777777">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14:paraId="1ADE24E7" w14:textId="77777777">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14:paraId="573A8071" w14:textId="77777777">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14:paraId="7A5E56AC" w14:textId="77777777">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r w:rsidRPr="007552BF">
        <w:rPr>
          <w:rFonts w:cs="Arial"/>
          <w:color w:val="000000"/>
          <w:w w:val="0"/>
          <w:szCs w:val="20"/>
        </w:rPr>
        <w:t>nesta</w:t>
      </w:r>
      <w:r w:rsidRPr="007552BF">
        <w:rPr>
          <w:rFonts w:cs="Arial"/>
          <w:color w:val="000000"/>
          <w:w w:val="0"/>
          <w:szCs w:val="20"/>
        </w:rPr>
        <w:t xml:space="preserve">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14:paraId="10300CB5" w14:textId="77777777">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14:paraId="1E6437EC" w14:textId="77777777">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14:paraId="05C22D1C" w14:textId="77777777">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14:paraId="05492C85" w14:textId="77777777">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14:paraId="633D9746" w14:textId="77777777">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14:paraId="4CE131AB" w14:textId="77777777">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14:paraId="763B53C5" w14:textId="77777777">
      <w:pPr>
        <w:pStyle w:val="Level4"/>
        <w:widowControl w:val="0"/>
        <w:spacing w:before="140" w:after="0"/>
        <w:rPr>
          <w:rFonts w:cs="Arial"/>
          <w:color w:val="000000"/>
          <w:w w:val="0"/>
          <w:szCs w:val="20"/>
        </w:rPr>
      </w:pPr>
      <w:r w:rsidRPr="007552BF">
        <w:rPr>
          <w:rFonts w:cs="Arial"/>
          <w:color w:val="000000"/>
          <w:w w:val="0"/>
          <w:szCs w:val="20"/>
        </w:rPr>
        <w:t xml:space="preserve">comparecer às </w:t>
      </w:r>
      <w:r w:rsidRPr="007552BF">
        <w:rPr>
          <w:rFonts w:cs="Arial"/>
          <w:color w:val="000000"/>
          <w:w w:val="0"/>
          <w:szCs w:val="20"/>
        </w:rPr>
        <w:t>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14:paraId="5D09A6EC" w14:textId="77777777">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14:paraId="56559D66" w14:textId="77777777">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14:paraId="2D8440F3" w14:textId="77777777">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14:paraId="45BC7D86" w14:textId="77777777">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14:paraId="6B284FF3" w14:textId="77777777">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14:paraId="0490080E" w14:textId="77777777">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14:paraId="2491AE6B" w14:textId="77777777">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rsidR="00FF6A55" w:rsidRPr="007552BF" w14:paraId="03DD1498" w14:textId="77777777">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14:paraId="536BB6E7" w14:textId="77777777">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14:paraId="665491C9" w14:textId="77777777">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14:paraId="5569AC00" w14:textId="77777777">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14:paraId="51F86FFD" w14:textId="77777777">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r w:rsidRPr="007552BF">
        <w:rPr>
          <w:rFonts w:cs="Arial"/>
          <w:color w:val="000000"/>
          <w:w w:val="0"/>
          <w:szCs w:val="20"/>
        </w:rPr>
        <w:t>xiii</w:t>
      </w:r>
      <w:r w:rsidRPr="007552BF">
        <w:rPr>
          <w:rFonts w:cs="Arial"/>
          <w:color w:val="000000"/>
          <w:w w:val="0"/>
          <w:szCs w:val="20"/>
        </w:rPr>
        <w:t>) acima aos Debenturistas no prazo máximo de 4 (quatro) meses a contar do encerramento do exercício social da Emissora em sua página na rede mundial de computadores;</w:t>
      </w:r>
    </w:p>
    <w:p w:rsidR="00FF6A55" w:rsidRPr="007552BF" w14:paraId="42ED1DA5" w14:textId="77777777">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w:t>
      </w:r>
      <w:r w:rsidRPr="007552BF">
        <w:rPr>
          <w:rFonts w:cs="Arial"/>
          <w:color w:val="000000"/>
          <w:w w:val="0"/>
          <w:szCs w:val="20"/>
        </w:rPr>
        <w:t>Escriturador</w:t>
      </w:r>
      <w:r w:rsidRPr="007552BF">
        <w:rPr>
          <w:rFonts w:cs="Arial"/>
          <w:color w:val="000000"/>
          <w:w w:val="0"/>
          <w:szCs w:val="20"/>
        </w:rPr>
        <w:t xml:space="preserve">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w:t>
      </w:r>
      <w:r w:rsidRPr="007552BF">
        <w:rPr>
          <w:rFonts w:cs="Arial"/>
          <w:szCs w:val="20"/>
        </w:rPr>
        <w:t>Escriturador</w:t>
      </w:r>
      <w:r w:rsidRPr="007552BF">
        <w:rPr>
          <w:rFonts w:cs="Arial"/>
          <w:szCs w:val="20"/>
        </w:rPr>
        <w:t xml:space="preserve">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14:paraId="1D970987" w14:textId="77777777">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14:paraId="46553791" w14:textId="77777777">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14:paraId="4E418001" w14:textId="77777777">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14:paraId="41D88765" w14:textId="77777777">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41" w:name="_DV_M326"/>
      <w:bookmarkStart w:id="242" w:name="_DV_M327"/>
      <w:bookmarkStart w:id="243" w:name="_DV_M328"/>
      <w:bookmarkStart w:id="244" w:name="_DV_M329"/>
      <w:bookmarkStart w:id="245" w:name="_DV_M330"/>
      <w:bookmarkStart w:id="246" w:name="_DV_M331"/>
      <w:bookmarkStart w:id="247" w:name="_DV_M333"/>
      <w:bookmarkStart w:id="248" w:name="_DV_M334"/>
      <w:bookmarkStart w:id="249" w:name="_DV_M335"/>
      <w:bookmarkStart w:id="250" w:name="_DV_M336"/>
      <w:bookmarkStart w:id="251" w:name="_DV_M337"/>
      <w:bookmarkStart w:id="252" w:name="_DV_M338"/>
      <w:bookmarkStart w:id="253" w:name="_DV_M339"/>
      <w:bookmarkStart w:id="254" w:name="_DV_M340"/>
      <w:bookmarkStart w:id="255" w:name="_DV_M341"/>
      <w:bookmarkStart w:id="256" w:name="_DV_M342"/>
      <w:bookmarkStart w:id="257" w:name="_DV_M343"/>
      <w:bookmarkStart w:id="258" w:name="_DV_M344"/>
      <w:bookmarkStart w:id="259" w:name="_DV_M345"/>
      <w:bookmarkStart w:id="260" w:name="_DV_M346"/>
      <w:bookmarkStart w:id="261" w:name="_DV_M347"/>
      <w:bookmarkStart w:id="262" w:name="_DV_M348"/>
      <w:bookmarkStart w:id="263" w:name="_DV_M350"/>
      <w:bookmarkStart w:id="264" w:name="_DV_M351"/>
      <w:bookmarkStart w:id="265" w:name="_DV_M352"/>
      <w:bookmarkStart w:id="266" w:name="_DV_M353"/>
      <w:bookmarkStart w:id="267" w:name="_DV_M354"/>
      <w:bookmarkStart w:id="268" w:name="_DV_M355"/>
      <w:bookmarkStart w:id="269" w:name="_DV_M356"/>
      <w:bookmarkStart w:id="270" w:name="_DV_M35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7552BF" w:rsidR="0025128D">
        <w:rPr>
          <w:rFonts w:eastAsia="Arial Unicode MS" w:cs="Arial"/>
          <w:w w:val="0"/>
          <w:szCs w:val="20"/>
        </w:rPr>
        <w:t>;</w:t>
      </w:r>
    </w:p>
    <w:p w:rsidR="0025128D" w:rsidRPr="007552BF" w14:paraId="2ACF1026" w14:textId="77777777">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14:paraId="64AB4F34" w14:textId="77777777">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14:paraId="1B0A7015" w14:textId="77777777">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14:paraId="7A7AA892" w14:textId="77777777">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rsidR="0025128D" w:rsidRPr="007552BF" w14:paraId="4EA1EC2A" w14:textId="77777777">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14:paraId="34EDDC4D" w14:textId="77777777">
      <w:pPr>
        <w:pStyle w:val="Level2"/>
        <w:widowControl w:val="0"/>
        <w:spacing w:before="140" w:after="0"/>
        <w:rPr>
          <w:rFonts w:cs="Arial"/>
          <w:b/>
          <w:bCs/>
          <w:w w:val="0"/>
          <w:szCs w:val="20"/>
        </w:rPr>
      </w:pPr>
      <w:bookmarkStart w:id="271" w:name="_DV_M358"/>
      <w:bookmarkEnd w:id="271"/>
      <w:r w:rsidRPr="007552BF">
        <w:rPr>
          <w:rFonts w:cs="Arial"/>
          <w:b/>
          <w:bCs/>
          <w:w w:val="0"/>
          <w:szCs w:val="20"/>
        </w:rPr>
        <w:t>Atribuições Específicas</w:t>
      </w:r>
    </w:p>
    <w:p w:rsidR="00A45162" w:rsidRPr="007552BF" w14:paraId="24295608" w14:textId="77777777">
      <w:pPr>
        <w:pStyle w:val="Level3"/>
        <w:widowControl w:val="0"/>
        <w:spacing w:before="140" w:after="0"/>
        <w:rPr>
          <w:rFonts w:cs="Arial"/>
          <w:w w:val="0"/>
          <w:szCs w:val="20"/>
        </w:rPr>
      </w:pPr>
      <w:bookmarkStart w:id="272" w:name="_DV_M359"/>
      <w:bookmarkStart w:id="273" w:name="_Ref130283640"/>
      <w:bookmarkEnd w:id="272"/>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273"/>
      <w:r w:rsidRPr="007552BF">
        <w:rPr>
          <w:rFonts w:cs="Arial"/>
          <w:w w:val="0"/>
          <w:szCs w:val="20"/>
        </w:rPr>
        <w:t>.</w:t>
      </w:r>
    </w:p>
    <w:p w:rsidR="00A45162" w:rsidRPr="007552BF" w14:paraId="60D64580" w14:textId="77777777">
      <w:pPr>
        <w:pStyle w:val="Level2"/>
        <w:widowControl w:val="0"/>
        <w:spacing w:before="140" w:after="0"/>
        <w:rPr>
          <w:rFonts w:cs="Arial"/>
          <w:w w:val="0"/>
          <w:szCs w:val="20"/>
        </w:rPr>
      </w:pPr>
      <w:bookmarkStart w:id="274" w:name="_DV_M360"/>
      <w:bookmarkStart w:id="275" w:name="_DV_M361"/>
      <w:bookmarkStart w:id="276" w:name="_DV_M362"/>
      <w:bookmarkStart w:id="277" w:name="_DV_M363"/>
      <w:bookmarkStart w:id="278" w:name="_DV_M364"/>
      <w:bookmarkStart w:id="279" w:name="_DV_M365"/>
      <w:bookmarkEnd w:id="274"/>
      <w:bookmarkEnd w:id="275"/>
      <w:bookmarkEnd w:id="276"/>
      <w:bookmarkEnd w:id="277"/>
      <w:bookmarkEnd w:id="278"/>
      <w:bookmarkEnd w:id="279"/>
      <w:r w:rsidRPr="007552BF">
        <w:rPr>
          <w:rFonts w:cs="Arial"/>
          <w:b/>
          <w:bCs/>
          <w:w w:val="0"/>
          <w:szCs w:val="20"/>
        </w:rPr>
        <w:t>Remuneração do Agente Fiduciário</w:t>
      </w:r>
    </w:p>
    <w:p w:rsidR="00A45162" w:rsidRPr="007552BF" w14:paraId="17351C1D" w14:textId="77777777">
      <w:pPr>
        <w:pStyle w:val="Level3"/>
        <w:widowControl w:val="0"/>
        <w:spacing w:before="140" w:after="0"/>
        <w:rPr>
          <w:rFonts w:cs="Arial"/>
          <w:szCs w:val="20"/>
        </w:rPr>
      </w:pPr>
      <w:bookmarkStart w:id="280" w:name="_DV_M366"/>
      <w:bookmarkEnd w:id="280"/>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14:paraId="6B844B7D" w14:textId="77777777">
      <w:pPr>
        <w:pStyle w:val="Level4"/>
        <w:widowControl w:val="0"/>
        <w:spacing w:before="140" w:after="0"/>
        <w:rPr>
          <w:rFonts w:cs="Arial"/>
          <w:szCs w:val="20"/>
        </w:rPr>
      </w:pPr>
      <w:bookmarkStart w:id="281" w:name="_DV_M367"/>
      <w:bookmarkEnd w:id="281"/>
      <w:r w:rsidRPr="007552BF">
        <w:rPr>
          <w:rFonts w:cs="Arial"/>
          <w:szCs w:val="20"/>
        </w:rPr>
        <w:t xml:space="preserve">remuneração anual de </w:t>
      </w:r>
      <w:r w:rsidRPr="0061407E" w:rsidR="00395EFA">
        <w:t xml:space="preserve">R$ </w:t>
      </w:r>
      <w:r w:rsidRPr="000F6BDD" w:rsidR="00395EFA">
        <w:rPr>
          <w:rFonts w:cs="Arial"/>
          <w:szCs w:val="20"/>
        </w:rPr>
        <w:t>10</w:t>
      </w:r>
      <w:r w:rsidRPr="0061407E" w:rsidR="00395EFA">
        <w:t>.000,00 (</w:t>
      </w:r>
      <w:r w:rsidRPr="000F6BDD" w:rsidR="00395EFA">
        <w:rPr>
          <w:rFonts w:cs="Arial"/>
          <w:szCs w:val="20"/>
        </w:rPr>
        <w:t>dez</w:t>
      </w:r>
      <w:r w:rsidRPr="0061407E" w:rsidR="00395EFA">
        <w:t xml:space="preserve">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14:paraId="4D50FB23" w14:textId="77777777">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14:paraId="36BF49F4" w14:textId="77777777">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14:paraId="6384E01E" w14:textId="77777777">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14:paraId="7B96CDDD" w14:textId="77777777">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rsidR="00C17076" w:rsidRPr="006E595D" w14:paraId="636497DC" w14:textId="77777777">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14:paraId="2522C770" w14:textId="77777777">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14:paraId="4249D879" w14:textId="77777777">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14:paraId="26026A0F" w14:textId="77777777">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rsidR="00C17076" w:rsidRPr="007552BF" w14:paraId="45AB7B98" w14:textId="77777777">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14:paraId="5EB14E42" w14:textId="77777777">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14:paraId="53142439" w14:textId="77777777">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14:paraId="46BE8E46" w14:textId="77777777">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rsidR="00C17076" w:rsidRPr="007552BF" w14:paraId="1764FF08" w14:textId="77777777">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rsidR="00C17076" w:rsidRPr="007552BF" w14:paraId="18988317" w14:textId="77777777">
      <w:pPr>
        <w:pStyle w:val="Level5"/>
        <w:spacing w:before="140" w:after="0"/>
        <w:rPr>
          <w:rFonts w:cs="Arial"/>
          <w:color w:val="000000"/>
          <w:szCs w:val="20"/>
        </w:rPr>
      </w:pPr>
      <w:r w:rsidRPr="007552BF">
        <w:rPr>
          <w:rFonts w:cs="Arial"/>
          <w:color w:val="000000"/>
          <w:szCs w:val="20"/>
        </w:rPr>
        <w:t>horas externas ao escritório do Agente Fiduciário; e</w:t>
      </w:r>
    </w:p>
    <w:p w:rsidR="00AA65B4" w14:paraId="2DE9D123" w14:textId="77777777">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14:paraId="7E090600" w14:textId="77777777">
      <w:pPr>
        <w:pStyle w:val="Level2"/>
        <w:widowControl w:val="0"/>
        <w:spacing w:before="140" w:after="0"/>
        <w:rPr>
          <w:rFonts w:cs="Arial"/>
          <w:b/>
          <w:bCs/>
          <w:w w:val="0"/>
          <w:szCs w:val="20"/>
        </w:rPr>
      </w:pPr>
      <w:bookmarkStart w:id="282" w:name="_DV_M373"/>
      <w:bookmarkEnd w:id="282"/>
      <w:r w:rsidRPr="007552BF">
        <w:rPr>
          <w:rFonts w:cs="Arial"/>
          <w:b/>
          <w:bCs/>
          <w:w w:val="0"/>
          <w:szCs w:val="20"/>
        </w:rPr>
        <w:t>Despesas</w:t>
      </w:r>
    </w:p>
    <w:p w:rsidR="00A45162" w:rsidRPr="007552BF" w14:paraId="3B38297C" w14:textId="77777777">
      <w:pPr>
        <w:pStyle w:val="Level3"/>
        <w:widowControl w:val="0"/>
        <w:spacing w:before="140" w:after="0"/>
        <w:rPr>
          <w:rFonts w:cs="Arial"/>
          <w:szCs w:val="20"/>
        </w:rPr>
      </w:pPr>
      <w:bookmarkStart w:id="283" w:name="_DV_M374"/>
      <w:bookmarkEnd w:id="283"/>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14:paraId="749C3AB5" w14:textId="77777777">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14:paraId="28852898" w14:textId="77777777">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14:paraId="177305FE" w14:textId="1B328403">
      <w:pPr>
        <w:pStyle w:val="Level1"/>
        <w:keepNext w:val="0"/>
        <w:widowControl w:val="0"/>
        <w:spacing w:before="140" w:after="0"/>
        <w:rPr>
          <w:rFonts w:cs="Arial"/>
          <w:sz w:val="20"/>
          <w:szCs w:val="20"/>
        </w:rPr>
      </w:pPr>
      <w:bookmarkStart w:id="284" w:name="_DV_M383"/>
      <w:bookmarkStart w:id="285" w:name="_Toc499990378"/>
      <w:bookmarkStart w:id="286" w:name="_Toc312057168"/>
      <w:bookmarkStart w:id="287" w:name="_Ref65841140"/>
      <w:bookmarkEnd w:id="210"/>
      <w:bookmarkEnd w:id="284"/>
      <w:r w:rsidRPr="00F95AE7">
        <w:rPr>
          <w:rFonts w:cs="Arial"/>
          <w:sz w:val="20"/>
          <w:szCs w:val="20"/>
        </w:rPr>
        <w:t>ASSEMBLEIA GERAL DE DEBENTURISTAS</w:t>
      </w:r>
      <w:bookmarkEnd w:id="285"/>
      <w:bookmarkEnd w:id="286"/>
      <w:bookmarkEnd w:id="287"/>
    </w:p>
    <w:p w:rsidR="004C7F48" w:rsidRPr="007552BF" w14:paraId="32B9B2A6" w14:textId="77777777">
      <w:pPr>
        <w:pStyle w:val="Level2"/>
        <w:widowControl w:val="0"/>
        <w:spacing w:before="140" w:after="0"/>
        <w:rPr>
          <w:rFonts w:cs="Arial"/>
          <w:b/>
          <w:bCs/>
          <w:w w:val="0"/>
          <w:szCs w:val="20"/>
        </w:rPr>
      </w:pPr>
      <w:bookmarkStart w:id="288" w:name="_DV_M384"/>
      <w:bookmarkStart w:id="289" w:name="_DV_M387"/>
      <w:bookmarkEnd w:id="288"/>
      <w:bookmarkEnd w:id="289"/>
      <w:r w:rsidRPr="007552BF">
        <w:rPr>
          <w:rFonts w:cs="Arial"/>
          <w:b/>
          <w:bCs/>
          <w:w w:val="0"/>
          <w:szCs w:val="20"/>
        </w:rPr>
        <w:t>Regra Geral e Convocação</w:t>
      </w:r>
    </w:p>
    <w:p w:rsidR="007552BF" w:rsidRPr="00E92C30" w:rsidP="00E92C30" w14:paraId="190747D3" w14:textId="77777777">
      <w:pPr>
        <w:pStyle w:val="Level3"/>
        <w:widowControl w:val="0"/>
        <w:spacing w:before="140" w:after="0"/>
      </w:pPr>
      <w:bookmarkStart w:id="290" w:name="_Ref453115818"/>
      <w:r w:rsidRPr="00E92C30">
        <w:t xml:space="preserve">Os Debenturistas de cada </w:t>
      </w:r>
      <w:r w:rsidRPr="00E92C30" w:rsidR="00A8181A">
        <w:t>série</w:t>
      </w:r>
      <w:r w:rsidRPr="00E92C30">
        <w:t xml:space="preserve"> poderão, a qualquer tempo, reunir-se em AGD, de acordo com o disposto no artigo 71 da Lei das Sociedades por Ações, que deverá ser individualizada por</w:t>
      </w:r>
      <w:r w:rsidRPr="00E92C30" w:rsidR="00A8181A">
        <w:t xml:space="preserve"> série </w:t>
      </w:r>
      <w:r w:rsidRPr="00E92C30">
        <w:t xml:space="preserve">ou conjunta, nos termos abaixo: </w:t>
      </w:r>
    </w:p>
    <w:p w:rsidR="007552BF" w:rsidRPr="006E595D" w:rsidP="00E52EA4" w14:paraId="475B2200" w14:textId="77777777">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rsidR="007552BF" w:rsidRPr="006E595D" w:rsidP="00E52EA4" w14:paraId="0E342442" w14:textId="77777777">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rsidR="007552BF" w:rsidRPr="006E595D" w:rsidP="006E595D" w14:paraId="015FABAE" w14:textId="77777777">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14:paraId="4E49F26D" w14:textId="77777777">
      <w:pPr>
        <w:pStyle w:val="Level3"/>
        <w:widowControl w:val="0"/>
        <w:spacing w:before="140" w:after="0"/>
        <w:rPr>
          <w:rFonts w:cs="Arial"/>
          <w:w w:val="0"/>
          <w:szCs w:val="20"/>
        </w:rPr>
      </w:pPr>
      <w:bookmarkStart w:id="291" w:name="_DV_M388"/>
      <w:bookmarkEnd w:id="290"/>
      <w:bookmarkEnd w:id="291"/>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w:t>
      </w:r>
      <w:r w:rsidRPr="0061407E">
        <w:rPr>
          <w:b/>
          <w:w w:val="0"/>
        </w:rPr>
        <w:t>ii</w:t>
      </w:r>
      <w:r w:rsidRPr="0061407E">
        <w:rPr>
          <w:b/>
          <w:w w:val="0"/>
        </w:rPr>
        <w:t>)</w:t>
      </w:r>
      <w:r w:rsidRPr="007552BF">
        <w:rPr>
          <w:rFonts w:cs="Arial"/>
          <w:w w:val="0"/>
          <w:szCs w:val="20"/>
        </w:rPr>
        <w:t xml:space="preserve"> pela Emissora; </w:t>
      </w:r>
      <w:r w:rsidRPr="0061407E">
        <w:rPr>
          <w:b/>
          <w:w w:val="0"/>
        </w:rPr>
        <w:t>(</w:t>
      </w:r>
      <w:r w:rsidRPr="0061407E">
        <w:rPr>
          <w:b/>
          <w:w w:val="0"/>
        </w:rPr>
        <w:t>iii</w:t>
      </w:r>
      <w:r w:rsidRPr="0061407E">
        <w:rPr>
          <w:b/>
          <w:w w:val="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w:t>
      </w:r>
      <w:r w:rsidRPr="0061407E">
        <w:rPr>
          <w:b/>
          <w:w w:val="0"/>
        </w:rPr>
        <w:t>iv</w:t>
      </w:r>
      <w:r w:rsidRPr="0061407E">
        <w:rPr>
          <w:b/>
          <w:w w:val="0"/>
        </w:rPr>
        <w:t>)</w:t>
      </w:r>
      <w:r w:rsidRPr="007552BF">
        <w:rPr>
          <w:rFonts w:cs="Arial"/>
          <w:w w:val="0"/>
          <w:szCs w:val="20"/>
        </w:rPr>
        <w:t xml:space="preserve"> pela CVM.</w:t>
      </w:r>
      <w:r w:rsidRPr="007552BF" w:rsidR="00612034">
        <w:rPr>
          <w:rFonts w:cs="Arial"/>
          <w:w w:val="0"/>
          <w:szCs w:val="20"/>
        </w:rPr>
        <w:t xml:space="preserve"> </w:t>
      </w:r>
    </w:p>
    <w:p w:rsidR="00A45162" w:rsidRPr="007552BF" w14:paraId="05E60CA1" w14:textId="72785F7B">
      <w:pPr>
        <w:pStyle w:val="Level3"/>
        <w:widowControl w:val="0"/>
        <w:spacing w:before="140" w:after="0"/>
        <w:rPr>
          <w:rFonts w:cs="Arial"/>
          <w:w w:val="0"/>
          <w:szCs w:val="20"/>
        </w:rPr>
      </w:pPr>
      <w:bookmarkStart w:id="292"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6.23</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14:paraId="657F30F0" w14:textId="77777777">
      <w:pPr>
        <w:pStyle w:val="Level3"/>
        <w:widowControl w:val="0"/>
        <w:spacing w:before="140" w:after="0"/>
        <w:rPr>
          <w:rFonts w:cs="Arial"/>
          <w:w w:val="0"/>
          <w:szCs w:val="20"/>
        </w:rPr>
      </w:pPr>
      <w:bookmarkStart w:id="293" w:name="_DV_C267"/>
      <w:bookmarkStart w:id="294" w:name="_Hlk66620489"/>
      <w:bookmarkEnd w:id="292"/>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3"/>
    </w:p>
    <w:p w:rsidR="00A45162" w:rsidRPr="007552BF" w14:paraId="5B8546B8" w14:textId="77777777">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14:paraId="22F6F163" w14:textId="77777777">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14:paraId="7697360F" w14:textId="77777777">
      <w:pPr>
        <w:pStyle w:val="Level2"/>
        <w:widowControl w:val="0"/>
        <w:spacing w:before="140" w:after="0"/>
        <w:rPr>
          <w:rFonts w:cs="Arial"/>
          <w:b/>
          <w:bCs/>
          <w:w w:val="0"/>
          <w:szCs w:val="20"/>
        </w:rPr>
      </w:pPr>
      <w:bookmarkStart w:id="295" w:name="_DV_M385"/>
      <w:bookmarkStart w:id="296" w:name="_DV_M386"/>
      <w:bookmarkStart w:id="297" w:name="_DV_M389"/>
      <w:bookmarkEnd w:id="294"/>
      <w:bookmarkEnd w:id="295"/>
      <w:bookmarkEnd w:id="296"/>
      <w:bookmarkEnd w:id="297"/>
      <w:r w:rsidRPr="007552BF">
        <w:rPr>
          <w:rFonts w:cs="Arial"/>
          <w:b/>
          <w:bCs/>
          <w:w w:val="0"/>
          <w:szCs w:val="20"/>
        </w:rPr>
        <w:t>Quórum de Instalação</w:t>
      </w:r>
    </w:p>
    <w:p w:rsidR="00A45162" w:rsidRPr="007552BF" w14:paraId="2201C826" w14:textId="77777777">
      <w:pPr>
        <w:pStyle w:val="Level3"/>
        <w:widowControl w:val="0"/>
        <w:spacing w:before="140" w:after="0"/>
        <w:rPr>
          <w:rFonts w:cs="Arial"/>
          <w:w w:val="0"/>
          <w:szCs w:val="20"/>
        </w:rPr>
      </w:pPr>
      <w:bookmarkStart w:id="298" w:name="_DV_M390"/>
      <w:bookmarkEnd w:id="298"/>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14:paraId="39682675" w14:textId="77777777">
      <w:pPr>
        <w:pStyle w:val="Level2"/>
        <w:widowControl w:val="0"/>
        <w:spacing w:before="140" w:after="0"/>
        <w:rPr>
          <w:rFonts w:cs="Arial"/>
          <w:b/>
          <w:bCs/>
          <w:w w:val="0"/>
          <w:szCs w:val="20"/>
        </w:rPr>
      </w:pPr>
      <w:bookmarkStart w:id="299" w:name="_DV_M391"/>
      <w:bookmarkEnd w:id="299"/>
      <w:r w:rsidRPr="007552BF">
        <w:rPr>
          <w:rFonts w:cs="Arial"/>
          <w:b/>
          <w:bCs/>
          <w:w w:val="0"/>
          <w:szCs w:val="20"/>
        </w:rPr>
        <w:t>Mesa Diretora</w:t>
      </w:r>
    </w:p>
    <w:p w:rsidR="00A45162" w:rsidRPr="007552BF" w14:paraId="6B98295F" w14:textId="77777777">
      <w:pPr>
        <w:pStyle w:val="Level3"/>
        <w:widowControl w:val="0"/>
        <w:spacing w:before="140" w:after="0"/>
        <w:rPr>
          <w:rFonts w:cs="Arial"/>
          <w:szCs w:val="20"/>
        </w:rPr>
      </w:pPr>
      <w:bookmarkStart w:id="300" w:name="_DV_M392"/>
      <w:bookmarkEnd w:id="300"/>
      <w:r w:rsidRPr="007552BF">
        <w:rPr>
          <w:rFonts w:cs="Arial"/>
          <w:szCs w:val="20"/>
        </w:rPr>
        <w:t xml:space="preserve">A presidência da AGD caberá </w:t>
      </w:r>
      <w:r w:rsidRPr="0061407E" w:rsidR="00BD5312">
        <w:rPr>
          <w:b/>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1407E" w:rsidR="00BD5312">
        <w:rPr>
          <w:b/>
        </w:rPr>
        <w:t>(</w:t>
      </w:r>
      <w:r w:rsidRPr="0061407E" w:rsidR="00BD5312">
        <w:rPr>
          <w:b/>
        </w:rPr>
        <w:t>ii</w:t>
      </w:r>
      <w:r w:rsidRPr="0061407E" w:rsidR="00BD5312">
        <w:rPr>
          <w:b/>
        </w:rPr>
        <w:t>)</w:t>
      </w:r>
      <w:r w:rsidRPr="007552BF" w:rsidR="00BD5312">
        <w:rPr>
          <w:rFonts w:cs="Arial"/>
          <w:szCs w:val="20"/>
        </w:rPr>
        <w:t xml:space="preserve"> </w:t>
      </w:r>
      <w:r w:rsidRPr="007552BF">
        <w:rPr>
          <w:rFonts w:cs="Arial"/>
          <w:szCs w:val="20"/>
        </w:rPr>
        <w:t xml:space="preserve">ao Agente Fiduciário, ou </w:t>
      </w:r>
      <w:r w:rsidRPr="0061407E" w:rsidR="00BD5312">
        <w:rPr>
          <w:b/>
        </w:rPr>
        <w:t>(</w:t>
      </w:r>
      <w:r w:rsidRPr="0061407E" w:rsidR="00BD5312">
        <w:rPr>
          <w:b/>
        </w:rPr>
        <w:t>iii</w:t>
      </w:r>
      <w:r w:rsidRPr="0061407E" w:rsidR="00BD5312">
        <w:rPr>
          <w:b/>
        </w:rPr>
        <w:t>)</w:t>
      </w:r>
      <w:r w:rsidRPr="007552BF" w:rsidR="00BD5312">
        <w:rPr>
          <w:rFonts w:cs="Arial"/>
          <w:szCs w:val="20"/>
        </w:rPr>
        <w:t xml:space="preserve"> </w:t>
      </w:r>
      <w:r w:rsidRPr="007552BF">
        <w:rPr>
          <w:rFonts w:cs="Arial"/>
          <w:szCs w:val="20"/>
        </w:rPr>
        <w:t>àquele que for designado pela CVM.</w:t>
      </w:r>
    </w:p>
    <w:p w:rsidR="00A45162" w:rsidRPr="007552BF" w14:paraId="47781DAB" w14:textId="77777777">
      <w:pPr>
        <w:pStyle w:val="Level2"/>
        <w:widowControl w:val="0"/>
        <w:spacing w:before="140" w:after="0"/>
        <w:rPr>
          <w:rFonts w:cs="Arial"/>
          <w:color w:val="000000"/>
          <w:w w:val="0"/>
          <w:szCs w:val="20"/>
        </w:rPr>
      </w:pPr>
      <w:bookmarkStart w:id="301" w:name="_DV_M393"/>
      <w:bookmarkEnd w:id="301"/>
      <w:r w:rsidRPr="007552BF">
        <w:rPr>
          <w:rFonts w:cs="Arial"/>
          <w:b/>
          <w:bCs/>
          <w:w w:val="0"/>
          <w:szCs w:val="20"/>
        </w:rPr>
        <w:t>Quórum de Deliberação</w:t>
      </w:r>
      <w:bookmarkStart w:id="302" w:name="_Ref65839863"/>
    </w:p>
    <w:p w:rsidR="006D2B06" w:rsidRPr="007552BF" w14:paraId="66170235" w14:textId="77777777">
      <w:pPr>
        <w:pStyle w:val="Level3"/>
        <w:widowControl w:val="0"/>
        <w:spacing w:before="140" w:after="0"/>
        <w:rPr>
          <w:rFonts w:cs="Arial"/>
          <w:szCs w:val="20"/>
        </w:rPr>
      </w:pPr>
      <w:bookmarkStart w:id="303" w:name="_DV_M394"/>
      <w:bookmarkStart w:id="304" w:name="_Ref65841104"/>
      <w:bookmarkStart w:id="305" w:name="_Hlk66620561"/>
      <w:bookmarkStart w:id="306" w:name="_Ref130286717"/>
      <w:bookmarkEnd w:id="302"/>
      <w:bookmarkEnd w:id="303"/>
      <w:r w:rsidRPr="007552BF">
        <w:rPr>
          <w:rFonts w:cs="Arial"/>
          <w:szCs w:val="20"/>
        </w:rPr>
        <w:t xml:space="preserve">Nas deliberações da AGD, a cada Debênture caberá um voto, admitida a constituição de mandatário, </w:t>
      </w:r>
      <w:r w:rsidRPr="007552BF">
        <w:rPr>
          <w:rFonts w:cs="Arial"/>
          <w:szCs w:val="20"/>
        </w:rPr>
        <w:t>Debenturista</w:t>
      </w:r>
      <w:r w:rsidRPr="007552BF">
        <w:rPr>
          <w:rFonts w:cs="Arial"/>
          <w:szCs w:val="20"/>
        </w:rPr>
        <w:t xml:space="preserve">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Pr="00FB3649" w:rsid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Pr="00903FFD" w:rsidR="00941EA8">
        <w:rPr>
          <w:rFonts w:cs="Arial"/>
          <w:color w:val="242424"/>
          <w:szCs w:val="20"/>
          <w:shd w:val="clear" w:color="auto" w:fill="FFFFFF"/>
        </w:rPr>
        <w:t xml:space="preserve">observado o disposto no § 5º do art. 71 da </w:t>
      </w:r>
      <w:r w:rsidRPr="00434AE2" w:rsidR="00941EA8">
        <w:rPr>
          <w:rFonts w:cs="Arial"/>
          <w:color w:val="242424"/>
          <w:szCs w:val="20"/>
          <w:shd w:val="clear" w:color="auto" w:fill="FFFFFF"/>
        </w:rPr>
        <w:t>Lei das Sociedades por Ações</w:t>
      </w:r>
      <w:r w:rsidRPr="007552BF">
        <w:rPr>
          <w:rFonts w:cs="Arial"/>
          <w:szCs w:val="20"/>
        </w:rPr>
        <w:t>.</w:t>
      </w:r>
      <w:bookmarkEnd w:id="304"/>
    </w:p>
    <w:p w:rsidR="006D2B06" w:rsidRPr="007552BF" w14:paraId="1BBCAA56" w14:textId="5E9F5784">
      <w:pPr>
        <w:pStyle w:val="Level3"/>
        <w:widowControl w:val="0"/>
        <w:spacing w:before="140" w:after="0"/>
        <w:rPr>
          <w:rFonts w:cs="Arial"/>
          <w:szCs w:val="20"/>
        </w:rPr>
      </w:pPr>
      <w:bookmarkStart w:id="307" w:name="_Hlk66979432"/>
      <w:bookmarkEnd w:id="305"/>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E92C30">
        <w:rPr>
          <w:rFonts w:cs="Arial"/>
          <w:szCs w:val="20"/>
        </w:rPr>
        <w:t>11.4.1</w:t>
      </w:r>
      <w:r w:rsidRPr="00083831" w:rsidR="001F4467">
        <w:rPr>
          <w:rFonts w:cs="Arial"/>
          <w:szCs w:val="20"/>
        </w:rPr>
        <w:fldChar w:fldCharType="end"/>
      </w:r>
      <w:r w:rsidRPr="007552BF">
        <w:rPr>
          <w:rFonts w:cs="Arial"/>
          <w:szCs w:val="20"/>
        </w:rPr>
        <w:t xml:space="preserve"> acima:</w:t>
      </w:r>
    </w:p>
    <w:p w:rsidR="006D2B06" w:rsidRPr="007552BF" w14:paraId="2FDF5B1E" w14:textId="77777777">
      <w:pPr>
        <w:pStyle w:val="Level4"/>
        <w:widowControl w:val="0"/>
        <w:spacing w:before="140" w:after="0"/>
        <w:rPr>
          <w:rFonts w:cs="Arial"/>
          <w:szCs w:val="20"/>
        </w:rPr>
      </w:pPr>
      <w:bookmarkEnd w:id="307"/>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14:paraId="26B75861" w14:textId="741EFCD3">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1407E" w:rsidR="00A45162">
        <w:rPr>
          <w:b/>
        </w:rPr>
        <w:t>(</w:t>
      </w:r>
      <w:r w:rsidRPr="0061407E" w:rsidR="00834398">
        <w:rPr>
          <w:b/>
        </w:rPr>
        <w:t>a</w:t>
      </w:r>
      <w:r w:rsidRPr="0061407E" w:rsidR="00A45162">
        <w:rPr>
          <w:b/>
        </w:rPr>
        <w:t>)</w:t>
      </w:r>
      <w:r w:rsidRPr="007552BF" w:rsidR="00A45162">
        <w:rPr>
          <w:rFonts w:cs="Arial"/>
          <w:szCs w:val="20"/>
        </w:rPr>
        <w:t xml:space="preserve"> alteração de quaisquer datas de pagamento de quaisquer valores previstos nesta Escritura; </w:t>
      </w:r>
      <w:r w:rsidRPr="0061407E" w:rsidR="00A45162">
        <w:rPr>
          <w:b/>
        </w:rPr>
        <w:t>(</w:t>
      </w:r>
      <w:r w:rsidRPr="0061407E" w:rsidR="00834398">
        <w:rPr>
          <w:b/>
        </w:rPr>
        <w:t>b</w:t>
      </w:r>
      <w:r w:rsidRPr="0061407E" w:rsidR="00A45162">
        <w:rPr>
          <w:b/>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1407E" w:rsidR="00A45162">
        <w:rPr>
          <w:b/>
        </w:rPr>
        <w:t>(</w:t>
      </w:r>
      <w:r w:rsidRPr="0061407E" w:rsidR="00834398">
        <w:rPr>
          <w:b/>
        </w:rPr>
        <w:t>c</w:t>
      </w:r>
      <w:r w:rsidRPr="0061407E" w:rsidR="00A45162">
        <w:rPr>
          <w:b/>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1407E" w:rsidR="00A45162">
        <w:rPr>
          <w:b/>
        </w:rPr>
        <w:t>(</w:t>
      </w:r>
      <w:r w:rsidRPr="0061407E" w:rsidR="00834398">
        <w:rPr>
          <w:b/>
        </w:rPr>
        <w:t>d</w:t>
      </w:r>
      <w:r w:rsidRPr="0061407E" w:rsidR="009C55AE">
        <w:rPr>
          <w:rFonts w:eastAsia="Arial Unicode MS"/>
          <w:b/>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1407E" w:rsidR="00A45162">
        <w:rPr>
          <w:b/>
        </w:rPr>
        <w:t>(</w:t>
      </w:r>
      <w:r w:rsidRPr="0061407E" w:rsidR="00834398">
        <w:rPr>
          <w:b/>
        </w:rPr>
        <w:t>e</w:t>
      </w:r>
      <w:r w:rsidRPr="0061407E" w:rsidR="00A45162">
        <w:rPr>
          <w:b/>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Pr="007552BF" w:rsidR="00A45162">
        <w:rPr>
          <w:rFonts w:eastAsia="Arial Unicode MS" w:cs="Arial"/>
          <w:szCs w:val="20"/>
        </w:rPr>
        <w:t>;</w:t>
      </w:r>
      <w:r w:rsidRPr="007552BF" w:rsidR="00A45162">
        <w:rPr>
          <w:rFonts w:cs="Arial"/>
          <w:szCs w:val="20"/>
        </w:rPr>
        <w:t xml:space="preserve"> </w:t>
      </w:r>
      <w:r w:rsidRPr="0061407E" w:rsidR="00047105">
        <w:rPr>
          <w:b/>
        </w:rPr>
        <w:t>(</w:t>
      </w:r>
      <w:r w:rsidRPr="0061407E" w:rsidR="00834398">
        <w:rPr>
          <w:b/>
        </w:rPr>
        <w:t>f</w:t>
      </w:r>
      <w:r w:rsidRPr="0061407E" w:rsidR="00047105">
        <w:rPr>
          <w:b/>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E92C30">
        <w:rPr>
          <w:rFonts w:cs="Arial"/>
          <w:szCs w:val="20"/>
        </w:rPr>
        <w:t>8</w:t>
      </w:r>
      <w:r w:rsidRPr="00083831" w:rsidR="001F4467">
        <w:rPr>
          <w:rFonts w:cs="Arial"/>
          <w:szCs w:val="20"/>
        </w:rPr>
        <w:fldChar w:fldCharType="end"/>
      </w:r>
      <w:r w:rsidRPr="007552BF" w:rsidR="00A45162">
        <w:rPr>
          <w:rFonts w:cs="Arial"/>
          <w:szCs w:val="20"/>
        </w:rPr>
        <w:t xml:space="preserve">; </w:t>
      </w:r>
      <w:r w:rsidRPr="0061407E" w:rsidR="00A45162">
        <w:rPr>
          <w:b/>
        </w:rPr>
        <w:t>(</w:t>
      </w:r>
      <w:r w:rsidRPr="0061407E" w:rsidR="00834398">
        <w:rPr>
          <w:b/>
        </w:rPr>
        <w:t>g</w:t>
      </w:r>
      <w:r w:rsidRPr="0061407E" w:rsidR="00A45162">
        <w:rPr>
          <w:b/>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E92C30">
        <w:rPr>
          <w:rFonts w:cs="Arial"/>
          <w:szCs w:val="20"/>
        </w:rPr>
        <w:t>11</w:t>
      </w:r>
      <w:r w:rsidRPr="00083831" w:rsidR="001F4467">
        <w:rPr>
          <w:rFonts w:cs="Arial"/>
          <w:szCs w:val="20"/>
        </w:rPr>
        <w:fldChar w:fldCharType="end"/>
      </w:r>
      <w:r w:rsidRPr="007552BF" w:rsidR="00A45162">
        <w:rPr>
          <w:rFonts w:cs="Arial"/>
          <w:szCs w:val="20"/>
        </w:rPr>
        <w:t xml:space="preserve">; e </w:t>
      </w:r>
      <w:r w:rsidRPr="0061407E" w:rsidR="00A45162">
        <w:rPr>
          <w:b/>
        </w:rPr>
        <w:t>(</w:t>
      </w:r>
      <w:r w:rsidRPr="0061407E" w:rsidR="00834398">
        <w:rPr>
          <w:b/>
        </w:rPr>
        <w:t>h</w:t>
      </w:r>
      <w:r w:rsidRPr="0061407E" w:rsidR="009C55AE">
        <w:rPr>
          <w:b/>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14:paraId="62C649D8" w14:textId="3FA2E745">
      <w:pPr>
        <w:pStyle w:val="Level4"/>
        <w:widowControl w:val="0"/>
        <w:spacing w:before="140" w:after="0"/>
        <w:rPr>
          <w:rFonts w:cs="Arial"/>
          <w:b/>
          <w:szCs w:val="20"/>
        </w:rPr>
      </w:pPr>
      <w:bookmarkStart w:id="308"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E92C30">
        <w:rPr>
          <w:rFonts w:cs="Arial"/>
          <w:szCs w:val="20"/>
        </w:rPr>
        <w:t>8.1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E92C30">
        <w:rPr>
          <w:rFonts w:cs="Arial"/>
          <w:szCs w:val="20"/>
        </w:rPr>
        <w:t>8.2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xml:space="preserve">, </w:t>
      </w:r>
      <w:r w:rsidRPr="00903C31" w:rsidR="00903C31">
        <w:rPr>
          <w:rFonts w:cs="Arial"/>
          <w:b/>
          <w:bCs/>
          <w:szCs w:val="20"/>
        </w:rPr>
        <w:t>(a)</w:t>
      </w:r>
      <w:r w:rsidRPr="00903C31" w:rsid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Pr="00903C31" w:rsidR="00903C31">
        <w:rPr>
          <w:rFonts w:cs="Arial"/>
          <w:szCs w:val="20"/>
        </w:rPr>
        <w:t xml:space="preserve">; ou </w:t>
      </w:r>
      <w:r w:rsidRPr="00903C31" w:rsidR="00903C31">
        <w:rPr>
          <w:rFonts w:cs="Arial"/>
          <w:b/>
          <w:bCs/>
          <w:szCs w:val="20"/>
        </w:rPr>
        <w:t>(b)</w:t>
      </w:r>
      <w:r w:rsidRPr="00903C31" w:rsidR="00903C31">
        <w:rPr>
          <w:rFonts w:cs="Arial"/>
          <w:szCs w:val="20"/>
        </w:rPr>
        <w:t xml:space="preserve"> em segunda convocação,</w:t>
      </w:r>
      <w:r w:rsidRPr="00903C31" w:rsidR="00903C31">
        <w:rPr>
          <w:rFonts w:cs="Arial"/>
          <w:b/>
          <w:bCs/>
          <w:szCs w:val="20"/>
        </w:rPr>
        <w:t xml:space="preserve"> (1) </w:t>
      </w:r>
      <w:r w:rsidRPr="00903C31" w:rsidR="00903C31">
        <w:rPr>
          <w:rFonts w:cs="Arial"/>
          <w:szCs w:val="20"/>
        </w:rPr>
        <w:t>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igual ou superior a 30% (trinta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xml:space="preserve">; ou </w:t>
      </w:r>
      <w:r w:rsidRPr="00903C31" w:rsidR="00903C31">
        <w:rPr>
          <w:rFonts w:cs="Arial"/>
          <w:b/>
          <w:bCs/>
          <w:szCs w:val="20"/>
        </w:rPr>
        <w:t>(2)</w:t>
      </w:r>
      <w:r w:rsidRPr="00903C31" w:rsidR="00903C31">
        <w:rPr>
          <w:rFonts w:cs="Arial"/>
          <w:szCs w:val="20"/>
        </w:rPr>
        <w:t xml:space="preserve"> 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desde que os mesmos representem, no mínimo, 15% (quinze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inferior a 30% (trinta por cento) das Debêntures em Circulação</w:t>
      </w:r>
      <w:bookmarkEnd w:id="308"/>
      <w:r w:rsidRPr="007552BF" w:rsidR="000C3052">
        <w:rPr>
          <w:rFonts w:cs="Arial"/>
          <w:szCs w:val="20"/>
        </w:rPr>
        <w:t>.</w:t>
      </w:r>
    </w:p>
    <w:p w:rsidR="00081FD7" w:rsidRPr="000C7C03" w:rsidP="006E595D" w14:paraId="6C0BBDAE" w14:textId="77777777">
      <w:pPr>
        <w:pStyle w:val="Level3"/>
        <w:widowControl w:val="0"/>
        <w:spacing w:before="140" w:after="0"/>
      </w:pPr>
      <w:bookmarkStart w:id="309" w:name="_DV_C268"/>
      <w:bookmarkEnd w:id="306"/>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14:paraId="1978B0BA" w14:textId="68FE8847">
      <w:pPr>
        <w:pStyle w:val="Level1"/>
        <w:keepNext w:val="0"/>
        <w:widowControl w:val="0"/>
        <w:spacing w:before="140" w:after="0"/>
        <w:rPr>
          <w:rFonts w:cs="Arial"/>
          <w:sz w:val="20"/>
          <w:szCs w:val="20"/>
        </w:rPr>
      </w:pPr>
      <w:bookmarkStart w:id="310" w:name="_DV_M406"/>
      <w:bookmarkStart w:id="311" w:name="_Toc312057169"/>
      <w:bookmarkEnd w:id="309"/>
      <w:bookmarkEnd w:id="310"/>
      <w:r w:rsidRPr="00F95AE7">
        <w:rPr>
          <w:rFonts w:cs="Arial"/>
          <w:sz w:val="20"/>
          <w:szCs w:val="20"/>
        </w:rPr>
        <w:t>DECLARAÇÕES E GARANTIAS</w:t>
      </w:r>
      <w:bookmarkStart w:id="312" w:name="_DV_C457"/>
      <w:r w:rsidRPr="007552BF">
        <w:rPr>
          <w:rStyle w:val="DeltaViewInsertion"/>
          <w:rFonts w:cs="Arial"/>
          <w:color w:val="000000"/>
          <w:sz w:val="20"/>
          <w:szCs w:val="20"/>
          <w:u w:val="none"/>
        </w:rPr>
        <w:t xml:space="preserve"> DA EMISSORA</w:t>
      </w:r>
      <w:bookmarkEnd w:id="312"/>
      <w:r w:rsidRPr="007552BF">
        <w:rPr>
          <w:rStyle w:val="DeltaViewInsertion"/>
          <w:rFonts w:cs="Arial"/>
          <w:color w:val="000000"/>
          <w:sz w:val="20"/>
          <w:szCs w:val="20"/>
          <w:u w:val="none"/>
        </w:rPr>
        <w:t xml:space="preserve"> </w:t>
      </w:r>
      <w:bookmarkEnd w:id="311"/>
      <w:r w:rsidRPr="007552BF">
        <w:rPr>
          <w:rStyle w:val="DeltaViewInsertion"/>
          <w:rFonts w:cs="Arial"/>
          <w:color w:val="000000"/>
          <w:sz w:val="20"/>
          <w:szCs w:val="20"/>
          <w:u w:val="none"/>
        </w:rPr>
        <w:t>E DA FIADORA</w:t>
      </w:r>
    </w:p>
    <w:p w:rsidR="00A45162" w:rsidRPr="007552BF" w14:paraId="4620946E" w14:textId="77777777">
      <w:pPr>
        <w:pStyle w:val="Level2"/>
        <w:widowControl w:val="0"/>
        <w:spacing w:before="140" w:after="0"/>
        <w:rPr>
          <w:rFonts w:cs="Arial"/>
          <w:w w:val="0"/>
          <w:szCs w:val="20"/>
        </w:rPr>
      </w:pPr>
      <w:bookmarkStart w:id="313" w:name="_DV_M408"/>
      <w:bookmarkStart w:id="314" w:name="_DV_M409"/>
      <w:bookmarkStart w:id="315" w:name="_Ref65841275"/>
      <w:bookmarkEnd w:id="313"/>
      <w:bookmarkEnd w:id="314"/>
      <w:r w:rsidRPr="007552BF">
        <w:rPr>
          <w:rFonts w:cs="Arial"/>
          <w:b/>
          <w:bCs/>
          <w:w w:val="0"/>
          <w:szCs w:val="20"/>
        </w:rPr>
        <w:t>A Emissora declara e garante ao Agente Fiduciário que</w:t>
      </w:r>
      <w:r w:rsidRPr="007552BF">
        <w:rPr>
          <w:rFonts w:cs="Arial"/>
          <w:w w:val="0"/>
          <w:szCs w:val="20"/>
        </w:rPr>
        <w:t>:</w:t>
      </w:r>
      <w:bookmarkEnd w:id="315"/>
    </w:p>
    <w:p w:rsidR="008B4BA5" w:rsidRPr="007552BF" w14:paraId="6AEB1706" w14:textId="77777777">
      <w:pPr>
        <w:pStyle w:val="Level4"/>
        <w:widowControl w:val="0"/>
        <w:tabs>
          <w:tab w:val="num" w:pos="1383"/>
          <w:tab w:val="clear" w:pos="2041"/>
        </w:tabs>
        <w:spacing w:before="140" w:after="0"/>
        <w:ind w:left="1385"/>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14:paraId="57DF43EE" w14:textId="77777777">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14:paraId="2B3DD9F4"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14:paraId="7EDF2CF8" w14:textId="77777777">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14:paraId="52CD234C" w14:textId="77777777">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14:paraId="22D00888" w14:textId="77777777">
      <w:pPr>
        <w:pStyle w:val="Level4"/>
        <w:widowControl w:val="0"/>
        <w:tabs>
          <w:tab w:val="num" w:pos="1383"/>
          <w:tab w:val="clear" w:pos="2041"/>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rsidR="008B4BA5" w:rsidRPr="007552BF" w14:paraId="21E40ECB" w14:textId="77777777">
      <w:pPr>
        <w:pStyle w:val="Level4"/>
        <w:widowControl w:val="0"/>
        <w:tabs>
          <w:tab w:val="num" w:pos="1383"/>
          <w:tab w:val="clear" w:pos="2041"/>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rsidR="008B4BA5" w:rsidRPr="007552BF" w14:paraId="45183CDD"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Pr="0061407E" w:rsidR="001F4467">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Pr="0061407E" w:rsidR="001F4467">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rsidR="008B4BA5" w:rsidRPr="007552BF" w14:paraId="4DE3D030"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14:paraId="37B69C7A" w14:textId="77777777">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e a forma de cálculo da Remuneração foi acordada por livre vontade da Emissora, em observância ao princípio da boa-fé;</w:t>
      </w:r>
    </w:p>
    <w:p w:rsidR="008B4BA5" w:rsidP="00C2566B" w14:paraId="739DC265" w14:textId="77777777">
      <w:pPr>
        <w:pStyle w:val="Level4"/>
        <w:widowControl w:val="0"/>
        <w:tabs>
          <w:tab w:val="num" w:pos="1383"/>
          <w:tab w:val="clear" w:pos="2041"/>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rsidR="008B4BA5" w:rsidRPr="007552BF" w14:paraId="063780E0"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14:paraId="1A57BF4F" w14:textId="77777777">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00F55686">
        <w:rPr>
          <w:rFonts w:cs="Arial"/>
          <w:szCs w:val="20"/>
        </w:rPr>
        <w:t>2020</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F55686">
        <w:rPr>
          <w:rFonts w:cs="Arial"/>
          <w:szCs w:val="20"/>
        </w:rPr>
        <w:t>20</w:t>
      </w:r>
      <w:r w:rsidR="00F55686">
        <w:rPr>
          <w:rFonts w:cs="Arial"/>
          <w:szCs w:val="20"/>
        </w:rPr>
        <w:t>18</w:t>
      </w:r>
      <w:r w:rsidRPr="001D7836" w:rsidR="00F55686">
        <w:rPr>
          <w:rFonts w:cs="Arial"/>
          <w:szCs w:val="20"/>
        </w:rPr>
        <w:t xml:space="preserve"> </w:t>
      </w:r>
      <w:r w:rsidRPr="00870060" w:rsidR="001D7836">
        <w:rPr>
          <w:rFonts w:cs="Arial"/>
          <w:szCs w:val="20"/>
        </w:rPr>
        <w:t xml:space="preserve">e ao período de seis meses </w:t>
      </w:r>
      <w:r w:rsidR="00F55686">
        <w:rPr>
          <w:rFonts w:cs="Arial"/>
          <w:szCs w:val="20"/>
        </w:rPr>
        <w:t>encerrado</w:t>
      </w:r>
      <w:r w:rsidRPr="00870060" w:rsidR="00F55686">
        <w:rPr>
          <w:rFonts w:cs="Arial"/>
          <w:szCs w:val="20"/>
        </w:rPr>
        <w:t xml:space="preserve"> </w:t>
      </w:r>
      <w:r w:rsidRPr="00870060" w:rsidR="001D7836">
        <w:rPr>
          <w:rFonts w:cs="Arial"/>
          <w:szCs w:val="20"/>
        </w:rPr>
        <w:t>em 30 de junho de 2021</w:t>
      </w:r>
      <w:r w:rsidR="001D7836">
        <w:rPr>
          <w:rFonts w:cs="Arial"/>
          <w:szCs w:val="20"/>
        </w:rPr>
        <w:t xml:space="preserve"> </w:t>
      </w:r>
      <w:r w:rsidRPr="00870060" w:rsidR="001D7836">
        <w:rPr>
          <w:rFonts w:cs="Arial"/>
          <w:szCs w:val="20"/>
        </w:rPr>
        <w:t>e 2020</w:t>
      </w:r>
      <w:r w:rsidR="00F55686">
        <w:rPr>
          <w:rFonts w:cs="Arial"/>
          <w:szCs w:val="20"/>
        </w:rPr>
        <w:t>,</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14:paraId="3352FA70" w14:textId="77777777">
      <w:pPr>
        <w:pStyle w:val="Level4"/>
        <w:widowControl w:val="0"/>
        <w:tabs>
          <w:tab w:val="num" w:pos="1383"/>
          <w:tab w:val="clear" w:pos="2041"/>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 xml:space="preserve">exceto por aqueles descumprimentos que não possam razoavelmente resultar em um Efeito Adverso Relevante e, quando relacionados a questões ambientais, em um impacto </w:t>
      </w:r>
      <w:r w:rsidRPr="007552BF" w:rsidR="00193814">
        <w:rPr>
          <w:rFonts w:cs="Arial"/>
          <w:szCs w:val="20"/>
        </w:rPr>
        <w:t>reputacional</w:t>
      </w:r>
      <w:r w:rsidRPr="007552BF" w:rsidR="00193814">
        <w:rPr>
          <w:rFonts w:cs="Arial"/>
          <w:szCs w:val="20"/>
        </w:rPr>
        <w:t xml:space="preserve"> relevante à Emissora;</w:t>
      </w:r>
    </w:p>
    <w:p w:rsidR="008B4BA5" w:rsidRPr="007552BF" w14:paraId="115E7222"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14:paraId="6F4D34DA"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14:paraId="7FF1795D"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1407E" w:rsidR="0053243D">
        <w:rPr>
          <w:b/>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1407E" w:rsidR="0053243D">
        <w:rPr>
          <w:b/>
        </w:rPr>
        <w:t>(</w:t>
      </w:r>
      <w:r w:rsidR="00AA04CB">
        <w:rPr>
          <w:b/>
        </w:rPr>
        <w:t>1</w:t>
      </w:r>
      <w:r w:rsidRPr="0061407E" w:rsidR="0053243D">
        <w:rPr>
          <w:b/>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1407E" w:rsidR="0053243D">
        <w:rPr>
          <w:b/>
        </w:rPr>
        <w:t>(</w:t>
      </w:r>
      <w:r w:rsidR="00AA04CB">
        <w:rPr>
          <w:b/>
        </w:rPr>
        <w:t>2</w:t>
      </w:r>
      <w:r w:rsidRPr="0061407E" w:rsidR="0053243D">
        <w:rPr>
          <w:b/>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14:paraId="6DC9F3D2"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14:paraId="779BB60C" w14:textId="77777777">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14:paraId="2BA3E6D1" w14:textId="1E54DFF5">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00DD458C">
        <w:rPr>
          <w:rFonts w:cs="Arial"/>
          <w:szCs w:val="20"/>
        </w:rPr>
        <w:t xml:space="preserve"> e</w:t>
      </w:r>
    </w:p>
    <w:p w:rsidR="007E24EA" w14:paraId="49DAAE86" w14:textId="5B324603">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r w:rsidRPr="007552BF">
        <w:rPr>
          <w:rFonts w:cs="Arial"/>
          <w:szCs w:val="20"/>
        </w:rPr>
        <w:t>bra</w:t>
      </w:r>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r w:rsidRPr="007552BF">
        <w:rPr>
          <w:rFonts w:cs="Arial"/>
          <w:szCs w:val="20"/>
        </w:rPr>
        <w:t>ii</w:t>
      </w:r>
      <w:r w:rsidRPr="007552BF">
        <w:rPr>
          <w:rFonts w:cs="Arial"/>
          <w:szCs w:val="20"/>
        </w:rPr>
        <w:t xml:space="preserve">) Standard &amp; </w:t>
      </w:r>
      <w:r w:rsidRPr="007552BF">
        <w:rPr>
          <w:rFonts w:cs="Arial"/>
          <w:szCs w:val="20"/>
        </w:rPr>
        <w:t>Poor's</w:t>
      </w:r>
      <w:r w:rsidRPr="007552BF">
        <w:rPr>
          <w:rFonts w:cs="Arial"/>
          <w:szCs w:val="20"/>
        </w:rPr>
        <w:t>: “</w:t>
      </w:r>
      <w:r w:rsidRPr="007552BF">
        <w:rPr>
          <w:rFonts w:cs="Arial"/>
          <w:szCs w:val="20"/>
        </w:rPr>
        <w:t>brAA</w:t>
      </w:r>
      <w:r w:rsidRPr="007552BF">
        <w:rPr>
          <w:rFonts w:cs="Arial"/>
          <w:szCs w:val="20"/>
        </w:rPr>
        <w:t>+”, em 15 de julho de 2019 e (</w:t>
      </w:r>
      <w:r w:rsidRPr="007552BF">
        <w:rPr>
          <w:rFonts w:cs="Arial"/>
          <w:szCs w:val="20"/>
        </w:rPr>
        <w:t>iii</w:t>
      </w:r>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DD458C">
        <w:rPr>
          <w:rFonts w:cs="Arial"/>
          <w:szCs w:val="20"/>
        </w:rPr>
        <w:t>.</w:t>
      </w:r>
    </w:p>
    <w:p w:rsidR="00A45162" w:rsidRPr="007552BF" w14:paraId="65663946" w14:textId="780618D8">
      <w:pPr>
        <w:pStyle w:val="Level2"/>
        <w:widowControl w:val="0"/>
        <w:spacing w:before="140" w:after="0"/>
        <w:rPr>
          <w:rFonts w:cs="Arial"/>
          <w:b/>
          <w:bCs/>
          <w:w w:val="0"/>
          <w:szCs w:val="20"/>
        </w:rPr>
      </w:pPr>
      <w:bookmarkStart w:id="316" w:name="_DV_M410"/>
      <w:bookmarkStart w:id="317" w:name="_DV_M411"/>
      <w:bookmarkStart w:id="318" w:name="_DV_M412"/>
      <w:bookmarkStart w:id="319" w:name="_DV_M413"/>
      <w:bookmarkStart w:id="320" w:name="_DV_M138"/>
      <w:bookmarkStart w:id="321" w:name="_DV_M139"/>
      <w:bookmarkStart w:id="322" w:name="_DV_M140"/>
      <w:bookmarkStart w:id="323" w:name="_DV_M141"/>
      <w:bookmarkStart w:id="324" w:name="_DV_M142"/>
      <w:bookmarkStart w:id="325" w:name="_DV_M143"/>
      <w:bookmarkStart w:id="326" w:name="_DV_M144"/>
      <w:bookmarkStart w:id="327" w:name="_DV_M145"/>
      <w:bookmarkStart w:id="328" w:name="_DV_M146"/>
      <w:bookmarkStart w:id="329" w:name="_DV_M148"/>
      <w:bookmarkStart w:id="330" w:name="_DV_M149"/>
      <w:bookmarkStart w:id="331" w:name="_DV_M154"/>
      <w:bookmarkStart w:id="332" w:name="_DV_M155"/>
      <w:bookmarkStart w:id="333" w:name="_DV_M156"/>
      <w:bookmarkStart w:id="334" w:name="_Ref6584128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552BF">
        <w:rPr>
          <w:rFonts w:cs="Arial"/>
          <w:b/>
          <w:bCs/>
          <w:w w:val="0"/>
          <w:szCs w:val="20"/>
        </w:rPr>
        <w:t>A Fiadora declara e garante ao Agente Fiduciário que:</w:t>
      </w:r>
      <w:bookmarkEnd w:id="334"/>
      <w:r w:rsidRPr="007552BF" w:rsidR="00502D14">
        <w:rPr>
          <w:rFonts w:cs="Arial"/>
          <w:b/>
          <w:bCs/>
          <w:w w:val="0"/>
          <w:szCs w:val="20"/>
        </w:rPr>
        <w:t xml:space="preserve"> </w:t>
      </w:r>
    </w:p>
    <w:p w:rsidR="00F90FCE" w:rsidRPr="007552BF" w14:paraId="1DB0102B" w14:textId="77777777">
      <w:pPr>
        <w:pStyle w:val="Level4"/>
        <w:widowControl w:val="0"/>
        <w:tabs>
          <w:tab w:val="num" w:pos="1361"/>
          <w:tab w:val="clear" w:pos="2041"/>
        </w:tabs>
        <w:spacing w:before="140" w:after="0"/>
        <w:ind w:left="1360"/>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14:paraId="0668FE04"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14:paraId="04E5A25E" w14:textId="77777777">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14:paraId="7892AB7D" w14:textId="77777777">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14:paraId="2DC9D53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14:paraId="3305941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14:paraId="780F32E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a Fiança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14:paraId="7A2003F4" w14:textId="77777777">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1407E" w:rsidR="00CB615F">
        <w:rPr>
          <w:b/>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1407E" w:rsidR="00CB615F">
        <w:rPr>
          <w:b/>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1407E">
        <w:rPr>
          <w:b/>
        </w:rPr>
        <w:t>(c)</w:t>
      </w:r>
      <w:r w:rsidRPr="007552BF" w:rsidR="00CB615F">
        <w:rPr>
          <w:rFonts w:cs="Arial"/>
          <w:szCs w:val="20"/>
        </w:rPr>
        <w:t xml:space="preserve"> não resultarão em </w:t>
      </w:r>
      <w:r w:rsidRPr="0061407E" w:rsidR="00CB615F">
        <w:rPr>
          <w:b/>
        </w:rPr>
        <w:t>(</w:t>
      </w:r>
      <w:r w:rsidRPr="0061407E" w:rsidR="001F4467">
        <w:rPr>
          <w:b/>
        </w:rPr>
        <w:t>I</w:t>
      </w:r>
      <w:r w:rsidRPr="0061407E" w:rsidR="00CB615F">
        <w:rPr>
          <w:b/>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1407E" w:rsidR="00CB615F">
        <w:rPr>
          <w:b/>
        </w:rPr>
        <w:t>(</w:t>
      </w:r>
      <w:r w:rsidRPr="0061407E" w:rsidR="001F4467">
        <w:rPr>
          <w:b/>
        </w:rPr>
        <w:t>II</w:t>
      </w:r>
      <w:r w:rsidRPr="0061407E" w:rsidR="00D16C84">
        <w:rPr>
          <w:b/>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1407E" w:rsidR="00CB615F">
        <w:rPr>
          <w:b/>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1407E">
        <w:rPr>
          <w:b/>
        </w:rPr>
        <w:t>(e)</w:t>
      </w:r>
      <w:r w:rsidRPr="007552BF" w:rsidR="00CB615F">
        <w:rPr>
          <w:rFonts w:cs="Arial"/>
          <w:szCs w:val="20"/>
        </w:rPr>
        <w:t xml:space="preserve"> </w:t>
      </w:r>
      <w:r w:rsidRPr="007552BF">
        <w:rPr>
          <w:rFonts w:cs="Arial"/>
          <w:szCs w:val="20"/>
        </w:rPr>
        <w:t xml:space="preserve">não infringem qualquer 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1407E" w:rsidR="00CB615F">
        <w:rPr>
          <w:b/>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14:paraId="3944B196"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26378F" w14:paraId="1B5D8A68" w14:textId="77777777">
      <w:pPr>
        <w:pStyle w:val="Level4"/>
        <w:widowControl w:val="0"/>
        <w:tabs>
          <w:tab w:val="num" w:pos="1361"/>
          <w:tab w:val="clear" w:pos="204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rsidR="00F90FCE" w:rsidRPr="007552BF" w14:paraId="6E93731F"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14:paraId="29B4671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AA04CB">
        <w:rPr>
          <w:rFonts w:cs="Arial"/>
          <w:szCs w:val="20"/>
        </w:rPr>
        <w:t>20</w:t>
      </w:r>
      <w:r w:rsidR="00AA04CB">
        <w:rPr>
          <w:rFonts w:cs="Arial"/>
          <w:szCs w:val="20"/>
        </w:rPr>
        <w:t>20</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AA04CB">
        <w:rPr>
          <w:rFonts w:cs="Arial"/>
          <w:szCs w:val="20"/>
        </w:rPr>
        <w:t>20</w:t>
      </w:r>
      <w:r w:rsidR="00AA04CB">
        <w:rPr>
          <w:rFonts w:cs="Arial"/>
          <w:szCs w:val="20"/>
        </w:rPr>
        <w:t>18</w:t>
      </w:r>
      <w:r w:rsidRPr="00870060" w:rsidR="00AA04CB">
        <w:rPr>
          <w:rFonts w:ascii="Garamond" w:hAnsi="Garamond" w:eastAsiaTheme="minorEastAsia" w:cs="Calibri"/>
          <w:sz w:val="24"/>
        </w:rPr>
        <w:t xml:space="preserve"> </w:t>
      </w:r>
      <w:r w:rsidRPr="00870060" w:rsidR="00870060">
        <w:rPr>
          <w:rFonts w:cs="Arial"/>
          <w:szCs w:val="20"/>
        </w:rPr>
        <w:t xml:space="preserve">e ao período de seis meses </w:t>
      </w:r>
      <w:r w:rsidR="00AA04CB">
        <w:rPr>
          <w:rFonts w:cs="Arial"/>
          <w:szCs w:val="20"/>
        </w:rPr>
        <w:t>encerrado</w:t>
      </w:r>
      <w:r w:rsidRPr="00870060" w:rsidR="00AA04CB">
        <w:rPr>
          <w:rFonts w:cs="Arial"/>
          <w:szCs w:val="20"/>
        </w:rPr>
        <w:t xml:space="preserve"> </w:t>
      </w:r>
      <w:r w:rsidRPr="00870060" w:rsidR="00870060">
        <w:rPr>
          <w:rFonts w:cs="Arial"/>
          <w:szCs w:val="20"/>
        </w:rPr>
        <w:t>em 30 de junho de 2021</w:t>
      </w:r>
      <w:r w:rsidR="00870060">
        <w:rPr>
          <w:rFonts w:cs="Arial"/>
          <w:szCs w:val="20"/>
        </w:rPr>
        <w:t xml:space="preserve"> </w:t>
      </w:r>
      <w:r w:rsidRPr="00870060" w:rsid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14:paraId="08E2EC4B" w14:textId="77777777">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 xml:space="preserve">zoavelmente resultar em um Efeito Adverso Relevante e, quando relacionados a questões ambientais, em um impacto </w:t>
      </w:r>
      <w:r w:rsidRPr="007552BF" w:rsidR="0072583E">
        <w:rPr>
          <w:rFonts w:cs="Arial"/>
          <w:szCs w:val="20"/>
        </w:rPr>
        <w:t>reputacional</w:t>
      </w:r>
      <w:r w:rsidRPr="007552BF" w:rsidR="0072583E">
        <w:rPr>
          <w:rFonts w:cs="Arial"/>
          <w:szCs w:val="20"/>
        </w:rPr>
        <w:t xml:space="preserve"> relevante à Fiadora</w:t>
      </w:r>
      <w:r w:rsidRPr="007552BF">
        <w:rPr>
          <w:rFonts w:cs="Arial"/>
          <w:szCs w:val="20"/>
        </w:rPr>
        <w:t>;</w:t>
      </w:r>
    </w:p>
    <w:p w:rsidR="00F90FCE" w:rsidRPr="006E595D" w14:paraId="048FA90E"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14:paraId="16552D38"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14:paraId="5CB47A7C"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14:paraId="12CBC948" w14:textId="2E81BD6C">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w:t>
      </w:r>
      <w:r w:rsidR="00DD458C">
        <w:rPr>
          <w:rFonts w:cs="Arial"/>
          <w:szCs w:val="20"/>
        </w:rPr>
        <w:t xml:space="preserve"> e</w:t>
      </w:r>
    </w:p>
    <w:p w:rsidR="001F4467" w14:paraId="2EF587A7" w14:textId="20255F17">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Pr="00282E0A" w:rsid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DD458C">
        <w:rPr>
          <w:rFonts w:cs="Arial"/>
          <w:szCs w:val="20"/>
        </w:rPr>
        <w:t>.</w:t>
      </w:r>
    </w:p>
    <w:p w:rsidR="00A45162" w:rsidRPr="007552BF" w14:paraId="1C61E9DC" w14:textId="7A40B5F8">
      <w:pPr>
        <w:pStyle w:val="Level3"/>
        <w:widowControl w:val="0"/>
        <w:spacing w:before="140" w:after="0"/>
        <w:rPr>
          <w:rFonts w:cs="Arial"/>
          <w:szCs w:val="20"/>
        </w:rPr>
      </w:pPr>
      <w:bookmarkStart w:id="335"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12.1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12.2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335"/>
      <w:r w:rsidRPr="007552BF">
        <w:rPr>
          <w:rFonts w:cs="Arial"/>
          <w:szCs w:val="20"/>
        </w:rPr>
        <w:t xml:space="preserve"> </w:t>
      </w:r>
      <w:bookmarkStart w:id="336" w:name="_DV_M126"/>
      <w:bookmarkEnd w:id="336"/>
    </w:p>
    <w:p w:rsidR="00A45162" w:rsidRPr="007552BF" w14:paraId="73556EBE" w14:textId="3012182D">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12.2.2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E92C30">
        <w:rPr>
          <w:rFonts w:cs="Arial"/>
          <w:w w:val="0"/>
          <w:szCs w:val="20"/>
        </w:rPr>
        <w:t>12.1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E92C30">
        <w:rPr>
          <w:rFonts w:cs="Arial"/>
          <w:w w:val="0"/>
          <w:szCs w:val="20"/>
        </w:rPr>
        <w:t>12.2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14:paraId="2F86565A" w14:textId="77777777">
      <w:pPr>
        <w:pStyle w:val="Level1"/>
        <w:keepNext w:val="0"/>
        <w:widowControl w:val="0"/>
        <w:spacing w:before="140" w:after="0"/>
        <w:rPr>
          <w:rFonts w:cs="Arial"/>
          <w:sz w:val="20"/>
          <w:szCs w:val="20"/>
        </w:rPr>
      </w:pPr>
      <w:bookmarkStart w:id="337" w:name="_DV_M415"/>
      <w:bookmarkStart w:id="338" w:name="_Toc499990386"/>
      <w:bookmarkStart w:id="339" w:name="_Toc312057170"/>
      <w:bookmarkEnd w:id="337"/>
      <w:r w:rsidRPr="00F95AE7">
        <w:rPr>
          <w:rFonts w:cs="Arial"/>
          <w:sz w:val="20"/>
          <w:szCs w:val="20"/>
        </w:rPr>
        <w:t>DISPOSIÇÕES GERAIS</w:t>
      </w:r>
      <w:bookmarkEnd w:id="338"/>
      <w:bookmarkEnd w:id="339"/>
    </w:p>
    <w:p w:rsidR="00A45162" w:rsidRPr="00F95AE7" w14:paraId="4FAB80C1" w14:textId="77777777">
      <w:pPr>
        <w:pStyle w:val="Level2"/>
        <w:widowControl w:val="0"/>
        <w:spacing w:before="140" w:after="0"/>
        <w:rPr>
          <w:rFonts w:cs="Arial"/>
          <w:color w:val="000000"/>
          <w:w w:val="0"/>
          <w:szCs w:val="20"/>
        </w:rPr>
      </w:pPr>
      <w:bookmarkStart w:id="340" w:name="_DV_M416"/>
      <w:bookmarkEnd w:id="340"/>
      <w:r w:rsidRPr="007552BF">
        <w:rPr>
          <w:rFonts w:cs="Arial"/>
          <w:b/>
          <w:bCs/>
          <w:w w:val="0"/>
          <w:szCs w:val="20"/>
        </w:rPr>
        <w:t>Comunicações</w:t>
      </w:r>
      <w:r w:rsidRPr="00F95AE7" w:rsidR="00EE2942">
        <w:rPr>
          <w:rFonts w:cs="Arial"/>
          <w:b/>
          <w:w w:val="0"/>
          <w:szCs w:val="20"/>
        </w:rPr>
        <w:t xml:space="preserve">. </w:t>
      </w:r>
      <w:bookmarkStart w:id="341" w:name="_DV_M417"/>
      <w:bookmarkEnd w:id="341"/>
      <w:r w:rsidRPr="007552BF">
        <w:rPr>
          <w:rFonts w:cs="Arial"/>
          <w:w w:val="0"/>
          <w:szCs w:val="20"/>
        </w:rPr>
        <w:t>As comunicações a serem enviadas por qualquer das partes nos termos desta Escritura deverão ser encaminhadas para os seguintes endereços:</w:t>
      </w:r>
    </w:p>
    <w:p w:rsidR="00A45162" w:rsidRPr="007552BF" w14:paraId="01773F96" w14:textId="77777777">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14:paraId="56CF1E4E" w14:textId="77777777">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DA7904" w14:paraId="62CA74BF" w14:textId="23C21C0B">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Pr="00F92F54" w:rsid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r w:rsidR="009F54F9">
        <w:rPr>
          <w:rStyle w:val="Hyperlink"/>
          <w:rFonts w:ascii="Arial" w:hAnsi="Arial" w:cs="Arial"/>
          <w:sz w:val="20"/>
          <w:szCs w:val="20"/>
        </w:rPr>
        <w:t xml:space="preserve"> / gisomar.marinho@light.com.br</w:t>
      </w:r>
    </w:p>
    <w:p w:rsidR="00A45162" w:rsidRPr="007552BF" w14:paraId="0BEDA399" w14:textId="77777777">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14:paraId="36A9E0C0" w14:textId="5803B497">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 xml:space="preserve">Gustavo Werneck Souza e </w:t>
      </w:r>
      <w:r w:rsidRPr="007552BF" w:rsidR="005406B8">
        <w:rPr>
          <w:rFonts w:ascii="Arial" w:hAnsi="Arial" w:cs="Arial"/>
          <w:sz w:val="20"/>
          <w:szCs w:val="20"/>
        </w:rPr>
        <w:t xml:space="preserve">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sidR="005406B8">
        <w:rPr>
          <w:rFonts w:ascii="Arial" w:hAnsi="Arial" w:cs="Arial"/>
          <w:color w:val="000000"/>
          <w:sz w:val="20"/>
          <w:szCs w:val="20"/>
        </w:rPr>
        <w:br/>
        <w:t xml:space="preserve">Telefone: </w:t>
      </w:r>
      <w:r w:rsidRPr="007552BF" w:rsidR="005406B8">
        <w:rPr>
          <w:rFonts w:ascii="Arial" w:hAnsi="Arial" w:cs="Arial"/>
          <w:sz w:val="20"/>
          <w:szCs w:val="20"/>
        </w:rPr>
        <w:t xml:space="preserve">(21) 2211-2560 / </w:t>
      </w:r>
      <w:r w:rsidRPr="00F92F54" w:rsidR="00F92F54">
        <w:rPr>
          <w:rFonts w:ascii="Arial" w:hAnsi="Arial" w:cs="Arial"/>
          <w:sz w:val="20"/>
          <w:szCs w:val="20"/>
        </w:rPr>
        <w:t>(21) 2211-2623</w:t>
      </w:r>
      <w:r w:rsidRPr="007552BF" w:rsidR="005406B8">
        <w:rPr>
          <w:rFonts w:ascii="Arial" w:hAnsi="Arial" w:cs="Arial"/>
          <w:color w:val="000000"/>
          <w:sz w:val="20"/>
          <w:szCs w:val="20"/>
        </w:rPr>
        <w:br/>
        <w:t>Fax: (21) 2211-2777</w:t>
      </w:r>
      <w:r w:rsidRPr="007552BF" w:rsidR="005406B8">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sidR="005406B8">
        <w:rPr>
          <w:rStyle w:val="Hyperlink"/>
          <w:rFonts w:ascii="Arial" w:hAnsi="Arial" w:cs="Arial"/>
          <w:sz w:val="20"/>
          <w:szCs w:val="20"/>
        </w:rPr>
        <w:t>gr_operfin@light.com.br /</w:t>
      </w:r>
      <w:r>
        <w:fldChar w:fldCharType="end"/>
      </w:r>
      <w:r w:rsidRPr="007552BF" w:rsidR="005406B8">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sidR="005406B8">
        <w:rPr>
          <w:rStyle w:val="Hyperlink"/>
          <w:rFonts w:ascii="Arial" w:hAnsi="Arial" w:cs="Arial"/>
          <w:sz w:val="20"/>
          <w:szCs w:val="20"/>
        </w:rPr>
        <w:t>gustavo.souza@light.com.br</w:t>
      </w:r>
      <w:r>
        <w:fldChar w:fldCharType="end"/>
      </w:r>
      <w:r w:rsidR="005406B8">
        <w:rPr>
          <w:rStyle w:val="Hyperlink"/>
          <w:rFonts w:ascii="Arial" w:hAnsi="Arial" w:cs="Arial"/>
          <w:sz w:val="20"/>
          <w:szCs w:val="20"/>
        </w:rPr>
        <w:t xml:space="preserve"> / gisomar.marinho@light.com.br</w:t>
      </w:r>
    </w:p>
    <w:p w:rsidR="00A45162" w:rsidRPr="007552BF" w14:paraId="2E1FFA1F" w14:textId="77777777">
      <w:pPr>
        <w:pStyle w:val="Level4"/>
        <w:widowControl w:val="0"/>
        <w:tabs>
          <w:tab w:val="num" w:pos="1361"/>
          <w:tab w:val="clear" w:pos="2041"/>
        </w:tabs>
        <w:spacing w:before="140" w:after="0"/>
        <w:ind w:left="1361"/>
        <w:rPr>
          <w:rFonts w:cs="Arial"/>
          <w:color w:val="000000"/>
          <w:w w:val="0"/>
          <w:szCs w:val="20"/>
        </w:rPr>
      </w:pPr>
      <w:bookmarkStart w:id="342" w:name="_DV_M424"/>
      <w:bookmarkEnd w:id="342"/>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14:paraId="1BCB3EF8" w14:textId="77777777">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14:paraId="5F3B836A" w14:textId="77777777">
      <w:pPr>
        <w:pStyle w:val="Level4"/>
        <w:widowControl w:val="0"/>
        <w:tabs>
          <w:tab w:val="num" w:pos="1361"/>
          <w:tab w:val="clear" w:pos="2041"/>
        </w:tabs>
        <w:spacing w:before="140" w:after="0"/>
        <w:ind w:left="709" w:firstLine="0"/>
        <w:rPr>
          <w:rFonts w:cs="Arial"/>
          <w:color w:val="000000"/>
          <w:w w:val="0"/>
          <w:szCs w:val="20"/>
        </w:rPr>
      </w:pPr>
      <w:bookmarkStart w:id="343" w:name="_DV_M450"/>
      <w:bookmarkStart w:id="344" w:name="_DV_M452"/>
      <w:bookmarkStart w:id="345" w:name="_DV_M453"/>
      <w:bookmarkStart w:id="346" w:name="_DV_M454"/>
      <w:bookmarkStart w:id="347" w:name="_DV_M375"/>
      <w:bookmarkStart w:id="348" w:name="_DV_M376"/>
      <w:bookmarkStart w:id="349" w:name="_DV_M377"/>
      <w:bookmarkStart w:id="350" w:name="_DV_M378"/>
      <w:bookmarkStart w:id="351" w:name="_DV_M426"/>
      <w:bookmarkEnd w:id="343"/>
      <w:bookmarkEnd w:id="344"/>
      <w:bookmarkEnd w:id="345"/>
      <w:bookmarkEnd w:id="346"/>
      <w:bookmarkEnd w:id="347"/>
      <w:bookmarkEnd w:id="348"/>
      <w:bookmarkEnd w:id="349"/>
      <w:bookmarkEnd w:id="350"/>
      <w:bookmarkEnd w:id="351"/>
      <w:r w:rsidRPr="007552BF">
        <w:rPr>
          <w:rFonts w:cs="Arial"/>
          <w:color w:val="000000"/>
          <w:w w:val="0"/>
          <w:szCs w:val="20"/>
        </w:rPr>
        <w:t>para o Banco Liquidante:</w:t>
      </w:r>
    </w:p>
    <w:p w:rsidR="00C53C50" w14:paraId="092D52C0" w14:textId="2133F852">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Pr="007552BF" w:rsidR="00E606BF">
        <w:rPr>
          <w:rFonts w:ascii="Arial" w:hAnsi="Arial" w:cs="Arial"/>
          <w:b/>
          <w:sz w:val="20"/>
        </w:rPr>
        <w:br/>
      </w:r>
      <w:r w:rsidRPr="00210F79" w:rsidR="00210F79">
        <w:rPr>
          <w:rFonts w:ascii="Arial" w:hAnsi="Arial" w:cs="Arial"/>
          <w:color w:val="000000"/>
          <w:sz w:val="20"/>
          <w:lang w:eastAsia="pt-BR"/>
        </w:rPr>
        <w:t>Praça Alfredo Egydio de Souza Aranha, nº 100</w:t>
      </w:r>
      <w:r w:rsidRPr="00083831" w:rsidR="00E606BF">
        <w:rPr>
          <w:rFonts w:ascii="Arial" w:hAnsi="Arial" w:cs="Arial"/>
          <w:color w:val="000000"/>
          <w:sz w:val="20"/>
          <w:lang w:eastAsia="pt-BR"/>
        </w:rPr>
        <w:br/>
      </w:r>
      <w:r w:rsidRPr="00210F79" w:rsidR="00210F79">
        <w:rPr>
          <w:rFonts w:ascii="Arial" w:hAnsi="Arial" w:cs="Arial"/>
          <w:color w:val="000000"/>
          <w:sz w:val="20"/>
          <w:lang w:eastAsia="pt-BR"/>
        </w:rPr>
        <w:t>04344-902</w:t>
      </w:r>
      <w:r w:rsidR="00210F79">
        <w:rPr>
          <w:rFonts w:ascii="Arial" w:hAnsi="Arial" w:cs="Arial"/>
          <w:color w:val="000000"/>
          <w:sz w:val="20"/>
          <w:lang w:eastAsia="pt-BR"/>
        </w:rPr>
        <w:t xml:space="preserve"> </w:t>
      </w:r>
      <w:r w:rsidRPr="006E595D" w:rsidR="00AF0F2E">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Pr="006E595D" w:rsidR="00AF0F2E">
        <w:rPr>
          <w:rFonts w:ascii="Arial" w:hAnsi="Arial" w:cs="Arial"/>
          <w:color w:val="000000"/>
          <w:sz w:val="20"/>
          <w:lang w:eastAsia="pt-BR"/>
        </w:rPr>
        <w:t>– SP</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At.: </w:t>
      </w:r>
      <w:r w:rsidRPr="00D62BCD">
        <w:rPr>
          <w:rFonts w:ascii="Arial" w:hAnsi="Arial" w:cs="Arial"/>
          <w:color w:val="000000"/>
          <w:sz w:val="20"/>
          <w:lang w:eastAsia="pt-BR"/>
        </w:rPr>
        <w:t>Melissa Braga</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Pr="006E595D" w:rsidR="00E606BF">
        <w:rPr>
          <w:rFonts w:ascii="Arial" w:hAnsi="Arial" w:cs="Arial"/>
          <w:color w:val="000000"/>
          <w:sz w:val="20"/>
          <w:lang w:eastAsia="pt-BR"/>
        </w:rPr>
        <w:br/>
        <w:t>E-mail</w:t>
      </w:r>
      <w:r w:rsidRPr="006E595D" w:rsidR="00AF0F2E">
        <w:rPr>
          <w:rFonts w:ascii="Arial" w:hAnsi="Arial" w:cs="Arial"/>
          <w:color w:val="000000"/>
          <w:sz w:val="20"/>
          <w:lang w:eastAsia="pt-BR"/>
        </w:rPr>
        <w:t xml:space="preserve">: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r w:rsidRPr="007552BF" w:rsidR="00AF0F2E">
        <w:rPr>
          <w:rFonts w:ascii="Arial" w:eastAsia="Arial Unicode MS" w:hAnsi="Arial" w:cs="Arial"/>
          <w:sz w:val="20"/>
        </w:rPr>
        <w:t xml:space="preserve"> </w:t>
      </w:r>
    </w:p>
    <w:p w:rsidR="00D62BCD" w:rsidP="00D62BCD" w14:paraId="2ACC500A" w14:textId="77777777">
      <w:pPr>
        <w:pStyle w:val="Level4"/>
        <w:widowControl w:val="0"/>
        <w:tabs>
          <w:tab w:val="num" w:pos="1361"/>
          <w:tab w:val="clear" w:pos="2041"/>
        </w:tabs>
        <w:spacing w:before="140" w:after="0"/>
        <w:ind w:left="709" w:firstLine="0"/>
        <w:rPr>
          <w:rFonts w:cs="Arial"/>
          <w:color w:val="000000"/>
          <w:lang w:eastAsia="pt-BR"/>
        </w:rPr>
      </w:pPr>
      <w:r>
        <w:rPr>
          <w:rFonts w:cs="Arial"/>
          <w:color w:val="000000"/>
          <w:lang w:eastAsia="pt-BR"/>
        </w:rPr>
        <w:t xml:space="preserve">para o </w:t>
      </w:r>
      <w:r>
        <w:rPr>
          <w:rFonts w:cs="Arial"/>
          <w:color w:val="000000"/>
          <w:lang w:eastAsia="pt-BR"/>
        </w:rPr>
        <w:t>Escriturador</w:t>
      </w:r>
      <w:r>
        <w:rPr>
          <w:rFonts w:cs="Arial"/>
          <w:color w:val="000000"/>
          <w:lang w:eastAsia="pt-BR"/>
        </w:rPr>
        <w:t>:</w:t>
      </w:r>
    </w:p>
    <w:p w:rsidR="00D62BCD" w:rsidRPr="003549E9" w:rsidP="003549E9" w14:paraId="7B2763A0" w14:textId="77777777">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rsidR="00210F79" w:rsidRPr="00F95AE7" w:rsidP="003549E9" w14:paraId="3125E2B8" w14:textId="61CA381B">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p>
    <w:p w:rsidR="00A45162" w:rsidRPr="006E595D" w14:paraId="15776E69" w14:textId="77777777">
      <w:pPr>
        <w:pStyle w:val="Level2"/>
        <w:widowControl w:val="0"/>
        <w:spacing w:before="140" w:after="0"/>
        <w:rPr>
          <w:rStyle w:val="DeltaViewInsertion"/>
          <w:rFonts w:cs="Arial"/>
          <w:color w:val="auto"/>
          <w:szCs w:val="20"/>
          <w:u w:val="none"/>
          <w:lang w:val="pt-BR" w:eastAsia="en-US"/>
        </w:rPr>
      </w:pPr>
      <w:bookmarkStart w:id="352" w:name="_DV_M428"/>
      <w:bookmarkEnd w:id="352"/>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rsidR="00A45162" w:rsidRPr="007552BF" w14:paraId="21D36326" w14:textId="77777777">
      <w:pPr>
        <w:pStyle w:val="Level2"/>
        <w:widowControl w:val="0"/>
        <w:spacing w:before="140" w:after="0"/>
        <w:rPr>
          <w:rFonts w:cs="Arial"/>
          <w:szCs w:val="20"/>
        </w:rPr>
      </w:pPr>
      <w:bookmarkStart w:id="353"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3"/>
    </w:p>
    <w:p w:rsidR="00A45162" w:rsidRPr="007552BF" w14:paraId="458F7AB4" w14:textId="77777777">
      <w:pPr>
        <w:pStyle w:val="Level2"/>
        <w:widowControl w:val="0"/>
        <w:spacing w:before="140" w:after="0"/>
        <w:rPr>
          <w:rFonts w:cs="Arial"/>
          <w:w w:val="0"/>
          <w:szCs w:val="20"/>
        </w:rPr>
      </w:pPr>
      <w:bookmarkStart w:id="354" w:name="_DV_M429"/>
      <w:bookmarkEnd w:id="354"/>
      <w:r w:rsidRPr="007552BF">
        <w:rPr>
          <w:rFonts w:cs="Arial"/>
          <w:b/>
          <w:bCs/>
          <w:w w:val="0"/>
          <w:szCs w:val="20"/>
        </w:rPr>
        <w:t>Renúncia</w:t>
      </w:r>
    </w:p>
    <w:p w:rsidR="00A45162" w:rsidRPr="007552BF" w14:paraId="2C631353" w14:textId="77777777">
      <w:pPr>
        <w:pStyle w:val="Level3"/>
        <w:widowControl w:val="0"/>
        <w:spacing w:before="140" w:after="0"/>
        <w:rPr>
          <w:rFonts w:cs="Arial"/>
          <w:w w:val="0"/>
          <w:szCs w:val="20"/>
        </w:rPr>
      </w:pPr>
      <w:bookmarkStart w:id="355" w:name="_DV_M430"/>
      <w:bookmarkEnd w:id="355"/>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14:paraId="6FE91903" w14:textId="77777777">
      <w:pPr>
        <w:pStyle w:val="Level2"/>
        <w:widowControl w:val="0"/>
        <w:spacing w:before="140" w:after="0"/>
        <w:rPr>
          <w:rFonts w:cs="Arial"/>
          <w:w w:val="0"/>
          <w:szCs w:val="20"/>
        </w:rPr>
      </w:pPr>
      <w:r w:rsidRPr="007552BF">
        <w:rPr>
          <w:rFonts w:cs="Arial"/>
          <w:b/>
          <w:bCs/>
          <w:w w:val="0"/>
          <w:szCs w:val="20"/>
        </w:rPr>
        <w:t>Despesas</w:t>
      </w:r>
    </w:p>
    <w:p w:rsidR="00A45162" w:rsidRPr="007552BF" w14:paraId="5C717B54" w14:textId="77777777">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 xml:space="preserve">assessores legais, Banco Liquidante, </w:t>
      </w:r>
      <w:r w:rsidRPr="007552BF">
        <w:rPr>
          <w:rFonts w:cs="Arial"/>
          <w:szCs w:val="20"/>
        </w:rPr>
        <w:t>Escriturador</w:t>
      </w:r>
      <w:r w:rsidRPr="007552BF">
        <w:rPr>
          <w:rFonts w:cs="Arial"/>
          <w:szCs w:val="20"/>
        </w:rPr>
        <w:t xml:space="preserve"> e registros de documentos, que sejam expressamente aprovados pela Emissora.</w:t>
      </w:r>
    </w:p>
    <w:p w:rsidR="00A45162" w:rsidRPr="007552BF" w14:paraId="08952D72" w14:textId="77777777">
      <w:pPr>
        <w:pStyle w:val="Level2"/>
        <w:widowControl w:val="0"/>
        <w:spacing w:before="140" w:after="0"/>
        <w:rPr>
          <w:rFonts w:cs="Arial"/>
          <w:b/>
          <w:bCs/>
          <w:w w:val="0"/>
          <w:szCs w:val="20"/>
        </w:rPr>
      </w:pPr>
      <w:bookmarkStart w:id="356" w:name="_DV_M431"/>
      <w:bookmarkEnd w:id="356"/>
      <w:r w:rsidRPr="007552BF">
        <w:rPr>
          <w:rFonts w:cs="Arial"/>
          <w:b/>
          <w:bCs/>
          <w:w w:val="0"/>
          <w:szCs w:val="20"/>
        </w:rPr>
        <w:t>Título Executivo Extrajudicial e Execução Específica</w:t>
      </w:r>
    </w:p>
    <w:p w:rsidR="00A45162" w:rsidRPr="007552BF" w14:paraId="5DFD1F6A" w14:textId="77777777">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14:paraId="52AB1DC4" w14:textId="77777777">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14:paraId="09A1D680" w14:textId="77777777">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14:paraId="20AEAE5D" w14:textId="77777777">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14:paraId="6863F2A9" w14:textId="77777777">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14:paraId="5D61252B" w14:textId="77777777">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61407E" w:rsidR="00DD4C98">
        <w:rPr>
          <w:color w:val="000000"/>
          <w:w w:val="0"/>
          <w:lang w:val="x-none"/>
        </w:rPr>
        <w:t xml:space="preserve">Lei </w:t>
      </w:r>
      <w:r w:rsidRPr="00DD4C98" w:rsidR="00DD4C98">
        <w:rPr>
          <w:rFonts w:cs="Arial"/>
          <w:color w:val="000000"/>
          <w:w w:val="0"/>
          <w:szCs w:val="20"/>
          <w:lang w:val="x-none" w:eastAsia="x-none"/>
        </w:rPr>
        <w:t>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14:paraId="72DBD269" w14:textId="77777777">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14:paraId="762406A5" w14:textId="77777777">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xml:space="preserve">, por si e por seus administradores, diretores, </w:t>
      </w:r>
      <w:r w:rsidRPr="006E77BF" w:rsid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w:t>
      </w:r>
      <w:r w:rsidRPr="006E77BF" w:rsidR="006E77BF">
        <w:rPr>
          <w:rFonts w:cs="Arial"/>
          <w:w w:val="0"/>
          <w:szCs w:val="20"/>
        </w:rPr>
        <w:t xml:space="preserve">empregados </w:t>
      </w:r>
      <w:r w:rsidRPr="007552BF" w:rsidR="005863E0">
        <w:rPr>
          <w:rFonts w:cs="Arial"/>
          <w:w w:val="0"/>
          <w:szCs w:val="20"/>
        </w:rPr>
        <w:t>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14:paraId="5F1FD58F" w14:textId="77777777">
      <w:pPr>
        <w:pStyle w:val="Level3"/>
        <w:widowControl w:val="0"/>
        <w:spacing w:before="140" w:after="0"/>
        <w:rPr>
          <w:rFonts w:cs="Arial"/>
          <w:w w:val="0"/>
          <w:szCs w:val="20"/>
        </w:rPr>
      </w:pPr>
      <w:bookmarkStart w:id="357"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p w:rsidR="00A45162" w:rsidRPr="007552BF" w14:paraId="6350C542" w14:textId="77777777">
      <w:pPr>
        <w:pStyle w:val="Level3"/>
        <w:widowControl w:val="0"/>
        <w:spacing w:before="140" w:after="0"/>
        <w:rPr>
          <w:rFonts w:cs="Arial"/>
          <w:w w:val="0"/>
          <w:szCs w:val="20"/>
        </w:rPr>
      </w:pPr>
      <w:bookmarkEnd w:id="357"/>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invalidada ou nula e o contexto em que se insere.</w:t>
      </w:r>
    </w:p>
    <w:p w:rsidR="005877B1" w:rsidRPr="007552BF" w14:paraId="2CAC6DEA" w14:textId="77777777">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w:t>
      </w:r>
      <w:r w:rsidRPr="0061407E">
        <w:rPr>
          <w:b/>
          <w:w w:val="0"/>
        </w:rPr>
        <w:t>ii</w:t>
      </w:r>
      <w:r w:rsidRPr="0061407E">
        <w:rPr>
          <w:b/>
          <w:w w:val="0"/>
        </w:rPr>
        <w:t>)</w:t>
      </w:r>
      <w:r w:rsidRPr="007552BF">
        <w:rPr>
          <w:rFonts w:cs="Arial"/>
          <w:w w:val="0"/>
          <w:szCs w:val="20"/>
        </w:rPr>
        <w:t xml:space="preserve"> alterações a quaisquer documentos da Emissão já expressamente permitidas nos termos do(s) respectivo(s) documento(s) da Emissão, </w:t>
      </w:r>
      <w:r w:rsidRPr="0061407E">
        <w:rPr>
          <w:b/>
          <w:w w:val="0"/>
        </w:rPr>
        <w:t>(</w:t>
      </w:r>
      <w:r w:rsidRPr="0061407E">
        <w:rPr>
          <w:b/>
          <w:w w:val="0"/>
        </w:rPr>
        <w:t>iii</w:t>
      </w:r>
      <w:r w:rsidRPr="0061407E">
        <w:rPr>
          <w:b/>
          <w:w w:val="0"/>
        </w:rPr>
        <w:t>)</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1407E">
        <w:rPr>
          <w:b/>
          <w:w w:val="0"/>
        </w:rPr>
        <w:t>(</w:t>
      </w:r>
      <w:r w:rsidRPr="0061407E">
        <w:rPr>
          <w:b/>
          <w:w w:val="0"/>
        </w:rPr>
        <w:t>iv</w:t>
      </w:r>
      <w:r w:rsidRPr="0061407E">
        <w:rPr>
          <w:b/>
          <w:w w:val="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r w:rsidRPr="007552BF">
        <w:rPr>
          <w:rFonts w:cs="Arial"/>
          <w:w w:val="0"/>
          <w:szCs w:val="20"/>
        </w:rPr>
        <w:t>ii</w:t>
      </w:r>
      <w:r w:rsidRPr="007552BF">
        <w:rPr>
          <w:rFonts w:cs="Arial"/>
          <w:w w:val="0"/>
          <w:szCs w:val="20"/>
        </w:rPr>
        <w:t>), (</w:t>
      </w:r>
      <w:r w:rsidRPr="007552BF">
        <w:rPr>
          <w:rFonts w:cs="Arial"/>
          <w:w w:val="0"/>
          <w:szCs w:val="20"/>
        </w:rPr>
        <w:t>iii</w:t>
      </w:r>
      <w:r w:rsidRPr="007552BF">
        <w:rPr>
          <w:rFonts w:cs="Arial"/>
          <w:w w:val="0"/>
          <w:szCs w:val="20"/>
        </w:rPr>
        <w:t>) e (</w:t>
      </w:r>
      <w:r w:rsidRPr="007552BF">
        <w:rPr>
          <w:rFonts w:cs="Arial"/>
          <w:w w:val="0"/>
          <w:szCs w:val="20"/>
        </w:rPr>
        <w:t>iv</w:t>
      </w:r>
      <w:r w:rsidRPr="007552BF">
        <w:rPr>
          <w:rFonts w:cs="Arial"/>
          <w:w w:val="0"/>
          <w:szCs w:val="20"/>
        </w:rPr>
        <w:t>) acima, não possam acarretar qualquer prejuízo aos Debenturistas ou qualquer alteração no fluxo das Debêntures, e desde que não haja qualquer custo ou despesa adicional para os Debenturistas.</w:t>
      </w:r>
    </w:p>
    <w:p w:rsidR="00A45162" w:rsidRPr="007552BF" w14:paraId="6E0163ED" w14:textId="77777777">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14:paraId="46636499" w14:textId="77777777">
      <w:pPr>
        <w:pStyle w:val="Level1"/>
        <w:keepNext w:val="0"/>
        <w:widowControl w:val="0"/>
        <w:spacing w:before="140" w:after="0"/>
        <w:rPr>
          <w:rFonts w:cs="Arial"/>
          <w:b w:val="0"/>
          <w:bCs w:val="0"/>
          <w:w w:val="0"/>
          <w:sz w:val="20"/>
          <w:szCs w:val="20"/>
        </w:rPr>
      </w:pPr>
      <w:bookmarkStart w:id="358" w:name="_DV_M432"/>
      <w:bookmarkEnd w:id="358"/>
      <w:r w:rsidRPr="007552BF">
        <w:rPr>
          <w:rFonts w:cs="Arial"/>
          <w:bCs w:val="0"/>
          <w:w w:val="0"/>
          <w:sz w:val="20"/>
          <w:szCs w:val="20"/>
        </w:rPr>
        <w:t>FORO</w:t>
      </w:r>
    </w:p>
    <w:p w:rsidR="00A45162" w:rsidRPr="007552BF" w14:paraId="6E1711D4" w14:textId="77777777">
      <w:pPr>
        <w:pStyle w:val="Level2"/>
        <w:widowControl w:val="0"/>
        <w:spacing w:before="140" w:after="0"/>
        <w:rPr>
          <w:rFonts w:cs="Arial"/>
          <w:w w:val="0"/>
          <w:szCs w:val="20"/>
        </w:rPr>
      </w:pPr>
      <w:bookmarkStart w:id="359"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1F45FA" w:rsidP="0061407E" w14:paraId="0613E077" w14:textId="77777777">
      <w:pPr>
        <w:widowControl w:val="0"/>
        <w:autoSpaceDE/>
        <w:autoSpaceDN/>
        <w:adjustRightInd/>
        <w:spacing w:before="140" w:line="312" w:lineRule="auto"/>
        <w:jc w:val="both"/>
        <w:rPr>
          <w:rFonts w:ascii="Arial" w:eastAsia="Times New Roman" w:hAnsi="Arial" w:cs="Arial"/>
          <w:sz w:val="20"/>
          <w:szCs w:val="20"/>
        </w:rPr>
      </w:pPr>
      <w:bookmarkStart w:id="360" w:name="_Hlk62072935"/>
      <w:bookmarkStart w:id="361" w:name="_Hlk66627042"/>
      <w:bookmarkEnd w:id="359"/>
    </w:p>
    <w:p w:rsidR="001F45FA" w:rsidRPr="006278BC" w:rsidP="006278BC" w14:paraId="4396DED1" w14:textId="77777777">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rsidR="001F45FA" w:rsidRPr="006278BC" w:rsidP="003549E9" w14:paraId="0DEECA80" w14:textId="77777777">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3549E9" w14:paraId="1CDB4A6C" w14:textId="77777777">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60"/>
    </w:p>
    <w:p w:rsidR="0063457C" w:rsidRPr="00134471" w:rsidP="00E92C30" w14:paraId="43B7EFEA" w14:textId="77777777">
      <w:pPr>
        <w:pStyle w:val="Body"/>
        <w:keepNext/>
        <w:widowControl w:val="0"/>
        <w:spacing w:before="140" w:after="0"/>
        <w:jc w:val="center"/>
      </w:pPr>
      <w:bookmarkEnd w:id="361"/>
    </w:p>
    <w:p w:rsidR="0046382A" w:rsidRPr="007552BF" w:rsidP="003549E9" w14:paraId="045A10C4" w14:textId="0D7E74E6">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E41221">
        <w:rPr>
          <w:rFonts w:eastAsia="Arial Unicode MS"/>
          <w:smallCaps w:val="0"/>
          <w:szCs w:val="20"/>
        </w:rPr>
        <w:t>15</w:t>
      </w:r>
      <w:r w:rsidR="00E41221">
        <w:rPr>
          <w:rFonts w:eastAsia="Arial Unicode MS"/>
          <w:smallCaps w:val="0"/>
          <w:szCs w:val="20"/>
        </w:rPr>
        <w:t xml:space="preserve"> </w:t>
      </w:r>
      <w:r w:rsidRPr="007552BF" w:rsidR="000245E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rsidP="003549E9" w14:paraId="0E41D0ED" w14:textId="77777777">
      <w:pPr>
        <w:keepNext/>
        <w:widowControl w:val="0"/>
        <w:spacing w:before="140" w:line="290" w:lineRule="auto"/>
        <w:jc w:val="center"/>
        <w:rPr>
          <w:rFonts w:ascii="Arial" w:hAnsi="Arial" w:cs="Arial"/>
          <w:i/>
          <w:sz w:val="20"/>
          <w:szCs w:val="20"/>
        </w:rPr>
      </w:pPr>
    </w:p>
    <w:p w:rsidR="0046382A" w:rsidRPr="007552BF" w:rsidP="003549E9" w14:paraId="0DF8BD89"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2" w:name="_DV_M438"/>
      <w:bookmarkEnd w:id="362"/>
    </w:p>
    <w:p w:rsidR="00DF0871" w:rsidRPr="007552BF" w:rsidP="003549E9" w14:paraId="1A8BF568"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14:paraId="065258F2" w14:textId="77777777">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363" w:name="_Hlk65796477"/>
      <w:r w:rsidRPr="007552BF" w:rsidR="00DF0871">
        <w:rPr>
          <w:rFonts w:eastAsia="Arial Unicode MS"/>
          <w:i/>
          <w:smallCaps w:val="0"/>
          <w:szCs w:val="20"/>
        </w:rPr>
        <w:t xml:space="preserve">Página de Assinatura 1/4 da </w:t>
      </w:r>
      <w:r w:rsidRPr="007552BF" w:rsidR="00D41D57">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3"/>
      <w:r w:rsidRPr="007552BF" w:rsidR="003944F2">
        <w:rPr>
          <w:i/>
          <w:iCs/>
          <w:smallCaps w:val="0"/>
          <w:szCs w:val="20"/>
        </w:rPr>
        <w:t>, celebrada entre Light Serviços de Eletricidade S.A., a Simplific Pavarini Distribuidora de Títulos e Valores Mobiliários Ltda. e a Light S.A.)</w:t>
      </w:r>
    </w:p>
    <w:p w:rsidR="0046382A" w:rsidRPr="007552BF" w14:paraId="202AFE4E" w14:textId="77777777">
      <w:pPr>
        <w:widowControl w:val="0"/>
        <w:spacing w:before="140" w:line="290" w:lineRule="auto"/>
        <w:jc w:val="both"/>
        <w:rPr>
          <w:rFonts w:ascii="Arial" w:eastAsia="Arial Unicode MS" w:hAnsi="Arial" w:cs="Arial"/>
          <w:sz w:val="20"/>
          <w:szCs w:val="20"/>
        </w:rPr>
      </w:pPr>
    </w:p>
    <w:p w:rsidR="0046382A" w:rsidRPr="007552BF" w14:paraId="2C6AA744" w14:textId="77777777">
      <w:pPr>
        <w:widowControl w:val="0"/>
        <w:spacing w:before="140" w:line="290" w:lineRule="auto"/>
        <w:jc w:val="both"/>
        <w:rPr>
          <w:rFonts w:ascii="Arial" w:eastAsia="Arial Unicode MS" w:hAnsi="Arial" w:cs="Arial"/>
          <w:sz w:val="20"/>
          <w:szCs w:val="20"/>
        </w:rPr>
      </w:pPr>
    </w:p>
    <w:p w:rsidR="0046382A" w:rsidRPr="007552BF" w14:paraId="129FA6A2" w14:textId="77777777">
      <w:pPr>
        <w:widowControl w:val="0"/>
        <w:spacing w:before="140" w:line="290" w:lineRule="auto"/>
        <w:jc w:val="both"/>
        <w:rPr>
          <w:rFonts w:ascii="Arial" w:eastAsia="Arial Unicode MS" w:hAnsi="Arial" w:cs="Arial"/>
          <w:sz w:val="20"/>
          <w:szCs w:val="20"/>
        </w:rPr>
      </w:pPr>
    </w:p>
    <w:p w:rsidR="0046382A" w:rsidRPr="007552BF" w14:paraId="11C860E8"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14:paraId="4F3A65C5" w14:textId="77777777">
      <w:pPr>
        <w:widowControl w:val="0"/>
        <w:spacing w:before="140" w:line="290" w:lineRule="auto"/>
        <w:jc w:val="both"/>
        <w:rPr>
          <w:rFonts w:ascii="Arial" w:eastAsia="Arial Unicode MS" w:hAnsi="Arial" w:cs="Arial"/>
          <w:sz w:val="20"/>
          <w:szCs w:val="20"/>
        </w:rPr>
      </w:pPr>
    </w:p>
    <w:p w:rsidR="0046382A" w:rsidRPr="007552BF" w14:paraId="0E5F06F8" w14:textId="77777777">
      <w:pPr>
        <w:widowControl w:val="0"/>
        <w:spacing w:before="140" w:line="290" w:lineRule="auto"/>
        <w:jc w:val="both"/>
        <w:rPr>
          <w:rFonts w:ascii="Arial" w:eastAsia="Arial Unicode MS" w:hAnsi="Arial" w:cs="Arial"/>
          <w:sz w:val="20"/>
          <w:szCs w:val="20"/>
        </w:rPr>
      </w:pPr>
    </w:p>
    <w:p w:rsidR="0046382A" w:rsidRPr="007552BF" w14:paraId="6E9B07BF"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560C00F7"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4C85184E"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29025429"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59636AFB"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258DDF25" w14:textId="77777777">
      <w:pPr>
        <w:widowControl w:val="0"/>
        <w:spacing w:before="140" w:line="290" w:lineRule="auto"/>
        <w:jc w:val="both"/>
        <w:rPr>
          <w:rFonts w:ascii="Arial" w:eastAsia="Arial Unicode MS" w:hAnsi="Arial" w:cs="Arial"/>
          <w:sz w:val="20"/>
          <w:szCs w:val="20"/>
        </w:rPr>
      </w:pPr>
    </w:p>
    <w:p w:rsidR="008101C3" w:rsidRPr="007552BF" w14:paraId="4EB658FF" w14:textId="77777777">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da </w:t>
      </w:r>
      <w:r w:rsidRPr="007552BF" w:rsidR="00D41D57">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14:paraId="4480FE36" w14:textId="77777777">
      <w:pPr>
        <w:widowControl w:val="0"/>
        <w:spacing w:before="140" w:line="290" w:lineRule="auto"/>
        <w:jc w:val="both"/>
        <w:rPr>
          <w:rFonts w:ascii="Arial" w:eastAsia="Arial Unicode MS" w:hAnsi="Arial" w:cs="Arial"/>
          <w:sz w:val="20"/>
          <w:szCs w:val="20"/>
        </w:rPr>
      </w:pPr>
    </w:p>
    <w:p w:rsidR="008101C3" w:rsidRPr="007552BF" w14:paraId="23A533B6" w14:textId="77777777">
      <w:pPr>
        <w:widowControl w:val="0"/>
        <w:spacing w:before="140" w:line="290" w:lineRule="auto"/>
        <w:jc w:val="both"/>
        <w:rPr>
          <w:rFonts w:ascii="Arial" w:eastAsia="Arial Unicode MS" w:hAnsi="Arial" w:cs="Arial"/>
          <w:sz w:val="20"/>
          <w:szCs w:val="20"/>
        </w:rPr>
      </w:pPr>
    </w:p>
    <w:p w:rsidR="008101C3" w:rsidRPr="007552BF" w14:paraId="13BD9BA5" w14:textId="77777777">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14:paraId="6C08CA34" w14:textId="77777777">
      <w:pPr>
        <w:widowControl w:val="0"/>
        <w:spacing w:before="140" w:line="290" w:lineRule="auto"/>
        <w:jc w:val="both"/>
        <w:rPr>
          <w:rFonts w:ascii="Arial" w:hAnsi="Arial" w:cs="Arial"/>
          <w:sz w:val="20"/>
          <w:szCs w:val="20"/>
        </w:rPr>
      </w:pPr>
    </w:p>
    <w:p w:rsidR="00343E30" w:rsidRPr="007552BF" w14:paraId="28420EC0" w14:textId="77777777">
      <w:pPr>
        <w:widowControl w:val="0"/>
        <w:spacing w:before="140" w:line="290" w:lineRule="auto"/>
        <w:jc w:val="both"/>
        <w:rPr>
          <w:rFonts w:ascii="Arial" w:hAnsi="Arial" w:cs="Arial"/>
          <w:sz w:val="20"/>
          <w:szCs w:val="20"/>
        </w:rPr>
      </w:pPr>
    </w:p>
    <w:p w:rsidR="00343E30" w:rsidRPr="007552BF" w14:paraId="093C97EC" w14:textId="77777777">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14:paraId="424CCEBB" w14:textId="77777777"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14:paraId="749CE6BD"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14:paraId="17A3AF55" w14:textId="77777777">
      <w:pPr>
        <w:widowControl w:val="0"/>
        <w:spacing w:before="140" w:line="290" w:lineRule="auto"/>
        <w:jc w:val="both"/>
        <w:rPr>
          <w:rFonts w:ascii="Arial" w:eastAsia="Arial Unicode MS" w:hAnsi="Arial" w:cs="Arial"/>
          <w:sz w:val="20"/>
          <w:szCs w:val="20"/>
        </w:rPr>
      </w:pPr>
    </w:p>
    <w:p w:rsidR="00FF6A55" w:rsidRPr="007552BF" w14:paraId="7D8A09B8" w14:textId="77777777">
      <w:pPr>
        <w:widowControl w:val="0"/>
        <w:spacing w:before="140" w:line="290" w:lineRule="auto"/>
        <w:jc w:val="both"/>
        <w:rPr>
          <w:rFonts w:ascii="Arial" w:hAnsi="Arial" w:cs="Arial"/>
          <w:sz w:val="20"/>
          <w:szCs w:val="20"/>
        </w:rPr>
      </w:pPr>
    </w:p>
    <w:p w:rsidR="00FF6A55" w:rsidRPr="007552BF" w14:paraId="33A3E0BD" w14:textId="77777777">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14:paraId="30F1871B"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14:paraId="3CD8E57C" w14:textId="77777777">
      <w:pPr>
        <w:widowControl w:val="0"/>
        <w:spacing w:before="140" w:line="290" w:lineRule="auto"/>
        <w:jc w:val="both"/>
        <w:rPr>
          <w:rFonts w:ascii="Arial" w:eastAsia="Arial Unicode MS" w:hAnsi="Arial" w:cs="Arial"/>
          <w:sz w:val="20"/>
          <w:szCs w:val="20"/>
        </w:rPr>
      </w:pPr>
    </w:p>
    <w:p w:rsidR="0046382A" w:rsidRPr="007552BF" w14:paraId="67E8953E" w14:textId="77777777">
      <w:pPr>
        <w:widowControl w:val="0"/>
        <w:spacing w:before="140" w:line="290" w:lineRule="auto"/>
        <w:jc w:val="both"/>
        <w:rPr>
          <w:rFonts w:ascii="Arial" w:eastAsia="Arial Unicode MS" w:hAnsi="Arial" w:cs="Arial"/>
          <w:sz w:val="20"/>
          <w:szCs w:val="20"/>
        </w:rPr>
      </w:pPr>
    </w:p>
    <w:p w:rsidR="0046382A" w:rsidRPr="007552BF" w14:paraId="60B26B80"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14:paraId="37D2F0A2" w14:textId="77777777">
      <w:pPr>
        <w:widowControl w:val="0"/>
        <w:spacing w:before="140" w:line="290" w:lineRule="auto"/>
        <w:jc w:val="both"/>
        <w:rPr>
          <w:rFonts w:ascii="Arial" w:eastAsia="Arial Unicode MS" w:hAnsi="Arial" w:cs="Arial"/>
          <w:sz w:val="20"/>
          <w:szCs w:val="20"/>
        </w:rPr>
      </w:pPr>
    </w:p>
    <w:p w:rsidR="0046382A" w:rsidRPr="007552BF" w14:paraId="3266363E" w14:textId="77777777">
      <w:pPr>
        <w:widowControl w:val="0"/>
        <w:spacing w:before="140" w:line="290" w:lineRule="auto"/>
        <w:jc w:val="both"/>
        <w:rPr>
          <w:rFonts w:ascii="Arial" w:eastAsia="Arial Unicode MS" w:hAnsi="Arial" w:cs="Arial"/>
          <w:sz w:val="20"/>
          <w:szCs w:val="20"/>
        </w:rPr>
      </w:pPr>
    </w:p>
    <w:p w:rsidR="0046382A" w:rsidRPr="007552BF" w14:paraId="163BB5A1"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1DA262E6" w14:textId="77777777"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0BB3917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02DF7F7C"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532A6CF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79B8DA02" w14:textId="77777777">
      <w:pPr>
        <w:widowControl w:val="0"/>
        <w:spacing w:before="140" w:line="290" w:lineRule="auto"/>
        <w:jc w:val="both"/>
        <w:rPr>
          <w:rFonts w:ascii="Arial" w:eastAsia="Arial Unicode MS" w:hAnsi="Arial" w:cs="Arial"/>
          <w:sz w:val="20"/>
          <w:szCs w:val="20"/>
        </w:rPr>
      </w:pPr>
    </w:p>
    <w:p w:rsidR="0046382A" w:rsidRPr="007552BF" w14:paraId="4390715E" w14:textId="77777777">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14:paraId="1759F9B2"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14:paraId="71CCCD45" w14:textId="77777777">
      <w:pPr>
        <w:widowControl w:val="0"/>
        <w:spacing w:before="140" w:line="290" w:lineRule="auto"/>
        <w:jc w:val="both"/>
        <w:rPr>
          <w:rFonts w:ascii="Arial" w:eastAsia="Arial Unicode MS" w:hAnsi="Arial" w:cs="Arial"/>
          <w:sz w:val="20"/>
          <w:szCs w:val="20"/>
        </w:rPr>
      </w:pPr>
    </w:p>
    <w:p w:rsidR="001A4FAD" w:rsidRPr="007552BF" w14:paraId="58EBC554" w14:textId="77777777">
      <w:pPr>
        <w:widowControl w:val="0"/>
        <w:spacing w:before="140" w:line="290" w:lineRule="auto"/>
        <w:jc w:val="both"/>
        <w:rPr>
          <w:rFonts w:ascii="Arial" w:eastAsia="Arial Unicode MS" w:hAnsi="Arial" w:cs="Arial"/>
          <w:sz w:val="20"/>
          <w:szCs w:val="20"/>
        </w:rPr>
      </w:pPr>
    </w:p>
    <w:p w:rsidR="001A4FAD" w:rsidRPr="007552BF" w14:paraId="67FE0BB1" w14:textId="77777777">
      <w:pPr>
        <w:widowControl w:val="0"/>
        <w:spacing w:before="140" w:line="290" w:lineRule="auto"/>
        <w:jc w:val="both"/>
        <w:rPr>
          <w:rFonts w:ascii="Arial" w:eastAsia="Arial Unicode MS" w:hAnsi="Arial" w:cs="Arial"/>
          <w:sz w:val="20"/>
          <w:szCs w:val="20"/>
        </w:rPr>
      </w:pPr>
    </w:p>
    <w:p w:rsidR="00B06014" w:rsidRPr="007552BF" w14:paraId="18137FE3" w14:textId="77777777">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14:paraId="3F1DE13C" w14:textId="77777777">
      <w:pPr>
        <w:widowControl w:val="0"/>
        <w:spacing w:before="140" w:line="290" w:lineRule="auto"/>
        <w:jc w:val="center"/>
        <w:rPr>
          <w:rFonts w:ascii="Arial" w:eastAsia="Arial Unicode MS" w:hAnsi="Arial" w:cs="Arial"/>
          <w:sz w:val="20"/>
          <w:szCs w:val="20"/>
        </w:rPr>
      </w:pPr>
    </w:p>
    <w:p w:rsidR="00B06014" w:rsidRPr="007552BF" w14:paraId="7856965B" w14:textId="77777777">
      <w:pPr>
        <w:widowControl w:val="0"/>
        <w:spacing w:before="140" w:line="290" w:lineRule="auto"/>
        <w:jc w:val="both"/>
        <w:rPr>
          <w:rFonts w:ascii="Arial" w:eastAsia="Arial Unicode MS" w:hAnsi="Arial" w:cs="Arial"/>
          <w:sz w:val="20"/>
          <w:szCs w:val="20"/>
        </w:rPr>
      </w:pPr>
    </w:p>
    <w:p w:rsidR="00B06014" w:rsidRPr="007552BF" w14:paraId="2CD31FEA" w14:textId="77777777">
      <w:pPr>
        <w:widowControl w:val="0"/>
        <w:spacing w:before="140" w:line="290" w:lineRule="auto"/>
        <w:jc w:val="both"/>
        <w:rPr>
          <w:rFonts w:ascii="Arial" w:eastAsia="Arial Unicode MS" w:hAnsi="Arial" w:cs="Arial"/>
          <w:sz w:val="20"/>
          <w:szCs w:val="20"/>
        </w:rPr>
      </w:pPr>
    </w:p>
    <w:p w:rsidR="00B06014" w:rsidRPr="007552BF" w14:paraId="3A7C1B6A" w14:textId="77777777">
      <w:pPr>
        <w:widowControl w:val="0"/>
        <w:spacing w:before="140" w:line="290" w:lineRule="auto"/>
        <w:jc w:val="both"/>
        <w:rPr>
          <w:rFonts w:ascii="Arial" w:eastAsia="Arial Unicode MS" w:hAnsi="Arial" w:cs="Arial"/>
          <w:sz w:val="20"/>
          <w:szCs w:val="20"/>
        </w:rPr>
      </w:pPr>
    </w:p>
    <w:p w:rsidR="00B06014" w:rsidRPr="007552BF" w14:paraId="46348F51"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643777EA"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14:paraId="696B0026"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14:paraId="48F196F5"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14:paraId="77391715"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14:paraId="3F002C71" w14:textId="77777777">
      <w:pPr>
        <w:widowControl w:val="0"/>
        <w:spacing w:before="140" w:line="290" w:lineRule="auto"/>
        <w:jc w:val="both"/>
        <w:rPr>
          <w:rFonts w:ascii="Arial" w:eastAsia="Arial Unicode MS" w:hAnsi="Arial" w:cs="Arial"/>
          <w:sz w:val="20"/>
          <w:szCs w:val="20"/>
        </w:rPr>
      </w:pPr>
    </w:p>
    <w:p w:rsidR="00B06014" w:rsidRPr="007552BF" w14:paraId="04B5BC21" w14:textId="77777777">
      <w:pPr>
        <w:widowControl w:val="0"/>
        <w:spacing w:before="140" w:line="290" w:lineRule="auto"/>
        <w:jc w:val="both"/>
        <w:rPr>
          <w:rFonts w:ascii="Arial" w:eastAsia="Arial Unicode MS" w:hAnsi="Arial" w:cs="Arial"/>
          <w:sz w:val="20"/>
          <w:szCs w:val="20"/>
        </w:rPr>
      </w:pPr>
    </w:p>
    <w:p w:rsidR="008E1B7C" w:rsidRPr="00F95AE7" w14:paraId="4AFEDFA1" w14:textId="77777777">
      <w:pPr>
        <w:widowControl w:val="0"/>
        <w:spacing w:before="140" w:line="290" w:lineRule="auto"/>
        <w:jc w:val="both"/>
        <w:rPr>
          <w:rFonts w:ascii="Arial" w:hAnsi="Arial" w:cs="Arial"/>
          <w:color w:val="000000"/>
          <w:w w:val="0"/>
          <w:sz w:val="20"/>
          <w:szCs w:val="20"/>
        </w:rPr>
      </w:pPr>
    </w:p>
    <w:sectPr w:rsidSect="006E595D">
      <w:headerReference w:type="default" r:id="rId17"/>
      <w:footerReference w:type="even" r:id="rId18"/>
      <w:footerReference w:type="default" r:id="rId19"/>
      <w:headerReference w:type="first" r:id="rId20"/>
      <w:footerReference w:type="first" r:id="rId21"/>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14:paraId="76D319ED" w14:textId="77777777">
    <w:pPr>
      <w:pStyle w:val="Footer"/>
      <w:framePr w:wrap="around" w:vAnchor="text" w:hAnchor="margin" w:xAlign="right" w:y="1"/>
      <w:rPr>
        <w:rStyle w:val="PageNumber"/>
      </w:rPr>
    </w:pPr>
  </w:p>
  <w:p w:rsidR="00134471" w14:paraId="1B969E8C" w14:textId="77777777">
    <w:pPr>
      <w:pStyle w:val="Footer"/>
      <w:ind w:right="360"/>
    </w:pPr>
  </w:p>
  <w:p w:rsidR="00134471" w14:paraId="7C4D27A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134471" w:rsidRPr="00A814FF" w:rsidP="00A814FF" w14:paraId="537DBA30" w14:textId="77777777">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RPr="00D54E64" w:rsidP="00D54E64" w14:paraId="2D32B65A" w14:textId="77777777">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RPr="00455D2F" w:rsidP="00A814FF" w14:paraId="6744E888" w14:textId="77777777">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P="00E143A8" w14:paraId="1249901D" w14:textId="77777777">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134471" w:rsidP="00A814FF" w14:paraId="2B2A5E7C" w14:textId="77777777">
    <w:pPr>
      <w:pStyle w:val="Header"/>
      <w:jc w:val="right"/>
      <w:rPr>
        <w:b/>
        <w:smallCaps/>
        <w:lang w:val="en-US"/>
      </w:rPr>
    </w:pPr>
  </w:p>
  <w:p w:rsidR="00134471" w:rsidRPr="006E595D" w:rsidP="00A814FF" w14:paraId="13778C7F" w14:textId="77777777">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3">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1">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2">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8">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5">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7">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8436413"/>
    <w:multiLevelType w:val="multilevel"/>
    <w:tmpl w:val="A80A22A0"/>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70">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1">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8">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1">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3">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5">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7">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4">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6">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8">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8">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FE0405B"/>
    <w:multiLevelType w:val="hybridMultilevel"/>
    <w:tmpl w:val="77B6EF14"/>
    <w:lvl w:ilvl="0">
      <w:start w:val="1"/>
      <w:numFmt w:val="lowerRoman"/>
      <w:lvlText w:val="(%1)"/>
      <w:lvlJc w:val="left"/>
      <w:pPr>
        <w:tabs>
          <w:tab w:val="num" w:pos="1080"/>
        </w:tabs>
        <w:ind w:left="1080" w:hanging="72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5">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8">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19">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4">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8">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0"/>
  </w:num>
  <w:num w:numId="2">
    <w:abstractNumId w:val="97"/>
    <w:lvlOverride w:ilvl="0">
      <w:startOverride w:val="1"/>
    </w:lvlOverride>
  </w:num>
  <w:num w:numId="3">
    <w:abstractNumId w:val="0"/>
  </w:num>
  <w:num w:numId="4">
    <w:abstractNumId w:val="84"/>
    <w:lvlOverride w:ilvl="0">
      <w:startOverride w:val="1"/>
    </w:lvlOverride>
  </w:num>
  <w:num w:numId="5">
    <w:abstractNumId w:val="38"/>
  </w:num>
  <w:num w:numId="6">
    <w:abstractNumId w:val="128"/>
  </w:num>
  <w:num w:numId="7">
    <w:abstractNumId w:val="61"/>
  </w:num>
  <w:num w:numId="8">
    <w:abstractNumId w:val="124"/>
  </w:num>
  <w:num w:numId="9">
    <w:abstractNumId w:val="68"/>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2"/>
  </w:num>
  <w:num w:numId="12">
    <w:abstractNumId w:val="62"/>
  </w:num>
  <w:num w:numId="13">
    <w:abstractNumId w:val="2"/>
  </w:num>
  <w:num w:numId="14">
    <w:abstractNumId w:val="11"/>
  </w:num>
  <w:num w:numId="15">
    <w:abstractNumId w:val="46"/>
  </w:num>
  <w:num w:numId="16">
    <w:abstractNumId w:val="31"/>
  </w:num>
  <w:num w:numId="17">
    <w:abstractNumId w:val="55"/>
  </w:num>
  <w:num w:numId="18">
    <w:abstractNumId w:val="108"/>
  </w:num>
  <w:num w:numId="19">
    <w:abstractNumId w:val="64"/>
  </w:num>
  <w:num w:numId="20">
    <w:abstractNumId w:val="56"/>
  </w:num>
  <w:num w:numId="21">
    <w:abstractNumId w:val="6"/>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1"/>
  </w:num>
  <w:num w:numId="25">
    <w:abstractNumId w:val="107"/>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num>
  <w:num w:numId="28">
    <w:abstractNumId w:val="106"/>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59"/>
  </w:num>
  <w:num w:numId="39">
    <w:abstractNumId w:val="127"/>
  </w:num>
  <w:num w:numId="40">
    <w:abstractNumId w:val="90"/>
  </w:num>
  <w:num w:numId="41">
    <w:abstractNumId w:val="75"/>
  </w:num>
  <w:num w:numId="42">
    <w:abstractNumId w:val="37"/>
  </w:num>
  <w:num w:numId="43">
    <w:abstractNumId w:val="89"/>
  </w:num>
  <w:num w:numId="44">
    <w:abstractNumId w:val="32"/>
  </w:num>
  <w:num w:numId="45">
    <w:abstractNumId w:val="126"/>
  </w:num>
  <w:num w:numId="46">
    <w:abstractNumId w:val="66"/>
  </w:num>
  <w:num w:numId="47">
    <w:abstractNumId w:val="14"/>
  </w:num>
  <w:num w:numId="48">
    <w:abstractNumId w:val="63"/>
  </w:num>
  <w:num w:numId="49">
    <w:abstractNumId w:val="52"/>
  </w:num>
  <w:num w:numId="50">
    <w:abstractNumId w:val="92"/>
  </w:num>
  <w:num w:numId="51">
    <w:abstractNumId w:val="81"/>
  </w:num>
  <w:num w:numId="52">
    <w:abstractNumId w:val="71"/>
  </w:num>
  <w:num w:numId="53">
    <w:abstractNumId w:val="115"/>
  </w:num>
  <w:num w:numId="54">
    <w:abstractNumId w:val="58"/>
  </w:num>
  <w:num w:numId="55">
    <w:abstractNumId w:val="22"/>
  </w:num>
  <w:num w:numId="56">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num>
  <w:num w:numId="58">
    <w:abstractNumId w:val="25"/>
  </w:num>
  <w:num w:numId="59">
    <w:abstractNumId w:val="57"/>
  </w:num>
  <w:num w:numId="60">
    <w:abstractNumId w:val="36"/>
  </w:num>
  <w:num w:numId="61">
    <w:abstractNumId w:val="30"/>
  </w:num>
  <w:num w:numId="62">
    <w:abstractNumId w:val="49"/>
  </w:num>
  <w:num w:numId="63">
    <w:abstractNumId w:val="79"/>
  </w:num>
  <w:num w:numId="64">
    <w:abstractNumId w:val="1"/>
  </w:num>
  <w:num w:numId="65">
    <w:abstractNumId w:val="33"/>
  </w:num>
  <w:num w:numId="66">
    <w:abstractNumId w:val="15"/>
  </w:num>
  <w:num w:numId="67">
    <w:abstractNumId w:val="78"/>
  </w:num>
  <w:num w:numId="68">
    <w:abstractNumId w:val="45"/>
  </w:num>
  <w:num w:numId="69">
    <w:abstractNumId w:val="82"/>
  </w:num>
  <w:num w:numId="70">
    <w:abstractNumId w:val="100"/>
  </w:num>
  <w:num w:numId="71">
    <w:abstractNumId w:val="102"/>
  </w:num>
  <w:num w:numId="72">
    <w:abstractNumId w:val="39"/>
  </w:num>
  <w:num w:numId="73">
    <w:abstractNumId w:val="72"/>
  </w:num>
  <w:num w:numId="74">
    <w:abstractNumId w:val="3"/>
  </w:num>
  <w:num w:numId="75">
    <w:abstractNumId w:val="65"/>
  </w:num>
  <w:num w:numId="76">
    <w:abstractNumId w:val="121"/>
  </w:num>
  <w:num w:numId="77">
    <w:abstractNumId w:val="19"/>
  </w:num>
  <w:num w:numId="78">
    <w:abstractNumId w:val="99"/>
  </w:num>
  <w:num w:numId="79">
    <w:abstractNumId w:val="85"/>
  </w:num>
  <w:num w:numId="80">
    <w:abstractNumId w:val="10"/>
  </w:num>
  <w:num w:numId="81">
    <w:abstractNumId w:val="101"/>
  </w:num>
  <w:num w:numId="82">
    <w:abstractNumId w:val="123"/>
  </w:num>
  <w:num w:numId="83">
    <w:abstractNumId w:val="88"/>
  </w:num>
  <w:num w:numId="84">
    <w:abstractNumId w:val="9"/>
  </w:num>
  <w:num w:numId="85">
    <w:abstractNumId w:val="21"/>
  </w:num>
  <w:num w:numId="86">
    <w:abstractNumId w:val="27"/>
  </w:num>
  <w:num w:numId="87">
    <w:abstractNumId w:val="69"/>
  </w:num>
  <w:num w:numId="88">
    <w:abstractNumId w:val="12"/>
  </w:num>
  <w:num w:numId="89">
    <w:abstractNumId w:val="118"/>
  </w:num>
  <w:num w:numId="90">
    <w:abstractNumId w:val="20"/>
  </w:num>
  <w:num w:numId="91">
    <w:abstractNumId w:val="95"/>
  </w:num>
  <w:num w:numId="92">
    <w:abstractNumId w:val="122"/>
  </w:num>
  <w:num w:numId="93">
    <w:abstractNumId w:val="87"/>
  </w:num>
  <w:num w:numId="94">
    <w:abstractNumId w:val="113"/>
  </w:num>
  <w:num w:numId="95">
    <w:abstractNumId w:val="76"/>
  </w:num>
  <w:num w:numId="96">
    <w:abstractNumId w:val="77"/>
  </w:num>
  <w:num w:numId="97">
    <w:abstractNumId w:val="104"/>
  </w:num>
  <w:num w:numId="98">
    <w:abstractNumId w:val="24"/>
  </w:num>
  <w:num w:numId="99">
    <w:abstractNumId w:val="28"/>
  </w:num>
  <w:num w:numId="100">
    <w:abstractNumId w:val="83"/>
  </w:num>
  <w:num w:numId="101">
    <w:abstractNumId w:val="60"/>
  </w:num>
  <w:num w:numId="102">
    <w:abstractNumId w:val="91"/>
  </w:num>
  <w:num w:numId="103">
    <w:abstractNumId w:val="91"/>
    <w:lvlOverride w:ilvl="0">
      <w:startOverride w:val="8"/>
    </w:lvlOverride>
  </w:num>
  <w:num w:numId="104">
    <w:abstractNumId w:val="91"/>
    <w:lvlOverride w:ilvl="0">
      <w:startOverride w:val="7"/>
    </w:lvlOverride>
  </w:num>
  <w:num w:numId="105">
    <w:abstractNumId w:val="51"/>
  </w:num>
  <w:num w:numId="106">
    <w:abstractNumId w:val="16"/>
  </w:num>
  <w:num w:numId="107">
    <w:abstractNumId w:val="54"/>
  </w:num>
  <w:num w:numId="108">
    <w:abstractNumId w:val="74"/>
  </w:num>
  <w:num w:numId="109">
    <w:abstractNumId w:val="117"/>
  </w:num>
  <w:num w:numId="110">
    <w:abstractNumId w:val="103"/>
  </w:num>
  <w:num w:numId="111">
    <w:abstractNumId w:val="42"/>
  </w:num>
  <w:num w:numId="112">
    <w:abstractNumId w:val="70"/>
  </w:num>
  <w:num w:numId="113">
    <w:abstractNumId w:val="98"/>
  </w:num>
  <w:num w:numId="114">
    <w:abstractNumId w:val="7"/>
  </w:num>
  <w:num w:numId="115">
    <w:abstractNumId w:val="109"/>
  </w:num>
  <w:num w:numId="116">
    <w:abstractNumId w:val="110"/>
  </w:num>
  <w:num w:numId="117">
    <w:abstractNumId w:val="94"/>
  </w:num>
  <w:num w:numId="118">
    <w:abstractNumId w:val="80"/>
  </w:num>
  <w:num w:numId="119">
    <w:abstractNumId w:val="35"/>
  </w:num>
  <w:num w:numId="120">
    <w:abstractNumId w:val="96"/>
  </w:num>
  <w:num w:numId="121">
    <w:abstractNumId w:val="34"/>
  </w:num>
  <w:num w:numId="122">
    <w:abstractNumId w:val="114"/>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num>
  <w:num w:numId="125">
    <w:abstractNumId w:val="8"/>
  </w:num>
  <w:num w:numId="126">
    <w:abstractNumId w:val="17"/>
  </w:num>
  <w:num w:numId="127">
    <w:abstractNumId w:val="73"/>
  </w:num>
  <w:num w:numId="128">
    <w:abstractNumId w:val="50"/>
  </w:num>
  <w:num w:numId="129">
    <w:abstractNumId w:val="86"/>
  </w:num>
  <w:num w:numId="130">
    <w:abstractNumId w:val="29"/>
  </w:num>
  <w:num w:numId="131">
    <w:abstractNumId w:val="44"/>
  </w:num>
  <w:num w:numId="1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num>
  <w:num w:numId="134">
    <w:abstractNumId w:val="125"/>
  </w:num>
  <w:num w:numId="135">
    <w:abstractNumId w:val="41"/>
  </w:num>
  <w:num w:numId="136">
    <w:abstractNumId w:val="119"/>
  </w:num>
  <w:num w:numId="137">
    <w:abstractNumId w:val="18"/>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num>
  <w:num w:numId="140">
    <w:abstractNumId w:val="23"/>
  </w:num>
  <w:num w:numId="141">
    <w:abstractNumId w:val="40"/>
  </w:num>
  <w:num w:numId="142">
    <w:abstractNumId w:val="48"/>
  </w:num>
  <w:num w:numId="143">
    <w:abstractNumId w:val="26"/>
  </w:num>
  <w:num w:numId="144">
    <w:abstractNumId w:val="43"/>
  </w:num>
  <w:num w:numId="145">
    <w:abstractNumId w:val="5"/>
  </w:num>
  <w:num w:numId="146">
    <w:abstractNumId w:val="1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451F"/>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479F6"/>
    <w:rsid w:val="00B509B9"/>
    <w:rsid w:val="00B52668"/>
    <w:rsid w:val="00B52EA6"/>
    <w:rsid w:val="00B53429"/>
    <w:rsid w:val="00B5355E"/>
    <w:rsid w:val="00B53951"/>
    <w:rsid w:val="00B5452C"/>
    <w:rsid w:val="00B549EE"/>
    <w:rsid w:val="00B54DED"/>
    <w:rsid w:val="00B55C6A"/>
    <w:rsid w:val="00B56924"/>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A89"/>
    <w:rsid w:val="00E606BF"/>
    <w:rsid w:val="00E60719"/>
    <w:rsid w:val="00E60B97"/>
    <w:rsid w:val="00E60F9B"/>
    <w:rsid w:val="00E6108E"/>
    <w:rsid w:val="00E61586"/>
    <w:rsid w:val="00E61DA4"/>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C5E61"/>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basedOn w:val="Normal"/>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customStyle="1" w:styleId="UnresolvedMention">
    <w:name w:val="Unresolved Mention"/>
    <w:basedOn w:val="DefaultParagraphFont"/>
    <w:rsid w:val="0031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oleObject" Target="embeddings/oleObject2.bin" /><Relationship Id="rId15" Type="http://schemas.openxmlformats.org/officeDocument/2006/relationships/oleObject" Target="embeddings/oleObject3.bin" /><Relationship Id="rId16" Type="http://schemas.openxmlformats.org/officeDocument/2006/relationships/oleObject" Target="embeddings/oleObject4.bin"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 S P ! 4 0 0 3 1 0 6 7 . 1 < / d o c u m e n t i d >  
     < s e n d e r i d > B K 0 5 7 7 9 < / s e n d e r i d >  
     < s e n d e r e m a i l > B R Y A N . K L E I N @ M A T T O S F I L H O . C O M . B R < / s e n d e r e m a i l >  
     < l a s t m o d i f i e d > 2 0 2 1 - 1 0 - 1 5 T 1 2 : 5 4 : 0 0 . 0 0 0 0 0 0 0 - 0 3 : 0 0 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69F9880-A781-4F22-B367-F0791E7BF8CB}">
  <ds:schemaRefs>
    <ds:schemaRef ds:uri="http://schemas.openxmlformats.org/officeDocument/2006/bibliography"/>
  </ds:schemaRefs>
</ds:datastoreItem>
</file>

<file path=customXml/itemProps3.xml><?xml version="1.0" encoding="utf-8"?>
<ds:datastoreItem xmlns:ds="http://schemas.openxmlformats.org/officeDocument/2006/customXml" ds:itemID="{27BA3AE2-ACC2-4F21-9B84-1DBD210FA225}">
  <ds:schemaRefs>
    <ds:schemaRef ds:uri="http://schemas.openxmlformats.org/officeDocument/2006/bibliography"/>
  </ds:schemaRefs>
</ds:datastoreItem>
</file>

<file path=customXml/itemProps4.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customXml/itemProps5.xml><?xml version="1.0" encoding="utf-8"?>
<ds:datastoreItem xmlns:ds="http://schemas.openxmlformats.org/officeDocument/2006/customXml" ds:itemID="{B0C81BD6-18A1-4732-AA77-53C5A6B2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26255</Words>
  <Characters>149245</Characters>
  <Application>Microsoft Office Word</Application>
  <DocSecurity>0</DocSecurity>
  <Lines>2851</Lines>
  <Paragraphs>768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