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3F" w:rsidRDefault="0063342E">
      <w:pPr>
        <w:spacing w:after="80" w:line="300" w:lineRule="exact"/>
        <w:jc w:val="center"/>
        <w:rPr>
          <w:rFonts w:ascii="Verdana" w:hAnsi="Verdana" w:cs="Georgia"/>
          <w:b/>
          <w:bCs/>
          <w:sz w:val="20"/>
          <w:szCs w:val="20"/>
        </w:rPr>
      </w:pPr>
      <w:r>
        <w:rPr>
          <w:rFonts w:ascii="Verdana" w:hAnsi="Verdana" w:cs="Georgia"/>
          <w:b/>
          <w:bCs/>
          <w:sz w:val="20"/>
          <w:szCs w:val="20"/>
        </w:rPr>
        <w:t>LM TRANSPORTES INTERESTADUAIS SERVIÇOS E COMÉRCIO S.A.</w:t>
      </w:r>
    </w:p>
    <w:p w:rsidR="00696E3F" w:rsidRDefault="0063342E">
      <w:pPr>
        <w:spacing w:after="80" w:line="300" w:lineRule="exact"/>
        <w:jc w:val="center"/>
        <w:rPr>
          <w:rFonts w:ascii="Verdana" w:hAnsi="Verdana"/>
          <w:b/>
          <w:sz w:val="20"/>
          <w:szCs w:val="20"/>
          <w:lang w:val="it-IT"/>
        </w:rPr>
      </w:pPr>
      <w:r>
        <w:rPr>
          <w:rFonts w:ascii="Verdana" w:hAnsi="Verdana"/>
          <w:b/>
          <w:sz w:val="20"/>
          <w:szCs w:val="20"/>
          <w:lang w:val="it-IT"/>
        </w:rPr>
        <w:t xml:space="preserve">CNPJ/MF n.º </w:t>
      </w:r>
      <w:r>
        <w:rPr>
          <w:rFonts w:ascii="Verdana" w:hAnsi="Verdana"/>
          <w:b/>
          <w:sz w:val="20"/>
          <w:szCs w:val="20"/>
        </w:rPr>
        <w:t>00.389.481/0001-79</w:t>
      </w:r>
      <w:r>
        <w:rPr>
          <w:rFonts w:ascii="Verdana" w:hAnsi="Verdana"/>
          <w:b/>
          <w:sz w:val="20"/>
          <w:szCs w:val="20"/>
          <w:lang w:val="it-IT"/>
        </w:rPr>
        <w:br/>
        <w:t xml:space="preserve">NIRE </w:t>
      </w:r>
      <w:r>
        <w:rPr>
          <w:rFonts w:ascii="Verdana" w:hAnsi="Verdana"/>
          <w:b/>
          <w:sz w:val="20"/>
          <w:szCs w:val="20"/>
        </w:rPr>
        <w:t>293.000.350-41</w:t>
      </w:r>
    </w:p>
    <w:p w:rsidR="00696E3F" w:rsidRDefault="00696E3F">
      <w:pPr>
        <w:spacing w:after="80" w:line="300" w:lineRule="exact"/>
        <w:jc w:val="center"/>
        <w:rPr>
          <w:rFonts w:ascii="Verdana" w:hAnsi="Verdana"/>
          <w:b/>
          <w:sz w:val="20"/>
          <w:szCs w:val="20"/>
          <w:lang w:val="it-IT"/>
        </w:rPr>
      </w:pPr>
    </w:p>
    <w:p w:rsidR="00696E3F" w:rsidRDefault="0063342E">
      <w:pPr>
        <w:spacing w:after="0" w:line="320" w:lineRule="exact"/>
        <w:jc w:val="center"/>
        <w:rPr>
          <w:rFonts w:ascii="Verdana" w:hAnsi="Verdana"/>
          <w:smallCaps/>
          <w:sz w:val="20"/>
          <w:szCs w:val="20"/>
          <w:u w:val="single"/>
        </w:rPr>
      </w:pPr>
      <w:r>
        <w:rPr>
          <w:rFonts w:ascii="Verdana" w:hAnsi="Verdana"/>
          <w:smallCaps/>
          <w:sz w:val="20"/>
          <w:szCs w:val="20"/>
          <w:u w:val="single"/>
        </w:rPr>
        <w:t xml:space="preserve">Ata da Assembleia Geral de Debenturistas da 2ª (Segunda) Emissão Pública de </w:t>
      </w:r>
      <w:r>
        <w:rPr>
          <w:rFonts w:ascii="Verdana" w:hAnsi="Verdana"/>
          <w:smallCaps/>
          <w:sz w:val="20"/>
          <w:szCs w:val="20"/>
          <w:u w:val="single"/>
        </w:rPr>
        <w:t>Debêntures Simples, Não Conversíveis em Ações, Em Série única, da Espécie com Garantia Real, com Garantia Adicional Fidejussória, para Distribuição com esforços Restritos da LM Transportes Interestaduais Serviços e Comércio S.A.</w:t>
      </w:r>
      <w:r>
        <w:rPr>
          <w:rFonts w:ascii="Verdana" w:hAnsi="Verdana"/>
          <w:smallCaps/>
          <w:sz w:val="20"/>
          <w:szCs w:val="20"/>
        </w:rPr>
        <w:br/>
      </w:r>
      <w:r>
        <w:rPr>
          <w:rFonts w:ascii="Verdana" w:hAnsi="Verdana"/>
          <w:smallCaps/>
          <w:sz w:val="20"/>
          <w:szCs w:val="20"/>
          <w:u w:val="single"/>
        </w:rPr>
        <w:t>Realizada em [</w:t>
      </w:r>
      <w:r>
        <w:rPr>
          <w:rFonts w:ascii="Verdana" w:hAnsi="Verdana"/>
          <w:smallCaps/>
          <w:sz w:val="20"/>
          <w:szCs w:val="20"/>
          <w:u w:val="single"/>
        </w:rPr>
        <w:sym w:font="Symbol" w:char="F0B7"/>
      </w:r>
      <w:r>
        <w:rPr>
          <w:rFonts w:ascii="Verdana" w:hAnsi="Verdana"/>
          <w:smallCaps/>
          <w:sz w:val="20"/>
          <w:szCs w:val="20"/>
          <w:u w:val="single"/>
        </w:rPr>
        <w:t>] de outubro</w:t>
      </w:r>
      <w:r>
        <w:rPr>
          <w:rFonts w:ascii="Verdana" w:hAnsi="Verdana"/>
          <w:smallCaps/>
          <w:sz w:val="20"/>
          <w:szCs w:val="20"/>
          <w:u w:val="single"/>
        </w:rPr>
        <w:t xml:space="preserve"> de </w:t>
      </w:r>
      <w:proofErr w:type="gramStart"/>
      <w:r>
        <w:rPr>
          <w:rFonts w:ascii="Verdana" w:hAnsi="Verdana"/>
          <w:smallCaps/>
          <w:sz w:val="20"/>
          <w:szCs w:val="20"/>
          <w:u w:val="single"/>
        </w:rPr>
        <w:t>2020</w:t>
      </w:r>
      <w:proofErr w:type="gramEnd"/>
    </w:p>
    <w:p w:rsidR="00696E3F" w:rsidRDefault="00696E3F">
      <w:pPr>
        <w:spacing w:after="80" w:line="300" w:lineRule="exact"/>
        <w:jc w:val="center"/>
        <w:rPr>
          <w:rFonts w:ascii="Verdana" w:hAnsi="Verdana"/>
          <w:smallCaps/>
          <w:sz w:val="20"/>
          <w:szCs w:val="20"/>
          <w:u w:val="single"/>
        </w:rPr>
      </w:pPr>
    </w:p>
    <w:p w:rsidR="00696E3F" w:rsidRDefault="0063342E">
      <w:pPr>
        <w:spacing w:after="80" w:line="300" w:lineRule="exact"/>
        <w:rPr>
          <w:rFonts w:ascii="Verdana" w:hAnsi="Verdana"/>
          <w:sz w:val="20"/>
          <w:szCs w:val="20"/>
        </w:rPr>
      </w:pPr>
      <w:r>
        <w:rPr>
          <w:rFonts w:ascii="Verdana" w:hAnsi="Verdana"/>
          <w:smallCaps/>
          <w:sz w:val="20"/>
          <w:szCs w:val="20"/>
        </w:rPr>
        <w:t>Data, Horário</w:t>
      </w:r>
      <w:r>
        <w:rPr>
          <w:rFonts w:ascii="Verdana" w:hAnsi="Verdana"/>
          <w:sz w:val="20"/>
          <w:szCs w:val="20"/>
        </w:rPr>
        <w:t xml:space="preserve"> e </w:t>
      </w:r>
      <w:r>
        <w:rPr>
          <w:rFonts w:ascii="Verdana" w:hAnsi="Verdana"/>
          <w:smallCaps/>
          <w:sz w:val="20"/>
          <w:szCs w:val="20"/>
        </w:rPr>
        <w:t>Local</w:t>
      </w:r>
      <w:r>
        <w:rPr>
          <w:rFonts w:ascii="Verdana" w:hAnsi="Verdana"/>
          <w:sz w:val="20"/>
          <w:szCs w:val="20"/>
        </w:rPr>
        <w:t>: [</w:t>
      </w:r>
      <w:r>
        <w:rPr>
          <w:rFonts w:ascii="Verdana" w:hAnsi="Verdana"/>
          <w:sz w:val="20"/>
          <w:szCs w:val="20"/>
        </w:rPr>
        <w:sym w:font="Symbol" w:char="F0B7"/>
      </w:r>
      <w:r>
        <w:rPr>
          <w:rFonts w:ascii="Verdana" w:hAnsi="Verdana"/>
          <w:sz w:val="20"/>
          <w:szCs w:val="20"/>
        </w:rPr>
        <w:t>] de outubro de 2020, às [</w:t>
      </w:r>
      <w:r>
        <w:rPr>
          <w:rFonts w:ascii="Verdana" w:hAnsi="Verdana"/>
          <w:sz w:val="20"/>
          <w:szCs w:val="20"/>
        </w:rPr>
        <w:sym w:font="Symbol" w:char="F0B7"/>
      </w:r>
      <w:r>
        <w:rPr>
          <w:rFonts w:ascii="Verdana" w:hAnsi="Verdana"/>
          <w:sz w:val="20"/>
          <w:szCs w:val="20"/>
        </w:rPr>
        <w:t>] horas, na sede da LM Transportes Interestaduais Serviços e Comércio S.A. ("</w:t>
      </w:r>
      <w:r>
        <w:rPr>
          <w:rFonts w:ascii="Verdana" w:hAnsi="Verdana"/>
          <w:sz w:val="20"/>
          <w:szCs w:val="20"/>
          <w:u w:val="single"/>
        </w:rPr>
        <w:t>Companhia</w:t>
      </w:r>
      <w:r>
        <w:rPr>
          <w:rFonts w:ascii="Verdana" w:hAnsi="Verdana"/>
          <w:sz w:val="20"/>
          <w:szCs w:val="20"/>
        </w:rPr>
        <w:t>" ou “</w:t>
      </w:r>
      <w:r>
        <w:rPr>
          <w:rFonts w:ascii="Verdana" w:hAnsi="Verdana"/>
          <w:sz w:val="20"/>
          <w:szCs w:val="20"/>
          <w:u w:val="single"/>
        </w:rPr>
        <w:t>Emissora</w:t>
      </w:r>
      <w:r>
        <w:rPr>
          <w:rFonts w:ascii="Verdana" w:hAnsi="Verdana"/>
          <w:sz w:val="20"/>
          <w:szCs w:val="20"/>
        </w:rPr>
        <w:t>”) na Rua da Alfazema, 761, Ed. Iguatemi Business Flat, sala 703, 7° andar, Caminho das Árvore</w:t>
      </w:r>
      <w:r>
        <w:rPr>
          <w:rFonts w:ascii="Verdana" w:hAnsi="Verdana"/>
          <w:sz w:val="20"/>
          <w:szCs w:val="20"/>
        </w:rPr>
        <w:t>s, CEP 41.820-710</w:t>
      </w:r>
      <w:r>
        <w:rPr>
          <w:rFonts w:ascii="Verdana" w:hAnsi="Verdana" w:cs="Georgia"/>
          <w:sz w:val="20"/>
          <w:szCs w:val="20"/>
        </w:rPr>
        <w:t>, na cidade de Salvador, Estado da Bahia</w:t>
      </w:r>
      <w:r>
        <w:rPr>
          <w:rFonts w:ascii="Verdana" w:hAnsi="Verdana"/>
          <w:sz w:val="20"/>
          <w:szCs w:val="20"/>
        </w:rPr>
        <w:t>.</w:t>
      </w:r>
    </w:p>
    <w:p w:rsidR="00696E3F" w:rsidRDefault="00696E3F">
      <w:pPr>
        <w:spacing w:after="80" w:line="300" w:lineRule="exact"/>
        <w:rPr>
          <w:rFonts w:ascii="Verdana" w:hAnsi="Verdana"/>
          <w:sz w:val="20"/>
          <w:szCs w:val="20"/>
        </w:rPr>
      </w:pPr>
    </w:p>
    <w:p w:rsidR="00696E3F" w:rsidRDefault="0063342E">
      <w:pPr>
        <w:spacing w:after="0" w:line="320" w:lineRule="exact"/>
        <w:rPr>
          <w:rFonts w:ascii="Verdana" w:hAnsi="Verdana"/>
          <w:smallCaps/>
          <w:sz w:val="20"/>
          <w:szCs w:val="20"/>
        </w:rPr>
      </w:pPr>
      <w:r>
        <w:rPr>
          <w:rFonts w:ascii="Verdana" w:hAnsi="Verdana"/>
          <w:smallCaps/>
          <w:sz w:val="20"/>
          <w:szCs w:val="20"/>
        </w:rPr>
        <w:t>Convocação:</w:t>
      </w:r>
      <w:r>
        <w:rPr>
          <w:rFonts w:ascii="Verdana" w:hAnsi="Verdana"/>
          <w:smallCaps/>
          <w:sz w:val="20"/>
          <w:szCs w:val="20"/>
        </w:rPr>
        <w:tab/>
      </w:r>
      <w:r>
        <w:rPr>
          <w:rFonts w:ascii="Verdana" w:hAnsi="Verdana"/>
          <w:smallCaps/>
          <w:sz w:val="20"/>
          <w:szCs w:val="20"/>
        </w:rPr>
        <w:tab/>
      </w:r>
      <w:r>
        <w:rPr>
          <w:rFonts w:ascii="Verdana" w:hAnsi="Verdana"/>
          <w:sz w:val="20"/>
          <w:szCs w:val="20"/>
        </w:rPr>
        <w:t>edital de convocação publicado no jornal [</w:t>
      </w:r>
      <w:r>
        <w:rPr>
          <w:rFonts w:ascii="Verdana" w:hAnsi="Verdana"/>
          <w:sz w:val="20"/>
          <w:szCs w:val="20"/>
        </w:rPr>
        <w:sym w:font="Symbol" w:char="F0B7"/>
      </w:r>
      <w:r>
        <w:rPr>
          <w:rFonts w:ascii="Verdana" w:hAnsi="Verdana"/>
          <w:sz w:val="20"/>
          <w:szCs w:val="20"/>
        </w:rPr>
        <w:t>] em suas edições de [</w:t>
      </w:r>
      <w:r>
        <w:rPr>
          <w:rFonts w:ascii="Verdana" w:hAnsi="Verdana"/>
          <w:sz w:val="20"/>
          <w:szCs w:val="20"/>
        </w:rPr>
        <w:sym w:font="Symbol" w:char="F0B7"/>
      </w:r>
      <w:r>
        <w:rPr>
          <w:rFonts w:ascii="Verdana" w:hAnsi="Verdana"/>
          <w:sz w:val="20"/>
          <w:szCs w:val="20"/>
        </w:rPr>
        <w:t>], [</w:t>
      </w:r>
      <w:r>
        <w:rPr>
          <w:rFonts w:ascii="Verdana" w:hAnsi="Verdana"/>
          <w:sz w:val="20"/>
          <w:szCs w:val="20"/>
        </w:rPr>
        <w:sym w:font="Symbol" w:char="F0B7"/>
      </w:r>
      <w:r>
        <w:rPr>
          <w:rFonts w:ascii="Verdana" w:hAnsi="Verdana"/>
          <w:sz w:val="20"/>
          <w:szCs w:val="20"/>
        </w:rPr>
        <w:t>] e [</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2020 (“</w:t>
      </w:r>
      <w:r>
        <w:rPr>
          <w:rFonts w:ascii="Verdana" w:hAnsi="Verdana"/>
          <w:sz w:val="20"/>
          <w:szCs w:val="20"/>
          <w:u w:val="single"/>
        </w:rPr>
        <w:t>Edital de Convocação</w:t>
      </w:r>
      <w:r>
        <w:rPr>
          <w:rFonts w:ascii="Verdana" w:hAnsi="Verdana"/>
          <w:sz w:val="20"/>
          <w:szCs w:val="20"/>
        </w:rPr>
        <w:t xml:space="preserve">”), conforme disposto no artigo 124 da Lei nº 6.404, de 15 de </w:t>
      </w:r>
      <w:r>
        <w:rPr>
          <w:rFonts w:ascii="Verdana" w:hAnsi="Verdana"/>
          <w:sz w:val="20"/>
          <w:szCs w:val="20"/>
        </w:rPr>
        <w:t>dezembro de 1976, conforme alterada (“</w:t>
      </w:r>
      <w:r>
        <w:rPr>
          <w:rFonts w:ascii="Verdana" w:hAnsi="Verdana"/>
          <w:sz w:val="20"/>
          <w:szCs w:val="20"/>
          <w:u w:val="single"/>
        </w:rPr>
        <w:t>Lei das Sociedades por Ações</w:t>
      </w:r>
      <w:r>
        <w:rPr>
          <w:rFonts w:ascii="Verdana" w:hAnsi="Verdana"/>
          <w:sz w:val="20"/>
          <w:szCs w:val="20"/>
        </w:rPr>
        <w:t xml:space="preserve">”) e na Cláusula 8.3.2 do </w:t>
      </w:r>
      <w:r>
        <w:rPr>
          <w:rFonts w:ascii="Verdana" w:hAnsi="Verdana"/>
          <w:sz w:val="20"/>
        </w:rPr>
        <w:t>“Instrumento Particular de Escritura da 2ª (Segunda) Emissão Pública de Debêntures Simples, Não Conversíveis em Ações, em Série Única, da Espécie com Garantia Real,</w:t>
      </w:r>
      <w:r>
        <w:rPr>
          <w:rFonts w:ascii="Verdana" w:hAnsi="Verdana"/>
          <w:sz w:val="20"/>
        </w:rPr>
        <w:t xml:space="preserve"> com Garantia Adicional Fidejussória, para Distribuição com Esforços Restritos da LM Transportes Interestaduais Serviços e Comércio S.A.”, datado de 07 de dezembro de 2018 (“</w:t>
      </w:r>
      <w:r>
        <w:rPr>
          <w:rFonts w:ascii="Verdana" w:hAnsi="Verdana"/>
          <w:sz w:val="20"/>
          <w:u w:val="single"/>
        </w:rPr>
        <w:t>Escritura de Emissão</w:t>
      </w:r>
      <w:r>
        <w:rPr>
          <w:rFonts w:ascii="Verdana" w:hAnsi="Verdana"/>
          <w:sz w:val="20"/>
        </w:rPr>
        <w:t>”).</w:t>
      </w:r>
    </w:p>
    <w:p w:rsidR="00696E3F" w:rsidRDefault="00696E3F">
      <w:pPr>
        <w:spacing w:after="0" w:line="320" w:lineRule="exact"/>
        <w:rPr>
          <w:rFonts w:ascii="Verdana" w:hAnsi="Verdana"/>
          <w:smallCaps/>
          <w:sz w:val="20"/>
          <w:szCs w:val="20"/>
        </w:rPr>
      </w:pPr>
    </w:p>
    <w:p w:rsidR="00696E3F" w:rsidRDefault="0063342E">
      <w:pPr>
        <w:spacing w:after="0" w:line="320" w:lineRule="exact"/>
        <w:rPr>
          <w:rFonts w:ascii="Verdana" w:hAnsi="Verdana"/>
          <w:sz w:val="20"/>
          <w:szCs w:val="20"/>
        </w:rPr>
      </w:pPr>
      <w:r>
        <w:rPr>
          <w:rFonts w:ascii="Verdana" w:hAnsi="Verdana"/>
          <w:smallCaps/>
          <w:sz w:val="20"/>
          <w:szCs w:val="20"/>
        </w:rPr>
        <w:t>Presença</w:t>
      </w:r>
      <w:r>
        <w:rPr>
          <w:rFonts w:ascii="Verdana" w:hAnsi="Verdana"/>
          <w:sz w:val="20"/>
          <w:szCs w:val="20"/>
        </w:rPr>
        <w:t xml:space="preserve">: </w:t>
      </w:r>
      <w:r>
        <w:rPr>
          <w:rFonts w:ascii="Verdana" w:hAnsi="Verdana"/>
          <w:sz w:val="20"/>
          <w:szCs w:val="20"/>
        </w:rPr>
        <w:tab/>
      </w:r>
      <w:r>
        <w:rPr>
          <w:rFonts w:ascii="Verdana" w:hAnsi="Verdana"/>
          <w:sz w:val="20"/>
          <w:szCs w:val="20"/>
        </w:rPr>
        <w:tab/>
        <w:t>debenturista(s) representando [</w:t>
      </w:r>
      <w:r>
        <w:rPr>
          <w:rFonts w:ascii="Verdana" w:hAnsi="Verdana"/>
          <w:sz w:val="20"/>
          <w:szCs w:val="20"/>
        </w:rPr>
        <w:sym w:font="Symbol" w:char="F0B7"/>
      </w:r>
      <w:r>
        <w:rPr>
          <w:rFonts w:ascii="Verdana" w:hAnsi="Verdana"/>
          <w:sz w:val="20"/>
          <w:szCs w:val="20"/>
        </w:rPr>
        <w:t>]% ([</w:t>
      </w:r>
      <w:r>
        <w:rPr>
          <w:rFonts w:ascii="Verdana" w:hAnsi="Verdana"/>
          <w:sz w:val="20"/>
          <w:szCs w:val="20"/>
        </w:rPr>
        <w:sym w:font="Symbol" w:char="F0B7"/>
      </w:r>
      <w:r>
        <w:rPr>
          <w:rFonts w:ascii="Verdana" w:hAnsi="Verdana"/>
          <w:sz w:val="20"/>
          <w:szCs w:val="20"/>
        </w:rPr>
        <w:t>] por c</w:t>
      </w:r>
      <w:r>
        <w:rPr>
          <w:rFonts w:ascii="Verdana" w:hAnsi="Verdana"/>
          <w:sz w:val="20"/>
          <w:szCs w:val="20"/>
        </w:rPr>
        <w:t xml:space="preserve">ento)  das debêntures em circulação da 2ª (segunda) emissão pública de debêntures simples, não conversíveis em ações, em série única, da espécie com garantia real, com garantia adicional fidejussória, para distribuição com esforços restritos da Companhia, </w:t>
      </w:r>
      <w:r>
        <w:rPr>
          <w:rFonts w:ascii="Verdana" w:hAnsi="Verdana"/>
          <w:sz w:val="20"/>
          <w:szCs w:val="20"/>
        </w:rPr>
        <w:t>ao amparo da Instrução da Comissão de Valores Mobiliários (“</w:t>
      </w:r>
      <w:r>
        <w:rPr>
          <w:rFonts w:ascii="Verdana" w:hAnsi="Verdana"/>
          <w:sz w:val="20"/>
          <w:szCs w:val="20"/>
          <w:u w:val="single"/>
        </w:rPr>
        <w:t>CVM</w:t>
      </w:r>
      <w:r>
        <w:rPr>
          <w:rFonts w:ascii="Verdana" w:hAnsi="Verdana"/>
          <w:sz w:val="20"/>
          <w:szCs w:val="20"/>
        </w:rPr>
        <w:t>”) nº 476, de 16 de janeiro de 2009 e alterações posteriores (“</w:t>
      </w:r>
      <w:r>
        <w:rPr>
          <w:rFonts w:ascii="Verdana" w:hAnsi="Verdana"/>
          <w:sz w:val="20"/>
          <w:szCs w:val="20"/>
          <w:u w:val="single"/>
        </w:rPr>
        <w:t>Instrução CVM 476</w:t>
      </w:r>
      <w:r>
        <w:rPr>
          <w:rFonts w:ascii="Verdana" w:hAnsi="Verdana"/>
          <w:sz w:val="20"/>
          <w:szCs w:val="20"/>
        </w:rPr>
        <w:t>”) e nos termos do artigo 59 da Lei das Sociedades por Ações, realizada em [</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de [</w:t>
      </w:r>
      <w:r>
        <w:rPr>
          <w:rFonts w:ascii="Verdana" w:hAnsi="Verdana"/>
          <w:sz w:val="20"/>
          <w:szCs w:val="20"/>
        </w:rPr>
        <w:sym w:font="Symbol" w:char="F0B7"/>
      </w:r>
      <w:r>
        <w:rPr>
          <w:rFonts w:ascii="Verdana" w:hAnsi="Verdana"/>
          <w:sz w:val="20"/>
          <w:szCs w:val="20"/>
        </w:rPr>
        <w:t>] (“</w:t>
      </w:r>
      <w:r>
        <w:rPr>
          <w:rFonts w:ascii="Verdana" w:hAnsi="Verdana"/>
          <w:sz w:val="20"/>
          <w:szCs w:val="20"/>
          <w:u w:val="single"/>
        </w:rPr>
        <w:t>Debenturista</w:t>
      </w:r>
      <w:r>
        <w:rPr>
          <w:rFonts w:ascii="Verdana" w:hAnsi="Verdana"/>
          <w:sz w:val="20"/>
          <w:szCs w:val="20"/>
        </w:rPr>
        <w:t>”, “</w:t>
      </w:r>
      <w:r>
        <w:rPr>
          <w:rFonts w:ascii="Verdana" w:hAnsi="Verdana"/>
          <w:sz w:val="20"/>
          <w:szCs w:val="20"/>
          <w:u w:val="single"/>
        </w:rPr>
        <w:t>De</w:t>
      </w:r>
      <w:r>
        <w:rPr>
          <w:rFonts w:ascii="Verdana" w:hAnsi="Verdana"/>
          <w:sz w:val="20"/>
          <w:szCs w:val="20"/>
          <w:u w:val="single"/>
        </w:rPr>
        <w:t>bêntures</w:t>
      </w:r>
      <w:r>
        <w:rPr>
          <w:rFonts w:ascii="Verdana" w:hAnsi="Verdana"/>
          <w:sz w:val="20"/>
          <w:szCs w:val="20"/>
        </w:rPr>
        <w:t>” “</w:t>
      </w:r>
      <w:r>
        <w:rPr>
          <w:rFonts w:ascii="Verdana" w:hAnsi="Verdana"/>
          <w:sz w:val="20"/>
          <w:szCs w:val="20"/>
          <w:u w:val="single"/>
        </w:rPr>
        <w:t>Data de Emissão</w:t>
      </w:r>
      <w:r>
        <w:rPr>
          <w:rFonts w:ascii="Verdana" w:hAnsi="Verdana"/>
          <w:sz w:val="20"/>
          <w:szCs w:val="20"/>
        </w:rPr>
        <w:t>” e “</w:t>
      </w:r>
      <w:r>
        <w:rPr>
          <w:rFonts w:ascii="Verdana" w:hAnsi="Verdana"/>
          <w:sz w:val="20"/>
          <w:szCs w:val="20"/>
          <w:u w:val="single"/>
        </w:rPr>
        <w:t>Emissão</w:t>
      </w:r>
      <w:r>
        <w:rPr>
          <w:rFonts w:ascii="Verdana" w:hAnsi="Verdana"/>
          <w:sz w:val="20"/>
          <w:szCs w:val="20"/>
        </w:rPr>
        <w:t xml:space="preserve">”, respectivamente), conforme se verificou das assinaturas da Lista de Presença dos Debenturistas. Presentes ainda o representante da </w:t>
      </w:r>
      <w:proofErr w:type="spellStart"/>
      <w:r>
        <w:rPr>
          <w:rFonts w:ascii="Verdana" w:hAnsi="Verdana"/>
          <w:sz w:val="20"/>
          <w:szCs w:val="20"/>
        </w:rPr>
        <w:t>Simplific</w:t>
      </w:r>
      <w:proofErr w:type="spellEnd"/>
      <w:r>
        <w:rPr>
          <w:rFonts w:ascii="Verdana" w:hAnsi="Verdana"/>
          <w:sz w:val="20"/>
          <w:szCs w:val="20"/>
        </w:rPr>
        <w:t xml:space="preserve"> </w:t>
      </w:r>
      <w:proofErr w:type="spellStart"/>
      <w:r>
        <w:rPr>
          <w:rFonts w:ascii="Verdana" w:hAnsi="Verdana"/>
          <w:sz w:val="20"/>
          <w:szCs w:val="20"/>
        </w:rPr>
        <w:t>Pavarini</w:t>
      </w:r>
      <w:proofErr w:type="spellEnd"/>
      <w:r>
        <w:rPr>
          <w:rFonts w:ascii="Verdana" w:hAnsi="Verdana"/>
          <w:sz w:val="20"/>
          <w:szCs w:val="20"/>
        </w:rPr>
        <w:t xml:space="preserve"> Distribuidora de Títulos e Valores Mobiliários Ltda., na qualidad</w:t>
      </w:r>
      <w:r>
        <w:rPr>
          <w:rFonts w:ascii="Verdana" w:hAnsi="Verdana"/>
          <w:sz w:val="20"/>
          <w:szCs w:val="20"/>
        </w:rPr>
        <w:t>e de agente fiduciário da Emissão (“</w:t>
      </w:r>
      <w:r>
        <w:rPr>
          <w:rFonts w:ascii="Verdana" w:hAnsi="Verdana"/>
          <w:sz w:val="20"/>
          <w:szCs w:val="20"/>
          <w:u w:val="single"/>
        </w:rPr>
        <w:t>Agente Fiduciário</w:t>
      </w:r>
      <w:r>
        <w:rPr>
          <w:rFonts w:ascii="Verdana" w:hAnsi="Verdana"/>
          <w:sz w:val="20"/>
          <w:szCs w:val="20"/>
        </w:rPr>
        <w:t>”), e os representantes da Emissora.</w:t>
      </w:r>
    </w:p>
    <w:p w:rsidR="00696E3F" w:rsidRDefault="00696E3F">
      <w:pPr>
        <w:spacing w:after="0" w:line="320" w:lineRule="exact"/>
        <w:rPr>
          <w:rFonts w:ascii="Verdana" w:hAnsi="Verdana"/>
          <w:sz w:val="20"/>
          <w:szCs w:val="20"/>
        </w:rPr>
      </w:pPr>
    </w:p>
    <w:p w:rsidR="00696E3F" w:rsidRDefault="00696E3F">
      <w:pPr>
        <w:tabs>
          <w:tab w:val="left" w:pos="2880"/>
        </w:tabs>
        <w:spacing w:after="80" w:line="300" w:lineRule="exact"/>
        <w:ind w:left="2880" w:hanging="2880"/>
        <w:jc w:val="left"/>
        <w:rPr>
          <w:rFonts w:ascii="Verdana" w:hAnsi="Verdana"/>
          <w:smallCaps/>
          <w:sz w:val="20"/>
          <w:szCs w:val="20"/>
        </w:rPr>
      </w:pPr>
    </w:p>
    <w:p w:rsidR="00696E3F" w:rsidRDefault="0063342E">
      <w:pPr>
        <w:tabs>
          <w:tab w:val="left" w:pos="2880"/>
        </w:tabs>
        <w:spacing w:after="80" w:line="300" w:lineRule="exact"/>
        <w:ind w:left="2880" w:hanging="2880"/>
        <w:jc w:val="left"/>
        <w:rPr>
          <w:rFonts w:ascii="Verdana" w:hAnsi="Verdana"/>
          <w:sz w:val="20"/>
          <w:szCs w:val="20"/>
        </w:rPr>
      </w:pPr>
      <w:r>
        <w:rPr>
          <w:rFonts w:ascii="Verdana" w:hAnsi="Verdana"/>
          <w:smallCaps/>
          <w:sz w:val="20"/>
          <w:szCs w:val="20"/>
        </w:rPr>
        <w:lastRenderedPageBreak/>
        <w:t>Composição da Mesa</w:t>
      </w:r>
      <w:r>
        <w:rPr>
          <w:rFonts w:ascii="Verdana" w:hAnsi="Verdana"/>
          <w:sz w:val="20"/>
          <w:szCs w:val="20"/>
        </w:rPr>
        <w:t>:</w:t>
      </w:r>
      <w:r>
        <w:rPr>
          <w:rFonts w:ascii="Verdana" w:hAnsi="Verdana"/>
          <w:sz w:val="20"/>
          <w:szCs w:val="20"/>
        </w:rPr>
        <w:tab/>
      </w:r>
      <w:proofErr w:type="gramStart"/>
      <w:r>
        <w:rPr>
          <w:rFonts w:ascii="Verdana" w:hAnsi="Verdana"/>
          <w:sz w:val="20"/>
          <w:szCs w:val="20"/>
        </w:rPr>
        <w:t>Sr.</w:t>
      </w:r>
      <w:proofErr w:type="gramEnd"/>
      <w:r>
        <w:rPr>
          <w:rFonts w:ascii="Verdana" w:hAnsi="Verdana"/>
          <w:sz w:val="20"/>
          <w:szCs w:val="20"/>
        </w:rPr>
        <w:t xml:space="preserve"> [</w:t>
      </w:r>
      <w:r>
        <w:rPr>
          <w:rFonts w:ascii="Verdana" w:hAnsi="Verdana"/>
          <w:sz w:val="20"/>
          <w:szCs w:val="20"/>
        </w:rPr>
        <w:sym w:font="Symbol" w:char="F0B7"/>
      </w:r>
      <w:r>
        <w:rPr>
          <w:rFonts w:ascii="Verdana" w:hAnsi="Verdana"/>
          <w:sz w:val="20"/>
          <w:szCs w:val="20"/>
        </w:rPr>
        <w:t>], representante do Debenturista – Presidente</w:t>
      </w:r>
      <w:r>
        <w:rPr>
          <w:rFonts w:ascii="Verdana" w:hAnsi="Verdana"/>
          <w:sz w:val="20"/>
          <w:szCs w:val="20"/>
        </w:rPr>
        <w:br/>
      </w:r>
      <w:r>
        <w:rPr>
          <w:rFonts w:ascii="Verdana" w:hAnsi="Verdana" w:cs="Arial"/>
          <w:sz w:val="20"/>
        </w:rPr>
        <w:t>Sr. [</w:t>
      </w:r>
      <w:r>
        <w:rPr>
          <w:rFonts w:ascii="Verdana" w:hAnsi="Verdana" w:cs="Arial"/>
          <w:sz w:val="20"/>
        </w:rPr>
        <w:sym w:font="Symbol" w:char="F0B7"/>
      </w:r>
      <w:r>
        <w:rPr>
          <w:rFonts w:ascii="Verdana" w:hAnsi="Verdana" w:cs="Arial"/>
          <w:sz w:val="20"/>
        </w:rPr>
        <w:t>]</w:t>
      </w:r>
      <w:r>
        <w:rPr>
          <w:rFonts w:ascii="Verdana" w:hAnsi="Verdana"/>
          <w:sz w:val="20"/>
          <w:szCs w:val="20"/>
        </w:rPr>
        <w:t xml:space="preserve"> – Secretário</w:t>
      </w:r>
    </w:p>
    <w:p w:rsidR="00696E3F" w:rsidRDefault="00696E3F">
      <w:pPr>
        <w:tabs>
          <w:tab w:val="left" w:pos="2880"/>
        </w:tabs>
        <w:spacing w:after="80" w:line="300" w:lineRule="exact"/>
        <w:ind w:left="2880" w:hanging="2880"/>
        <w:jc w:val="left"/>
        <w:rPr>
          <w:rFonts w:ascii="Verdana" w:hAnsi="Verdana"/>
          <w:sz w:val="20"/>
          <w:szCs w:val="20"/>
        </w:rPr>
      </w:pPr>
    </w:p>
    <w:p w:rsidR="00696E3F" w:rsidRDefault="0063342E">
      <w:pPr>
        <w:spacing w:after="80" w:line="300" w:lineRule="exact"/>
        <w:rPr>
          <w:rFonts w:ascii="Verdana" w:hAnsi="Verdana"/>
          <w:sz w:val="20"/>
        </w:rPr>
      </w:pPr>
      <w:r>
        <w:rPr>
          <w:rFonts w:ascii="Verdana" w:hAnsi="Verdana"/>
          <w:smallCaps/>
          <w:sz w:val="20"/>
          <w:szCs w:val="20"/>
        </w:rPr>
        <w:t>Ordem do Dia:</w:t>
      </w:r>
      <w:r>
        <w:rPr>
          <w:rFonts w:ascii="Verdana" w:hAnsi="Verdana"/>
          <w:smallCaps/>
          <w:sz w:val="20"/>
          <w:szCs w:val="20"/>
        </w:rPr>
        <w:tab/>
        <w:t xml:space="preserve"> </w:t>
      </w:r>
      <w:r>
        <w:rPr>
          <w:rFonts w:ascii="Verdana" w:hAnsi="Verdana"/>
          <w:smallCaps/>
          <w:sz w:val="20"/>
          <w:szCs w:val="20"/>
        </w:rPr>
        <w:tab/>
      </w:r>
      <w:r>
        <w:rPr>
          <w:rFonts w:ascii="Verdana" w:hAnsi="Verdana"/>
          <w:sz w:val="20"/>
          <w:szCs w:val="20"/>
        </w:rPr>
        <w:t>deliberar sobre a dispensa (</w:t>
      </w:r>
      <w:proofErr w:type="spellStart"/>
      <w:r>
        <w:rPr>
          <w:rFonts w:ascii="Verdana" w:hAnsi="Verdana"/>
          <w:i/>
          <w:sz w:val="20"/>
          <w:szCs w:val="20"/>
        </w:rPr>
        <w:t>waiver</w:t>
      </w:r>
      <w:proofErr w:type="spellEnd"/>
      <w:r>
        <w:rPr>
          <w:rFonts w:ascii="Verdana" w:hAnsi="Verdana"/>
          <w:sz w:val="20"/>
          <w:szCs w:val="20"/>
        </w:rPr>
        <w:t xml:space="preserve">) de verificação pelo Agente Fiduciário de hipótese de vencimento antecipado em razão da </w:t>
      </w:r>
      <w:r>
        <w:rPr>
          <w:rFonts w:ascii="Verdana" w:hAnsi="Verdana"/>
          <w:sz w:val="20"/>
        </w:rPr>
        <w:t>mudança de controle acionário direto da fiadora LM Transportes e Serviços e Comércio Ltda. (CNPJ 14.672.885/0001-80), nos termos da Cláusula 5.4.1.2 (</w:t>
      </w:r>
      <w:proofErr w:type="spellStart"/>
      <w:r>
        <w:rPr>
          <w:rFonts w:ascii="Verdana" w:hAnsi="Verdana"/>
          <w:sz w:val="20"/>
        </w:rPr>
        <w:t>viii</w:t>
      </w:r>
      <w:proofErr w:type="spellEnd"/>
      <w:r>
        <w:rPr>
          <w:rFonts w:ascii="Verdana" w:hAnsi="Verdana"/>
          <w:sz w:val="20"/>
        </w:rPr>
        <w:t>) da Escritur</w:t>
      </w:r>
      <w:r>
        <w:rPr>
          <w:rFonts w:ascii="Verdana" w:hAnsi="Verdana"/>
          <w:sz w:val="20"/>
        </w:rPr>
        <w:t>a de Emissão.</w:t>
      </w:r>
    </w:p>
    <w:p w:rsidR="00696E3F" w:rsidRDefault="00696E3F">
      <w:pPr>
        <w:spacing w:after="80" w:line="300" w:lineRule="exact"/>
        <w:rPr>
          <w:rFonts w:ascii="Verdana" w:hAnsi="Verdana"/>
          <w:sz w:val="20"/>
        </w:rPr>
      </w:pPr>
    </w:p>
    <w:p w:rsidR="00696E3F" w:rsidRDefault="0063342E">
      <w:pPr>
        <w:spacing w:after="0" w:line="320" w:lineRule="exact"/>
        <w:rPr>
          <w:rFonts w:ascii="Verdana" w:hAnsi="Verdana"/>
          <w:sz w:val="20"/>
          <w:szCs w:val="20"/>
        </w:rPr>
      </w:pPr>
      <w:r>
        <w:rPr>
          <w:rFonts w:ascii="Verdana" w:hAnsi="Verdana"/>
          <w:smallCaps/>
          <w:sz w:val="20"/>
          <w:szCs w:val="20"/>
        </w:rPr>
        <w:t>Abertura:</w:t>
      </w:r>
      <w:r>
        <w:rPr>
          <w:rFonts w:ascii="Verdana" w:hAnsi="Verdana"/>
          <w:smallCaps/>
          <w:sz w:val="20"/>
          <w:szCs w:val="20"/>
        </w:rPr>
        <w:tab/>
      </w:r>
      <w:r>
        <w:rPr>
          <w:rFonts w:ascii="Verdana" w:hAnsi="Verdana"/>
          <w:smallCaps/>
          <w:sz w:val="20"/>
          <w:szCs w:val="20"/>
        </w:rPr>
        <w:tab/>
      </w:r>
      <w:r>
        <w:rPr>
          <w:rFonts w:ascii="Verdana" w:hAnsi="Verdana"/>
          <w:sz w:val="20"/>
          <w:szCs w:val="20"/>
        </w:rPr>
        <w:t xml:space="preserve">O representante do Agente Fiduciário propôs aos presentes </w:t>
      </w:r>
      <w:proofErr w:type="gramStart"/>
      <w:r>
        <w:rPr>
          <w:rFonts w:ascii="Verdana" w:hAnsi="Verdana"/>
          <w:sz w:val="20"/>
          <w:szCs w:val="20"/>
        </w:rPr>
        <w:t>a</w:t>
      </w:r>
      <w:proofErr w:type="gramEnd"/>
      <w:r>
        <w:rPr>
          <w:rFonts w:ascii="Verdana" w:hAnsi="Verdana"/>
          <w:sz w:val="20"/>
          <w:szCs w:val="20"/>
        </w:rPr>
        <w:t xml:space="preserve"> eleição do Presidente e do Secretário da Assembleia para, dentre outras providências, lavrar a presente ata. Após a devida eleição, foram abertos os trabalhos, tendo sido</w:t>
      </w:r>
      <w:r>
        <w:rPr>
          <w:rFonts w:ascii="Verdana" w:hAnsi="Verdana"/>
          <w:sz w:val="20"/>
          <w:szCs w:val="20"/>
        </w:rPr>
        <w:t xml:space="preserve"> verificado pelo Secretário os pressupostos de quórum e convocação, bem como o instrumento de mandato do representante do Debenturista presente, declarando o Presidente instalada a presente Assembleia. Em seguida, foi realizada a leitura da Ordem do Dia. </w:t>
      </w:r>
    </w:p>
    <w:p w:rsidR="00696E3F" w:rsidRDefault="00696E3F">
      <w:pPr>
        <w:spacing w:after="80" w:line="300" w:lineRule="exact"/>
        <w:rPr>
          <w:rFonts w:ascii="Verdana" w:hAnsi="Verdana"/>
          <w:sz w:val="20"/>
          <w:szCs w:val="20"/>
        </w:rPr>
      </w:pPr>
    </w:p>
    <w:p w:rsidR="00696E3F" w:rsidRDefault="0063342E">
      <w:pPr>
        <w:spacing w:after="80" w:line="300" w:lineRule="exact"/>
        <w:rPr>
          <w:rFonts w:ascii="Verdana" w:hAnsi="Verdana"/>
          <w:sz w:val="20"/>
          <w:szCs w:val="20"/>
        </w:rPr>
      </w:pPr>
      <w:r>
        <w:rPr>
          <w:rFonts w:ascii="Verdana" w:hAnsi="Verdana"/>
          <w:smallCaps/>
          <w:sz w:val="20"/>
          <w:szCs w:val="20"/>
        </w:rPr>
        <w:t>Deliberação</w:t>
      </w:r>
      <w:r>
        <w:rPr>
          <w:rFonts w:ascii="Verdana" w:hAnsi="Verdana"/>
          <w:sz w:val="20"/>
          <w:szCs w:val="20"/>
        </w:rPr>
        <w:t xml:space="preserve">: </w:t>
      </w:r>
      <w:r>
        <w:rPr>
          <w:rFonts w:ascii="Verdana" w:hAnsi="Verdana"/>
          <w:sz w:val="20"/>
          <w:szCs w:val="20"/>
        </w:rPr>
        <w:tab/>
      </w:r>
      <w:r>
        <w:rPr>
          <w:rFonts w:ascii="Verdana" w:hAnsi="Verdana"/>
          <w:sz w:val="20"/>
          <w:szCs w:val="20"/>
        </w:rPr>
        <w:tab/>
        <w:t>analisadas e discutidas as matérias constantes da ordem do dia, os Debenturistas, por unanimidade de votos e sem quaisquer restrições, aprovaram a concessão de dispensa (</w:t>
      </w:r>
      <w:proofErr w:type="spellStart"/>
      <w:r>
        <w:rPr>
          <w:rFonts w:ascii="Verdana" w:hAnsi="Verdana"/>
          <w:i/>
          <w:sz w:val="20"/>
          <w:szCs w:val="20"/>
        </w:rPr>
        <w:t>waiver</w:t>
      </w:r>
      <w:proofErr w:type="spellEnd"/>
      <w:r>
        <w:rPr>
          <w:rFonts w:ascii="Verdana" w:hAnsi="Verdana"/>
          <w:sz w:val="20"/>
          <w:szCs w:val="20"/>
        </w:rPr>
        <w:t>) de verificação pelo Agente Fiduciário de hipótese de venciment</w:t>
      </w:r>
      <w:r>
        <w:rPr>
          <w:rFonts w:ascii="Verdana" w:hAnsi="Verdana"/>
          <w:sz w:val="20"/>
          <w:szCs w:val="20"/>
        </w:rPr>
        <w:t xml:space="preserve">o antecipado em razão da </w:t>
      </w:r>
      <w:r>
        <w:rPr>
          <w:rFonts w:ascii="Verdana" w:hAnsi="Verdana"/>
          <w:sz w:val="20"/>
        </w:rPr>
        <w:t>mudança de controle acionário direto da fiadora LM Transportes e Serviços e Comércio Ltda. (CNPJ 14.672.885/0001-80), nos termos da Cláusula 5.4.1.2 (</w:t>
      </w:r>
      <w:proofErr w:type="spellStart"/>
      <w:r>
        <w:rPr>
          <w:rFonts w:ascii="Verdana" w:hAnsi="Verdana"/>
          <w:sz w:val="20"/>
        </w:rPr>
        <w:t>viii</w:t>
      </w:r>
      <w:proofErr w:type="spellEnd"/>
      <w:r>
        <w:rPr>
          <w:rFonts w:ascii="Verdana" w:hAnsi="Verdana"/>
          <w:sz w:val="20"/>
        </w:rPr>
        <w:t>) da Escritura de Emissão</w:t>
      </w:r>
      <w:r>
        <w:rPr>
          <w:rFonts w:ascii="Verdana" w:hAnsi="Verdana"/>
          <w:sz w:val="20"/>
          <w:szCs w:val="20"/>
        </w:rPr>
        <w:t>.</w:t>
      </w:r>
    </w:p>
    <w:p w:rsidR="00696E3F" w:rsidRDefault="00696E3F">
      <w:pPr>
        <w:spacing w:after="0" w:line="320" w:lineRule="exact"/>
        <w:rPr>
          <w:rFonts w:ascii="Verdana" w:hAnsi="Verdana"/>
          <w:sz w:val="20"/>
          <w:szCs w:val="20"/>
        </w:rPr>
      </w:pPr>
    </w:p>
    <w:p w:rsidR="00696E3F" w:rsidRDefault="0063342E">
      <w:pPr>
        <w:spacing w:after="0" w:line="320" w:lineRule="exact"/>
        <w:rPr>
          <w:rFonts w:ascii="Verdana" w:hAnsi="Verdana"/>
          <w:sz w:val="20"/>
          <w:szCs w:val="20"/>
        </w:rPr>
      </w:pPr>
      <w:r>
        <w:rPr>
          <w:rFonts w:ascii="Verdana" w:hAnsi="Verdana"/>
          <w:smallCaps/>
          <w:sz w:val="20"/>
          <w:szCs w:val="20"/>
        </w:rPr>
        <w:t>Encerramento</w:t>
      </w:r>
      <w:r>
        <w:rPr>
          <w:rFonts w:ascii="Verdana" w:hAnsi="Verdana"/>
          <w:sz w:val="20"/>
          <w:szCs w:val="20"/>
        </w:rPr>
        <w:t>:</w:t>
      </w:r>
      <w:r>
        <w:rPr>
          <w:rFonts w:ascii="Verdana" w:hAnsi="Verdana"/>
          <w:sz w:val="20"/>
          <w:szCs w:val="20"/>
        </w:rPr>
        <w:tab/>
        <w:t xml:space="preserve">Oferecida </w:t>
      </w:r>
      <w:proofErr w:type="gramStart"/>
      <w:r>
        <w:rPr>
          <w:rFonts w:ascii="Verdana" w:hAnsi="Verdana"/>
          <w:sz w:val="20"/>
          <w:szCs w:val="20"/>
        </w:rPr>
        <w:t>a</w:t>
      </w:r>
      <w:proofErr w:type="gramEnd"/>
      <w:r>
        <w:rPr>
          <w:rFonts w:ascii="Verdana" w:hAnsi="Verdana"/>
          <w:sz w:val="20"/>
          <w:szCs w:val="20"/>
        </w:rPr>
        <w:t xml:space="preserve"> palavra a quem dela qui</w:t>
      </w:r>
      <w:r>
        <w:rPr>
          <w:rFonts w:ascii="Verdana" w:hAnsi="Verdana"/>
          <w:sz w:val="20"/>
          <w:szCs w:val="20"/>
        </w:rPr>
        <w:t>sesse fazer uso, não houve qualquer manifestação. Assim sendo, nada mais havendo a ser tratado, foi encerrada a sessão e lavrada a presente ata, que lida e achada conforme, foi assinada pelos presentes. Termos com iniciais maiúsculas utilizados neste docum</w:t>
      </w:r>
      <w:r>
        <w:rPr>
          <w:rFonts w:ascii="Verdana" w:hAnsi="Verdana"/>
          <w:sz w:val="20"/>
          <w:szCs w:val="20"/>
        </w:rPr>
        <w:t>ento que não estiverem expressamente aqui definidos têm o significado que lhes foi atribuído na Escritura de Emissão. Autorizada a lavratura da presente ata de Assembleia Geral de Debenturistas na forma de sumário, nos termos do artigo 130, Parágrafo 1º da</w:t>
      </w:r>
      <w:r>
        <w:rPr>
          <w:rFonts w:ascii="Verdana" w:hAnsi="Verdana"/>
          <w:sz w:val="20"/>
          <w:szCs w:val="20"/>
        </w:rPr>
        <w:t xml:space="preserve"> Lei das Sociedades por Ações. </w:t>
      </w:r>
    </w:p>
    <w:p w:rsidR="00696E3F" w:rsidRDefault="00696E3F">
      <w:pPr>
        <w:spacing w:after="80" w:line="300" w:lineRule="exact"/>
        <w:rPr>
          <w:rFonts w:ascii="Verdana" w:hAnsi="Verdana"/>
          <w:sz w:val="20"/>
          <w:szCs w:val="20"/>
        </w:rPr>
      </w:pPr>
    </w:p>
    <w:p w:rsidR="00696E3F" w:rsidRDefault="0063342E">
      <w:pPr>
        <w:spacing w:after="80" w:line="300" w:lineRule="exact"/>
        <w:jc w:val="center"/>
        <w:rPr>
          <w:rFonts w:ascii="Verdana" w:hAnsi="Verdana"/>
          <w:sz w:val="20"/>
          <w:szCs w:val="20"/>
        </w:rPr>
      </w:pPr>
      <w:r>
        <w:rPr>
          <w:rFonts w:ascii="Verdana" w:hAnsi="Verdana"/>
          <w:sz w:val="20"/>
          <w:szCs w:val="20"/>
        </w:rPr>
        <w:t>Salvador, [</w:t>
      </w:r>
      <w:r>
        <w:rPr>
          <w:rFonts w:ascii="Verdana" w:hAnsi="Verdana"/>
          <w:sz w:val="20"/>
          <w:szCs w:val="20"/>
        </w:rPr>
        <w:sym w:font="Symbol" w:char="F0B7"/>
      </w:r>
      <w:r>
        <w:rPr>
          <w:rFonts w:ascii="Verdana" w:hAnsi="Verdana"/>
          <w:sz w:val="20"/>
          <w:szCs w:val="20"/>
        </w:rPr>
        <w:t>] de outubro de 2020.</w:t>
      </w:r>
    </w:p>
    <w:p w:rsidR="00696E3F" w:rsidRDefault="00696E3F">
      <w:pPr>
        <w:spacing w:after="80"/>
      </w:pPr>
    </w:p>
    <w:p w:rsidR="00696E3F" w:rsidRDefault="00696E3F">
      <w:pPr>
        <w:spacing w:after="80"/>
      </w:pPr>
    </w:p>
    <w:tbl>
      <w:tblPr>
        <w:tblW w:w="9073" w:type="dxa"/>
        <w:tblInd w:w="-1" w:type="dxa"/>
        <w:tblLayout w:type="fixed"/>
        <w:tblCellMar>
          <w:left w:w="71" w:type="dxa"/>
          <w:right w:w="71" w:type="dxa"/>
        </w:tblCellMar>
        <w:tblLook w:val="0000" w:firstRow="0" w:lastRow="0" w:firstColumn="0" w:lastColumn="0" w:noHBand="0" w:noVBand="0"/>
      </w:tblPr>
      <w:tblGrid>
        <w:gridCol w:w="4253"/>
        <w:gridCol w:w="567"/>
        <w:gridCol w:w="4253"/>
      </w:tblGrid>
      <w:tr w:rsidR="00696E3F">
        <w:trPr>
          <w:cantSplit/>
        </w:trPr>
        <w:tc>
          <w:tcPr>
            <w:tcW w:w="4253" w:type="dxa"/>
            <w:tcBorders>
              <w:top w:val="single" w:sz="6" w:space="0" w:color="auto"/>
            </w:tcBorders>
          </w:tcPr>
          <w:p w:rsidR="00696E3F" w:rsidRDefault="0063342E">
            <w:pPr>
              <w:spacing w:after="80" w:line="300" w:lineRule="exact"/>
              <w:jc w:val="center"/>
              <w:rPr>
                <w:rFonts w:ascii="Verdana" w:hAnsi="Verdana"/>
                <w:sz w:val="20"/>
                <w:szCs w:val="20"/>
              </w:rPr>
            </w:pPr>
            <w:r>
              <w:rPr>
                <w:rFonts w:ascii="Verdana" w:hAnsi="Verdana"/>
                <w:sz w:val="20"/>
                <w:szCs w:val="20"/>
              </w:rPr>
              <w:t>[</w:t>
            </w:r>
            <w:r>
              <w:rPr>
                <w:rFonts w:ascii="Verdana" w:hAnsi="Verdana"/>
                <w:sz w:val="20"/>
                <w:szCs w:val="20"/>
              </w:rPr>
              <w:sym w:font="Symbol" w:char="F0B7"/>
            </w:r>
            <w:r>
              <w:rPr>
                <w:rFonts w:ascii="Verdana" w:hAnsi="Verdana"/>
                <w:sz w:val="20"/>
                <w:szCs w:val="20"/>
              </w:rPr>
              <w:t>]</w:t>
            </w:r>
            <w:r>
              <w:rPr>
                <w:rFonts w:ascii="Verdana" w:hAnsi="Verdana"/>
                <w:sz w:val="20"/>
                <w:szCs w:val="20"/>
              </w:rPr>
              <w:br/>
              <w:t>Presidente</w:t>
            </w:r>
          </w:p>
        </w:tc>
        <w:tc>
          <w:tcPr>
            <w:tcW w:w="567" w:type="dxa"/>
          </w:tcPr>
          <w:p w:rsidR="00696E3F" w:rsidRDefault="00696E3F">
            <w:pPr>
              <w:spacing w:after="80" w:line="300" w:lineRule="exact"/>
              <w:jc w:val="center"/>
              <w:rPr>
                <w:rFonts w:ascii="Verdana" w:hAnsi="Verdana"/>
                <w:sz w:val="20"/>
                <w:szCs w:val="20"/>
              </w:rPr>
            </w:pPr>
          </w:p>
        </w:tc>
        <w:tc>
          <w:tcPr>
            <w:tcW w:w="4253" w:type="dxa"/>
            <w:tcBorders>
              <w:top w:val="single" w:sz="6" w:space="0" w:color="auto"/>
            </w:tcBorders>
          </w:tcPr>
          <w:p w:rsidR="00696E3F" w:rsidRDefault="0063342E">
            <w:pPr>
              <w:spacing w:after="80" w:line="300" w:lineRule="exact"/>
              <w:jc w:val="center"/>
              <w:rPr>
                <w:rFonts w:ascii="Verdana" w:hAnsi="Verdana"/>
                <w:sz w:val="20"/>
                <w:szCs w:val="20"/>
              </w:rPr>
            </w:pPr>
            <w:r>
              <w:rPr>
                <w:rFonts w:ascii="Verdana" w:hAnsi="Verdana" w:cs="Arial"/>
                <w:sz w:val="20"/>
              </w:rPr>
              <w:t>[</w:t>
            </w:r>
            <w:r>
              <w:rPr>
                <w:rFonts w:ascii="Verdana" w:hAnsi="Verdana" w:cs="Arial"/>
                <w:sz w:val="20"/>
              </w:rPr>
              <w:sym w:font="Symbol" w:char="F0B7"/>
            </w:r>
            <w:r>
              <w:rPr>
                <w:rFonts w:ascii="Verdana" w:hAnsi="Verdana" w:cs="Arial"/>
                <w:sz w:val="20"/>
              </w:rPr>
              <w:t>]</w:t>
            </w:r>
            <w:r>
              <w:rPr>
                <w:rFonts w:ascii="Verdana" w:hAnsi="Verdana"/>
                <w:sz w:val="20"/>
                <w:szCs w:val="20"/>
              </w:rPr>
              <w:br/>
              <w:t>Secretário</w:t>
            </w:r>
          </w:p>
        </w:tc>
      </w:tr>
    </w:tbl>
    <w:p w:rsidR="00696E3F" w:rsidRDefault="00696E3F">
      <w:pPr>
        <w:spacing w:after="0" w:line="320" w:lineRule="exact"/>
        <w:rPr>
          <w:rFonts w:ascii="Verdana" w:hAnsi="Verdana"/>
          <w:sz w:val="20"/>
          <w:szCs w:val="20"/>
        </w:rPr>
      </w:pPr>
    </w:p>
    <w:p w:rsidR="00696E3F" w:rsidRDefault="0063342E">
      <w:pPr>
        <w:spacing w:line="320" w:lineRule="exact"/>
        <w:rPr>
          <w:rFonts w:ascii="Verdana" w:hAnsi="Verdana" w:cs="Calibri"/>
          <w:b/>
          <w:sz w:val="20"/>
          <w:szCs w:val="20"/>
        </w:rPr>
      </w:pPr>
      <w:r>
        <w:rPr>
          <w:rFonts w:ascii="Verdana" w:hAnsi="Verdana" w:cs="Calibri"/>
          <w:b/>
          <w:sz w:val="20"/>
          <w:szCs w:val="20"/>
        </w:rPr>
        <w:lastRenderedPageBreak/>
        <w:t>Emissora:</w:t>
      </w:r>
    </w:p>
    <w:p w:rsidR="00696E3F" w:rsidRDefault="00696E3F">
      <w:pPr>
        <w:spacing w:line="320" w:lineRule="exact"/>
        <w:rPr>
          <w:rFonts w:ascii="Verdana" w:hAnsi="Verdana" w:cs="Calibri"/>
          <w:sz w:val="20"/>
          <w:szCs w:val="20"/>
        </w:rPr>
      </w:pPr>
    </w:p>
    <w:p w:rsidR="00696E3F" w:rsidRDefault="0063342E">
      <w:pPr>
        <w:spacing w:line="320" w:lineRule="exact"/>
        <w:rPr>
          <w:rFonts w:ascii="Verdana" w:hAnsi="Verdana" w:cs="Calibri"/>
          <w:sz w:val="20"/>
          <w:szCs w:val="20"/>
        </w:rPr>
      </w:pPr>
      <w:r>
        <w:rPr>
          <w:rFonts w:ascii="Verdana" w:hAnsi="Verdana" w:cs="Calibri"/>
          <w:sz w:val="20"/>
          <w:szCs w:val="20"/>
        </w:rPr>
        <w:t>_______________________________________</w:t>
      </w:r>
    </w:p>
    <w:p w:rsidR="00696E3F" w:rsidRDefault="0063342E">
      <w:pPr>
        <w:pStyle w:val="Corpodetexto"/>
        <w:spacing w:line="320" w:lineRule="exact"/>
        <w:rPr>
          <w:rFonts w:ascii="Verdana" w:hAnsi="Verdana" w:cs="Calibri"/>
          <w:sz w:val="20"/>
          <w:szCs w:val="20"/>
        </w:rPr>
      </w:pPr>
      <w:r>
        <w:rPr>
          <w:rFonts w:ascii="Verdana" w:hAnsi="Verdana" w:cs="Calibri"/>
          <w:sz w:val="20"/>
          <w:szCs w:val="20"/>
        </w:rPr>
        <w:t>LM TRANSPORTES INTERESTADUAIS SERVIÇOS E COMÉRCIO S.A.</w:t>
      </w:r>
    </w:p>
    <w:p w:rsidR="00696E3F" w:rsidRDefault="00696E3F">
      <w:pPr>
        <w:pStyle w:val="Corpodetexto"/>
        <w:spacing w:line="320" w:lineRule="exact"/>
        <w:rPr>
          <w:rFonts w:ascii="Verdana" w:hAnsi="Verdana" w:cs="Calibri"/>
          <w:smallCaps/>
          <w:sz w:val="20"/>
          <w:szCs w:val="20"/>
        </w:rPr>
      </w:pPr>
    </w:p>
    <w:p w:rsidR="00696E3F" w:rsidRDefault="0063342E">
      <w:pPr>
        <w:spacing w:line="320" w:lineRule="exact"/>
        <w:rPr>
          <w:rFonts w:ascii="Verdana" w:hAnsi="Verdana" w:cs="Calibri"/>
          <w:b/>
          <w:sz w:val="20"/>
          <w:szCs w:val="20"/>
        </w:rPr>
      </w:pPr>
      <w:r>
        <w:rPr>
          <w:rFonts w:ascii="Verdana" w:hAnsi="Verdana" w:cs="Calibri"/>
          <w:b/>
          <w:sz w:val="20"/>
          <w:szCs w:val="20"/>
        </w:rPr>
        <w:t>Agente Fiduciário:</w:t>
      </w:r>
    </w:p>
    <w:p w:rsidR="00696E3F" w:rsidRDefault="00696E3F">
      <w:pPr>
        <w:spacing w:line="320" w:lineRule="exact"/>
        <w:rPr>
          <w:rFonts w:ascii="Verdana" w:hAnsi="Verdana" w:cs="Calibri"/>
          <w:sz w:val="20"/>
          <w:szCs w:val="20"/>
        </w:rPr>
      </w:pPr>
    </w:p>
    <w:p w:rsidR="00696E3F" w:rsidRDefault="0063342E">
      <w:pPr>
        <w:spacing w:line="320" w:lineRule="exact"/>
        <w:rPr>
          <w:rFonts w:ascii="Verdana" w:hAnsi="Verdana" w:cs="Calibri"/>
          <w:sz w:val="20"/>
          <w:szCs w:val="20"/>
        </w:rPr>
      </w:pPr>
      <w:r>
        <w:rPr>
          <w:rFonts w:ascii="Verdana" w:hAnsi="Verdana" w:cs="Calibri"/>
          <w:sz w:val="20"/>
          <w:szCs w:val="20"/>
        </w:rPr>
        <w:t>__________________________________________________________</w:t>
      </w:r>
    </w:p>
    <w:p w:rsidR="00696E3F" w:rsidRDefault="0063342E">
      <w:pPr>
        <w:spacing w:line="320" w:lineRule="exact"/>
        <w:rPr>
          <w:rFonts w:ascii="Verdana" w:hAnsi="Verdana"/>
          <w:sz w:val="20"/>
          <w:szCs w:val="20"/>
        </w:rPr>
      </w:pPr>
      <w:r>
        <w:rPr>
          <w:rFonts w:ascii="Verdana" w:hAnsi="Verdana"/>
          <w:sz w:val="20"/>
          <w:szCs w:val="20"/>
        </w:rPr>
        <w:t>SIMPLIFIC PAVARINI DISTRIBUIDORA DE TÍTULOS E VALORES MOBILIÁRIOS LTDA.</w:t>
      </w:r>
    </w:p>
    <w:p w:rsidR="00696E3F" w:rsidRDefault="0063342E">
      <w:pPr>
        <w:pStyle w:val="Corpodetexto"/>
        <w:spacing w:line="320" w:lineRule="exact"/>
        <w:rPr>
          <w:rFonts w:ascii="Verdana" w:hAnsi="Verdana" w:cs="Calibri"/>
          <w:sz w:val="20"/>
          <w:szCs w:val="20"/>
        </w:rPr>
      </w:pPr>
      <w:r>
        <w:br w:type="page"/>
      </w:r>
      <w:r>
        <w:rPr>
          <w:rFonts w:ascii="Verdana" w:hAnsi="Verdana" w:cs="Calibri"/>
          <w:sz w:val="20"/>
          <w:szCs w:val="20"/>
        </w:rPr>
        <w:lastRenderedPageBreak/>
        <w:t>LISTA DE PRESENÇA DOS DEBENTURISTAS DAS DEBÊNTURES DA 2º EMISSÃO DE DEBÊNTURES DA LM TRANSPORTES INTERESTADUAIS SERVIÇOS E C</w:t>
      </w:r>
      <w:r>
        <w:rPr>
          <w:rFonts w:ascii="Verdana" w:hAnsi="Verdana" w:cs="Calibri"/>
          <w:sz w:val="20"/>
          <w:szCs w:val="20"/>
        </w:rPr>
        <w:t>OMÉRCIO S.A. REALIZADA EM [</w:t>
      </w:r>
      <w:r>
        <w:rPr>
          <w:rFonts w:ascii="Verdana" w:hAnsi="Verdana" w:cs="Calibri"/>
          <w:sz w:val="20"/>
          <w:szCs w:val="20"/>
        </w:rPr>
        <w:sym w:font="Symbol" w:char="F0B7"/>
      </w:r>
      <w:r>
        <w:rPr>
          <w:rFonts w:ascii="Verdana" w:hAnsi="Verdana" w:cs="Calibri"/>
          <w:sz w:val="20"/>
          <w:szCs w:val="20"/>
        </w:rPr>
        <w:t>] DE [</w:t>
      </w:r>
      <w:r>
        <w:rPr>
          <w:rFonts w:ascii="Verdana" w:hAnsi="Verdana" w:cs="Calibri"/>
          <w:sz w:val="20"/>
          <w:szCs w:val="20"/>
        </w:rPr>
        <w:sym w:font="Symbol" w:char="F0B7"/>
      </w:r>
      <w:r>
        <w:rPr>
          <w:rFonts w:ascii="Verdana" w:hAnsi="Verdana" w:cs="Calibri"/>
          <w:sz w:val="20"/>
          <w:szCs w:val="20"/>
        </w:rPr>
        <w:t>] DE 2020.</w:t>
      </w:r>
    </w:p>
    <w:p w:rsidR="00696E3F" w:rsidRDefault="00696E3F">
      <w:pPr>
        <w:pStyle w:val="Corpodetexto"/>
        <w:spacing w:line="320" w:lineRule="exact"/>
        <w:jc w:val="center"/>
        <w:rPr>
          <w:rFonts w:ascii="Verdana" w:hAnsi="Verdana" w:cs="Calibri"/>
          <w:sz w:val="20"/>
          <w:szCs w:val="20"/>
        </w:rPr>
      </w:pPr>
    </w:p>
    <w:p w:rsidR="00696E3F" w:rsidRDefault="00696E3F">
      <w:pPr>
        <w:spacing w:line="320" w:lineRule="exact"/>
        <w:rPr>
          <w:rFonts w:ascii="Verdana" w:hAnsi="Verdana" w:cs="Calibri"/>
          <w:sz w:val="20"/>
          <w:szCs w:val="20"/>
        </w:rPr>
      </w:pPr>
    </w:p>
    <w:p w:rsidR="00696E3F" w:rsidRDefault="0063342E">
      <w:pPr>
        <w:spacing w:line="320" w:lineRule="exact"/>
        <w:rPr>
          <w:rFonts w:ascii="Verdana" w:hAnsi="Verdana" w:cs="Calibri"/>
          <w:sz w:val="20"/>
          <w:szCs w:val="20"/>
        </w:rPr>
      </w:pPr>
      <w:r>
        <w:rPr>
          <w:rFonts w:ascii="Verdana" w:hAnsi="Verdana" w:cs="Calibri"/>
          <w:sz w:val="20"/>
          <w:szCs w:val="20"/>
        </w:rPr>
        <w:t>_________________________________</w:t>
      </w:r>
    </w:p>
    <w:p w:rsidR="00696E3F" w:rsidRDefault="0063342E">
      <w:pPr>
        <w:spacing w:line="320" w:lineRule="exact"/>
        <w:rPr>
          <w:rFonts w:ascii="Verdana" w:hAnsi="Verdana" w:cs="Calibri"/>
          <w:sz w:val="20"/>
          <w:szCs w:val="20"/>
        </w:rPr>
      </w:pPr>
      <w:r>
        <w:rPr>
          <w:rFonts w:ascii="Verdana" w:hAnsi="Verdana" w:cs="Georgia"/>
          <w:b/>
          <w:sz w:val="20"/>
          <w:szCs w:val="20"/>
        </w:rPr>
        <w:t>[Debenturistas]</w:t>
      </w:r>
    </w:p>
    <w:p w:rsidR="00696E3F" w:rsidRDefault="00696E3F">
      <w:pPr>
        <w:spacing w:after="0" w:line="320" w:lineRule="exact"/>
        <w:rPr>
          <w:rFonts w:ascii="Verdana" w:hAnsi="Verdana"/>
          <w:sz w:val="20"/>
          <w:szCs w:val="20"/>
        </w:rPr>
      </w:pPr>
    </w:p>
    <w:p w:rsidR="00696E3F" w:rsidRDefault="00696E3F">
      <w:pPr>
        <w:spacing w:after="80"/>
      </w:pPr>
    </w:p>
    <w:sectPr w:rsidR="00696E3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2E" w:rsidRDefault="0063342E">
      <w:r>
        <w:separator/>
      </w:r>
    </w:p>
  </w:endnote>
  <w:endnote w:type="continuationSeparator" w:id="0">
    <w:p w:rsidR="0063342E" w:rsidRDefault="0063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Negrito">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3F" w:rsidRDefault="00696E3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3F" w:rsidRDefault="0063342E">
    <w:pPr>
      <w:pStyle w:val="Rodap"/>
      <w:jc w:val="left"/>
      <w:rPr>
        <w:rStyle w:val="Nmerodepgina"/>
        <w:rFonts w:ascii="Verdana" w:hAnsi="Verdana"/>
        <w:sz w:val="14"/>
        <w:szCs w:val="20"/>
      </w:rPr>
    </w:pPr>
    <w:r>
      <w:rPr>
        <w:rStyle w:val="Nmerodepgina"/>
        <w:rFonts w:ascii="Verdana" w:hAnsi="Verdana"/>
        <w:sz w:val="14"/>
        <w:szCs w:val="20"/>
      </w:rPr>
      <w:fldChar w:fldCharType="begin"/>
    </w:r>
    <w:r>
      <w:rPr>
        <w:rStyle w:val="Nmerodepgina"/>
        <w:rFonts w:ascii="Verdana" w:hAnsi="Verdana"/>
        <w:sz w:val="14"/>
        <w:szCs w:val="20"/>
      </w:rPr>
      <w:instrText xml:space="preserve"> DOCPROPERTY "iManageFooter"  \* MERGEFORMAT </w:instrText>
    </w:r>
    <w:r>
      <w:rPr>
        <w:rStyle w:val="Nmerodepgina"/>
        <w:rFonts w:ascii="Verdana" w:hAnsi="Verdana"/>
        <w:sz w:val="14"/>
        <w:szCs w:val="20"/>
      </w:rPr>
      <w:fldChar w:fldCharType="separate"/>
    </w:r>
    <w:bookmarkStart w:id="0" w:name="_GoBack"/>
    <w:bookmarkEnd w:id="0"/>
    <w:r>
      <w:rPr>
        <w:rStyle w:val="Nmerodepgina"/>
        <w:rFonts w:ascii="Verdana" w:hAnsi="Verdana"/>
        <w:sz w:val="14"/>
        <w:szCs w:val="20"/>
      </w:rPr>
      <w:t xml:space="preserve"> </w:t>
    </w:r>
    <w:r>
      <w:rPr>
        <w:rStyle w:val="Nmerodepgina"/>
        <w:rFonts w:ascii="Verdana" w:hAnsi="Verdana"/>
        <w:sz w:val="14"/>
        <w:szCs w:val="20"/>
      </w:rPr>
      <w:fldChar w:fldCharType="end"/>
    </w:r>
    <w:r>
      <w:rPr>
        <w:rStyle w:val="Nmerodepgina"/>
        <w:rFonts w:ascii="Verdana" w:hAnsi="Verdana"/>
        <w:sz w:val="20"/>
        <w:szCs w:val="20"/>
      </w:rPr>
      <w:fldChar w:fldCharType="begin"/>
    </w:r>
    <w:r>
      <w:rPr>
        <w:rStyle w:val="Nmerodepgina"/>
        <w:rFonts w:ascii="Verdana" w:hAnsi="Verdana"/>
        <w:sz w:val="20"/>
        <w:szCs w:val="20"/>
        <w:lang w:val="en-US"/>
      </w:rPr>
      <w:instrText xml:space="preserve"> PAGE </w:instrText>
    </w:r>
    <w:r>
      <w:rPr>
        <w:rStyle w:val="Nmerodepgina"/>
        <w:rFonts w:ascii="Verdana" w:hAnsi="Verdana"/>
        <w:sz w:val="20"/>
        <w:szCs w:val="20"/>
      </w:rPr>
      <w:fldChar w:fldCharType="separate"/>
    </w:r>
    <w:r w:rsidR="00A6101F">
      <w:rPr>
        <w:rStyle w:val="Nmerodepgina"/>
        <w:rFonts w:ascii="Verdana" w:hAnsi="Verdana"/>
        <w:noProof/>
        <w:sz w:val="20"/>
        <w:szCs w:val="20"/>
        <w:lang w:val="en-US"/>
      </w:rPr>
      <w:t>2</w:t>
    </w:r>
    <w:r>
      <w:rPr>
        <w:rStyle w:val="Nmerodepgina"/>
        <w:rFonts w:ascii="Verdana" w:hAnsi="Verdana"/>
        <w:sz w:val="20"/>
        <w:szCs w:val="20"/>
      </w:rPr>
      <w:fldChar w:fldCharType="end"/>
    </w:r>
  </w:p>
  <w:p w:rsidR="00696E3F" w:rsidRDefault="00696E3F">
    <w:pPr>
      <w:pStyle w:val="Rodap"/>
      <w:jc w:val="center"/>
      <w:rPr>
        <w:color w:val="FFFFFF" w:themeColor="background1"/>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3F" w:rsidRDefault="00696E3F">
    <w:pPr>
      <w:pStyle w:val="Rodap"/>
      <w:jc w:val="center"/>
      <w:rPr>
        <w:rStyle w:val="Nmerodepgina"/>
        <w:rFonts w:ascii="Verdana" w:hAnsi="Verdana"/>
        <w:sz w:val="14"/>
      </w:rPr>
    </w:pPr>
  </w:p>
  <w:p w:rsidR="00696E3F" w:rsidRDefault="0063342E">
    <w:pPr>
      <w:pStyle w:val="Rodap"/>
      <w:jc w:val="right"/>
      <w:rPr>
        <w:rFonts w:ascii="Verdana" w:hAnsi="Verdana"/>
        <w:color w:val="FFFFFF" w:themeColor="background1"/>
        <w:sz w:val="14"/>
        <w:lang w:val="en-US"/>
      </w:rPr>
    </w:pPr>
    <w:r>
      <w:rPr>
        <w:color w:val="FFFFFF" w:themeColor="background1"/>
      </w:rPr>
      <w:t>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2E" w:rsidRDefault="0063342E">
      <w:r>
        <w:separator/>
      </w:r>
    </w:p>
  </w:footnote>
  <w:footnote w:type="continuationSeparator" w:id="0">
    <w:p w:rsidR="0063342E" w:rsidRDefault="00633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3F" w:rsidRDefault="00696E3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3F" w:rsidRDefault="00696E3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3F" w:rsidRDefault="00696E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516"/>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
    <w:nsid w:val="18371B22"/>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
    <w:nsid w:val="1BEE395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23801472"/>
    <w:multiLevelType w:val="multilevel"/>
    <w:tmpl w:val="2482DAAE"/>
    <w:lvl w:ilvl="0">
      <w:start w:val="5"/>
      <w:numFmt w:val="decimal"/>
      <w:lvlText w:val="%1."/>
      <w:lvlJc w:val="left"/>
      <w:pPr>
        <w:ind w:left="525" w:hanging="525"/>
      </w:pPr>
      <w:rPr>
        <w:rFonts w:ascii="Georgia" w:hAnsi="Georgia" w:cs="Georgia" w:hint="default"/>
        <w:sz w:val="22"/>
      </w:rPr>
    </w:lvl>
    <w:lvl w:ilvl="1">
      <w:start w:val="8"/>
      <w:numFmt w:val="decimal"/>
      <w:lvlText w:val="%1.%2."/>
      <w:lvlJc w:val="left"/>
      <w:pPr>
        <w:ind w:left="900" w:hanging="720"/>
      </w:pPr>
      <w:rPr>
        <w:rFonts w:ascii="Georgia" w:hAnsi="Georgia" w:cs="Georgia" w:hint="default"/>
        <w:sz w:val="22"/>
      </w:rPr>
    </w:lvl>
    <w:lvl w:ilvl="2">
      <w:start w:val="1"/>
      <w:numFmt w:val="decimal"/>
      <w:lvlText w:val="%1.%2.%3."/>
      <w:lvlJc w:val="left"/>
      <w:pPr>
        <w:ind w:left="1080" w:hanging="720"/>
      </w:pPr>
      <w:rPr>
        <w:rFonts w:ascii="Georgia" w:hAnsi="Georgia" w:cs="Georgia" w:hint="default"/>
        <w:sz w:val="22"/>
      </w:rPr>
    </w:lvl>
    <w:lvl w:ilvl="3">
      <w:start w:val="1"/>
      <w:numFmt w:val="decimal"/>
      <w:lvlText w:val="%1.%2.%3.%4."/>
      <w:lvlJc w:val="left"/>
      <w:pPr>
        <w:ind w:left="1620" w:hanging="1080"/>
      </w:pPr>
      <w:rPr>
        <w:rFonts w:ascii="Georgia" w:hAnsi="Georgia" w:cs="Georgia" w:hint="default"/>
        <w:sz w:val="22"/>
      </w:rPr>
    </w:lvl>
    <w:lvl w:ilvl="4">
      <w:start w:val="1"/>
      <w:numFmt w:val="decimal"/>
      <w:lvlText w:val="%1.%2.%3.%4.%5."/>
      <w:lvlJc w:val="left"/>
      <w:pPr>
        <w:ind w:left="2160" w:hanging="1440"/>
      </w:pPr>
      <w:rPr>
        <w:rFonts w:ascii="Georgia" w:hAnsi="Georgia" w:cs="Georgia" w:hint="default"/>
        <w:sz w:val="22"/>
      </w:rPr>
    </w:lvl>
    <w:lvl w:ilvl="5">
      <w:start w:val="1"/>
      <w:numFmt w:val="decimal"/>
      <w:lvlText w:val="%1.%2.%3.%4.%5.%6."/>
      <w:lvlJc w:val="left"/>
      <w:pPr>
        <w:ind w:left="2340" w:hanging="1440"/>
      </w:pPr>
      <w:rPr>
        <w:rFonts w:ascii="Georgia" w:hAnsi="Georgia" w:cs="Georgia" w:hint="default"/>
        <w:sz w:val="22"/>
      </w:rPr>
    </w:lvl>
    <w:lvl w:ilvl="6">
      <w:start w:val="1"/>
      <w:numFmt w:val="decimal"/>
      <w:lvlText w:val="%1.%2.%3.%4.%5.%6.%7."/>
      <w:lvlJc w:val="left"/>
      <w:pPr>
        <w:ind w:left="2880" w:hanging="1800"/>
      </w:pPr>
      <w:rPr>
        <w:rFonts w:ascii="Georgia" w:hAnsi="Georgia" w:cs="Georgia" w:hint="default"/>
        <w:sz w:val="22"/>
      </w:rPr>
    </w:lvl>
    <w:lvl w:ilvl="7">
      <w:start w:val="1"/>
      <w:numFmt w:val="decimal"/>
      <w:lvlText w:val="%1.%2.%3.%4.%5.%6.%7.%8."/>
      <w:lvlJc w:val="left"/>
      <w:pPr>
        <w:ind w:left="3420" w:hanging="2160"/>
      </w:pPr>
      <w:rPr>
        <w:rFonts w:ascii="Georgia" w:hAnsi="Georgia" w:cs="Georgia" w:hint="default"/>
        <w:sz w:val="22"/>
      </w:rPr>
    </w:lvl>
    <w:lvl w:ilvl="8">
      <w:start w:val="1"/>
      <w:numFmt w:val="decimal"/>
      <w:lvlText w:val="%1.%2.%3.%4.%5.%6.%7.%8.%9."/>
      <w:lvlJc w:val="left"/>
      <w:pPr>
        <w:ind w:left="3600" w:hanging="2160"/>
      </w:pPr>
      <w:rPr>
        <w:rFonts w:ascii="Georgia" w:hAnsi="Georgia" w:cs="Georgia" w:hint="default"/>
        <w:sz w:val="22"/>
      </w:rPr>
    </w:lvl>
  </w:abstractNum>
  <w:abstractNum w:abstractNumId="4">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nsid w:val="34211DC4"/>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nsid w:val="44B92FE1"/>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47BB26F1"/>
    <w:multiLevelType w:val="hybridMultilevel"/>
    <w:tmpl w:val="EA3A7518"/>
    <w:lvl w:ilvl="0" w:tplc="294CA564">
      <w:start w:val="1"/>
      <w:numFmt w:val="lowerRoman"/>
      <w:lvlText w:val="(%1)"/>
      <w:lvlJc w:val="left"/>
      <w:pPr>
        <w:tabs>
          <w:tab w:val="num" w:pos="1418"/>
        </w:tabs>
        <w:ind w:left="1418" w:hanging="709"/>
      </w:pPr>
      <w:rPr>
        <w:rFonts w:hint="default"/>
        <w:i w:val="0"/>
      </w:rPr>
    </w:lvl>
    <w:lvl w:ilvl="1" w:tplc="04160001">
      <w:start w:val="1"/>
      <w:numFmt w:val="bullet"/>
      <w:lvlText w:val=""/>
      <w:lvlJc w:val="left"/>
      <w:pPr>
        <w:tabs>
          <w:tab w:val="num" w:pos="1440"/>
        </w:tabs>
        <w:ind w:left="1440" w:hanging="360"/>
      </w:pPr>
      <w:rPr>
        <w:rFonts w:ascii="Symbol" w:hAnsi="Symbol" w:hint="default"/>
      </w:rPr>
    </w:lvl>
    <w:lvl w:ilvl="2" w:tplc="B3A43D5E">
      <w:start w:val="1"/>
      <w:numFmt w:val="lowerLetter"/>
      <w:lvlText w:val="(%3)"/>
      <w:lvlJc w:val="left"/>
      <w:pPr>
        <w:tabs>
          <w:tab w:val="num" w:pos="2340"/>
        </w:tabs>
        <w:ind w:left="2340" w:hanging="360"/>
      </w:pPr>
      <w:rPr>
        <w:rFonts w:ascii="Times New Roman" w:eastAsia="Times New Roman" w:hAnsi="Times New Roman" w:cs="Times New Roman"/>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E84424B8">
      <w:start w:val="1"/>
      <w:numFmt w:val="upperRoman"/>
      <w:lvlText w:val="%6."/>
      <w:lvlJc w:val="left"/>
      <w:pPr>
        <w:tabs>
          <w:tab w:val="num" w:pos="4860"/>
        </w:tabs>
        <w:ind w:left="4860" w:hanging="720"/>
      </w:pPr>
      <w:rPr>
        <w:rFonts w:hint="default"/>
      </w:r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nsid w:val="4DCD06EB"/>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
    <w:nsid w:val="552B1564"/>
    <w:multiLevelType w:val="multilevel"/>
    <w:tmpl w:val="1E7028B0"/>
    <w:lvl w:ilvl="0">
      <w:start w:val="1"/>
      <w:numFmt w:val="lowerRoman"/>
      <w:lvlText w:val="(%1)"/>
      <w:lvlJc w:val="left"/>
      <w:pPr>
        <w:tabs>
          <w:tab w:val="num" w:pos="1418"/>
        </w:tabs>
        <w:ind w:left="1418" w:hanging="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9C470C7"/>
    <w:multiLevelType w:val="hybridMultilevel"/>
    <w:tmpl w:val="C3D664B6"/>
    <w:lvl w:ilvl="0" w:tplc="04160001">
      <w:start w:val="1"/>
      <w:numFmt w:val="bullet"/>
      <w:lvlText w:val=""/>
      <w:lvlJc w:val="left"/>
      <w:pPr>
        <w:tabs>
          <w:tab w:val="num" w:pos="1494"/>
        </w:tabs>
        <w:ind w:left="1494" w:hanging="360"/>
      </w:pPr>
      <w:rPr>
        <w:rFonts w:ascii="Symbol" w:hAnsi="Symbo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626F752E"/>
    <w:multiLevelType w:val="hybridMultilevel"/>
    <w:tmpl w:val="04B86256"/>
    <w:lvl w:ilvl="0" w:tplc="37505300">
      <w:start w:val="1"/>
      <w:numFmt w:val="decimal"/>
      <w:lvlText w:val="%1."/>
      <w:lvlJc w:val="left"/>
      <w:pPr>
        <w:tabs>
          <w:tab w:val="num" w:pos="709"/>
        </w:tabs>
        <w:ind w:left="709" w:hanging="709"/>
      </w:pPr>
      <w:rPr>
        <w:rFonts w:hint="default"/>
      </w:rPr>
    </w:lvl>
    <w:lvl w:ilvl="1" w:tplc="192C0F50">
      <w:start w:val="1"/>
      <w:numFmt w:val="upperLetter"/>
      <w:lvlText w:val="%2."/>
      <w:lvlJc w:val="left"/>
      <w:pPr>
        <w:tabs>
          <w:tab w:val="num" w:pos="1440"/>
        </w:tabs>
        <w:ind w:left="1440" w:hanging="360"/>
      </w:pPr>
      <w:rPr>
        <w:rFonts w:ascii="Times New Roman" w:eastAsia="Times New Roman" w:hAnsi="Times New Roman" w:cs="Times New Roman"/>
      </w:rPr>
    </w:lvl>
    <w:lvl w:ilvl="2" w:tplc="FB220E02">
      <w:start w:val="3"/>
      <w:numFmt w:val="upp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651E799B"/>
    <w:multiLevelType w:val="multilevel"/>
    <w:tmpl w:val="1B200A5C"/>
    <w:lvl w:ilvl="0">
      <w:start w:val="1"/>
      <w:numFmt w:val="decimal"/>
      <w:pStyle w:val="ContratoN1"/>
      <w:lvlText w:val="%1."/>
      <w:lvlJc w:val="left"/>
      <w:pPr>
        <w:tabs>
          <w:tab w:val="num" w:pos="1134"/>
        </w:tabs>
        <w:ind w:left="1134" w:hanging="1134"/>
      </w:pPr>
      <w:rPr>
        <w:rFonts w:hint="default"/>
        <w:b/>
        <w:i w:val="0"/>
      </w:rPr>
    </w:lvl>
    <w:lvl w:ilvl="1">
      <w:start w:val="1"/>
      <w:numFmt w:val="decimal"/>
      <w:pStyle w:val="ContratoN2"/>
      <w:lvlText w:val="%1.%2."/>
      <w:lvlJc w:val="left"/>
      <w:pPr>
        <w:tabs>
          <w:tab w:val="num" w:pos="1134"/>
        </w:tabs>
        <w:ind w:left="0" w:firstLine="0"/>
      </w:pPr>
      <w:rPr>
        <w:rFonts w:hint="default"/>
      </w:rPr>
    </w:lvl>
    <w:lvl w:ilvl="2">
      <w:start w:val="1"/>
      <w:numFmt w:val="decimal"/>
      <w:pStyle w:val="ContratoN3"/>
      <w:lvlText w:val="%1.%2.%3."/>
      <w:lvlJc w:val="left"/>
      <w:pPr>
        <w:tabs>
          <w:tab w:val="num" w:pos="1080"/>
        </w:tabs>
        <w:ind w:left="1134" w:firstLine="0"/>
      </w:pPr>
      <w:rPr>
        <w:rFonts w:hint="default"/>
        <w:sz w:val="22"/>
        <w:szCs w:val="22"/>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3">
    <w:nsid w:val="73472CC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73E5586B"/>
    <w:multiLevelType w:val="multilevel"/>
    <w:tmpl w:val="A53EED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lowerLetter"/>
      <w:lvlText w:val="(%7)"/>
      <w:lvlJc w:val="left"/>
      <w:pPr>
        <w:tabs>
          <w:tab w:val="num" w:pos="1701"/>
        </w:tabs>
        <w:ind w:left="1701" w:hanging="992"/>
      </w:pPr>
      <w:rPr>
        <w:rFonts w:ascii="Times New Roman" w:eastAsia="Times New Roman" w:hAnsi="Times New Roman" w:cs="Times New Roman"/>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nsid w:val="78704210"/>
    <w:multiLevelType w:val="multilevel"/>
    <w:tmpl w:val="479CB3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bullet"/>
      <w:lvlText w:val=""/>
      <w:lvlJc w:val="left"/>
      <w:pPr>
        <w:tabs>
          <w:tab w:val="num" w:pos="1069"/>
        </w:tabs>
        <w:ind w:left="1069" w:hanging="360"/>
      </w:pPr>
      <w:rPr>
        <w:rFonts w:ascii="Symbol" w:hAnsi="Symbol"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6">
    <w:nsid w:val="7B0D7178"/>
    <w:multiLevelType w:val="hybridMultilevel"/>
    <w:tmpl w:val="B2DAC61A"/>
    <w:lvl w:ilvl="0" w:tplc="0416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7"/>
  </w:num>
  <w:num w:numId="2">
    <w:abstractNumId w:val="11"/>
  </w:num>
  <w:num w:numId="3">
    <w:abstractNumId w:val="12"/>
  </w:num>
  <w:num w:numId="4">
    <w:abstractNumId w:val="16"/>
  </w:num>
  <w:num w:numId="5">
    <w:abstractNumId w:val="10"/>
  </w:num>
  <w:num w:numId="6">
    <w:abstractNumId w:val="4"/>
  </w:num>
  <w:num w:numId="7">
    <w:abstractNumId w:val="0"/>
  </w:num>
  <w:num w:numId="8">
    <w:abstractNumId w:val="9"/>
  </w:num>
  <w:num w:numId="9">
    <w:abstractNumId w:val="8"/>
  </w:num>
  <w:num w:numId="10">
    <w:abstractNumId w:val="1"/>
  </w:num>
  <w:num w:numId="11">
    <w:abstractNumId w:val="15"/>
  </w:num>
  <w:num w:numId="12">
    <w:abstractNumId w:val="5"/>
  </w:num>
  <w:num w:numId="13">
    <w:abstractNumId w:val="2"/>
  </w:num>
  <w:num w:numId="14">
    <w:abstractNumId w:val="13"/>
  </w:num>
  <w:num w:numId="15">
    <w:abstractNumId w:val="1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3F"/>
    <w:rsid w:val="0063342E"/>
    <w:rsid w:val="00696E3F"/>
    <w:rsid w:val="00A6101F"/>
    <w:rsid w:val="00B14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6"/>
      <w:szCs w:val="24"/>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uiPriority w:val="99"/>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6"/>
      <w:szCs w:val="24"/>
    </w:rPr>
  </w:style>
  <w:style w:type="paragraph" w:styleId="Ttulo8">
    <w:name w:val="heading 8"/>
    <w:basedOn w:val="Normal"/>
    <w:next w:val="Normal"/>
    <w:qFormat/>
    <w:pPr>
      <w:keepNext/>
      <w:numPr>
        <w:numId w:val="6"/>
      </w:numPr>
      <w:spacing w:after="240"/>
      <w:outlineLvl w:val="7"/>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spacing w:line="480" w:lineRule="auto"/>
    </w:pPr>
    <w:rPr>
      <w:lang w:val="it-IT"/>
    </w:rPr>
  </w:style>
  <w:style w:type="paragraph" w:styleId="Corpodetexto">
    <w:name w:val="Body Text"/>
    <w:basedOn w:val="Normal"/>
  </w:style>
  <w:style w:type="character" w:styleId="Hyperlink">
    <w:name w:val="Hyperlink"/>
    <w:rPr>
      <w:color w:val="0000FF"/>
      <w:u w:val="single"/>
    </w:rPr>
  </w:style>
  <w:style w:type="paragraph" w:customStyle="1" w:styleId="ContratoN2">
    <w:name w:val="Contrato_N2"/>
    <w:basedOn w:val="Normal"/>
    <w:link w:val="ContratoN2CharChar"/>
    <w:pPr>
      <w:numPr>
        <w:ilvl w:val="1"/>
        <w:numId w:val="3"/>
      </w:numPr>
      <w:spacing w:before="360" w:line="300" w:lineRule="exact"/>
    </w:pPr>
    <w:rPr>
      <w:sz w:val="24"/>
    </w:rPr>
  </w:style>
  <w:style w:type="character" w:customStyle="1" w:styleId="ContratoN2CharChar">
    <w:name w:val="Contrato_N2 Char Char"/>
    <w:link w:val="ContratoN2"/>
    <w:rPr>
      <w:sz w:val="24"/>
      <w:szCs w:val="24"/>
      <w:lang w:val="pt-BR" w:eastAsia="pt-BR" w:bidi="ar-SA"/>
    </w:rPr>
  </w:style>
  <w:style w:type="paragraph" w:customStyle="1" w:styleId="ContratoN1">
    <w:name w:val="Contrato_N1"/>
    <w:basedOn w:val="Normal"/>
    <w:pPr>
      <w:numPr>
        <w:numId w:val="3"/>
      </w:numPr>
      <w:spacing w:before="600"/>
    </w:pPr>
    <w:rPr>
      <w:rFonts w:ascii="Times New Roman Negrito" w:hAnsi="Times New Roman Negrito"/>
      <w:b/>
      <w:caps/>
    </w:rPr>
  </w:style>
  <w:style w:type="paragraph" w:customStyle="1" w:styleId="ContratoN3">
    <w:name w:val="Contrato_N3"/>
    <w:basedOn w:val="ContratoN2"/>
    <w:link w:val="ContratoN3CharChar"/>
    <w:pPr>
      <w:numPr>
        <w:ilvl w:val="2"/>
      </w:numPr>
      <w:tabs>
        <w:tab w:val="clear" w:pos="1080"/>
        <w:tab w:val="num" w:pos="1680"/>
      </w:tabs>
      <w:ind w:left="1680" w:hanging="180"/>
    </w:pPr>
  </w:style>
  <w:style w:type="character" w:customStyle="1" w:styleId="ContratoN3CharChar">
    <w:name w:val="Contrato_N3 Char Char"/>
    <w:basedOn w:val="ContratoN2CharChar"/>
    <w:link w:val="ContratoN3"/>
    <w:rPr>
      <w:sz w:val="24"/>
      <w:szCs w:val="24"/>
      <w:lang w:val="pt-BR" w:eastAsia="pt-BR" w:bidi="ar-SA"/>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pPr>
      <w:widowControl w:val="0"/>
      <w:tabs>
        <w:tab w:val="left" w:pos="720"/>
      </w:tabs>
      <w:spacing w:after="0" w:line="240" w:lineRule="atLeast"/>
    </w:pPr>
    <w:rPr>
      <w:rFonts w:ascii="Times" w:hAnsi="Times"/>
      <w:snapToGrid w:val="0"/>
      <w:sz w:val="24"/>
      <w:szCs w:val="20"/>
    </w:rPr>
  </w:style>
  <w:style w:type="paragraph" w:styleId="Commarcadores">
    <w:name w:val="List Bullet"/>
    <w:aliases w:val="lb"/>
    <w:basedOn w:val="Normal"/>
    <w:uiPriority w:val="99"/>
    <w:pPr>
      <w:widowControl w:val="0"/>
      <w:tabs>
        <w:tab w:val="num" w:pos="360"/>
      </w:tabs>
      <w:autoSpaceDE w:val="0"/>
      <w:autoSpaceDN w:val="0"/>
      <w:adjustRightInd w:val="0"/>
      <w:spacing w:after="0"/>
      <w:ind w:left="360" w:hanging="360"/>
    </w:pPr>
    <w:rPr>
      <w:szCs w:val="26"/>
      <w:lang w:eastAsia="en-US"/>
    </w:rPr>
  </w:style>
  <w:style w:type="character" w:customStyle="1" w:styleId="DeltaViewInsertion">
    <w:name w:val="DeltaView Insertion"/>
    <w:uiPriority w:val="99"/>
    <w:rPr>
      <w:color w:val="0000FF"/>
      <w:spacing w:val="0"/>
      <w:u w:val="double"/>
    </w:rPr>
  </w:style>
  <w:style w:type="paragraph" w:styleId="PargrafodaLista">
    <w:name w:val="List Paragraph"/>
    <w:basedOn w:val="Normal"/>
    <w:uiPriority w:val="99"/>
    <w:qFormat/>
    <w:pPr>
      <w:widowControl w:val="0"/>
      <w:autoSpaceDE w:val="0"/>
      <w:autoSpaceDN w:val="0"/>
      <w:adjustRightInd w:val="0"/>
      <w:spacing w:after="0"/>
      <w:ind w:left="708"/>
    </w:pPr>
    <w:rPr>
      <w:szCs w:val="26"/>
      <w:lang w:eastAsia="en-US"/>
    </w:rPr>
  </w:style>
  <w:style w:type="paragraph" w:styleId="Textodebalo">
    <w:name w:val="Balloon Text"/>
    <w:basedOn w:val="Normal"/>
    <w:link w:val="TextodebaloChar"/>
    <w:pPr>
      <w:spacing w:after="0"/>
    </w:pP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CCRR PARTICIPAÇÕES S</vt:lpstr>
    </vt:vector>
  </TitlesOfParts>
  <Company/>
  <LinksUpToDate>false</LinksUpToDate>
  <CharactersWithSpaces>4831</CharactersWithSpaces>
  <SharedDoc>false</SharedDoc>
  <HLinks>
    <vt:vector size="6" baseType="variant">
      <vt:variant>
        <vt:i4>983105</vt:i4>
      </vt:variant>
      <vt:variant>
        <vt:i4>21</vt:i4>
      </vt:variant>
      <vt:variant>
        <vt:i4>0</vt:i4>
      </vt:variant>
      <vt:variant>
        <vt:i4>5</vt:i4>
      </vt:variant>
      <vt:variant>
        <vt:lpwstr>http://www.cetip.com.br/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CCRR PARTICIPAÇÕES S</dc:title>
  <dc:creator>Pinheiro Guimarães - Advogados</dc:creator>
  <cp:lastModifiedBy>Katia Nozela</cp:lastModifiedBy>
  <cp:revision>3</cp:revision>
  <cp:lastPrinted>2015-06-22T13:28:00Z</cp:lastPrinted>
  <dcterms:created xsi:type="dcterms:W3CDTF">2020-09-24T15:41:00Z</dcterms:created>
  <dcterms:modified xsi:type="dcterms:W3CDTF">2020-09-24T15:41:00Z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- 37795926v1 - 12070002.461368</vt:lpwstr>
  </property>
</Properties>
</file>