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40" w:lineRule="exact"/>
        <w:jc w:val="center"/>
        <w:rPr>
          <w:rFonts w:ascii="Arial" w:hAnsi="Arial" w:cs="Arial"/>
          <w:b/>
          <w:snapToGrid w:val="0"/>
          <w:sz w:val="22"/>
          <w:szCs w:val="22"/>
        </w:rPr>
      </w:pPr>
      <w:r>
        <w:rPr>
          <w:rFonts w:ascii="Arial" w:hAnsi="Arial" w:cs="Arial"/>
          <w:b/>
          <w:snapToGrid w:val="0"/>
          <w:sz w:val="22"/>
          <w:szCs w:val="22"/>
        </w:rPr>
        <w:t>LM TRANSPORTES INTERESTADUAIS SERVIÇOS E COMÉRCIO S.A.</w:t>
      </w:r>
    </w:p>
    <w:p>
      <w:pPr>
        <w:spacing w:line="340" w:lineRule="exact"/>
        <w:jc w:val="center"/>
        <w:rPr>
          <w:rFonts w:ascii="Arial" w:hAnsi="Arial" w:cs="Arial"/>
          <w:snapToGrid w:val="0"/>
          <w:sz w:val="22"/>
          <w:szCs w:val="22"/>
        </w:rPr>
      </w:pPr>
      <w:r>
        <w:rPr>
          <w:rFonts w:ascii="Arial" w:hAnsi="Arial" w:cs="Arial"/>
          <w:snapToGrid w:val="0"/>
          <w:sz w:val="22"/>
          <w:szCs w:val="22"/>
        </w:rPr>
        <w:t>CNPJ/ME nº 00.389.481/0001-79</w:t>
      </w:r>
    </w:p>
    <w:p>
      <w:pPr>
        <w:pStyle w:val="Estilo"/>
        <w:spacing w:line="340" w:lineRule="exact"/>
        <w:jc w:val="center"/>
        <w:rPr>
          <w:rFonts w:ascii="Arial" w:hAnsi="Arial" w:cs="Arial"/>
          <w:snapToGrid w:val="0"/>
          <w:sz w:val="22"/>
          <w:szCs w:val="22"/>
        </w:rPr>
      </w:pPr>
      <w:r>
        <w:rPr>
          <w:rFonts w:ascii="Arial" w:hAnsi="Arial" w:cs="Arial"/>
          <w:bCs/>
          <w:snapToGrid w:val="0"/>
          <w:sz w:val="22"/>
          <w:szCs w:val="22"/>
        </w:rPr>
        <w:t xml:space="preserve">NIRE </w:t>
      </w:r>
      <w:r>
        <w:rPr>
          <w:rFonts w:ascii="Arial" w:hAnsi="Arial" w:cs="Arial"/>
          <w:snapToGrid w:val="0"/>
          <w:sz w:val="22"/>
          <w:szCs w:val="22"/>
        </w:rPr>
        <w:t>293.000.350-41</w:t>
      </w:r>
    </w:p>
    <w:p>
      <w:pPr>
        <w:pStyle w:val="Estilo"/>
        <w:spacing w:line="340" w:lineRule="exact"/>
        <w:jc w:val="center"/>
        <w:rPr>
          <w:rFonts w:ascii="Arial" w:hAnsi="Arial" w:cs="Arial"/>
          <w:snapToGrid w:val="0"/>
          <w:sz w:val="22"/>
          <w:szCs w:val="22"/>
        </w:rPr>
      </w:pPr>
      <w:r>
        <w:rPr>
          <w:rFonts w:ascii="Arial" w:hAnsi="Arial" w:cs="Arial"/>
          <w:snapToGrid w:val="0"/>
          <w:sz w:val="22"/>
          <w:szCs w:val="22"/>
        </w:rPr>
        <w:t>Companhia Aberta</w:t>
      </w:r>
    </w:p>
    <w:p>
      <w:pPr>
        <w:pStyle w:val="Estilo"/>
        <w:spacing w:line="340" w:lineRule="exact"/>
        <w:jc w:val="center"/>
        <w:rPr>
          <w:rFonts w:ascii="Arial" w:hAnsi="Arial" w:cs="Arial"/>
          <w:snapToGrid w:val="0"/>
          <w:sz w:val="22"/>
          <w:szCs w:val="22"/>
        </w:rPr>
      </w:pPr>
    </w:p>
    <w:p>
      <w:pPr>
        <w:pStyle w:val="Estilo"/>
        <w:spacing w:line="340" w:lineRule="exact"/>
        <w:jc w:val="center"/>
        <w:rPr>
          <w:rFonts w:ascii="Arial" w:hAnsi="Arial" w:cs="Arial"/>
          <w:b/>
          <w:bCs/>
          <w:sz w:val="22"/>
          <w:szCs w:val="20"/>
          <w:u w:val="single"/>
        </w:rPr>
      </w:pPr>
      <w:r>
        <w:rPr>
          <w:rFonts w:ascii="Arial" w:hAnsi="Arial" w:cs="Arial"/>
          <w:b/>
          <w:bCs/>
          <w:sz w:val="22"/>
          <w:szCs w:val="20"/>
          <w:u w:val="single"/>
        </w:rPr>
        <w:t>EDITAL DE CONVOCAÇÃO</w:t>
      </w:r>
    </w:p>
    <w:p>
      <w:pPr>
        <w:pStyle w:val="Estilo"/>
        <w:spacing w:line="340" w:lineRule="exact"/>
        <w:jc w:val="center"/>
        <w:rPr>
          <w:rFonts w:ascii="Arial" w:hAnsi="Arial" w:cs="Arial"/>
          <w:b/>
          <w:bCs/>
          <w:sz w:val="22"/>
          <w:szCs w:val="20"/>
        </w:rPr>
      </w:pPr>
    </w:p>
    <w:p>
      <w:pPr>
        <w:pStyle w:val="Estilo"/>
        <w:spacing w:line="340" w:lineRule="exact"/>
        <w:jc w:val="center"/>
        <w:rPr>
          <w:rFonts w:ascii="Arial" w:hAnsi="Arial" w:cs="Arial"/>
          <w:b/>
          <w:bCs/>
          <w:sz w:val="22"/>
          <w:szCs w:val="20"/>
        </w:rPr>
      </w:pPr>
      <w:r>
        <w:rPr>
          <w:rFonts w:ascii="Arial" w:hAnsi="Arial" w:cs="Arial"/>
          <w:b/>
          <w:bCs/>
          <w:sz w:val="22"/>
          <w:szCs w:val="20"/>
        </w:rPr>
        <w:t xml:space="preserve">ASSEMBLEIA GERAL DE DEBENTURISTAS DA </w:t>
      </w:r>
    </w:p>
    <w:p>
      <w:pPr>
        <w:pStyle w:val="Estilo"/>
        <w:spacing w:line="340" w:lineRule="exact"/>
        <w:jc w:val="center"/>
        <w:rPr>
          <w:rFonts w:ascii="Arial" w:hAnsi="Arial" w:cs="Arial"/>
          <w:b/>
          <w:bCs/>
          <w:sz w:val="22"/>
          <w:szCs w:val="20"/>
        </w:rPr>
      </w:pPr>
      <w:r>
        <w:rPr>
          <w:rFonts w:ascii="Arial" w:hAnsi="Arial" w:cs="Arial"/>
          <w:b/>
          <w:bCs/>
          <w:sz w:val="22"/>
          <w:szCs w:val="20"/>
        </w:rPr>
        <w:t>2ª (SEGUNDA) EMISSÃO PÚBLICA DE DEBÊNTURES SIMPLES, NÃO CONVERSÍVEIS EM AÇÕES, EM SÉRIE ÚNICA, DA ESPÉCIE COM GARANTIA REAL, COM GARANTIA ADICIONAL FIDEJUSSÓRIA, PARA DISTRIBUIÇÃO COM ESFORÇOS RESTRITOS, DA LM TRANSPORTES INTERESTADUAIS SERVIÇOS E COMÉRCIO S.A.</w:t>
      </w:r>
    </w:p>
    <w:p>
      <w:pPr>
        <w:pStyle w:val="Estilo"/>
        <w:spacing w:line="340" w:lineRule="exact"/>
        <w:jc w:val="center"/>
        <w:rPr>
          <w:rFonts w:ascii="Arial" w:hAnsi="Arial" w:cs="Arial"/>
          <w:b/>
          <w:bCs/>
          <w:sz w:val="22"/>
          <w:szCs w:val="20"/>
        </w:rPr>
      </w:pPr>
    </w:p>
    <w:p>
      <w:pPr>
        <w:pStyle w:val="Estilo"/>
        <w:spacing w:line="340" w:lineRule="exact"/>
        <w:jc w:val="both"/>
        <w:rPr>
          <w:rFonts w:ascii="Arial" w:hAnsi="Arial" w:cs="Arial"/>
          <w:sz w:val="22"/>
          <w:szCs w:val="20"/>
        </w:rPr>
      </w:pPr>
    </w:p>
    <w:p>
      <w:pPr>
        <w:pStyle w:val="Estilo"/>
        <w:spacing w:line="340" w:lineRule="exact"/>
        <w:jc w:val="both"/>
        <w:rPr>
          <w:rFonts w:ascii="Arial" w:hAnsi="Arial" w:cs="Arial"/>
          <w:sz w:val="22"/>
          <w:szCs w:val="20"/>
          <w:shd w:val="clear" w:color="auto" w:fill="FFFFFF"/>
        </w:rPr>
      </w:pPr>
      <w:r>
        <w:rPr>
          <w:rFonts w:ascii="Arial" w:hAnsi="Arial" w:cs="Arial"/>
          <w:sz w:val="22"/>
          <w:szCs w:val="20"/>
          <w:shd w:val="clear" w:color="auto" w:fill="FFFFFF"/>
        </w:rPr>
        <w:t xml:space="preserve">A </w:t>
      </w:r>
      <w:r>
        <w:rPr>
          <w:rFonts w:ascii="Arial" w:hAnsi="Arial" w:cs="Arial"/>
          <w:b/>
          <w:sz w:val="22"/>
          <w:szCs w:val="20"/>
          <w:shd w:val="clear" w:color="auto" w:fill="FFFFFF"/>
        </w:rPr>
        <w:t xml:space="preserve">LM TRANSPORTES INTERESTADUAIS SERVIÇOS E COMÉRCIO S.A. </w:t>
      </w:r>
      <w:r>
        <w:rPr>
          <w:rFonts w:ascii="Arial" w:hAnsi="Arial" w:cs="Arial"/>
          <w:sz w:val="22"/>
          <w:szCs w:val="20"/>
          <w:shd w:val="clear" w:color="auto" w:fill="FFFFFF"/>
        </w:rPr>
        <w:t>(“</w:t>
      </w:r>
      <w:r>
        <w:rPr>
          <w:rFonts w:ascii="Arial" w:hAnsi="Arial" w:cs="Arial"/>
          <w:sz w:val="22"/>
          <w:szCs w:val="20"/>
          <w:u w:val="single"/>
          <w:shd w:val="clear" w:color="auto" w:fill="FFFFFF"/>
        </w:rPr>
        <w:t>Companhia</w:t>
      </w:r>
      <w:r>
        <w:rPr>
          <w:rFonts w:ascii="Arial" w:hAnsi="Arial" w:cs="Arial"/>
          <w:sz w:val="22"/>
          <w:szCs w:val="20"/>
          <w:shd w:val="clear" w:color="auto" w:fill="FFFFFF"/>
        </w:rPr>
        <w:t>” ou “</w:t>
      </w:r>
      <w:r>
        <w:rPr>
          <w:rFonts w:ascii="Arial" w:hAnsi="Arial" w:cs="Arial"/>
          <w:sz w:val="22"/>
          <w:szCs w:val="20"/>
          <w:u w:val="single"/>
          <w:shd w:val="clear" w:color="auto" w:fill="FFFFFF"/>
        </w:rPr>
        <w:t>Emissora</w:t>
      </w:r>
      <w:r>
        <w:rPr>
          <w:rFonts w:ascii="Arial" w:hAnsi="Arial" w:cs="Arial"/>
          <w:sz w:val="22"/>
          <w:szCs w:val="20"/>
          <w:shd w:val="clear" w:color="auto" w:fill="FFFFFF"/>
        </w:rPr>
        <w:t xml:space="preserve">”), na qualidade de emissora da 2ª (Segunda) </w:t>
      </w:r>
      <w:r>
        <w:rPr>
          <w:rFonts w:ascii="Arial" w:hAnsi="Arial" w:cs="Arial"/>
          <w:bCs/>
          <w:sz w:val="22"/>
          <w:szCs w:val="20"/>
        </w:rPr>
        <w:t>Emissão Pública de Debêntures Simples, Não Conversíveis em Ações, em Série Única, da Espécie com Garantia Real, com Garantia Adicional Fidejussória, para Distribuição com Esforços Restritos</w:t>
      </w:r>
      <w:r>
        <w:rPr>
          <w:rFonts w:ascii="Arial" w:hAnsi="Arial" w:cs="Arial"/>
          <w:sz w:val="22"/>
          <w:szCs w:val="20"/>
          <w:shd w:val="clear" w:color="auto" w:fill="FFFFFF"/>
        </w:rPr>
        <w:t xml:space="preserve"> (“</w:t>
      </w:r>
      <w:r>
        <w:rPr>
          <w:rFonts w:ascii="Arial" w:hAnsi="Arial" w:cs="Arial"/>
          <w:sz w:val="22"/>
          <w:szCs w:val="20"/>
          <w:u w:val="single"/>
          <w:shd w:val="clear" w:color="auto" w:fill="FFFFFF"/>
        </w:rPr>
        <w:t>Emissão</w:t>
      </w:r>
      <w:r>
        <w:rPr>
          <w:rFonts w:ascii="Arial" w:hAnsi="Arial" w:cs="Arial"/>
          <w:sz w:val="22"/>
          <w:szCs w:val="20"/>
          <w:shd w:val="clear" w:color="auto" w:fill="FFFFFF"/>
        </w:rPr>
        <w:t>” e “</w:t>
      </w:r>
      <w:r>
        <w:rPr>
          <w:rFonts w:ascii="Arial" w:hAnsi="Arial" w:cs="Arial"/>
          <w:sz w:val="22"/>
          <w:szCs w:val="20"/>
          <w:u w:val="single"/>
          <w:shd w:val="clear" w:color="auto" w:fill="FFFFFF"/>
        </w:rPr>
        <w:t>Debêntures</w:t>
      </w:r>
      <w:r>
        <w:rPr>
          <w:rFonts w:ascii="Arial" w:hAnsi="Arial" w:cs="Arial"/>
          <w:sz w:val="22"/>
          <w:szCs w:val="20"/>
          <w:shd w:val="clear" w:color="auto" w:fill="FFFFFF"/>
        </w:rPr>
        <w:t>”, respectivamente), vem, através do presente edital de convocação, convocar os titulares das Debêntures em circulação (“</w:t>
      </w:r>
      <w:r>
        <w:rPr>
          <w:rFonts w:ascii="Arial" w:hAnsi="Arial" w:cs="Arial"/>
          <w:sz w:val="22"/>
          <w:szCs w:val="20"/>
          <w:u w:val="single"/>
          <w:shd w:val="clear" w:color="auto" w:fill="FFFFFF"/>
        </w:rPr>
        <w:t>Debenturistas</w:t>
      </w:r>
      <w:r>
        <w:rPr>
          <w:rFonts w:ascii="Arial" w:hAnsi="Arial" w:cs="Arial"/>
          <w:sz w:val="22"/>
          <w:szCs w:val="20"/>
          <w:shd w:val="clear" w:color="auto" w:fill="FFFFFF"/>
        </w:rPr>
        <w:t>”), nos termos do “</w:t>
      </w:r>
      <w:r>
        <w:rPr>
          <w:rFonts w:ascii="Arial" w:hAnsi="Arial" w:cs="Arial"/>
          <w:i/>
          <w:sz w:val="22"/>
          <w:szCs w:val="20"/>
          <w:shd w:val="clear" w:color="auto" w:fill="FFFFFF"/>
        </w:rPr>
        <w:t xml:space="preserve">Instrumento Particular de Escritura da 2ª (Segunda) </w:t>
      </w:r>
      <w:r>
        <w:rPr>
          <w:rFonts w:ascii="Arial" w:hAnsi="Arial" w:cs="Arial"/>
          <w:bCs/>
          <w:i/>
          <w:sz w:val="22"/>
          <w:szCs w:val="20"/>
        </w:rPr>
        <w:t>Emissão Pública de Debêntures Simples, Não Conversíveis em Ações, em Série Única, da Espécie com Garantia Real, com Garantia Adicional Fidejussória, para Distribuição com Esforços Restritos</w:t>
      </w:r>
      <w:r>
        <w:rPr>
          <w:rFonts w:ascii="Arial" w:hAnsi="Arial" w:cs="Arial"/>
          <w:i/>
          <w:sz w:val="22"/>
          <w:szCs w:val="20"/>
          <w:shd w:val="clear" w:color="auto" w:fill="FFFFFF"/>
        </w:rPr>
        <w:t xml:space="preserve"> da LM Transportes Interestaduais Serviços e Comércio S.A.</w:t>
      </w:r>
      <w:r>
        <w:rPr>
          <w:rFonts w:ascii="Arial" w:hAnsi="Arial" w:cs="Arial"/>
          <w:sz w:val="22"/>
          <w:szCs w:val="20"/>
          <w:shd w:val="clear" w:color="auto" w:fill="FFFFFF"/>
        </w:rPr>
        <w:t>”, celebrado em 7 de dezembro de 2018 entre a Emissora, a Simplific Pavarini Distribuidora de Títulos e Valores Mobiliários Ltda. (“</w:t>
      </w:r>
      <w:r>
        <w:rPr>
          <w:rFonts w:ascii="Arial" w:hAnsi="Arial" w:cs="Arial"/>
          <w:sz w:val="22"/>
          <w:szCs w:val="20"/>
          <w:u w:val="single"/>
          <w:shd w:val="clear" w:color="auto" w:fill="FFFFFF"/>
        </w:rPr>
        <w:t>Agente Fiduciário</w:t>
      </w:r>
      <w:r>
        <w:rPr>
          <w:rFonts w:ascii="Arial" w:hAnsi="Arial" w:cs="Arial"/>
          <w:sz w:val="22"/>
          <w:szCs w:val="20"/>
          <w:shd w:val="clear" w:color="auto" w:fill="FFFFFF"/>
        </w:rPr>
        <w:t>”), Luiz Lopes Mendonça Filho, Aurora Maria Moura Mendonça, a LM Transportes e Serviços e Comércio Ltda., a LM Participações e Empreendimentos Ltda., a Bravo Caminhões e Empreendimentos Ltda., a Aurabrasil – Transportes, Máquinas e Equipamentos Ltda. e a Santo Antônio Imóveis e empreendimentos Ltda. (os “</w:t>
      </w:r>
      <w:r>
        <w:rPr>
          <w:rFonts w:ascii="Arial" w:hAnsi="Arial" w:cs="Arial"/>
          <w:sz w:val="22"/>
          <w:szCs w:val="20"/>
          <w:u w:val="single"/>
          <w:shd w:val="clear" w:color="auto" w:fill="FFFFFF"/>
        </w:rPr>
        <w:t>Fiadores</w:t>
      </w:r>
      <w:r>
        <w:rPr>
          <w:rFonts w:ascii="Arial" w:hAnsi="Arial" w:cs="Arial"/>
          <w:sz w:val="22"/>
          <w:szCs w:val="20"/>
          <w:shd w:val="clear" w:color="auto" w:fill="FFFFFF"/>
        </w:rPr>
        <w:t>” e “</w:t>
      </w:r>
      <w:r>
        <w:rPr>
          <w:rFonts w:ascii="Arial" w:hAnsi="Arial" w:cs="Arial"/>
          <w:sz w:val="22"/>
          <w:szCs w:val="20"/>
          <w:u w:val="single"/>
          <w:shd w:val="clear" w:color="auto" w:fill="FFFFFF"/>
        </w:rPr>
        <w:t>Escritura de Emissão</w:t>
      </w:r>
      <w:r>
        <w:rPr>
          <w:rFonts w:ascii="Arial" w:hAnsi="Arial" w:cs="Arial"/>
          <w:sz w:val="22"/>
          <w:szCs w:val="20"/>
          <w:shd w:val="clear" w:color="auto" w:fill="FFFFFF"/>
        </w:rPr>
        <w:t>”, respectivamente), para se reunirem em Assembleia Geral de Debenturistas (“</w:t>
      </w:r>
      <w:r>
        <w:rPr>
          <w:rFonts w:ascii="Arial" w:hAnsi="Arial" w:cs="Arial"/>
          <w:sz w:val="22"/>
          <w:szCs w:val="20"/>
          <w:u w:val="single"/>
          <w:shd w:val="clear" w:color="auto" w:fill="FFFFFF"/>
        </w:rPr>
        <w:t>Assembleia Geral de Debenturistas</w:t>
      </w:r>
      <w:r>
        <w:rPr>
          <w:rFonts w:ascii="Arial" w:hAnsi="Arial" w:cs="Arial"/>
          <w:sz w:val="22"/>
          <w:szCs w:val="20"/>
          <w:shd w:val="clear" w:color="auto" w:fill="FFFFFF"/>
        </w:rPr>
        <w:t xml:space="preserve">”), a se realizar, em primeira convocação, no próximo dia </w:t>
      </w:r>
      <w:r>
        <w:rPr>
          <w:rFonts w:ascii="Arial" w:hAnsi="Arial" w:cs="Arial"/>
          <w:b/>
          <w:sz w:val="22"/>
          <w:szCs w:val="20"/>
          <w:shd w:val="clear" w:color="auto" w:fill="FFFFFF"/>
        </w:rPr>
        <w:t>[7] de dezembro de 2020, às 10h00</w:t>
      </w:r>
      <w:r>
        <w:rPr>
          <w:rFonts w:ascii="Arial" w:hAnsi="Arial" w:cs="Arial"/>
          <w:sz w:val="22"/>
          <w:szCs w:val="20"/>
          <w:shd w:val="clear" w:color="auto" w:fill="FFFFFF"/>
        </w:rPr>
        <w:t xml:space="preserve">, </w:t>
      </w:r>
      <w:r>
        <w:rPr>
          <w:rFonts w:ascii="Arial" w:hAnsi="Arial" w:cs="Arial"/>
          <w:sz w:val="22"/>
          <w:szCs w:val="20"/>
          <w:u w:val="single"/>
          <w:shd w:val="clear" w:color="auto" w:fill="FFFFFF"/>
        </w:rPr>
        <w:t>de modo exclusivamente digital</w:t>
      </w:r>
      <w:r>
        <w:rPr>
          <w:rFonts w:ascii="Arial" w:hAnsi="Arial" w:cs="Arial"/>
          <w:sz w:val="22"/>
          <w:szCs w:val="20"/>
          <w:shd w:val="clear" w:color="auto" w:fill="FFFFFF"/>
        </w:rPr>
        <w:t xml:space="preserve">, através de sistema eletrônico, com </w:t>
      </w:r>
      <w:r>
        <w:rPr>
          <w:rFonts w:ascii="Arial" w:hAnsi="Arial" w:cs="Arial"/>
          <w:i/>
          <w:sz w:val="22"/>
          <w:szCs w:val="20"/>
          <w:shd w:val="clear" w:color="auto" w:fill="FFFFFF"/>
        </w:rPr>
        <w:t>link</w:t>
      </w:r>
      <w:r>
        <w:rPr>
          <w:rFonts w:ascii="Arial" w:hAnsi="Arial" w:cs="Arial"/>
          <w:sz w:val="22"/>
          <w:szCs w:val="20"/>
          <w:shd w:val="clear" w:color="auto" w:fill="FFFFFF"/>
        </w:rPr>
        <w:t xml:space="preserve"> de acesso a ser encaminhado aos Debenturistas habilitados, de acordo com a Lei nº 6.404 de 15 de dezembro de 1976 (“</w:t>
      </w:r>
      <w:r>
        <w:rPr>
          <w:rFonts w:ascii="Arial" w:hAnsi="Arial" w:cs="Arial"/>
          <w:sz w:val="22"/>
          <w:szCs w:val="20"/>
          <w:u w:val="single"/>
          <w:shd w:val="clear" w:color="auto" w:fill="FFFFFF"/>
        </w:rPr>
        <w:t>Lei das Sociedades por Ações</w:t>
      </w:r>
      <w:r>
        <w:rPr>
          <w:rFonts w:ascii="Arial" w:hAnsi="Arial" w:cs="Arial"/>
          <w:sz w:val="22"/>
          <w:szCs w:val="20"/>
          <w:shd w:val="clear" w:color="auto" w:fill="FFFFFF"/>
        </w:rPr>
        <w:t xml:space="preserve">”) e com a </w:t>
      </w:r>
      <w:r>
        <w:rPr>
          <w:rFonts w:ascii="Arial" w:hAnsi="Arial" w:cs="Arial"/>
          <w:sz w:val="22"/>
          <w:szCs w:val="20"/>
          <w:shd w:val="clear" w:color="auto" w:fill="FFFFFF"/>
        </w:rPr>
        <w:lastRenderedPageBreak/>
        <w:t>Instrução da Comissão de Valores Mobiliários ("</w:t>
      </w:r>
      <w:r>
        <w:rPr>
          <w:rFonts w:ascii="Arial" w:hAnsi="Arial" w:cs="Arial"/>
          <w:sz w:val="22"/>
          <w:szCs w:val="20"/>
          <w:u w:val="single"/>
          <w:shd w:val="clear" w:color="auto" w:fill="FFFFFF"/>
        </w:rPr>
        <w:t>CVM</w:t>
      </w:r>
      <w:r>
        <w:rPr>
          <w:rFonts w:ascii="Arial" w:hAnsi="Arial" w:cs="Arial"/>
          <w:sz w:val="22"/>
          <w:szCs w:val="20"/>
          <w:shd w:val="clear" w:color="auto" w:fill="FFFFFF"/>
        </w:rPr>
        <w:t>") nº 625, de 14 de maio de 2020 ("</w:t>
      </w:r>
      <w:r>
        <w:rPr>
          <w:rFonts w:ascii="Arial" w:hAnsi="Arial" w:cs="Arial"/>
          <w:sz w:val="22"/>
          <w:szCs w:val="20"/>
          <w:u w:val="single"/>
          <w:shd w:val="clear" w:color="auto" w:fill="FFFFFF"/>
        </w:rPr>
        <w:t>Instrução CVM 625</w:t>
      </w:r>
      <w:r>
        <w:rPr>
          <w:rFonts w:ascii="Arial" w:hAnsi="Arial" w:cs="Arial"/>
          <w:sz w:val="22"/>
          <w:szCs w:val="20"/>
          <w:shd w:val="clear" w:color="auto" w:fill="FFFFFF"/>
        </w:rPr>
        <w:t>"), a fim de examinar, discutir e deliberar sobre a seguinte Ordem do Dia:</w:t>
      </w:r>
    </w:p>
    <w:p>
      <w:pPr>
        <w:pStyle w:val="Estilo"/>
        <w:spacing w:line="340" w:lineRule="exact"/>
        <w:jc w:val="both"/>
        <w:rPr>
          <w:rFonts w:ascii="Arial" w:hAnsi="Arial" w:cs="Arial"/>
          <w:sz w:val="22"/>
          <w:szCs w:val="20"/>
          <w:shd w:val="clear" w:color="auto" w:fill="FFFFFF"/>
        </w:rPr>
      </w:pPr>
    </w:p>
    <w:p>
      <w:pPr>
        <w:pStyle w:val="Estilo"/>
        <w:numPr>
          <w:ilvl w:val="0"/>
          <w:numId w:val="4"/>
        </w:numPr>
        <w:spacing w:line="340" w:lineRule="exact"/>
        <w:ind w:left="0" w:firstLine="0"/>
        <w:jc w:val="both"/>
        <w:rPr>
          <w:rFonts w:ascii="Arial" w:hAnsi="Arial" w:cs="Arial"/>
          <w:sz w:val="22"/>
          <w:szCs w:val="20"/>
          <w:shd w:val="clear" w:color="auto" w:fill="FFFFFF"/>
        </w:rPr>
      </w:pPr>
      <w:r>
        <w:rPr>
          <w:rFonts w:ascii="Arial" w:hAnsi="Arial" w:cs="Arial"/>
          <w:bCs/>
          <w:sz w:val="22"/>
          <w:szCs w:val="22"/>
        </w:rPr>
        <w:t xml:space="preserve">autorizar a mudança de controle acionário direto da Emissora e das avalistas LM Transportes Serviços e Comércio Ltda. (CNPJ/ME 14.672.885/0001-80), </w:t>
      </w:r>
      <w:proofErr w:type="spellStart"/>
      <w:r>
        <w:rPr>
          <w:rFonts w:ascii="Arial" w:hAnsi="Arial" w:cs="Arial"/>
          <w:bCs/>
          <w:sz w:val="22"/>
          <w:szCs w:val="22"/>
        </w:rPr>
        <w:t>AuraBrasil</w:t>
      </w:r>
      <w:proofErr w:type="spellEnd"/>
      <w:r>
        <w:rPr>
          <w:rFonts w:ascii="Arial" w:hAnsi="Arial" w:cs="Arial"/>
          <w:bCs/>
          <w:sz w:val="22"/>
          <w:szCs w:val="22"/>
        </w:rPr>
        <w:t xml:space="preserve"> – Transportes Máquinas e Equipamentos Ltda. (CNPJ/ME 14.053.968/0001-90) e Bravo Caminhões e Empreendimentos Ltda. (CNPJ/ME 00.251.951/0001-33), </w:t>
      </w:r>
      <w:r>
        <w:rPr>
          <w:rFonts w:ascii="Arial" w:hAnsi="Arial" w:cs="Arial"/>
          <w:bCs/>
          <w:sz w:val="22"/>
          <w:szCs w:val="22"/>
        </w:rPr>
        <w:t xml:space="preserve">com a consequente </w:t>
      </w:r>
      <w:r>
        <w:rPr>
          <w:rFonts w:ascii="Arial" w:hAnsi="Arial" w:cs="Arial"/>
          <w:sz w:val="22"/>
          <w:szCs w:val="20"/>
          <w:shd w:val="clear" w:color="auto" w:fill="FFFFFF"/>
        </w:rPr>
        <w:t>não declaração do vencimento antecipado automático das Debêntures em razão do descumprimento da Cláusula 5.4.1.2, item (viii), da Escritura de Emissão, relativa à mudança ou transferência de controle acionário;</w:t>
      </w:r>
    </w:p>
    <w:p>
      <w:pPr>
        <w:pStyle w:val="Estilo"/>
        <w:spacing w:line="340" w:lineRule="exact"/>
        <w:jc w:val="both"/>
        <w:rPr>
          <w:rFonts w:ascii="Arial" w:hAnsi="Arial" w:cs="Arial"/>
          <w:sz w:val="22"/>
          <w:szCs w:val="20"/>
          <w:shd w:val="clear" w:color="auto" w:fill="FFFFFF"/>
        </w:rPr>
      </w:pPr>
    </w:p>
    <w:p>
      <w:pPr>
        <w:pStyle w:val="Estilo"/>
        <w:numPr>
          <w:ilvl w:val="0"/>
          <w:numId w:val="4"/>
        </w:numPr>
        <w:spacing w:line="340" w:lineRule="exact"/>
        <w:ind w:left="0" w:firstLine="0"/>
        <w:jc w:val="both"/>
        <w:rPr>
          <w:rFonts w:ascii="Arial" w:hAnsi="Arial" w:cs="Arial"/>
          <w:sz w:val="22"/>
          <w:szCs w:val="20"/>
          <w:shd w:val="clear" w:color="auto" w:fill="FFFFFF"/>
        </w:rPr>
      </w:pPr>
      <w:proofErr w:type="gramStart"/>
      <w:r>
        <w:rPr>
          <w:rFonts w:ascii="Arial" w:hAnsi="Arial" w:cs="Arial"/>
          <w:sz w:val="22"/>
          <w:szCs w:val="20"/>
          <w:shd w:val="clear" w:color="auto" w:fill="FFFFFF"/>
        </w:rPr>
        <w:t>tendo</w:t>
      </w:r>
      <w:proofErr w:type="gramEnd"/>
      <w:r>
        <w:rPr>
          <w:rFonts w:ascii="Arial" w:hAnsi="Arial" w:cs="Arial"/>
          <w:sz w:val="22"/>
          <w:szCs w:val="20"/>
          <w:shd w:val="clear" w:color="auto" w:fill="FFFFFF"/>
        </w:rPr>
        <w:t xml:space="preserve"> em vista a extinção da </w:t>
      </w:r>
      <w:r>
        <w:rPr>
          <w:rFonts w:ascii="Arial" w:hAnsi="Arial" w:cs="Arial"/>
          <w:sz w:val="22"/>
          <w:szCs w:val="20"/>
          <w:shd w:val="clear" w:color="auto" w:fill="FFFFFF"/>
        </w:rPr>
        <w:t>fiadora</w:t>
      </w:r>
      <w:r>
        <w:rPr>
          <w:rFonts w:ascii="Arial" w:hAnsi="Arial" w:cs="Arial"/>
          <w:sz w:val="22"/>
          <w:szCs w:val="20"/>
          <w:shd w:val="clear" w:color="auto" w:fill="FFFFFF"/>
        </w:rPr>
        <w:t xml:space="preserve"> LM Participações e Empreendimentos Ltda. (CNPJ/ME 08.330.104/0001-76) no âmbito da reestruturação realizada nos termos do item (i) acima</w:t>
      </w:r>
      <w:r>
        <w:rPr>
          <w:rFonts w:ascii="Arial" w:hAnsi="Arial" w:cs="Arial"/>
          <w:sz w:val="22"/>
          <w:szCs w:val="20"/>
          <w:shd w:val="clear" w:color="auto" w:fill="FFFFFF"/>
        </w:rPr>
        <w:t>, autorizar a não declaração do vencimento antecipado automático das Debêntures, em razão do descumprimento da Cláusula 5.4.1.2, item (</w:t>
      </w:r>
      <w:proofErr w:type="spellStart"/>
      <w:r>
        <w:rPr>
          <w:rFonts w:ascii="Arial" w:hAnsi="Arial" w:cs="Arial"/>
          <w:sz w:val="22"/>
          <w:szCs w:val="20"/>
          <w:shd w:val="clear" w:color="auto" w:fill="FFFFFF"/>
        </w:rPr>
        <w:t>xvi</w:t>
      </w:r>
      <w:proofErr w:type="spellEnd"/>
      <w:r>
        <w:rPr>
          <w:rFonts w:ascii="Arial" w:hAnsi="Arial" w:cs="Arial"/>
          <w:sz w:val="22"/>
          <w:szCs w:val="20"/>
          <w:shd w:val="clear" w:color="auto" w:fill="FFFFFF"/>
        </w:rPr>
        <w:t xml:space="preserve">), da Escritura de Emissão, relativa à extinção, total ou parcial, ou rescisão das Garantias (conforme definido na Escritura de Emissão); </w:t>
      </w:r>
    </w:p>
    <w:p>
      <w:pPr>
        <w:pStyle w:val="Estilo"/>
        <w:spacing w:line="340" w:lineRule="exact"/>
        <w:jc w:val="both"/>
        <w:rPr>
          <w:rFonts w:ascii="Arial" w:hAnsi="Arial" w:cs="Arial"/>
          <w:sz w:val="22"/>
          <w:szCs w:val="20"/>
          <w:shd w:val="clear" w:color="auto" w:fill="FFFFFF"/>
        </w:rPr>
      </w:pPr>
    </w:p>
    <w:p>
      <w:pPr>
        <w:pStyle w:val="Estilo"/>
        <w:numPr>
          <w:ilvl w:val="0"/>
          <w:numId w:val="4"/>
        </w:numPr>
        <w:spacing w:line="340" w:lineRule="exact"/>
        <w:ind w:left="0" w:firstLine="0"/>
        <w:jc w:val="both"/>
        <w:rPr>
          <w:rFonts w:ascii="Arial" w:hAnsi="Arial" w:cs="Arial"/>
          <w:sz w:val="22"/>
          <w:szCs w:val="20"/>
          <w:shd w:val="clear" w:color="auto" w:fill="FFFFFF"/>
        </w:rPr>
      </w:pPr>
      <w:proofErr w:type="gramStart"/>
      <w:r>
        <w:rPr>
          <w:rFonts w:ascii="Arial" w:hAnsi="Arial" w:cs="Arial"/>
          <w:sz w:val="22"/>
          <w:szCs w:val="20"/>
          <w:shd w:val="clear" w:color="auto" w:fill="FFFFFF"/>
        </w:rPr>
        <w:t>autorizar</w:t>
      </w:r>
      <w:proofErr w:type="gramEnd"/>
      <w:r>
        <w:rPr>
          <w:rFonts w:ascii="Arial" w:hAnsi="Arial" w:cs="Arial"/>
          <w:sz w:val="22"/>
          <w:szCs w:val="20"/>
          <w:shd w:val="clear" w:color="auto" w:fill="FFFFFF"/>
        </w:rPr>
        <w:t xml:space="preserve"> a alteração da Escritura de Emissão de forma a excluir a fiadora </w:t>
      </w:r>
      <w:r>
        <w:rPr>
          <w:rFonts w:ascii="Arial" w:hAnsi="Arial" w:cs="Arial"/>
          <w:sz w:val="22"/>
          <w:szCs w:val="20"/>
          <w:shd w:val="clear" w:color="auto" w:fill="FFFFFF"/>
        </w:rPr>
        <w:t>LM Participações e Empreendimentos Ltda. (CNPJ/ME 08.330.104/0001-76) desse</w:t>
      </w:r>
      <w:r>
        <w:rPr>
          <w:rFonts w:ascii="Arial" w:hAnsi="Arial" w:cs="Arial"/>
          <w:sz w:val="22"/>
          <w:szCs w:val="20"/>
          <w:shd w:val="clear" w:color="auto" w:fill="FFFFFF"/>
        </w:rPr>
        <w:t xml:space="preserve"> </w:t>
      </w:r>
      <w:r>
        <w:rPr>
          <w:rFonts w:ascii="Arial" w:hAnsi="Arial" w:cs="Arial"/>
          <w:sz w:val="22"/>
          <w:szCs w:val="20"/>
          <w:shd w:val="clear" w:color="auto" w:fill="FFFFFF"/>
        </w:rPr>
        <w:t>documento</w:t>
      </w:r>
      <w:r>
        <w:rPr>
          <w:rFonts w:ascii="Arial" w:hAnsi="Arial" w:cs="Arial"/>
          <w:sz w:val="22"/>
          <w:szCs w:val="20"/>
          <w:shd w:val="clear" w:color="auto" w:fill="FFFFFF"/>
        </w:rPr>
        <w:t>;</w:t>
      </w:r>
    </w:p>
    <w:p>
      <w:pPr>
        <w:pStyle w:val="Estilo"/>
        <w:spacing w:line="340" w:lineRule="exact"/>
        <w:jc w:val="both"/>
        <w:rPr>
          <w:rFonts w:ascii="Arial" w:hAnsi="Arial" w:cs="Arial"/>
          <w:sz w:val="22"/>
          <w:szCs w:val="20"/>
          <w:shd w:val="clear" w:color="auto" w:fill="FFFFFF"/>
        </w:rPr>
      </w:pPr>
    </w:p>
    <w:p>
      <w:pPr>
        <w:pStyle w:val="Estilo"/>
        <w:numPr>
          <w:ilvl w:val="0"/>
          <w:numId w:val="4"/>
        </w:numPr>
        <w:spacing w:line="340" w:lineRule="exact"/>
        <w:ind w:left="0" w:firstLine="0"/>
        <w:jc w:val="both"/>
        <w:rPr>
          <w:rFonts w:ascii="Arial" w:hAnsi="Arial" w:cs="Arial"/>
          <w:sz w:val="22"/>
          <w:szCs w:val="20"/>
          <w:shd w:val="clear" w:color="auto" w:fill="FFFFFF"/>
        </w:rPr>
      </w:pPr>
      <w:proofErr w:type="gramStart"/>
      <w:r>
        <w:rPr>
          <w:rFonts w:ascii="Arial" w:hAnsi="Arial" w:cs="Arial"/>
          <w:sz w:val="22"/>
          <w:szCs w:val="20"/>
          <w:shd w:val="clear" w:color="auto" w:fill="FFFFFF"/>
        </w:rPr>
        <w:t>autorizar</w:t>
      </w:r>
      <w:proofErr w:type="gramEnd"/>
      <w:r>
        <w:rPr>
          <w:rFonts w:ascii="Arial" w:hAnsi="Arial" w:cs="Arial"/>
          <w:sz w:val="22"/>
          <w:szCs w:val="20"/>
          <w:shd w:val="clear" w:color="auto" w:fill="FFFFFF"/>
        </w:rPr>
        <w:t xml:space="preserve"> a não declaração do vencimento antecipado não automático das Debêntures, nos termos da Cláusula 5.4.1.4, item (</w:t>
      </w:r>
      <w:proofErr w:type="spellStart"/>
      <w:r>
        <w:rPr>
          <w:rFonts w:ascii="Arial" w:hAnsi="Arial" w:cs="Arial"/>
          <w:sz w:val="22"/>
          <w:szCs w:val="20"/>
          <w:shd w:val="clear" w:color="auto" w:fill="FFFFFF"/>
        </w:rPr>
        <w:t>viii</w:t>
      </w:r>
      <w:proofErr w:type="spellEnd"/>
      <w:r>
        <w:rPr>
          <w:rFonts w:ascii="Arial" w:hAnsi="Arial" w:cs="Arial"/>
          <w:sz w:val="22"/>
          <w:szCs w:val="20"/>
          <w:shd w:val="clear" w:color="auto" w:fill="FFFFFF"/>
        </w:rPr>
        <w:t>), da Escritura de Emissão, relativa à observância de Índice Financeiro (conforme definido na Escritura de Emissão) pela Emissora, bem como aprovar a mudança do Índice Financeiro de Dívida Líquida/EBITDA &lt; 3,0 para Dívida Líquida/EBITDA &lt;3,5; e</w:t>
      </w:r>
    </w:p>
    <w:p>
      <w:pPr>
        <w:pStyle w:val="Estilo"/>
        <w:spacing w:line="340" w:lineRule="exact"/>
        <w:jc w:val="both"/>
        <w:rPr>
          <w:rFonts w:ascii="Arial" w:hAnsi="Arial" w:cs="Arial"/>
          <w:sz w:val="22"/>
          <w:szCs w:val="20"/>
          <w:shd w:val="clear" w:color="auto" w:fill="FFFFFF"/>
        </w:rPr>
      </w:pPr>
    </w:p>
    <w:p>
      <w:pPr>
        <w:pStyle w:val="Default"/>
        <w:numPr>
          <w:ilvl w:val="0"/>
          <w:numId w:val="4"/>
        </w:numPr>
        <w:spacing w:line="340" w:lineRule="exact"/>
        <w:ind w:left="0" w:firstLine="0"/>
        <w:jc w:val="both"/>
        <w:rPr>
          <w:rFonts w:ascii="Arial" w:hAnsi="Arial" w:cs="Arial"/>
          <w:color w:val="auto"/>
          <w:sz w:val="22"/>
          <w:szCs w:val="22"/>
        </w:rPr>
      </w:pPr>
      <w:proofErr w:type="gramStart"/>
      <w:r>
        <w:rPr>
          <w:rFonts w:ascii="Arial" w:hAnsi="Arial" w:cs="Arial"/>
          <w:color w:val="auto"/>
          <w:sz w:val="22"/>
          <w:szCs w:val="22"/>
        </w:rPr>
        <w:t>autorizar</w:t>
      </w:r>
      <w:proofErr w:type="gramEnd"/>
      <w:r>
        <w:rPr>
          <w:rFonts w:ascii="Arial" w:hAnsi="Arial" w:cs="Arial"/>
          <w:color w:val="auto"/>
          <w:sz w:val="22"/>
          <w:szCs w:val="22"/>
        </w:rPr>
        <w:t xml:space="preserve"> o Agente Fiduciário a praticar, em conjunto com a Companhia, no que couber, todos e quaisquer atos e tome todas as providências necessárias para dar efeito às deliberações aprovadas no âmbito da Assembleia Geral de Debenturistas, incluindo, sem limitação, a possibilidade de celebração e formalização de aditamento à Escritura de Emissão. </w:t>
      </w:r>
    </w:p>
    <w:p>
      <w:pPr>
        <w:pStyle w:val="Estilo"/>
        <w:spacing w:line="340" w:lineRule="exact"/>
        <w:jc w:val="both"/>
        <w:rPr>
          <w:rFonts w:ascii="Arial" w:hAnsi="Arial" w:cs="Arial"/>
          <w:sz w:val="22"/>
          <w:szCs w:val="20"/>
          <w:shd w:val="clear" w:color="auto" w:fill="FFFFFF"/>
        </w:rPr>
      </w:pPr>
    </w:p>
    <w:p>
      <w:pPr>
        <w:pStyle w:val="Estilo"/>
        <w:spacing w:line="340" w:lineRule="exact"/>
        <w:jc w:val="both"/>
        <w:rPr>
          <w:rFonts w:ascii="Arial" w:hAnsi="Arial" w:cs="Arial"/>
          <w:sz w:val="22"/>
          <w:szCs w:val="20"/>
          <w:shd w:val="clear" w:color="auto" w:fill="FFFFFF"/>
        </w:rPr>
      </w:pPr>
      <w:r>
        <w:rPr>
          <w:rFonts w:ascii="Arial" w:hAnsi="Arial" w:cs="Arial"/>
          <w:sz w:val="22"/>
          <w:szCs w:val="20"/>
          <w:shd w:val="clear" w:color="auto" w:fill="FFFFFF"/>
        </w:rPr>
        <w:t xml:space="preserve">Termos aqui previstos em letras maiúsculas e não definidos têm o significado que </w:t>
      </w:r>
      <w:proofErr w:type="gramStart"/>
      <w:r>
        <w:rPr>
          <w:rFonts w:ascii="Arial" w:hAnsi="Arial" w:cs="Arial"/>
          <w:sz w:val="22"/>
          <w:szCs w:val="20"/>
          <w:shd w:val="clear" w:color="auto" w:fill="FFFFFF"/>
        </w:rPr>
        <w:t>lhes</w:t>
      </w:r>
      <w:proofErr w:type="gramEnd"/>
      <w:r>
        <w:rPr>
          <w:rFonts w:ascii="Arial" w:hAnsi="Arial" w:cs="Arial"/>
          <w:sz w:val="22"/>
          <w:szCs w:val="20"/>
          <w:shd w:val="clear" w:color="auto" w:fill="FFFFFF"/>
        </w:rPr>
        <w:t xml:space="preserve"> é atribuído na Escritura de Emissão.</w:t>
      </w:r>
    </w:p>
    <w:p>
      <w:pPr>
        <w:pStyle w:val="Estilo"/>
        <w:spacing w:line="340" w:lineRule="exact"/>
        <w:jc w:val="both"/>
        <w:rPr>
          <w:rFonts w:ascii="Arial" w:hAnsi="Arial" w:cs="Arial"/>
          <w:sz w:val="22"/>
          <w:szCs w:val="20"/>
          <w:shd w:val="clear" w:color="auto" w:fill="FFFFFF"/>
        </w:rPr>
      </w:pPr>
    </w:p>
    <w:p>
      <w:pPr>
        <w:pStyle w:val="Estilo"/>
        <w:spacing w:line="340" w:lineRule="exact"/>
        <w:jc w:val="both"/>
        <w:rPr>
          <w:rFonts w:ascii="Arial" w:hAnsi="Arial" w:cs="Arial"/>
          <w:sz w:val="22"/>
          <w:szCs w:val="20"/>
          <w:shd w:val="clear" w:color="auto" w:fill="FFFFFF"/>
        </w:rPr>
      </w:pPr>
      <w:r>
        <w:rPr>
          <w:rFonts w:ascii="Arial" w:hAnsi="Arial" w:cs="Arial"/>
          <w:bCs/>
          <w:sz w:val="22"/>
          <w:szCs w:val="22"/>
        </w:rPr>
        <w:t>Em razão da situação de calamidade pública, visando a segurança de todos, em linha com o Ofício-Circular nº 6/2020/CVM/SIN e a Instrução CVM 625</w:t>
      </w:r>
      <w:r>
        <w:rPr>
          <w:rFonts w:ascii="Arial" w:hAnsi="Arial" w:cs="Arial"/>
          <w:bCs/>
          <w:sz w:val="22"/>
          <w:szCs w:val="22"/>
        </w:rPr>
        <w:t>, i</w:t>
      </w:r>
      <w:r>
        <w:rPr>
          <w:rFonts w:ascii="Arial" w:hAnsi="Arial" w:cs="Arial"/>
          <w:sz w:val="22"/>
          <w:szCs w:val="20"/>
          <w:shd w:val="clear" w:color="auto" w:fill="FFFFFF"/>
        </w:rPr>
        <w:t xml:space="preserve">nformações adicionais sobre a Assembleia Geral de Debenturistas e as matérias constantes da Ordem do Dia podem ser obtidas junto à Companhia (por meio de seu canal de relacionamento com investidores). A Assembleia Geral de Debenturistas será realizada através de sistema eletrônico, com </w:t>
      </w:r>
      <w:r>
        <w:rPr>
          <w:rFonts w:ascii="Arial" w:hAnsi="Arial" w:cs="Arial"/>
          <w:i/>
          <w:sz w:val="22"/>
          <w:szCs w:val="20"/>
          <w:shd w:val="clear" w:color="auto" w:fill="FFFFFF"/>
        </w:rPr>
        <w:t>link</w:t>
      </w:r>
      <w:r>
        <w:rPr>
          <w:rFonts w:ascii="Arial" w:hAnsi="Arial" w:cs="Arial"/>
          <w:sz w:val="22"/>
          <w:szCs w:val="20"/>
          <w:shd w:val="clear" w:color="auto" w:fill="FFFFFF"/>
        </w:rPr>
        <w:t xml:space="preserve"> de acesso a ser disponibilizado pela Emissora àqueles Debenturistas que enviarem, para o endereço eletrônico </w:t>
      </w:r>
      <w:r>
        <w:rPr>
          <w:rFonts w:ascii="Arial" w:hAnsi="Arial" w:cs="Arial"/>
          <w:bCs/>
          <w:sz w:val="22"/>
          <w:szCs w:val="22"/>
        </w:rPr>
        <w:t>RI@grupolm.com.br</w:t>
      </w:r>
      <w:r>
        <w:rPr>
          <w:rFonts w:ascii="Arial" w:hAnsi="Arial" w:cs="Arial"/>
          <w:sz w:val="22"/>
          <w:szCs w:val="20"/>
          <w:shd w:val="clear" w:color="auto" w:fill="FFFFFF"/>
        </w:rPr>
        <w:t xml:space="preserve">, com cópia para o endereço eletrônico </w:t>
      </w:r>
      <w:r>
        <w:rPr>
          <w:rFonts w:ascii="Arial" w:hAnsi="Arial" w:cs="Arial"/>
          <w:bCs/>
          <w:sz w:val="22"/>
          <w:szCs w:val="22"/>
        </w:rPr>
        <w:t>spestruturacao@simplificpavarini.com.br</w:t>
      </w:r>
      <w:r>
        <w:rPr>
          <w:rFonts w:ascii="Arial" w:hAnsi="Arial" w:cs="Arial"/>
          <w:sz w:val="22"/>
          <w:szCs w:val="20"/>
          <w:shd w:val="clear" w:color="auto" w:fill="FFFFFF"/>
        </w:rPr>
        <w:t xml:space="preserve">, preferencialmente até 2 (dois) dias antes da data de realização da Assembleia Geral de Debenturistas, observado o disposto na Instrução CVM 625, os seguintes documentos de representação: </w:t>
      </w:r>
    </w:p>
    <w:p>
      <w:pPr>
        <w:pStyle w:val="Estilo"/>
        <w:spacing w:line="340" w:lineRule="exact"/>
        <w:jc w:val="both"/>
        <w:rPr>
          <w:rFonts w:ascii="Arial" w:hAnsi="Arial" w:cs="Arial"/>
          <w:sz w:val="22"/>
          <w:szCs w:val="20"/>
          <w:shd w:val="clear" w:color="auto" w:fill="FFFFFF"/>
        </w:rPr>
      </w:pPr>
    </w:p>
    <w:p>
      <w:pPr>
        <w:pStyle w:val="Estilo"/>
        <w:spacing w:line="340" w:lineRule="exact"/>
        <w:jc w:val="both"/>
        <w:rPr>
          <w:rFonts w:ascii="Arial" w:hAnsi="Arial" w:cs="Arial"/>
          <w:sz w:val="22"/>
          <w:szCs w:val="20"/>
          <w:shd w:val="clear" w:color="auto" w:fill="FFFFFF"/>
        </w:rPr>
      </w:pPr>
      <w:r>
        <w:rPr>
          <w:rFonts w:ascii="Arial" w:hAnsi="Arial" w:cs="Arial"/>
          <w:sz w:val="22"/>
          <w:szCs w:val="20"/>
          <w:shd w:val="clear" w:color="auto" w:fill="FFFFFF"/>
        </w:rPr>
        <w:t>(i)</w:t>
      </w:r>
      <w:r>
        <w:rPr>
          <w:rFonts w:ascii="Arial" w:hAnsi="Arial" w:cs="Arial"/>
          <w:sz w:val="22"/>
          <w:szCs w:val="20"/>
          <w:shd w:val="clear" w:color="auto" w:fill="FFFFFF"/>
        </w:rPr>
        <w:tab/>
        <w:t xml:space="preserve">quando pessoa física, cópia digitalizada de documento de identidade válido com foto do Debenturista; </w:t>
      </w:r>
    </w:p>
    <w:p>
      <w:pPr>
        <w:pStyle w:val="Estilo"/>
        <w:spacing w:line="340" w:lineRule="exact"/>
        <w:jc w:val="both"/>
        <w:rPr>
          <w:rFonts w:ascii="Arial" w:hAnsi="Arial" w:cs="Arial"/>
          <w:sz w:val="22"/>
          <w:szCs w:val="20"/>
          <w:shd w:val="clear" w:color="auto" w:fill="FFFFFF"/>
        </w:rPr>
      </w:pPr>
    </w:p>
    <w:p>
      <w:pPr>
        <w:pStyle w:val="Estilo"/>
        <w:spacing w:line="340" w:lineRule="exact"/>
        <w:jc w:val="both"/>
        <w:rPr>
          <w:rFonts w:ascii="Arial" w:hAnsi="Arial" w:cs="Arial"/>
          <w:sz w:val="22"/>
          <w:szCs w:val="20"/>
          <w:shd w:val="clear" w:color="auto" w:fill="FFFFFF"/>
        </w:rPr>
      </w:pPr>
      <w:r>
        <w:rPr>
          <w:rFonts w:ascii="Arial" w:hAnsi="Arial" w:cs="Arial"/>
          <w:sz w:val="22"/>
          <w:szCs w:val="20"/>
          <w:shd w:val="clear" w:color="auto" w:fill="FFFFFF"/>
        </w:rPr>
        <w:t>(ii)</w:t>
      </w:r>
      <w:r>
        <w:rPr>
          <w:rFonts w:ascii="Arial" w:hAnsi="Arial" w:cs="Arial"/>
          <w:sz w:val="22"/>
          <w:szCs w:val="20"/>
          <w:shd w:val="clear" w:color="auto" w:fill="FFFFFF"/>
        </w:rPr>
        <w:tab/>
        <w:t>quando pessoa jurídica, (a) último estatuto social ou contrato social consolidado, devidamente registrado na junta comercial competente; (b) documentos societários que comprovem a representação legal do Debenturista; e (c) documento de identidade válido com foto do representante legal;</w:t>
      </w:r>
    </w:p>
    <w:p>
      <w:pPr>
        <w:pStyle w:val="Estilo"/>
        <w:spacing w:line="340" w:lineRule="exact"/>
        <w:jc w:val="both"/>
        <w:rPr>
          <w:rFonts w:ascii="Arial" w:hAnsi="Arial" w:cs="Arial"/>
          <w:sz w:val="22"/>
          <w:szCs w:val="20"/>
          <w:shd w:val="clear" w:color="auto" w:fill="FFFFFF"/>
        </w:rPr>
      </w:pPr>
    </w:p>
    <w:p>
      <w:pPr>
        <w:pStyle w:val="Estilo"/>
        <w:spacing w:line="340" w:lineRule="exact"/>
        <w:jc w:val="both"/>
        <w:rPr>
          <w:rFonts w:ascii="Arial" w:hAnsi="Arial" w:cs="Arial"/>
          <w:sz w:val="22"/>
          <w:szCs w:val="20"/>
          <w:shd w:val="clear" w:color="auto" w:fill="FFFFFF"/>
        </w:rPr>
      </w:pPr>
      <w:r>
        <w:rPr>
          <w:rFonts w:ascii="Arial" w:hAnsi="Arial" w:cs="Arial"/>
          <w:sz w:val="22"/>
          <w:szCs w:val="20"/>
          <w:shd w:val="clear" w:color="auto" w:fill="FFFFFF"/>
        </w:rPr>
        <w:t>(iii)</w:t>
      </w:r>
      <w:r>
        <w:rPr>
          <w:rFonts w:ascii="Arial" w:hAnsi="Arial" w:cs="Arial"/>
          <w:sz w:val="22"/>
          <w:szCs w:val="20"/>
          <w:shd w:val="clear" w:color="auto" w:fill="FFFFFF"/>
        </w:rPr>
        <w:tab/>
        <w:t>quando fundo de investimento, (a) último regulamento consolidado do fundo; (b) estatuto ou contrato social do seu administrador ou gestor, conforme o caso, observada a política de voto do fundo e documentos societários que comprovem os poderes de representação em Assembleia Geral de Debenturistas; e (c) documento de identidade válido com foto do representante legal; e</w:t>
      </w:r>
    </w:p>
    <w:p>
      <w:pPr>
        <w:pStyle w:val="Estilo"/>
        <w:spacing w:line="340" w:lineRule="exact"/>
        <w:jc w:val="both"/>
        <w:rPr>
          <w:rFonts w:ascii="Arial" w:hAnsi="Arial" w:cs="Arial"/>
          <w:sz w:val="22"/>
          <w:szCs w:val="20"/>
          <w:shd w:val="clear" w:color="auto" w:fill="FFFFFF"/>
        </w:rPr>
      </w:pPr>
    </w:p>
    <w:p>
      <w:pPr>
        <w:pStyle w:val="Estilo"/>
        <w:spacing w:line="340" w:lineRule="exact"/>
        <w:jc w:val="both"/>
        <w:rPr>
          <w:rFonts w:ascii="Arial" w:hAnsi="Arial" w:cs="Arial"/>
          <w:sz w:val="22"/>
          <w:szCs w:val="20"/>
          <w:shd w:val="clear" w:color="auto" w:fill="FFFFFF"/>
        </w:rPr>
      </w:pPr>
      <w:r>
        <w:rPr>
          <w:rFonts w:ascii="Arial" w:hAnsi="Arial" w:cs="Arial"/>
          <w:sz w:val="22"/>
          <w:szCs w:val="20"/>
          <w:shd w:val="clear" w:color="auto" w:fill="FFFFFF"/>
        </w:rPr>
        <w:t>(iv)</w:t>
      </w:r>
      <w:r>
        <w:rPr>
          <w:rFonts w:ascii="Arial" w:hAnsi="Arial" w:cs="Arial"/>
          <w:sz w:val="22"/>
          <w:szCs w:val="20"/>
          <w:shd w:val="clear" w:color="auto" w:fill="FFFFFF"/>
        </w:rPr>
        <w:tab/>
        <w:t>caso qualquer dos Debenturistas indicados nos itens (i) a (iii) acima venha a ser representado por procurador, além dos respectivos documentos indicados acima, deverá encaminhar procuração com poderes específicos para sua representação na Assembleia Geral de Debenturistas</w:t>
      </w:r>
      <w:r>
        <w:rPr>
          <w:rFonts w:ascii="Arial" w:hAnsi="Arial" w:cs="Arial"/>
          <w:sz w:val="22"/>
          <w:szCs w:val="20"/>
          <w:shd w:val="clear" w:color="auto" w:fill="FFFFFF"/>
        </w:rPr>
        <w:t>, sendo que a procuração deverá estar com firma reconhecida, abono bancário ou assinatura eletrônica</w:t>
      </w:r>
      <w:r>
        <w:rPr>
          <w:rFonts w:ascii="Arial" w:hAnsi="Arial" w:cs="Arial"/>
          <w:sz w:val="22"/>
          <w:szCs w:val="20"/>
          <w:shd w:val="clear" w:color="auto" w:fill="FFFFFF"/>
        </w:rPr>
        <w:t xml:space="preserve">. </w:t>
      </w:r>
    </w:p>
    <w:p>
      <w:pPr>
        <w:pStyle w:val="Estilo"/>
        <w:spacing w:line="340" w:lineRule="exact"/>
        <w:jc w:val="both"/>
        <w:rPr>
          <w:rFonts w:ascii="Arial" w:hAnsi="Arial" w:cs="Arial"/>
          <w:sz w:val="22"/>
          <w:szCs w:val="20"/>
          <w:shd w:val="clear" w:color="auto" w:fill="FFFFFF"/>
        </w:rPr>
      </w:pPr>
    </w:p>
    <w:p>
      <w:pPr>
        <w:pStyle w:val="Ttulo"/>
        <w:spacing w:line="340" w:lineRule="exact"/>
        <w:jc w:val="left"/>
        <w:rPr>
          <w:rFonts w:cs="Arial"/>
          <w:b w:val="0"/>
          <w:sz w:val="22"/>
          <w:szCs w:val="22"/>
        </w:rPr>
      </w:pPr>
      <w:r>
        <w:rPr>
          <w:rFonts w:cs="Arial"/>
          <w:bCs/>
          <w:sz w:val="22"/>
          <w:szCs w:val="22"/>
        </w:rPr>
        <w:t>Informações Adicionais – Instrução de Voto à Distância:</w:t>
      </w:r>
    </w:p>
    <w:p>
      <w:pPr>
        <w:pStyle w:val="Ttulo"/>
        <w:spacing w:line="340" w:lineRule="exact"/>
        <w:jc w:val="both"/>
        <w:rPr>
          <w:rFonts w:cs="Arial"/>
          <w:b w:val="0"/>
          <w:sz w:val="22"/>
          <w:szCs w:val="22"/>
        </w:rPr>
      </w:pPr>
    </w:p>
    <w:p>
      <w:pPr>
        <w:pStyle w:val="Ttulo"/>
        <w:numPr>
          <w:ilvl w:val="0"/>
          <w:numId w:val="6"/>
        </w:numPr>
        <w:spacing w:line="340" w:lineRule="exact"/>
        <w:jc w:val="both"/>
        <w:rPr>
          <w:rFonts w:cs="Arial"/>
          <w:b w:val="0"/>
          <w:sz w:val="22"/>
          <w:szCs w:val="22"/>
        </w:rPr>
      </w:pPr>
      <w:r>
        <w:rPr>
          <w:rFonts w:cs="Arial"/>
          <w:b w:val="0"/>
          <w:sz w:val="22"/>
          <w:szCs w:val="22"/>
        </w:rPr>
        <w:t xml:space="preserve">Os </w:t>
      </w:r>
      <w:r>
        <w:rPr>
          <w:rFonts w:cs="Arial"/>
          <w:b w:val="0"/>
          <w:sz w:val="22"/>
          <w:szCs w:val="22"/>
        </w:rPr>
        <w:t>Debenturistas</w:t>
      </w:r>
      <w:r>
        <w:rPr>
          <w:rFonts w:cs="Arial"/>
          <w:b w:val="0"/>
          <w:sz w:val="22"/>
          <w:szCs w:val="22"/>
        </w:rPr>
        <w:t xml:space="preserve"> poderão enviar seu voto de forma eletrônica previamente à Assembleia Geral</w:t>
      </w:r>
      <w:r>
        <w:rPr>
          <w:rFonts w:cs="Arial"/>
          <w:b w:val="0"/>
          <w:sz w:val="22"/>
          <w:szCs w:val="22"/>
        </w:rPr>
        <w:t xml:space="preserve"> de Debenturistas</w:t>
      </w:r>
      <w:r>
        <w:rPr>
          <w:rFonts w:cs="Arial"/>
          <w:b w:val="0"/>
          <w:sz w:val="22"/>
          <w:szCs w:val="22"/>
        </w:rPr>
        <w:t xml:space="preserve">, por meio do envio de procuração com orientação expressa de voto nos exatos termos da Ordem do Dia, em que o </w:t>
      </w:r>
      <w:r>
        <w:rPr>
          <w:rFonts w:cs="Arial"/>
          <w:b w:val="0"/>
          <w:sz w:val="22"/>
          <w:szCs w:val="22"/>
        </w:rPr>
        <w:t>Debenturista</w:t>
      </w:r>
      <w:r>
        <w:rPr>
          <w:rFonts w:cs="Arial"/>
          <w:b w:val="0"/>
          <w:sz w:val="22"/>
          <w:szCs w:val="22"/>
        </w:rPr>
        <w:t xml:space="preserve"> deverá orientar expressamente o procurador a votar favoravelmente, contrariamente ou abster-se quanto à matéria da Ordem do Dia. Referida procuração deverá ter sua cópia digitalizada enviada por correio eletrônico para </w:t>
      </w:r>
      <w:r>
        <w:rPr>
          <w:rFonts w:cs="Arial"/>
          <w:b w:val="0"/>
          <w:bCs/>
          <w:sz w:val="22"/>
          <w:szCs w:val="22"/>
        </w:rPr>
        <w:t>RI@grupolm.com.br e</w:t>
      </w:r>
      <w:r>
        <w:rPr>
          <w:rFonts w:cs="Arial"/>
          <w:b w:val="0"/>
          <w:sz w:val="22"/>
          <w:szCs w:val="22"/>
        </w:rPr>
        <w:t xml:space="preserve"> spestruturacao@simplificpavarini.com.br, </w:t>
      </w:r>
      <w:r>
        <w:rPr>
          <w:rFonts w:cs="Arial"/>
          <w:b w:val="0"/>
          <w:sz w:val="22"/>
          <w:shd w:val="clear" w:color="auto" w:fill="FFFFFF"/>
        </w:rPr>
        <w:t>preferencialmente até 2 (dois) dias antes da data de realização da Assembleia Geral</w:t>
      </w:r>
      <w:r>
        <w:rPr>
          <w:rFonts w:cs="Arial"/>
          <w:b w:val="0"/>
          <w:sz w:val="22"/>
          <w:shd w:val="clear" w:color="auto" w:fill="FFFFFF"/>
        </w:rPr>
        <w:t xml:space="preserve"> de Debenturistas</w:t>
      </w:r>
      <w:r>
        <w:rPr>
          <w:rFonts w:cs="Arial"/>
          <w:b w:val="0"/>
          <w:sz w:val="22"/>
          <w:szCs w:val="22"/>
        </w:rPr>
        <w:t>, e deverá ser acompanhada do documento de identidade do outorgante, contendo sua foto e assinatura, bem como do documento de identidade do outorgado, contendo sua assinatura e foto, sendo que a procuração deverá estar com firma reconhecida sobre a assinatura, abono bancário ou assinatura eletrônica. Referidas orientações expressas de voto recebidas regularmente por e-mail, conforme os termos acima estipulados, serão computadas para fins de apuração de quórum, o qual que levará também em consideração eventuais votos proferidos durante a Assembleia Geral</w:t>
      </w:r>
      <w:r>
        <w:rPr>
          <w:rFonts w:cs="Arial"/>
          <w:b w:val="0"/>
          <w:sz w:val="22"/>
          <w:szCs w:val="22"/>
        </w:rPr>
        <w:t xml:space="preserve"> de Debenturistas</w:t>
      </w:r>
      <w:r>
        <w:rPr>
          <w:rFonts w:cs="Arial"/>
          <w:b w:val="0"/>
          <w:sz w:val="22"/>
          <w:szCs w:val="22"/>
        </w:rPr>
        <w:t>;</w:t>
      </w:r>
    </w:p>
    <w:p>
      <w:pPr>
        <w:pStyle w:val="Ttulo"/>
        <w:spacing w:line="340" w:lineRule="exact"/>
        <w:ind w:left="1080"/>
        <w:jc w:val="both"/>
        <w:rPr>
          <w:rFonts w:cs="Arial"/>
          <w:b w:val="0"/>
          <w:sz w:val="22"/>
          <w:szCs w:val="22"/>
        </w:rPr>
      </w:pPr>
    </w:p>
    <w:p>
      <w:pPr>
        <w:pStyle w:val="Ttulo"/>
        <w:numPr>
          <w:ilvl w:val="0"/>
          <w:numId w:val="6"/>
        </w:numPr>
        <w:spacing w:line="340" w:lineRule="exact"/>
        <w:jc w:val="both"/>
        <w:rPr>
          <w:rFonts w:cs="Arial"/>
          <w:b w:val="0"/>
          <w:bCs/>
          <w:sz w:val="22"/>
          <w:szCs w:val="22"/>
        </w:rPr>
      </w:pPr>
      <w:r>
        <w:rPr>
          <w:rFonts w:cs="Arial"/>
          <w:b w:val="0"/>
          <w:sz w:val="22"/>
          <w:szCs w:val="22"/>
        </w:rPr>
        <w:t>Após o horário de início da Assembleia Geral</w:t>
      </w:r>
      <w:r>
        <w:rPr>
          <w:rFonts w:cs="Arial"/>
          <w:b w:val="0"/>
          <w:sz w:val="22"/>
          <w:szCs w:val="22"/>
        </w:rPr>
        <w:t xml:space="preserve"> de Debenturistas</w:t>
      </w:r>
      <w:r>
        <w:rPr>
          <w:rFonts w:cs="Arial"/>
          <w:b w:val="0"/>
          <w:sz w:val="22"/>
          <w:szCs w:val="22"/>
        </w:rPr>
        <w:t xml:space="preserve">, os </w:t>
      </w:r>
      <w:r>
        <w:rPr>
          <w:rFonts w:cs="Arial"/>
          <w:b w:val="0"/>
          <w:sz w:val="22"/>
          <w:szCs w:val="22"/>
        </w:rPr>
        <w:t>Debenturistas</w:t>
      </w:r>
      <w:r>
        <w:rPr>
          <w:rFonts w:cs="Arial"/>
          <w:b w:val="0"/>
          <w:sz w:val="22"/>
          <w:szCs w:val="22"/>
        </w:rPr>
        <w:t xml:space="preserve"> que tiverem sua presença verificada em conformidade com os procedimentos acima detalhados poderão proferir seu voto na plataforma eletrônica de realização da Assembleia Geral</w:t>
      </w:r>
      <w:r>
        <w:rPr>
          <w:rFonts w:cs="Arial"/>
          <w:b w:val="0"/>
          <w:sz w:val="22"/>
          <w:szCs w:val="22"/>
        </w:rPr>
        <w:t xml:space="preserve"> de Debenturistas</w:t>
      </w:r>
      <w:r>
        <w:rPr>
          <w:rFonts w:cs="Arial"/>
          <w:b w:val="0"/>
          <w:sz w:val="22"/>
          <w:szCs w:val="22"/>
        </w:rPr>
        <w:t>, verbalmente ou por meio do chat que ficará salvo para fins de apuração de votos. Caso não seja possível manifestar seu voto por meio da plataforma eletrônica de realização da Assembleia Geral</w:t>
      </w:r>
      <w:r>
        <w:rPr>
          <w:rFonts w:cs="Arial"/>
          <w:b w:val="0"/>
          <w:sz w:val="22"/>
          <w:szCs w:val="22"/>
        </w:rPr>
        <w:t xml:space="preserve"> de Debenturistas</w:t>
      </w:r>
      <w:r>
        <w:rPr>
          <w:rFonts w:cs="Arial"/>
          <w:b w:val="0"/>
          <w:sz w:val="22"/>
          <w:szCs w:val="22"/>
        </w:rPr>
        <w:t xml:space="preserve">, o </w:t>
      </w:r>
      <w:r>
        <w:rPr>
          <w:rFonts w:cs="Arial"/>
          <w:b w:val="0"/>
          <w:sz w:val="22"/>
          <w:szCs w:val="22"/>
        </w:rPr>
        <w:t>Debenturista</w:t>
      </w:r>
      <w:r>
        <w:rPr>
          <w:rFonts w:cs="Arial"/>
          <w:b w:val="0"/>
          <w:sz w:val="22"/>
          <w:szCs w:val="22"/>
        </w:rPr>
        <w:t xml:space="preserve"> poderá manifestar seu voto por correio eletrônico enviado para </w:t>
      </w:r>
      <w:r>
        <w:rPr>
          <w:rFonts w:cs="Arial"/>
          <w:b w:val="0"/>
          <w:bCs/>
          <w:sz w:val="22"/>
          <w:szCs w:val="22"/>
        </w:rPr>
        <w:t xml:space="preserve">RI@grupolm.com.br </w:t>
      </w:r>
      <w:r>
        <w:rPr>
          <w:rFonts w:cs="Arial"/>
          <w:b w:val="0"/>
          <w:sz w:val="22"/>
          <w:szCs w:val="22"/>
        </w:rPr>
        <w:t xml:space="preserve">e </w:t>
      </w:r>
      <w:hyperlink r:id="rId8" w:history="1">
        <w:r>
          <w:rPr>
            <w:rFonts w:cs="Arial"/>
            <w:b w:val="0"/>
            <w:bCs/>
            <w:sz w:val="22"/>
            <w:szCs w:val="22"/>
          </w:rPr>
          <w:t>spestruturacao@simplificpavarini.com.br</w:t>
        </w:r>
      </w:hyperlink>
      <w:r>
        <w:rPr>
          <w:rFonts w:cs="Arial"/>
          <w:b w:val="0"/>
          <w:bCs/>
          <w:sz w:val="22"/>
          <w:szCs w:val="22"/>
        </w:rPr>
        <w:t>.</w:t>
      </w:r>
    </w:p>
    <w:p>
      <w:pPr>
        <w:pStyle w:val="Ttulo"/>
        <w:spacing w:line="340" w:lineRule="exact"/>
        <w:ind w:left="1080"/>
        <w:jc w:val="both"/>
        <w:rPr>
          <w:rFonts w:cs="Arial"/>
          <w:b w:val="0"/>
          <w:sz w:val="22"/>
          <w:szCs w:val="22"/>
        </w:rPr>
      </w:pPr>
    </w:p>
    <w:p>
      <w:pPr>
        <w:pStyle w:val="Ttulo"/>
        <w:spacing w:line="340" w:lineRule="exact"/>
        <w:jc w:val="both"/>
        <w:rPr>
          <w:rFonts w:cs="Arial"/>
          <w:sz w:val="22"/>
          <w:szCs w:val="22"/>
        </w:rPr>
      </w:pPr>
      <w:hyperlink r:id="rId9" w:history="1">
        <w:r>
          <w:rPr>
            <w:rFonts w:cs="Arial"/>
            <w:b w:val="0"/>
            <w:bCs/>
            <w:sz w:val="22"/>
            <w:szCs w:val="22"/>
          </w:rPr>
          <w:t>A</w:t>
        </w:r>
      </w:hyperlink>
      <w:r>
        <w:rPr>
          <w:rFonts w:cs="Arial"/>
          <w:b w:val="0"/>
          <w:bCs/>
          <w:sz w:val="22"/>
          <w:szCs w:val="22"/>
        </w:rPr>
        <w:t xml:space="preserve"> </w:t>
      </w:r>
      <w:r>
        <w:rPr>
          <w:rFonts w:cs="Arial"/>
          <w:b w:val="0"/>
          <w:sz w:val="22"/>
          <w:szCs w:val="22"/>
        </w:rPr>
        <w:t xml:space="preserve">Emissora e o Agente Fiduciário permanecem à disposição para prestar esclarecimentos aos </w:t>
      </w:r>
      <w:r>
        <w:rPr>
          <w:rFonts w:cs="Arial"/>
          <w:b w:val="0"/>
          <w:sz w:val="22"/>
          <w:szCs w:val="22"/>
        </w:rPr>
        <w:t>Debenturistas</w:t>
      </w:r>
      <w:r>
        <w:rPr>
          <w:rFonts w:cs="Arial"/>
          <w:b w:val="0"/>
          <w:sz w:val="22"/>
          <w:szCs w:val="22"/>
        </w:rPr>
        <w:t xml:space="preserve"> no ínterim da presente convocação e da Assembleia Geral</w:t>
      </w:r>
      <w:r>
        <w:rPr>
          <w:rFonts w:cs="Arial"/>
          <w:b w:val="0"/>
          <w:sz w:val="22"/>
          <w:szCs w:val="22"/>
        </w:rPr>
        <w:t xml:space="preserve"> de Debenturistas</w:t>
      </w:r>
      <w:bookmarkStart w:id="0" w:name="_GoBack"/>
      <w:bookmarkEnd w:id="0"/>
      <w:r>
        <w:rPr>
          <w:rFonts w:cs="Arial"/>
          <w:b w:val="0"/>
          <w:sz w:val="22"/>
          <w:szCs w:val="22"/>
        </w:rPr>
        <w:t>.</w:t>
      </w:r>
    </w:p>
    <w:p>
      <w:pPr>
        <w:pStyle w:val="Estilo"/>
        <w:spacing w:line="340" w:lineRule="exact"/>
        <w:jc w:val="center"/>
        <w:rPr>
          <w:rFonts w:ascii="Arial" w:hAnsi="Arial" w:cs="Arial"/>
          <w:sz w:val="22"/>
          <w:szCs w:val="20"/>
        </w:rPr>
      </w:pPr>
    </w:p>
    <w:p>
      <w:pPr>
        <w:pStyle w:val="Estilo"/>
        <w:spacing w:line="340" w:lineRule="exact"/>
        <w:jc w:val="center"/>
        <w:rPr>
          <w:rFonts w:ascii="Arial" w:hAnsi="Arial" w:cs="Arial"/>
          <w:sz w:val="22"/>
          <w:szCs w:val="20"/>
        </w:rPr>
      </w:pPr>
      <w:r>
        <w:rPr>
          <w:rFonts w:ascii="Arial" w:hAnsi="Arial" w:cs="Arial"/>
          <w:sz w:val="22"/>
          <w:szCs w:val="20"/>
        </w:rPr>
        <w:t>Salvador, [21] de novembro de 2020.</w:t>
      </w:r>
    </w:p>
    <w:sectPr>
      <w:headerReference w:type="even" r:id="rId10"/>
      <w:headerReference w:type="default" r:id="rId11"/>
      <w:footerReference w:type="even" r:id="rId12"/>
      <w:footerReference w:type="default" r:id="rId13"/>
      <w:headerReference w:type="first" r:id="rId14"/>
      <w:footerReference w:type="first" r:id="rId15"/>
      <w:pgSz w:w="11907" w:h="16840" w:code="9"/>
      <w:pgMar w:top="2381" w:right="1304" w:bottom="1701" w:left="2398" w:header="850"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spacing w:line="240" w:lineRule="auto"/>
      <w:rPr>
        <w:rFonts w:ascii="Verdana" w:hAnsi="Verdana"/>
        <w:color w:val="FFFFFF"/>
        <w:lang w:val="pt-BR"/>
      </w:rPr>
    </w:pPr>
    <w:r>
      <w:rPr>
        <w:rFonts w:ascii="Verdana" w:hAnsi="Verdana"/>
        <w:color w:val="FFFFFF"/>
        <w:lang w:val="pt-BR"/>
      </w:rPr>
      <w:fldChar w:fldCharType="begin"/>
    </w:r>
    <w:r>
      <w:rPr>
        <w:rFonts w:ascii="Verdana" w:hAnsi="Verdana"/>
        <w:color w:val="FFFFFF"/>
        <w:lang w:val="pt-BR"/>
      </w:rPr>
      <w:instrText xml:space="preserve"> DOCPROPERTY "iManageFooter"  \* MERGEFORMAT </w:instrText>
    </w:r>
    <w:r>
      <w:rPr>
        <w:rFonts w:ascii="Verdana" w:hAnsi="Verdana"/>
        <w:color w:val="FFFFFF"/>
        <w:lang w:val="pt-BR"/>
      </w:rPr>
      <w:fldChar w:fldCharType="separate"/>
    </w:r>
    <w:r>
      <w:rPr>
        <w:rFonts w:ascii="Verdana" w:hAnsi="Verdana"/>
        <w:color w:val="FFFFFF"/>
        <w:lang w:val="pt-BR"/>
      </w:rPr>
      <w:t>JUR_SP - 38040657v2 - 11971002.457785</w:t>
    </w:r>
    <w:r>
      <w:rPr>
        <w:rFonts w:ascii="Verdana" w:hAnsi="Verdana"/>
        <w:color w:val="FFFFFF"/>
        <w:lang w:val="pt-BR"/>
      </w:rPr>
      <w:fldChar w:fldCharType="end"/>
    </w:r>
  </w:p>
  <w:p>
    <w:pPr>
      <w:pStyle w:val="Rodap"/>
      <w:spacing w:line="240" w:lineRule="auto"/>
      <w:jc w:val="center"/>
      <w:rPr>
        <w:color w:val="FFFFFF"/>
        <w:sz w:val="18"/>
      </w:rPr>
    </w:pPr>
    <w:r>
      <w:rPr>
        <w:color w:val="FFFFFF"/>
        <w:sz w:val="18"/>
      </w:rPr>
      <w:t xml:space="preserve">- </w:t>
    </w:r>
    <w:r>
      <w:rPr>
        <w:color w:val="FFFFFF"/>
        <w:sz w:val="18"/>
      </w:rPr>
      <w:fldChar w:fldCharType="begin"/>
    </w:r>
    <w:r>
      <w:rPr>
        <w:color w:val="FFFFFF"/>
        <w:sz w:val="18"/>
      </w:rPr>
      <w:instrText xml:space="preserve"> PAGE  \* MERGEFORMAT </w:instrText>
    </w:r>
    <w:r>
      <w:rPr>
        <w:color w:val="FFFFFF"/>
        <w:sz w:val="18"/>
      </w:rPr>
      <w:fldChar w:fldCharType="separate"/>
    </w:r>
    <w:r>
      <w:rPr>
        <w:noProof/>
        <w:color w:val="FFFFFF"/>
        <w:sz w:val="18"/>
      </w:rPr>
      <w:t>4</w:t>
    </w:r>
    <w:r>
      <w:rPr>
        <w:color w:val="FFFFFF"/>
        <w:sz w:val="18"/>
      </w:rPr>
      <w:fldChar w:fldCharType="end"/>
    </w:r>
    <w:r>
      <w:rPr>
        <w:color w:val="FFFFFF"/>
        <w:sz w:val="18"/>
      </w:rPr>
      <w:t xml:space="preserve"> -</w:t>
    </w:r>
  </w:p>
  <w:p>
    <w:pPr>
      <w:pStyle w:val="Rodap"/>
      <w:spacing w:line="240" w:lineRule="auto"/>
      <w:jc w:val="cente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spacing w:line="240" w:lineRule="auto"/>
      <w:rPr>
        <w:rFonts w:ascii="Verdana" w:hAnsi="Verdana"/>
        <w:color w:val="FFFFFF"/>
        <w:lang w:val="pt-BR"/>
      </w:rPr>
    </w:pPr>
    <w:r>
      <w:rPr>
        <w:rFonts w:ascii="Verdana" w:hAnsi="Verdana"/>
        <w:color w:val="FFFFFF"/>
        <w:lang w:val="pt-BR"/>
      </w:rPr>
      <w:fldChar w:fldCharType="begin"/>
    </w:r>
    <w:r>
      <w:rPr>
        <w:rFonts w:ascii="Verdana" w:hAnsi="Verdana"/>
        <w:color w:val="FFFFFF"/>
        <w:lang w:val="pt-BR"/>
      </w:rPr>
      <w:instrText xml:space="preserve"> DOCPROPERTY "iManageFooter"  \* MERGEFORMAT </w:instrText>
    </w:r>
    <w:r>
      <w:rPr>
        <w:rFonts w:ascii="Verdana" w:hAnsi="Verdana"/>
        <w:color w:val="FFFFFF"/>
        <w:lang w:val="pt-BR"/>
      </w:rPr>
      <w:fldChar w:fldCharType="separate"/>
    </w:r>
    <w:r>
      <w:rPr>
        <w:rFonts w:ascii="Verdana" w:hAnsi="Verdana"/>
        <w:color w:val="FFFFFF"/>
        <w:lang w:val="pt-BR"/>
      </w:rPr>
      <w:t>JUR_SP - 38804631v2 - 12070002.467330</w:t>
    </w:r>
    <w:r>
      <w:rPr>
        <w:rFonts w:ascii="Verdana" w:hAnsi="Verdana"/>
        <w:color w:val="FFFFFF"/>
        <w:lang w:val="pt-B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spacing w:line="40" w:lineRule="exact"/>
      <w:jc w:val="both"/>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rPr>
        <w:rFonts w:ascii="Arial" w:hAnsi="Arial" w:cs="Arial"/>
        <w:b/>
        <w:sz w:val="22"/>
      </w:rPr>
    </w:pPr>
    <w:r>
      <w:rPr>
        <w:rFonts w:ascii="Arial" w:hAnsi="Arial" w:cs="Arial"/>
        <w:b/>
        <w:sz w:val="22"/>
      </w:rPr>
      <w:t>Minuta</w:t>
    </w:r>
  </w:p>
  <w:p>
    <w:pPr>
      <w:pStyle w:val="Cabealho"/>
      <w:rPr>
        <w:rFonts w:ascii="Arial" w:hAnsi="Arial" w:cs="Arial"/>
        <w:b/>
        <w:sz w:val="22"/>
      </w:rPr>
    </w:pPr>
    <w:r>
      <w:rPr>
        <w:rFonts w:ascii="Arial" w:hAnsi="Arial" w:cs="Arial"/>
        <w:b/>
        <w:sz w:val="22"/>
      </w:rPr>
      <w:t>19.11.2020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7547C"/>
    <w:multiLevelType w:val="hybridMultilevel"/>
    <w:tmpl w:val="CB0E4F6A"/>
    <w:lvl w:ilvl="0" w:tplc="C87A74F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27361A"/>
    <w:multiLevelType w:val="hybridMultilevel"/>
    <w:tmpl w:val="0438129E"/>
    <w:lvl w:ilvl="0" w:tplc="E4E49490">
      <w:start w:val="1"/>
      <w:numFmt w:val="lowerRoman"/>
      <w:lvlText w:val="(%1)"/>
      <w:lvlJc w:val="left"/>
      <w:pPr>
        <w:ind w:left="375" w:hanging="1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9BB38D1"/>
    <w:multiLevelType w:val="hybridMultilevel"/>
    <w:tmpl w:val="BA48D7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64D7D4B"/>
    <w:multiLevelType w:val="hybridMultilevel"/>
    <w:tmpl w:val="F9EEA11C"/>
    <w:lvl w:ilvl="0" w:tplc="0416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7AC3523A"/>
    <w:multiLevelType w:val="hybridMultilevel"/>
    <w:tmpl w:val="912002DA"/>
    <w:lvl w:ilvl="0" w:tplc="BA68AA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103A8D91-8C7C-4EA8-B9E4-C7322950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jc w:val="right"/>
    </w:pPr>
  </w:style>
  <w:style w:type="character" w:styleId="Nmerodepgina">
    <w:name w:val="page number"/>
    <w:basedOn w:val="Fontepargpadro"/>
  </w:style>
  <w:style w:type="paragraph" w:styleId="Rodap">
    <w:name w:val="footer"/>
    <w:basedOn w:val="Normal"/>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paragraph" w:customStyle="1" w:styleId="Estilo">
    <w:name w:val="Estilo"/>
    <w:pPr>
      <w:widowControl w:val="0"/>
      <w:autoSpaceDE w:val="0"/>
      <w:autoSpaceDN w:val="0"/>
      <w:adjustRightInd w:val="0"/>
    </w:pPr>
    <w:rPr>
      <w:sz w:val="24"/>
      <w:szCs w:val="24"/>
    </w:rPr>
  </w:style>
  <w:style w:type="character" w:styleId="Hyperlink">
    <w:name w:val="Hyperlink"/>
    <w:basedOn w:val="Fontepargpadro"/>
    <w:unhideWhenUsed/>
    <w:rPr>
      <w:color w:val="0000FF" w:themeColor="hyperlink"/>
      <w:u w:val="single"/>
    </w:rPr>
  </w:style>
  <w:style w:type="paragraph" w:styleId="PargrafodaLista">
    <w:name w:val="List Paragraph"/>
    <w:basedOn w:val="Normal"/>
    <w:uiPriority w:val="34"/>
    <w:qFormat/>
    <w:pPr>
      <w:ind w:left="720"/>
    </w:pPr>
    <w:rPr>
      <w:rFonts w:ascii="Calibri" w:eastAsiaTheme="minorHAnsi" w:hAnsi="Calibri"/>
      <w:sz w:val="22"/>
      <w:szCs w:val="22"/>
    </w:rPr>
  </w:style>
  <w:style w:type="paragraph" w:styleId="NormalWeb">
    <w:name w:val="Normal (Web)"/>
    <w:basedOn w:val="Normal"/>
    <w:uiPriority w:val="99"/>
    <w:semiHidden/>
    <w:unhideWhenUsed/>
    <w:pPr>
      <w:spacing w:before="100" w:beforeAutospacing="1" w:after="100" w:afterAutospacing="1"/>
    </w:pPr>
  </w:style>
  <w:style w:type="paragraph" w:styleId="Textodebalo">
    <w:name w:val="Balloon Text"/>
    <w:basedOn w:val="Normal"/>
    <w:link w:val="TextodebaloChar"/>
    <w:semiHidden/>
    <w:unhideWhenUsed/>
    <w:rPr>
      <w:rFonts w:ascii="Segoe UI" w:hAnsi="Segoe UI" w:cs="Segoe UI"/>
      <w:sz w:val="18"/>
      <w:szCs w:val="18"/>
    </w:rPr>
  </w:style>
  <w:style w:type="character" w:customStyle="1" w:styleId="TextodebaloChar">
    <w:name w:val="Texto de balão Char"/>
    <w:basedOn w:val="Fontepargpadro"/>
    <w:link w:val="Textodebalo"/>
    <w:semiHidden/>
    <w:rPr>
      <w:rFonts w:ascii="Segoe UI" w:hAnsi="Segoe UI" w:cs="Segoe UI"/>
      <w:sz w:val="18"/>
      <w:szCs w:val="18"/>
    </w:rPr>
  </w:style>
  <w:style w:type="paragraph" w:customStyle="1" w:styleId="Default">
    <w:name w:val="Default"/>
    <w:pPr>
      <w:autoSpaceDE w:val="0"/>
      <w:autoSpaceDN w:val="0"/>
      <w:adjustRightInd w:val="0"/>
    </w:pPr>
    <w:rPr>
      <w:color w:val="000000"/>
      <w:sz w:val="24"/>
      <w:szCs w:val="24"/>
    </w:rPr>
  </w:style>
  <w:style w:type="character" w:styleId="Refdecomentrio">
    <w:name w:val="annotation reference"/>
    <w:basedOn w:val="Fontepargpadro"/>
    <w:semiHidden/>
    <w:unhideWhenUsed/>
    <w:rPr>
      <w:sz w:val="16"/>
      <w:szCs w:val="16"/>
    </w:rPr>
  </w:style>
  <w:style w:type="paragraph" w:styleId="Textodecomentrio">
    <w:name w:val="annotation text"/>
    <w:basedOn w:val="Normal"/>
    <w:link w:val="TextodecomentrioChar"/>
    <w:semiHidden/>
    <w:unhideWhenUsed/>
    <w:rPr>
      <w:sz w:val="20"/>
      <w:szCs w:val="20"/>
    </w:rPr>
  </w:style>
  <w:style w:type="character" w:customStyle="1" w:styleId="TextodecomentrioChar">
    <w:name w:val="Texto de comentário Char"/>
    <w:basedOn w:val="Fontepargpadro"/>
    <w:link w:val="Textodecomentrio"/>
    <w:semiHidden/>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b/>
      <w:bCs/>
    </w:rPr>
  </w:style>
  <w:style w:type="table" w:styleId="Tabelacomgrade">
    <w:name w:val="Table Grid"/>
    <w:basedOn w:val="Tabelanormal"/>
    <w:uiPriority w:val="59"/>
    <w:pPr>
      <w:jc w:val="both"/>
    </w:pPr>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semiHidden/>
    <w:unhideWhenUsed/>
    <w:pPr>
      <w:spacing w:after="120" w:line="480" w:lineRule="auto"/>
    </w:pPr>
  </w:style>
  <w:style w:type="character" w:customStyle="1" w:styleId="Corpodetexto2Char">
    <w:name w:val="Corpo de texto 2 Char"/>
    <w:basedOn w:val="Fontepargpadro"/>
    <w:link w:val="Corpodetexto2"/>
    <w:semiHidden/>
    <w:rPr>
      <w:sz w:val="24"/>
      <w:szCs w:val="24"/>
    </w:rPr>
  </w:style>
  <w:style w:type="paragraph" w:styleId="Ttulo">
    <w:name w:val="Title"/>
    <w:basedOn w:val="Normal"/>
    <w:link w:val="TtuloChar"/>
    <w:qFormat/>
    <w:pPr>
      <w:suppressAutoHyphens/>
      <w:jc w:val="center"/>
    </w:pPr>
    <w:rPr>
      <w:rFonts w:ascii="Arial" w:hAnsi="Arial"/>
      <w:b/>
      <w:szCs w:val="20"/>
    </w:rPr>
  </w:style>
  <w:style w:type="character" w:customStyle="1" w:styleId="TtuloChar">
    <w:name w:val="Título Char"/>
    <w:basedOn w:val="Fontepargpadro"/>
    <w:link w:val="Ttulo"/>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608134">
      <w:bodyDiv w:val="1"/>
      <w:marLeft w:val="0"/>
      <w:marRight w:val="0"/>
      <w:marTop w:val="0"/>
      <w:marBottom w:val="0"/>
      <w:divBdr>
        <w:top w:val="none" w:sz="0" w:space="0" w:color="auto"/>
        <w:left w:val="none" w:sz="0" w:space="0" w:color="auto"/>
        <w:bottom w:val="none" w:sz="0" w:space="0" w:color="auto"/>
        <w:right w:val="none" w:sz="0" w:space="0" w:color="auto"/>
      </w:divBdr>
    </w:div>
    <w:div w:id="1602372278">
      <w:bodyDiv w:val="1"/>
      <w:marLeft w:val="0"/>
      <w:marRight w:val="0"/>
      <w:marTop w:val="0"/>
      <w:marBottom w:val="0"/>
      <w:divBdr>
        <w:top w:val="none" w:sz="0" w:space="0" w:color="auto"/>
        <w:left w:val="none" w:sz="0" w:space="0" w:color="auto"/>
        <w:bottom w:val="none" w:sz="0" w:space="0" w:color="auto"/>
        <w:right w:val="none" w:sz="0" w:space="0" w:color="auto"/>
      </w:divBdr>
    </w:div>
    <w:div w:id="196754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pestruturacao@simplificpavarini.com.br"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 TargetMode="External" Id="rId9" /><Relationship Type="http://schemas.openxmlformats.org/officeDocument/2006/relationships/header" Target="header3.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 J U R _ S P ! 3 8 8 1 6 0 7 1 . 1 < / d o c u m e n t i d >  
     < s e n d e r i d > C I S < / s e n d e r i d >  
     < s e n d e r e m a i l > C D E R I S I O @ P N . C O M . B R < / s e n d e r e m a i l >  
     < l a s t m o d i f i e d > 2 0 2 0 - 1 1 - 1 9 T 1 8 : 0 5 : 0 0 . 0 0 0 0 0 0 0 - 0 3 : 0 0 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256FB-98CB-44D6-914B-76840F8C2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1195</Words>
  <Characters>7301</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Pinheiro Neto Advogados</Company>
  <LinksUpToDate>false</LinksUpToDate>
  <CharactersWithSpaces>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Neto Advogados</dc:creator>
  <cp:lastModifiedBy>Pinheiro Neto Advogados</cp:lastModifiedBy>
  <cp:revision>4</cp:revision>
  <cp:lastPrinted>2020-06-17T20:03:00Z</cp:lastPrinted>
  <dcterms:created xsi:type="dcterms:W3CDTF">2020-11-19T20:49:00Z</dcterms:created>
  <dcterms:modified xsi:type="dcterms:W3CDTF">2020-11-19T21:05:00Z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- 38804631v2 - 12070002.467330</vt:lpwstr>
  </property>
</Properties>
</file>