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0" w:lineRule="exact"/>
        <w:jc w:val="center"/>
        <w:rPr>
          <w:rFonts w:ascii="Arial" w:hAnsi="Arial" w:cs="Arial"/>
          <w:b/>
          <w:sz w:val="22"/>
          <w:szCs w:val="22"/>
        </w:rPr>
      </w:pPr>
      <w:r>
        <w:rPr>
          <w:rFonts w:ascii="Arial" w:hAnsi="Arial" w:cs="Arial"/>
          <w:b/>
          <w:sz w:val="22"/>
          <w:szCs w:val="22"/>
        </w:rPr>
        <w:t>LM TRANSPORTES INTERESTADUAIS SERVIÇOS E COMÉRCIO S.A.</w:t>
      </w:r>
    </w:p>
    <w:p>
      <w:pPr>
        <w:spacing w:line="340" w:lineRule="exact"/>
        <w:jc w:val="center"/>
        <w:rPr>
          <w:rFonts w:ascii="Arial" w:hAnsi="Arial" w:cs="Arial"/>
          <w:sz w:val="22"/>
          <w:szCs w:val="22"/>
        </w:rPr>
      </w:pPr>
      <w:r>
        <w:rPr>
          <w:rFonts w:ascii="Arial" w:hAnsi="Arial" w:cs="Arial"/>
          <w:sz w:val="22"/>
          <w:szCs w:val="22"/>
        </w:rPr>
        <w:t>CNPJ/ME nº 00.389.481/0001-79</w:t>
      </w:r>
    </w:p>
    <w:p>
      <w:pPr>
        <w:spacing w:line="340" w:lineRule="exact"/>
        <w:jc w:val="center"/>
        <w:rPr>
          <w:rFonts w:ascii="Arial" w:hAnsi="Arial" w:cs="Arial"/>
          <w:sz w:val="22"/>
          <w:szCs w:val="22"/>
        </w:rPr>
      </w:pPr>
      <w:r>
        <w:rPr>
          <w:rFonts w:ascii="Arial" w:hAnsi="Arial" w:cs="Arial"/>
          <w:bCs/>
          <w:sz w:val="22"/>
          <w:szCs w:val="22"/>
        </w:rPr>
        <w:t xml:space="preserve">NIRE </w:t>
      </w:r>
      <w:r>
        <w:rPr>
          <w:rFonts w:ascii="Arial" w:hAnsi="Arial" w:cs="Arial"/>
          <w:sz w:val="22"/>
          <w:szCs w:val="22"/>
        </w:rPr>
        <w:t>293.000.350-41</w:t>
      </w:r>
    </w:p>
    <w:p>
      <w:pPr>
        <w:spacing w:line="340" w:lineRule="exact"/>
        <w:jc w:val="center"/>
        <w:rPr>
          <w:rFonts w:ascii="Arial" w:hAnsi="Arial" w:cs="Arial"/>
          <w:b/>
          <w:sz w:val="22"/>
          <w:szCs w:val="22"/>
        </w:rPr>
      </w:pPr>
      <w:r>
        <w:rPr>
          <w:rFonts w:ascii="Arial" w:hAnsi="Arial" w:cs="Arial"/>
          <w:sz w:val="22"/>
          <w:szCs w:val="22"/>
        </w:rPr>
        <w:t>Companhia Aberta</w:t>
      </w:r>
      <w:r>
        <w:rPr>
          <w:rFonts w:ascii="Arial" w:hAnsi="Arial" w:cs="Arial"/>
          <w:b/>
          <w:sz w:val="22"/>
          <w:szCs w:val="22"/>
        </w:rPr>
        <w:t xml:space="preserve"> </w:t>
      </w:r>
    </w:p>
    <w:p>
      <w:pPr>
        <w:spacing w:line="340" w:lineRule="exact"/>
        <w:jc w:val="center"/>
        <w:rPr>
          <w:rFonts w:ascii="Arial" w:hAnsi="Arial" w:cs="Arial"/>
          <w:b/>
          <w:sz w:val="22"/>
          <w:szCs w:val="22"/>
        </w:rPr>
      </w:pPr>
    </w:p>
    <w:p>
      <w:pPr>
        <w:spacing w:line="340" w:lineRule="exact"/>
        <w:jc w:val="center"/>
        <w:rPr>
          <w:rFonts w:ascii="Arial" w:hAnsi="Arial" w:cs="Arial"/>
          <w:b/>
          <w:sz w:val="22"/>
          <w:szCs w:val="22"/>
        </w:rPr>
      </w:pPr>
      <w:r>
        <w:rPr>
          <w:rFonts w:ascii="Arial" w:hAnsi="Arial" w:cs="Arial"/>
          <w:b/>
          <w:sz w:val="22"/>
          <w:szCs w:val="22"/>
        </w:rPr>
        <w:t xml:space="preserve">Ata da </w:t>
      </w:r>
      <w:r>
        <w:rPr>
          <w:rFonts w:ascii="Arial" w:hAnsi="Arial" w:cs="Arial"/>
          <w:b/>
          <w:bCs/>
          <w:sz w:val="22"/>
          <w:szCs w:val="22"/>
        </w:rPr>
        <w:t>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spacing w:line="340" w:lineRule="exact"/>
        <w:jc w:val="center"/>
        <w:rPr>
          <w:rFonts w:ascii="Arial" w:hAnsi="Arial" w:cs="Arial"/>
          <w:b/>
          <w:sz w:val="22"/>
          <w:szCs w:val="22"/>
        </w:rPr>
      </w:pPr>
    </w:p>
    <w:p>
      <w:pPr>
        <w:spacing w:line="340" w:lineRule="exact"/>
        <w:jc w:val="center"/>
        <w:rPr>
          <w:rFonts w:ascii="Arial" w:hAnsi="Arial" w:cs="Arial"/>
          <w:b/>
          <w:sz w:val="22"/>
          <w:szCs w:val="22"/>
        </w:rPr>
      </w:pPr>
      <w:r>
        <w:rPr>
          <w:rFonts w:ascii="Arial" w:hAnsi="Arial" w:cs="Arial"/>
          <w:b/>
          <w:sz w:val="22"/>
          <w:szCs w:val="22"/>
        </w:rPr>
        <w:t>Realizada em 7 de dezembro de 2020</w:t>
      </w:r>
    </w:p>
    <w:p>
      <w:pPr>
        <w:spacing w:line="340" w:lineRule="exact"/>
        <w:jc w:val="center"/>
        <w:rPr>
          <w:rFonts w:ascii="Arial" w:hAnsi="Arial" w:cs="Arial"/>
          <w:b/>
          <w:sz w:val="22"/>
          <w:szCs w:val="22"/>
          <w:u w:val="single"/>
        </w:rPr>
      </w:pPr>
    </w:p>
    <w:p>
      <w:pPr>
        <w:autoSpaceDE w:val="0"/>
        <w:autoSpaceDN w:val="0"/>
        <w:adjustRightInd w:val="0"/>
        <w:spacing w:line="340" w:lineRule="exact"/>
        <w:jc w:val="both"/>
        <w:rPr>
          <w:rFonts w:ascii="Arial" w:hAnsi="Arial" w:cs="Arial"/>
          <w:sz w:val="22"/>
          <w:szCs w:val="22"/>
        </w:rPr>
      </w:pPr>
      <w:r>
        <w:rPr>
          <w:rFonts w:ascii="Arial" w:hAnsi="Arial" w:cs="Arial"/>
          <w:b/>
          <w:sz w:val="22"/>
          <w:szCs w:val="22"/>
        </w:rPr>
        <w:t>I - Data, Hora e Local:</w:t>
      </w:r>
      <w:r>
        <w:rPr>
          <w:rFonts w:ascii="Arial" w:hAnsi="Arial" w:cs="Arial"/>
          <w:sz w:val="22"/>
          <w:szCs w:val="22"/>
        </w:rPr>
        <w:t xml:space="preserve"> Assembleia realizada aos 7 (sete) dias do mês de dezembro de 2020, às 15h00 (quinze horas), exclusivamente de modo digital, com realização de vídeo conferência online através da Plataforma Microsoft </w:t>
      </w:r>
      <w:proofErr w:type="spellStart"/>
      <w:r>
        <w:rPr>
          <w:rFonts w:ascii="Arial" w:hAnsi="Arial" w:cs="Arial"/>
          <w:sz w:val="22"/>
          <w:szCs w:val="22"/>
        </w:rPr>
        <w:t>Teams</w:t>
      </w:r>
      <w:proofErr w:type="spellEnd"/>
      <w:r>
        <w:rPr>
          <w:rFonts w:ascii="Arial" w:hAnsi="Arial" w:cs="Arial"/>
          <w:sz w:val="22"/>
          <w:szCs w:val="22"/>
        </w:rPr>
        <w:t>, cujo link de acesso foi disponibilizado pela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xml:space="preserve">”) aos Debenturistas (conforme a seguir definidos) habilitados, nos termos do Edital de Convocação (conforme abaixo definido), bem como da </w:t>
      </w:r>
      <w:r>
        <w:rPr>
          <w:rFonts w:ascii="Arial" w:hAnsi="Arial" w:cs="Arial"/>
          <w:sz w:val="22"/>
          <w:szCs w:val="22"/>
          <w:shd w:val="clear" w:color="auto" w:fill="FFFFFF"/>
        </w:rPr>
        <w:t>Instrução da Comissão de Valores Mobiliários ("</w:t>
      </w:r>
      <w:r>
        <w:rPr>
          <w:rFonts w:ascii="Arial" w:hAnsi="Arial" w:cs="Arial"/>
          <w:sz w:val="22"/>
          <w:szCs w:val="22"/>
          <w:u w:val="single"/>
          <w:shd w:val="clear" w:color="auto" w:fill="FFFFFF"/>
        </w:rPr>
        <w:t>CVM</w:t>
      </w:r>
      <w:r>
        <w:rPr>
          <w:rFonts w:ascii="Arial" w:hAnsi="Arial" w:cs="Arial"/>
          <w:sz w:val="22"/>
          <w:szCs w:val="22"/>
          <w:shd w:val="clear" w:color="auto" w:fill="FFFFFF"/>
        </w:rPr>
        <w:t>") nº 625, de 14 de maio de 2020 ("</w:t>
      </w:r>
      <w:r>
        <w:rPr>
          <w:rFonts w:ascii="Arial" w:hAnsi="Arial" w:cs="Arial"/>
          <w:sz w:val="22"/>
          <w:szCs w:val="22"/>
          <w:u w:val="single"/>
          <w:shd w:val="clear" w:color="auto" w:fill="FFFFFF"/>
        </w:rPr>
        <w:t>Instrução CVM 625</w:t>
      </w:r>
      <w:r>
        <w:rPr>
          <w:rFonts w:ascii="Arial" w:hAnsi="Arial" w:cs="Arial"/>
          <w:sz w:val="22"/>
          <w:szCs w:val="22"/>
          <w:shd w:val="clear" w:color="auto" w:fill="FFFFFF"/>
        </w:rPr>
        <w:t>")</w:t>
      </w:r>
      <w:r>
        <w:rPr>
          <w:rFonts w:ascii="Arial" w:hAnsi="Arial" w:cs="Arial"/>
          <w:sz w:val="22"/>
          <w:szCs w:val="22"/>
        </w:rPr>
        <w:t>.</w:t>
      </w:r>
    </w:p>
    <w:p>
      <w:pPr>
        <w:pStyle w:val="Default"/>
        <w:spacing w:line="340" w:lineRule="exact"/>
        <w:rPr>
          <w:rFonts w:ascii="Arial" w:hAnsi="Arial" w:cs="Arial"/>
          <w:color w:val="auto"/>
          <w:sz w:val="22"/>
          <w:szCs w:val="22"/>
        </w:rPr>
      </w:pPr>
    </w:p>
    <w:p>
      <w:pPr>
        <w:spacing w:line="340" w:lineRule="exact"/>
        <w:jc w:val="both"/>
        <w:rPr>
          <w:rFonts w:ascii="Arial" w:hAnsi="Arial" w:cs="Arial"/>
          <w:sz w:val="22"/>
          <w:szCs w:val="22"/>
        </w:rPr>
      </w:pPr>
      <w:r>
        <w:rPr>
          <w:rFonts w:ascii="Arial" w:hAnsi="Arial" w:cs="Arial"/>
          <w:b/>
          <w:sz w:val="22"/>
          <w:szCs w:val="22"/>
        </w:rPr>
        <w:t>II – Convocação:</w:t>
      </w:r>
      <w:r>
        <w:rPr>
          <w:rFonts w:ascii="Arial" w:hAnsi="Arial" w:cs="Arial"/>
          <w:sz w:val="22"/>
          <w:szCs w:val="22"/>
        </w:rPr>
        <w:t xml:space="preserve"> Edital de convocação publicado no jornal “</w:t>
      </w:r>
      <w:r>
        <w:rPr>
          <w:rFonts w:ascii="Arial" w:hAnsi="Arial" w:cs="Arial"/>
          <w:i/>
          <w:sz w:val="22"/>
          <w:szCs w:val="22"/>
        </w:rPr>
        <w:t>Tribuna da Bahia</w:t>
      </w:r>
      <w:r>
        <w:rPr>
          <w:rFonts w:ascii="Arial" w:hAnsi="Arial" w:cs="Arial"/>
          <w:sz w:val="22"/>
          <w:szCs w:val="22"/>
        </w:rPr>
        <w:t>” em suas edições de 21, 23 e 24 de novembro de 2020 e no jornal “</w:t>
      </w:r>
      <w:r>
        <w:rPr>
          <w:rFonts w:ascii="Arial" w:hAnsi="Arial" w:cs="Arial"/>
          <w:i/>
          <w:sz w:val="22"/>
          <w:szCs w:val="22"/>
        </w:rPr>
        <w:t>Diário Oficial do Estado da Bahia</w:t>
      </w:r>
      <w:r>
        <w:rPr>
          <w:rFonts w:ascii="Arial" w:hAnsi="Arial" w:cs="Arial"/>
          <w:sz w:val="22"/>
          <w:szCs w:val="22"/>
        </w:rPr>
        <w:t>” em suas edições de 21, 24 e 25 de novembro de 2020 (“</w:t>
      </w:r>
      <w:r>
        <w:rPr>
          <w:rFonts w:ascii="Arial" w:hAnsi="Arial" w:cs="Arial"/>
          <w:sz w:val="22"/>
          <w:szCs w:val="22"/>
          <w:u w:val="single"/>
        </w:rPr>
        <w:t>Edital de Convocação</w:t>
      </w:r>
      <w:r>
        <w:rPr>
          <w:rFonts w:ascii="Arial" w:hAnsi="Arial" w:cs="Arial"/>
          <w:sz w:val="22"/>
          <w:szCs w:val="22"/>
        </w:rPr>
        <w:t>”), conforme disposto no artigo 124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8.3 do “</w:t>
      </w:r>
      <w:r>
        <w:rPr>
          <w:rFonts w:ascii="Arial" w:hAnsi="Arial" w:cs="Arial"/>
          <w:bCs/>
          <w:i/>
          <w:sz w:val="22"/>
          <w:szCs w:val="22"/>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hAnsi="Arial" w:cs="Arial"/>
          <w:sz w:val="22"/>
          <w:szCs w:val="22"/>
        </w:rPr>
        <w:t>”, celebrado em 7 de dezembro de 2018, entre a Emissora, a Simplific Pavarini Distribuidora de Títulos e Valores Mobiliários Ltda. (“</w:t>
      </w:r>
      <w:r>
        <w:rPr>
          <w:rFonts w:ascii="Arial" w:hAnsi="Arial" w:cs="Arial"/>
          <w:sz w:val="22"/>
          <w:szCs w:val="22"/>
          <w:u w:val="single"/>
        </w:rPr>
        <w:t>Agente Fiduciário</w:t>
      </w:r>
      <w:r>
        <w:rPr>
          <w:rFonts w:ascii="Arial" w:hAnsi="Arial" w:cs="Arial"/>
          <w:sz w:val="22"/>
          <w:szCs w:val="22"/>
        </w:rPr>
        <w:t>”), Luiz Lopes Mendonça Filho, Aurora Maria Moura Mendonça (conjuntamente, “</w:t>
      </w:r>
      <w:r>
        <w:rPr>
          <w:rFonts w:ascii="Arial" w:hAnsi="Arial" w:cs="Arial"/>
          <w:sz w:val="22"/>
          <w:szCs w:val="22"/>
          <w:u w:val="single"/>
        </w:rPr>
        <w:t>Controladores</w:t>
      </w:r>
      <w:r>
        <w:rPr>
          <w:rFonts w:ascii="Arial" w:hAnsi="Arial" w:cs="Arial"/>
          <w:sz w:val="22"/>
          <w:szCs w:val="22"/>
        </w:rPr>
        <w:t xml:space="preserve">”), a LM Transportes e Serviços e Comércio Ltda., inscrita no </w:t>
      </w:r>
      <w:r>
        <w:rPr>
          <w:rFonts w:ascii="Arial" w:hAnsi="Arial" w:cs="Arial"/>
          <w:bCs/>
          <w:sz w:val="22"/>
          <w:szCs w:val="22"/>
        </w:rPr>
        <w:t>CNPJ/ME sob o nº 14.672.885/0001-80</w:t>
      </w:r>
      <w:r>
        <w:rPr>
          <w:rFonts w:ascii="Arial" w:hAnsi="Arial" w:cs="Arial"/>
          <w:sz w:val="22"/>
          <w:szCs w:val="22"/>
        </w:rPr>
        <w:t xml:space="preserve"> (“</w:t>
      </w:r>
      <w:r>
        <w:rPr>
          <w:rFonts w:ascii="Arial" w:hAnsi="Arial" w:cs="Arial"/>
          <w:sz w:val="22"/>
          <w:szCs w:val="22"/>
          <w:u w:val="single"/>
        </w:rPr>
        <w:t>LM Serviços</w:t>
      </w:r>
      <w:r>
        <w:rPr>
          <w:rFonts w:ascii="Arial" w:hAnsi="Arial" w:cs="Arial"/>
          <w:sz w:val="22"/>
          <w:szCs w:val="22"/>
        </w:rPr>
        <w:t xml:space="preserve">”), a LM Participações e Empreendimentos Ltda., inscrita no CNPJ/ME </w:t>
      </w:r>
      <w:r>
        <w:rPr>
          <w:rFonts w:ascii="Arial" w:hAnsi="Arial" w:cs="Arial"/>
          <w:bCs/>
          <w:sz w:val="22"/>
          <w:szCs w:val="22"/>
        </w:rPr>
        <w:t xml:space="preserve">sob o nº </w:t>
      </w:r>
      <w:r>
        <w:rPr>
          <w:rFonts w:ascii="Arial" w:hAnsi="Arial" w:cs="Arial"/>
          <w:sz w:val="22"/>
          <w:szCs w:val="22"/>
        </w:rPr>
        <w:t>08.330.104/0001-76 (“</w:t>
      </w:r>
      <w:r>
        <w:rPr>
          <w:rFonts w:ascii="Arial" w:hAnsi="Arial" w:cs="Arial"/>
          <w:sz w:val="22"/>
          <w:szCs w:val="22"/>
          <w:u w:val="single"/>
        </w:rPr>
        <w:t>LM Participações</w:t>
      </w:r>
      <w:r>
        <w:rPr>
          <w:rFonts w:ascii="Arial" w:hAnsi="Arial" w:cs="Arial"/>
          <w:sz w:val="22"/>
          <w:szCs w:val="22"/>
        </w:rPr>
        <w:t xml:space="preserve">”), a Bravo Caminhões e Empreendimentos Ltda., inscrita no </w:t>
      </w:r>
      <w:r>
        <w:rPr>
          <w:rFonts w:ascii="Arial" w:hAnsi="Arial" w:cs="Arial"/>
          <w:bCs/>
          <w:sz w:val="22"/>
          <w:szCs w:val="22"/>
        </w:rPr>
        <w:t>CNPJ/ME sob o nº 00.251.951/0001-33</w:t>
      </w:r>
      <w:r>
        <w:rPr>
          <w:rFonts w:ascii="Arial" w:hAnsi="Arial" w:cs="Arial"/>
          <w:sz w:val="22"/>
          <w:szCs w:val="22"/>
        </w:rPr>
        <w:t xml:space="preserve"> (“</w:t>
      </w:r>
      <w:r>
        <w:rPr>
          <w:rFonts w:ascii="Arial" w:hAnsi="Arial" w:cs="Arial"/>
          <w:sz w:val="22"/>
          <w:szCs w:val="22"/>
          <w:u w:val="single"/>
        </w:rPr>
        <w:t>Bravo</w:t>
      </w:r>
      <w:r>
        <w:rPr>
          <w:rFonts w:ascii="Arial" w:hAnsi="Arial" w:cs="Arial"/>
          <w:sz w:val="22"/>
          <w:szCs w:val="22"/>
        </w:rPr>
        <w:t xml:space="preserve">”), a </w:t>
      </w:r>
      <w:proofErr w:type="spellStart"/>
      <w:r>
        <w:rPr>
          <w:rFonts w:ascii="Arial" w:hAnsi="Arial" w:cs="Arial"/>
          <w:sz w:val="22"/>
          <w:szCs w:val="22"/>
        </w:rPr>
        <w:t>AuraBrasil</w:t>
      </w:r>
      <w:proofErr w:type="spellEnd"/>
      <w:r>
        <w:rPr>
          <w:rFonts w:ascii="Arial" w:hAnsi="Arial" w:cs="Arial"/>
          <w:sz w:val="22"/>
          <w:szCs w:val="22"/>
        </w:rPr>
        <w:t xml:space="preserve"> – Transportes, Máquinas e Equipamentos Ltda., inscrita no </w:t>
      </w:r>
      <w:r>
        <w:rPr>
          <w:rFonts w:ascii="Arial" w:hAnsi="Arial" w:cs="Arial"/>
          <w:bCs/>
          <w:sz w:val="22"/>
          <w:szCs w:val="22"/>
        </w:rPr>
        <w:lastRenderedPageBreak/>
        <w:t>CNPJ/ME sob o nº 14.053.968/0001-90</w:t>
      </w:r>
      <w:r>
        <w:rPr>
          <w:rFonts w:ascii="Arial" w:hAnsi="Arial" w:cs="Arial"/>
          <w:sz w:val="22"/>
          <w:szCs w:val="22"/>
        </w:rPr>
        <w:t xml:space="preserve"> (“</w:t>
      </w:r>
      <w:proofErr w:type="spellStart"/>
      <w:r>
        <w:rPr>
          <w:rFonts w:ascii="Arial" w:hAnsi="Arial" w:cs="Arial"/>
          <w:sz w:val="22"/>
          <w:szCs w:val="22"/>
          <w:u w:val="single"/>
        </w:rPr>
        <w:t>AuraBrasil</w:t>
      </w:r>
      <w:proofErr w:type="spellEnd"/>
      <w:r>
        <w:rPr>
          <w:rFonts w:ascii="Arial" w:hAnsi="Arial" w:cs="Arial"/>
          <w:sz w:val="22"/>
          <w:szCs w:val="22"/>
        </w:rPr>
        <w:t xml:space="preserve">”) e a Santo Antônio Imóveis e empreendimentos Ltda., inscrita no CNPJ/ME </w:t>
      </w:r>
      <w:r>
        <w:rPr>
          <w:rFonts w:ascii="Arial" w:hAnsi="Arial" w:cs="Arial"/>
          <w:bCs/>
          <w:sz w:val="22"/>
          <w:szCs w:val="22"/>
        </w:rPr>
        <w:t>sob o nº 03.624.498/0001-51</w:t>
      </w:r>
      <w:r>
        <w:rPr>
          <w:rFonts w:ascii="Arial" w:hAnsi="Arial" w:cs="Arial"/>
          <w:sz w:val="22"/>
          <w:szCs w:val="22"/>
        </w:rPr>
        <w:t xml:space="preserve"> (“</w:t>
      </w:r>
      <w:r>
        <w:rPr>
          <w:rFonts w:ascii="Arial" w:hAnsi="Arial" w:cs="Arial"/>
          <w:sz w:val="22"/>
          <w:szCs w:val="22"/>
          <w:u w:val="single"/>
        </w:rPr>
        <w:t>Santo Antônio</w:t>
      </w:r>
      <w:r>
        <w:rPr>
          <w:rFonts w:ascii="Arial" w:hAnsi="Arial" w:cs="Arial"/>
          <w:sz w:val="22"/>
          <w:szCs w:val="22"/>
        </w:rPr>
        <w:t xml:space="preserve">” e, em conjunto com os Controladores, LM Serviços, LM Participações, Bravo e </w:t>
      </w:r>
      <w:proofErr w:type="spellStart"/>
      <w:r>
        <w:rPr>
          <w:rFonts w:ascii="Arial" w:hAnsi="Arial" w:cs="Arial"/>
          <w:sz w:val="22"/>
          <w:szCs w:val="22"/>
        </w:rPr>
        <w:t>AuraBrasil</w:t>
      </w:r>
      <w:proofErr w:type="spellEnd"/>
      <w:r>
        <w:rPr>
          <w:rFonts w:ascii="Arial" w:hAnsi="Arial" w:cs="Arial"/>
          <w:sz w:val="22"/>
          <w:szCs w:val="22"/>
        </w:rPr>
        <w:t>, os “</w:t>
      </w:r>
      <w:r>
        <w:rPr>
          <w:rFonts w:ascii="Arial" w:hAnsi="Arial" w:cs="Arial"/>
          <w:sz w:val="22"/>
          <w:szCs w:val="22"/>
          <w:u w:val="single"/>
        </w:rPr>
        <w:t>Fiadores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w:t>
      </w:r>
    </w:p>
    <w:p>
      <w:pPr>
        <w:autoSpaceDE w:val="0"/>
        <w:autoSpaceDN w:val="0"/>
        <w:adjustRightInd w:val="0"/>
        <w:spacing w:line="340" w:lineRule="exact"/>
        <w:jc w:val="both"/>
        <w:rPr>
          <w:rFonts w:ascii="Arial" w:hAnsi="Arial" w:cs="Arial"/>
          <w:sz w:val="22"/>
          <w:szCs w:val="22"/>
          <w:shd w:val="clear" w:color="auto" w:fill="FFFFFF"/>
        </w:rPr>
      </w:pPr>
    </w:p>
    <w:p>
      <w:pPr>
        <w:pStyle w:val="Default"/>
        <w:spacing w:line="340" w:lineRule="exact"/>
        <w:jc w:val="both"/>
        <w:rPr>
          <w:rFonts w:ascii="Arial" w:hAnsi="Arial" w:cs="Arial"/>
          <w:b/>
          <w:sz w:val="22"/>
          <w:szCs w:val="22"/>
        </w:rPr>
      </w:pPr>
      <w:r>
        <w:rPr>
          <w:rFonts w:ascii="Arial" w:hAnsi="Arial" w:cs="Arial"/>
          <w:b/>
          <w:sz w:val="22"/>
          <w:szCs w:val="22"/>
        </w:rPr>
        <w:t>III – Presença:</w:t>
      </w:r>
      <w:r>
        <w:rPr>
          <w:rFonts w:ascii="Arial" w:hAnsi="Arial" w:cs="Arial"/>
          <w:b/>
          <w:bCs/>
          <w:sz w:val="22"/>
          <w:szCs w:val="22"/>
        </w:rPr>
        <w:t xml:space="preserve"> </w:t>
      </w:r>
      <w:r>
        <w:rPr>
          <w:rFonts w:ascii="Arial" w:hAnsi="Arial" w:cs="Arial"/>
          <w:b/>
          <w:sz w:val="22"/>
          <w:szCs w:val="22"/>
        </w:rPr>
        <w:t>(i)</w:t>
      </w:r>
      <w:r>
        <w:rPr>
          <w:rFonts w:ascii="Arial" w:hAnsi="Arial" w:cs="Arial"/>
          <w:sz w:val="22"/>
          <w:szCs w:val="22"/>
        </w:rPr>
        <w:t xml:space="preserve"> titulares das debêntures da</w:t>
      </w:r>
      <w:r>
        <w:rPr>
          <w:rFonts w:ascii="Arial" w:hAnsi="Arial" w:cs="Arial"/>
          <w:sz w:val="22"/>
          <w:szCs w:val="22"/>
          <w:shd w:val="clear" w:color="auto" w:fill="FFFFFF"/>
        </w:rPr>
        <w:t xml:space="preserve"> 2ª (segunda) emissão pública de debêntures simples, não conversíveis em ações, em série única, da espécie com garantia real, com garantia adicional fidejussória, para distribuição com esforços restritos (“</w:t>
      </w:r>
      <w:r>
        <w:rPr>
          <w:rFonts w:ascii="Arial" w:hAnsi="Arial" w:cs="Arial"/>
          <w:sz w:val="22"/>
          <w:szCs w:val="22"/>
          <w:u w:val="single"/>
          <w:shd w:val="clear" w:color="auto" w:fill="FFFFFF"/>
        </w:rPr>
        <w:t>Debenturistas</w:t>
      </w:r>
      <w:r>
        <w:rPr>
          <w:rFonts w:ascii="Arial" w:hAnsi="Arial" w:cs="Arial"/>
          <w:sz w:val="22"/>
          <w:szCs w:val="22"/>
          <w:shd w:val="clear" w:color="auto" w:fill="FFFFFF"/>
        </w:rPr>
        <w:t>”, “</w:t>
      </w:r>
      <w:r>
        <w:rPr>
          <w:rFonts w:ascii="Arial" w:hAnsi="Arial" w:cs="Arial"/>
          <w:sz w:val="22"/>
          <w:szCs w:val="22"/>
          <w:u w:val="single"/>
          <w:shd w:val="clear" w:color="auto" w:fill="FFFFFF"/>
        </w:rPr>
        <w:t>Debêntures</w:t>
      </w:r>
      <w:r>
        <w:rPr>
          <w:rFonts w:ascii="Arial" w:hAnsi="Arial" w:cs="Arial"/>
          <w:sz w:val="22"/>
          <w:szCs w:val="22"/>
          <w:shd w:val="clear" w:color="auto" w:fill="FFFFFF"/>
        </w:rPr>
        <w:t>” e “</w:t>
      </w:r>
      <w:r>
        <w:rPr>
          <w:rFonts w:ascii="Arial" w:hAnsi="Arial" w:cs="Arial"/>
          <w:sz w:val="22"/>
          <w:szCs w:val="22"/>
          <w:u w:val="single"/>
          <w:shd w:val="clear" w:color="auto" w:fill="FFFFFF"/>
        </w:rPr>
        <w:t>Emissão</w:t>
      </w:r>
      <w:r>
        <w:rPr>
          <w:rFonts w:ascii="Arial" w:hAnsi="Arial" w:cs="Arial"/>
          <w:sz w:val="22"/>
          <w:szCs w:val="22"/>
          <w:shd w:val="clear" w:color="auto" w:fill="FFFFFF"/>
        </w:rPr>
        <w:t xml:space="preserve">”, respectivamente) </w:t>
      </w:r>
      <w:r>
        <w:rPr>
          <w:rFonts w:ascii="Arial" w:hAnsi="Arial" w:cs="Arial"/>
          <w:sz w:val="22"/>
          <w:szCs w:val="22"/>
        </w:rPr>
        <w:t xml:space="preserve">representando 100,00% (cem por cento) das Debêntures em Circulação (conforme definido </w:t>
      </w:r>
      <w:r>
        <w:rPr>
          <w:rFonts w:ascii="Arial" w:hAnsi="Arial" w:cs="Arial"/>
          <w:sz w:val="22"/>
          <w:szCs w:val="22"/>
          <w:shd w:val="clear" w:color="auto" w:fill="FFFFFF"/>
        </w:rPr>
        <w:t>na cláusula 8.4.1 da Escritura de Emissão)</w:t>
      </w:r>
      <w:r>
        <w:rPr>
          <w:rFonts w:ascii="Arial" w:hAnsi="Arial" w:cs="Arial"/>
          <w:sz w:val="22"/>
          <w:szCs w:val="22"/>
        </w:rPr>
        <w:t xml:space="preserve">, conforme se verificou na Lista de Presença do </w:t>
      </w:r>
      <w:r>
        <w:rPr>
          <w:rFonts w:ascii="Arial" w:hAnsi="Arial" w:cs="Arial"/>
          <w:b/>
          <w:sz w:val="22"/>
          <w:szCs w:val="22"/>
        </w:rPr>
        <w:t>Anexo I</w:t>
      </w:r>
      <w:r>
        <w:rPr>
          <w:rFonts w:ascii="Arial" w:hAnsi="Arial" w:cs="Arial"/>
          <w:sz w:val="22"/>
          <w:szCs w:val="22"/>
        </w:rPr>
        <w:t xml:space="preserve"> à presente Ata;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representante do Agente Fiduciário; </w:t>
      </w: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xml:space="preserve"> representantes da Companhia; e </w:t>
      </w:r>
      <w:r>
        <w:rPr>
          <w:rFonts w:ascii="Arial" w:hAnsi="Arial" w:cs="Arial"/>
          <w:b/>
          <w:sz w:val="22"/>
          <w:szCs w:val="22"/>
        </w:rPr>
        <w:t>(</w:t>
      </w:r>
      <w:proofErr w:type="spellStart"/>
      <w:r>
        <w:rPr>
          <w:rFonts w:ascii="Arial" w:hAnsi="Arial" w:cs="Arial"/>
          <w:b/>
          <w:sz w:val="22"/>
          <w:szCs w:val="22"/>
        </w:rPr>
        <w:t>iv</w:t>
      </w:r>
      <w:proofErr w:type="spellEnd"/>
      <w:r>
        <w:rPr>
          <w:rFonts w:ascii="Arial" w:hAnsi="Arial" w:cs="Arial"/>
          <w:b/>
          <w:sz w:val="22"/>
          <w:szCs w:val="22"/>
        </w:rPr>
        <w:t>)</w:t>
      </w:r>
      <w:r>
        <w:rPr>
          <w:rFonts w:ascii="Arial" w:hAnsi="Arial" w:cs="Arial"/>
          <w:sz w:val="22"/>
          <w:szCs w:val="22"/>
        </w:rPr>
        <w:t xml:space="preserve"> na qualidade de Fiadores, Sr. Luiz Lopes Mendonça Filho, Sra. Aurora Maria Moura Mendonça, os representantes da LM Serviços, LM Participações, Bravo, </w:t>
      </w:r>
      <w:proofErr w:type="spellStart"/>
      <w:r>
        <w:rPr>
          <w:rFonts w:ascii="Arial" w:hAnsi="Arial" w:cs="Arial"/>
          <w:sz w:val="22"/>
          <w:szCs w:val="22"/>
        </w:rPr>
        <w:t>AuraBrasil</w:t>
      </w:r>
      <w:proofErr w:type="spellEnd"/>
      <w:r>
        <w:rPr>
          <w:rFonts w:ascii="Arial" w:hAnsi="Arial" w:cs="Arial"/>
          <w:sz w:val="22"/>
          <w:szCs w:val="22"/>
        </w:rPr>
        <w:t xml:space="preserve"> e Santo Antônio. </w:t>
      </w:r>
    </w:p>
    <w:p>
      <w:pPr>
        <w:pStyle w:val="Default"/>
        <w:spacing w:line="340" w:lineRule="exact"/>
        <w:jc w:val="both"/>
        <w:rPr>
          <w:rFonts w:ascii="Arial" w:hAnsi="Arial" w:cs="Arial"/>
          <w:b/>
          <w:sz w:val="22"/>
          <w:szCs w:val="22"/>
        </w:rPr>
      </w:pPr>
    </w:p>
    <w:p>
      <w:pPr>
        <w:pStyle w:val="Default"/>
        <w:spacing w:line="340" w:lineRule="exact"/>
        <w:jc w:val="both"/>
        <w:rPr>
          <w:rFonts w:ascii="Arial" w:hAnsi="Arial" w:cs="Arial"/>
          <w:color w:val="auto"/>
          <w:sz w:val="22"/>
          <w:szCs w:val="22"/>
        </w:rPr>
      </w:pPr>
      <w:r>
        <w:rPr>
          <w:rFonts w:ascii="Arial" w:hAnsi="Arial" w:cs="Arial"/>
          <w:b/>
          <w:sz w:val="22"/>
          <w:szCs w:val="22"/>
        </w:rPr>
        <w:t>IV - Mesa</w:t>
      </w:r>
      <w:r>
        <w:rPr>
          <w:rFonts w:ascii="Arial" w:hAnsi="Arial" w:cs="Arial"/>
          <w:b/>
          <w:bCs/>
          <w:sz w:val="22"/>
          <w:szCs w:val="22"/>
        </w:rPr>
        <w:t xml:space="preserve">: </w:t>
      </w:r>
      <w:r>
        <w:rPr>
          <w:rFonts w:ascii="Arial" w:hAnsi="Arial" w:cs="Arial"/>
          <w:color w:val="auto"/>
          <w:sz w:val="22"/>
          <w:szCs w:val="22"/>
        </w:rPr>
        <w:t xml:space="preserve">Presidente: André Passos; e Secretário: </w:t>
      </w:r>
      <w:r>
        <w:rPr>
          <w:rFonts w:ascii="Arial" w:hAnsi="Arial" w:cs="Arial"/>
          <w:color w:val="auto"/>
          <w:sz w:val="22"/>
          <w:szCs w:val="22"/>
        </w:rPr>
        <w:t>Pedro Paulo Farme d’</w:t>
      </w:r>
      <w:proofErr w:type="spellStart"/>
      <w:r>
        <w:rPr>
          <w:rFonts w:ascii="Arial" w:hAnsi="Arial" w:cs="Arial"/>
          <w:color w:val="auto"/>
          <w:sz w:val="22"/>
          <w:szCs w:val="22"/>
        </w:rPr>
        <w:t>Amoed</w:t>
      </w:r>
      <w:proofErr w:type="spellEnd"/>
      <w:r>
        <w:rPr>
          <w:rFonts w:ascii="Arial" w:hAnsi="Arial" w:cs="Arial"/>
          <w:color w:val="auto"/>
          <w:sz w:val="22"/>
          <w:szCs w:val="22"/>
        </w:rPr>
        <w:t xml:space="preserve"> Fernandes de Oliveira</w:t>
      </w:r>
      <w:r>
        <w:rPr>
          <w:rFonts w:ascii="Arial" w:hAnsi="Arial" w:cs="Arial"/>
          <w:color w:val="auto"/>
          <w:sz w:val="22"/>
          <w:szCs w:val="22"/>
        </w:rPr>
        <w:t xml:space="preserve">. </w:t>
      </w:r>
    </w:p>
    <w:p>
      <w:pPr>
        <w:pStyle w:val="Default"/>
        <w:spacing w:line="340" w:lineRule="exact"/>
        <w:jc w:val="both"/>
        <w:rPr>
          <w:rFonts w:ascii="Arial" w:hAnsi="Arial" w:cs="Arial"/>
          <w:color w:val="auto"/>
          <w:sz w:val="22"/>
          <w:szCs w:val="22"/>
        </w:rPr>
      </w:pPr>
    </w:p>
    <w:p>
      <w:pPr>
        <w:pStyle w:val="Estilo"/>
        <w:spacing w:line="340" w:lineRule="exact"/>
        <w:jc w:val="both"/>
        <w:rPr>
          <w:rFonts w:ascii="Arial" w:hAnsi="Arial" w:cs="Arial"/>
          <w:bCs/>
          <w:sz w:val="22"/>
          <w:szCs w:val="22"/>
        </w:rPr>
      </w:pPr>
      <w:r>
        <w:rPr>
          <w:rFonts w:ascii="Arial" w:hAnsi="Arial" w:cs="Arial"/>
          <w:b/>
          <w:sz w:val="22"/>
          <w:szCs w:val="22"/>
        </w:rPr>
        <w:t>V – Ordem do Dia</w:t>
      </w:r>
      <w:r>
        <w:rPr>
          <w:rFonts w:ascii="Arial" w:hAnsi="Arial" w:cs="Arial"/>
          <w:b/>
          <w:bCs/>
          <w:sz w:val="22"/>
          <w:szCs w:val="22"/>
        </w:rPr>
        <w:t>:</w:t>
      </w:r>
      <w:r>
        <w:rPr>
          <w:rFonts w:ascii="Arial" w:hAnsi="Arial" w:cs="Arial"/>
          <w:bCs/>
          <w:sz w:val="22"/>
          <w:szCs w:val="22"/>
        </w:rPr>
        <w:t xml:space="preserve"> O Grupo LM pretende implementar uma reorganização societária interna, por meio da qual haverá a simplificação de sua estrutura e resultará na participação direta dos Controladores nas sociedades operacionais do grupo, quais sejam, Emissora (que, por sua vez, será a controladora direta da LM Serviços), </w:t>
      </w:r>
      <w:proofErr w:type="spellStart"/>
      <w:r>
        <w:rPr>
          <w:rFonts w:ascii="Arial" w:hAnsi="Arial" w:cs="Arial"/>
          <w:bCs/>
          <w:sz w:val="22"/>
          <w:szCs w:val="22"/>
        </w:rPr>
        <w:t>AuraBrasil</w:t>
      </w:r>
      <w:proofErr w:type="spellEnd"/>
      <w:r>
        <w:rPr>
          <w:rFonts w:ascii="Arial" w:hAnsi="Arial" w:cs="Arial"/>
          <w:bCs/>
          <w:sz w:val="22"/>
          <w:szCs w:val="22"/>
        </w:rPr>
        <w:t xml:space="preserve"> e Bravo (“</w:t>
      </w:r>
      <w:r>
        <w:rPr>
          <w:rFonts w:ascii="Arial" w:hAnsi="Arial" w:cs="Arial"/>
          <w:bCs/>
          <w:sz w:val="22"/>
          <w:szCs w:val="22"/>
          <w:u w:val="single"/>
        </w:rPr>
        <w:t>Operação</w:t>
      </w:r>
      <w:r>
        <w:rPr>
          <w:rFonts w:ascii="Arial" w:hAnsi="Arial" w:cs="Arial"/>
          <w:bCs/>
          <w:sz w:val="22"/>
          <w:szCs w:val="22"/>
        </w:rPr>
        <w:t xml:space="preserve">”). A Operação não envolverá a alteração do controle e beneficiário finais do Grupo LM, uma vez que os Controladores detêm a totalidade do capital social das </w:t>
      </w:r>
      <w:r>
        <w:rPr>
          <w:rFonts w:ascii="Arial" w:hAnsi="Arial" w:cs="Arial"/>
          <w:bCs/>
          <w:i/>
          <w:sz w:val="22"/>
          <w:szCs w:val="22"/>
        </w:rPr>
        <w:t>holdings</w:t>
      </w:r>
      <w:r>
        <w:rPr>
          <w:rFonts w:ascii="Arial" w:hAnsi="Arial" w:cs="Arial"/>
          <w:bCs/>
          <w:sz w:val="22"/>
          <w:szCs w:val="22"/>
        </w:rPr>
        <w:t xml:space="preserve"> LM Participações e LM Gestão e Participações Societárias Ltda., inscrita no CNPJ/ME sob o nº 09.614.467/0001-04 (“</w:t>
      </w:r>
      <w:r>
        <w:rPr>
          <w:rFonts w:ascii="Arial" w:hAnsi="Arial" w:cs="Arial"/>
          <w:bCs/>
          <w:sz w:val="22"/>
          <w:szCs w:val="22"/>
          <w:u w:val="single"/>
        </w:rPr>
        <w:t>LM Gestão</w:t>
      </w:r>
      <w:r>
        <w:rPr>
          <w:rFonts w:ascii="Arial" w:hAnsi="Arial" w:cs="Arial"/>
          <w:bCs/>
          <w:sz w:val="22"/>
          <w:szCs w:val="22"/>
        </w:rPr>
        <w:t>”) as quais, após a Operação, serão extintas.</w:t>
      </w:r>
    </w:p>
    <w:p>
      <w:pPr>
        <w:pStyle w:val="Estilo"/>
        <w:spacing w:line="340" w:lineRule="exact"/>
        <w:jc w:val="both"/>
        <w:rPr>
          <w:rFonts w:ascii="Arial" w:hAnsi="Arial" w:cs="Arial"/>
          <w:bCs/>
          <w:sz w:val="22"/>
          <w:szCs w:val="22"/>
        </w:rPr>
      </w:pPr>
    </w:p>
    <w:p>
      <w:pPr>
        <w:pStyle w:val="Estilo"/>
        <w:spacing w:line="340" w:lineRule="exact"/>
        <w:jc w:val="both"/>
        <w:rPr>
          <w:rFonts w:ascii="Arial" w:hAnsi="Arial" w:cs="Arial"/>
          <w:sz w:val="22"/>
          <w:shd w:val="clear" w:color="auto" w:fill="FFFFFF"/>
        </w:rPr>
      </w:pPr>
      <w:r>
        <w:rPr>
          <w:rFonts w:ascii="Arial" w:hAnsi="Arial" w:cs="Arial"/>
          <w:bCs/>
          <w:sz w:val="22"/>
          <w:shd w:val="clear" w:color="auto" w:fill="FFFFFF"/>
        </w:rPr>
        <w:t>Nesse sentido, a Emissora pretende examinar, discutir e deliberar sobre a seguinte Ordem do Dia:</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w:t>
      </w:r>
      <w:r>
        <w:rPr>
          <w:rFonts w:ascii="Arial" w:hAnsi="Arial" w:cs="Arial"/>
          <w:b/>
          <w:color w:val="000000"/>
          <w:sz w:val="22"/>
          <w:szCs w:val="20"/>
          <w:shd w:val="clear" w:color="auto" w:fill="FFFFFF"/>
        </w:rPr>
        <w:tab/>
      </w:r>
      <w:r>
        <w:rPr>
          <w:rFonts w:ascii="Arial" w:hAnsi="Arial" w:cs="Arial"/>
          <w:bCs/>
          <w:color w:val="000000"/>
          <w:sz w:val="22"/>
          <w:szCs w:val="20"/>
          <w:shd w:val="clear" w:color="auto" w:fill="FFFFFF"/>
        </w:rPr>
        <w:t xml:space="preserve">autorizar a futura mudança de controle acionário informada acima em decorrência da Operação, qual seja (a) a mudança de controle acionário direto da Emissora e dos Fiadores </w:t>
      </w:r>
      <w:proofErr w:type="spellStart"/>
      <w:r>
        <w:rPr>
          <w:rFonts w:ascii="Arial" w:hAnsi="Arial" w:cs="Arial"/>
          <w:bCs/>
          <w:color w:val="000000"/>
          <w:sz w:val="22"/>
          <w:szCs w:val="20"/>
          <w:shd w:val="clear" w:color="auto" w:fill="FFFFFF"/>
        </w:rPr>
        <w:t>AuraBrasil</w:t>
      </w:r>
      <w:proofErr w:type="spellEnd"/>
      <w:r>
        <w:rPr>
          <w:rFonts w:ascii="Arial" w:hAnsi="Arial" w:cs="Arial"/>
          <w:bCs/>
          <w:color w:val="000000"/>
          <w:sz w:val="22"/>
          <w:szCs w:val="20"/>
          <w:shd w:val="clear" w:color="auto" w:fill="FFFFFF"/>
        </w:rPr>
        <w:t xml:space="preserve"> e Bravo, que passarão a ser detidos diretamente pelos Controladores e não mais por LM Participações e LM Gestão, as quais serão extintas; e (b) mudança de controle acionário direto da LM Serviços, que passará a ser controlada diretamente pela </w:t>
      </w:r>
      <w:r>
        <w:rPr>
          <w:rFonts w:ascii="Arial" w:hAnsi="Arial" w:cs="Arial"/>
          <w:bCs/>
          <w:color w:val="000000"/>
          <w:sz w:val="22"/>
          <w:szCs w:val="20"/>
          <w:shd w:val="clear" w:color="auto" w:fill="FFFFFF"/>
        </w:rPr>
        <w:lastRenderedPageBreak/>
        <w:t xml:space="preserve">Emissora e não mais por LM Participações e LM Gestão, as quais serão extintas, com a consequente aprovação prévia para a </w:t>
      </w:r>
      <w:r>
        <w:rPr>
          <w:rFonts w:ascii="Arial" w:hAnsi="Arial" w:cs="Arial"/>
          <w:color w:val="000000"/>
          <w:sz w:val="22"/>
          <w:szCs w:val="20"/>
          <w:shd w:val="clear" w:color="auto" w:fill="FFFFFF"/>
        </w:rPr>
        <w:t>não declaração do vencimento antecipado automático das Debêntures em razão dos itens (</w:t>
      </w:r>
      <w:proofErr w:type="spellStart"/>
      <w:r>
        <w:rPr>
          <w:rFonts w:ascii="Arial" w:hAnsi="Arial" w:cs="Arial"/>
          <w:color w:val="000000"/>
          <w:sz w:val="22"/>
          <w:szCs w:val="20"/>
          <w:shd w:val="clear" w:color="auto" w:fill="FFFFFF"/>
        </w:rPr>
        <w:t>viii</w:t>
      </w:r>
      <w:proofErr w:type="spellEnd"/>
      <w:r>
        <w:rPr>
          <w:rFonts w:ascii="Arial" w:hAnsi="Arial" w:cs="Arial"/>
          <w:color w:val="000000"/>
          <w:sz w:val="22"/>
          <w:szCs w:val="20"/>
          <w:shd w:val="clear" w:color="auto" w:fill="FFFFFF"/>
        </w:rPr>
        <w:t>) e (</w:t>
      </w:r>
      <w:proofErr w:type="spellStart"/>
      <w:r>
        <w:rPr>
          <w:rFonts w:ascii="Arial" w:hAnsi="Arial" w:cs="Arial"/>
          <w:color w:val="000000"/>
          <w:sz w:val="22"/>
          <w:szCs w:val="20"/>
          <w:shd w:val="clear" w:color="auto" w:fill="FFFFFF"/>
        </w:rPr>
        <w:t>ix</w:t>
      </w:r>
      <w:proofErr w:type="spellEnd"/>
      <w:r>
        <w:rPr>
          <w:rFonts w:ascii="Arial" w:hAnsi="Arial" w:cs="Arial"/>
          <w:color w:val="000000"/>
          <w:sz w:val="22"/>
          <w:szCs w:val="20"/>
          <w:shd w:val="clear" w:color="auto" w:fill="FFFFFF"/>
        </w:rPr>
        <w:t>) da Cláusula 5.4.1.2 da Escritura de Emissão, relativos, respectivamente, à mudança ou transferência de controle acionário e reorganização societária da Emissora;</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w:t>
      </w:r>
      <w:proofErr w:type="spellStart"/>
      <w:r>
        <w:rPr>
          <w:rFonts w:ascii="Arial" w:hAnsi="Arial" w:cs="Arial"/>
          <w:b/>
          <w:color w:val="000000"/>
          <w:sz w:val="22"/>
          <w:szCs w:val="20"/>
          <w:shd w:val="clear" w:color="auto" w:fill="FFFFFF"/>
        </w:rPr>
        <w:t>ii</w:t>
      </w:r>
      <w:proofErr w:type="spellEnd"/>
      <w:r>
        <w:rPr>
          <w:rFonts w:ascii="Arial" w:hAnsi="Arial" w:cs="Arial"/>
          <w:b/>
          <w:color w:val="000000"/>
          <w:sz w:val="22"/>
          <w:szCs w:val="20"/>
          <w:shd w:val="clear" w:color="auto" w:fill="FFFFFF"/>
        </w:rPr>
        <w:t>)</w:t>
      </w:r>
      <w:r>
        <w:rPr>
          <w:rFonts w:ascii="Arial" w:hAnsi="Arial" w:cs="Arial"/>
          <w:color w:val="000000"/>
          <w:sz w:val="22"/>
          <w:szCs w:val="20"/>
          <w:shd w:val="clear" w:color="auto" w:fill="FFFFFF"/>
        </w:rPr>
        <w:tab/>
        <w:t>tendo em vista a futura extinção do Fiador LM Participações, no âmbito da Operação, autorizar previamente a não declaração do vencimento antecipado automático das Debêntures, em razão da Cláusula 5.4.1.2, item (</w:t>
      </w:r>
      <w:proofErr w:type="spellStart"/>
      <w:r>
        <w:rPr>
          <w:rFonts w:ascii="Arial" w:hAnsi="Arial" w:cs="Arial"/>
          <w:color w:val="000000"/>
          <w:sz w:val="22"/>
          <w:szCs w:val="20"/>
          <w:shd w:val="clear" w:color="auto" w:fill="FFFFFF"/>
        </w:rPr>
        <w:t>xvi</w:t>
      </w:r>
      <w:proofErr w:type="spellEnd"/>
      <w:r>
        <w:rPr>
          <w:rFonts w:ascii="Arial" w:hAnsi="Arial" w:cs="Arial"/>
          <w:color w:val="000000"/>
          <w:sz w:val="22"/>
          <w:szCs w:val="20"/>
          <w:shd w:val="clear" w:color="auto" w:fill="FFFFFF"/>
        </w:rPr>
        <w:t xml:space="preserve">), da Escritura de Emissão, relativa à extinção, total ou parcial, ou rescisão das Garantias (conforme definido na Escritura de Emissão); </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w:t>
      </w:r>
      <w:proofErr w:type="spellStart"/>
      <w:r>
        <w:rPr>
          <w:rFonts w:ascii="Arial" w:hAnsi="Arial" w:cs="Arial"/>
          <w:b/>
          <w:color w:val="000000"/>
          <w:sz w:val="22"/>
          <w:szCs w:val="20"/>
          <w:shd w:val="clear" w:color="auto" w:fill="FFFFFF"/>
        </w:rPr>
        <w:t>iii</w:t>
      </w:r>
      <w:proofErr w:type="spellEnd"/>
      <w:r>
        <w:rPr>
          <w:rFonts w:ascii="Arial" w:hAnsi="Arial" w:cs="Arial"/>
          <w:b/>
          <w:color w:val="000000"/>
          <w:sz w:val="22"/>
          <w:szCs w:val="20"/>
          <w:shd w:val="clear" w:color="auto" w:fill="FFFFFF"/>
        </w:rPr>
        <w:t>)</w:t>
      </w:r>
      <w:r>
        <w:rPr>
          <w:rFonts w:ascii="Arial" w:hAnsi="Arial" w:cs="Arial"/>
          <w:color w:val="000000"/>
          <w:sz w:val="22"/>
          <w:szCs w:val="20"/>
          <w:shd w:val="clear" w:color="auto" w:fill="FFFFFF"/>
        </w:rPr>
        <w:tab/>
        <w:t>autorizar previamente a alteração da Escritura de Emissão de forma a excluir o Fiador LM Participações desse documento caso a Operação se concretize;</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w:t>
      </w:r>
      <w:proofErr w:type="spellStart"/>
      <w:r>
        <w:rPr>
          <w:rFonts w:ascii="Arial" w:hAnsi="Arial" w:cs="Arial"/>
          <w:b/>
          <w:color w:val="000000"/>
          <w:sz w:val="22"/>
          <w:szCs w:val="20"/>
          <w:shd w:val="clear" w:color="auto" w:fill="FFFFFF"/>
        </w:rPr>
        <w:t>iv</w:t>
      </w:r>
      <w:proofErr w:type="spellEnd"/>
      <w:r>
        <w:rPr>
          <w:rFonts w:ascii="Arial" w:hAnsi="Arial" w:cs="Arial"/>
          <w:b/>
          <w:color w:val="000000"/>
          <w:sz w:val="22"/>
          <w:szCs w:val="20"/>
          <w:shd w:val="clear" w:color="auto" w:fill="FFFFFF"/>
        </w:rPr>
        <w:t>)</w:t>
      </w:r>
      <w:r>
        <w:rPr>
          <w:rFonts w:ascii="Arial" w:hAnsi="Arial" w:cs="Arial"/>
          <w:color w:val="000000"/>
          <w:sz w:val="22"/>
          <w:szCs w:val="20"/>
          <w:shd w:val="clear" w:color="auto" w:fill="FFFFFF"/>
        </w:rPr>
        <w:tab/>
        <w:t>autorizar a não declaração do vencimento antecipado não automático das Debêntures, nos termos da Cláusula 5.4.1.4, item (</w:t>
      </w:r>
      <w:proofErr w:type="spellStart"/>
      <w:r>
        <w:rPr>
          <w:rFonts w:ascii="Arial" w:hAnsi="Arial" w:cs="Arial"/>
          <w:color w:val="000000"/>
          <w:sz w:val="22"/>
          <w:szCs w:val="20"/>
          <w:shd w:val="clear" w:color="auto" w:fill="FFFFFF"/>
        </w:rPr>
        <w:t>viii</w:t>
      </w:r>
      <w:proofErr w:type="spellEnd"/>
      <w:r>
        <w:rPr>
          <w:rFonts w:ascii="Arial" w:hAnsi="Arial" w:cs="Arial"/>
          <w:color w:val="000000"/>
          <w:sz w:val="22"/>
          <w:szCs w:val="20"/>
          <w:shd w:val="clear" w:color="auto" w:fill="FFFFFF"/>
        </w:rPr>
        <w:t>), da Escritura de Emissão, relativa à observância de Índice Financeiro (conforme definido na Escritura de Emissão) pela Emissora, bem como aprovar a mudança do Índice Financeiro de Dívida Líquida/EBITDA &lt; 3,0 para Dívida Líquida/EBITDA &lt;3,5; e</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(v)</w:t>
      </w:r>
      <w:r>
        <w:rPr>
          <w:rFonts w:ascii="Arial" w:hAnsi="Arial" w:cs="Arial"/>
          <w:color w:val="000000"/>
          <w:sz w:val="22"/>
          <w:szCs w:val="20"/>
          <w:shd w:val="clear" w:color="auto" w:fill="FFFFFF"/>
        </w:rPr>
        <w:tab/>
        <w:t xml:space="preserve">autorizar o Agente Fiduciário a praticar, em conjunto com a Companhia, no que couber, todos e quaisquer atos e tome todas as providências necessárias para dar efeito às deliberações aprovadas no âmbito da Assembleia Geral de Debenturistas, incluindo, sem limitação, a possibilidade de celebração e formalização de aditamento à Escritura de Emissão. </w:t>
      </w:r>
    </w:p>
    <w:p>
      <w:pPr>
        <w:pStyle w:val="Default"/>
        <w:spacing w:line="340" w:lineRule="exact"/>
        <w:jc w:val="both"/>
        <w:rPr>
          <w:rFonts w:ascii="Arial" w:hAnsi="Arial" w:cs="Arial"/>
          <w:b/>
          <w:sz w:val="22"/>
          <w:szCs w:val="20"/>
          <w:shd w:val="clear" w:color="auto" w:fill="FFFFFF"/>
        </w:rPr>
      </w:pPr>
    </w:p>
    <w:p>
      <w:pPr>
        <w:pStyle w:val="Default"/>
        <w:spacing w:line="340" w:lineRule="exact"/>
        <w:jc w:val="both"/>
        <w:rPr>
          <w:rFonts w:ascii="Arial" w:hAnsi="Arial" w:cs="Arial"/>
          <w:sz w:val="22"/>
          <w:szCs w:val="22"/>
        </w:rPr>
      </w:pPr>
      <w:r>
        <w:rPr>
          <w:rFonts w:ascii="Arial" w:hAnsi="Arial" w:cs="Arial"/>
          <w:b/>
          <w:bCs/>
          <w:color w:val="auto"/>
          <w:sz w:val="22"/>
          <w:szCs w:val="22"/>
        </w:rPr>
        <w:t>VI – Deliberações</w:t>
      </w:r>
      <w:r>
        <w:rPr>
          <w:rFonts w:ascii="Arial" w:hAnsi="Arial" w:cs="Arial"/>
          <w:bCs/>
          <w:color w:val="auto"/>
          <w:sz w:val="22"/>
          <w:szCs w:val="22"/>
        </w:rPr>
        <w:t xml:space="preserve">: </w:t>
      </w:r>
      <w:r>
        <w:rPr>
          <w:rFonts w:ascii="Arial" w:hAnsi="Arial" w:cs="Arial"/>
          <w:sz w:val="22"/>
          <w:szCs w:val="22"/>
        </w:rPr>
        <w:t>Instalada validamente a Assembleia e após a discussão das matérias da Ordem do Dia, foram aprovadas:</w:t>
      </w:r>
    </w:p>
    <w:p>
      <w:pPr>
        <w:pStyle w:val="Default"/>
        <w:spacing w:line="340" w:lineRule="exact"/>
        <w:jc w:val="both"/>
        <w:rPr>
          <w:rFonts w:ascii="Arial" w:hAnsi="Arial" w:cs="Arial"/>
          <w:sz w:val="22"/>
          <w:szCs w:val="22"/>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w:t>
      </w:r>
      <w:r>
        <w:rPr>
          <w:rFonts w:ascii="Arial" w:hAnsi="Arial" w:cs="Arial"/>
          <w:b/>
          <w:color w:val="000000"/>
          <w:sz w:val="22"/>
          <w:szCs w:val="20"/>
          <w:shd w:val="clear" w:color="auto" w:fill="FFFFFF"/>
        </w:rPr>
        <w:tab/>
      </w:r>
      <w:r>
        <w:rPr>
          <w:rFonts w:ascii="Arial" w:hAnsi="Arial" w:cs="Arial"/>
          <w:sz w:val="22"/>
          <w:szCs w:val="22"/>
        </w:rPr>
        <w:t xml:space="preserve">com o voto favorável de Debenturistas representando 100,00% (cem por cento) das Debêntures em Circulação, </w:t>
      </w:r>
      <w:r>
        <w:rPr>
          <w:rFonts w:ascii="Arial" w:hAnsi="Arial" w:cs="Arial"/>
          <w:color w:val="000000"/>
          <w:sz w:val="22"/>
          <w:szCs w:val="20"/>
          <w:shd w:val="clear" w:color="auto" w:fill="FFFFFF"/>
        </w:rPr>
        <w:t xml:space="preserve">a </w:t>
      </w:r>
      <w:r>
        <w:rPr>
          <w:rFonts w:ascii="Arial" w:hAnsi="Arial" w:cs="Arial"/>
          <w:bCs/>
          <w:color w:val="000000"/>
          <w:sz w:val="22"/>
          <w:szCs w:val="20"/>
          <w:shd w:val="clear" w:color="auto" w:fill="FFFFFF"/>
        </w:rPr>
        <w:t xml:space="preserve">futura mudança de controle acionário informada acima em decorrência da Operação, qual seja (a) a mudança de controle acionário direto da Emissora e dos Fiadores </w:t>
      </w:r>
      <w:proofErr w:type="spellStart"/>
      <w:r>
        <w:rPr>
          <w:rFonts w:ascii="Arial" w:hAnsi="Arial" w:cs="Arial"/>
          <w:bCs/>
          <w:color w:val="000000"/>
          <w:sz w:val="22"/>
          <w:szCs w:val="20"/>
          <w:shd w:val="clear" w:color="auto" w:fill="FFFFFF"/>
        </w:rPr>
        <w:t>AuraBrasil</w:t>
      </w:r>
      <w:proofErr w:type="spellEnd"/>
      <w:r>
        <w:rPr>
          <w:rFonts w:ascii="Arial" w:hAnsi="Arial" w:cs="Arial"/>
          <w:bCs/>
          <w:color w:val="000000"/>
          <w:sz w:val="22"/>
          <w:szCs w:val="20"/>
          <w:shd w:val="clear" w:color="auto" w:fill="FFFFFF"/>
        </w:rPr>
        <w:t xml:space="preserve"> e Bravo, que passarão a ser detidos diretamente pelos Controladores e não mais por LM Participações e LM Gestão, as quais serão extintas; e (b) mudança de controle acionário direto da LM Serviços, que passará a ser controlada diretamente pela Emissora e não mais por LM Participações e LM Gestão, as </w:t>
      </w:r>
      <w:r>
        <w:rPr>
          <w:rFonts w:ascii="Arial" w:hAnsi="Arial" w:cs="Arial"/>
          <w:bCs/>
          <w:color w:val="000000"/>
          <w:sz w:val="22"/>
          <w:szCs w:val="20"/>
          <w:shd w:val="clear" w:color="auto" w:fill="FFFFFF"/>
        </w:rPr>
        <w:lastRenderedPageBreak/>
        <w:t xml:space="preserve">quais serão extintas, com a consequente aprovação prévia para a </w:t>
      </w:r>
      <w:r>
        <w:rPr>
          <w:rFonts w:ascii="Arial" w:hAnsi="Arial" w:cs="Arial"/>
          <w:color w:val="000000"/>
          <w:sz w:val="22"/>
          <w:szCs w:val="20"/>
          <w:shd w:val="clear" w:color="auto" w:fill="FFFFFF"/>
        </w:rPr>
        <w:t>não declaração do vencimento antecipado automático das Debêntures em razão dos itens (</w:t>
      </w:r>
      <w:proofErr w:type="spellStart"/>
      <w:r>
        <w:rPr>
          <w:rFonts w:ascii="Arial" w:hAnsi="Arial" w:cs="Arial"/>
          <w:color w:val="000000"/>
          <w:sz w:val="22"/>
          <w:szCs w:val="20"/>
          <w:shd w:val="clear" w:color="auto" w:fill="FFFFFF"/>
        </w:rPr>
        <w:t>viii</w:t>
      </w:r>
      <w:proofErr w:type="spellEnd"/>
      <w:r>
        <w:rPr>
          <w:rFonts w:ascii="Arial" w:hAnsi="Arial" w:cs="Arial"/>
          <w:color w:val="000000"/>
          <w:sz w:val="22"/>
          <w:szCs w:val="20"/>
          <w:shd w:val="clear" w:color="auto" w:fill="FFFFFF"/>
        </w:rPr>
        <w:t>) e (</w:t>
      </w:r>
      <w:proofErr w:type="spellStart"/>
      <w:r>
        <w:rPr>
          <w:rFonts w:ascii="Arial" w:hAnsi="Arial" w:cs="Arial"/>
          <w:color w:val="000000"/>
          <w:sz w:val="22"/>
          <w:szCs w:val="20"/>
          <w:shd w:val="clear" w:color="auto" w:fill="FFFFFF"/>
        </w:rPr>
        <w:t>ix</w:t>
      </w:r>
      <w:proofErr w:type="spellEnd"/>
      <w:r>
        <w:rPr>
          <w:rFonts w:ascii="Arial" w:hAnsi="Arial" w:cs="Arial"/>
          <w:color w:val="000000"/>
          <w:sz w:val="22"/>
          <w:szCs w:val="20"/>
          <w:shd w:val="clear" w:color="auto" w:fill="FFFFFF"/>
        </w:rPr>
        <w:t>) da Cláusula 5.4.1.2 da Escritura de Emissão, relativos, respectivamente, à mudança ou transferência de controle acionário e reorganização societária da Emissora;</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w:t>
      </w:r>
      <w:proofErr w:type="spellStart"/>
      <w:r>
        <w:rPr>
          <w:rFonts w:ascii="Arial" w:hAnsi="Arial" w:cs="Arial"/>
          <w:b/>
          <w:color w:val="000000"/>
          <w:sz w:val="22"/>
          <w:szCs w:val="20"/>
          <w:shd w:val="clear" w:color="auto" w:fill="FFFFFF"/>
        </w:rPr>
        <w:t>ii</w:t>
      </w:r>
      <w:proofErr w:type="spellEnd"/>
      <w:r>
        <w:rPr>
          <w:rFonts w:ascii="Arial" w:hAnsi="Arial" w:cs="Arial"/>
          <w:b/>
          <w:color w:val="000000"/>
          <w:sz w:val="22"/>
          <w:szCs w:val="20"/>
          <w:shd w:val="clear" w:color="auto" w:fill="FFFFFF"/>
        </w:rPr>
        <w:t>)</w:t>
      </w:r>
      <w:r>
        <w:rPr>
          <w:rFonts w:ascii="Arial" w:hAnsi="Arial" w:cs="Arial"/>
          <w:color w:val="000000"/>
          <w:sz w:val="22"/>
          <w:szCs w:val="20"/>
          <w:shd w:val="clear" w:color="auto" w:fill="FFFFFF"/>
        </w:rPr>
        <w:tab/>
      </w:r>
      <w:r>
        <w:rPr>
          <w:rFonts w:ascii="Arial" w:hAnsi="Arial" w:cs="Arial"/>
          <w:sz w:val="22"/>
          <w:szCs w:val="22"/>
        </w:rPr>
        <w:t>com o voto favorável de Debenturistas representando 100,00% (cem por cento) das Debêntures em Circulação</w:t>
      </w:r>
      <w:r>
        <w:rPr>
          <w:rFonts w:ascii="Arial" w:hAnsi="Arial" w:cs="Arial"/>
          <w:color w:val="000000"/>
          <w:sz w:val="22"/>
          <w:szCs w:val="20"/>
          <w:shd w:val="clear" w:color="auto" w:fill="FFFFFF"/>
        </w:rPr>
        <w:t>, a autorização prévia da não declaração do vencimento antecipado automático das Debêntures, em razão da Cláusula 5.4.1.2, item (</w:t>
      </w:r>
      <w:proofErr w:type="spellStart"/>
      <w:r>
        <w:rPr>
          <w:rFonts w:ascii="Arial" w:hAnsi="Arial" w:cs="Arial"/>
          <w:color w:val="000000"/>
          <w:sz w:val="22"/>
          <w:szCs w:val="20"/>
          <w:shd w:val="clear" w:color="auto" w:fill="FFFFFF"/>
        </w:rPr>
        <w:t>xvi</w:t>
      </w:r>
      <w:proofErr w:type="spellEnd"/>
      <w:r>
        <w:rPr>
          <w:rFonts w:ascii="Arial" w:hAnsi="Arial" w:cs="Arial"/>
          <w:color w:val="000000"/>
          <w:sz w:val="22"/>
          <w:szCs w:val="20"/>
          <w:shd w:val="clear" w:color="auto" w:fill="FFFFFF"/>
        </w:rPr>
        <w:t xml:space="preserve">), da Escritura de Emissão, relativa à extinção, total ou parcial, ou rescisão das Garantias (conforme definido na Escritura de Emissão), tendo em vista a futura extinção do Fiador LM Participações no âmbito da Operação; </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sz w:val="22"/>
          <w:szCs w:val="20"/>
          <w:shd w:val="clear" w:color="auto" w:fill="FFFFFF"/>
        </w:rPr>
      </w:pPr>
      <w:r>
        <w:rPr>
          <w:rFonts w:ascii="Arial" w:hAnsi="Arial" w:cs="Arial"/>
          <w:b/>
          <w:sz w:val="22"/>
          <w:szCs w:val="20"/>
          <w:shd w:val="clear" w:color="auto" w:fill="FFFFFF"/>
        </w:rPr>
        <w:t>(</w:t>
      </w:r>
      <w:proofErr w:type="spellStart"/>
      <w:r>
        <w:rPr>
          <w:rFonts w:ascii="Arial" w:hAnsi="Arial" w:cs="Arial"/>
          <w:b/>
          <w:sz w:val="22"/>
          <w:szCs w:val="20"/>
          <w:shd w:val="clear" w:color="auto" w:fill="FFFFFF"/>
        </w:rPr>
        <w:t>iii</w:t>
      </w:r>
      <w:proofErr w:type="spellEnd"/>
      <w:r>
        <w:rPr>
          <w:rFonts w:ascii="Arial" w:hAnsi="Arial" w:cs="Arial"/>
          <w:b/>
          <w:sz w:val="22"/>
          <w:szCs w:val="20"/>
          <w:shd w:val="clear" w:color="auto" w:fill="FFFFFF"/>
        </w:rPr>
        <w:t>)</w:t>
      </w:r>
      <w:r>
        <w:rPr>
          <w:rFonts w:ascii="Arial" w:hAnsi="Arial" w:cs="Arial"/>
          <w:sz w:val="22"/>
          <w:szCs w:val="20"/>
          <w:shd w:val="clear" w:color="auto" w:fill="FFFFFF"/>
        </w:rPr>
        <w:tab/>
      </w:r>
      <w:r>
        <w:rPr>
          <w:rFonts w:ascii="Arial" w:hAnsi="Arial" w:cs="Arial"/>
          <w:sz w:val="22"/>
          <w:szCs w:val="22"/>
        </w:rPr>
        <w:t>com o voto favorável de Debenturistas representando 100,00% (cem por cento) das Debêntures em Circulação</w:t>
      </w:r>
      <w:r>
        <w:rPr>
          <w:rFonts w:ascii="Arial" w:hAnsi="Arial" w:cs="Arial"/>
          <w:sz w:val="22"/>
          <w:szCs w:val="20"/>
          <w:shd w:val="clear" w:color="auto" w:fill="FFFFFF"/>
        </w:rPr>
        <w:t>, a autorização prévia para a alteração da Escritura de Emissão de forma a excluir o Fiador LM Participações desse documento, estando a plena eficácia desta deliberação condicionada à conclusão da Operação (“</w:t>
      </w:r>
      <w:r>
        <w:rPr>
          <w:rFonts w:ascii="Arial" w:hAnsi="Arial" w:cs="Arial"/>
          <w:sz w:val="22"/>
          <w:szCs w:val="20"/>
          <w:u w:val="single"/>
          <w:shd w:val="clear" w:color="auto" w:fill="FFFFFF"/>
        </w:rPr>
        <w:t>Condição Suspensiva</w:t>
      </w:r>
      <w:r>
        <w:rPr>
          <w:rFonts w:ascii="Arial" w:hAnsi="Arial" w:cs="Arial"/>
          <w:sz w:val="22"/>
          <w:szCs w:val="20"/>
          <w:shd w:val="clear" w:color="auto" w:fill="FFFFFF"/>
        </w:rPr>
        <w:t>”)</w:t>
      </w:r>
      <w:r>
        <w:rPr>
          <w:rFonts w:ascii="Arial" w:hAnsi="Arial" w:cs="Arial"/>
          <w:bCs/>
          <w:sz w:val="22"/>
          <w:szCs w:val="20"/>
          <w:shd w:val="clear" w:color="auto" w:fill="FFFFFF"/>
        </w:rPr>
        <w:t>, nos termos do artigo 125 da Lei nº 10.406, de 10 de janeiro de 2002, conforme alterada (“</w:t>
      </w:r>
      <w:r>
        <w:rPr>
          <w:rFonts w:ascii="Arial" w:hAnsi="Arial" w:cs="Arial"/>
          <w:bCs/>
          <w:sz w:val="22"/>
          <w:szCs w:val="20"/>
          <w:u w:val="single"/>
          <w:shd w:val="clear" w:color="auto" w:fill="FFFFFF"/>
        </w:rPr>
        <w:t>Código Civil</w:t>
      </w:r>
      <w:r>
        <w:rPr>
          <w:rFonts w:ascii="Arial" w:hAnsi="Arial" w:cs="Arial"/>
          <w:bCs/>
          <w:sz w:val="22"/>
          <w:szCs w:val="20"/>
          <w:shd w:val="clear" w:color="auto" w:fill="FFFFFF"/>
        </w:rPr>
        <w:t>”)</w:t>
      </w:r>
      <w:r>
        <w:rPr>
          <w:rFonts w:ascii="Arial" w:hAnsi="Arial" w:cs="Arial"/>
          <w:sz w:val="22"/>
          <w:szCs w:val="20"/>
          <w:shd w:val="clear" w:color="auto" w:fill="FFFFFF"/>
        </w:rPr>
        <w:t xml:space="preserve">. Dessa forma, uma vez implementada a Condição Suspensiva, a Escritura de Emissão passará a vigorar, automaticamente, com a redação constante do </w:t>
      </w:r>
      <w:r>
        <w:rPr>
          <w:rFonts w:ascii="Arial" w:hAnsi="Arial" w:cs="Arial"/>
          <w:b/>
          <w:sz w:val="22"/>
          <w:szCs w:val="20"/>
          <w:shd w:val="clear" w:color="auto" w:fill="FFFFFF"/>
        </w:rPr>
        <w:t>Anexo II</w:t>
      </w:r>
      <w:r>
        <w:rPr>
          <w:rFonts w:ascii="Arial" w:hAnsi="Arial" w:cs="Arial"/>
          <w:sz w:val="22"/>
          <w:szCs w:val="20"/>
          <w:shd w:val="clear" w:color="auto" w:fill="FFFFFF"/>
        </w:rPr>
        <w:t>, sem a necessidade de quaisquer aprovações adicionais;</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w:t>
      </w:r>
      <w:proofErr w:type="spellStart"/>
      <w:r>
        <w:rPr>
          <w:rFonts w:ascii="Arial" w:hAnsi="Arial" w:cs="Arial"/>
          <w:b/>
          <w:color w:val="000000"/>
          <w:sz w:val="22"/>
          <w:szCs w:val="20"/>
          <w:shd w:val="clear" w:color="auto" w:fill="FFFFFF"/>
        </w:rPr>
        <w:t>iv</w:t>
      </w:r>
      <w:proofErr w:type="spellEnd"/>
      <w:r>
        <w:rPr>
          <w:rFonts w:ascii="Arial" w:hAnsi="Arial" w:cs="Arial"/>
          <w:b/>
          <w:color w:val="000000"/>
          <w:sz w:val="22"/>
          <w:szCs w:val="20"/>
          <w:shd w:val="clear" w:color="auto" w:fill="FFFFFF"/>
        </w:rPr>
        <w:t>)</w:t>
      </w:r>
      <w:r>
        <w:rPr>
          <w:rFonts w:ascii="Arial" w:hAnsi="Arial" w:cs="Arial"/>
          <w:color w:val="000000"/>
          <w:sz w:val="22"/>
          <w:szCs w:val="20"/>
          <w:shd w:val="clear" w:color="auto" w:fill="FFFFFF"/>
        </w:rPr>
        <w:tab/>
      </w:r>
      <w:r>
        <w:rPr>
          <w:rFonts w:ascii="Arial" w:hAnsi="Arial" w:cs="Arial"/>
          <w:sz w:val="22"/>
          <w:szCs w:val="22"/>
        </w:rPr>
        <w:t>com o voto favorável de Debenturistas representando 99,09% (noventa e nove inteiros e nove centésimos por cento) das Debêntures em Circulação</w:t>
      </w:r>
      <w:r>
        <w:rPr>
          <w:rFonts w:ascii="Arial" w:hAnsi="Arial" w:cs="Arial"/>
          <w:color w:val="000000"/>
          <w:sz w:val="22"/>
          <w:szCs w:val="20"/>
          <w:shd w:val="clear" w:color="auto" w:fill="FFFFFF"/>
        </w:rPr>
        <w:t>, a não declaração do vencimento antecipado não automático das Debêntures, nos termos da Cláusula 5.4.1.4, item (</w:t>
      </w:r>
      <w:proofErr w:type="spellStart"/>
      <w:r>
        <w:rPr>
          <w:rFonts w:ascii="Arial" w:hAnsi="Arial" w:cs="Arial"/>
          <w:color w:val="000000"/>
          <w:sz w:val="22"/>
          <w:szCs w:val="20"/>
          <w:shd w:val="clear" w:color="auto" w:fill="FFFFFF"/>
        </w:rPr>
        <w:t>viii</w:t>
      </w:r>
      <w:proofErr w:type="spellEnd"/>
      <w:r>
        <w:rPr>
          <w:rFonts w:ascii="Arial" w:hAnsi="Arial" w:cs="Arial"/>
          <w:color w:val="000000"/>
          <w:sz w:val="22"/>
          <w:szCs w:val="20"/>
          <w:shd w:val="clear" w:color="auto" w:fill="FFFFFF"/>
        </w:rPr>
        <w:t>), da Escritura de Emissão, relativa à observância de Índice Financeiro (conforme definido na Escritura de Emissão) pela Emissora. Ato contínuo, foi aprovada a alteração do Índice Financeiro de Dívida Líquida/EBITDA &lt; 3,0 para Dívida Líquida/EBITDA &lt; 3,5, com a consequente alteração da redação do item (</w:t>
      </w:r>
      <w:proofErr w:type="spellStart"/>
      <w:r>
        <w:rPr>
          <w:rFonts w:ascii="Arial" w:hAnsi="Arial" w:cs="Arial"/>
          <w:color w:val="000000"/>
          <w:sz w:val="22"/>
          <w:szCs w:val="20"/>
          <w:shd w:val="clear" w:color="auto" w:fill="FFFFFF"/>
        </w:rPr>
        <w:t>viii</w:t>
      </w:r>
      <w:proofErr w:type="spellEnd"/>
      <w:r>
        <w:rPr>
          <w:rFonts w:ascii="Arial" w:hAnsi="Arial" w:cs="Arial"/>
          <w:color w:val="000000"/>
          <w:sz w:val="22"/>
          <w:szCs w:val="20"/>
          <w:shd w:val="clear" w:color="auto" w:fill="FFFFFF"/>
        </w:rPr>
        <w:t>) da Cláusula 5.4.1.4 da Escritura de Emissão, o qual passará a vigorar desde já com a seguinte redação:</w:t>
      </w:r>
    </w:p>
    <w:p>
      <w:pPr>
        <w:pStyle w:val="Estilo"/>
        <w:spacing w:line="340" w:lineRule="exact"/>
        <w:jc w:val="both"/>
        <w:rPr>
          <w:rFonts w:ascii="Arial" w:hAnsi="Arial" w:cs="Arial"/>
          <w:color w:val="000000"/>
          <w:sz w:val="22"/>
          <w:szCs w:val="20"/>
          <w:shd w:val="clear" w:color="auto" w:fill="FFFFFF"/>
        </w:rPr>
      </w:pPr>
    </w:p>
    <w:p>
      <w:pPr>
        <w:widowControl w:val="0"/>
        <w:spacing w:line="340" w:lineRule="exact"/>
        <w:ind w:left="720"/>
        <w:jc w:val="both"/>
        <w:rPr>
          <w:rFonts w:ascii="Arial" w:hAnsi="Arial" w:cs="Arial"/>
          <w:i/>
          <w:sz w:val="22"/>
          <w:szCs w:val="22"/>
        </w:rPr>
      </w:pPr>
      <w:r>
        <w:rPr>
          <w:rFonts w:ascii="Arial" w:hAnsi="Arial" w:cs="Arial"/>
          <w:sz w:val="22"/>
          <w:szCs w:val="22"/>
        </w:rPr>
        <w:t>“</w:t>
      </w:r>
      <w:r>
        <w:rPr>
          <w:rFonts w:ascii="Arial" w:hAnsi="Arial" w:cs="Arial"/>
          <w:b/>
          <w:i/>
          <w:sz w:val="22"/>
          <w:szCs w:val="22"/>
        </w:rPr>
        <w:t>5.4.1.4</w:t>
      </w:r>
      <w:r>
        <w:rPr>
          <w:rFonts w:ascii="Arial" w:hAnsi="Arial" w:cs="Arial"/>
          <w:i/>
          <w:sz w:val="22"/>
          <w:szCs w:val="22"/>
        </w:rPr>
        <w:t xml:space="preserve"> Constituem Hipóteses de Vencimento Antecipado não automáticos que acarretam o vencimento não automático das obrigações decorrentes das Debêntures, aplicando-se o disposto na Cláusula 5.4.1.5 abaixo, qualquer dos eventos previstos em lei e/ou qualquer das seguintes Hipóteses de Vencimento Antecipado:</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i/>
          <w:sz w:val="22"/>
          <w:szCs w:val="22"/>
        </w:rPr>
      </w:pPr>
      <w:r>
        <w:rPr>
          <w:rFonts w:ascii="Arial" w:hAnsi="Arial" w:cs="Arial"/>
          <w:i/>
          <w:sz w:val="22"/>
          <w:szCs w:val="22"/>
        </w:rPr>
        <w:lastRenderedPageBreak/>
        <w:t>(...)</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i/>
          <w:sz w:val="22"/>
          <w:szCs w:val="22"/>
          <w:lang w:val="x-none"/>
        </w:rPr>
      </w:pPr>
      <w:r>
        <w:rPr>
          <w:rFonts w:ascii="Arial" w:hAnsi="Arial" w:cs="Arial"/>
          <w:i/>
          <w:sz w:val="22"/>
          <w:szCs w:val="22"/>
          <w:lang w:val="x-none"/>
        </w:rPr>
        <w:t>(</w:t>
      </w:r>
      <w:proofErr w:type="spellStart"/>
      <w:r>
        <w:rPr>
          <w:rFonts w:ascii="Arial" w:hAnsi="Arial" w:cs="Arial"/>
          <w:i/>
          <w:sz w:val="22"/>
          <w:szCs w:val="22"/>
          <w:lang w:val="x-none"/>
        </w:rPr>
        <w:t>viii</w:t>
      </w:r>
      <w:proofErr w:type="spellEnd"/>
      <w:r>
        <w:rPr>
          <w:rFonts w:ascii="Arial" w:hAnsi="Arial" w:cs="Arial"/>
          <w:i/>
          <w:sz w:val="22"/>
          <w:szCs w:val="22"/>
          <w:lang w:val="x-none"/>
        </w:rPr>
        <w:t>) descumprimento do seguinte índice financeiro ("</w:t>
      </w:r>
      <w:r>
        <w:rPr>
          <w:rFonts w:ascii="Arial" w:hAnsi="Arial" w:cs="Arial"/>
          <w:i/>
          <w:sz w:val="22"/>
          <w:szCs w:val="22"/>
          <w:u w:val="single"/>
          <w:lang w:val="x-none"/>
        </w:rPr>
        <w:t>Índice Financeiro</w:t>
      </w:r>
      <w:r>
        <w:rPr>
          <w:rFonts w:ascii="Arial" w:hAnsi="Arial" w:cs="Arial"/>
          <w:i/>
          <w:sz w:val="22"/>
          <w:szCs w:val="22"/>
          <w:lang w:val="x-none"/>
        </w:rPr>
        <w:t>"), auferido</w:t>
      </w:r>
      <w:r>
        <w:rPr>
          <w:rFonts w:ascii="Arial" w:hAnsi="Arial" w:cs="Arial"/>
          <w:i/>
          <w:sz w:val="22"/>
          <w:szCs w:val="22"/>
        </w:rPr>
        <w:t xml:space="preserve"> </w:t>
      </w:r>
      <w:r>
        <w:rPr>
          <w:rFonts w:ascii="Arial" w:hAnsi="Arial" w:cs="Arial"/>
          <w:i/>
          <w:sz w:val="22"/>
          <w:szCs w:val="22"/>
          <w:lang w:val="x-none"/>
        </w:rPr>
        <w:t>anualmente, pelos auditores independentes contratados pela Emissora e pela LM</w:t>
      </w:r>
      <w:r>
        <w:rPr>
          <w:rFonts w:ascii="Arial" w:hAnsi="Arial" w:cs="Arial"/>
          <w:i/>
          <w:sz w:val="22"/>
          <w:szCs w:val="22"/>
        </w:rPr>
        <w:t xml:space="preserve"> </w:t>
      </w:r>
      <w:r>
        <w:rPr>
          <w:rFonts w:ascii="Arial" w:hAnsi="Arial" w:cs="Arial"/>
          <w:i/>
          <w:sz w:val="22"/>
          <w:szCs w:val="22"/>
          <w:lang w:val="x-none"/>
        </w:rPr>
        <w:t>Transportes, e verificados pelo Agente Fiduciário, com base nas demonstrações</w:t>
      </w:r>
      <w:r>
        <w:rPr>
          <w:rFonts w:ascii="Arial" w:hAnsi="Arial" w:cs="Arial"/>
          <w:i/>
          <w:sz w:val="22"/>
          <w:szCs w:val="22"/>
        </w:rPr>
        <w:t xml:space="preserve"> </w:t>
      </w:r>
      <w:r>
        <w:rPr>
          <w:rFonts w:ascii="Arial" w:hAnsi="Arial" w:cs="Arial"/>
          <w:i/>
          <w:sz w:val="22"/>
          <w:szCs w:val="22"/>
          <w:lang w:val="x-none"/>
        </w:rPr>
        <w:t>financeiras combinadas auditadas da Emissora e da LM Transportes sendo que a</w:t>
      </w:r>
      <w:r>
        <w:rPr>
          <w:rFonts w:ascii="Arial" w:hAnsi="Arial" w:cs="Arial"/>
          <w:i/>
          <w:sz w:val="22"/>
          <w:szCs w:val="22"/>
        </w:rPr>
        <w:t xml:space="preserve"> </w:t>
      </w:r>
      <w:r>
        <w:rPr>
          <w:rFonts w:ascii="Arial" w:hAnsi="Arial" w:cs="Arial"/>
          <w:i/>
          <w:sz w:val="22"/>
          <w:szCs w:val="22"/>
          <w:lang w:val="x-none"/>
        </w:rPr>
        <w:t>primeira verificação deverá ocorrer com base nas demonstrações financeiras de 31</w:t>
      </w:r>
      <w:r>
        <w:rPr>
          <w:rFonts w:ascii="Arial" w:hAnsi="Arial" w:cs="Arial"/>
          <w:i/>
          <w:sz w:val="22"/>
          <w:szCs w:val="22"/>
        </w:rPr>
        <w:t xml:space="preserve"> </w:t>
      </w:r>
      <w:r>
        <w:rPr>
          <w:rFonts w:ascii="Arial" w:hAnsi="Arial" w:cs="Arial"/>
          <w:i/>
          <w:sz w:val="22"/>
          <w:szCs w:val="22"/>
          <w:lang w:val="x-none"/>
        </w:rPr>
        <w:t>de dezembro de 2018:</w:t>
      </w:r>
    </w:p>
    <w:p>
      <w:pPr>
        <w:widowControl w:val="0"/>
        <w:spacing w:line="340" w:lineRule="exact"/>
        <w:ind w:left="720"/>
        <w:jc w:val="both"/>
        <w:rPr>
          <w:rFonts w:ascii="Arial" w:hAnsi="Arial" w:cs="Arial"/>
          <w:i/>
          <w:sz w:val="22"/>
          <w:szCs w:val="22"/>
          <w:lang w:val="x-none"/>
        </w:rPr>
      </w:pPr>
    </w:p>
    <w:p>
      <w:pPr>
        <w:widowControl w:val="0"/>
        <w:spacing w:line="340" w:lineRule="exact"/>
        <w:ind w:left="720"/>
        <w:jc w:val="both"/>
        <w:rPr>
          <w:rFonts w:ascii="Arial" w:hAnsi="Arial" w:cs="Arial"/>
          <w:b/>
          <w:i/>
          <w:sz w:val="22"/>
          <w:szCs w:val="22"/>
        </w:rPr>
      </w:pPr>
      <w:r>
        <w:rPr>
          <w:rFonts w:ascii="Arial" w:hAnsi="Arial" w:cs="Arial"/>
          <w:i/>
          <w:sz w:val="22"/>
          <w:szCs w:val="22"/>
          <w:lang w:val="x-none"/>
        </w:rPr>
        <w:t xml:space="preserve">(a) Dívida Líquida/EBITDA: menor ou igual a </w:t>
      </w:r>
      <w:r>
        <w:rPr>
          <w:rFonts w:ascii="Arial" w:hAnsi="Arial" w:cs="Arial"/>
          <w:i/>
          <w:sz w:val="22"/>
          <w:szCs w:val="22"/>
        </w:rPr>
        <w:t xml:space="preserve">3,0, sendo que a partir da verificação com base nas demonstrações financeiras de 31 de dezembro de 2020 até a Data de Vencimento, deverá ser menor ou igual a </w:t>
      </w:r>
      <w:r>
        <w:rPr>
          <w:rFonts w:ascii="Arial" w:hAnsi="Arial" w:cs="Arial"/>
          <w:i/>
          <w:sz w:val="22"/>
          <w:szCs w:val="22"/>
          <w:lang w:val="x-none"/>
        </w:rPr>
        <w:t>3,</w:t>
      </w:r>
      <w:r>
        <w:rPr>
          <w:rFonts w:ascii="Arial" w:hAnsi="Arial" w:cs="Arial"/>
          <w:i/>
          <w:sz w:val="22"/>
          <w:szCs w:val="22"/>
        </w:rPr>
        <w:t>5</w:t>
      </w:r>
      <w:r>
        <w:rPr>
          <w:rFonts w:ascii="Arial" w:hAnsi="Arial" w:cs="Arial"/>
          <w:i/>
          <w:sz w:val="22"/>
          <w:szCs w:val="22"/>
          <w:lang w:val="x-none"/>
        </w:rPr>
        <w:t>, sendo</w:t>
      </w:r>
      <w:r>
        <w:rPr>
          <w:rFonts w:ascii="Arial" w:hAnsi="Arial" w:cs="Arial"/>
          <w:i/>
          <w:sz w:val="22"/>
          <w:szCs w:val="22"/>
        </w:rPr>
        <w:t xml:space="preserve"> </w:t>
      </w:r>
      <w:r>
        <w:rPr>
          <w:rFonts w:ascii="Arial" w:hAnsi="Arial" w:cs="Arial"/>
          <w:i/>
          <w:sz w:val="22"/>
          <w:szCs w:val="22"/>
          <w:lang w:val="x-none"/>
        </w:rPr>
        <w:t>que:</w:t>
      </w:r>
      <w:r>
        <w:rPr>
          <w:rFonts w:ascii="Arial" w:hAnsi="Arial" w:cs="Arial"/>
          <w:i/>
          <w:sz w:val="22"/>
          <w:szCs w:val="22"/>
        </w:rPr>
        <w:t xml:space="preserve"> </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i/>
          <w:sz w:val="22"/>
          <w:szCs w:val="22"/>
        </w:rPr>
      </w:pPr>
      <w:r>
        <w:rPr>
          <w:rFonts w:ascii="Arial" w:hAnsi="Arial" w:cs="Arial"/>
          <w:i/>
          <w:sz w:val="22"/>
          <w:szCs w:val="22"/>
          <w:lang w:val="x-none"/>
        </w:rPr>
        <w:t>"</w:t>
      </w:r>
      <w:r>
        <w:rPr>
          <w:rFonts w:ascii="Arial" w:hAnsi="Arial" w:cs="Arial"/>
          <w:i/>
          <w:sz w:val="22"/>
          <w:szCs w:val="22"/>
          <w:u w:val="single"/>
          <w:lang w:val="x-none"/>
        </w:rPr>
        <w:t>Dívida Líquida</w:t>
      </w:r>
      <w:r>
        <w:rPr>
          <w:rFonts w:ascii="Arial" w:hAnsi="Arial" w:cs="Arial"/>
          <w:i/>
          <w:sz w:val="22"/>
          <w:szCs w:val="22"/>
          <w:lang w:val="x-none"/>
        </w:rPr>
        <w:t>" significa, com base nas demonstrações financeiras</w:t>
      </w:r>
      <w:r>
        <w:rPr>
          <w:rFonts w:ascii="Arial" w:hAnsi="Arial" w:cs="Arial"/>
          <w:i/>
          <w:sz w:val="22"/>
          <w:szCs w:val="22"/>
        </w:rPr>
        <w:t xml:space="preserve"> </w:t>
      </w:r>
      <w:r>
        <w:rPr>
          <w:rFonts w:ascii="Arial" w:hAnsi="Arial" w:cs="Arial"/>
          <w:i/>
          <w:sz w:val="22"/>
          <w:szCs w:val="22"/>
          <w:lang w:val="x-none"/>
        </w:rPr>
        <w:t>combinadas auditadas da Emissora e da LM Transportes, o somatório dos</w:t>
      </w:r>
      <w:r>
        <w:rPr>
          <w:rFonts w:ascii="Arial" w:hAnsi="Arial" w:cs="Arial"/>
          <w:i/>
          <w:sz w:val="22"/>
          <w:szCs w:val="22"/>
        </w:rPr>
        <w:t xml:space="preserve">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sz w:val="22"/>
          <w:szCs w:val="22"/>
        </w:rPr>
      </w:pPr>
      <w:r>
        <w:rPr>
          <w:rFonts w:ascii="Arial" w:hAnsi="Arial" w:cs="Arial"/>
          <w:i/>
          <w:sz w:val="22"/>
          <w:szCs w:val="22"/>
        </w:rPr>
        <w:t>"</w:t>
      </w:r>
      <w:r>
        <w:rPr>
          <w:rFonts w:ascii="Arial" w:hAnsi="Arial" w:cs="Arial"/>
          <w:i/>
          <w:sz w:val="22"/>
          <w:szCs w:val="22"/>
          <w:u w:val="single"/>
        </w:rPr>
        <w:t>EBITDA</w:t>
      </w:r>
      <w:r>
        <w:rPr>
          <w:rFonts w:ascii="Arial" w:hAnsi="Arial" w:cs="Arial"/>
          <w:i/>
          <w:sz w:val="22"/>
          <w:szCs w:val="22"/>
        </w:rPr>
        <w:t>" significa, com base nas demonstrações financeiras combinadas auditadas da Emissora e da LM Transportes, 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r>
        <w:rPr>
          <w:rFonts w:ascii="Arial" w:hAnsi="Arial" w:cs="Arial"/>
          <w:sz w:val="22"/>
          <w:szCs w:val="22"/>
        </w:rPr>
        <w:t>”</w:t>
      </w:r>
    </w:p>
    <w:p>
      <w:pPr>
        <w:widowControl w:val="0"/>
        <w:spacing w:line="340" w:lineRule="exact"/>
        <w:ind w:left="720"/>
        <w:jc w:val="both"/>
        <w:rPr>
          <w:rFonts w:ascii="Arial" w:hAnsi="Arial" w:cs="Arial"/>
          <w:sz w:val="22"/>
          <w:szCs w:val="22"/>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(v)</w:t>
      </w:r>
      <w:r>
        <w:rPr>
          <w:rFonts w:ascii="Arial" w:hAnsi="Arial" w:cs="Arial"/>
          <w:color w:val="000000"/>
          <w:sz w:val="22"/>
          <w:szCs w:val="20"/>
          <w:shd w:val="clear" w:color="auto" w:fill="FFFFFF"/>
        </w:rPr>
        <w:tab/>
      </w:r>
      <w:r>
        <w:rPr>
          <w:rFonts w:ascii="Arial" w:hAnsi="Arial" w:cs="Arial"/>
          <w:sz w:val="22"/>
          <w:szCs w:val="22"/>
        </w:rPr>
        <w:t>com o voto favorável de Debenturistas representando 100,00% (cem por cento) das Debêntures em Circulação</w:t>
      </w:r>
      <w:r>
        <w:rPr>
          <w:rFonts w:ascii="Arial" w:hAnsi="Arial" w:cs="Arial"/>
          <w:color w:val="000000"/>
          <w:sz w:val="22"/>
          <w:szCs w:val="20"/>
          <w:shd w:val="clear" w:color="auto" w:fill="FFFFFF"/>
        </w:rPr>
        <w:t>, autorizar o Agente Fiduciário a praticar, em conjunto com a Companhia, no que couber, todos e quaisquer atos e tome todas as providências necessárias para dar efeito às deliberações aprovadas no âmbito da Assembleia Geral de Debenturistas, incluindo, sem limitação, a possibilidade de celebração e formalização de aditamento à Escritura de Emissão.</w:t>
      </w:r>
    </w:p>
    <w:p>
      <w:pPr>
        <w:pStyle w:val="Estilo"/>
        <w:spacing w:line="340" w:lineRule="exact"/>
        <w:jc w:val="both"/>
        <w:rPr>
          <w:rFonts w:ascii="Arial" w:hAnsi="Arial" w:cs="Arial"/>
          <w:color w:val="000000"/>
          <w:sz w:val="22"/>
          <w:szCs w:val="22"/>
        </w:rPr>
      </w:pPr>
    </w:p>
    <w:p>
      <w:pPr>
        <w:pStyle w:val="Estilo"/>
        <w:spacing w:line="340" w:lineRule="exact"/>
        <w:jc w:val="both"/>
        <w:rPr>
          <w:rFonts w:ascii="Arial" w:hAnsi="Arial" w:cs="Arial"/>
          <w:color w:val="000000"/>
          <w:sz w:val="22"/>
          <w:szCs w:val="22"/>
        </w:rPr>
      </w:pPr>
      <w:r>
        <w:rPr>
          <w:rFonts w:ascii="Arial" w:hAnsi="Arial" w:cs="Arial"/>
          <w:color w:val="000000"/>
          <w:sz w:val="22"/>
          <w:szCs w:val="22"/>
        </w:rPr>
        <w:lastRenderedPageBreak/>
        <w:t>Ficam ratificados todos os termos e condições da Escritura de Emissão que não foram objeto das deliberações da presente Assembleia Geral de Debenturistas.</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sz w:val="22"/>
          <w:szCs w:val="22"/>
        </w:rPr>
        <w:t>Em decorrência das aprovações dos itens (i), (</w:t>
      </w:r>
      <w:proofErr w:type="spellStart"/>
      <w:r>
        <w:rPr>
          <w:rFonts w:ascii="Arial" w:hAnsi="Arial" w:cs="Arial"/>
          <w:sz w:val="22"/>
          <w:szCs w:val="22"/>
        </w:rPr>
        <w:t>ii</w:t>
      </w:r>
      <w:proofErr w:type="spellEnd"/>
      <w:r>
        <w:rPr>
          <w:rFonts w:ascii="Arial" w:hAnsi="Arial" w:cs="Arial"/>
          <w:sz w:val="22"/>
          <w:szCs w:val="22"/>
        </w:rPr>
        <w:t>) e (</w:t>
      </w:r>
      <w:proofErr w:type="spellStart"/>
      <w:r>
        <w:rPr>
          <w:rFonts w:ascii="Arial" w:hAnsi="Arial" w:cs="Arial"/>
          <w:sz w:val="22"/>
          <w:szCs w:val="22"/>
        </w:rPr>
        <w:t>iii</w:t>
      </w:r>
      <w:proofErr w:type="spellEnd"/>
      <w:r>
        <w:rPr>
          <w:rFonts w:ascii="Arial" w:hAnsi="Arial" w:cs="Arial"/>
          <w:sz w:val="22"/>
          <w:szCs w:val="22"/>
        </w:rPr>
        <w:t>) acima, os Debenturistas condicionam as referidas aprovações ao pagamento, pela Companhia, de prêmio equivalente 0,20% (vinte centésimos por cento), incidente sobre o Valor Nominal Unitário das Debêntures acrescido da Remuneração devida (conforme definido na Escritura de Emissão) e em decorrência da aprovação do (</w:t>
      </w:r>
      <w:proofErr w:type="spellStart"/>
      <w:r>
        <w:rPr>
          <w:rFonts w:ascii="Arial" w:hAnsi="Arial" w:cs="Arial"/>
          <w:sz w:val="22"/>
          <w:szCs w:val="22"/>
        </w:rPr>
        <w:t>iv</w:t>
      </w:r>
      <w:proofErr w:type="spellEnd"/>
      <w:r>
        <w:rPr>
          <w:rFonts w:ascii="Arial" w:hAnsi="Arial" w:cs="Arial"/>
          <w:sz w:val="22"/>
          <w:szCs w:val="22"/>
        </w:rPr>
        <w:t>) acima, os Debenturistas condicionam a referida aprovação ao pagamento, pela Companhia, de prêmio equivalente 0,40% (quarenta centésimos por cento), incidente sobre o Valor Nominal Unitário das Debêntures acrescido da Remuneração devida (conforme definido na Escritura de Emissão), totalizando um prêmio de 0,60% (sessenta centésimos por cento), incidente sobre o Valor Nominal Unitário das Debêntures acrescido da Remuneração devida (conforme definido na Escritura de Emissão), apurado na data desta Assembleia Geral de Debenturistas (“</w:t>
      </w:r>
      <w:proofErr w:type="spellStart"/>
      <w:r>
        <w:rPr>
          <w:rFonts w:ascii="Arial" w:hAnsi="Arial" w:cs="Arial"/>
          <w:sz w:val="22"/>
          <w:szCs w:val="22"/>
          <w:u w:val="single"/>
        </w:rPr>
        <w:t>Waiver</w:t>
      </w:r>
      <w:proofErr w:type="spellEnd"/>
      <w:r>
        <w:rPr>
          <w:rFonts w:ascii="Arial" w:hAnsi="Arial" w:cs="Arial"/>
          <w:sz w:val="22"/>
          <w:szCs w:val="22"/>
          <w:u w:val="single"/>
        </w:rPr>
        <w:t xml:space="preserve"> </w:t>
      </w:r>
      <w:proofErr w:type="spellStart"/>
      <w:r>
        <w:rPr>
          <w:rFonts w:ascii="Arial" w:hAnsi="Arial" w:cs="Arial"/>
          <w:sz w:val="22"/>
          <w:szCs w:val="22"/>
          <w:u w:val="single"/>
        </w:rPr>
        <w:t>Fee</w:t>
      </w:r>
      <w:proofErr w:type="spellEnd"/>
      <w:r>
        <w:rPr>
          <w:rFonts w:ascii="Arial" w:hAnsi="Arial" w:cs="Arial"/>
          <w:sz w:val="22"/>
          <w:szCs w:val="22"/>
        </w:rPr>
        <w:t xml:space="preserve">”). O pagamento do </w:t>
      </w:r>
      <w:proofErr w:type="spellStart"/>
      <w:r>
        <w:rPr>
          <w:rFonts w:ascii="Arial" w:hAnsi="Arial" w:cs="Arial"/>
          <w:sz w:val="22"/>
          <w:szCs w:val="22"/>
        </w:rPr>
        <w:t>Waiver</w:t>
      </w:r>
      <w:proofErr w:type="spellEnd"/>
      <w:r>
        <w:rPr>
          <w:rFonts w:ascii="Arial" w:hAnsi="Arial" w:cs="Arial"/>
          <w:sz w:val="22"/>
          <w:szCs w:val="22"/>
        </w:rPr>
        <w:t xml:space="preserve"> </w:t>
      </w:r>
      <w:proofErr w:type="spellStart"/>
      <w:r>
        <w:rPr>
          <w:rFonts w:ascii="Arial" w:hAnsi="Arial" w:cs="Arial"/>
          <w:sz w:val="22"/>
          <w:szCs w:val="22"/>
        </w:rPr>
        <w:t>Fee</w:t>
      </w:r>
      <w:proofErr w:type="spellEnd"/>
      <w:r>
        <w:rPr>
          <w:rFonts w:ascii="Arial" w:hAnsi="Arial" w:cs="Arial"/>
          <w:sz w:val="22"/>
          <w:szCs w:val="22"/>
        </w:rPr>
        <w:t xml:space="preserve"> será feito de acordo com as normas e </w:t>
      </w:r>
      <w:r>
        <w:rPr>
          <w:rFonts w:ascii="Arial" w:hAnsi="Arial" w:cs="Arial"/>
          <w:sz w:val="22"/>
          <w:szCs w:val="22"/>
        </w:rPr>
        <w:t>procedimentos da B3, em parcela</w:t>
      </w:r>
      <w:r>
        <w:rPr>
          <w:rFonts w:ascii="Arial" w:hAnsi="Arial" w:cs="Arial"/>
          <w:sz w:val="22"/>
          <w:szCs w:val="22"/>
        </w:rPr>
        <w:t xml:space="preserve"> única, em moeda corrente nacional, devendo ser pago até 14 de dezembro de 2020.</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sz w:val="22"/>
          <w:szCs w:val="22"/>
          <w:lang w:val="x-none"/>
        </w:rPr>
        <w:t xml:space="preserve">A </w:t>
      </w:r>
      <w:r>
        <w:rPr>
          <w:rFonts w:ascii="Arial" w:hAnsi="Arial" w:cs="Arial"/>
          <w:sz w:val="22"/>
          <w:szCs w:val="22"/>
        </w:rPr>
        <w:t>Companhia</w:t>
      </w:r>
      <w:r>
        <w:rPr>
          <w:rFonts w:ascii="Arial" w:hAnsi="Arial" w:cs="Arial"/>
          <w:sz w:val="22"/>
          <w:szCs w:val="22"/>
          <w:lang w:val="x-none"/>
        </w:rPr>
        <w:t xml:space="preserve"> atesta que a presente </w:t>
      </w:r>
      <w:r>
        <w:rPr>
          <w:rFonts w:ascii="Arial" w:hAnsi="Arial" w:cs="Arial"/>
          <w:bCs/>
          <w:sz w:val="22"/>
          <w:szCs w:val="22"/>
        </w:rPr>
        <w:t>Assembleia Geral de Debenturistas</w:t>
      </w:r>
      <w:r>
        <w:rPr>
          <w:rFonts w:ascii="Arial" w:hAnsi="Arial" w:cs="Arial"/>
          <w:sz w:val="22"/>
          <w:szCs w:val="22"/>
          <w:lang w:val="x-none"/>
        </w:rPr>
        <w:t xml:space="preserve"> foi realizada atendendo a todos os requisitos, orientações e</w:t>
      </w:r>
      <w:r>
        <w:rPr>
          <w:rFonts w:ascii="Arial" w:hAnsi="Arial" w:cs="Arial"/>
          <w:sz w:val="22"/>
          <w:szCs w:val="22"/>
        </w:rPr>
        <w:t xml:space="preserve"> </w:t>
      </w:r>
      <w:r>
        <w:rPr>
          <w:rFonts w:ascii="Arial" w:hAnsi="Arial" w:cs="Arial"/>
          <w:sz w:val="22"/>
          <w:szCs w:val="22"/>
          <w:lang w:val="x-none"/>
        </w:rPr>
        <w:t xml:space="preserve">procedimentos, conforme determina a </w:t>
      </w:r>
      <w:r>
        <w:rPr>
          <w:rFonts w:ascii="Arial" w:hAnsi="Arial" w:cs="Arial"/>
          <w:sz w:val="22"/>
          <w:szCs w:val="22"/>
        </w:rPr>
        <w:t>Instrução</w:t>
      </w:r>
      <w:r>
        <w:rPr>
          <w:rFonts w:ascii="Arial" w:hAnsi="Arial" w:cs="Arial"/>
          <w:sz w:val="22"/>
          <w:szCs w:val="22"/>
          <w:lang w:val="x-none"/>
        </w:rPr>
        <w:t xml:space="preserve"> CVM 625, em</w:t>
      </w:r>
      <w:r>
        <w:rPr>
          <w:rFonts w:ascii="Arial" w:hAnsi="Arial" w:cs="Arial"/>
          <w:sz w:val="22"/>
          <w:szCs w:val="22"/>
        </w:rPr>
        <w:t xml:space="preserve"> </w:t>
      </w:r>
      <w:r>
        <w:rPr>
          <w:rFonts w:ascii="Arial" w:hAnsi="Arial" w:cs="Arial"/>
          <w:sz w:val="22"/>
          <w:szCs w:val="22"/>
          <w:lang w:val="x-none"/>
        </w:rPr>
        <w:t>especial em seu art</w:t>
      </w:r>
      <w:r>
        <w:rPr>
          <w:rFonts w:ascii="Arial" w:hAnsi="Arial" w:cs="Arial"/>
          <w:sz w:val="22"/>
          <w:szCs w:val="22"/>
        </w:rPr>
        <w:t>igo</w:t>
      </w:r>
      <w:r>
        <w:rPr>
          <w:rFonts w:ascii="Arial" w:hAnsi="Arial" w:cs="Arial"/>
          <w:sz w:val="22"/>
          <w:szCs w:val="22"/>
          <w:lang w:val="x-none"/>
        </w:rPr>
        <w:t xml:space="preserve"> 3º.</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rPr>
        <w:t>VII – Encerramento:</w:t>
      </w:r>
      <w:r>
        <w:rPr>
          <w:rFonts w:ascii="Arial" w:hAnsi="Arial" w:cs="Arial"/>
          <w:sz w:val="22"/>
          <w:szCs w:val="22"/>
        </w:rPr>
        <w:t xml:space="preserve"> Nada mais havendo a tratar, a presente Assembleia </w:t>
      </w:r>
      <w:r>
        <w:rPr>
          <w:rFonts w:ascii="Arial" w:hAnsi="Arial" w:cs="Arial"/>
          <w:bCs/>
          <w:sz w:val="22"/>
          <w:szCs w:val="22"/>
        </w:rPr>
        <w:t>Geral de Debenturistas</w:t>
      </w:r>
      <w:r>
        <w:rPr>
          <w:rFonts w:ascii="Arial" w:hAnsi="Arial" w:cs="Arial"/>
          <w:sz w:val="22"/>
          <w:szCs w:val="22"/>
        </w:rPr>
        <w:t xml:space="preserve"> foi encerrada, conforme disposto acima, e foi lavrada a presente Ata que, uma vez lida e aprovada, foi assinada.</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shd w:val="clear" w:color="auto" w:fill="FFFFFF"/>
        </w:rPr>
        <w:t>VIII – Assinaturas:</w:t>
      </w:r>
      <w:r>
        <w:rPr>
          <w:rFonts w:ascii="Arial" w:hAnsi="Arial" w:cs="Arial"/>
          <w:sz w:val="22"/>
          <w:szCs w:val="22"/>
          <w:shd w:val="clear" w:color="auto" w:fill="FFFFFF"/>
        </w:rPr>
        <w:t xml:space="preserve"> </w:t>
      </w:r>
      <w:r>
        <w:rPr>
          <w:rFonts w:ascii="Arial" w:hAnsi="Arial" w:cs="Arial"/>
          <w:sz w:val="22"/>
          <w:szCs w:val="22"/>
        </w:rPr>
        <w:t xml:space="preserve">Nos termos do artigo 8º, § 1º e 2º da </w:t>
      </w:r>
      <w:r>
        <w:rPr>
          <w:rFonts w:ascii="Arial" w:hAnsi="Arial" w:cs="Arial"/>
          <w:sz w:val="22"/>
          <w:szCs w:val="22"/>
          <w:shd w:val="clear" w:color="auto" w:fill="FFFFFF"/>
        </w:rPr>
        <w:t xml:space="preserve">Instrução CVM 625, o Sr. Presidente da presente Assembleia informa que a Ata é considerada assinada pelos Debenturistas que </w:t>
      </w:r>
      <w:r>
        <w:rPr>
          <w:rFonts w:ascii="Arial" w:hAnsi="Arial" w:cs="Arial"/>
          <w:sz w:val="22"/>
          <w:szCs w:val="22"/>
        </w:rPr>
        <w:t xml:space="preserve">apresentaram, previamente, votos a distância, que foram considerados válidos e </w:t>
      </w:r>
      <w:r>
        <w:rPr>
          <w:rFonts w:ascii="Arial" w:hAnsi="Arial" w:cs="Arial"/>
          <w:sz w:val="22"/>
          <w:szCs w:val="22"/>
          <w:shd w:val="clear" w:color="auto" w:fill="FFFFFF"/>
        </w:rPr>
        <w:t>que participaram por meio do sistema eletrônico de participação a distância, cujos nomes e denominações sociais encontram-se listadas no Anexos II à presente Ata. As assinaturas do Presidente, Secretário, Companhia e Agente Fiduciário na presente Ata foram realizadas por meio de certificação digital.</w:t>
      </w:r>
    </w:p>
    <w:p>
      <w:pPr>
        <w:spacing w:line="340" w:lineRule="exact"/>
        <w:jc w:val="center"/>
        <w:rPr>
          <w:rFonts w:ascii="Arial" w:hAnsi="Arial" w:cs="Arial"/>
          <w:sz w:val="22"/>
          <w:szCs w:val="22"/>
        </w:rPr>
      </w:pPr>
    </w:p>
    <w:p>
      <w:pPr>
        <w:spacing w:line="340" w:lineRule="exact"/>
        <w:jc w:val="center"/>
        <w:rPr>
          <w:rFonts w:ascii="Arial" w:hAnsi="Arial" w:cs="Arial"/>
          <w:sz w:val="22"/>
          <w:szCs w:val="22"/>
        </w:rPr>
      </w:pPr>
      <w:r>
        <w:rPr>
          <w:rFonts w:ascii="Arial" w:hAnsi="Arial" w:cs="Arial"/>
          <w:sz w:val="22"/>
          <w:szCs w:val="22"/>
        </w:rPr>
        <w:t>Salvador, 7 de dezembro de 2020.</w:t>
      </w:r>
    </w:p>
    <w:p>
      <w:pPr>
        <w:spacing w:line="340" w:lineRule="exact"/>
        <w:jc w:val="center"/>
        <w:rPr>
          <w:rFonts w:ascii="Arial" w:hAnsi="Arial" w:cs="Arial"/>
          <w:sz w:val="22"/>
          <w:szCs w:val="22"/>
        </w:rPr>
      </w:pPr>
    </w:p>
    <w:p>
      <w:pPr>
        <w:spacing w:line="340" w:lineRule="exact"/>
        <w:jc w:val="center"/>
        <w:rPr>
          <w:rFonts w:ascii="Arial" w:hAnsi="Arial" w:cs="Arial"/>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606"/>
        <w:gridCol w:w="4606"/>
      </w:tblGrid>
      <w:tr>
        <w:trPr>
          <w:jc w:val="center"/>
        </w:trPr>
        <w:tc>
          <w:tcPr>
            <w:tcW w:w="4606" w:type="dxa"/>
          </w:tcPr>
          <w:p>
            <w:pPr>
              <w:spacing w:line="340" w:lineRule="exact"/>
              <w:jc w:val="center"/>
              <w:rPr>
                <w:rFonts w:ascii="Arial" w:hAnsi="Arial" w:cs="Arial"/>
                <w:sz w:val="22"/>
                <w:szCs w:val="22"/>
              </w:rPr>
            </w:pPr>
            <w:r>
              <w:rPr>
                <w:rFonts w:ascii="Arial" w:hAnsi="Arial" w:cs="Arial"/>
                <w:sz w:val="22"/>
                <w:szCs w:val="22"/>
              </w:rPr>
              <w:lastRenderedPageBreak/>
              <w:t>_________________________</w:t>
            </w:r>
          </w:p>
          <w:p>
            <w:pPr>
              <w:spacing w:line="340" w:lineRule="exact"/>
              <w:jc w:val="center"/>
              <w:rPr>
                <w:rFonts w:ascii="Arial" w:hAnsi="Arial" w:cs="Arial"/>
                <w:sz w:val="22"/>
                <w:szCs w:val="22"/>
              </w:rPr>
            </w:pPr>
            <w:r>
              <w:rPr>
                <w:rFonts w:ascii="Arial" w:hAnsi="Arial" w:cs="Arial"/>
                <w:sz w:val="22"/>
                <w:szCs w:val="22"/>
              </w:rPr>
              <w:t>André Passos</w:t>
            </w:r>
          </w:p>
          <w:p>
            <w:pPr>
              <w:spacing w:line="340" w:lineRule="exact"/>
              <w:jc w:val="center"/>
              <w:rPr>
                <w:rFonts w:ascii="Arial" w:hAnsi="Arial" w:cs="Arial"/>
                <w:sz w:val="22"/>
                <w:szCs w:val="22"/>
              </w:rPr>
            </w:pPr>
            <w:r>
              <w:rPr>
                <w:rFonts w:ascii="Arial" w:hAnsi="Arial" w:cs="Arial"/>
                <w:sz w:val="22"/>
                <w:szCs w:val="22"/>
              </w:rPr>
              <w:t>Presidente da Mesa</w:t>
            </w:r>
          </w:p>
        </w:tc>
        <w:tc>
          <w:tcPr>
            <w:tcW w:w="4606" w:type="dxa"/>
          </w:tcPr>
          <w:p>
            <w:pPr>
              <w:spacing w:line="340" w:lineRule="exact"/>
              <w:jc w:val="center"/>
              <w:rPr>
                <w:rFonts w:ascii="Arial" w:hAnsi="Arial" w:cs="Arial"/>
                <w:sz w:val="22"/>
                <w:szCs w:val="22"/>
              </w:rPr>
            </w:pPr>
            <w:r>
              <w:rPr>
                <w:rFonts w:ascii="Arial" w:hAnsi="Arial" w:cs="Arial"/>
                <w:sz w:val="22"/>
                <w:szCs w:val="22"/>
              </w:rPr>
              <w:t>_________________________</w:t>
            </w:r>
          </w:p>
          <w:p>
            <w:pPr>
              <w:spacing w:line="340" w:lineRule="exact"/>
              <w:jc w:val="center"/>
              <w:rPr>
                <w:rFonts w:ascii="Arial" w:hAnsi="Arial" w:cs="Arial"/>
                <w:sz w:val="22"/>
                <w:szCs w:val="22"/>
              </w:rPr>
            </w:pPr>
            <w:r>
              <w:rPr>
                <w:rFonts w:ascii="Arial" w:hAnsi="Arial" w:cs="Arial"/>
                <w:sz w:val="22"/>
                <w:szCs w:val="22"/>
              </w:rPr>
              <w:t>Pedro Paulo Farme d’</w:t>
            </w:r>
            <w:proofErr w:type="spellStart"/>
            <w:r>
              <w:rPr>
                <w:rFonts w:ascii="Arial" w:hAnsi="Arial" w:cs="Arial"/>
                <w:sz w:val="22"/>
                <w:szCs w:val="22"/>
              </w:rPr>
              <w:t>Amoed</w:t>
            </w:r>
            <w:proofErr w:type="spellEnd"/>
            <w:r>
              <w:rPr>
                <w:rFonts w:ascii="Arial" w:hAnsi="Arial" w:cs="Arial"/>
                <w:sz w:val="22"/>
                <w:szCs w:val="22"/>
              </w:rPr>
              <w:t xml:space="preserve"> Fernandes de Oliveira</w:t>
            </w:r>
          </w:p>
          <w:p>
            <w:pPr>
              <w:spacing w:line="340" w:lineRule="exact"/>
              <w:jc w:val="center"/>
              <w:rPr>
                <w:rFonts w:ascii="Arial" w:hAnsi="Arial" w:cs="Arial"/>
                <w:sz w:val="22"/>
                <w:szCs w:val="22"/>
              </w:rPr>
            </w:pPr>
            <w:r>
              <w:rPr>
                <w:rFonts w:ascii="Arial" w:hAnsi="Arial" w:cs="Arial"/>
                <w:sz w:val="22"/>
                <w:szCs w:val="22"/>
              </w:rPr>
              <w:t>Secretário da Mesa</w:t>
            </w:r>
          </w:p>
        </w:tc>
      </w:tr>
    </w:tbl>
    <w:p>
      <w:pPr>
        <w:spacing w:line="340" w:lineRule="exact"/>
        <w:jc w:val="center"/>
        <w:rPr>
          <w:rFonts w:ascii="Arial" w:hAnsi="Arial" w:cs="Arial"/>
          <w:sz w:val="22"/>
          <w:szCs w:val="22"/>
        </w:rPr>
      </w:pPr>
    </w:p>
    <w:p>
      <w:pPr>
        <w:spacing w:line="340" w:lineRule="exact"/>
        <w:rPr>
          <w:rFonts w:ascii="Arial" w:hAnsi="Arial" w:cs="Arial"/>
          <w:color w:val="000000"/>
          <w:sz w:val="22"/>
          <w:szCs w:val="22"/>
        </w:rPr>
      </w:pPr>
      <w:r>
        <w:rPr>
          <w:rFonts w:ascii="Arial" w:hAnsi="Arial" w:cs="Arial"/>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(Página de assinaturas 1/4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Companhia:</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caps/>
          <w:sz w:val="22"/>
          <w:szCs w:val="22"/>
        </w:rPr>
      </w:pPr>
      <w:r>
        <w:rPr>
          <w:rFonts w:ascii="Arial" w:hAnsi="Arial" w:cs="Arial"/>
          <w:b/>
          <w:caps/>
          <w:sz w:val="22"/>
          <w:szCs w:val="22"/>
        </w:rPr>
        <w:t>LM Transportes Interestaduais Serviços e Comércio S.A.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p>
    <w:p>
      <w:pPr>
        <w:rPr>
          <w:rFonts w:ascii="Arial" w:hAnsi="Arial" w:cs="Arial"/>
          <w:color w:val="000000"/>
          <w:sz w:val="22"/>
          <w:szCs w:val="22"/>
        </w:rPr>
      </w:pPr>
      <w:r>
        <w:rPr>
          <w:rFonts w:ascii="Arial" w:hAnsi="Arial" w:cs="Arial"/>
          <w:color w:val="000000"/>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(Página de assinaturas 2/4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Fiadores:</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LUIZ LOPES MENDONÇA FILHO</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AURORA MARIA MOURA MENDONÇA</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LM TRANSPORTES E SERVIÇOS E COMÉRCIO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LM PARTICIPAÇÕES E EMPREENDIMENTOS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BRAVO CAMINHÕES E EMPREENDIMENTOS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rPr>
          <w:rFonts w:ascii="Arial" w:hAnsi="Arial" w:cs="Arial"/>
          <w:color w:val="000000"/>
          <w:sz w:val="22"/>
          <w:szCs w:val="22"/>
        </w:rPr>
      </w:pPr>
      <w:r>
        <w:rPr>
          <w:rFonts w:ascii="Arial" w:hAnsi="Arial" w:cs="Arial"/>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(Página de assinaturas 3/4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AURABRASIL – TRANSPORTES MÁQUINA E EQUIPAMENTOS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SANTO ANTÔNIO IMÓVEIS E EMPREENDIMENTOS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rPr>
          <w:rFonts w:ascii="Arial" w:hAnsi="Arial" w:cs="Arial"/>
          <w:color w:val="000000"/>
          <w:sz w:val="22"/>
          <w:szCs w:val="22"/>
        </w:rPr>
      </w:pPr>
    </w:p>
    <w:p>
      <w:pPr>
        <w:spacing w:line="340" w:lineRule="exact"/>
        <w:rPr>
          <w:rFonts w:ascii="Arial" w:hAnsi="Arial" w:cs="Arial"/>
          <w:color w:val="000000"/>
          <w:sz w:val="22"/>
          <w:szCs w:val="22"/>
        </w:rPr>
      </w:pPr>
      <w:r>
        <w:rPr>
          <w:rFonts w:ascii="Arial" w:hAnsi="Arial" w:cs="Arial"/>
          <w:color w:val="000000"/>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(Página de assinaturas 4/4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Agente Fiduciário:</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w:t>
      </w:r>
      <w:r>
        <w:rPr>
          <w:rFonts w:ascii="Arial" w:hAnsi="Arial" w:cs="Arial"/>
          <w:sz w:val="22"/>
          <w:szCs w:val="22"/>
        </w:rPr>
        <w:t xml:space="preserve"> Pedro Paulo Farme d’</w:t>
      </w:r>
      <w:proofErr w:type="spellStart"/>
      <w:r>
        <w:rPr>
          <w:rFonts w:ascii="Arial" w:hAnsi="Arial" w:cs="Arial"/>
          <w:sz w:val="22"/>
          <w:szCs w:val="22"/>
        </w:rPr>
        <w:t>Amoed</w:t>
      </w:r>
      <w:proofErr w:type="spellEnd"/>
      <w:r>
        <w:rPr>
          <w:rFonts w:ascii="Arial" w:hAnsi="Arial" w:cs="Arial"/>
          <w:sz w:val="22"/>
          <w:szCs w:val="22"/>
        </w:rPr>
        <w:t xml:space="preserve"> Fernandes de Oliveira</w:t>
      </w:r>
    </w:p>
    <w:p>
      <w:pPr>
        <w:pStyle w:val="Default"/>
        <w:spacing w:line="340" w:lineRule="exact"/>
        <w:ind w:right="-284"/>
        <w:jc w:val="both"/>
        <w:rPr>
          <w:rFonts w:ascii="Arial" w:hAnsi="Arial" w:cs="Arial"/>
          <w:sz w:val="22"/>
          <w:szCs w:val="22"/>
        </w:rPr>
      </w:pPr>
      <w:r>
        <w:rPr>
          <w:rFonts w:ascii="Arial" w:hAnsi="Arial" w:cs="Arial"/>
          <w:sz w:val="22"/>
          <w:szCs w:val="22"/>
        </w:rPr>
        <w:t>CPF nº: 060.883.727-02</w:t>
      </w:r>
    </w:p>
    <w:p>
      <w:pPr>
        <w:pStyle w:val="Default"/>
        <w:spacing w:line="340" w:lineRule="exact"/>
        <w:ind w:right="-284"/>
        <w:jc w:val="both"/>
        <w:rPr>
          <w:rFonts w:ascii="Arial" w:hAnsi="Arial" w:cs="Arial"/>
          <w:sz w:val="22"/>
          <w:szCs w:val="22"/>
        </w:rPr>
      </w:pPr>
    </w:p>
    <w:p>
      <w:pPr>
        <w:spacing w:line="340" w:lineRule="exact"/>
        <w:rPr>
          <w:rFonts w:ascii="Arial" w:hAnsi="Arial" w:cs="Arial"/>
          <w:color w:val="000000"/>
          <w:sz w:val="22"/>
          <w:szCs w:val="22"/>
        </w:rPr>
      </w:pPr>
      <w:r>
        <w:rPr>
          <w:rFonts w:ascii="Arial" w:hAnsi="Arial" w:cs="Arial"/>
          <w:color w:val="000000"/>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(Anexo I à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spacing w:line="340" w:lineRule="exact"/>
        <w:jc w:val="both"/>
        <w:rPr>
          <w:rFonts w:ascii="Arial" w:hAnsi="Arial" w:cs="Arial"/>
          <w:color w:val="000000"/>
          <w:sz w:val="16"/>
          <w:szCs w:val="16"/>
        </w:rPr>
      </w:pPr>
    </w:p>
    <w:p>
      <w:pPr>
        <w:spacing w:line="340" w:lineRule="exact"/>
        <w:jc w:val="center"/>
        <w:rPr>
          <w:rFonts w:ascii="Arial" w:hAnsi="Arial" w:cs="Arial"/>
          <w:b/>
          <w:u w:val="single"/>
        </w:rPr>
      </w:pPr>
      <w:r>
        <w:rPr>
          <w:rFonts w:ascii="Arial" w:hAnsi="Arial" w:cs="Arial"/>
          <w:b/>
          <w:u w:val="single"/>
        </w:rPr>
        <w:t>LISTA DE DEBENTURISTAS PRESENTES EM 7 DE DEZEMBRO DE 2020</w:t>
      </w:r>
    </w:p>
    <w:p>
      <w:pPr>
        <w:spacing w:line="340" w:lineRule="exact"/>
        <w:jc w:val="center"/>
        <w:rPr>
          <w:rFonts w:ascii="Arial" w:hAnsi="Arial" w:cs="Arial"/>
          <w:b/>
          <w:sz w:val="16"/>
          <w:szCs w:val="16"/>
          <w:u w:val="single"/>
        </w:rPr>
      </w:pPr>
    </w:p>
    <w:tbl>
      <w:tblPr>
        <w:tblW w:w="5492" w:type="pct"/>
        <w:tblInd w:w="-142" w:type="dxa"/>
        <w:tblCellMar>
          <w:left w:w="70" w:type="dxa"/>
          <w:right w:w="70" w:type="dxa"/>
        </w:tblCellMar>
        <w:tblLook w:val="04A0" w:firstRow="1" w:lastRow="0" w:firstColumn="1" w:lastColumn="0" w:noHBand="0" w:noVBand="1"/>
      </w:tblPr>
      <w:tblGrid>
        <w:gridCol w:w="8284"/>
        <w:gridCol w:w="1633"/>
      </w:tblGrid>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BANCO ABC-BRASIL S/A</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28.195.667/0001-06</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BANCO ABC-BRASIL S/A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BANCO CAIXA GERAL BRASIL S/A</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33.466.988/0001-38</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BANCO CAIXA GERAL BRASIL S/A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BANCO SANTANDER (BRASIL) SA</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90.400.888/0001-42</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BANCO SANTANDER (BRASIL) SA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BCO VOTORANTIM S/A</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59.588.111/0001-03</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BCO VOTORANTIM S/A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CAPITANIA FIX CREDITO PRIVADO FUNDO DE INVESTIMENTO RENDA FIXA</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13.106.998/0001-55</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CAPITANIA PREMIUM MASTER FUNDO DE INVESTIMENTO RENDA FIXA CREDITO PRIVADO LONGO PRAZO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20.146.318/0001-92</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CAPITANIA S/A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DAYCOVAL CLASSIC FI RF CP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10.783.480/0001-68</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DAYCOVAL CLASSIC 30 FI RF CP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29.250.121/0001-73</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DAYCOVAL ASSET MANAGEMENT ADMINISTRACAO DE RECURSOS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FATOR MAX CORPORATIVO FI RF LP CP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00.828.035/0001-13</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FATOR WINNETOU FUNDO DE INVESTIMENTO DE RENDA FIXA LONGO PRAZO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29.613.915/0001-54</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FAR FATOR ADMINISTRAÇÃO DE RECURSOS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G5 ALLOCATION FUNDO DE INVESTIMENTO MULTIMERCADO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30.453.289/0001-65</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G5 ADMINISTRADORA DE RECURSOS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INTEGRAL SELECTION FUNDO DE INVESTIMENTO RENDA FIXA CREDITO PRIVADO LONGO PRAZO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37.227.745/0001-06</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INTEGRAL FI RENDA FIXA CP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15.174.629/0001-25</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INTEGRAL ICATU PREVIDENCIARIO II FUNDO DE INVESTIMENTO RENDA FIXA CREDITO PRIVADO FIFE</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33.600.624/0001-07</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INTEGRAL INVESTIMENTOS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DLM PREMIUM 30 FUNDO DE INVESTIMENTO RENDA FIXA CREDITO PRIVADO LONGO PRAZO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27.826.059/0001-90</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DLM HEDGE CONSERVADOR II FUNDO DE INVESTIMENTO RENDA FIXA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20.879.578/0001-77</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DLM HEDGE CONSERVADOR FUNDO DE INVESTIMENTO MULTIMERCADO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09.720.710/0001-60</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DLM ICATU PREVIDENCIA FIFE FUNDO DE INVESTIMENTO RENDA FIXA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36.517.858/0001-75</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TBI FUNDO DE INVESTIMENTO RENDA FIXA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36.443.490/0001-48</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DLM TRAFALGAR FIM CP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33.784.218/0001-33</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DLM CONSERVADOR ADVISORY XP SEGUROS PREV FIRF CP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32.236.232/0001-30</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INTER ASSET GESTÃO DE RECURSOS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BRASIL PLURAL MASTER PREVIDENCIA CP FI RF</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22.041.150/0001-86</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TFO BRASIL PLURAL CREDITO CORPORATIVO FIM INVESTIMENTO NO EXTERIOR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20.055.608/0001-20</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BRASIL PLURAL CREDITO CORPORATIVO FI RENDA FIXA CREDITO PRIVADO LONGO PRAZO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15.487.311/0001-02</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PLURAL GESTÃO DE RECURSOS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QUASAR ADVANTAGE PLUS FIRF CP LP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29.196.922/0001-06</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QUASAR ADVANTAGE PLUS B PREVIDENCIA MASTER FUNDO DE INVESTIMENTO RENDA FIXA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34.793.069/0001-31</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QUASAR CREDITO PREVIDENCIARIO ADVISORY XP SEGUROS FIM FI MULTIMERCADO CP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35.956.874/0001-00</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QUASAR ADVANTAGE PLUS B PREVIDENCIA FIFE MASTER FIM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36.521.693/0001-05</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QUASAR ASSET MANAGEMENT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SPARTA TOP MASTER CREDITO PRIVADO FUNDO DE INVESTIMENTO RENDA FIXA LONGO PRAZO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14.188.164/0001-07</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SPARTA PREVIDENCIA FIFE ICATU FUNDO DE INVESTIMENTO RENDA FIXA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30.869.395/0001-24</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SPARTA MAX MASTER FUNDO DE INVESTIMENTO RENDA FIXA CREDITO PRIVADO LONGO PRAZO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24.444.154/0001-30</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SPARTA PREVIDENCIA MASTER FIRF CP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31.962.100/0001-22</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SPARTA TOP INFLACAO MASTER FUNDO DE INVESTIMENTO RENDA FIXA CREDITO PRIVADO LONGO PRAZO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38.026.869/0001-88</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SPARTA PREVIDENCIA FIFE D60 FIRF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35.927.331/0001-56</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SPARTA ANS FUNDO DE INVESTIMENTO RENDA FIXA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32.225.995/0001-85</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SPARTA ADMINISTRADORA DE RECURSOS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FI TITANIUM RENDA FIXA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05.925.923/0001-78</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BV CREDITO ATIVO RENDA FIXA CREDITO PRIVADO LONGO PRAZO FUNDO DE INVESTIMENTO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04.240.128/0001-83</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VOTORANTIM ASSET MANAGEMENT DTVM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lang w:val="en-US"/>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DETENTOR</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CPF/CNPJ</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 HORIZONTE PREV MASTER FIRF</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18.814.964/0001-39</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 CORPORATE PLUS MASTER FIM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32.771.072/0001-29</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 ANS FUNDO DE INVESTIMENTO MULTIMERCADO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32.203.189/0001-06</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 SEGUROS HORIZONTE FI RENDA FIXA PREVIDENCIARIO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32.064.950/0001-76</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 INVESTOR FUNDO DE INVESTIMENTO RENDA FIXA CREDITO PRIVADO LONGO PRAZO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11.046.179/0001-34</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XPCE II FIM CREDITO PRIVADO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22.985.070/0001-89</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 TOP CREDITO PRIVADO FUNDO DE INVESTIMENTO EM RENDA FIXA LONGO PRAZO</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04.621.721/0001-70</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 SEGUROS FIRF CP</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30.910.166/0001-06</w:t>
            </w: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 HORIZONTE DOMINUS XP SEGUROS PREV FIRF</w:t>
            </w:r>
          </w:p>
        </w:tc>
        <w:tc>
          <w:tcPr>
            <w:tcW w:w="1141"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r>
              <w:rPr>
                <w:rFonts w:asciiTheme="minorHAnsi" w:hAnsiTheme="minorHAnsi" w:cstheme="minorHAnsi"/>
                <w:color w:val="000000"/>
                <w:sz w:val="18"/>
                <w:szCs w:val="18"/>
              </w:rPr>
              <w:t>32.319.187/0001-87</w:t>
            </w:r>
          </w:p>
        </w:tc>
      </w:tr>
      <w:tr>
        <w:trPr>
          <w:trHeight w:val="300"/>
        </w:trPr>
        <w:tc>
          <w:tcPr>
            <w:tcW w:w="3859" w:type="pct"/>
            <w:tcBorders>
              <w:top w:val="nil"/>
              <w:left w:val="nil"/>
              <w:bottom w:val="nil"/>
              <w:right w:val="nil"/>
            </w:tcBorders>
            <w:shd w:val="clear" w:color="auto" w:fill="auto"/>
            <w:noWrap/>
            <w:vAlign w:val="bottom"/>
            <w:hideMark/>
          </w:tcPr>
          <w:p>
            <w:pPr>
              <w:jc w:val="center"/>
              <w:rPr>
                <w:rFonts w:asciiTheme="minorHAnsi" w:hAnsiTheme="minorHAnsi" w:cstheme="minorHAnsi"/>
                <w:color w:val="000000"/>
                <w:sz w:val="18"/>
                <w:szCs w:val="18"/>
              </w:rPr>
            </w:pP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_________________________________________________________________________________</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XP VISTA ASSET MANAGEMENT LTDA</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NOME:</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r>
        <w:trPr>
          <w:trHeight w:val="300"/>
        </w:trPr>
        <w:tc>
          <w:tcPr>
            <w:tcW w:w="3859"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r>
              <w:rPr>
                <w:rFonts w:asciiTheme="minorHAnsi" w:hAnsiTheme="minorHAnsi" w:cstheme="minorHAnsi"/>
                <w:color w:val="000000"/>
                <w:sz w:val="18"/>
                <w:szCs w:val="18"/>
              </w:rPr>
              <w:t>CARGO:</w:t>
            </w:r>
          </w:p>
        </w:tc>
        <w:tc>
          <w:tcPr>
            <w:tcW w:w="1141" w:type="pct"/>
            <w:tcBorders>
              <w:top w:val="nil"/>
              <w:left w:val="nil"/>
              <w:bottom w:val="nil"/>
              <w:right w:val="nil"/>
            </w:tcBorders>
            <w:shd w:val="clear" w:color="auto" w:fill="auto"/>
            <w:noWrap/>
            <w:vAlign w:val="bottom"/>
            <w:hideMark/>
          </w:tcPr>
          <w:p>
            <w:pPr>
              <w:rPr>
                <w:rFonts w:asciiTheme="minorHAnsi" w:hAnsiTheme="minorHAnsi" w:cstheme="minorHAnsi"/>
                <w:color w:val="000000"/>
                <w:sz w:val="18"/>
                <w:szCs w:val="18"/>
              </w:rPr>
            </w:pPr>
          </w:p>
        </w:tc>
      </w:tr>
    </w:tbl>
    <w:p>
      <w:pPr>
        <w:spacing w:line="340" w:lineRule="exact"/>
        <w:rPr>
          <w:rFonts w:ascii="Arial" w:hAnsi="Arial" w:cs="Arial"/>
          <w:b/>
          <w:sz w:val="16"/>
          <w:szCs w:val="16"/>
          <w:highlight w:val="yellow"/>
        </w:rPr>
      </w:pPr>
      <w:r>
        <w:rPr>
          <w:rFonts w:ascii="Arial" w:hAnsi="Arial" w:cs="Arial"/>
          <w:b/>
          <w:sz w:val="16"/>
          <w:szCs w:val="16"/>
          <w:highlight w:val="yellow"/>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(Anexo II à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spacing w:line="340" w:lineRule="exact"/>
        <w:jc w:val="center"/>
        <w:rPr>
          <w:rFonts w:ascii="Arial" w:hAnsi="Arial" w:cs="Arial"/>
          <w:b/>
          <w:u w:val="single"/>
        </w:rPr>
      </w:pPr>
      <w:r>
        <w:rPr>
          <w:rFonts w:ascii="Arial" w:hAnsi="Arial" w:cs="Arial"/>
          <w:b/>
          <w:u w:val="single"/>
        </w:rPr>
        <w:t>ESCRITURA DE EMISSÃO CONSOLIDADA</w:t>
      </w:r>
      <w:bookmarkStart w:id="0" w:name="_GoBack"/>
      <w:bookmarkEnd w:id="0"/>
    </w:p>
    <w:p>
      <w:pPr>
        <w:spacing w:line="340" w:lineRule="exact"/>
        <w:jc w:val="center"/>
        <w:rPr>
          <w:rFonts w:ascii="Arial" w:hAnsi="Arial" w:cs="Arial"/>
          <w:sz w:val="22"/>
          <w:szCs w:val="16"/>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1985" w:right="1559" w:bottom="2127"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- 38818376v7 - 12070002.467330</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spacing w:line="240" w:lineRule="auto"/>
      <w:rPr>
        <w:rFonts w:ascii="Verdana" w:hAnsi="Verdana"/>
        <w:color w:val="FFFFFF" w:themeColor="background1"/>
        <w:lang w:val="pt-BR"/>
      </w:rPr>
    </w:pPr>
    <w:r>
      <w:rPr>
        <w:noProof/>
        <w:color w:val="FFFFFF" w:themeColor="background1"/>
        <w:lang w:val="pt-BR"/>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10229215</wp:posOffset>
              </wp:positionV>
              <wp:extent cx="7560945" cy="273685"/>
              <wp:effectExtent l="0" t="0" r="0" b="12065"/>
              <wp:wrapNone/>
              <wp:docPr id="2" name="MSIPCMae8c478394171fff0a5e4e93" descr="{&quot;HashCode&quot;:2100983214,&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rPr>
                              <w:rFonts w:ascii="Calibri" w:hAnsi="Calibri" w:cs="Calibri"/>
                              <w:color w:val="000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ae8c478394171fff0a5e4e93" o:spid="_x0000_s1026" type="#_x0000_t202" alt="{&quot;HashCode&quot;:2100983214,&quot;Height&quot;:842.0,&quot;Width&quot;:595.0,&quot;Placement&quot;:&quot;Footer&quot;,&quot;Index&quot;:&quot;FirstPage&quot;,&quot;Section&quot;:1,&quot;Top&quot;:0.0,&quot;Left&quot;:0.0}" style="position:absolute;margin-left:0;margin-top:805.45pt;width:595.35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MA/Kuw3AwAAsAYAAA4AAAAAAAAAAAAAAAAALgIAAGRycy9lMm9Eb2MueG1sUEsBAi0A&#10;FAAGAAgAAAAhACVqO5LfAAAACwEAAA8AAAAAAAAAAAAAAAAAkQUAAGRycy9kb3ducmV2LnhtbFBL&#10;BQYAAAAABAAEAPMAAACdBgAAAAA=&#10;" o:allowincell="f" filled="f" stroked="f">
              <v:textbox inset=",0,,0">
                <w:txbxContent>
                  <w:p>
                    <w:pPr>
                      <w:jc w:val="center"/>
                      <w:rPr>
                        <w:rFonts w:ascii="Calibri" w:hAnsi="Calibri" w:cs="Calibri"/>
                        <w:color w:val="000000"/>
                      </w:rPr>
                    </w:pPr>
                  </w:p>
                </w:txbxContent>
              </v:textbox>
              <w10:wrap anchorx="page" anchory="page"/>
            </v:shape>
          </w:pict>
        </mc:Fallback>
      </mc:AlternateContent>
    </w:r>
    <w:r>
      <w:rPr>
        <w:color w:val="FFFFFF" w:themeColor="background1"/>
      </w:rPr>
      <w:fldChar w:fldCharType="begin"/>
    </w:r>
    <w:r>
      <w:rPr>
        <w:color w:val="FFFFFF" w:themeColor="background1"/>
        <w:lang w:val="pt-BR"/>
      </w:rPr>
      <w:instrText xml:space="preserve"> DOCPROPERTY "iManageFooter"  \* MERGEFORMAT </w:instrText>
    </w:r>
    <w:r>
      <w:rPr>
        <w:color w:val="FFFFFF" w:themeColor="background1"/>
      </w:rPr>
      <w:fldChar w:fldCharType="separate"/>
    </w:r>
    <w:r>
      <w:rPr>
        <w:rFonts w:ascii="Verdana" w:hAnsi="Verdana"/>
        <w:color w:val="FFFFFF" w:themeColor="background1"/>
        <w:lang w:val="pt-BR"/>
      </w:rPr>
      <w:t>JUR</w:t>
    </w:r>
    <w:r>
      <w:rPr>
        <w:color w:val="FFFFFF" w:themeColor="background1"/>
        <w:lang w:val="pt-BR"/>
      </w:rPr>
      <w:t>_SP - 38818376v8 - 12070002.467330</w:t>
    </w:r>
    <w:r>
      <w:rPr>
        <w:rFonts w:ascii="Verdana" w:hAnsi="Verdana"/>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55CD67EE"/>
    <w:multiLevelType w:val="hybridMultilevel"/>
    <w:tmpl w:val="F1423996"/>
    <w:lvl w:ilvl="0" w:tplc="939C3FF0">
      <w:start w:val="1"/>
      <w:numFmt w:val="lowerRoman"/>
      <w:lvlText w:val="(%1)"/>
      <w:lvlJc w:val="left"/>
      <w:pPr>
        <w:ind w:left="714" w:hanging="720"/>
      </w:pPr>
      <w:rPr>
        <w:rFonts w:hint="default"/>
        <w:b w:val="0"/>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4" w15:restartNumberingAfterBreak="0">
    <w:nsid w:val="5A2A3D38"/>
    <w:multiLevelType w:val="hybridMultilevel"/>
    <w:tmpl w:val="238C0948"/>
    <w:lvl w:ilvl="0" w:tplc="7602AF28">
      <w:start w:val="1"/>
      <w:numFmt w:val="decimal"/>
      <w:lvlText w:val="3.6.%1."/>
      <w:lvlJc w:val="left"/>
      <w:pPr>
        <w:ind w:left="720" w:hanging="360"/>
      </w:pPr>
      <w:rPr>
        <w:rFonts w:hint="default"/>
        <w:sz w:val="24"/>
        <w:szCs w:val="24"/>
        <w:lang w:val="pt-BR"/>
      </w:rPr>
    </w:lvl>
    <w:lvl w:ilvl="1" w:tplc="78AA9910">
      <w:start w:val="1"/>
      <w:numFmt w:val="lowerRoman"/>
      <w:lvlText w:val="(%2)"/>
      <w:lvlJc w:val="left"/>
      <w:pPr>
        <w:ind w:left="1800" w:hanging="720"/>
      </w:pPr>
      <w:rPr>
        <w:rFonts w:hint="default"/>
      </w:rPr>
    </w:lvl>
    <w:lvl w:ilvl="2" w:tplc="0416001B">
      <w:start w:val="1"/>
      <w:numFmt w:val="lowerRoman"/>
      <w:lvlText w:val="%3."/>
      <w:lvlJc w:val="right"/>
      <w:pPr>
        <w:ind w:left="2160" w:hanging="180"/>
      </w:pPr>
    </w:lvl>
    <w:lvl w:ilvl="3" w:tplc="2924D846">
      <w:start w:val="1"/>
      <w:numFmt w:val="lowerLetter"/>
      <w:lvlText w:val="(%4)"/>
      <w:lvlJc w:val="left"/>
      <w:pPr>
        <w:ind w:left="2880" w:hanging="360"/>
      </w:pPr>
      <w:rPr>
        <w:rFonts w:cs="Times New Roman" w:hint="eastAsia"/>
        <w:b w:val="0"/>
        <w:sz w:val="24"/>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DBB7AA1"/>
    <w:multiLevelType w:val="multilevel"/>
    <w:tmpl w:val="86E6A3D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BB6FA8"/>
    <w:multiLevelType w:val="singleLevel"/>
    <w:tmpl w:val="B7D4F67C"/>
    <w:lvl w:ilvl="0">
      <w:start w:val="4"/>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78355D7B"/>
    <w:multiLevelType w:val="multilevel"/>
    <w:tmpl w:val="6B7C0D4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95B1FBB6-FAD5-4D3F-AF64-DC570062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9">
    <w:name w:val="heading 9"/>
    <w:basedOn w:val="Normal"/>
    <w:next w:val="Normal"/>
    <w:link w:val="Ttulo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link w:val="RodapChar"/>
    <w:uiPriority w:val="99"/>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customStyle="1" w:styleId="Default">
    <w:name w:val="Default"/>
    <w:pPr>
      <w:autoSpaceDE w:val="0"/>
      <w:autoSpaceDN w:val="0"/>
      <w:adjustRightInd w:val="0"/>
    </w:pPr>
    <w:rPr>
      <w:color w:val="000000"/>
      <w:sz w:val="24"/>
      <w:szCs w:val="24"/>
    </w:rPr>
  </w:style>
  <w:style w:type="paragraph" w:customStyle="1" w:styleId="Estilo">
    <w:name w:val="Estilo"/>
    <w:pPr>
      <w:widowControl w:val="0"/>
      <w:autoSpaceDE w:val="0"/>
      <w:autoSpaceDN w:val="0"/>
      <w:adjustRightInd w:val="0"/>
    </w:pPr>
    <w:rPr>
      <w:sz w:val="24"/>
      <w:szCs w:val="24"/>
    </w:rPr>
  </w:style>
  <w:style w:type="paragraph" w:styleId="PargrafodaLista">
    <w:name w:val="List Paragraph"/>
    <w:basedOn w:val="Normal"/>
    <w:uiPriority w:val="34"/>
    <w:qFormat/>
    <w:pPr>
      <w:ind w:left="720"/>
    </w:pPr>
    <w:rPr>
      <w:rFonts w:ascii="Calibri" w:eastAsiaTheme="minorHAnsi" w:hAnsi="Calibri"/>
      <w:sz w:val="22"/>
      <w:szCs w:val="22"/>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ontratoN3">
    <w:name w:val="Contrato_N3"/>
    <w:basedOn w:val="Normal"/>
    <w:pPr>
      <w:numPr>
        <w:ilvl w:val="1"/>
        <w:numId w:val="6"/>
      </w:numPr>
      <w:tabs>
        <w:tab w:val="clear" w:pos="1134"/>
        <w:tab w:val="num" w:pos="1854"/>
      </w:tabs>
      <w:autoSpaceDE w:val="0"/>
      <w:autoSpaceDN w:val="0"/>
      <w:adjustRightInd w:val="0"/>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pPr>
      <w:numPr>
        <w:ilvl w:val="2"/>
        <w:numId w:val="6"/>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pPr>
      <w:numPr>
        <w:numId w:val="6"/>
      </w:numPr>
      <w:autoSpaceDE w:val="0"/>
      <w:autoSpaceDN w:val="0"/>
      <w:adjustRightInd w:val="0"/>
    </w:pPr>
    <w:rPr>
      <w:sz w:val="24"/>
      <w:szCs w:val="24"/>
    </w:rPr>
  </w:style>
  <w:style w:type="character" w:styleId="Refdenotaderodap">
    <w:name w:val="footnote reference"/>
    <w:basedOn w:val="Fontepargpadro"/>
    <w:semiHidden/>
    <w:unhideWhenUsed/>
    <w:rPr>
      <w:vertAlign w:val="superscript"/>
    </w:rPr>
  </w:style>
  <w:style w:type="character" w:styleId="Hyperlink">
    <w:name w:val="Hyperlink"/>
    <w:basedOn w:val="Fontepargpadro"/>
    <w:unhideWhenUsed/>
    <w:rPr>
      <w:color w:val="0000FF" w:themeColor="hyperlink"/>
      <w:u w:val="single"/>
    </w:rPr>
  </w:style>
  <w:style w:type="paragraph" w:styleId="Reviso">
    <w:name w:val="Revision"/>
    <w:hidden/>
    <w:uiPriority w:val="99"/>
    <w:semiHidden/>
  </w:style>
  <w:style w:type="paragraph" w:customStyle="1" w:styleId="Level1">
    <w:name w:val="Level 1"/>
    <w:basedOn w:val="Normal"/>
    <w:uiPriority w:val="99"/>
    <w:pPr>
      <w:keepNext/>
      <w:keepLines/>
      <w:numPr>
        <w:numId w:val="8"/>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pPr>
      <w:numPr>
        <w:ilvl w:val="1"/>
        <w:numId w:val="8"/>
      </w:numPr>
      <w:spacing w:after="140" w:line="290" w:lineRule="auto"/>
      <w:jc w:val="both"/>
      <w:outlineLvl w:val="1"/>
    </w:pPr>
    <w:rPr>
      <w:rFonts w:ascii="Arial" w:eastAsia="MS Mincho" w:hAnsi="Arial"/>
      <w:szCs w:val="24"/>
    </w:rPr>
  </w:style>
  <w:style w:type="paragraph" w:customStyle="1" w:styleId="Level3">
    <w:name w:val="Level 3"/>
    <w:basedOn w:val="Normal"/>
    <w:uiPriority w:val="99"/>
    <w:pPr>
      <w:numPr>
        <w:ilvl w:val="2"/>
        <w:numId w:val="8"/>
      </w:numPr>
      <w:spacing w:after="140" w:line="290" w:lineRule="auto"/>
      <w:jc w:val="both"/>
      <w:outlineLvl w:val="2"/>
    </w:pPr>
    <w:rPr>
      <w:rFonts w:ascii="Arial" w:eastAsia="MS Mincho" w:hAnsi="Arial" w:cs="Arial"/>
      <w:szCs w:val="24"/>
    </w:rPr>
  </w:style>
  <w:style w:type="paragraph" w:customStyle="1" w:styleId="Level4">
    <w:name w:val="Level 4"/>
    <w:basedOn w:val="Normal"/>
    <w:uiPriority w:val="99"/>
    <w:pPr>
      <w:numPr>
        <w:ilvl w:val="3"/>
        <w:numId w:val="8"/>
      </w:numPr>
      <w:spacing w:after="140" w:line="290" w:lineRule="auto"/>
      <w:jc w:val="both"/>
      <w:outlineLvl w:val="3"/>
    </w:pPr>
    <w:rPr>
      <w:rFonts w:ascii="Arial" w:eastAsia="MS Mincho" w:hAnsi="Arial" w:cs="Arial"/>
      <w:szCs w:val="24"/>
    </w:rPr>
  </w:style>
  <w:style w:type="paragraph" w:customStyle="1" w:styleId="Level5">
    <w:name w:val="Level 5"/>
    <w:basedOn w:val="Normal"/>
    <w:uiPriority w:val="99"/>
    <w:pPr>
      <w:numPr>
        <w:ilvl w:val="4"/>
        <w:numId w:val="8"/>
      </w:numPr>
      <w:spacing w:after="140" w:line="290" w:lineRule="auto"/>
      <w:jc w:val="both"/>
    </w:pPr>
    <w:rPr>
      <w:rFonts w:ascii="Arial" w:eastAsia="MS Mincho" w:hAnsi="Arial" w:cs="Arial"/>
      <w:szCs w:val="24"/>
    </w:rPr>
  </w:style>
  <w:style w:type="paragraph" w:customStyle="1" w:styleId="Level6">
    <w:name w:val="Level 6"/>
    <w:basedOn w:val="Normal"/>
    <w:uiPriority w:val="99"/>
    <w:pPr>
      <w:numPr>
        <w:ilvl w:val="5"/>
        <w:numId w:val="8"/>
      </w:numPr>
      <w:spacing w:after="140" w:line="290" w:lineRule="auto"/>
      <w:jc w:val="both"/>
    </w:pPr>
    <w:rPr>
      <w:rFonts w:ascii="Arial" w:eastAsia="MS Mincho" w:hAnsi="Arial" w:cs="Arial"/>
      <w:szCs w:val="24"/>
    </w:rPr>
  </w:style>
  <w:style w:type="paragraph" w:customStyle="1" w:styleId="Body">
    <w:name w:val="Body"/>
    <w:basedOn w:val="Normal"/>
    <w:pPr>
      <w:widowControl w:val="0"/>
      <w:suppressAutoHyphens/>
      <w:spacing w:after="140" w:line="290" w:lineRule="auto"/>
      <w:jc w:val="both"/>
    </w:pPr>
    <w:rPr>
      <w:rFonts w:ascii="Arial" w:eastAsia="MS Mincho" w:hAnsi="Arial" w:cs="Arial"/>
    </w:rPr>
  </w:style>
  <w:style w:type="paragraph" w:styleId="NormalWeb">
    <w:name w:val="Normal (Web)"/>
    <w:basedOn w:val="Normal"/>
    <w:uiPriority w:val="99"/>
    <w:pPr>
      <w:autoSpaceDE w:val="0"/>
      <w:autoSpaceDN w:val="0"/>
      <w:adjustRightInd w:val="0"/>
      <w:spacing w:before="100" w:after="100"/>
    </w:pPr>
    <w:rPr>
      <w:rFonts w:ascii="Arial" w:hAnsi="Arial"/>
      <w:color w:val="000000"/>
      <w:sz w:val="24"/>
      <w:szCs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character" w:customStyle="1" w:styleId="RodapChar">
    <w:name w:val="Rodapé Char"/>
    <w:basedOn w:val="Fontepargpadro"/>
    <w:link w:val="Rodap"/>
    <w:uiPriority w:val="99"/>
    <w:rPr>
      <w:sz w:val="14"/>
      <w:lang w:val="en-US"/>
    </w:rPr>
  </w:style>
  <w:style w:type="character" w:customStyle="1" w:styleId="Ttulo9Char">
    <w:name w:val="Título 9 Char"/>
    <w:basedOn w:val="Fontepargpadro"/>
    <w:link w:val="Ttulo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1759">
      <w:bodyDiv w:val="1"/>
      <w:marLeft w:val="0"/>
      <w:marRight w:val="0"/>
      <w:marTop w:val="0"/>
      <w:marBottom w:val="0"/>
      <w:divBdr>
        <w:top w:val="none" w:sz="0" w:space="0" w:color="auto"/>
        <w:left w:val="none" w:sz="0" w:space="0" w:color="auto"/>
        <w:bottom w:val="none" w:sz="0" w:space="0" w:color="auto"/>
        <w:right w:val="none" w:sz="0" w:space="0" w:color="auto"/>
      </w:divBdr>
    </w:div>
    <w:div w:id="237247936">
      <w:bodyDiv w:val="1"/>
      <w:marLeft w:val="0"/>
      <w:marRight w:val="0"/>
      <w:marTop w:val="0"/>
      <w:marBottom w:val="0"/>
      <w:divBdr>
        <w:top w:val="none" w:sz="0" w:space="0" w:color="auto"/>
        <w:left w:val="none" w:sz="0" w:space="0" w:color="auto"/>
        <w:bottom w:val="none" w:sz="0" w:space="0" w:color="auto"/>
        <w:right w:val="none" w:sz="0" w:space="0" w:color="auto"/>
      </w:divBdr>
    </w:div>
    <w:div w:id="348800716">
      <w:bodyDiv w:val="1"/>
      <w:marLeft w:val="0"/>
      <w:marRight w:val="0"/>
      <w:marTop w:val="0"/>
      <w:marBottom w:val="0"/>
      <w:divBdr>
        <w:top w:val="none" w:sz="0" w:space="0" w:color="auto"/>
        <w:left w:val="none" w:sz="0" w:space="0" w:color="auto"/>
        <w:bottom w:val="none" w:sz="0" w:space="0" w:color="auto"/>
        <w:right w:val="none" w:sz="0" w:space="0" w:color="auto"/>
      </w:divBdr>
    </w:div>
    <w:div w:id="350422912">
      <w:bodyDiv w:val="1"/>
      <w:marLeft w:val="0"/>
      <w:marRight w:val="0"/>
      <w:marTop w:val="0"/>
      <w:marBottom w:val="0"/>
      <w:divBdr>
        <w:top w:val="none" w:sz="0" w:space="0" w:color="auto"/>
        <w:left w:val="none" w:sz="0" w:space="0" w:color="auto"/>
        <w:bottom w:val="none" w:sz="0" w:space="0" w:color="auto"/>
        <w:right w:val="none" w:sz="0" w:space="0" w:color="auto"/>
      </w:divBdr>
    </w:div>
    <w:div w:id="486365846">
      <w:bodyDiv w:val="1"/>
      <w:marLeft w:val="0"/>
      <w:marRight w:val="0"/>
      <w:marTop w:val="0"/>
      <w:marBottom w:val="0"/>
      <w:divBdr>
        <w:top w:val="none" w:sz="0" w:space="0" w:color="auto"/>
        <w:left w:val="none" w:sz="0" w:space="0" w:color="auto"/>
        <w:bottom w:val="none" w:sz="0" w:space="0" w:color="auto"/>
        <w:right w:val="none" w:sz="0" w:space="0" w:color="auto"/>
      </w:divBdr>
    </w:div>
    <w:div w:id="1262374482">
      <w:bodyDiv w:val="1"/>
      <w:marLeft w:val="0"/>
      <w:marRight w:val="0"/>
      <w:marTop w:val="0"/>
      <w:marBottom w:val="0"/>
      <w:divBdr>
        <w:top w:val="none" w:sz="0" w:space="0" w:color="auto"/>
        <w:left w:val="none" w:sz="0" w:space="0" w:color="auto"/>
        <w:bottom w:val="none" w:sz="0" w:space="0" w:color="auto"/>
        <w:right w:val="none" w:sz="0" w:space="0" w:color="auto"/>
      </w:divBdr>
    </w:div>
    <w:div w:id="1490710134">
      <w:bodyDiv w:val="1"/>
      <w:marLeft w:val="0"/>
      <w:marRight w:val="0"/>
      <w:marTop w:val="0"/>
      <w:marBottom w:val="0"/>
      <w:divBdr>
        <w:top w:val="none" w:sz="0" w:space="0" w:color="auto"/>
        <w:left w:val="none" w:sz="0" w:space="0" w:color="auto"/>
        <w:bottom w:val="none" w:sz="0" w:space="0" w:color="auto"/>
        <w:right w:val="none" w:sz="0" w:space="0" w:color="auto"/>
      </w:divBdr>
    </w:div>
    <w:div w:id="1675763496">
      <w:bodyDiv w:val="1"/>
      <w:marLeft w:val="0"/>
      <w:marRight w:val="0"/>
      <w:marTop w:val="0"/>
      <w:marBottom w:val="0"/>
      <w:divBdr>
        <w:top w:val="none" w:sz="0" w:space="0" w:color="auto"/>
        <w:left w:val="none" w:sz="0" w:space="0" w:color="auto"/>
        <w:bottom w:val="none" w:sz="0" w:space="0" w:color="auto"/>
        <w:right w:val="none" w:sz="0" w:space="0" w:color="auto"/>
      </w:divBdr>
    </w:div>
    <w:div w:id="1773696447">
      <w:bodyDiv w:val="1"/>
      <w:marLeft w:val="0"/>
      <w:marRight w:val="0"/>
      <w:marTop w:val="0"/>
      <w:marBottom w:val="0"/>
      <w:divBdr>
        <w:top w:val="none" w:sz="0" w:space="0" w:color="auto"/>
        <w:left w:val="none" w:sz="0" w:space="0" w:color="auto"/>
        <w:bottom w:val="none" w:sz="0" w:space="0" w:color="auto"/>
        <w:right w:val="none" w:sz="0" w:space="0" w:color="auto"/>
      </w:divBdr>
    </w:div>
    <w:div w:id="20923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 J U R _ S P ! 3 8 8 1 8 3 7 6 . 8 < / d o c u m e n t i d >  
     < s e n d e r i d > C I S < / s e n d e r i d >  
     < s e n d e r e m a i l > C D E R I S I O @ P N . C O M . B R < / s e n d e r e m a i l >  
     < l a s t m o d i f i e d > 2 0 2 0 - 1 2 - 0 7 T 1 6 : 5 3 : 0 0 . 0 0 0 0 0 0 0 - 0 3 : 0 0 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15E9-C4DF-4DE1-94EA-B02185BD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3131</Words>
  <Characters>20401</Characters>
  <Application>Microsoft Office Word</Application>
  <DocSecurity>0</DocSecurity>
  <Lines>170</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Pinheiro Neto Advogados</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Pinheiro Neto Advogados</cp:lastModifiedBy>
  <cp:revision>15</cp:revision>
  <cp:lastPrinted>2020-11-19T16:33:00Z</cp:lastPrinted>
  <dcterms:created xsi:type="dcterms:W3CDTF">2020-12-07T17:57:00Z</dcterms:created>
  <dcterms:modified xsi:type="dcterms:W3CDTF">2020-12-07T19:53:00Z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00d5d8-e5d6-42c9-aaa5-a73f813744c3_Enabled">
    <vt:lpwstr>true</vt:lpwstr>
  </property>
  <property fmtid="{D5CDD505-2E9C-101B-9397-08002B2CF9AE}" pid="3" name="MSIP_Label_ac00d5d8-e5d6-42c9-aaa5-a73f813744c3_SetDate">
    <vt:lpwstr>2020-11-17T22:06:59Z</vt:lpwstr>
  </property>
  <property fmtid="{D5CDD505-2E9C-101B-9397-08002B2CF9AE}" pid="4" name="MSIP_Label_ac00d5d8-e5d6-42c9-aaa5-a73f813744c3_Method">
    <vt:lpwstr>Privileged</vt:lpwstr>
  </property>
  <property fmtid="{D5CDD505-2E9C-101B-9397-08002B2CF9AE}" pid="5" name="MSIP_Label_ac00d5d8-e5d6-42c9-aaa5-a73f813744c3_Name">
    <vt:lpwstr>ac00d5d8-e5d6-42c9-aaa5-a73f813744c3</vt:lpwstr>
  </property>
  <property fmtid="{D5CDD505-2E9C-101B-9397-08002B2CF9AE}" pid="6" name="MSIP_Label_ac00d5d8-e5d6-42c9-aaa5-a73f813744c3_SiteId">
    <vt:lpwstr>f9cfd8cb-c4a5-4677-b65d-3150dda310c9</vt:lpwstr>
  </property>
  <property fmtid="{D5CDD505-2E9C-101B-9397-08002B2CF9AE}" pid="7" name="MSIP_Label_ac00d5d8-e5d6-42c9-aaa5-a73f813744c3_ActionId">
    <vt:lpwstr>50d048b6-e18c-44f7-988c-086c9d3d636f</vt:lpwstr>
  </property>
  <property fmtid="{D5CDD505-2E9C-101B-9397-08002B2CF9AE}" pid="8" name="MSIP_Label_ac00d5d8-e5d6-42c9-aaa5-a73f813744c3_ContentBits">
    <vt:lpwstr>2</vt:lpwstr>
  </property>
  <property fmtid="{D5CDD505-2E9C-101B-9397-08002B2CF9AE}" pid="9" name="iManageFooter">
    <vt:lpwstr>JUR_SP - 38818376v8 - 12070002.467330</vt:lpwstr>
  </property>
</Properties>
</file>