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CNPJ/ME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pPr>
        <w:spacing w:after="0" w:line="312" w:lineRule="auto"/>
        <w:jc w:val="center"/>
        <w:rPr>
          <w:rFonts w:ascii="Arial" w:hAnsi="Arial" w:cs="Arial"/>
          <w:smallCaps/>
          <w:sz w:val="22"/>
          <w:szCs w:val="22"/>
          <w:u w:val="single"/>
          <w:lang w:val="it-IT"/>
        </w:rPr>
      </w:pPr>
    </w:p>
    <w:p>
      <w:pPr>
        <w:spacing w:after="0" w:line="312" w:lineRule="auto"/>
        <w:jc w:val="center"/>
        <w:rPr>
          <w:rFonts w:ascii="Arial" w:hAnsi="Arial" w:cs="Arial"/>
          <w:smallCaps/>
          <w:sz w:val="22"/>
          <w:szCs w:val="22"/>
          <w:u w:val="single"/>
        </w:rPr>
      </w:pPr>
      <w:r>
        <w:rPr>
          <w:rFonts w:ascii="Arial" w:hAnsi="Arial" w:cs="Arial"/>
          <w:smallCaps/>
          <w:sz w:val="22"/>
          <w:szCs w:val="22"/>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22 de novembro de 2021</w:t>
      </w:r>
    </w:p>
    <w:p>
      <w:pPr>
        <w:spacing w:after="0" w:line="312" w:lineRule="auto"/>
        <w:jc w:val="center"/>
        <w:rPr>
          <w:rFonts w:ascii="Arial" w:hAnsi="Arial" w:cs="Arial"/>
          <w:smallCaps/>
          <w:sz w:val="22"/>
          <w:szCs w:val="22"/>
          <w:u w:val="single"/>
        </w:rPr>
      </w:pPr>
    </w:p>
    <w:p>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22 de novembro de 2021, às 9:00 horas, de forma exclusivamente digital, nos termos da Instrução Normativa CVM nº 625 de 14 de maio de 2020 (“</w:t>
      </w:r>
      <w:r>
        <w:rPr>
          <w:rFonts w:ascii="Arial" w:hAnsi="Arial" w:cs="Arial"/>
          <w:sz w:val="22"/>
          <w:szCs w:val="22"/>
          <w:u w:val="single"/>
        </w:rPr>
        <w:t>IN CVM 625</w:t>
      </w:r>
      <w:r>
        <w:rPr>
          <w:rFonts w:ascii="Arial" w:hAnsi="Arial" w:cs="Arial"/>
          <w:sz w:val="22"/>
          <w:szCs w:val="22"/>
        </w:rPr>
        <w:t>”), coordenada pela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com sede na Rua da Alfazema, 761, Ed. Iguatemi Business &amp; Flat, sala 703, 7° andar, Lojas 29, 30, 31, Térreo, Caminho das Árvores, CEP 41.820-710, na Cidade de Salvador, Estado da Bahia, com a dispensa de videoconferência em razão da presença do único Debenturista (conforme abaixo definido) representando 100% (cem por cento) das Debêntures (conforme abaixo definido) em circulação, com o voto proferido via e-mail que foi arquivado na sede da Companhia.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do único debenturista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conforme aditado pelo seu “</w:t>
      </w:r>
      <w:r>
        <w:rPr>
          <w:rFonts w:ascii="Arial" w:hAnsi="Arial" w:cs="Arial"/>
          <w:i/>
          <w:sz w:val="22"/>
          <w:szCs w:val="22"/>
        </w:rPr>
        <w:t>Primeiro Aditamento ao</w:t>
      </w:r>
      <w:r>
        <w:rPr>
          <w:rFonts w:ascii="Arial" w:hAnsi="Arial" w:cs="Arial"/>
          <w:sz w:val="22"/>
          <w:szCs w:val="22"/>
        </w:rPr>
        <w:t xml:space="preserve">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08 de julho de 2021 (“</w:t>
      </w:r>
      <w:r>
        <w:rPr>
          <w:rFonts w:ascii="Arial" w:hAnsi="Arial" w:cs="Arial"/>
          <w:sz w:val="22"/>
          <w:szCs w:val="22"/>
          <w:u w:val="single"/>
        </w:rPr>
        <w:t>Escritura de Emissão</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 o Debenturista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lastRenderedPageBreak/>
        <w:t>Composição da Mesa</w:t>
      </w:r>
      <w:r>
        <w:rPr>
          <w:rFonts w:ascii="Arial" w:hAnsi="Arial" w:cs="Arial"/>
          <w:b/>
          <w:sz w:val="22"/>
          <w:szCs w:val="22"/>
        </w:rPr>
        <w:t>:</w:t>
      </w:r>
      <w:r>
        <w:rPr>
          <w:rFonts w:ascii="Arial" w:hAnsi="Arial" w:cs="Arial"/>
          <w:sz w:val="22"/>
          <w:szCs w:val="22"/>
        </w:rPr>
        <w:t xml:space="preserve"> Presidente: Luiz Lopes Mendonça Filho; e Secretário: Matheus Gomes Faria.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color w:val="000000"/>
          <w:sz w:val="22"/>
          <w:szCs w:val="22"/>
        </w:rPr>
        <w:t>Conforme informado no fato relevante divulgado em 7 de outubro de 2021, a Emissora, o Fiador</w:t>
      </w:r>
      <w:r>
        <w:rPr>
          <w:rFonts w:ascii="Arial" w:hAnsi="Arial" w:cs="Arial"/>
          <w:sz w:val="22"/>
          <w:szCs w:val="22"/>
        </w:rPr>
        <w:t xml:space="preserve"> </w:t>
      </w:r>
      <w:r>
        <w:rPr>
          <w:rFonts w:ascii="Arial" w:hAnsi="Arial" w:cs="Arial"/>
          <w:color w:val="000000"/>
          <w:sz w:val="22"/>
          <w:szCs w:val="22"/>
        </w:rPr>
        <w:t xml:space="preserve">e seus acionistas controladores assinaram, também em 7 de outubro de 2021, um contrato de compra e venda de ações, subscrição de ações e outras avenças, por meio do qual a </w:t>
      </w:r>
      <w:proofErr w:type="spellStart"/>
      <w:r>
        <w:rPr>
          <w:rFonts w:ascii="Arial" w:hAnsi="Arial" w:cs="Arial"/>
          <w:color w:val="000000"/>
          <w:sz w:val="22"/>
          <w:szCs w:val="22"/>
        </w:rPr>
        <w:t>Fleetzil</w:t>
      </w:r>
      <w:proofErr w:type="spellEnd"/>
      <w:r>
        <w:rPr>
          <w:rFonts w:ascii="Arial" w:hAnsi="Arial" w:cs="Arial"/>
          <w:color w:val="000000"/>
          <w:sz w:val="22"/>
          <w:szCs w:val="22"/>
        </w:rPr>
        <w:t xml:space="preserve"> Locações e Serviços Ltda., sociedade limitada,</w:t>
      </w:r>
      <w:r>
        <w:rPr>
          <w:rFonts w:ascii="Arial" w:hAnsi="Arial" w:cs="Arial"/>
          <w:sz w:val="22"/>
          <w:szCs w:val="22"/>
        </w:rPr>
        <w:t xml:space="preserve"> com sede na Al. Doutor Carlos de Carvalho, nº 373, </w:t>
      </w:r>
      <w:r>
        <w:rPr>
          <w:rFonts w:ascii="Arial" w:hAnsi="Arial" w:cs="Arial"/>
          <w:smallCaps/>
          <w:sz w:val="22"/>
          <w:szCs w:val="22"/>
        </w:rPr>
        <w:t>7</w:t>
      </w:r>
      <w:r>
        <w:rPr>
          <w:rFonts w:ascii="Arial" w:hAnsi="Arial" w:cs="Arial"/>
          <w:sz w:val="22"/>
          <w:szCs w:val="22"/>
        </w:rPr>
        <w:t>° andar, conjuntos 701 a 705, bairro Centro, CEP 80410-180, na Cidade de Curitiba, Estado do Paraná</w:t>
      </w:r>
      <w:r>
        <w:rPr>
          <w:rFonts w:ascii="Arial" w:hAnsi="Arial" w:cs="Arial"/>
          <w:smallCaps/>
          <w:sz w:val="22"/>
          <w:szCs w:val="22"/>
        </w:rPr>
        <w:t xml:space="preserve">, </w:t>
      </w:r>
      <w:r>
        <w:rPr>
          <w:rFonts w:ascii="Arial" w:hAnsi="Arial" w:cs="Arial"/>
          <w:sz w:val="22"/>
          <w:szCs w:val="22"/>
        </w:rPr>
        <w:t>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sob nº 25.463.646/0001-36 (“</w:t>
      </w:r>
      <w:proofErr w:type="spellStart"/>
      <w:r>
        <w:rPr>
          <w:rFonts w:ascii="Arial" w:hAnsi="Arial" w:cs="Arial"/>
          <w:color w:val="000000"/>
          <w:sz w:val="22"/>
          <w:szCs w:val="22"/>
          <w:u w:val="single"/>
        </w:rPr>
        <w:t>Fleetzil</w:t>
      </w:r>
      <w:proofErr w:type="spellEnd"/>
      <w:r>
        <w:rPr>
          <w:rFonts w:ascii="Arial" w:hAnsi="Arial" w:cs="Arial"/>
          <w:color w:val="000000"/>
          <w:sz w:val="22"/>
          <w:szCs w:val="22"/>
        </w:rPr>
        <w:t xml:space="preserve">”), sociedade pertencente ao Grupo Volkswagen Financial Services, </w:t>
      </w:r>
      <w:r>
        <w:rPr>
          <w:rFonts w:ascii="Arial" w:hAnsi="Arial" w:cs="Arial"/>
          <w:b/>
          <w:color w:val="000000"/>
          <w:sz w:val="22"/>
          <w:szCs w:val="22"/>
        </w:rPr>
        <w:t xml:space="preserve">(i) </w:t>
      </w:r>
      <w:r>
        <w:rPr>
          <w:rFonts w:ascii="Arial" w:hAnsi="Arial" w:cs="Arial"/>
          <w:color w:val="000000"/>
          <w:sz w:val="22"/>
          <w:szCs w:val="22"/>
        </w:rPr>
        <w:t xml:space="preserve">adquirirá, na data de fechamento da transação, ações representativas de 39,66% (trinta e nove vírgula sessenta e seis por cento) do capital social da Emissora, bem como subscreverá novas ações representativas de 15,49% (quinze vírgula quarenta e nove por cento) do capital social da Emissora; e </w:t>
      </w:r>
      <w:r>
        <w:rPr>
          <w:rFonts w:ascii="Arial" w:hAnsi="Arial" w:cs="Arial"/>
          <w:b/>
          <w:color w:val="000000"/>
          <w:sz w:val="22"/>
          <w:szCs w:val="22"/>
        </w:rPr>
        <w:t>(</w:t>
      </w:r>
      <w:proofErr w:type="spellStart"/>
      <w:r>
        <w:rPr>
          <w:rFonts w:ascii="Arial" w:hAnsi="Arial" w:cs="Arial"/>
          <w:b/>
          <w:color w:val="000000"/>
          <w:sz w:val="22"/>
          <w:szCs w:val="22"/>
        </w:rPr>
        <w:t>ii</w:t>
      </w:r>
      <w:proofErr w:type="spellEnd"/>
      <w:r>
        <w:rPr>
          <w:rFonts w:ascii="Arial" w:hAnsi="Arial" w:cs="Arial"/>
          <w:b/>
          <w:color w:val="000000"/>
          <w:sz w:val="22"/>
          <w:szCs w:val="22"/>
        </w:rPr>
        <w:t>)</w:t>
      </w:r>
      <w:r>
        <w:rPr>
          <w:rFonts w:ascii="Arial" w:hAnsi="Arial" w:cs="Arial"/>
          <w:color w:val="000000"/>
          <w:sz w:val="22"/>
          <w:szCs w:val="22"/>
        </w:rPr>
        <w:t xml:space="preserve"> após o fechamento da transação, </w:t>
      </w:r>
      <w:proofErr w:type="spellStart"/>
      <w:r>
        <w:rPr>
          <w:rFonts w:ascii="Arial" w:hAnsi="Arial" w:cs="Arial"/>
          <w:color w:val="000000"/>
          <w:sz w:val="22"/>
          <w:szCs w:val="22"/>
        </w:rPr>
        <w:t>Fleetzil</w:t>
      </w:r>
      <w:proofErr w:type="spellEnd"/>
      <w:r>
        <w:rPr>
          <w:rFonts w:ascii="Arial" w:hAnsi="Arial" w:cs="Arial"/>
          <w:color w:val="000000"/>
          <w:sz w:val="22"/>
          <w:szCs w:val="22"/>
        </w:rPr>
        <w:t xml:space="preserve"> e a Emissora deverão combinar seus negócios, de modo que o Grupo Volkswagen Financial Services passará a deter, no máximo, 60% (sessenta por cento) das ações representativas do capital social da Emissora, sendo que os atuais acionistas controladores da Emissora serão titulares diretos de, no mínimo, 40% (quarenta por cento) das ações representativas do capital social da Emissora (sendo o descrito em (i) e (</w:t>
      </w:r>
      <w:proofErr w:type="spellStart"/>
      <w:r>
        <w:rPr>
          <w:rFonts w:ascii="Arial" w:hAnsi="Arial" w:cs="Arial"/>
          <w:color w:val="000000"/>
          <w:sz w:val="22"/>
          <w:szCs w:val="22"/>
        </w:rPr>
        <w:t>ii</w:t>
      </w:r>
      <w:proofErr w:type="spellEnd"/>
      <w:r>
        <w:rPr>
          <w:rFonts w:ascii="Arial" w:hAnsi="Arial" w:cs="Arial"/>
          <w:color w:val="000000"/>
          <w:sz w:val="22"/>
          <w:szCs w:val="22"/>
        </w:rPr>
        <w:t>), conjuntamente, a “</w:t>
      </w:r>
      <w:r>
        <w:rPr>
          <w:rFonts w:ascii="Arial" w:hAnsi="Arial" w:cs="Arial"/>
          <w:color w:val="000000"/>
          <w:sz w:val="22"/>
          <w:szCs w:val="22"/>
          <w:u w:val="single"/>
        </w:rPr>
        <w:t>Operação</w:t>
      </w:r>
      <w:r>
        <w:rPr>
          <w:rFonts w:ascii="Arial" w:hAnsi="Arial" w:cs="Arial"/>
          <w:color w:val="000000"/>
          <w:sz w:val="22"/>
          <w:szCs w:val="22"/>
        </w:rPr>
        <w:t>”). Ressalta-se, contudo, que a referida Operação se encontra sujeita ao cumprimento de condições precedentes usuais, tais como, mas não limitada à aprovação pela autoridade concorrencial brasileira (CADE).</w:t>
      </w:r>
      <w:r>
        <w:rPr>
          <w:rFonts w:ascii="Arial" w:hAnsi="Arial" w:cs="Arial"/>
          <w:smallCaps/>
          <w:sz w:val="22"/>
          <w:szCs w:val="22"/>
        </w:rPr>
        <w:t xml:space="preserve"> </w:t>
      </w:r>
      <w:r>
        <w:rPr>
          <w:rFonts w:ascii="Arial" w:hAnsi="Arial" w:cs="Arial"/>
          <w:color w:val="000000"/>
          <w:sz w:val="22"/>
          <w:szCs w:val="22"/>
        </w:rPr>
        <w:t>Nesse sentido, a Ordem do Dia desta Assembleia é</w:t>
      </w:r>
      <w:r>
        <w:rPr>
          <w:rFonts w:ascii="Arial" w:hAnsi="Arial" w:cs="Arial"/>
          <w:smallCaps/>
          <w:sz w:val="22"/>
          <w:szCs w:val="22"/>
        </w:rPr>
        <w:t xml:space="preserve"> </w:t>
      </w:r>
      <w:r>
        <w:rPr>
          <w:rFonts w:ascii="Arial" w:hAnsi="Arial" w:cs="Arial"/>
          <w:sz w:val="22"/>
          <w:szCs w:val="22"/>
        </w:rPr>
        <w:t xml:space="preserve">examinar, discutir e deliberar sobre </w:t>
      </w:r>
      <w:r>
        <w:rPr>
          <w:rFonts w:ascii="Arial" w:hAnsi="Arial" w:cs="Arial"/>
          <w:b/>
          <w:sz w:val="22"/>
          <w:szCs w:val="22"/>
        </w:rPr>
        <w:t xml:space="preserve">(a) </w:t>
      </w:r>
      <w:r>
        <w:rPr>
          <w:rFonts w:ascii="Arial" w:hAnsi="Arial" w:cs="Arial"/>
          <w:sz w:val="22"/>
          <w:szCs w:val="22"/>
        </w:rPr>
        <w:t>a concessão de anuência prévia (</w:t>
      </w:r>
      <w:proofErr w:type="spellStart"/>
      <w:r>
        <w:rPr>
          <w:rFonts w:ascii="Arial" w:hAnsi="Arial" w:cs="Arial"/>
          <w:i/>
          <w:sz w:val="22"/>
          <w:szCs w:val="22"/>
        </w:rPr>
        <w:t>waiver</w:t>
      </w:r>
      <w:proofErr w:type="spellEnd"/>
      <w:r>
        <w:rPr>
          <w:rFonts w:ascii="Arial" w:hAnsi="Arial" w:cs="Arial"/>
          <w:sz w:val="22"/>
          <w:szCs w:val="22"/>
        </w:rPr>
        <w:t xml:space="preserve">) </w:t>
      </w:r>
      <w:r>
        <w:rPr>
          <w:rFonts w:ascii="Arial" w:hAnsi="Arial" w:cs="Arial"/>
          <w:b/>
          <w:sz w:val="22"/>
          <w:szCs w:val="22"/>
        </w:rPr>
        <w:t xml:space="preserve">(1) </w:t>
      </w:r>
      <w:r>
        <w:rPr>
          <w:rFonts w:ascii="Arial" w:hAnsi="Arial" w:cs="Arial"/>
          <w:sz w:val="22"/>
          <w:szCs w:val="22"/>
        </w:rPr>
        <w:t>à transferência do controle acionário da Emissora, em observância ao disposto na Cláusula 5.4.1.4, item (</w:t>
      </w:r>
      <w:proofErr w:type="spellStart"/>
      <w:r>
        <w:rPr>
          <w:rFonts w:ascii="Arial" w:hAnsi="Arial" w:cs="Arial"/>
          <w:sz w:val="22"/>
          <w:szCs w:val="22"/>
        </w:rPr>
        <w:t>xii</w:t>
      </w:r>
      <w:proofErr w:type="spellEnd"/>
      <w:r>
        <w:rPr>
          <w:rFonts w:ascii="Arial" w:hAnsi="Arial" w:cs="Arial"/>
          <w:sz w:val="22"/>
          <w:szCs w:val="22"/>
        </w:rPr>
        <w:t>) da Escritura de Emissão, tendo em vista a possibilidade dos controladores diretos e únicos acionistas da Emissora, Luiz Lopes Mendonça Filho (“</w:t>
      </w:r>
      <w:r>
        <w:rPr>
          <w:rFonts w:ascii="Arial" w:hAnsi="Arial" w:cs="Arial"/>
          <w:sz w:val="22"/>
          <w:szCs w:val="22"/>
          <w:u w:val="single"/>
        </w:rPr>
        <w:t>Luiz</w:t>
      </w:r>
      <w:r>
        <w:rPr>
          <w:rFonts w:ascii="Arial" w:hAnsi="Arial" w:cs="Arial"/>
          <w:sz w:val="22"/>
          <w:szCs w:val="22"/>
        </w:rPr>
        <w:t>) e Aurora Maria Moura Mendonça (“</w:t>
      </w:r>
      <w:r>
        <w:rPr>
          <w:rFonts w:ascii="Arial" w:hAnsi="Arial" w:cs="Arial"/>
          <w:sz w:val="22"/>
          <w:szCs w:val="22"/>
          <w:u w:val="single"/>
        </w:rPr>
        <w:t>Aurora</w:t>
      </w:r>
      <w:r>
        <w:rPr>
          <w:rFonts w:ascii="Arial" w:hAnsi="Arial" w:cs="Arial"/>
          <w:sz w:val="22"/>
          <w:szCs w:val="22"/>
        </w:rPr>
        <w:t xml:space="preserve">”), reduzirem sua participação na Emissora a menos de 50% (cinquenta por cento) do capital social votante da Emissora; e </w:t>
      </w:r>
      <w:r>
        <w:rPr>
          <w:rFonts w:ascii="Arial" w:hAnsi="Arial" w:cs="Arial"/>
          <w:b/>
          <w:sz w:val="22"/>
          <w:szCs w:val="22"/>
        </w:rPr>
        <w:t>(2)</w:t>
      </w:r>
      <w:r>
        <w:rPr>
          <w:rFonts w:ascii="Arial" w:hAnsi="Arial" w:cs="Arial"/>
          <w:sz w:val="22"/>
          <w:szCs w:val="22"/>
        </w:rPr>
        <w:t xml:space="preserve"> à reorganização societária da Emissora, em observância ao disposto na Cláusula 5.4.1.4, item (</w:t>
      </w:r>
      <w:proofErr w:type="spellStart"/>
      <w:r>
        <w:rPr>
          <w:rFonts w:ascii="Arial" w:hAnsi="Arial" w:cs="Arial"/>
          <w:sz w:val="22"/>
          <w:szCs w:val="22"/>
        </w:rPr>
        <w:t>xiii</w:t>
      </w:r>
      <w:proofErr w:type="spellEnd"/>
      <w:r>
        <w:rPr>
          <w:rFonts w:ascii="Arial" w:hAnsi="Arial" w:cs="Arial"/>
          <w:sz w:val="22"/>
          <w:szCs w:val="22"/>
        </w:rPr>
        <w:t xml:space="preserve">) da Escritura de Emissão, em decorrência </w:t>
      </w:r>
      <w:r>
        <w:rPr>
          <w:rFonts w:ascii="Arial" w:hAnsi="Arial" w:cs="Arial"/>
          <w:b/>
          <w:sz w:val="22"/>
          <w:szCs w:val="22"/>
        </w:rPr>
        <w:t>(2.1)</w:t>
      </w:r>
      <w:r>
        <w:rPr>
          <w:rFonts w:ascii="Arial" w:hAnsi="Arial" w:cs="Arial"/>
          <w:sz w:val="22"/>
          <w:szCs w:val="22"/>
        </w:rPr>
        <w:t xml:space="preserve"> da aquisição, pela </w:t>
      </w:r>
      <w:proofErr w:type="spellStart"/>
      <w:r>
        <w:rPr>
          <w:rFonts w:ascii="Arial" w:hAnsi="Arial" w:cs="Arial"/>
          <w:sz w:val="22"/>
          <w:szCs w:val="22"/>
        </w:rPr>
        <w:t>Fleetzil</w:t>
      </w:r>
      <w:proofErr w:type="spellEnd"/>
      <w:r>
        <w:rPr>
          <w:rFonts w:ascii="Arial" w:hAnsi="Arial" w:cs="Arial"/>
          <w:sz w:val="22"/>
          <w:szCs w:val="22"/>
        </w:rPr>
        <w:t>, de ações representativas de 39,66% (trinta e nove vírgula sessenta e seis por cento) do capital social da Emissora detidas por Luiz e Aurora; bem como a subscrição de novas ações</w:t>
      </w:r>
      <w:r>
        <w:rPr>
          <w:rFonts w:ascii="Arial" w:hAnsi="Arial" w:cs="Arial"/>
          <w:color w:val="000000"/>
          <w:sz w:val="22"/>
          <w:szCs w:val="22"/>
        </w:rPr>
        <w:t xml:space="preserve"> representativas de 15,49% (quinze vírgula quarenta e nove por cento) do capital social da Emissora</w:t>
      </w:r>
      <w:r>
        <w:rPr>
          <w:rFonts w:ascii="Arial" w:hAnsi="Arial" w:cs="Arial"/>
          <w:sz w:val="22"/>
          <w:szCs w:val="22"/>
        </w:rPr>
        <w:t xml:space="preserve">, pela </w:t>
      </w:r>
      <w:proofErr w:type="spellStart"/>
      <w:r>
        <w:rPr>
          <w:rFonts w:ascii="Arial" w:hAnsi="Arial" w:cs="Arial"/>
          <w:sz w:val="22"/>
          <w:szCs w:val="22"/>
        </w:rPr>
        <w:t>Fleetzil</w:t>
      </w:r>
      <w:proofErr w:type="spellEnd"/>
      <w:r>
        <w:rPr>
          <w:rFonts w:ascii="Arial" w:hAnsi="Arial" w:cs="Arial"/>
          <w:sz w:val="22"/>
          <w:szCs w:val="22"/>
        </w:rPr>
        <w:t xml:space="preserve">, mediante aumento de capital da Emissora, o qual será totalmente subscrito e integralizado pela </w:t>
      </w:r>
      <w:proofErr w:type="spellStart"/>
      <w:r>
        <w:rPr>
          <w:rFonts w:ascii="Arial" w:hAnsi="Arial" w:cs="Arial"/>
          <w:sz w:val="22"/>
          <w:szCs w:val="22"/>
        </w:rPr>
        <w:t>Fleetzil</w:t>
      </w:r>
      <w:proofErr w:type="spellEnd"/>
      <w:r>
        <w:rPr>
          <w:rFonts w:ascii="Arial" w:hAnsi="Arial" w:cs="Arial"/>
          <w:sz w:val="22"/>
          <w:szCs w:val="22"/>
        </w:rPr>
        <w:t xml:space="preserve">; e </w:t>
      </w:r>
      <w:r>
        <w:rPr>
          <w:rFonts w:ascii="Arial" w:hAnsi="Arial" w:cs="Arial"/>
          <w:b/>
          <w:sz w:val="22"/>
          <w:szCs w:val="22"/>
        </w:rPr>
        <w:t>(2.2)</w:t>
      </w:r>
      <w:r>
        <w:rPr>
          <w:rFonts w:ascii="Arial" w:hAnsi="Arial" w:cs="Arial"/>
          <w:sz w:val="22"/>
          <w:szCs w:val="22"/>
        </w:rPr>
        <w:t xml:space="preserve"> ato contínuo, a incorporação da </w:t>
      </w:r>
      <w:proofErr w:type="spellStart"/>
      <w:r>
        <w:rPr>
          <w:rFonts w:ascii="Arial" w:hAnsi="Arial" w:cs="Arial"/>
          <w:sz w:val="22"/>
          <w:szCs w:val="22"/>
        </w:rPr>
        <w:t>Fleetzil</w:t>
      </w:r>
      <w:proofErr w:type="spellEnd"/>
      <w:r>
        <w:rPr>
          <w:rFonts w:ascii="Arial" w:hAnsi="Arial" w:cs="Arial"/>
          <w:sz w:val="22"/>
          <w:szCs w:val="22"/>
        </w:rPr>
        <w:t xml:space="preserve"> pela Emissora e decorrente combinação de seus negócios, de forma que a única acionista da </w:t>
      </w:r>
      <w:proofErr w:type="spellStart"/>
      <w:r>
        <w:rPr>
          <w:rFonts w:ascii="Arial" w:hAnsi="Arial" w:cs="Arial"/>
          <w:sz w:val="22"/>
          <w:szCs w:val="22"/>
        </w:rPr>
        <w:t>Fleetzil</w:t>
      </w:r>
      <w:proofErr w:type="spellEnd"/>
      <w:r>
        <w:rPr>
          <w:rFonts w:ascii="Arial" w:hAnsi="Arial" w:cs="Arial"/>
          <w:sz w:val="22"/>
          <w:szCs w:val="22"/>
        </w:rPr>
        <w:t xml:space="preserve"> (à época do fechamento), tornar-se-á acionista direta da Emissora e detentora de ações representativas de, no máximo, 60% (sessenta por cento) do capital social total e votante </w:t>
      </w:r>
      <w:r>
        <w:rPr>
          <w:rFonts w:ascii="Arial" w:hAnsi="Arial" w:cs="Arial"/>
          <w:sz w:val="22"/>
          <w:szCs w:val="22"/>
        </w:rPr>
        <w:lastRenderedPageBreak/>
        <w:t>da Emissora, reduzindo a participação de Luiz e Aurora para, no mínimo, 40% (quarenta por cento) do capital social total e votante da Emissora</w:t>
      </w:r>
      <w:r>
        <w:rPr>
          <w:rFonts w:ascii="Arial" w:hAnsi="Arial" w:cs="Arial"/>
          <w:color w:val="000000"/>
          <w:sz w:val="22"/>
          <w:szCs w:val="22"/>
        </w:rPr>
        <w:t>;</w:t>
      </w:r>
      <w:r>
        <w:rPr>
          <w:rFonts w:ascii="Arial" w:hAnsi="Arial" w:cs="Arial"/>
          <w:sz w:val="22"/>
          <w:szCs w:val="22"/>
        </w:rPr>
        <w:t xml:space="preserve"> e </w:t>
      </w:r>
      <w:r>
        <w:rPr>
          <w:rFonts w:ascii="Arial" w:hAnsi="Arial" w:cs="Arial"/>
          <w:b/>
          <w:sz w:val="22"/>
          <w:szCs w:val="22"/>
        </w:rPr>
        <w:t>(b)</w:t>
      </w:r>
      <w:r>
        <w:rPr>
          <w:rFonts w:ascii="Arial" w:hAnsi="Arial" w:cs="Arial"/>
          <w:sz w:val="22"/>
          <w:szCs w:val="22"/>
        </w:rPr>
        <w:t xml:space="preserve"> a autorização ao Agente Fiduciário, à Emissora e ao Fiador para tomarem todas as providências necessárias para refletir as deliberações desta Assembleia nos documentos da Emissão, conforme aplicável.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pPr>
        <w:pStyle w:val="PargrafodaLista"/>
        <w:spacing w:line="312" w:lineRule="auto"/>
        <w:ind w:left="1080"/>
        <w:rPr>
          <w:rFonts w:ascii="Arial" w:hAnsi="Arial" w:cs="Arial"/>
          <w:sz w:val="22"/>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concessão de anuência prévia (</w:t>
      </w:r>
      <w:proofErr w:type="spellStart"/>
      <w:r>
        <w:rPr>
          <w:rFonts w:eastAsia="MS Mincho"/>
          <w:b w:val="0"/>
          <w:bCs/>
          <w:i/>
          <w:color w:val="000000" w:themeColor="text1"/>
          <w:szCs w:val="22"/>
        </w:rPr>
        <w:t>waiver</w:t>
      </w:r>
      <w:proofErr w:type="spellEnd"/>
      <w:r>
        <w:rPr>
          <w:rFonts w:eastAsia="MS Mincho"/>
          <w:b w:val="0"/>
          <w:bCs/>
          <w:color w:val="000000" w:themeColor="text1"/>
          <w:szCs w:val="22"/>
        </w:rPr>
        <w:t xml:space="preserve">) com relação à </w:t>
      </w:r>
      <w:r>
        <w:rPr>
          <w:rFonts w:eastAsia="MS Mincho"/>
          <w:b w:val="0"/>
          <w:color w:val="000000" w:themeColor="text1"/>
          <w:szCs w:val="22"/>
        </w:rPr>
        <w:t>proposta da Emissora para realização da</w:t>
      </w:r>
      <w:r>
        <w:rPr>
          <w:rFonts w:eastAsia="MS Mincho"/>
          <w:b w:val="0"/>
          <w:bCs/>
          <w:color w:val="000000" w:themeColor="text1"/>
          <w:szCs w:val="22"/>
        </w:rPr>
        <w:t xml:space="preserve"> Operação descrita nos itens</w:t>
      </w:r>
      <w:r>
        <w:rPr>
          <w:color w:val="000000"/>
          <w:szCs w:val="22"/>
        </w:rPr>
        <w:t xml:space="preserve"> </w:t>
      </w:r>
      <w:r>
        <w:rPr>
          <w:rFonts w:eastAsia="MS Mincho"/>
          <w:b w:val="0"/>
          <w:bCs/>
          <w:color w:val="000000" w:themeColor="text1"/>
          <w:szCs w:val="22"/>
        </w:rPr>
        <w:t>(i) e (</w:t>
      </w:r>
      <w:proofErr w:type="spellStart"/>
      <w:r>
        <w:rPr>
          <w:rFonts w:eastAsia="MS Mincho"/>
          <w:b w:val="0"/>
          <w:bCs/>
          <w:color w:val="000000" w:themeColor="text1"/>
          <w:szCs w:val="22"/>
        </w:rPr>
        <w:t>ii</w:t>
      </w:r>
      <w:proofErr w:type="spellEnd"/>
      <w:r>
        <w:rPr>
          <w:rFonts w:eastAsia="MS Mincho"/>
          <w:b w:val="0"/>
          <w:bCs/>
          <w:color w:val="000000" w:themeColor="text1"/>
          <w:szCs w:val="22"/>
        </w:rPr>
        <w:t>) da Ordem do Dia, nos termos da Cláusula 5.4.1.4, item (</w:t>
      </w:r>
      <w:proofErr w:type="spellStart"/>
      <w:r>
        <w:rPr>
          <w:rFonts w:eastAsia="MS Mincho"/>
          <w:b w:val="0"/>
          <w:bCs/>
          <w:color w:val="000000" w:themeColor="text1"/>
          <w:szCs w:val="22"/>
        </w:rPr>
        <w:t>xii</w:t>
      </w:r>
      <w:proofErr w:type="spellEnd"/>
      <w:r>
        <w:rPr>
          <w:rFonts w:eastAsia="MS Mincho"/>
          <w:b w:val="0"/>
          <w:bCs/>
          <w:color w:val="000000" w:themeColor="text1"/>
          <w:szCs w:val="22"/>
        </w:rPr>
        <w:t>) da Escritura de Emissão;</w:t>
      </w:r>
    </w:p>
    <w:p>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concessão de anuência prévia (</w:t>
      </w:r>
      <w:proofErr w:type="spellStart"/>
      <w:r>
        <w:rPr>
          <w:rFonts w:eastAsia="MS Mincho"/>
          <w:b w:val="0"/>
          <w:bCs/>
          <w:i/>
          <w:color w:val="000000" w:themeColor="text1"/>
          <w:szCs w:val="22"/>
        </w:rPr>
        <w:t>waiver</w:t>
      </w:r>
      <w:proofErr w:type="spellEnd"/>
      <w:r>
        <w:rPr>
          <w:rFonts w:eastAsia="MS Mincho"/>
          <w:b w:val="0"/>
          <w:bCs/>
          <w:color w:val="000000" w:themeColor="text1"/>
          <w:szCs w:val="22"/>
        </w:rPr>
        <w:t xml:space="preserve">) com relação à </w:t>
      </w:r>
      <w:r>
        <w:rPr>
          <w:rFonts w:eastAsia="MS Mincho"/>
          <w:b w:val="0"/>
          <w:color w:val="000000" w:themeColor="text1"/>
          <w:szCs w:val="22"/>
        </w:rPr>
        <w:t xml:space="preserve">proposta da Emissora da reorganização societária </w:t>
      </w:r>
      <w:r>
        <w:rPr>
          <w:rFonts w:eastAsia="MS Mincho"/>
          <w:b w:val="0"/>
          <w:bCs/>
          <w:color w:val="000000" w:themeColor="text1"/>
          <w:szCs w:val="22"/>
        </w:rPr>
        <w:t>em decorrência da Operação, conforme descrita nos itens</w:t>
      </w:r>
      <w:r>
        <w:rPr>
          <w:color w:val="000000"/>
          <w:szCs w:val="22"/>
        </w:rPr>
        <w:t xml:space="preserve"> </w:t>
      </w:r>
      <w:r>
        <w:rPr>
          <w:rFonts w:eastAsia="MS Mincho"/>
          <w:b w:val="0"/>
          <w:bCs/>
          <w:color w:val="000000" w:themeColor="text1"/>
          <w:szCs w:val="22"/>
        </w:rPr>
        <w:t>(1) e (2) da Ordem do Dia, nos termos da Cláusula 5.4.1.4, item (</w:t>
      </w:r>
      <w:proofErr w:type="spellStart"/>
      <w:r>
        <w:rPr>
          <w:rFonts w:eastAsia="MS Mincho"/>
          <w:b w:val="0"/>
          <w:bCs/>
          <w:color w:val="000000" w:themeColor="text1"/>
          <w:szCs w:val="22"/>
        </w:rPr>
        <w:t>xiii</w:t>
      </w:r>
      <w:proofErr w:type="spellEnd"/>
      <w:r>
        <w:rPr>
          <w:rFonts w:eastAsia="MS Mincho"/>
          <w:b w:val="0"/>
          <w:bCs/>
          <w:color w:val="000000" w:themeColor="text1"/>
          <w:szCs w:val="22"/>
        </w:rPr>
        <w:t>) da Escritura de Emissão; e</w:t>
      </w:r>
    </w:p>
    <w:p>
      <w:pPr>
        <w:pStyle w:val="Level1"/>
        <w:keepNext w:val="0"/>
        <w:widowControl w:val="0"/>
        <w:tabs>
          <w:tab w:val="clear" w:pos="680"/>
        </w:tabs>
        <w:spacing w:before="0" w:after="0" w:line="340" w:lineRule="exact"/>
        <w:rPr>
          <w:rFonts w:eastAsia="MS Mincho"/>
          <w:b w:val="0"/>
          <w:bCs/>
          <w:color w:val="000000" w:themeColor="text1"/>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Agente Fiduciário, a Emissora e o Fiador a tomarem todas as providências necessárias para refletir as deliberações desta Assembleia nos documentos da Emissão, conforme aplicável.</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pPr>
        <w:spacing w:after="0" w:line="312" w:lineRule="auto"/>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Salvador, 22 de novembro de 2021.</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trPr>
          <w:cantSplit/>
        </w:trPr>
        <w:tc>
          <w:tcPr>
            <w:tcW w:w="3616"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Luiz Lopes Mendonça Filho</w:t>
            </w:r>
            <w:r>
              <w:rPr>
                <w:rFonts w:ascii="Arial" w:hAnsi="Arial" w:cs="Arial"/>
                <w:sz w:val="22"/>
                <w:szCs w:val="22"/>
              </w:rPr>
              <w:br/>
              <w:t xml:space="preserve">CPF: 023.756.805-53                                             </w:t>
            </w:r>
            <w:r>
              <w:rPr>
                <w:rFonts w:ascii="Arial" w:hAnsi="Arial" w:cs="Arial"/>
                <w:sz w:val="22"/>
                <w:szCs w:val="22"/>
              </w:rPr>
              <w:br/>
              <w:t>Presidente</w:t>
            </w:r>
          </w:p>
        </w:tc>
        <w:tc>
          <w:tcPr>
            <w:tcW w:w="567" w:type="dxa"/>
          </w:tcPr>
          <w:p>
            <w:pPr>
              <w:spacing w:after="0" w:line="312" w:lineRule="auto"/>
              <w:jc w:val="center"/>
              <w:rPr>
                <w:rFonts w:ascii="Arial" w:hAnsi="Arial" w:cs="Arial"/>
                <w:sz w:val="22"/>
                <w:szCs w:val="22"/>
              </w:rPr>
            </w:pPr>
          </w:p>
        </w:tc>
        <w:tc>
          <w:tcPr>
            <w:tcW w:w="4820" w:type="dxa"/>
            <w:tcBorders>
              <w:top w:val="single" w:sz="6" w:space="0" w:color="auto"/>
            </w:tcBorders>
          </w:tcPr>
          <w:p>
            <w:pPr>
              <w:spacing w:after="0" w:line="312" w:lineRule="auto"/>
              <w:jc w:val="center"/>
              <w:rPr>
                <w:rFonts w:ascii="Arial" w:hAnsi="Arial" w:cs="Arial"/>
                <w:b/>
                <w:sz w:val="22"/>
                <w:szCs w:val="22"/>
              </w:rPr>
            </w:pPr>
            <w:r>
              <w:rPr>
                <w:rFonts w:ascii="Arial" w:hAnsi="Arial" w:cs="Arial"/>
                <w:b/>
                <w:sz w:val="22"/>
                <w:szCs w:val="22"/>
              </w:rPr>
              <w:t xml:space="preserve">Matheus Gomes Faria </w:t>
            </w:r>
          </w:p>
          <w:p>
            <w:pPr>
              <w:spacing w:after="0" w:line="312" w:lineRule="auto"/>
              <w:jc w:val="center"/>
              <w:rPr>
                <w:rFonts w:ascii="Arial" w:hAnsi="Arial" w:cs="Arial"/>
                <w:sz w:val="22"/>
                <w:szCs w:val="22"/>
              </w:rPr>
            </w:pPr>
            <w:r>
              <w:rPr>
                <w:rFonts w:ascii="Arial" w:hAnsi="Arial" w:cs="Arial"/>
                <w:sz w:val="22"/>
                <w:szCs w:val="22"/>
              </w:rPr>
              <w:t>CPF: 058.133.117-69</w:t>
            </w:r>
          </w:p>
          <w:p>
            <w:pPr>
              <w:spacing w:after="0" w:line="312" w:lineRule="auto"/>
              <w:jc w:val="center"/>
              <w:rPr>
                <w:rFonts w:ascii="Arial" w:hAnsi="Arial" w:cs="Arial"/>
                <w:sz w:val="22"/>
                <w:szCs w:val="22"/>
              </w:rPr>
            </w:pPr>
            <w:r>
              <w:rPr>
                <w:rFonts w:ascii="Arial" w:hAnsi="Arial" w:cs="Arial"/>
                <w:sz w:val="22"/>
                <w:szCs w:val="22"/>
              </w:rPr>
              <w:t>Secretário</w:t>
            </w:r>
          </w:p>
        </w:tc>
      </w:tr>
    </w:tbl>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22 de novembro de 2021)</w:t>
      </w:r>
    </w:p>
    <w:p>
      <w:pPr>
        <w:spacing w:after="0" w:line="312" w:lineRule="auto"/>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Emissora:</w:t>
      </w:r>
    </w:p>
    <w:p>
      <w:pPr>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pPr>
        <w:pStyle w:val="Corpodetexto"/>
        <w:spacing w:after="0" w:line="312" w:lineRule="auto"/>
        <w:rPr>
          <w:rFonts w:ascii="Arial" w:hAnsi="Arial" w:cs="Arial"/>
          <w:smallCap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pStyle w:val="Corpodetexto"/>
        <w:spacing w:after="0" w:line="312" w:lineRule="auto"/>
        <w:rPr>
          <w:rFonts w:ascii="Arial" w:hAnsi="Arial" w:cs="Arial"/>
          <w:b/>
          <w:sz w:val="22"/>
          <w:szCs w:val="22"/>
        </w:rPr>
      </w:pPr>
      <w:r>
        <w:rPr>
          <w:rFonts w:ascii="Arial" w:hAnsi="Arial" w:cs="Arial"/>
          <w:b/>
          <w:sz w:val="22"/>
          <w:szCs w:val="22"/>
        </w:rPr>
        <w:t xml:space="preserve">Fiador: </w:t>
      </w:r>
    </w:p>
    <w:p>
      <w:pPr>
        <w:pStyle w:val="Corpodetexto"/>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pPr>
        <w:pStyle w:val="Corpodetexto"/>
        <w:spacing w:after="0" w:line="312" w:lineRule="auto"/>
        <w:jc w:val="center"/>
        <w:rPr>
          <w:rFonts w:ascii="Arial" w:hAnsi="Arial" w:cs="Arial"/>
          <w:b/>
          <w:bC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spacing w:after="0" w:line="312" w:lineRule="auto"/>
        <w:rPr>
          <w:rFonts w:ascii="Arial" w:hAnsi="Arial" w:cs="Arial"/>
          <w:b/>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22 de novembro de 2021)</w:t>
      </w: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Agente Fiduciário:</w:t>
      </w:r>
    </w:p>
    <w:p>
      <w:pPr>
        <w:spacing w:after="0" w:line="312" w:lineRule="auto"/>
        <w:rPr>
          <w:rFonts w:ascii="Arial" w:hAnsi="Arial" w:cs="Arial"/>
          <w:sz w:val="22"/>
          <w:szCs w:val="22"/>
        </w:rPr>
      </w:pPr>
    </w:p>
    <w:p>
      <w:pPr>
        <w:spacing w:after="0" w:line="312" w:lineRule="auto"/>
        <w:rPr>
          <w:rFonts w:ascii="Arial" w:hAnsi="Arial" w:cs="Arial"/>
          <w:sz w:val="22"/>
          <w:szCs w:val="22"/>
        </w:rPr>
      </w:pPr>
    </w:p>
    <w:p>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pPr>
        <w:pStyle w:val="Default"/>
        <w:spacing w:line="312" w:lineRule="auto"/>
        <w:ind w:right="-284"/>
        <w:jc w:val="both"/>
        <w:rPr>
          <w:rFonts w:ascii="Arial" w:hAnsi="Arial" w:cs="Arial"/>
          <w:sz w:val="22"/>
          <w:szCs w:val="22"/>
        </w:rPr>
      </w:pPr>
      <w:r>
        <w:rPr>
          <w:rFonts w:ascii="Arial" w:hAnsi="Arial" w:cs="Arial"/>
          <w:sz w:val="22"/>
          <w:szCs w:val="22"/>
        </w:rPr>
        <w:t>Cargo: Diretor</w:t>
      </w:r>
    </w:p>
    <w:p>
      <w:pPr>
        <w:pStyle w:val="Default"/>
        <w:spacing w:line="312" w:lineRule="auto"/>
        <w:ind w:right="-284"/>
        <w:jc w:val="both"/>
        <w:rPr>
          <w:rFonts w:ascii="Arial" w:hAnsi="Arial" w:cs="Arial"/>
          <w:sz w:val="22"/>
          <w:szCs w:val="22"/>
        </w:rPr>
      </w:pPr>
      <w:r>
        <w:rPr>
          <w:rFonts w:ascii="Arial" w:hAnsi="Arial" w:cs="Arial"/>
          <w:sz w:val="22"/>
          <w:szCs w:val="22"/>
        </w:rPr>
        <w:t>CPF nº: 058.133.117-69</w:t>
      </w:r>
    </w:p>
    <w:p>
      <w:pPr>
        <w:pStyle w:val="Corpodetexto"/>
        <w:spacing w:after="0" w:line="312" w:lineRule="auto"/>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22 de novembro de 2021)</w:t>
      </w:r>
    </w:p>
    <w:p>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w:t>
            </w:r>
          </w:p>
        </w:tc>
      </w:tr>
      <w:tr>
        <w:tc>
          <w:tcPr>
            <w:tcW w:w="1561"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_________________________________</w:t>
            </w:r>
          </w:p>
          <w:p>
            <w:pPr>
              <w:pStyle w:val="Default"/>
            </w:pPr>
          </w:p>
          <w:p>
            <w:pPr>
              <w:spacing w:after="0" w:line="312" w:lineRule="auto"/>
              <w:jc w:val="center"/>
              <w:rPr>
                <w:rFonts w:ascii="Arial" w:hAnsi="Arial" w:cs="Arial"/>
                <w:sz w:val="22"/>
                <w:szCs w:val="22"/>
              </w:rPr>
            </w:pPr>
            <w:r>
              <w:rPr>
                <w:rFonts w:ascii="Arial" w:hAnsi="Arial" w:cs="Arial"/>
                <w:sz w:val="22"/>
                <w:szCs w:val="22"/>
              </w:rPr>
              <w:t>Alexandre Mathews Sturm Coutinho</w:t>
            </w:r>
          </w:p>
          <w:p>
            <w:pPr>
              <w:spacing w:after="0" w:line="312" w:lineRule="auto"/>
              <w:jc w:val="center"/>
              <w:rPr>
                <w:rFonts w:ascii="Arial" w:hAnsi="Arial" w:cs="Arial"/>
                <w:sz w:val="22"/>
                <w:szCs w:val="22"/>
              </w:rPr>
            </w:pPr>
            <w:r>
              <w:rPr>
                <w:rFonts w:ascii="Arial" w:hAnsi="Arial" w:cs="Arial"/>
                <w:sz w:val="22"/>
                <w:szCs w:val="22"/>
              </w:rPr>
              <w:t xml:space="preserve">CPF: </w:t>
            </w:r>
            <w:r>
              <w:rPr>
                <w:rFonts w:ascii="Arial" w:hAnsi="Arial" w:cs="Arial"/>
                <w:sz w:val="22"/>
                <w:szCs w:val="22"/>
              </w:rPr>
              <w:t>012.666.287-89</w:t>
            </w:r>
          </w:p>
          <w:p>
            <w:pPr>
              <w:spacing w:after="0" w:line="312" w:lineRule="auto"/>
              <w:jc w:val="center"/>
              <w:rPr>
                <w:rFonts w:ascii="Arial" w:hAnsi="Arial" w:cs="Arial"/>
                <w:sz w:val="22"/>
                <w:szCs w:val="22"/>
              </w:rPr>
            </w:pPr>
          </w:p>
          <w:p>
            <w:pPr>
              <w:spacing w:line="312" w:lineRule="auto"/>
              <w:jc w:val="center"/>
              <w:rPr>
                <w:sz w:val="24"/>
              </w:rPr>
            </w:pPr>
            <w:proofErr w:type="gramStart"/>
            <w:r>
              <w:rPr>
                <w:rFonts w:ascii="Arial" w:hAnsi="Arial" w:cs="Arial"/>
                <w:sz w:val="22"/>
                <w:szCs w:val="22"/>
              </w:rPr>
              <w:t>x</w:t>
            </w:r>
            <w:proofErr w:type="gramEnd"/>
            <w:r>
              <w:rPr>
                <w:rFonts w:ascii="Arial" w:hAnsi="Arial" w:cs="Arial"/>
                <w:sz w:val="22"/>
                <w:szCs w:val="22"/>
              </w:rPr>
              <w:t>________________________________</w:t>
            </w:r>
          </w:p>
          <w:p>
            <w:pPr>
              <w:spacing w:line="312" w:lineRule="auto"/>
              <w:jc w:val="center"/>
              <w:rPr>
                <w:rFonts w:ascii="Arial" w:hAnsi="Arial" w:cs="Arial"/>
                <w:sz w:val="22"/>
                <w:szCs w:val="22"/>
              </w:rPr>
            </w:pPr>
            <w:r>
              <w:rPr>
                <w:rFonts w:ascii="Arial" w:hAnsi="Arial" w:cs="Arial"/>
                <w:sz w:val="22"/>
                <w:szCs w:val="22"/>
              </w:rPr>
              <w:t>André Chaves Birnbaum</w:t>
            </w:r>
          </w:p>
          <w:p>
            <w:pPr>
              <w:spacing w:line="312" w:lineRule="auto"/>
              <w:jc w:val="center"/>
              <w:rPr>
                <w:rFonts w:ascii="Arial" w:hAnsi="Arial" w:cs="Arial"/>
                <w:sz w:val="22"/>
                <w:szCs w:val="22"/>
              </w:rPr>
            </w:pPr>
            <w:r>
              <w:rPr>
                <w:rFonts w:ascii="Arial" w:hAnsi="Arial" w:cs="Arial"/>
                <w:sz w:val="22"/>
                <w:szCs w:val="22"/>
              </w:rPr>
              <w:t xml:space="preserve">CPF: </w:t>
            </w:r>
            <w:r>
              <w:rPr>
                <w:rFonts w:ascii="Arial" w:hAnsi="Arial" w:cs="Arial"/>
                <w:sz w:val="22"/>
                <w:szCs w:val="22"/>
              </w:rPr>
              <w:t>399.475.368-66</w:t>
            </w:r>
          </w:p>
          <w:p>
            <w:pPr>
              <w:spacing w:after="0" w:line="312" w:lineRule="auto"/>
              <w:jc w:val="center"/>
              <w:rPr>
                <w:rFonts w:ascii="Arial" w:hAnsi="Arial" w:cs="Arial"/>
                <w:sz w:val="22"/>
                <w:szCs w:val="22"/>
              </w:rPr>
            </w:pPr>
            <w:bookmarkStart w:id="0" w:name="_GoBack"/>
            <w:bookmarkEnd w:id="0"/>
          </w:p>
        </w:tc>
        <w:tc>
          <w:tcPr>
            <w:tcW w:w="2150"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100%</w:t>
            </w:r>
          </w:p>
        </w:tc>
      </w:tr>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pPr>
              <w:spacing w:after="0" w:line="312" w:lineRule="auto"/>
              <w:jc w:val="center"/>
              <w:rPr>
                <w:rFonts w:ascii="Arial" w:hAnsi="Arial" w:cs="Arial"/>
                <w:b/>
                <w:sz w:val="22"/>
                <w:szCs w:val="22"/>
              </w:rPr>
            </w:pPr>
          </w:p>
        </w:tc>
        <w:tc>
          <w:tcPr>
            <w:tcW w:w="2150"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100%</w:t>
            </w:r>
          </w:p>
        </w:tc>
      </w:tr>
    </w:tbl>
    <w:p>
      <w:pPr>
        <w:spacing w:after="0" w:line="312" w:lineRule="auto"/>
        <w:rPr>
          <w:rFonts w:ascii="Arial" w:hAnsi="Arial" w:cs="Arial"/>
          <w:sz w:val="22"/>
          <w:szCs w:val="22"/>
        </w:rPr>
      </w:pPr>
    </w:p>
    <w:sectPr>
      <w:footerReference w:type="default" r:id="rId8"/>
      <w:footerReference w:type="first" r:id="rId9"/>
      <w:pgSz w:w="12240" w:h="15840"/>
      <w:pgMar w:top="1135"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B830" w16cex:dateUtc="2021-11-08T17:52:00Z"/>
  <w16cex:commentExtensible w16cex:durableId="2533B87B" w16cex:dateUtc="2021-11-0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818A6D" w16cid:durableId="2533B830"/>
  <w16cid:commentId w16cid:paraId="09FE92BB" w16cid:durableId="2533B8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- 42159504v3 - 12070002.454068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5</w:t>
    </w:r>
    <w:r>
      <w:rPr>
        <w:rStyle w:val="Nmerodepgina"/>
        <w:rFonts w:ascii="Verdana" w:hAnsi="Verdana"/>
        <w:sz w:val="20"/>
        <w:szCs w:val="20"/>
      </w:rPr>
      <w:fldChar w:fldCharType="end"/>
    </w:r>
  </w:p>
  <w:p>
    <w:pPr>
      <w:pStyle w:val="Rodap"/>
      <w:jc w:val="center"/>
      <w:rPr>
        <w:color w:val="FFFFFF" w:themeColor="background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- 42163989v1 - 12070002.454068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3C224B7E"/>
    <w:lvl w:ilvl="0" w:tplc="7EB699FC">
      <w:start w:val="1"/>
      <w:numFmt w:val="lowerLetter"/>
      <w:lvlText w:val="(%1)"/>
      <w:lvlJc w:val="left"/>
      <w:pPr>
        <w:ind w:left="1080" w:hanging="720"/>
      </w:pPr>
      <w:rPr>
        <w:rFonts w:hint="default"/>
        <w:b/>
        <w:bCs w:val="0"/>
        <w:sz w:val="22"/>
        <w:szCs w:val="22"/>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49344AC"/>
    <w:multiLevelType w:val="multilevel"/>
    <w:tmpl w:val="24B80BA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auto"/>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9"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4"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28"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9"/>
  </w:num>
  <w:num w:numId="3">
    <w:abstractNumId w:val="22"/>
  </w:num>
  <w:num w:numId="4">
    <w:abstractNumId w:val="28"/>
  </w:num>
  <w:num w:numId="5">
    <w:abstractNumId w:val="16"/>
  </w:num>
  <w:num w:numId="6">
    <w:abstractNumId w:val="4"/>
  </w:num>
  <w:num w:numId="7">
    <w:abstractNumId w:val="0"/>
  </w:num>
  <w:num w:numId="8">
    <w:abstractNumId w:val="14"/>
  </w:num>
  <w:num w:numId="9">
    <w:abstractNumId w:val="12"/>
  </w:num>
  <w:num w:numId="10">
    <w:abstractNumId w:val="1"/>
  </w:num>
  <w:num w:numId="11">
    <w:abstractNumId w:val="26"/>
  </w:num>
  <w:num w:numId="12">
    <w:abstractNumId w:val="5"/>
  </w:num>
  <w:num w:numId="13">
    <w:abstractNumId w:val="2"/>
  </w:num>
  <w:num w:numId="14">
    <w:abstractNumId w:val="24"/>
  </w:num>
  <w:num w:numId="15">
    <w:abstractNumId w:val="25"/>
  </w:num>
  <w:num w:numId="16">
    <w:abstractNumId w:val="10"/>
  </w:num>
  <w:num w:numId="17">
    <w:abstractNumId w:val="3"/>
  </w:num>
  <w:num w:numId="18">
    <w:abstractNumId w:val="7"/>
  </w:num>
  <w:num w:numId="19">
    <w:abstractNumId w:val="15"/>
  </w:num>
  <w:num w:numId="20">
    <w:abstractNumId w:val="9"/>
  </w:num>
  <w:num w:numId="21">
    <w:abstractNumId w:val="17"/>
  </w:num>
  <w:num w:numId="22">
    <w:abstractNumId w:val="20"/>
  </w:num>
  <w:num w:numId="23">
    <w:abstractNumId w:val="23"/>
  </w:num>
  <w:num w:numId="24">
    <w:abstractNumId w:val="21"/>
  </w:num>
  <w:num w:numId="25">
    <w:abstractNumId w:val="8"/>
  </w:num>
  <w:num w:numId="26">
    <w:abstractNumId w:val="6"/>
  </w:num>
  <w:num w:numId="27">
    <w:abstractNumId w:val="18"/>
  </w:num>
  <w:num w:numId="28">
    <w:abstractNumId w:val="29"/>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customStyle="1" w:styleId="Level1">
    <w:name w:val="Level 1"/>
    <w:basedOn w:val="Normal"/>
    <w:pPr>
      <w:keepNext/>
      <w:tabs>
        <w:tab w:val="num" w:pos="680"/>
      </w:tabs>
      <w:spacing w:before="280" w:after="140" w:line="290" w:lineRule="auto"/>
      <w:ind w:left="680" w:hanging="680"/>
      <w:outlineLvl w:val="0"/>
    </w:pPr>
    <w:rPr>
      <w:rFonts w:ascii="Arial" w:hAnsi="Arial" w:cs="Arial"/>
      <w:b/>
      <w:sz w:val="22"/>
      <w:szCs w:val="20"/>
    </w:rPr>
  </w:style>
  <w:style w:type="paragraph" w:customStyle="1" w:styleId="Level1coluna2">
    <w:name w:val="Level 1 coluna2"/>
    <w:basedOn w:val="Normal"/>
    <w:pPr>
      <w:numPr>
        <w:numId w:val="28"/>
      </w:numPr>
      <w:spacing w:before="60" w:after="60"/>
      <w:jc w:val="left"/>
    </w:pPr>
    <w:rPr>
      <w:b/>
      <w:sz w:val="16"/>
      <w:szCs w:val="20"/>
      <w:lang w:val="en-GB" w:eastAsia="en-GB"/>
    </w:rPr>
  </w:style>
  <w:style w:type="paragraph" w:customStyle="1" w:styleId="Level2coluna2">
    <w:name w:val="Level 2 coluna2"/>
    <w:basedOn w:val="Normal"/>
    <w:pPr>
      <w:numPr>
        <w:ilvl w:val="1"/>
        <w:numId w:val="28"/>
      </w:numPr>
      <w:spacing w:before="60" w:after="60"/>
      <w:jc w:val="left"/>
    </w:pPr>
    <w:rPr>
      <w:sz w:val="16"/>
      <w:szCs w:val="20"/>
      <w:lang w:val="en-GB" w:eastAsia="en-GB"/>
    </w:rPr>
  </w:style>
  <w:style w:type="paragraph" w:customStyle="1" w:styleId="Level3coluna2">
    <w:name w:val="Level 3 coluna2"/>
    <w:basedOn w:val="Normal"/>
    <w:pPr>
      <w:numPr>
        <w:ilvl w:val="2"/>
        <w:numId w:val="28"/>
      </w:numPr>
      <w:spacing w:before="60" w:after="60"/>
      <w:jc w:val="left"/>
    </w:pPr>
    <w:rPr>
      <w:i/>
      <w:sz w:val="16"/>
      <w:szCs w:val="20"/>
      <w:lang w:val="en-GB" w:eastAsia="en-GB"/>
    </w:rPr>
  </w:style>
  <w:style w:type="paragraph" w:customStyle="1" w:styleId="Level4coluna2">
    <w:name w:val="Level 4 coluna2"/>
    <w:basedOn w:val="Normal"/>
    <w:pPr>
      <w:numPr>
        <w:ilvl w:val="3"/>
        <w:numId w:val="28"/>
      </w:numPr>
      <w:spacing w:before="60" w:after="60"/>
      <w:jc w:val="left"/>
    </w:pPr>
    <w:rPr>
      <w:i/>
      <w:sz w:val="16"/>
      <w:szCs w:val="20"/>
      <w:lang w:val="en-GB" w:eastAsia="en-GB"/>
    </w:rPr>
  </w:style>
  <w:style w:type="paragraph" w:customStyle="1" w:styleId="Level5coluna2">
    <w:name w:val="Level 5 coluna2"/>
    <w:basedOn w:val="Normal"/>
    <w:pPr>
      <w:numPr>
        <w:ilvl w:val="4"/>
        <w:numId w:val="28"/>
      </w:numPr>
      <w:spacing w:after="140" w:line="290" w:lineRule="auto"/>
      <w:jc w:val="left"/>
    </w:pPr>
    <w:rPr>
      <w:sz w:val="24"/>
      <w:szCs w:val="20"/>
      <w:lang w:val="en-GB" w:eastAsia="en-GB"/>
    </w:rPr>
  </w:style>
  <w:style w:type="paragraph" w:customStyle="1" w:styleId="Level6coluna2">
    <w:name w:val="Level 6 coluna2"/>
    <w:basedOn w:val="Normal"/>
    <w:pPr>
      <w:numPr>
        <w:ilvl w:val="5"/>
        <w:numId w:val="28"/>
      </w:numPr>
      <w:spacing w:after="140" w:line="290" w:lineRule="auto"/>
      <w:jc w:val="left"/>
    </w:pPr>
    <w:rPr>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6/09/relationships/commentsIds" Target="commentsId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microsoft.com/office/2018/08/relationships/commentsExtensible" Target="commentsExtensible.xml" Id="rId19"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 J U R _ S P ! 4 2 1 5 9 5 0 4 . 4 < / d o c u m e n t i d >  
     < s e n d e r i d > C I S < / s e n d e r i d >  
     < s e n d e r e m a i l > C D E R I S I O @ P N . C O M . B R < / s e n d e r e m a i l >  
     < l a s t m o d i f i e d > 2 0 2 1 - 1 1 - 2 2 T 1 3 : 2 0 : 0 0 . 0 0 0 0 0 0 0 - 0 3 : 0 0 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7966-30F5-4B70-AA1D-8483AED2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1441</Words>
  <Characters>8461</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9883</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Neto Advogados</dc:creator>
  <cp:lastModifiedBy>Pinheiro Neto Advogados</cp:lastModifiedBy>
  <cp:revision>15</cp:revision>
  <cp:lastPrinted>2015-06-22T13:28:00Z</cp:lastPrinted>
  <dcterms:created xsi:type="dcterms:W3CDTF">2021-11-17T01:08:00Z</dcterms:created>
  <dcterms:modified xsi:type="dcterms:W3CDTF">2021-11-22T16:20:00Z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- 42159504v3 - 12070002.454068</vt:lpwstr>
  </property>
</Properties>
</file>