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12" w:lineRule="auto"/>
        <w:jc w:val="center"/>
        <w:rPr>
          <w:rFonts w:ascii="Arial" w:hAnsi="Arial" w:cs="Arial"/>
          <w:b/>
          <w:sz w:val="22"/>
          <w:szCs w:val="22"/>
          <w:lang w:val="it-IT"/>
        </w:rPr>
      </w:pPr>
      <w:r>
        <w:rPr>
          <w:rFonts w:ascii="Arial" w:hAnsi="Arial" w:cs="Arial"/>
          <w:b/>
          <w:bCs/>
          <w:sz w:val="22"/>
          <w:szCs w:val="22"/>
        </w:rPr>
        <w:t>LM TRANSPORTES INTERESTADUAIS SERVIÇOS E COMÉRCIO S.A.</w:t>
      </w:r>
      <w:r>
        <w:rPr>
          <w:rFonts w:ascii="Arial" w:hAnsi="Arial" w:cs="Arial"/>
          <w:b/>
          <w:bCs/>
          <w:sz w:val="22"/>
          <w:szCs w:val="22"/>
        </w:rPr>
        <w:br/>
      </w:r>
      <w:r>
        <w:rPr>
          <w:rFonts w:ascii="Arial" w:hAnsi="Arial" w:cs="Arial"/>
          <w:b/>
          <w:sz w:val="22"/>
          <w:szCs w:val="22"/>
          <w:lang w:val="it-IT"/>
        </w:rPr>
        <w:t xml:space="preserve">CNPJ/MF n.º </w:t>
      </w:r>
      <w:r>
        <w:rPr>
          <w:rFonts w:ascii="Arial" w:hAnsi="Arial" w:cs="Arial"/>
          <w:b/>
          <w:sz w:val="22"/>
          <w:szCs w:val="22"/>
        </w:rPr>
        <w:t>00.389.481/0001-79</w:t>
      </w:r>
      <w:r>
        <w:rPr>
          <w:rFonts w:ascii="Arial" w:hAnsi="Arial" w:cs="Arial"/>
          <w:b/>
          <w:sz w:val="22"/>
          <w:szCs w:val="22"/>
          <w:lang w:val="it-IT"/>
        </w:rPr>
        <w:br/>
        <w:t xml:space="preserve">NIRE </w:t>
      </w:r>
      <w:r>
        <w:rPr>
          <w:rFonts w:ascii="Arial" w:hAnsi="Arial" w:cs="Arial"/>
          <w:b/>
          <w:sz w:val="22"/>
          <w:szCs w:val="22"/>
        </w:rPr>
        <w:t>293.000.350-41</w:t>
      </w:r>
    </w:p>
    <w:p>
      <w:pPr>
        <w:spacing w:after="0" w:line="312" w:lineRule="auto"/>
        <w:jc w:val="center"/>
        <w:rPr>
          <w:rFonts w:ascii="Arial" w:hAnsi="Arial" w:cs="Arial"/>
          <w:smallCaps/>
          <w:sz w:val="22"/>
          <w:szCs w:val="22"/>
          <w:u w:val="single"/>
        </w:rPr>
      </w:pPr>
      <w:r>
        <w:rPr>
          <w:rFonts w:ascii="Arial" w:hAnsi="Arial" w:cs="Arial"/>
          <w:smallCaps/>
          <w:sz w:val="22"/>
          <w:szCs w:val="22"/>
          <w:u w:val="single"/>
        </w:rPr>
        <w:b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w:t>
      </w:r>
      <w:r>
        <w:rPr>
          <w:rFonts w:ascii="Arial" w:hAnsi="Arial" w:cs="Arial"/>
          <w:smallCaps/>
          <w:sz w:val="22"/>
          <w:szCs w:val="22"/>
          <w:highlight w:val="yellow"/>
          <w:u w:val="single"/>
        </w:rPr>
        <w:t>●</w:t>
      </w:r>
      <w:r>
        <w:rPr>
          <w:rFonts w:ascii="Arial" w:hAnsi="Arial" w:cs="Arial"/>
          <w:smallCaps/>
          <w:sz w:val="22"/>
          <w:szCs w:val="22"/>
          <w:u w:val="single"/>
        </w:rPr>
        <w:t xml:space="preserve">] de </w:t>
      </w:r>
      <w:proofErr w:type="gramStart"/>
      <w:r>
        <w:rPr>
          <w:rFonts w:ascii="Arial" w:hAnsi="Arial" w:cs="Arial"/>
          <w:smallCaps/>
          <w:sz w:val="22"/>
          <w:szCs w:val="22"/>
          <w:u w:val="single"/>
        </w:rPr>
        <w:t>junho</w:t>
      </w:r>
      <w:proofErr w:type="gramEnd"/>
      <w:r>
        <w:rPr>
          <w:rFonts w:ascii="Arial" w:hAnsi="Arial" w:cs="Arial"/>
          <w:smallCaps/>
          <w:sz w:val="22"/>
          <w:szCs w:val="22"/>
          <w:u w:val="single"/>
        </w:rPr>
        <w:t xml:space="preserve"> de 2021</w:t>
      </w:r>
    </w:p>
    <w:p>
      <w:pPr>
        <w:spacing w:after="0" w:line="312" w:lineRule="auto"/>
        <w:jc w:val="center"/>
        <w:rPr>
          <w:rFonts w:ascii="Arial" w:hAnsi="Arial" w:cs="Arial"/>
          <w:smallCaps/>
          <w:sz w:val="22"/>
          <w:szCs w:val="22"/>
          <w:u w:val="single"/>
        </w:rPr>
      </w:pPr>
    </w:p>
    <w:p>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rPr>
        <w:t>] de junho de 2021, às 14 horas, na sede da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na Rua da Alfazema, 761, Ed. Iguatemi Business Flat, sala 703, 7° andar, Caminho das Árvores, CEP 41.820-710, na cidade de Salvador, Estado da Bahia.</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Arial" w:hAnsi="Arial" w:cs="Arial"/>
          <w:sz w:val="22"/>
          <w:szCs w:val="22"/>
          <w:u w:val="single"/>
        </w:rPr>
        <w:t>Debenturista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do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13 de junho de 2020 (“</w:t>
      </w:r>
      <w:r>
        <w:rPr>
          <w:rFonts w:ascii="Arial" w:hAnsi="Arial" w:cs="Arial"/>
          <w:sz w:val="22"/>
          <w:szCs w:val="22"/>
          <w:u w:val="single"/>
        </w:rPr>
        <w:t>Escritura de Emissão</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Emissora e os representantes da LM Transportes Serviços e Comércio Ltda. (“</w:t>
      </w:r>
      <w:r>
        <w:rPr>
          <w:rFonts w:ascii="Arial" w:hAnsi="Arial" w:cs="Arial"/>
          <w:sz w:val="22"/>
          <w:szCs w:val="22"/>
          <w:u w:val="single"/>
        </w:rPr>
        <w:t>LM Serviços</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Composição da Mesa</w:t>
      </w:r>
      <w:r>
        <w:rPr>
          <w:rFonts w:ascii="Arial" w:hAnsi="Arial" w:cs="Arial"/>
          <w:b/>
          <w:sz w:val="22"/>
          <w:szCs w:val="22"/>
        </w:rPr>
        <w:t>:</w:t>
      </w:r>
      <w:r>
        <w:rPr>
          <w:rFonts w:ascii="Arial" w:hAnsi="Arial" w:cs="Arial"/>
          <w:sz w:val="22"/>
          <w:szCs w:val="22"/>
        </w:rPr>
        <w:t xml:space="preserve"> Presidente: [</w:t>
      </w:r>
      <w:r>
        <w:rPr>
          <w:rFonts w:ascii="Arial" w:hAnsi="Arial" w:cs="Arial"/>
          <w:sz w:val="22"/>
          <w:szCs w:val="22"/>
          <w:highlight w:val="yellow"/>
        </w:rPr>
        <w:t>Luiz Lopes Mendonça Filho</w:t>
      </w:r>
      <w:r>
        <w:rPr>
          <w:rFonts w:ascii="Arial" w:hAnsi="Arial" w:cs="Arial"/>
          <w:sz w:val="22"/>
          <w:szCs w:val="22"/>
        </w:rPr>
        <w:t xml:space="preserve">]; e Secretário: Matheus Gomes Faria.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 xml:space="preserve">discutir e deliberar sobre a </w:t>
      </w:r>
      <w:r>
        <w:rPr>
          <w:rFonts w:ascii="Arial" w:hAnsi="Arial" w:cs="Arial"/>
          <w:b/>
          <w:sz w:val="22"/>
          <w:szCs w:val="22"/>
        </w:rPr>
        <w:t>(i)</w:t>
      </w:r>
      <w:r>
        <w:rPr>
          <w:rFonts w:ascii="Arial" w:hAnsi="Arial" w:cs="Arial"/>
          <w:sz w:val="22"/>
          <w:szCs w:val="22"/>
        </w:rPr>
        <w:t xml:space="preserve"> autorização para a alteração do endereço da Emissora ao longo da Escritura de Emissão;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 xml:space="preserve">) </w:t>
      </w:r>
      <w:r>
        <w:rPr>
          <w:rFonts w:ascii="Arial" w:hAnsi="Arial" w:cs="Arial"/>
          <w:sz w:val="22"/>
          <w:szCs w:val="22"/>
        </w:rPr>
        <w:t>ratificação para a alteração das Cláusulas 4.4.1.1 e 4.4.2.1 da Escritura de Emissão para prever o ajuste dos Juros Remuneratórios, cuja alteração já estava autorizada conforme previsto na Cláusula 4.3.2.1 do “</w:t>
      </w:r>
      <w:r>
        <w:rPr>
          <w:rFonts w:ascii="Arial" w:hAnsi="Arial" w:cs="Arial"/>
          <w:i/>
          <w:sz w:val="22"/>
          <w:szCs w:val="22"/>
        </w:rPr>
        <w:t>Instrumento Particular de Constituição de Alienação Fiduciária de Veículos em Garantia e Outras Avenças</w:t>
      </w:r>
      <w:r>
        <w:rPr>
          <w:rFonts w:ascii="Arial" w:hAnsi="Arial" w:cs="Arial"/>
          <w:sz w:val="22"/>
          <w:szCs w:val="22"/>
        </w:rPr>
        <w:t>”, datado de 18 de junho de 2020 (“</w:t>
      </w:r>
      <w:r>
        <w:rPr>
          <w:rFonts w:ascii="Arial" w:hAnsi="Arial" w:cs="Arial"/>
          <w:sz w:val="22"/>
          <w:szCs w:val="22"/>
          <w:u w:val="single"/>
        </w:rPr>
        <w:t>Contrato de Alienação Fiduciária</w:t>
      </w:r>
      <w:r>
        <w:rPr>
          <w:rFonts w:ascii="Arial" w:hAnsi="Arial" w:cs="Arial"/>
          <w:sz w:val="22"/>
          <w:szCs w:val="22"/>
        </w:rPr>
        <w:t xml:space="preserve">”); </w:t>
      </w: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xml:space="preserve"> </w:t>
      </w:r>
      <w:r>
        <w:rPr>
          <w:rFonts w:ascii="Arial" w:hAnsi="Arial" w:cs="Arial"/>
          <w:sz w:val="22"/>
          <w:szCs w:val="22"/>
        </w:rPr>
        <w:lastRenderedPageBreak/>
        <w:t xml:space="preserve">autorização para alteração da Cláusula 6.2 da Escritura de Emissão, para exclusão do termo definido que não é utilizado em outros momentos da Escritura de Emissão; </w:t>
      </w:r>
      <w:r>
        <w:rPr>
          <w:rFonts w:ascii="Arial" w:hAnsi="Arial" w:cs="Arial"/>
          <w:b/>
          <w:sz w:val="22"/>
          <w:szCs w:val="22"/>
        </w:rPr>
        <w:t>(</w:t>
      </w:r>
      <w:proofErr w:type="spellStart"/>
      <w:r>
        <w:rPr>
          <w:rFonts w:ascii="Arial" w:hAnsi="Arial" w:cs="Arial"/>
          <w:b/>
          <w:sz w:val="22"/>
          <w:szCs w:val="22"/>
        </w:rPr>
        <w:t>iv</w:t>
      </w:r>
      <w:proofErr w:type="spellEnd"/>
      <w:r>
        <w:rPr>
          <w:rFonts w:ascii="Arial" w:hAnsi="Arial" w:cs="Arial"/>
          <w:b/>
          <w:sz w:val="22"/>
          <w:szCs w:val="22"/>
        </w:rPr>
        <w:t>)</w:t>
      </w:r>
      <w:r>
        <w:rPr>
          <w:rFonts w:ascii="Arial" w:hAnsi="Arial" w:cs="Arial"/>
          <w:sz w:val="22"/>
          <w:szCs w:val="22"/>
        </w:rPr>
        <w:t xml:space="preserve"> autorização para alteração da Cláusula 6.3 da Escritura de Emissão, a fim de </w:t>
      </w:r>
      <w:r>
        <w:rPr>
          <w:rFonts w:ascii="Arial" w:hAnsi="Arial" w:cs="Arial"/>
          <w:b/>
          <w:sz w:val="22"/>
          <w:szCs w:val="22"/>
        </w:rPr>
        <w:t>(a)</w:t>
      </w:r>
      <w:r>
        <w:rPr>
          <w:rFonts w:ascii="Arial" w:hAnsi="Arial" w:cs="Arial"/>
          <w:sz w:val="22"/>
          <w:szCs w:val="22"/>
        </w:rPr>
        <w:t xml:space="preserve"> deixar a redação mais clara em relação </w:t>
      </w:r>
      <w:r>
        <w:rPr>
          <w:rFonts w:ascii="Arial" w:hAnsi="Arial" w:cs="Arial"/>
          <w:b/>
          <w:sz w:val="22"/>
          <w:szCs w:val="22"/>
        </w:rPr>
        <w:t>(1)</w:t>
      </w:r>
      <w:r>
        <w:rPr>
          <w:rFonts w:ascii="Arial" w:hAnsi="Arial" w:cs="Arial"/>
          <w:sz w:val="22"/>
          <w:szCs w:val="22"/>
        </w:rPr>
        <w:t xml:space="preserve"> à data-base de apuração dos volumes descritos na tabela dessa cláusula, </w:t>
      </w:r>
      <w:proofErr w:type="spellStart"/>
      <w:r>
        <w:rPr>
          <w:rFonts w:ascii="Arial" w:hAnsi="Arial" w:cs="Arial"/>
          <w:sz w:val="22"/>
          <w:szCs w:val="22"/>
        </w:rPr>
        <w:t>a</w:t>
      </w:r>
      <w:proofErr w:type="spellEnd"/>
      <w:r>
        <w:rPr>
          <w:rFonts w:ascii="Arial" w:hAnsi="Arial" w:cs="Arial"/>
          <w:sz w:val="22"/>
          <w:szCs w:val="22"/>
        </w:rPr>
        <w:t xml:space="preserve"> qual é em 31 de dezembro de cada ano, inclusive referente ao ano de 2020; e </w:t>
      </w:r>
      <w:r>
        <w:rPr>
          <w:rFonts w:ascii="Arial" w:hAnsi="Arial" w:cs="Arial"/>
          <w:b/>
          <w:sz w:val="22"/>
          <w:szCs w:val="22"/>
        </w:rPr>
        <w:t>(2)</w:t>
      </w:r>
      <w:r>
        <w:rPr>
          <w:rFonts w:ascii="Arial" w:hAnsi="Arial" w:cs="Arial"/>
          <w:sz w:val="22"/>
          <w:szCs w:val="22"/>
        </w:rPr>
        <w:t xml:space="preserve"> à desconsideração do aval e/ou garantias concedidas pela Emissora ao Fiador e/ou pelo Fiador à Emissora, considerando o atual organograma societário do grupo; e </w:t>
      </w:r>
      <w:r>
        <w:rPr>
          <w:rFonts w:ascii="Arial" w:hAnsi="Arial" w:cs="Arial"/>
          <w:b/>
          <w:sz w:val="22"/>
          <w:szCs w:val="22"/>
        </w:rPr>
        <w:t xml:space="preserve">(b) </w:t>
      </w:r>
      <w:r>
        <w:rPr>
          <w:rFonts w:ascii="Arial" w:hAnsi="Arial" w:cs="Arial"/>
          <w:sz w:val="22"/>
          <w:szCs w:val="22"/>
        </w:rPr>
        <w:t>atualizar a tabela dessa Cláusula com os novos volumes e inclusão da Santo Antônio Imóveis e Empreendimentos Ltda., CNPJ 03.624.498/0001-51 (“</w:t>
      </w:r>
      <w:r>
        <w:rPr>
          <w:rFonts w:ascii="Arial" w:hAnsi="Arial" w:cs="Arial"/>
          <w:sz w:val="22"/>
          <w:szCs w:val="22"/>
          <w:u w:val="single"/>
        </w:rPr>
        <w:t>Santo Antônio Patrimonial</w:t>
      </w:r>
      <w:r>
        <w:rPr>
          <w:rFonts w:ascii="Arial" w:hAnsi="Arial" w:cs="Arial"/>
          <w:sz w:val="22"/>
          <w:szCs w:val="22"/>
        </w:rPr>
        <w:t xml:space="preserve">”); </w:t>
      </w:r>
      <w:r>
        <w:rPr>
          <w:rFonts w:ascii="Arial" w:hAnsi="Arial" w:cs="Arial"/>
          <w:b/>
          <w:sz w:val="22"/>
          <w:szCs w:val="22"/>
        </w:rPr>
        <w:t>(v)</w:t>
      </w:r>
      <w:r>
        <w:rPr>
          <w:rFonts w:ascii="Arial" w:hAnsi="Arial" w:cs="Arial"/>
          <w:sz w:val="22"/>
          <w:szCs w:val="22"/>
        </w:rPr>
        <w:t xml:space="preserve"> autorização para alteração da Cláusula 6.3.1 da Escritura de Emissão, a fim de deixar a redação mais clara em relação à data-base de apuração dos volumes descritos na Cláusula 6.3 da Escritura de Emissão, a qual é em 31 de dezembro de cada ano, bem como ajuste na referência cruzada; </w:t>
      </w:r>
      <w:r>
        <w:rPr>
          <w:rFonts w:ascii="Arial" w:hAnsi="Arial" w:cs="Arial"/>
          <w:b/>
          <w:sz w:val="22"/>
          <w:szCs w:val="22"/>
        </w:rPr>
        <w:t>(vi)</w:t>
      </w:r>
      <w:r>
        <w:rPr>
          <w:rFonts w:ascii="Arial" w:hAnsi="Arial" w:cs="Arial"/>
          <w:sz w:val="22"/>
          <w:szCs w:val="22"/>
        </w:rPr>
        <w:t xml:space="preserve"> autorização para alteração da Cláusula 6.3.2 da Escritura de Emissão, a fim de ajustar a referência cruzada, excluir o termo definido, bem como deixar mais clara a redação referente à obrigação de celebrar aditamento à Escritura de Emissão;</w:t>
      </w:r>
      <w:r>
        <w:rPr>
          <w:rFonts w:ascii="Arial" w:hAnsi="Arial" w:cs="Arial"/>
          <w:b/>
          <w:sz w:val="22"/>
          <w:szCs w:val="22"/>
        </w:rPr>
        <w:t xml:space="preserve"> (</w:t>
      </w:r>
      <w:proofErr w:type="spellStart"/>
      <w:r>
        <w:rPr>
          <w:rFonts w:ascii="Arial" w:hAnsi="Arial" w:cs="Arial"/>
          <w:b/>
          <w:sz w:val="22"/>
          <w:szCs w:val="22"/>
        </w:rPr>
        <w:t>vii</w:t>
      </w:r>
      <w:proofErr w:type="spellEnd"/>
      <w:r>
        <w:rPr>
          <w:rFonts w:ascii="Arial" w:hAnsi="Arial" w:cs="Arial"/>
          <w:b/>
          <w:sz w:val="22"/>
          <w:szCs w:val="22"/>
        </w:rPr>
        <w:t>)</w:t>
      </w:r>
      <w:r>
        <w:rPr>
          <w:rFonts w:ascii="Arial" w:hAnsi="Arial" w:cs="Arial"/>
          <w:sz w:val="22"/>
          <w:szCs w:val="22"/>
        </w:rPr>
        <w:t xml:space="preserve"> confirmação do Debenturista acerca do cumprimento dos volumes indicados na tabela da Cláusula 6.3 da Escritura de Emissão considerando a data-base de 31 de dezembro de 2020, que é a data-base de apuração correta a ser observada, tendo em vista a dubiedade na interpretação (ou seja, dubiedade na interpretação entre a data-base de 31 de dezembro de 2020 e 11 de junho de 2021); </w:t>
      </w:r>
      <w:r>
        <w:rPr>
          <w:rFonts w:ascii="Arial" w:hAnsi="Arial" w:cs="Arial"/>
          <w:b/>
          <w:sz w:val="22"/>
          <w:szCs w:val="22"/>
        </w:rPr>
        <w:t>(</w:t>
      </w:r>
      <w:proofErr w:type="spellStart"/>
      <w:r>
        <w:rPr>
          <w:rFonts w:ascii="Arial" w:hAnsi="Arial" w:cs="Arial"/>
          <w:b/>
          <w:sz w:val="22"/>
          <w:szCs w:val="22"/>
        </w:rPr>
        <w:t>viii</w:t>
      </w:r>
      <w:proofErr w:type="spellEnd"/>
      <w:r>
        <w:rPr>
          <w:rFonts w:ascii="Arial" w:hAnsi="Arial" w:cs="Arial"/>
          <w:b/>
          <w:sz w:val="22"/>
          <w:szCs w:val="22"/>
        </w:rPr>
        <w:t>)</w:t>
      </w:r>
      <w:r>
        <w:rPr>
          <w:rFonts w:ascii="Arial" w:hAnsi="Arial" w:cs="Arial"/>
          <w:sz w:val="22"/>
          <w:szCs w:val="22"/>
        </w:rPr>
        <w:t xml:space="preserve"> </w:t>
      </w:r>
      <w:r>
        <w:rPr>
          <w:rFonts w:ascii="Arial" w:hAnsi="Arial" w:cs="Arial"/>
          <w:sz w:val="22"/>
          <w:szCs w:val="22"/>
        </w:rPr>
        <w:t>a</w:t>
      </w:r>
      <w:r>
        <w:rPr>
          <w:rFonts w:ascii="Arial" w:hAnsi="Arial" w:cs="Arial"/>
          <w:sz w:val="22"/>
          <w:szCs w:val="22"/>
        </w:rPr>
        <w:t>utorização para a a</w:t>
      </w:r>
      <w:r>
        <w:rPr>
          <w:rFonts w:ascii="Arial" w:hAnsi="Arial" w:cs="Arial"/>
          <w:sz w:val="22"/>
          <w:szCs w:val="22"/>
        </w:rPr>
        <w:t>tualização dos dados da Emissora e Fiador na Cláusula 10</w:t>
      </w:r>
      <w:r>
        <w:rPr>
          <w:rFonts w:ascii="Arial" w:hAnsi="Arial" w:cs="Arial"/>
          <w:sz w:val="22"/>
          <w:szCs w:val="22"/>
        </w:rPr>
        <w:t>.1</w:t>
      </w:r>
      <w:r>
        <w:rPr>
          <w:rFonts w:ascii="Arial" w:hAnsi="Arial" w:cs="Arial"/>
          <w:sz w:val="22"/>
          <w:szCs w:val="22"/>
        </w:rPr>
        <w:t xml:space="preserve"> da Escritura de Emissão (Notificações); </w:t>
      </w:r>
      <w:r>
        <w:rPr>
          <w:rFonts w:ascii="Arial" w:hAnsi="Arial" w:cs="Arial"/>
          <w:sz w:val="22"/>
          <w:szCs w:val="22"/>
        </w:rPr>
        <w:t xml:space="preserve">e </w:t>
      </w:r>
      <w:r>
        <w:rPr>
          <w:rFonts w:ascii="Arial" w:hAnsi="Arial" w:cs="Arial"/>
          <w:b/>
          <w:sz w:val="22"/>
          <w:szCs w:val="22"/>
        </w:rPr>
        <w:t>(</w:t>
      </w:r>
      <w:proofErr w:type="spellStart"/>
      <w:r>
        <w:rPr>
          <w:rFonts w:ascii="Arial" w:hAnsi="Arial" w:cs="Arial"/>
          <w:b/>
          <w:sz w:val="22"/>
          <w:szCs w:val="22"/>
        </w:rPr>
        <w:t>ix</w:t>
      </w:r>
      <w:proofErr w:type="spellEnd"/>
      <w:r>
        <w:rPr>
          <w:rFonts w:ascii="Arial" w:hAnsi="Arial" w:cs="Arial"/>
          <w:b/>
          <w:sz w:val="22"/>
          <w:szCs w:val="22"/>
        </w:rPr>
        <w:t>)</w:t>
      </w:r>
      <w:r>
        <w:rPr>
          <w:rFonts w:ascii="Arial" w:hAnsi="Arial" w:cs="Arial"/>
          <w:sz w:val="22"/>
          <w:szCs w:val="22"/>
        </w:rPr>
        <w:t xml:space="preserve"> autorização ao Agente Fiduciário, Emissora e Fiador a tomarem todas as providências necessárias para refletir as deliberações desta Assembleia nos documentos da Emissão.</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Abertura</w:t>
      </w:r>
      <w:r>
        <w:rPr>
          <w:rFonts w:ascii="Arial" w:hAnsi="Arial" w:cs="Arial"/>
          <w:b/>
          <w:smallCaps/>
          <w:sz w:val="22"/>
          <w:szCs w:val="22"/>
        </w:rPr>
        <w:t>:</w:t>
      </w:r>
      <w:r>
        <w:rPr>
          <w:rFonts w:ascii="Arial" w:hAnsi="Arial" w:cs="Arial"/>
          <w:smallCaps/>
          <w:sz w:val="22"/>
          <w:szCs w:val="22"/>
        </w:rPr>
        <w:t xml:space="preserve"> o</w:t>
      </w:r>
      <w:r>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Deliberação</w:t>
      </w:r>
      <w:r>
        <w:rPr>
          <w:rFonts w:ascii="Arial" w:hAnsi="Arial" w:cs="Arial"/>
          <w:b/>
          <w:sz w:val="22"/>
          <w:szCs w:val="22"/>
        </w:rPr>
        <w:t>:</w:t>
      </w:r>
      <w:r>
        <w:rPr>
          <w:rFonts w:ascii="Arial" w:hAnsi="Arial" w:cs="Arial"/>
          <w:sz w:val="22"/>
          <w:szCs w:val="22"/>
        </w:rPr>
        <w:t xml:space="preserve"> analisadas e discutidas as matérias constantes da ordem do dia, o Debenturista, por unanimidade de votos e sem quaisquer restrições, autorizou: </w:t>
      </w:r>
    </w:p>
    <w:p>
      <w:pPr>
        <w:spacing w:after="0" w:line="312" w:lineRule="auto"/>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alteração </w:t>
      </w:r>
      <w:r>
        <w:rPr>
          <w:rFonts w:ascii="Arial" w:hAnsi="Arial" w:cs="Arial"/>
          <w:sz w:val="22"/>
          <w:szCs w:val="22"/>
        </w:rPr>
        <w:t>do endereço da Emissora ao longo da Escritura de Emissão</w:t>
      </w:r>
      <w:r>
        <w:rPr>
          <w:rFonts w:ascii="Arial" w:hAnsi="Arial" w:cs="Arial"/>
          <w:sz w:val="22"/>
          <w:szCs w:val="22"/>
        </w:rPr>
        <w:t xml:space="preserve"> que passará a ter a seguinte redação:</w:t>
      </w:r>
    </w:p>
    <w:p>
      <w:pPr>
        <w:pStyle w:val="Ttulo2"/>
        <w:keepNext w:val="0"/>
        <w:widowControl w:val="0"/>
        <w:spacing w:before="0" w:line="312" w:lineRule="auto"/>
        <w:ind w:left="992"/>
        <w:rPr>
          <w:rFonts w:cs="Arial"/>
          <w:w w:val="0"/>
          <w:sz w:val="22"/>
          <w:szCs w:val="22"/>
        </w:rPr>
      </w:pPr>
    </w:p>
    <w:p>
      <w:pPr>
        <w:pStyle w:val="PargrafodaLista"/>
        <w:numPr>
          <w:ilvl w:val="1"/>
          <w:numId w:val="20"/>
        </w:numPr>
        <w:spacing w:line="312" w:lineRule="auto"/>
        <w:rPr>
          <w:rFonts w:ascii="Arial" w:eastAsia="Arial Unicode MS" w:hAnsi="Arial" w:cs="Arial"/>
          <w:i/>
          <w:w w:val="0"/>
          <w:sz w:val="22"/>
          <w:szCs w:val="22"/>
        </w:rPr>
      </w:pPr>
      <w:bookmarkStart w:id="0" w:name="_DV_M165"/>
      <w:bookmarkEnd w:id="0"/>
      <w:r>
        <w:rPr>
          <w:rFonts w:ascii="Arial" w:eastAsia="Arial Unicode MS" w:hAnsi="Arial" w:cs="Arial"/>
          <w:i/>
          <w:w w:val="0"/>
          <w:sz w:val="22"/>
          <w:szCs w:val="22"/>
        </w:rPr>
        <w:t>Caput da Escritura de Emissão:</w:t>
      </w:r>
    </w:p>
    <w:p>
      <w:pPr>
        <w:pStyle w:val="PargrafodaLista"/>
        <w:spacing w:line="312" w:lineRule="auto"/>
        <w:ind w:left="1440"/>
        <w:rPr>
          <w:rFonts w:ascii="Arial" w:eastAsia="Arial Unicode MS" w:hAnsi="Arial" w:cs="Arial"/>
          <w:i/>
          <w:w w:val="0"/>
          <w:sz w:val="22"/>
          <w:szCs w:val="22"/>
        </w:rPr>
      </w:pPr>
    </w:p>
    <w:p>
      <w:pPr>
        <w:widowControl w:val="0"/>
        <w:numPr>
          <w:ilvl w:val="0"/>
          <w:numId w:val="27"/>
        </w:numPr>
        <w:tabs>
          <w:tab w:val="left" w:pos="709"/>
        </w:tabs>
        <w:spacing w:after="0" w:line="312" w:lineRule="auto"/>
        <w:ind w:left="1134" w:firstLine="0"/>
        <w:rPr>
          <w:rFonts w:ascii="Arial" w:hAnsi="Arial" w:cs="Arial"/>
          <w:i/>
          <w:sz w:val="22"/>
          <w:szCs w:val="22"/>
        </w:rPr>
      </w:pPr>
      <w:r>
        <w:rPr>
          <w:rFonts w:ascii="Arial" w:hAnsi="Arial" w:cs="Arial"/>
          <w:i/>
          <w:color w:val="000000"/>
          <w:sz w:val="22"/>
          <w:szCs w:val="22"/>
        </w:rPr>
        <w:t>“</w:t>
      </w:r>
      <w:r>
        <w:rPr>
          <w:rFonts w:ascii="Arial" w:hAnsi="Arial" w:cs="Arial"/>
          <w:b/>
          <w:i/>
          <w:color w:val="000000"/>
          <w:sz w:val="22"/>
          <w:szCs w:val="22"/>
        </w:rPr>
        <w:t>LM TRANSPORTES INTERESTADUAIS SERVIÇOS E COMÉRCIO</w:t>
      </w:r>
      <w:r>
        <w:rPr>
          <w:rFonts w:ascii="Arial" w:hAnsi="Arial" w:cs="Arial"/>
          <w:b/>
          <w:i/>
          <w:sz w:val="22"/>
          <w:szCs w:val="22"/>
        </w:rPr>
        <w:t xml:space="preserve"> S.A.</w:t>
      </w:r>
      <w:r>
        <w:rPr>
          <w:rFonts w:ascii="Arial" w:hAnsi="Arial" w:cs="Arial"/>
          <w:i/>
          <w:sz w:val="22"/>
          <w:szCs w:val="22"/>
        </w:rPr>
        <w:t>,</w:t>
      </w:r>
      <w:r>
        <w:rPr>
          <w:rFonts w:ascii="Arial" w:hAnsi="Arial" w:cs="Arial"/>
          <w:b/>
          <w:i/>
          <w:sz w:val="22"/>
          <w:szCs w:val="22"/>
        </w:rPr>
        <w:t xml:space="preserve"> </w:t>
      </w:r>
      <w:r>
        <w:rPr>
          <w:rFonts w:ascii="Arial" w:hAnsi="Arial" w:cs="Arial"/>
          <w:i/>
          <w:sz w:val="22"/>
          <w:szCs w:val="22"/>
        </w:rPr>
        <w:t>sociedade por ações com registro de companhia aberta, categoria B, perante a Comissão de Valores Mobiliários (“</w:t>
      </w:r>
      <w:r>
        <w:rPr>
          <w:rFonts w:ascii="Arial" w:hAnsi="Arial" w:cs="Arial"/>
          <w:i/>
          <w:sz w:val="22"/>
          <w:szCs w:val="22"/>
          <w:u w:val="single"/>
        </w:rPr>
        <w:t>CVM</w:t>
      </w:r>
      <w:r>
        <w:rPr>
          <w:rFonts w:ascii="Arial" w:hAnsi="Arial" w:cs="Arial"/>
          <w:i/>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i/>
          <w:sz w:val="22"/>
          <w:szCs w:val="22"/>
          <w:u w:val="single"/>
        </w:rPr>
        <w:t>CNPJ/ME</w:t>
      </w:r>
      <w:r>
        <w:rPr>
          <w:rFonts w:ascii="Arial" w:hAnsi="Arial" w:cs="Arial"/>
          <w:i/>
          <w:sz w:val="22"/>
          <w:szCs w:val="22"/>
        </w:rPr>
        <w:t xml:space="preserve">”) </w:t>
      </w:r>
      <w:r>
        <w:rPr>
          <w:rFonts w:ascii="Arial" w:hAnsi="Arial" w:cs="Arial"/>
          <w:i/>
          <w:color w:val="000000"/>
          <w:sz w:val="22"/>
          <w:szCs w:val="22"/>
        </w:rPr>
        <w:t xml:space="preserve">sob nº </w:t>
      </w:r>
      <w:r>
        <w:rPr>
          <w:rFonts w:ascii="Arial" w:hAnsi="Arial" w:cs="Arial"/>
          <w:i/>
          <w:sz w:val="22"/>
          <w:szCs w:val="22"/>
        </w:rPr>
        <w:t>00.389.481/0001-79</w:t>
      </w:r>
      <w:r>
        <w:rPr>
          <w:rFonts w:ascii="Arial" w:hAnsi="Arial" w:cs="Arial"/>
          <w:i/>
          <w:color w:val="000000"/>
          <w:sz w:val="22"/>
          <w:szCs w:val="22"/>
        </w:rPr>
        <w:t xml:space="preserve">, com seus atos constitutivos registrados sob o NIRE </w:t>
      </w:r>
      <w:r>
        <w:rPr>
          <w:rFonts w:ascii="Arial" w:hAnsi="Arial" w:cs="Arial"/>
          <w:i/>
          <w:sz w:val="22"/>
          <w:szCs w:val="22"/>
        </w:rPr>
        <w:t xml:space="preserve">29300035041 </w:t>
      </w:r>
      <w:r>
        <w:rPr>
          <w:rFonts w:ascii="Arial" w:hAnsi="Arial" w:cs="Arial"/>
          <w:i/>
          <w:color w:val="000000"/>
          <w:sz w:val="22"/>
          <w:szCs w:val="22"/>
        </w:rPr>
        <w:t>perante a Junta Comercial do Estado da Bahia (“</w:t>
      </w:r>
      <w:r>
        <w:rPr>
          <w:rFonts w:ascii="Arial" w:hAnsi="Arial" w:cs="Arial"/>
          <w:i/>
          <w:sz w:val="22"/>
          <w:szCs w:val="22"/>
          <w:u w:val="single"/>
        </w:rPr>
        <w:t>JUCEB</w:t>
      </w:r>
      <w:r>
        <w:rPr>
          <w:rFonts w:ascii="Arial" w:hAnsi="Arial" w:cs="Arial"/>
          <w:i/>
          <w:color w:val="000000"/>
          <w:sz w:val="22"/>
          <w:szCs w:val="22"/>
        </w:rPr>
        <w:t>”), neste ato representada na forma de seu estatuto social (“</w:t>
      </w:r>
      <w:r>
        <w:rPr>
          <w:rFonts w:ascii="Arial" w:hAnsi="Arial" w:cs="Arial"/>
          <w:i/>
          <w:color w:val="000000"/>
          <w:sz w:val="22"/>
          <w:szCs w:val="22"/>
          <w:u w:val="single"/>
        </w:rPr>
        <w:t>Emissora</w:t>
      </w:r>
      <w:r>
        <w:rPr>
          <w:rFonts w:ascii="Arial" w:hAnsi="Arial" w:cs="Arial"/>
          <w:i/>
          <w:color w:val="000000"/>
          <w:sz w:val="22"/>
          <w:szCs w:val="22"/>
        </w:rPr>
        <w:t>”);</w:t>
      </w:r>
      <w:r>
        <w:rPr>
          <w:rFonts w:ascii="Arial" w:hAnsi="Arial" w:cs="Arial"/>
          <w:i/>
          <w:color w:val="000000"/>
          <w:sz w:val="22"/>
          <w:szCs w:val="22"/>
        </w:rPr>
        <w:t>”</w:t>
      </w:r>
    </w:p>
    <w:p>
      <w:pPr>
        <w:pStyle w:val="PargrafodaLista"/>
        <w:spacing w:line="312" w:lineRule="auto"/>
        <w:ind w:left="1080"/>
        <w:rPr>
          <w:rFonts w:ascii="Arial" w:hAnsi="Arial" w:cs="Arial"/>
          <w:sz w:val="22"/>
          <w:szCs w:val="22"/>
        </w:rPr>
      </w:pPr>
      <w:bookmarkStart w:id="1" w:name="_DV_M166"/>
      <w:bookmarkStart w:id="2" w:name="_DV_M167"/>
      <w:bookmarkStart w:id="3" w:name="_DV_M168"/>
      <w:bookmarkStart w:id="4" w:name="_DV_M170"/>
      <w:bookmarkStart w:id="5" w:name="_DV_M171"/>
      <w:bookmarkStart w:id="6" w:name="_DV_M172"/>
      <w:bookmarkStart w:id="7" w:name="_DV_M173"/>
      <w:bookmarkStart w:id="8" w:name="_DV_M468"/>
      <w:bookmarkStart w:id="9" w:name="_DV_M469"/>
      <w:bookmarkStart w:id="10" w:name="_DV_M470"/>
      <w:bookmarkStart w:id="11" w:name="_DV_M471"/>
      <w:bookmarkStart w:id="12" w:name="_DV_M174"/>
      <w:bookmarkEnd w:id="1"/>
      <w:bookmarkEnd w:id="2"/>
      <w:bookmarkEnd w:id="3"/>
      <w:bookmarkEnd w:id="4"/>
      <w:bookmarkEnd w:id="5"/>
      <w:bookmarkEnd w:id="6"/>
      <w:bookmarkEnd w:id="7"/>
      <w:bookmarkEnd w:id="8"/>
      <w:bookmarkEnd w:id="9"/>
      <w:bookmarkEnd w:id="10"/>
      <w:bookmarkEnd w:id="11"/>
      <w:bookmarkEnd w:id="12"/>
    </w:p>
    <w:p>
      <w:pPr>
        <w:pStyle w:val="PargrafodaLista"/>
        <w:numPr>
          <w:ilvl w:val="0"/>
          <w:numId w:val="20"/>
        </w:numPr>
        <w:spacing w:line="312" w:lineRule="auto"/>
        <w:rPr>
          <w:rFonts w:ascii="Arial" w:hAnsi="Arial" w:cs="Arial"/>
          <w:sz w:val="22"/>
          <w:szCs w:val="22"/>
        </w:rPr>
      </w:pPr>
      <w:r>
        <w:rPr>
          <w:rFonts w:ascii="Arial" w:hAnsi="Arial" w:cs="Arial"/>
          <w:sz w:val="22"/>
          <w:szCs w:val="22"/>
        </w:rPr>
        <w:t>a ratificação para a alteração das Cláusulas 4.4.1.1 e 4.4.2.1 da Escritura de Emissão para prever o ajuste dos Juros Remuneratórios, cuja alteração já estava autorizada conforme previsto na Cláusula 4.3.2.1 do Contrato de Alienação Fiduciária, que passará a ter a seguinte redação</w:t>
      </w:r>
      <w:r>
        <w:rPr>
          <w:rFonts w:ascii="Arial" w:hAnsi="Arial" w:cs="Arial"/>
          <w:sz w:val="22"/>
          <w:szCs w:val="22"/>
          <w:lang w:eastAsia="pt-BR"/>
        </w:rPr>
        <w:t xml:space="preserve"> no período </w:t>
      </w:r>
      <w:r>
        <w:rPr>
          <w:rFonts w:ascii="Arial" w:hAnsi="Arial" w:cs="Arial"/>
          <w:sz w:val="22"/>
          <w:szCs w:val="22"/>
          <w:lang w:eastAsia="pt-BR"/>
        </w:rPr>
        <w:lastRenderedPageBreak/>
        <w:t>compreendido entre 13 de julho de 2021 (inclusive) e 13 de julho de 2022 (exclusive), passando a partir de 13 de julho de 2022 as aludidas Cláusulas a vigorar com a redação originalmente prevista na Escritura de Emissão</w:t>
      </w:r>
      <w:r>
        <w:rPr>
          <w:rFonts w:ascii="Arial" w:hAnsi="Arial" w:cs="Arial"/>
          <w:sz w:val="22"/>
          <w:szCs w:val="22"/>
        </w:rPr>
        <w:t>:</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rPr>
          <w:rFonts w:ascii="Arial" w:hAnsi="Arial" w:cs="Arial"/>
          <w:i/>
          <w:sz w:val="22"/>
          <w:szCs w:val="22"/>
        </w:rPr>
      </w:pPr>
      <w:r>
        <w:rPr>
          <w:rFonts w:ascii="Arial" w:hAnsi="Arial" w:cs="Arial"/>
          <w:sz w:val="22"/>
          <w:szCs w:val="22"/>
        </w:rPr>
        <w:t>“</w:t>
      </w:r>
      <w:r>
        <w:rPr>
          <w:rFonts w:ascii="Arial" w:hAnsi="Arial" w:cs="Arial"/>
          <w:i/>
          <w:sz w:val="22"/>
          <w:szCs w:val="22"/>
        </w:rPr>
        <w:t>4.4.1.1.</w:t>
      </w:r>
      <w:r>
        <w:rPr>
          <w:rFonts w:ascii="Arial" w:hAnsi="Arial" w:cs="Arial"/>
          <w:i/>
          <w:sz w:val="22"/>
          <w:szCs w:val="22"/>
        </w:rPr>
        <w:tab/>
        <w:t xml:space="preserve">As Debêntures farão jus ao pagamento de juros remuneratórios estabelecidos com base na variação acumulada de 100% (cem por cento) das taxas médias diárias dos DI - Depósitos Interfinanceiros de um dia, over </w:t>
      </w:r>
      <w:proofErr w:type="spellStart"/>
      <w:r>
        <w:rPr>
          <w:rFonts w:ascii="Arial" w:hAnsi="Arial" w:cs="Arial"/>
          <w:i/>
          <w:sz w:val="22"/>
          <w:szCs w:val="22"/>
        </w:rPr>
        <w:t>extra-grupo</w:t>
      </w:r>
      <w:proofErr w:type="spellEnd"/>
      <w:r>
        <w:rPr>
          <w:rFonts w:ascii="Arial" w:hAnsi="Arial" w:cs="Arial"/>
          <w:i/>
          <w:sz w:val="22"/>
          <w:szCs w:val="22"/>
        </w:rPr>
        <w:t>,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ascii="Arial" w:hAnsi="Arial" w:cs="Arial"/>
          <w:i/>
          <w:sz w:val="22"/>
          <w:szCs w:val="22"/>
          <w:u w:val="single"/>
        </w:rPr>
        <w:t>Taxa DI</w:t>
      </w:r>
      <w:r>
        <w:rPr>
          <w:rFonts w:ascii="Arial" w:hAnsi="Arial" w:cs="Arial"/>
          <w:i/>
          <w:sz w:val="22"/>
          <w:szCs w:val="22"/>
        </w:rPr>
        <w:t xml:space="preserve">”), acrescida de uma sobretaxa de 4,8344% (quatro inteiros e oito mil, trezentos e quarenta e quatro décimos de milésimos por cento) ao ano, com base em 252 (duzentos e cinquenta e dois) Dias Úteis </w:t>
      </w:r>
      <w:r>
        <w:rPr>
          <w:rFonts w:ascii="Arial" w:eastAsia="Arial Unicode MS" w:hAnsi="Arial" w:cs="Arial"/>
          <w:i/>
          <w:w w:val="0"/>
          <w:sz w:val="22"/>
          <w:szCs w:val="22"/>
        </w:rPr>
        <w:t>(“</w:t>
      </w:r>
      <w:r>
        <w:rPr>
          <w:rFonts w:ascii="Arial" w:eastAsia="Arial Unicode MS" w:hAnsi="Arial" w:cs="Arial"/>
          <w:i/>
          <w:w w:val="0"/>
          <w:sz w:val="22"/>
          <w:szCs w:val="22"/>
          <w:u w:val="single"/>
        </w:rPr>
        <w:t>Sobretaxa</w:t>
      </w:r>
      <w:r>
        <w:rPr>
          <w:rFonts w:ascii="Arial" w:eastAsia="Arial Unicode MS" w:hAnsi="Arial" w:cs="Arial"/>
          <w:i/>
          <w:w w:val="0"/>
          <w:sz w:val="22"/>
          <w:szCs w:val="22"/>
        </w:rPr>
        <w:t>” e, em conjunto com a Taxa DI, os “</w:t>
      </w:r>
      <w:r>
        <w:rPr>
          <w:rFonts w:ascii="Arial" w:eastAsia="Arial Unicode MS" w:hAnsi="Arial" w:cs="Arial"/>
          <w:i/>
          <w:w w:val="0"/>
          <w:sz w:val="22"/>
          <w:szCs w:val="22"/>
          <w:u w:val="single"/>
        </w:rPr>
        <w:t>Juros Remuneratórios</w:t>
      </w:r>
      <w:r>
        <w:rPr>
          <w:rFonts w:ascii="Arial" w:eastAsia="Arial Unicode MS" w:hAnsi="Arial" w:cs="Arial"/>
          <w:i/>
          <w:w w:val="0"/>
          <w:sz w:val="22"/>
          <w:szCs w:val="22"/>
        </w:rPr>
        <w:t>”)</w:t>
      </w:r>
      <w:r>
        <w:rPr>
          <w:rFonts w:ascii="Arial" w:hAnsi="Arial" w:cs="Arial"/>
          <w:i/>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i/>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w:t>
      </w:r>
      <w:proofErr w:type="gramStart"/>
      <w:r>
        <w:rPr>
          <w:rFonts w:ascii="Arial" w:hAnsi="Arial" w:cs="Arial"/>
          <w:i/>
          <w:sz w:val="22"/>
          <w:szCs w:val="22"/>
        </w:rPr>
        <w:t>abaixo</w:t>
      </w:r>
      <w:proofErr w:type="gramEnd"/>
      <w:r>
        <w:rPr>
          <w:rFonts w:ascii="Arial" w:hAnsi="Arial" w:cs="Arial"/>
          <w:i/>
          <w:sz w:val="22"/>
          <w:szCs w:val="22"/>
        </w:rPr>
        <w:t>, conforme aplicável.</w:t>
      </w:r>
      <w:r>
        <w:rPr>
          <w:rFonts w:ascii="Arial" w:hAnsi="Arial" w:cs="Arial"/>
          <w:sz w:val="22"/>
          <w:szCs w:val="22"/>
        </w:rPr>
        <w:t>”</w:t>
      </w:r>
    </w:p>
    <w:p>
      <w:pPr>
        <w:pStyle w:val="PargrafodaLista"/>
        <w:spacing w:line="312" w:lineRule="auto"/>
        <w:ind w:left="1440"/>
        <w:rPr>
          <w:rFonts w:ascii="Arial" w:hAnsi="Arial" w:cs="Arial"/>
          <w:i/>
          <w:sz w:val="22"/>
          <w:szCs w:val="22"/>
        </w:rPr>
      </w:pPr>
    </w:p>
    <w:p>
      <w:pPr>
        <w:pStyle w:val="PargrafodaLista"/>
        <w:numPr>
          <w:ilvl w:val="1"/>
          <w:numId w:val="20"/>
        </w:numPr>
        <w:spacing w:line="312" w:lineRule="auto"/>
        <w:rPr>
          <w:rFonts w:ascii="Arial" w:hAnsi="Arial" w:cs="Arial"/>
          <w:i/>
          <w:sz w:val="22"/>
          <w:szCs w:val="22"/>
        </w:rPr>
      </w:pPr>
      <w:r>
        <w:rPr>
          <w:rFonts w:ascii="Arial" w:eastAsia="Arial Unicode MS" w:hAnsi="Arial" w:cs="Arial"/>
          <w:iCs/>
          <w:sz w:val="22"/>
          <w:szCs w:val="22"/>
        </w:rPr>
        <w:t>“</w:t>
      </w: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pPr>
        <w:pStyle w:val="Recuodecorpodetexto"/>
        <w:widowControl w:val="0"/>
        <w:tabs>
          <w:tab w:val="left" w:pos="1418"/>
        </w:tabs>
        <w:spacing w:after="0" w:line="312" w:lineRule="auto"/>
        <w:ind w:left="1068"/>
        <w:jc w:val="both"/>
        <w:rPr>
          <w:rFonts w:ascii="Arial" w:hAnsi="Arial" w:cs="Arial"/>
          <w:i/>
          <w:sz w:val="22"/>
          <w:szCs w:val="22"/>
        </w:rPr>
      </w:pPr>
    </w:p>
    <w:p>
      <w:pPr>
        <w:pStyle w:val="PargrafodaLista"/>
        <w:spacing w:line="312" w:lineRule="auto"/>
        <w:ind w:left="1428"/>
        <w:jc w:val="center"/>
        <w:rPr>
          <w:rFonts w:ascii="Arial" w:hAnsi="Arial" w:cs="Arial"/>
          <w:i/>
          <w:sz w:val="22"/>
          <w:szCs w:val="22"/>
        </w:rPr>
      </w:pPr>
      <w:r>
        <w:rPr>
          <w:rFonts w:ascii="Arial" w:hAnsi="Arial" w:cs="Arial"/>
          <w:i/>
          <w:sz w:val="22"/>
          <w:szCs w:val="22"/>
        </w:rPr>
        <w:t xml:space="preserve">J = </w:t>
      </w:r>
      <w:proofErr w:type="spellStart"/>
      <w:r>
        <w:rPr>
          <w:rFonts w:ascii="Arial" w:hAnsi="Arial" w:cs="Arial"/>
          <w:i/>
          <w:sz w:val="22"/>
          <w:szCs w:val="22"/>
        </w:rPr>
        <w:t>VNe</w:t>
      </w:r>
      <w:proofErr w:type="spellEnd"/>
      <w:r>
        <w:rPr>
          <w:rFonts w:ascii="Arial" w:hAnsi="Arial" w:cs="Arial"/>
          <w:i/>
          <w:sz w:val="22"/>
          <w:szCs w:val="22"/>
        </w:rPr>
        <w:t xml:space="preserve"> x (FatorJuros-1)</w:t>
      </w:r>
    </w:p>
    <w:p>
      <w:pPr>
        <w:widowControl w:val="0"/>
        <w:spacing w:after="0" w:line="312" w:lineRule="auto"/>
        <w:ind w:left="1068"/>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VNe</w:t>
      </w:r>
      <w:proofErr w:type="spellEnd"/>
      <w:r>
        <w:rPr>
          <w:rFonts w:ascii="Arial" w:hAnsi="Arial" w:cs="Arial"/>
          <w:i/>
          <w:sz w:val="22"/>
          <w:szCs w:val="22"/>
        </w:rPr>
        <w:t xml:space="preserve"> = Valor Nominal Unitário ou saldo do Valor Nominal Unitário, conforme o caso, no início de cada Período de Capitalização, informado/calculado com 8 (oito) casas decimais, sem arredondamento;</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fator de juros composto pelo parâmetro de flutuação acrescido de spread, calculado com 9 (nove) casas decimais, com arredondamento, apurado de acordo com a seguinte fórmula:</w:t>
      </w:r>
    </w:p>
    <w:p>
      <w:pPr>
        <w:widowControl w:val="0"/>
        <w:spacing w:after="0" w:line="312" w:lineRule="auto"/>
        <w:ind w:left="1068"/>
        <w:rPr>
          <w:rFonts w:ascii="Arial" w:hAnsi="Arial" w:cs="Arial"/>
          <w:i/>
          <w:sz w:val="22"/>
          <w:szCs w:val="22"/>
        </w:rPr>
      </w:pPr>
    </w:p>
    <w:p>
      <w:pPr>
        <w:pStyle w:val="PargrafodaLista"/>
        <w:spacing w:line="312" w:lineRule="auto"/>
        <w:ind w:left="1428"/>
        <w:jc w:val="center"/>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w:t>
      </w:r>
      <w:proofErr w:type="spellStart"/>
      <w:r>
        <w:rPr>
          <w:rFonts w:ascii="Arial" w:hAnsi="Arial" w:cs="Arial"/>
          <w:i/>
          <w:sz w:val="22"/>
          <w:szCs w:val="22"/>
        </w:rPr>
        <w:t>FatorDI</w:t>
      </w:r>
      <w:proofErr w:type="spellEnd"/>
      <w:r>
        <w:rPr>
          <w:rFonts w:ascii="Arial" w:hAnsi="Arial" w:cs="Arial"/>
          <w:i/>
          <w:sz w:val="22"/>
          <w:szCs w:val="22"/>
        </w:rPr>
        <w:t xml:space="preserve"> x </w:t>
      </w:r>
      <w:proofErr w:type="spellStart"/>
      <w:r>
        <w:rPr>
          <w:rFonts w:ascii="Arial" w:hAnsi="Arial" w:cs="Arial"/>
          <w:i/>
          <w:sz w:val="22"/>
          <w:szCs w:val="22"/>
        </w:rPr>
        <w:t>FatorSpread</w:t>
      </w:r>
      <w:proofErr w:type="spellEnd"/>
      <w:r>
        <w:rPr>
          <w:rFonts w:ascii="Arial" w:hAnsi="Arial" w:cs="Arial"/>
          <w:i/>
          <w:sz w:val="22"/>
          <w:szCs w:val="22"/>
        </w:rPr>
        <w:t>)</w:t>
      </w:r>
    </w:p>
    <w:p>
      <w:pPr>
        <w:pStyle w:val="PargrafodaLista"/>
        <w:spacing w:line="312" w:lineRule="auto"/>
        <w:ind w:left="1428"/>
        <w:jc w:val="center"/>
        <w:rPr>
          <w:rFonts w:ascii="Arial" w:hAnsi="Arial" w:cs="Arial"/>
          <w:i/>
          <w:sz w:val="22"/>
          <w:szCs w:val="22"/>
        </w:rPr>
      </w:pPr>
    </w:p>
    <w:p>
      <w:pPr>
        <w:widowControl w:val="0"/>
        <w:spacing w:after="0" w:line="312" w:lineRule="auto"/>
        <w:ind w:left="1068"/>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FatorDI</w:t>
      </w:r>
      <w:proofErr w:type="spellEnd"/>
      <w:r>
        <w:rPr>
          <w:rFonts w:ascii="Arial" w:hAnsi="Arial" w:cs="Arial"/>
          <w:i/>
          <w:sz w:val="22"/>
          <w:szCs w:val="22"/>
        </w:rPr>
        <w:t xml:space="preserve"> = </w:t>
      </w:r>
      <w:proofErr w:type="spellStart"/>
      <w:r>
        <w:rPr>
          <w:rFonts w:ascii="Arial" w:hAnsi="Arial" w:cs="Arial"/>
          <w:i/>
          <w:sz w:val="22"/>
          <w:szCs w:val="22"/>
        </w:rPr>
        <w:t>produtório</w:t>
      </w:r>
      <w:proofErr w:type="spellEnd"/>
      <w:r>
        <w:rPr>
          <w:rFonts w:ascii="Arial" w:hAnsi="Arial" w:cs="Arial"/>
          <w:i/>
          <w:sz w:val="22"/>
          <w:szCs w:val="22"/>
        </w:rPr>
        <w:t xml:space="preserve"> das Taxas DI, desde a data de início de cada Período de Capitalização, inclusive, até a data de cálculo, exclusive, calculado com 8 (oito) casas decimais, com arredondamento, apurado da seguinte forma:</w:t>
      </w:r>
    </w:p>
    <w:p>
      <w:pPr>
        <w:pStyle w:val="PargrafodaLista"/>
        <w:spacing w:line="312" w:lineRule="auto"/>
        <w:ind w:left="1428"/>
        <w:rPr>
          <w:rFonts w:ascii="Arial" w:hAnsi="Arial" w:cs="Arial"/>
          <w:i/>
          <w:sz w:val="22"/>
          <w:szCs w:val="22"/>
        </w:rPr>
      </w:pPr>
    </w:p>
    <w:p>
      <w:pPr>
        <w:pStyle w:val="PargrafodaLista"/>
        <w:spacing w:line="312" w:lineRule="auto"/>
        <w:ind w:left="1428"/>
        <w:jc w:val="center"/>
        <w:rPr>
          <w:rFonts w:ascii="Arial" w:hAnsi="Arial" w:cs="Arial"/>
          <w:i/>
          <w:noProof/>
          <w:sz w:val="22"/>
          <w:szCs w:val="22"/>
        </w:rPr>
      </w:pPr>
      <w:r>
        <w:rPr>
          <w:rFonts w:ascii="Arial" w:hAnsi="Arial" w:cs="Arial"/>
          <w:i/>
          <w:noProof/>
          <w:sz w:val="22"/>
          <w:szCs w:val="22"/>
          <w:lang w:eastAsia="pt-BR"/>
        </w:rPr>
        <w:drawing>
          <wp:inline distT="0" distB="0" distL="0" distR="0">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after="0" w:line="312" w:lineRule="auto"/>
        <w:ind w:left="1068"/>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gramStart"/>
      <w:r>
        <w:rPr>
          <w:rFonts w:ascii="Arial" w:hAnsi="Arial" w:cs="Arial"/>
          <w:i/>
          <w:sz w:val="22"/>
          <w:szCs w:val="22"/>
        </w:rPr>
        <w:t>k</w:t>
      </w:r>
      <w:proofErr w:type="gramEnd"/>
      <w:r>
        <w:rPr>
          <w:rFonts w:ascii="Arial" w:hAnsi="Arial" w:cs="Arial"/>
          <w:i/>
          <w:sz w:val="22"/>
          <w:szCs w:val="22"/>
        </w:rPr>
        <w:t xml:space="preserve"> = número de ordem das Taxas DI, variando de 1 até n, sendo “k” um número inteiro;</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proofErr w:type="gramStart"/>
      <w:r>
        <w:rPr>
          <w:rFonts w:ascii="Arial" w:hAnsi="Arial" w:cs="Arial"/>
          <w:i/>
          <w:sz w:val="22"/>
          <w:szCs w:val="22"/>
        </w:rPr>
        <w:t>n</w:t>
      </w:r>
      <w:r>
        <w:rPr>
          <w:rFonts w:ascii="Arial" w:hAnsi="Arial" w:cs="Arial"/>
          <w:i/>
          <w:sz w:val="22"/>
          <w:szCs w:val="22"/>
          <w:vertAlign w:val="subscript"/>
        </w:rPr>
        <w:t>DI</w:t>
      </w:r>
      <w:proofErr w:type="spellEnd"/>
      <w:proofErr w:type="gramEnd"/>
      <w:r>
        <w:rPr>
          <w:rFonts w:ascii="Arial" w:hAnsi="Arial" w:cs="Arial"/>
          <w:i/>
          <w:sz w:val="22"/>
          <w:szCs w:val="22"/>
        </w:rPr>
        <w:t xml:space="preserve"> = número total de Taxas DI, consideradas em cada Período de Capitalização, na apuração do “</w:t>
      </w:r>
      <w:proofErr w:type="spellStart"/>
      <w:r>
        <w:rPr>
          <w:rFonts w:ascii="Arial" w:hAnsi="Arial" w:cs="Arial"/>
          <w:i/>
          <w:sz w:val="22"/>
          <w:szCs w:val="22"/>
        </w:rPr>
        <w:t>FatorDI</w:t>
      </w:r>
      <w:proofErr w:type="spellEnd"/>
      <w:r>
        <w:rPr>
          <w:rFonts w:ascii="Arial" w:hAnsi="Arial" w:cs="Arial"/>
          <w:i/>
          <w:sz w:val="22"/>
          <w:szCs w:val="22"/>
        </w:rPr>
        <w:t>”,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 e</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rPr>
        <w:t xml:space="preserve"> = Taxa DI, de ordem k, expressa ao dia, calculada com 8 (oito) casas decimais com arredondamento, apurado da seguinte forma:</w:t>
      </w:r>
    </w:p>
    <w:p>
      <w:pPr>
        <w:pStyle w:val="PargrafodaLista"/>
        <w:spacing w:line="312" w:lineRule="auto"/>
        <w:ind w:left="1428"/>
        <w:rPr>
          <w:rFonts w:ascii="Arial" w:hAnsi="Arial" w:cs="Arial"/>
          <w:i/>
          <w:sz w:val="22"/>
          <w:szCs w:val="22"/>
        </w:rPr>
      </w:pPr>
    </w:p>
    <w:p>
      <w:pPr>
        <w:pStyle w:val="PargrafodaLista"/>
        <w:spacing w:line="312" w:lineRule="auto"/>
        <w:ind w:left="1428"/>
        <w:jc w:val="center"/>
        <w:rPr>
          <w:rFonts w:ascii="Arial" w:hAnsi="Arial" w:cs="Arial"/>
          <w:i/>
          <w:sz w:val="22"/>
          <w:szCs w:val="22"/>
        </w:rPr>
      </w:pPr>
      <w:r>
        <w:rPr>
          <w:rFonts w:ascii="Arial" w:hAnsi="Arial" w:cs="Arial"/>
          <w:i/>
          <w:noProof/>
          <w:sz w:val="22"/>
          <w:szCs w:val="22"/>
          <w:lang w:eastAsia="pt-BR"/>
        </w:rPr>
        <w:drawing>
          <wp:inline distT="0" distB="0" distL="0" distR="0">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after="0" w:line="312" w:lineRule="auto"/>
        <w:ind w:left="1068"/>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rPr>
        <w:t xml:space="preserve"> = Taxa DI, de ordem k, divulgada pela B3 S.A – Brasil, Bolsa, Balcão, válida por 1 (um) Dia Útil (conforme definido abaixo) (overnight), utilizada com 2 (duas) casas decimais;</w:t>
      </w:r>
    </w:p>
    <w:p>
      <w:pPr>
        <w:widowControl w:val="0"/>
        <w:spacing w:after="0" w:line="312" w:lineRule="auto"/>
        <w:ind w:left="1068"/>
        <w:rPr>
          <w:rFonts w:ascii="Arial" w:hAnsi="Arial" w:cs="Arial"/>
          <w:i/>
          <w:sz w:val="22"/>
          <w:szCs w:val="22"/>
        </w:rPr>
      </w:pPr>
    </w:p>
    <w:p>
      <w:pPr>
        <w:pStyle w:val="PargrafodaLista"/>
        <w:spacing w:line="312" w:lineRule="auto"/>
        <w:ind w:left="1068"/>
        <w:rPr>
          <w:rFonts w:ascii="Arial" w:hAnsi="Arial" w:cs="Arial"/>
          <w:i/>
          <w:sz w:val="22"/>
          <w:szCs w:val="22"/>
        </w:rPr>
      </w:pPr>
      <w:proofErr w:type="spellStart"/>
      <w:r>
        <w:rPr>
          <w:rFonts w:ascii="Arial" w:hAnsi="Arial" w:cs="Arial"/>
          <w:i/>
          <w:sz w:val="22"/>
          <w:szCs w:val="22"/>
        </w:rPr>
        <w:t>FatorSpread</w:t>
      </w:r>
      <w:proofErr w:type="spellEnd"/>
      <w:r>
        <w:rPr>
          <w:rFonts w:ascii="Arial" w:hAnsi="Arial" w:cs="Arial"/>
          <w:i/>
          <w:sz w:val="22"/>
          <w:szCs w:val="22"/>
        </w:rPr>
        <w:t xml:space="preserve"> = sobretaxa de juros fixos calculada com 9 (nove) casas decimais, com arredondamento, calculado conforme fórmula abaixo:</w:t>
      </w:r>
    </w:p>
    <w:p>
      <w:pPr>
        <w:pStyle w:val="PargrafodaLista"/>
        <w:spacing w:line="312" w:lineRule="auto"/>
        <w:ind w:left="1068"/>
        <w:rPr>
          <w:rFonts w:ascii="Arial" w:hAnsi="Arial" w:cs="Arial"/>
          <w:i/>
          <w:sz w:val="22"/>
          <w:szCs w:val="22"/>
        </w:rPr>
      </w:pPr>
    </w:p>
    <w:p>
      <w:pPr>
        <w:widowControl w:val="0"/>
        <w:spacing w:after="0" w:line="312" w:lineRule="auto"/>
        <w:ind w:left="1068"/>
        <w:jc w:val="center"/>
        <w:rPr>
          <w:rFonts w:ascii="Arial" w:hAnsi="Arial" w:cs="Arial"/>
          <w:i/>
          <w:snapToGrid w:val="0"/>
          <w:sz w:val="22"/>
          <w:szCs w:val="22"/>
        </w:rPr>
      </w:pPr>
      <w:r>
        <w:rPr>
          <w:rFonts w:ascii="Arial" w:hAnsi="Arial" w:cs="Arial"/>
          <w:i/>
          <w:noProof/>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10" o:title=""/>
          </v:shape>
          <o:OLEObject Type="Embed" ProgID="Equation.3" ShapeID="_x0000_i1025" DrawAspect="Content" ObjectID="_1686390558" r:id="rId11"/>
        </w:object>
      </w:r>
    </w:p>
    <w:p>
      <w:pPr>
        <w:widowControl w:val="0"/>
        <w:spacing w:after="0" w:line="312" w:lineRule="auto"/>
        <w:ind w:left="1068"/>
        <w:rPr>
          <w:rFonts w:ascii="Arial" w:hAnsi="Arial" w:cs="Arial"/>
          <w:i/>
          <w:snapToGrid w:val="0"/>
          <w:sz w:val="22"/>
          <w:szCs w:val="22"/>
        </w:rPr>
      </w:pPr>
    </w:p>
    <w:p>
      <w:pPr>
        <w:widowControl w:val="0"/>
        <w:spacing w:after="0" w:line="312" w:lineRule="auto"/>
        <w:ind w:left="1068"/>
        <w:rPr>
          <w:rFonts w:ascii="Arial" w:hAnsi="Arial" w:cs="Arial"/>
          <w:i/>
          <w:snapToGrid w:val="0"/>
          <w:sz w:val="22"/>
          <w:szCs w:val="22"/>
        </w:rPr>
      </w:pPr>
      <w:proofErr w:type="gramStart"/>
      <w:r>
        <w:rPr>
          <w:rFonts w:ascii="Arial" w:hAnsi="Arial" w:cs="Arial"/>
          <w:i/>
          <w:snapToGrid w:val="0"/>
          <w:sz w:val="22"/>
          <w:szCs w:val="22"/>
        </w:rPr>
        <w:t>onde</w:t>
      </w:r>
      <w:proofErr w:type="gramEnd"/>
      <w:r>
        <w:rPr>
          <w:rFonts w:ascii="Arial" w:hAnsi="Arial" w:cs="Arial"/>
          <w:i/>
          <w:snapToGrid w:val="0"/>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gramStart"/>
      <w:r>
        <w:rPr>
          <w:rFonts w:ascii="Arial" w:hAnsi="Arial" w:cs="Arial"/>
          <w:i/>
          <w:sz w:val="22"/>
          <w:szCs w:val="22"/>
        </w:rPr>
        <w:t>spread</w:t>
      </w:r>
      <w:proofErr w:type="gramEnd"/>
      <w:r>
        <w:rPr>
          <w:rFonts w:ascii="Arial" w:hAnsi="Arial" w:cs="Arial"/>
          <w:i/>
          <w:sz w:val="22"/>
          <w:szCs w:val="22"/>
        </w:rPr>
        <w:t xml:space="preserve"> = 4,8344;</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gramStart"/>
      <w:r>
        <w:rPr>
          <w:rFonts w:ascii="Arial" w:hAnsi="Arial" w:cs="Arial"/>
          <w:i/>
          <w:sz w:val="22"/>
          <w:szCs w:val="22"/>
        </w:rPr>
        <w:t>n</w:t>
      </w:r>
      <w:proofErr w:type="gramEnd"/>
      <w:r>
        <w:rPr>
          <w:rFonts w:ascii="Arial" w:hAnsi="Arial" w:cs="Arial"/>
          <w:i/>
          <w:sz w:val="22"/>
          <w:szCs w:val="22"/>
        </w:rPr>
        <w:t xml:space="preserve"> = número de Dias Úteis entre a primeira Data de Integralização ou a Data de Pagamento dos Juros Remuneratórios imediatamente anterior, conforme o caso, e a data atual, sendo “n” um número inteiro.</w:t>
      </w:r>
      <w:r>
        <w:rPr>
          <w:rFonts w:ascii="Arial" w:hAnsi="Arial" w:cs="Arial"/>
          <w:sz w:val="22"/>
          <w:szCs w:val="22"/>
        </w:rPr>
        <w:t>”</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alteração da Cláusula 6.2 da Escritura de Emissão, para exclusão do termo definido que não é utilizado em outros momentos da Escritura de Emissão, que passará a ter a seguinte redação:</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ind w:left="1080"/>
        <w:rPr>
          <w:rFonts w:ascii="Arial" w:hAnsi="Arial" w:cs="Arial"/>
          <w:sz w:val="22"/>
          <w:szCs w:val="22"/>
        </w:rPr>
      </w:pPr>
      <w:r>
        <w:rPr>
          <w:rFonts w:ascii="Arial" w:hAnsi="Arial" w:cs="Arial"/>
          <w:i/>
          <w:color w:val="000000"/>
          <w:sz w:val="22"/>
          <w:szCs w:val="22"/>
        </w:rPr>
        <w:t>“6.2.</w:t>
      </w:r>
      <w:r>
        <w:rPr>
          <w:rFonts w:ascii="Arial" w:hAnsi="Arial" w:cs="Arial"/>
          <w:i/>
          <w:color w:val="000000"/>
          <w:sz w:val="22"/>
          <w:szCs w:val="22"/>
        </w:rPr>
        <w:tab/>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roofErr w:type="gramStart"/>
      <w:r>
        <w:rPr>
          <w:rFonts w:ascii="Arial" w:hAnsi="Arial" w:cs="Arial"/>
          <w:i/>
          <w:color w:val="000000"/>
          <w:sz w:val="22"/>
          <w:szCs w:val="22"/>
        </w:rPr>
        <w:t>).”</w:t>
      </w:r>
      <w:proofErr w:type="gramEnd"/>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a alteração da Cláusula 6.3 da Escritura de Emissão, a fim de </w:t>
      </w:r>
      <w:r>
        <w:rPr>
          <w:rFonts w:ascii="Arial" w:hAnsi="Arial" w:cs="Arial"/>
          <w:b/>
          <w:sz w:val="22"/>
          <w:szCs w:val="22"/>
        </w:rPr>
        <w:t>(a)</w:t>
      </w:r>
      <w:r>
        <w:rPr>
          <w:rFonts w:ascii="Arial" w:hAnsi="Arial" w:cs="Arial"/>
          <w:sz w:val="22"/>
          <w:szCs w:val="22"/>
        </w:rPr>
        <w:t xml:space="preserve"> deixar a redação mais clara em relação </w:t>
      </w:r>
      <w:r>
        <w:rPr>
          <w:rFonts w:ascii="Arial" w:hAnsi="Arial" w:cs="Arial"/>
          <w:b/>
          <w:sz w:val="22"/>
          <w:szCs w:val="22"/>
        </w:rPr>
        <w:t>(1)</w:t>
      </w:r>
      <w:r>
        <w:rPr>
          <w:rFonts w:ascii="Arial" w:hAnsi="Arial" w:cs="Arial"/>
          <w:sz w:val="22"/>
          <w:szCs w:val="22"/>
        </w:rPr>
        <w:t xml:space="preserve"> à data-base de apuração dos volumes descritos na tabela dessa cláusula, </w:t>
      </w:r>
      <w:proofErr w:type="spellStart"/>
      <w:r>
        <w:rPr>
          <w:rFonts w:ascii="Arial" w:hAnsi="Arial" w:cs="Arial"/>
          <w:sz w:val="22"/>
          <w:szCs w:val="22"/>
        </w:rPr>
        <w:t>a</w:t>
      </w:r>
      <w:proofErr w:type="spellEnd"/>
      <w:r>
        <w:rPr>
          <w:rFonts w:ascii="Arial" w:hAnsi="Arial" w:cs="Arial"/>
          <w:sz w:val="22"/>
          <w:szCs w:val="22"/>
        </w:rPr>
        <w:t xml:space="preserve"> qual é em 31 de dezembro de cada ano, inclusive referente ao ano de 2020; e </w:t>
      </w:r>
      <w:r>
        <w:rPr>
          <w:rFonts w:ascii="Arial" w:hAnsi="Arial" w:cs="Arial"/>
          <w:b/>
          <w:sz w:val="22"/>
          <w:szCs w:val="22"/>
        </w:rPr>
        <w:t>(2)</w:t>
      </w:r>
      <w:r>
        <w:rPr>
          <w:rFonts w:ascii="Arial" w:hAnsi="Arial" w:cs="Arial"/>
          <w:sz w:val="22"/>
          <w:szCs w:val="22"/>
        </w:rPr>
        <w:t xml:space="preserve"> à desconsideração do aval e/ou garantias concedidas pela Emissora ao Fiador e/ou pelo Fiador à Emissora, considerando o atual organograma societário do grupo; e </w:t>
      </w:r>
      <w:r>
        <w:rPr>
          <w:rFonts w:ascii="Arial" w:hAnsi="Arial" w:cs="Arial"/>
          <w:b/>
          <w:sz w:val="22"/>
          <w:szCs w:val="22"/>
        </w:rPr>
        <w:t xml:space="preserve">(b) </w:t>
      </w:r>
      <w:r>
        <w:rPr>
          <w:rFonts w:ascii="Arial" w:hAnsi="Arial" w:cs="Arial"/>
          <w:sz w:val="22"/>
          <w:szCs w:val="22"/>
        </w:rPr>
        <w:t>atualizar a tabela dessa Cláusula com os novos volumes e inclusão da Santo Antônio Patrimonial, que passará a ter a seguinte redação:</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rPr>
          <w:rFonts w:ascii="Arial" w:hAnsi="Arial" w:cs="Arial"/>
          <w:sz w:val="22"/>
          <w:szCs w:val="22"/>
        </w:rPr>
      </w:pPr>
      <w:r>
        <w:rPr>
          <w:rFonts w:ascii="Arial" w:hAnsi="Arial" w:cs="Arial"/>
          <w:sz w:val="22"/>
          <w:szCs w:val="22"/>
        </w:rPr>
        <w:t>“</w:t>
      </w:r>
      <w:r>
        <w:rPr>
          <w:rFonts w:ascii="Arial" w:hAnsi="Arial" w:cs="Arial"/>
          <w:i/>
          <w:sz w:val="22"/>
          <w:szCs w:val="22"/>
        </w:rPr>
        <w:t>6.3.</w:t>
      </w:r>
      <w:r>
        <w:rPr>
          <w:rFonts w:ascii="Arial" w:hAnsi="Arial" w:cs="Arial"/>
          <w:i/>
          <w:sz w:val="22"/>
          <w:szCs w:val="22"/>
        </w:rPr>
        <w:tab/>
        <w:t xml:space="preserve">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w:t>
      </w:r>
      <w:r>
        <w:rPr>
          <w:rFonts w:ascii="Arial" w:hAnsi="Arial" w:cs="Arial"/>
          <w:i/>
          <w:sz w:val="22"/>
          <w:szCs w:val="22"/>
        </w:rPr>
        <w:lastRenderedPageBreak/>
        <w:t xml:space="preserve">como data-base de apuração para os volumes da tabela abaixo o dia 31 de dezembro de cada ano e não deverá levar em consideração os volumes de aval e/ou garantias prestados pela Emissora ao Fiador e/ou pelo Fiador à </w:t>
      </w:r>
      <w:proofErr w:type="gramStart"/>
      <w:r>
        <w:rPr>
          <w:rFonts w:ascii="Arial" w:hAnsi="Arial" w:cs="Arial"/>
          <w:i/>
          <w:sz w:val="22"/>
          <w:szCs w:val="22"/>
        </w:rPr>
        <w:t>Emissora:</w:t>
      </w:r>
      <w:r>
        <w:rPr>
          <w:rFonts w:ascii="Arial" w:hAnsi="Arial" w:cs="Arial"/>
          <w:sz w:val="22"/>
          <w:szCs w:val="22"/>
        </w:rPr>
        <w:t>”</w:t>
      </w:r>
      <w:proofErr w:type="gramEnd"/>
      <w:r>
        <w:rPr>
          <w:rFonts w:ascii="Arial" w:hAnsi="Arial" w:cs="Arial"/>
          <w:sz w:val="22"/>
          <w:szCs w:val="22"/>
        </w:rPr>
        <w:t xml:space="preserve"> </w:t>
      </w:r>
    </w:p>
    <w:tbl>
      <w:tblPr>
        <w:tblpPr w:leftFromText="141" w:rightFromText="141" w:vertAnchor="text" w:horzAnchor="margin" w:tblpXSpec="right" w:tblpY="209"/>
        <w:tblW w:w="0" w:type="auto"/>
        <w:tblLayout w:type="fixed"/>
        <w:tblCellMar>
          <w:left w:w="70" w:type="dxa"/>
          <w:right w:w="70" w:type="dxa"/>
        </w:tblCellMar>
        <w:tblLook w:val="04A0" w:firstRow="1" w:lastRow="0" w:firstColumn="1" w:lastColumn="0" w:noHBand="0" w:noVBand="1"/>
      </w:tblPr>
      <w:tblGrid>
        <w:gridCol w:w="3256"/>
        <w:gridCol w:w="1726"/>
        <w:gridCol w:w="1559"/>
        <w:gridCol w:w="885"/>
      </w:tblGrid>
      <w:tr>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Empresa</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2020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2021</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2022</w:t>
            </w:r>
          </w:p>
        </w:tc>
      </w:tr>
      <w:tr>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pPr>
              <w:spacing w:after="0" w:line="312" w:lineRule="auto"/>
              <w:rPr>
                <w:rFonts w:ascii="Arial" w:hAnsi="Arial" w:cs="Arial"/>
                <w:i/>
                <w:color w:val="000000"/>
                <w:sz w:val="22"/>
                <w:szCs w:val="22"/>
              </w:rPr>
            </w:pPr>
            <w:proofErr w:type="spellStart"/>
            <w:r>
              <w:rPr>
                <w:rFonts w:ascii="Arial" w:hAnsi="Arial" w:cs="Arial"/>
                <w:i/>
                <w:color w:val="000000"/>
                <w:sz w:val="22"/>
                <w:szCs w:val="22"/>
              </w:rPr>
              <w:t>AuraBrasil</w:t>
            </w:r>
            <w:proofErr w:type="spellEnd"/>
            <w:r>
              <w:rPr>
                <w:rFonts w:ascii="Arial" w:hAnsi="Arial" w:cs="Arial"/>
                <w:i/>
                <w:color w:val="000000"/>
                <w:sz w:val="22"/>
                <w:szCs w:val="22"/>
              </w:rPr>
              <w:t xml:space="preserve"> – Transportes, Máquinas e Equipamentos Ltda.</w:t>
            </w:r>
          </w:p>
        </w:tc>
        <w:tc>
          <w:tcPr>
            <w:tcW w:w="1726"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R$85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R$50 milhões</w:t>
            </w:r>
          </w:p>
        </w:tc>
        <w:tc>
          <w:tcPr>
            <w:tcW w:w="885"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t>Bravo Caminhões e Empreendimentos Ltda.</w:t>
            </w:r>
          </w:p>
        </w:tc>
        <w:tc>
          <w:tcPr>
            <w:tcW w:w="1726"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R$4 milhões</w:t>
            </w:r>
          </w:p>
        </w:tc>
        <w:tc>
          <w:tcPr>
            <w:tcW w:w="885"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t>Aero Santo Antônio</w:t>
            </w:r>
          </w:p>
        </w:tc>
        <w:tc>
          <w:tcPr>
            <w:tcW w:w="1726"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R$6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c>
          <w:tcPr>
            <w:tcW w:w="885"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t>LM Participações e Empreendimentos S.A.</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R$3 milhões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312" w:lineRule="auto"/>
              <w:rPr>
                <w:rFonts w:ascii="Arial" w:hAnsi="Arial" w:cs="Arial"/>
                <w:i/>
                <w:color w:val="000000"/>
                <w:sz w:val="22"/>
                <w:szCs w:val="22"/>
              </w:rPr>
            </w:pPr>
            <w:r>
              <w:rPr>
                <w:rFonts w:ascii="Arial" w:hAnsi="Arial" w:cs="Arial"/>
                <w:i/>
                <w:sz w:val="22"/>
                <w:szCs w:val="22"/>
              </w:rPr>
              <w:t>Santo Antônio Imóveis e Empreendimentos Ltda.</w:t>
            </w:r>
          </w:p>
        </w:tc>
        <w:tc>
          <w:tcPr>
            <w:tcW w:w="1726" w:type="dxa"/>
            <w:tcBorders>
              <w:top w:val="single" w:sz="4" w:space="0" w:color="auto"/>
              <w:left w:val="nil"/>
              <w:bottom w:val="single" w:sz="4" w:space="0" w:color="auto"/>
              <w:right w:val="single" w:sz="4" w:space="0" w:color="auto"/>
            </w:tcBorders>
            <w:shd w:val="clear" w:color="auto" w:fill="auto"/>
            <w:noWrap/>
            <w:vAlign w:val="bottom"/>
          </w:tcPr>
          <w:p>
            <w:pPr>
              <w:spacing w:after="0" w:line="312" w:lineRule="auto"/>
              <w:jc w:val="center"/>
              <w:rPr>
                <w:rFonts w:ascii="Arial" w:hAnsi="Arial" w:cs="Arial"/>
                <w:i/>
                <w:color w:val="000000"/>
                <w:sz w:val="22"/>
                <w:szCs w:val="22"/>
              </w:rPr>
            </w:pPr>
            <w:r>
              <w:rPr>
                <w:rFonts w:ascii="Arial" w:hAnsi="Arial" w:cs="Arial"/>
                <w:i/>
                <w:color w:val="000000"/>
                <w:sz w:val="22"/>
                <w:szCs w:val="22"/>
              </w:rPr>
              <w:t>R$25 milhões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after="0"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885" w:type="dxa"/>
            <w:tcBorders>
              <w:top w:val="single" w:sz="4" w:space="0" w:color="auto"/>
              <w:left w:val="nil"/>
              <w:bottom w:val="single" w:sz="4" w:space="0" w:color="auto"/>
              <w:right w:val="single" w:sz="4" w:space="0" w:color="auto"/>
            </w:tcBorders>
            <w:shd w:val="clear" w:color="auto" w:fill="auto"/>
            <w:noWrap/>
            <w:vAlign w:val="bottom"/>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bl>
    <w:p>
      <w:pPr>
        <w:pStyle w:val="PargrafodaLista"/>
        <w:spacing w:line="312" w:lineRule="auto"/>
        <w:ind w:left="1440"/>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alteração da Cláusula 6.3.1 da Escritura de Emissão, a fim de deixar a redação mais clara em relação à data-base de apuração dos volumes descritos na Cláusula 6.3 da Escritura de Emissão, a qual é em 31 de dezembro de cada ano, bem como ajuste na referência cruzada, que passará a ter a seguinte redação:</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rPr>
          <w:rFonts w:ascii="Arial" w:hAnsi="Arial" w:cs="Arial"/>
          <w:i/>
          <w:sz w:val="22"/>
          <w:szCs w:val="22"/>
        </w:rPr>
      </w:pPr>
      <w:r>
        <w:rPr>
          <w:rFonts w:ascii="Arial" w:hAnsi="Arial" w:cs="Arial"/>
          <w:sz w:val="22"/>
          <w:szCs w:val="22"/>
        </w:rPr>
        <w:t xml:space="preserve"> “</w:t>
      </w:r>
      <w:r>
        <w:rPr>
          <w:rFonts w:ascii="Arial" w:hAnsi="Arial" w:cs="Arial"/>
          <w:i/>
          <w:sz w:val="22"/>
          <w:szCs w:val="22"/>
        </w:rPr>
        <w:t>6.3.1.</w:t>
      </w:r>
      <w:r>
        <w:rPr>
          <w:rFonts w:ascii="Arial" w:hAnsi="Arial" w:cs="Arial"/>
          <w:i/>
          <w:sz w:val="22"/>
          <w:szCs w:val="22"/>
        </w:rPr>
        <w:tab/>
        <w:t>O Agente Fiduciário deverá verificar anualmente, no dia 11 dos meses de junho, a contar da Data de Emissão (“</w:t>
      </w:r>
      <w:r>
        <w:rPr>
          <w:rFonts w:ascii="Arial" w:hAnsi="Arial" w:cs="Arial"/>
          <w:i/>
          <w:sz w:val="22"/>
          <w:szCs w:val="22"/>
          <w:u w:val="single"/>
        </w:rPr>
        <w:t>Data de Verificação</w:t>
      </w:r>
      <w:r>
        <w:rPr>
          <w:rFonts w:ascii="Arial" w:hAnsi="Arial" w:cs="Arial"/>
          <w:i/>
          <w:sz w:val="22"/>
          <w:szCs w:val="22"/>
        </w:rPr>
        <w:t xml:space="preserve">”), levando em consideração a data-base de apuração o dia 31 de dezembro de cada ano, os volumes previstos nas Cláusulas 6.2 e 6.3 da Escritura de Emissão, por meio dos contratos que serão enviados pela Emissora e pelo </w:t>
      </w:r>
      <w:proofErr w:type="gramStart"/>
      <w:r>
        <w:rPr>
          <w:rFonts w:ascii="Arial" w:hAnsi="Arial" w:cs="Arial"/>
          <w:i/>
          <w:sz w:val="22"/>
          <w:szCs w:val="22"/>
        </w:rPr>
        <w:t>Fiador.</w:t>
      </w:r>
      <w:r>
        <w:rPr>
          <w:rFonts w:ascii="Arial" w:hAnsi="Arial" w:cs="Arial"/>
          <w:sz w:val="22"/>
          <w:szCs w:val="22"/>
        </w:rPr>
        <w:t>”</w:t>
      </w:r>
      <w:proofErr w:type="gramEnd"/>
      <w:r>
        <w:rPr>
          <w:rFonts w:ascii="Arial" w:hAnsi="Arial" w:cs="Arial"/>
          <w:sz w:val="22"/>
          <w:szCs w:val="22"/>
        </w:rPr>
        <w:t xml:space="preserve"> </w:t>
      </w:r>
    </w:p>
    <w:p>
      <w:pPr>
        <w:autoSpaceDE w:val="0"/>
        <w:autoSpaceDN w:val="0"/>
        <w:adjustRightInd w:val="0"/>
        <w:spacing w:after="0" w:line="312" w:lineRule="auto"/>
        <w:rPr>
          <w:rFonts w:ascii="Arial" w:hAnsi="Arial" w:cs="Arial"/>
          <w:sz w:val="22"/>
          <w:szCs w:val="22"/>
          <w:lang w:eastAsia="en-US"/>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alteração da Cláusula 6.3.2 da Escritura de Emissão, a fim de ajustar a referência cruzada, excluir o termo definido, bem como deixar mais clara a redação referente à obrigação de celebrar aditamento à Escritura de Emissão, que passará a ter a seguinte redação:</w:t>
      </w:r>
    </w:p>
    <w:p>
      <w:pPr>
        <w:autoSpaceDE w:val="0"/>
        <w:autoSpaceDN w:val="0"/>
        <w:adjustRightInd w:val="0"/>
        <w:spacing w:after="0" w:line="312" w:lineRule="auto"/>
        <w:rPr>
          <w:rFonts w:ascii="Arial" w:hAnsi="Arial" w:cs="Arial"/>
          <w:sz w:val="22"/>
          <w:szCs w:val="22"/>
          <w:lang w:eastAsia="en-US"/>
        </w:rPr>
      </w:pPr>
    </w:p>
    <w:p>
      <w:pPr>
        <w:pStyle w:val="PargrafodaLista"/>
        <w:numPr>
          <w:ilvl w:val="1"/>
          <w:numId w:val="20"/>
        </w:numPr>
        <w:spacing w:line="312" w:lineRule="auto"/>
        <w:rPr>
          <w:rFonts w:ascii="Arial" w:hAnsi="Arial" w:cs="Arial"/>
          <w:sz w:val="22"/>
          <w:szCs w:val="22"/>
        </w:rPr>
      </w:pPr>
      <w:r>
        <w:rPr>
          <w:rFonts w:ascii="Arial" w:hAnsi="Arial" w:cs="Arial"/>
          <w:sz w:val="22"/>
          <w:szCs w:val="22"/>
        </w:rPr>
        <w:t>“</w:t>
      </w:r>
      <w:r>
        <w:rPr>
          <w:rFonts w:ascii="Arial" w:hAnsi="Arial" w:cs="Arial"/>
          <w:i/>
          <w:sz w:val="22"/>
          <w:szCs w:val="22"/>
        </w:rPr>
        <w:t>6.3.2.</w:t>
      </w:r>
      <w:r>
        <w:rPr>
          <w:rFonts w:ascii="Arial" w:hAnsi="Arial" w:cs="Arial"/>
          <w:i/>
          <w:sz w:val="22"/>
          <w:szCs w:val="22"/>
        </w:rPr>
        <w:tab/>
      </w:r>
      <w:r>
        <w:rPr>
          <w:rFonts w:ascii="Arial" w:hAnsi="Arial" w:cs="Arial"/>
          <w:i/>
          <w:color w:val="000000"/>
          <w:sz w:val="22"/>
          <w:szCs w:val="22"/>
        </w:rPr>
        <w:tab/>
        <w:t xml:space="preserve">Caso seja verificado que quaisquer dos limites previstos nas Cláusulas 6.2 e/ou 6.3 acima foi superado, a Emissora e o Fiador deverão celebrar aditamento a esta Escritura, no prazo de 10 (dez) Dias Úteis da </w:t>
      </w:r>
      <w:r>
        <w:rPr>
          <w:rFonts w:ascii="Arial" w:hAnsi="Arial" w:cs="Arial"/>
          <w:i/>
          <w:color w:val="000000"/>
          <w:sz w:val="22"/>
          <w:szCs w:val="22"/>
        </w:rPr>
        <w:lastRenderedPageBreak/>
        <w:t xml:space="preserve">respectiva Data de Verificação, para, conforme aplicável (a) inclusão </w:t>
      </w:r>
      <w:proofErr w:type="gramStart"/>
      <w:r>
        <w:rPr>
          <w:rFonts w:ascii="Arial" w:hAnsi="Arial" w:cs="Arial"/>
          <w:i/>
          <w:color w:val="000000"/>
          <w:sz w:val="22"/>
          <w:szCs w:val="22"/>
        </w:rPr>
        <w:t>da(</w:t>
      </w:r>
      <w:proofErr w:type="gramEnd"/>
      <w:r>
        <w:rPr>
          <w:rFonts w:ascii="Arial" w:hAnsi="Arial" w:cs="Arial"/>
          <w:i/>
          <w:color w:val="000000"/>
          <w:sz w:val="22"/>
          <w:szCs w:val="22"/>
        </w:rPr>
        <w:t>s) sociedades(s) beneficiária(s) das operações mencionadas na Cláusula 6.2 acima como fiador(es) desta Emissão, ou (b) inclusão dos Controladores como fiadores desta Emissão, nos termos da Cláusula 6.3 acima.</w:t>
      </w:r>
      <w:r>
        <w:rPr>
          <w:rFonts w:ascii="Arial" w:hAnsi="Arial" w:cs="Arial"/>
          <w:sz w:val="22"/>
          <w:szCs w:val="22"/>
        </w:rPr>
        <w:t>”</w:t>
      </w:r>
      <w:r>
        <w:rPr>
          <w:rFonts w:ascii="Arial" w:hAnsi="Arial" w:cs="Arial"/>
          <w:i/>
          <w:color w:val="000000"/>
          <w:sz w:val="22"/>
          <w:szCs w:val="22"/>
        </w:rPr>
        <w:t xml:space="preserve"> </w:t>
      </w:r>
    </w:p>
    <w:p>
      <w:pPr>
        <w:autoSpaceDE w:val="0"/>
        <w:autoSpaceDN w:val="0"/>
        <w:adjustRightInd w:val="0"/>
        <w:spacing w:after="0" w:line="312" w:lineRule="auto"/>
        <w:rPr>
          <w:rFonts w:ascii="Arial" w:hAnsi="Arial" w:cs="Arial"/>
          <w:sz w:val="22"/>
          <w:szCs w:val="22"/>
          <w:lang w:eastAsia="en-US"/>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confirmação do Debenturista acerca do cumprimento dos volumes indicados na tabela da Cláusula 6.3 da Escritura de Emissão considerando a data-base de 31 de dezembro de 2020, que é a data-base de apuração correta a ser observada, tendo em vista a dubiedade na interpretação (ou seja, dubiedade na interpretação entre a data-base de 31 de dezembro de 2020 e 11 de junho de 2021);</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Pr>
          <w:rFonts w:ascii="Arial" w:hAnsi="Arial" w:cs="Arial"/>
          <w:sz w:val="22"/>
          <w:szCs w:val="22"/>
        </w:rPr>
        <w:t>atualização dos dados da Emissora e Fiador na Cláusula 10</w:t>
      </w:r>
      <w:r>
        <w:rPr>
          <w:rFonts w:ascii="Arial" w:hAnsi="Arial" w:cs="Arial"/>
          <w:sz w:val="22"/>
          <w:szCs w:val="22"/>
        </w:rPr>
        <w:t>.1</w:t>
      </w:r>
      <w:r>
        <w:rPr>
          <w:rFonts w:ascii="Arial" w:hAnsi="Arial" w:cs="Arial"/>
          <w:sz w:val="22"/>
          <w:szCs w:val="22"/>
        </w:rPr>
        <w:t xml:space="preserve"> da Escritura de Emissão (Notificações)</w:t>
      </w:r>
      <w:r>
        <w:rPr>
          <w:rFonts w:ascii="Arial" w:hAnsi="Arial" w:cs="Arial"/>
          <w:sz w:val="22"/>
          <w:szCs w:val="22"/>
        </w:rPr>
        <w:t>, que passará a ter a seguinte redação:</w:t>
      </w:r>
    </w:p>
    <w:p>
      <w:pPr>
        <w:pStyle w:val="PargrafodaLista"/>
        <w:spacing w:line="312" w:lineRule="auto"/>
        <w:ind w:left="1440"/>
        <w:rPr>
          <w:rFonts w:ascii="Arial" w:eastAsia="Arial Unicode MS" w:hAnsi="Arial" w:cs="Arial"/>
          <w:i/>
          <w:w w:val="0"/>
          <w:sz w:val="22"/>
          <w:szCs w:val="22"/>
        </w:rPr>
      </w:pPr>
    </w:p>
    <w:p>
      <w:pPr>
        <w:pStyle w:val="PargrafodaLista"/>
        <w:numPr>
          <w:ilvl w:val="1"/>
          <w:numId w:val="20"/>
        </w:numPr>
        <w:spacing w:line="312" w:lineRule="auto"/>
        <w:rPr>
          <w:rFonts w:ascii="Arial" w:eastAsia="Arial Unicode MS" w:hAnsi="Arial" w:cs="Arial"/>
          <w:i/>
          <w:w w:val="0"/>
          <w:sz w:val="22"/>
          <w:szCs w:val="22"/>
        </w:rPr>
      </w:pPr>
      <w:r>
        <w:rPr>
          <w:rFonts w:ascii="Arial" w:eastAsia="Arial Unicode MS" w:hAnsi="Arial" w:cs="Arial"/>
          <w:i/>
          <w:w w:val="0"/>
          <w:sz w:val="22"/>
          <w:szCs w:val="22"/>
        </w:rPr>
        <w:t>“10.1.</w:t>
      </w:r>
      <w:r>
        <w:rPr>
          <w:rFonts w:ascii="Arial" w:eastAsia="Arial Unicode MS" w:hAnsi="Arial" w:cs="Arial"/>
          <w:i/>
          <w:w w:val="0"/>
          <w:sz w:val="22"/>
          <w:szCs w:val="22"/>
        </w:rPr>
        <w:tab/>
        <w:t>As comunicações a serem enviadas por qualquer das Partes nos termos desta Escritura deverão ser encaminhadas para os seguintes endereços:</w:t>
      </w:r>
    </w:p>
    <w:p>
      <w:pPr>
        <w:pStyle w:val="p0"/>
        <w:spacing w:line="312" w:lineRule="auto"/>
        <w:ind w:left="992"/>
        <w:rPr>
          <w:rFonts w:ascii="Arial" w:eastAsia="Arial Unicode MS" w:hAnsi="Arial" w:cs="Arial"/>
          <w:i/>
          <w:sz w:val="22"/>
          <w:szCs w:val="22"/>
        </w:rPr>
      </w:pPr>
    </w:p>
    <w:p>
      <w:pPr>
        <w:widowControl w:val="0"/>
        <w:tabs>
          <w:tab w:val="left" w:pos="709"/>
        </w:tabs>
        <w:spacing w:after="0" w:line="312" w:lineRule="auto"/>
        <w:ind w:left="1418"/>
        <w:rPr>
          <w:rFonts w:ascii="Arial" w:eastAsia="Arial Unicode MS" w:hAnsi="Arial" w:cs="Arial"/>
          <w:i/>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after="0" w:line="312" w:lineRule="auto"/>
        <w:ind w:left="1418"/>
        <w:rPr>
          <w:rFonts w:ascii="Arial" w:hAnsi="Arial" w:cs="Arial"/>
          <w:b/>
          <w:i/>
          <w:smallCaps/>
          <w:sz w:val="22"/>
          <w:szCs w:val="22"/>
        </w:rPr>
      </w:pPr>
      <w:r>
        <w:rPr>
          <w:rFonts w:ascii="Arial" w:hAnsi="Arial" w:cs="Arial"/>
          <w:b/>
          <w:i/>
          <w:smallCaps/>
          <w:color w:val="000000"/>
          <w:sz w:val="22"/>
          <w:szCs w:val="22"/>
        </w:rPr>
        <w:t>LM Transportes Interestaduais Serviços e Comércio</w:t>
      </w:r>
      <w:r>
        <w:rPr>
          <w:rFonts w:ascii="Arial" w:hAnsi="Arial" w:cs="Arial"/>
          <w:b/>
          <w:i/>
          <w:sz w:val="22"/>
          <w:szCs w:val="22"/>
        </w:rPr>
        <w:t xml:space="preserve"> S.A.</w:t>
      </w:r>
    </w:p>
    <w:p>
      <w:pPr>
        <w:widowControl w:val="0"/>
        <w:spacing w:after="0" w:line="312" w:lineRule="auto"/>
        <w:ind w:left="1418"/>
        <w:rPr>
          <w:rFonts w:ascii="Arial" w:eastAsia="Arial Unicode MS" w:hAnsi="Arial" w:cs="Arial"/>
          <w:i/>
          <w:w w:val="0"/>
          <w:sz w:val="22"/>
          <w:szCs w:val="22"/>
        </w:rPr>
      </w:pPr>
      <w:bookmarkStart w:id="13" w:name="_DV_C551"/>
      <w:r>
        <w:rPr>
          <w:rFonts w:ascii="Arial" w:eastAsia="Arial Unicode MS" w:hAnsi="Arial" w:cs="Arial"/>
          <w:i/>
          <w:w w:val="0"/>
          <w:sz w:val="22"/>
          <w:szCs w:val="22"/>
        </w:rPr>
        <w:t>Rua da Alfazema, nº 761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after="0" w:line="312" w:lineRule="auto"/>
        <w:ind w:left="1418"/>
        <w:rPr>
          <w:rFonts w:ascii="Arial" w:eastAsia="Arial Unicode MS" w:hAnsi="Arial" w:cs="Arial"/>
          <w:i/>
          <w:w w:val="0"/>
          <w:sz w:val="22"/>
          <w:szCs w:val="22"/>
        </w:rPr>
      </w:pPr>
      <w:proofErr w:type="gramStart"/>
      <w:r>
        <w:rPr>
          <w:rFonts w:ascii="Arial" w:eastAsia="Arial Unicode MS" w:hAnsi="Arial" w:cs="Arial"/>
          <w:i/>
          <w:w w:val="0"/>
          <w:sz w:val="22"/>
          <w:szCs w:val="22"/>
        </w:rPr>
        <w:t>At.:</w:t>
      </w:r>
      <w:proofErr w:type="gramEnd"/>
      <w:r>
        <w:rPr>
          <w:rFonts w:ascii="Arial" w:eastAsia="Arial Unicode MS" w:hAnsi="Arial" w:cs="Arial"/>
          <w:i/>
          <w:w w:val="0"/>
          <w:sz w:val="22"/>
          <w:szCs w:val="22"/>
        </w:rPr>
        <w:t xml:space="preserve"> Cliveraldo Bastos, Marcio Targa, Katia Nozela e Reveca Cardonski</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 xml:space="preserve">E-mail: </w:t>
      </w:r>
      <w:bookmarkEnd w:id="13"/>
      <w:r>
        <w:rPr>
          <w:rFonts w:ascii="Arial" w:eastAsia="Arial Unicode MS" w:hAnsi="Arial" w:cs="Arial"/>
          <w:i/>
          <w:w w:val="0"/>
          <w:sz w:val="22"/>
          <w:szCs w:val="22"/>
        </w:rPr>
        <w:t xml:space="preserve">cliveraldo.bastos@grupolm.com.br; </w:t>
      </w:r>
      <w:r>
        <w:rPr>
          <w:rStyle w:val="Hyperlink"/>
          <w:rFonts w:ascii="Arial" w:eastAsia="Arial Unicode MS" w:hAnsi="Arial" w:cs="Arial"/>
          <w:i/>
          <w:color w:val="auto"/>
          <w:w w:val="0"/>
          <w:sz w:val="22"/>
          <w:szCs w:val="22"/>
          <w:u w:val="none"/>
        </w:rPr>
        <w:t>financeiro@grupolm.com.br</w:t>
      </w:r>
      <w:r>
        <w:rPr>
          <w:rFonts w:ascii="Arial" w:eastAsia="Arial Unicode MS" w:hAnsi="Arial" w:cs="Arial"/>
          <w:i/>
          <w:w w:val="0"/>
          <w:sz w:val="22"/>
          <w:szCs w:val="22"/>
        </w:rPr>
        <w:t xml:space="preserve">; </w:t>
      </w:r>
      <w:r>
        <w:rPr>
          <w:rFonts w:ascii="Arial" w:eastAsia="Arial Unicode MS" w:hAnsi="Arial" w:cs="Arial"/>
          <w:i/>
          <w:sz w:val="22"/>
          <w:szCs w:val="22"/>
        </w:rPr>
        <w:t>marcio.targa@grupolm.com.br</w:t>
      </w:r>
      <w:r>
        <w:rPr>
          <w:rFonts w:ascii="Arial" w:eastAsia="Arial Unicode MS" w:hAnsi="Arial" w:cs="Arial"/>
          <w:i/>
          <w:w w:val="0"/>
          <w:sz w:val="22"/>
          <w:szCs w:val="22"/>
        </w:rPr>
        <w:t xml:space="preserve">; </w:t>
      </w:r>
      <w:hyperlink r:id="rId12"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1418"/>
        <w:rPr>
          <w:rFonts w:ascii="Arial" w:eastAsia="Arial Unicode MS" w:hAnsi="Arial" w:cs="Arial"/>
          <w:i/>
          <w:w w:val="0"/>
          <w:sz w:val="22"/>
          <w:szCs w:val="22"/>
        </w:rPr>
      </w:pPr>
    </w:p>
    <w:p>
      <w:pPr>
        <w:widowControl w:val="0"/>
        <w:tabs>
          <w:tab w:val="left" w:pos="709"/>
        </w:tabs>
        <w:spacing w:after="0" w:line="312" w:lineRule="auto"/>
        <w:ind w:left="1418"/>
        <w:rPr>
          <w:rFonts w:ascii="Arial" w:eastAsia="Arial Unicode MS" w:hAnsi="Arial" w:cs="Arial"/>
          <w:i/>
          <w:w w:val="0"/>
          <w:sz w:val="22"/>
          <w:szCs w:val="22"/>
        </w:rPr>
      </w:pPr>
      <w:r>
        <w:rPr>
          <w:rFonts w:ascii="Arial" w:eastAsia="Arial Unicode MS" w:hAnsi="Arial" w:cs="Arial"/>
          <w:i/>
          <w:sz w:val="22"/>
          <w:szCs w:val="22"/>
        </w:rPr>
        <w:t>(...)</w:t>
      </w:r>
    </w:p>
    <w:p>
      <w:pPr>
        <w:widowControl w:val="0"/>
        <w:shd w:val="clear" w:color="auto" w:fill="FFFFFF"/>
        <w:tabs>
          <w:tab w:val="left" w:pos="709"/>
          <w:tab w:val="left" w:pos="1800"/>
        </w:tabs>
        <w:spacing w:after="0" w:line="312" w:lineRule="auto"/>
        <w:ind w:left="1418"/>
        <w:rPr>
          <w:rFonts w:ascii="Arial" w:eastAsia="Arial Unicode MS" w:hAnsi="Arial" w:cs="Arial"/>
          <w:i/>
          <w:color w:val="000000"/>
          <w:w w:val="0"/>
          <w:sz w:val="22"/>
          <w:szCs w:val="22"/>
        </w:rPr>
      </w:pPr>
    </w:p>
    <w:p>
      <w:pPr>
        <w:widowControl w:val="0"/>
        <w:tabs>
          <w:tab w:val="left" w:pos="709"/>
        </w:tabs>
        <w:spacing w:after="0" w:line="312" w:lineRule="auto"/>
        <w:ind w:left="1418"/>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after="0" w:line="312" w:lineRule="auto"/>
        <w:ind w:left="1418"/>
        <w:rPr>
          <w:rFonts w:ascii="Arial" w:eastAsia="Arial Unicode MS" w:hAnsi="Arial" w:cs="Arial"/>
          <w:i/>
          <w:w w:val="0"/>
          <w:sz w:val="22"/>
          <w:szCs w:val="22"/>
        </w:rPr>
      </w:pPr>
      <w:r>
        <w:rPr>
          <w:rFonts w:ascii="Arial" w:hAnsi="Arial" w:cs="Arial"/>
          <w:b/>
          <w:i/>
          <w:smallCaps/>
          <w:sz w:val="22"/>
          <w:szCs w:val="22"/>
        </w:rPr>
        <w:t>LM Transportes e Serviços e Comércio Ltda.</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Rua da Alfazema, nº 761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after="0" w:line="312" w:lineRule="auto"/>
        <w:ind w:left="1418"/>
        <w:rPr>
          <w:rFonts w:ascii="Arial" w:eastAsia="Arial Unicode MS" w:hAnsi="Arial" w:cs="Arial"/>
          <w:i/>
          <w:w w:val="0"/>
          <w:sz w:val="22"/>
          <w:szCs w:val="22"/>
        </w:rPr>
      </w:pPr>
      <w:proofErr w:type="gramStart"/>
      <w:r>
        <w:rPr>
          <w:rFonts w:ascii="Arial" w:eastAsia="Arial Unicode MS" w:hAnsi="Arial" w:cs="Arial"/>
          <w:i/>
          <w:w w:val="0"/>
          <w:sz w:val="22"/>
          <w:szCs w:val="22"/>
        </w:rPr>
        <w:t>At.:</w:t>
      </w:r>
      <w:proofErr w:type="gramEnd"/>
      <w:r>
        <w:rPr>
          <w:rFonts w:ascii="Arial" w:eastAsia="Arial Unicode MS" w:hAnsi="Arial" w:cs="Arial"/>
          <w:i/>
          <w:w w:val="0"/>
          <w:sz w:val="22"/>
          <w:szCs w:val="22"/>
        </w:rPr>
        <w:t xml:space="preserve"> Cliveraldo Bastos, Marcio Targa Katia Nozela e Reveca Cardonski</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 xml:space="preserve">E-mail: </w:t>
      </w:r>
      <w:r>
        <w:rPr>
          <w:rStyle w:val="Hyperlink"/>
          <w:rFonts w:ascii="Arial" w:eastAsia="Arial Unicode MS" w:hAnsi="Arial" w:cs="Arial"/>
          <w:i/>
          <w:color w:val="auto"/>
          <w:w w:val="0"/>
          <w:sz w:val="22"/>
          <w:szCs w:val="22"/>
          <w:u w:val="none"/>
        </w:rPr>
        <w:t>cliveraldo.bastos@grupolm.com.br; financeiro@grupolm.com.br</w:t>
      </w:r>
      <w:r>
        <w:rPr>
          <w:rFonts w:ascii="Arial" w:eastAsia="Arial Unicode MS" w:hAnsi="Arial" w:cs="Arial"/>
          <w:i/>
          <w:w w:val="0"/>
          <w:sz w:val="22"/>
          <w:szCs w:val="22"/>
        </w:rPr>
        <w:t xml:space="preserve">; </w:t>
      </w:r>
      <w:hyperlink r:id="rId13" w:history="1">
        <w:r>
          <w:rPr>
            <w:rStyle w:val="Hyperlink"/>
            <w:rFonts w:ascii="Arial" w:eastAsia="Arial Unicode MS" w:hAnsi="Arial" w:cs="Arial"/>
            <w:i/>
            <w:color w:val="auto"/>
            <w:w w:val="0"/>
            <w:sz w:val="22"/>
            <w:szCs w:val="22"/>
            <w:u w:val="none"/>
          </w:rPr>
          <w:t>marcio.targa@grupolm.com.br</w:t>
        </w:r>
      </w:hyperlink>
      <w:r>
        <w:rPr>
          <w:rFonts w:ascii="Arial" w:eastAsia="Arial Unicode MS" w:hAnsi="Arial" w:cs="Arial"/>
          <w:i/>
          <w:w w:val="0"/>
          <w:sz w:val="22"/>
          <w:szCs w:val="22"/>
        </w:rPr>
        <w:t xml:space="preserve">; </w:t>
      </w:r>
      <w:hyperlink r:id="rId14"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Agente Fiduciário, a Emissora e o Fiador a tomarem todas as providências necessárias para refletir as deliberações desta Assembleia nos documentos da Emissão.</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Encerramento</w:t>
      </w:r>
      <w:r>
        <w:rPr>
          <w:rFonts w:ascii="Arial" w:hAnsi="Arial" w:cs="Arial"/>
          <w:b/>
          <w:sz w:val="22"/>
          <w:szCs w:val="22"/>
        </w:rPr>
        <w:t>:</w:t>
      </w:r>
      <w:r>
        <w:rPr>
          <w:rFonts w:ascii="Arial" w:hAnsi="Arial" w:cs="Arial"/>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w:t>
      </w:r>
      <w:bookmarkStart w:id="14" w:name="_GoBack"/>
      <w:bookmarkEnd w:id="14"/>
      <w:r>
        <w:rPr>
          <w:rFonts w:ascii="Arial" w:hAnsi="Arial" w:cs="Arial"/>
          <w:sz w:val="22"/>
          <w:szCs w:val="22"/>
        </w:rPr>
        <w:t xml:space="preserve">atribuído na Escritura de Emissão. Autorizada a lavratura da presente ata de assembleia geral de Debenturistas na forma de sumário, nos termos do artigo 130, Parágrafo 1º da Lei das Sociedades por Ações. </w:t>
      </w:r>
    </w:p>
    <w:p>
      <w:pPr>
        <w:spacing w:after="0" w:line="312" w:lineRule="auto"/>
        <w:rPr>
          <w:rFonts w:ascii="Arial" w:hAnsi="Arial" w:cs="Arial"/>
          <w:sz w:val="22"/>
          <w:szCs w:val="22"/>
        </w:rPr>
      </w:pPr>
    </w:p>
    <w:p>
      <w:pPr>
        <w:spacing w:after="0" w:line="312" w:lineRule="auto"/>
        <w:jc w:val="center"/>
        <w:rPr>
          <w:rFonts w:ascii="Arial" w:hAnsi="Arial" w:cs="Arial"/>
          <w:sz w:val="22"/>
          <w:szCs w:val="22"/>
        </w:rPr>
      </w:pPr>
      <w:r>
        <w:rPr>
          <w:rFonts w:ascii="Arial" w:hAnsi="Arial" w:cs="Arial"/>
          <w:sz w:val="22"/>
          <w:szCs w:val="22"/>
        </w:rPr>
        <w:t>Salvador, [</w:t>
      </w:r>
      <w:r>
        <w:rPr>
          <w:rFonts w:ascii="Arial" w:hAnsi="Arial" w:cs="Arial"/>
          <w:sz w:val="22"/>
          <w:szCs w:val="22"/>
          <w:highlight w:val="yellow"/>
        </w:rPr>
        <w:t>●</w:t>
      </w:r>
      <w:r>
        <w:rPr>
          <w:rFonts w:ascii="Arial" w:hAnsi="Arial" w:cs="Arial"/>
          <w:sz w:val="22"/>
          <w:szCs w:val="22"/>
        </w:rPr>
        <w:t>] de junho de 2021.</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trPr>
          <w:cantSplit/>
        </w:trPr>
        <w:tc>
          <w:tcPr>
            <w:tcW w:w="3616" w:type="dxa"/>
            <w:tcBorders>
              <w:top w:val="single" w:sz="6" w:space="0" w:color="auto"/>
            </w:tcBorders>
          </w:tcPr>
          <w:p>
            <w:pPr>
              <w:spacing w:after="0" w:line="312" w:lineRule="auto"/>
              <w:jc w:val="center"/>
              <w:rPr>
                <w:rFonts w:ascii="Arial" w:hAnsi="Arial" w:cs="Arial"/>
                <w:sz w:val="22"/>
                <w:szCs w:val="22"/>
              </w:rPr>
            </w:pPr>
            <w:r>
              <w:rPr>
                <w:rFonts w:ascii="Arial" w:hAnsi="Arial" w:cs="Arial"/>
                <w:sz w:val="22"/>
                <w:szCs w:val="22"/>
              </w:rPr>
              <w:t>[</w:t>
            </w:r>
            <w:r>
              <w:rPr>
                <w:rFonts w:ascii="Arial" w:hAnsi="Arial" w:cs="Arial"/>
                <w:b/>
                <w:sz w:val="22"/>
                <w:szCs w:val="22"/>
                <w:highlight w:val="yellow"/>
              </w:rPr>
              <w:t>Luiz Lopes Mendonça Filho</w:t>
            </w:r>
            <w:r>
              <w:rPr>
                <w:rFonts w:ascii="Arial" w:hAnsi="Arial" w:cs="Arial"/>
                <w:sz w:val="22"/>
                <w:szCs w:val="22"/>
              </w:rPr>
              <w:t>]</w:t>
            </w:r>
            <w:r>
              <w:rPr>
                <w:rFonts w:ascii="Arial" w:hAnsi="Arial" w:cs="Arial"/>
                <w:sz w:val="22"/>
                <w:szCs w:val="22"/>
              </w:rPr>
              <w:br/>
              <w:t xml:space="preserve">CPF: 023.756.805-53                                             </w:t>
            </w:r>
            <w:r>
              <w:rPr>
                <w:rFonts w:ascii="Arial" w:hAnsi="Arial" w:cs="Arial"/>
                <w:sz w:val="22"/>
                <w:szCs w:val="22"/>
              </w:rPr>
              <w:br/>
              <w:t>Presidente</w:t>
            </w:r>
          </w:p>
        </w:tc>
        <w:tc>
          <w:tcPr>
            <w:tcW w:w="567" w:type="dxa"/>
          </w:tcPr>
          <w:p>
            <w:pPr>
              <w:spacing w:after="0" w:line="312" w:lineRule="auto"/>
              <w:jc w:val="center"/>
              <w:rPr>
                <w:rFonts w:ascii="Arial" w:hAnsi="Arial" w:cs="Arial"/>
                <w:sz w:val="22"/>
                <w:szCs w:val="22"/>
              </w:rPr>
            </w:pPr>
          </w:p>
        </w:tc>
        <w:tc>
          <w:tcPr>
            <w:tcW w:w="4820" w:type="dxa"/>
            <w:tcBorders>
              <w:top w:val="single" w:sz="6" w:space="0" w:color="auto"/>
            </w:tcBorders>
          </w:tcPr>
          <w:p>
            <w:pPr>
              <w:spacing w:after="0" w:line="312" w:lineRule="auto"/>
              <w:jc w:val="center"/>
              <w:rPr>
                <w:rFonts w:ascii="Arial" w:hAnsi="Arial" w:cs="Arial"/>
                <w:sz w:val="22"/>
                <w:szCs w:val="22"/>
              </w:rPr>
            </w:pPr>
            <w:r>
              <w:rPr>
                <w:rFonts w:ascii="Arial" w:hAnsi="Arial" w:cs="Arial"/>
                <w:b/>
                <w:sz w:val="22"/>
                <w:szCs w:val="22"/>
              </w:rPr>
              <w:t>Matheus Gomes Faria</w:t>
            </w:r>
            <w:r>
              <w:rPr>
                <w:rFonts w:ascii="Arial" w:hAnsi="Arial" w:cs="Arial"/>
                <w:sz w:val="22"/>
                <w:szCs w:val="22"/>
              </w:rPr>
              <w:br/>
              <w:t>CPF: 058.133.117-69</w:t>
            </w:r>
            <w:r>
              <w:rPr>
                <w:rFonts w:ascii="Arial" w:hAnsi="Arial" w:cs="Arial"/>
                <w:sz w:val="22"/>
                <w:szCs w:val="22"/>
              </w:rPr>
              <w:br/>
              <w:t>Secretário</w:t>
            </w:r>
          </w:p>
        </w:tc>
      </w:tr>
    </w:tbl>
    <w:p>
      <w:pPr>
        <w:pStyle w:val="Default"/>
        <w:spacing w:line="312" w:lineRule="auto"/>
        <w:ind w:right="-284"/>
        <w:jc w:val="both"/>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junho de 2021)</w:t>
      </w:r>
    </w:p>
    <w:p>
      <w:pPr>
        <w:spacing w:after="0" w:line="312" w:lineRule="auto"/>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Emissora:</w:t>
      </w:r>
    </w:p>
    <w:p>
      <w:pPr>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pStyle w:val="Corpodetexto"/>
        <w:spacing w:after="0" w:line="312" w:lineRule="auto"/>
        <w:rPr>
          <w:rFonts w:ascii="Arial" w:hAnsi="Arial" w:cs="Arial"/>
          <w:b/>
          <w:sz w:val="22"/>
          <w:szCs w:val="22"/>
        </w:rPr>
      </w:pPr>
      <w:r>
        <w:rPr>
          <w:rFonts w:ascii="Arial" w:hAnsi="Arial" w:cs="Arial"/>
          <w:b/>
          <w:sz w:val="22"/>
          <w:szCs w:val="22"/>
        </w:rPr>
        <w:t xml:space="preserve">Fiador: </w:t>
      </w:r>
    </w:p>
    <w:p>
      <w:pPr>
        <w:pStyle w:val="Corpodetexto"/>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pPr>
        <w:pStyle w:val="Corpodetexto"/>
        <w:spacing w:after="0" w:line="312" w:lineRule="auto"/>
        <w:jc w:val="center"/>
        <w:rPr>
          <w:rFonts w:ascii="Arial" w:hAnsi="Arial" w:cs="Arial"/>
          <w:b/>
          <w:bCs/>
          <w:sz w:val="22"/>
          <w:szCs w:val="22"/>
        </w:rPr>
      </w:pP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spacing w:after="0" w:line="312" w:lineRule="auto"/>
        <w:rPr>
          <w:rFonts w:ascii="Arial" w:hAnsi="Arial" w:cs="Arial"/>
          <w:b/>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junho de 2021)</w:t>
      </w: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Agente Fiduciário:</w:t>
      </w:r>
    </w:p>
    <w:p>
      <w:pPr>
        <w:spacing w:after="0" w:line="312" w:lineRule="auto"/>
        <w:rPr>
          <w:rFonts w:ascii="Arial" w:hAnsi="Arial" w:cs="Arial"/>
          <w:sz w:val="22"/>
          <w:szCs w:val="22"/>
        </w:rPr>
      </w:pPr>
    </w:p>
    <w:p>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pPr>
        <w:pStyle w:val="Default"/>
        <w:spacing w:line="312" w:lineRule="auto"/>
        <w:ind w:right="-284"/>
        <w:jc w:val="both"/>
        <w:rPr>
          <w:rFonts w:ascii="Arial" w:hAnsi="Arial" w:cs="Arial"/>
          <w:sz w:val="22"/>
          <w:szCs w:val="22"/>
        </w:rPr>
      </w:pPr>
      <w:r>
        <w:rPr>
          <w:rFonts w:ascii="Arial" w:hAnsi="Arial" w:cs="Arial"/>
          <w:sz w:val="22"/>
          <w:szCs w:val="22"/>
        </w:rPr>
        <w:t>Nome: Matheus Gomes Faria</w:t>
      </w:r>
    </w:p>
    <w:p>
      <w:pPr>
        <w:pStyle w:val="Default"/>
        <w:spacing w:line="312" w:lineRule="auto"/>
        <w:ind w:right="-284"/>
        <w:jc w:val="both"/>
        <w:rPr>
          <w:rFonts w:ascii="Arial" w:hAnsi="Arial" w:cs="Arial"/>
          <w:sz w:val="22"/>
          <w:szCs w:val="22"/>
        </w:rPr>
      </w:pPr>
      <w:r>
        <w:rPr>
          <w:rFonts w:ascii="Arial" w:hAnsi="Arial" w:cs="Arial"/>
          <w:sz w:val="22"/>
          <w:szCs w:val="22"/>
        </w:rPr>
        <w:t>Cargo: Diretor</w:t>
      </w:r>
    </w:p>
    <w:p>
      <w:pPr>
        <w:pStyle w:val="Default"/>
        <w:spacing w:line="312" w:lineRule="auto"/>
        <w:ind w:right="-284"/>
        <w:jc w:val="both"/>
        <w:rPr>
          <w:rFonts w:ascii="Arial" w:hAnsi="Arial" w:cs="Arial"/>
          <w:sz w:val="22"/>
          <w:szCs w:val="22"/>
        </w:rPr>
      </w:pPr>
      <w:r>
        <w:rPr>
          <w:rFonts w:ascii="Arial" w:hAnsi="Arial" w:cs="Arial"/>
          <w:sz w:val="22"/>
          <w:szCs w:val="22"/>
        </w:rPr>
        <w:t>CPF nº: 058.133.117-69</w:t>
      </w:r>
    </w:p>
    <w:p>
      <w:pPr>
        <w:pStyle w:val="Corpodetexto"/>
        <w:spacing w:after="0" w:line="312" w:lineRule="auto"/>
        <w:rPr>
          <w:rFonts w:ascii="Arial" w:hAnsi="Arial" w:cs="Arial"/>
          <w:sz w:val="22"/>
          <w:szCs w:val="22"/>
        </w:rPr>
      </w:pPr>
    </w:p>
    <w:p>
      <w:pPr>
        <w:pStyle w:val="Corpodetexto"/>
        <w:spacing w:after="0" w:line="312" w:lineRule="auto"/>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junho de 2021)</w:t>
      </w:r>
    </w:p>
    <w:p>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w:t>
            </w:r>
          </w:p>
        </w:tc>
      </w:tr>
      <w:tr>
        <w:tc>
          <w:tcPr>
            <w:tcW w:w="1561"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roofErr w:type="gramStart"/>
            <w:r>
              <w:rPr>
                <w:rFonts w:ascii="Arial" w:hAnsi="Arial" w:cs="Arial"/>
                <w:sz w:val="22"/>
                <w:szCs w:val="22"/>
              </w:rPr>
              <w:t>x</w:t>
            </w:r>
            <w:proofErr w:type="gramEnd"/>
            <w:r>
              <w:rPr>
                <w:rFonts w:ascii="Arial" w:hAnsi="Arial" w:cs="Arial"/>
                <w:sz w:val="22"/>
                <w:szCs w:val="22"/>
              </w:rPr>
              <w:t>_________________________________</w:t>
            </w:r>
          </w:p>
          <w:p>
            <w:pPr>
              <w:spacing w:after="0" w:line="312" w:lineRule="auto"/>
              <w:jc w:val="center"/>
              <w:rPr>
                <w:rFonts w:ascii="Arial" w:hAnsi="Arial" w:cs="Arial"/>
                <w:sz w:val="22"/>
                <w:szCs w:val="22"/>
                <w:highlight w:val="yellow"/>
              </w:rPr>
            </w:pPr>
            <w:r>
              <w:rPr>
                <w:rFonts w:ascii="Arial" w:hAnsi="Arial" w:cs="Arial"/>
                <w:sz w:val="22"/>
                <w:szCs w:val="22"/>
                <w:highlight w:val="yellow"/>
              </w:rPr>
              <w:t>Alexandre Mathews Sturm Coutinho</w:t>
            </w:r>
          </w:p>
          <w:p>
            <w:pPr>
              <w:spacing w:after="0" w:line="312" w:lineRule="auto"/>
              <w:jc w:val="center"/>
              <w:rPr>
                <w:rFonts w:ascii="Arial" w:hAnsi="Arial" w:cs="Arial"/>
                <w:sz w:val="22"/>
                <w:szCs w:val="22"/>
              </w:rPr>
            </w:pPr>
            <w:r>
              <w:rPr>
                <w:rFonts w:ascii="Arial" w:hAnsi="Arial" w:cs="Arial"/>
                <w:sz w:val="22"/>
                <w:szCs w:val="22"/>
                <w:highlight w:val="yellow"/>
              </w:rPr>
              <w:t>CPF: 012.66.287-89</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roofErr w:type="gramStart"/>
            <w:r>
              <w:rPr>
                <w:rFonts w:ascii="Arial" w:hAnsi="Arial" w:cs="Arial"/>
                <w:sz w:val="22"/>
                <w:szCs w:val="22"/>
              </w:rPr>
              <w:t>x</w:t>
            </w:r>
            <w:proofErr w:type="gramEnd"/>
            <w:r>
              <w:rPr>
                <w:rFonts w:ascii="Arial" w:hAnsi="Arial" w:cs="Arial"/>
                <w:sz w:val="22"/>
                <w:szCs w:val="22"/>
              </w:rPr>
              <w:t>________________________________</w:t>
            </w:r>
          </w:p>
          <w:p>
            <w:pPr>
              <w:spacing w:after="0" w:line="312" w:lineRule="auto"/>
              <w:jc w:val="center"/>
              <w:rPr>
                <w:rFonts w:ascii="Arial" w:hAnsi="Arial" w:cs="Arial"/>
                <w:sz w:val="22"/>
                <w:szCs w:val="22"/>
                <w:highlight w:val="yellow"/>
              </w:rPr>
            </w:pPr>
            <w:r>
              <w:rPr>
                <w:rFonts w:ascii="Arial" w:hAnsi="Arial" w:cs="Arial"/>
                <w:sz w:val="22"/>
                <w:szCs w:val="22"/>
                <w:highlight w:val="yellow"/>
              </w:rPr>
              <w:t>Vitor Betoni Rodrigues</w:t>
            </w:r>
          </w:p>
          <w:p>
            <w:pPr>
              <w:spacing w:after="0" w:line="312" w:lineRule="auto"/>
              <w:jc w:val="center"/>
              <w:rPr>
                <w:rFonts w:ascii="Arial" w:hAnsi="Arial" w:cs="Arial"/>
                <w:sz w:val="22"/>
                <w:szCs w:val="22"/>
              </w:rPr>
            </w:pPr>
            <w:r>
              <w:rPr>
                <w:rFonts w:ascii="Arial" w:hAnsi="Arial" w:cs="Arial"/>
                <w:sz w:val="22"/>
                <w:szCs w:val="22"/>
                <w:highlight w:val="yellow"/>
              </w:rPr>
              <w:t>CPF: 370.471.798-36</w:t>
            </w:r>
          </w:p>
          <w:p>
            <w:pPr>
              <w:spacing w:after="0" w:line="312" w:lineRule="auto"/>
              <w:jc w:val="center"/>
              <w:rPr>
                <w:rFonts w:ascii="Arial" w:hAnsi="Arial" w:cs="Arial"/>
                <w:sz w:val="22"/>
                <w:szCs w:val="22"/>
              </w:rPr>
            </w:pPr>
          </w:p>
        </w:tc>
        <w:tc>
          <w:tcPr>
            <w:tcW w:w="2150"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100%</w:t>
            </w:r>
          </w:p>
        </w:tc>
      </w:tr>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pPr>
              <w:spacing w:after="0" w:line="312" w:lineRule="auto"/>
              <w:jc w:val="center"/>
              <w:rPr>
                <w:rFonts w:ascii="Arial" w:hAnsi="Arial" w:cs="Arial"/>
                <w:b/>
                <w:sz w:val="22"/>
                <w:szCs w:val="22"/>
              </w:rPr>
            </w:pPr>
          </w:p>
        </w:tc>
        <w:tc>
          <w:tcPr>
            <w:tcW w:w="2150"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100%</w:t>
            </w:r>
          </w:p>
        </w:tc>
      </w:tr>
    </w:tbl>
    <w:p>
      <w:pPr>
        <w:spacing w:after="0" w:line="312" w:lineRule="auto"/>
        <w:rPr>
          <w:rFonts w:ascii="Arial" w:hAnsi="Arial" w:cs="Arial"/>
          <w:sz w:val="22"/>
          <w:szCs w:val="22"/>
        </w:rPr>
      </w:pPr>
    </w:p>
    <w:sectPr>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Pr>
        <w:rStyle w:val="Nmerodepgina"/>
        <w:rFonts w:ascii="Verdana" w:hAnsi="Verdana"/>
        <w:color w:val="FFFFFF" w:themeColor="background1"/>
        <w:sz w:val="20"/>
        <w:szCs w:val="20"/>
      </w:rPr>
      <w:t>JUR_SP - 40989241v4 - 12070002.478368</w:t>
    </w:r>
    <w:r>
      <w:rPr>
        <w:rStyle w:val="Nmerodepgina"/>
        <w:rFonts w:ascii="Verdana" w:hAnsi="Verdana"/>
        <w:color w:val="FFFFFF" w:themeColor="background1"/>
        <w:sz w:val="20"/>
        <w:szCs w:val="20"/>
      </w:rPr>
      <w:fldChar w:fldCharType="end"/>
    </w:r>
  </w:p>
  <w:p>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12</w:t>
    </w:r>
    <w:r>
      <w:rPr>
        <w:rStyle w:val="Nmerodepgina"/>
        <w:rFonts w:ascii="Verdana" w:hAnsi="Verdana"/>
        <w:sz w:val="20"/>
        <w:szCs w:val="20"/>
      </w:rPr>
      <w:fldChar w:fldCharType="end"/>
    </w:r>
  </w:p>
  <w:p>
    <w:pPr>
      <w:pStyle w:val="Rodap"/>
      <w:jc w:val="center"/>
      <w:rPr>
        <w:color w:val="FFFFFF" w:themeColor="background1"/>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Pr>
        <w:rStyle w:val="Nmerodepgina"/>
        <w:rFonts w:ascii="Verdana" w:hAnsi="Verdana"/>
        <w:color w:val="FFFFFF" w:themeColor="background1"/>
        <w:sz w:val="14"/>
      </w:rPr>
      <w:t>JUR_SP - 40989241v7 - 12070002.478368</w:t>
    </w:r>
    <w:r>
      <w:rPr>
        <w:rStyle w:val="Nmerodepgina"/>
        <w:rFonts w:ascii="Verdana" w:hAnsi="Verdana"/>
        <w:color w:val="FFFFFF" w:themeColor="background1"/>
        <w:sz w:val="14"/>
      </w:rPr>
      <w:fldChar w:fldCharType="end"/>
    </w:r>
  </w:p>
  <w:p>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8"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3"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18"/>
  </w:num>
  <w:num w:numId="3">
    <w:abstractNumId w:val="21"/>
  </w:num>
  <w:num w:numId="4">
    <w:abstractNumId w:val="26"/>
  </w:num>
  <w:num w:numId="5">
    <w:abstractNumId w:val="15"/>
  </w:num>
  <w:num w:numId="6">
    <w:abstractNumId w:val="4"/>
  </w:num>
  <w:num w:numId="7">
    <w:abstractNumId w:val="0"/>
  </w:num>
  <w:num w:numId="8">
    <w:abstractNumId w:val="13"/>
  </w:num>
  <w:num w:numId="9">
    <w:abstractNumId w:val="12"/>
  </w:num>
  <w:num w:numId="10">
    <w:abstractNumId w:val="1"/>
  </w:num>
  <w:num w:numId="11">
    <w:abstractNumId w:val="25"/>
  </w:num>
  <w:num w:numId="12">
    <w:abstractNumId w:val="5"/>
  </w:num>
  <w:num w:numId="13">
    <w:abstractNumId w:val="2"/>
  </w:num>
  <w:num w:numId="14">
    <w:abstractNumId w:val="23"/>
  </w:num>
  <w:num w:numId="15">
    <w:abstractNumId w:val="24"/>
  </w:num>
  <w:num w:numId="16">
    <w:abstractNumId w:val="10"/>
  </w:num>
  <w:num w:numId="17">
    <w:abstractNumId w:val="3"/>
  </w:num>
  <w:num w:numId="18">
    <w:abstractNumId w:val="7"/>
  </w:num>
  <w:num w:numId="19">
    <w:abstractNumId w:val="14"/>
  </w:num>
  <w:num w:numId="20">
    <w:abstractNumId w:val="9"/>
  </w:num>
  <w:num w:numId="21">
    <w:abstractNumId w:val="16"/>
  </w:num>
  <w:num w:numId="22">
    <w:abstractNumId w:val="19"/>
  </w:num>
  <w:num w:numId="23">
    <w:abstractNumId w:val="22"/>
  </w:num>
  <w:num w:numId="24">
    <w:abstractNumId w:val="20"/>
  </w:num>
  <w:num w:numId="25">
    <w:abstractNumId w:val="8"/>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hyperlink" Target="mailto:marcio.targa@grupolm.com.br"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katia.nozela@grupolm.com.br"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image" Target="media/image3.wmf"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katia.nozela@grupolm.com.br"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 J U R _ S P ! 4 0 9 8 9 2 4 1 . 7 < / d o c u m e n t i d >  
     < s e n d e r i d > C I S < / s e n d e r i d >  
     < s e n d e r e m a i l > C D E R I S I O @ P N . C O M . B R < / s e n d e r e m a i l >  
     < l a s t m o d i f i e d > 2 0 2 1 - 0 6 - 2 8 T 1 3 : 0 2 : 0 0 . 0 0 0 0 0 0 0 - 0 3 : 0 0 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B4822-44FD-476D-8DEB-72349AF9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2726</Words>
  <Characters>15460</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18150</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Pinheiro Neto Advogados</cp:lastModifiedBy>
  <cp:revision>12</cp:revision>
  <cp:lastPrinted>2015-06-22T13:28:00Z</cp:lastPrinted>
  <dcterms:created xsi:type="dcterms:W3CDTF">2021-06-28T14:28:00Z</dcterms:created>
  <dcterms:modified xsi:type="dcterms:W3CDTF">2021-06-28T16:02:00Z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- 40989241v7 - 12070002.478368</vt:lpwstr>
  </property>
</Properties>
</file>