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Entre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w:t>
      </w:r>
      <w:r>
        <w:rPr>
          <w:rFonts w:ascii="Arial Negrito" w:hAnsi="Arial Negrito" w:cs="Arial"/>
          <w:b/>
          <w:caps/>
          <w:sz w:val="22"/>
          <w:szCs w:val="22"/>
        </w:rPr>
        <w:t>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Fiduciáriado (conforme definido abaixo), serão realizadas com base nas deliberações da Reunião do Conselho de Administração da Emissora realizada em [12]</w:t>
      </w:r>
      <w:r>
        <w:rPr>
          <w:rFonts w:ascii="Arial" w:hAnsi="Arial" w:cs="Arial"/>
          <w:sz w:val="22"/>
          <w:szCs w:val="22"/>
        </w:rPr>
        <w:t xml:space="preserve"> </w:t>
      </w:r>
      <w:r>
        <w:rPr>
          <w:rFonts w:ascii="Arial" w:hAnsi="Arial" w:cs="Arial"/>
          <w:sz w:val="22"/>
          <w:szCs w:val="22"/>
        </w:rPr>
        <w:t>de junho</w:t>
      </w:r>
      <w:r>
        <w:rPr>
          <w:rFonts w:ascii="Arial" w:hAnsi="Arial" w:cs="Arial"/>
          <w:sz w:val="22"/>
          <w:szCs w:val="22"/>
        </w:rPr>
        <w:t xml:space="preserve"> </w:t>
      </w:r>
      <w:r>
        <w:rPr>
          <w:rFonts w:ascii="Arial" w:hAnsi="Arial" w:cs="Arial"/>
          <w:sz w:val="22"/>
          <w:szCs w:val="22"/>
        </w:rPr>
        <w:t>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Garantia,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bookmarkStart w:id="0" w:name="_Ref40196957"/>
      <w:r>
        <w:rPr>
          <w:rFonts w:ascii="Arial" w:hAnsi="Arial" w:cs="Arial"/>
          <w:b/>
          <w:bCs/>
          <w:sz w:val="22"/>
          <w:szCs w:val="22"/>
        </w:rPr>
        <w:t>Arquivamento e Publicação</w:t>
      </w:r>
      <w:bookmarkEnd w:id="0"/>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bookmarkStart w:id="1"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1"/>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w:instrText>
      </w:r>
      <w:r>
        <w:rPr>
          <w:rFonts w:ascii="Arial" w:hAnsi="Arial" w:cs="Arial"/>
          <w:sz w:val="22"/>
          <w:szCs w:val="22"/>
        </w:rPr>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r>
        <w:rPr>
          <w:rFonts w:ascii="Arial" w:hAnsi="Arial" w:cs="Arial"/>
          <w:i/>
          <w:sz w:val="22"/>
          <w:szCs w:val="22"/>
        </w:rPr>
        <w:t>pdf</w:t>
      </w:r>
      <w:r>
        <w:rPr>
          <w:rFonts w:ascii="Arial" w:hAnsi="Arial" w:cs="Arial"/>
          <w:sz w:val="22"/>
          <w:szCs w:val="22"/>
        </w:rPr>
        <w:t xml:space="preserve">), contendo a chancela digital de registro e arquivamento na JUCEB (i) desta Escritura até a primeira Data de Integralização; e (ii) </w:t>
      </w:r>
      <w:r>
        <w:rPr>
          <w:rFonts w:ascii="Arial" w:hAnsi="Arial" w:cs="Arial"/>
          <w:sz w:val="22"/>
          <w:szCs w:val="22"/>
        </w:rPr>
        <w:t>d</w:t>
      </w:r>
      <w:r>
        <w:rPr>
          <w:rFonts w:ascii="Arial" w:hAnsi="Arial" w:cs="Arial"/>
          <w:sz w:val="22"/>
          <w:szCs w:val="22"/>
        </w:rPr>
        <w:t>os eventuais aditamentos</w:t>
      </w:r>
      <w:r>
        <w:rPr>
          <w:rFonts w:ascii="Arial" w:hAnsi="Arial" w:cs="Arial"/>
          <w:sz w:val="22"/>
          <w:szCs w:val="22"/>
        </w:rPr>
        <w:t xml:space="preserve"> a Escritura</w:t>
      </w:r>
      <w:r>
        <w:rPr>
          <w:rFonts w:ascii="Arial" w:hAnsi="Arial" w:cs="Arial"/>
          <w:sz w:val="22"/>
          <w:szCs w:val="22"/>
        </w:rPr>
        <w:t xml:space="preserve">,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2" w:name="_Ref42807839"/>
      <w:r>
        <w:rPr>
          <w:rFonts w:ascii="Arial" w:hAnsi="Arial" w:cs="Arial"/>
          <w:b/>
          <w:bCs/>
          <w:sz w:val="22"/>
          <w:szCs w:val="22"/>
        </w:rPr>
        <w:t>Constituição e Registro da Fiança</w:t>
      </w:r>
      <w:bookmarkEnd w:id="2"/>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Em virtude da Fiança (conforme definido </w:t>
      </w:r>
      <w:r>
        <w:rPr>
          <w:rFonts w:ascii="Arial" w:hAnsi="Arial" w:cs="Arial"/>
          <w:bCs/>
          <w:sz w:val="22"/>
          <w:szCs w:val="22"/>
        </w:rPr>
        <w:t>abaixo</w:t>
      </w:r>
      <w:r>
        <w:rPr>
          <w:rFonts w:ascii="Arial" w:hAnsi="Arial" w:cs="Arial"/>
          <w:bCs/>
          <w:sz w:val="22"/>
          <w:szCs w:val="22"/>
        </w:rPr>
        <w:t>),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3 (três) Dias Úteis contados da data da respectiva assinatura, </w:t>
      </w:r>
      <w:r>
        <w:rPr>
          <w:rFonts w:ascii="Arial" w:hAnsi="Arial" w:cs="Arial"/>
          <w:sz w:val="22"/>
          <w:szCs w:val="22"/>
        </w:rPr>
        <w:t>devendo ser</w:t>
      </w:r>
      <w:r>
        <w:rPr>
          <w:rFonts w:ascii="Arial" w:hAnsi="Arial" w:cs="Arial"/>
          <w:sz w:val="22"/>
          <w:szCs w:val="22"/>
        </w:rPr>
        <w:t xml:space="preserve"> registrados nos Cartórios </w:t>
      </w:r>
      <w:r>
        <w:rPr>
          <w:rFonts w:ascii="Arial" w:hAnsi="Arial" w:cs="Arial"/>
          <w:bCs/>
          <w:sz w:val="22"/>
          <w:szCs w:val="22"/>
        </w:rPr>
        <w:t xml:space="preserve">de </w:t>
      </w:r>
      <w:r>
        <w:rPr>
          <w:rFonts w:ascii="Arial" w:hAnsi="Arial" w:cs="Arial"/>
          <w:sz w:val="22"/>
          <w:szCs w:val="22"/>
        </w:rPr>
        <w:t>RTDs</w:t>
      </w:r>
      <w:r>
        <w:rPr>
          <w:rFonts w:ascii="Arial" w:hAnsi="Arial" w:cs="Arial"/>
          <w:sz w:val="22"/>
          <w:szCs w:val="22"/>
        </w:rPr>
        <w:t xml:space="preserve"> no prazo </w:t>
      </w:r>
      <w:r>
        <w:rPr>
          <w:rFonts w:ascii="Arial" w:hAnsi="Arial" w:cs="Arial"/>
          <w:sz w:val="22"/>
          <w:szCs w:val="22"/>
        </w:rPr>
        <w:t xml:space="preserve">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_Ref42807184 \r \h </w:instrText>
      </w:r>
      <w:r>
        <w:rPr>
          <w:rFonts w:ascii="Arial" w:hAnsi="Arial" w:cs="Arial"/>
          <w:sz w:val="22"/>
          <w:szCs w:val="22"/>
        </w:rPr>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r>
        <w:rPr>
          <w:rFonts w:ascii="Arial" w:hAnsi="Arial" w:cs="Arial"/>
          <w:sz w:val="22"/>
          <w:szCs w:val="22"/>
        </w:rPr>
        <w:t>.</w:t>
      </w:r>
    </w:p>
    <w:p>
      <w:pPr>
        <w:widowControl w:val="0"/>
        <w:spacing w:line="340" w:lineRule="exact"/>
        <w:jc w:val="both"/>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bookmarkStart w:id="3"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w:t>
      </w:r>
      <w:r>
        <w:rPr>
          <w:rFonts w:ascii="Arial" w:hAnsi="Arial" w:cs="Arial"/>
          <w:bCs/>
          <w:sz w:val="22"/>
          <w:szCs w:val="22"/>
        </w:rPr>
        <w:t>de</w:t>
      </w:r>
      <w:r>
        <w:rPr>
          <w:rFonts w:ascii="Arial" w:hAnsi="Arial" w:cs="Arial"/>
          <w:sz w:val="22"/>
          <w:szCs w:val="22"/>
        </w:rPr>
        <w:t xml:space="preserve"> RTDs.</w:t>
      </w:r>
      <w:bookmarkEnd w:id="3"/>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4" w:name="_Ref42807873"/>
      <w:r>
        <w:rPr>
          <w:rFonts w:ascii="Arial" w:hAnsi="Arial" w:cs="Arial"/>
          <w:b/>
          <w:bCs/>
          <w:sz w:val="22"/>
          <w:szCs w:val="22"/>
        </w:rPr>
        <w:t>Constituição e Registro das Garantias Reais</w:t>
      </w:r>
      <w:bookmarkEnd w:id="4"/>
    </w:p>
    <w:p>
      <w:pPr>
        <w:widowControl w:val="0"/>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w:t>
      </w:r>
      <w:r>
        <w:rPr>
          <w:rFonts w:ascii="Arial" w:hAnsi="Arial" w:cs="Arial"/>
          <w:sz w:val="22"/>
          <w:szCs w:val="22"/>
        </w:rPr>
        <w:t>á</w:t>
      </w:r>
      <w:r>
        <w:rPr>
          <w:rFonts w:ascii="Arial" w:hAnsi="Arial" w:cs="Arial"/>
          <w:sz w:val="22"/>
          <w:szCs w:val="22"/>
        </w:rPr>
        <w:t xml:space="preserve">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P</w:t>
      </w:r>
      <w:r>
        <w:rPr>
          <w:rFonts w:ascii="Arial" w:hAnsi="Arial" w:cs="Arial"/>
          <w:sz w:val="22"/>
          <w:szCs w:val="22"/>
        </w:rPr>
        <w:t>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w:t>
      </w:r>
      <w:r>
        <w:rPr>
          <w:rFonts w:ascii="Arial" w:hAnsi="Arial" w:cs="Arial"/>
          <w:sz w:val="22"/>
          <w:szCs w:val="22"/>
        </w:rPr>
        <w:t>,</w:t>
      </w:r>
      <w:r>
        <w:rPr>
          <w:rFonts w:ascii="Arial" w:hAnsi="Arial" w:cs="Arial"/>
          <w:sz w:val="22"/>
          <w:szCs w:val="22"/>
        </w:rPr>
        <w:t xml:space="preserve"> e (ii) no prazo de </w:t>
      </w:r>
      <w:r>
        <w:rPr>
          <w:rFonts w:ascii="Arial" w:hAnsi="Arial" w:cs="Arial"/>
          <w:sz w:val="22"/>
          <w:szCs w:val="22"/>
        </w:rPr>
        <w:t>7</w:t>
      </w:r>
      <w:r>
        <w:rPr>
          <w:rFonts w:ascii="Arial" w:hAnsi="Arial" w:cs="Arial"/>
          <w:sz w:val="22"/>
          <w:szCs w:val="22"/>
        </w:rPr>
        <w:t xml:space="preserve">5 </w:t>
      </w:r>
      <w:r>
        <w:rPr>
          <w:rFonts w:ascii="Arial" w:hAnsi="Arial" w:cs="Arial"/>
          <w:sz w:val="22"/>
          <w:szCs w:val="22"/>
        </w:rPr>
        <w:t>(</w:t>
      </w:r>
      <w:r>
        <w:rPr>
          <w:rFonts w:ascii="Arial" w:hAnsi="Arial" w:cs="Arial"/>
          <w:sz w:val="22"/>
          <w:szCs w:val="22"/>
        </w:rPr>
        <w:t>setenta</w:t>
      </w:r>
      <w:r>
        <w:rPr>
          <w:rFonts w:ascii="Arial" w:hAnsi="Arial" w:cs="Arial"/>
          <w:sz w:val="22"/>
          <w:szCs w:val="22"/>
        </w:rPr>
        <w:t xml:space="preserve"> </w:t>
      </w:r>
      <w:r>
        <w:rPr>
          <w:rFonts w:ascii="Arial" w:hAnsi="Arial" w:cs="Arial"/>
          <w:sz w:val="22"/>
          <w:szCs w:val="22"/>
        </w:rPr>
        <w:t xml:space="preserve">e cinco) dias contados da </w:t>
      </w:r>
      <w:r>
        <w:rPr>
          <w:rFonts w:ascii="Arial" w:hAnsi="Arial" w:cs="Arial"/>
          <w:sz w:val="22"/>
          <w:szCs w:val="22"/>
        </w:rPr>
        <w:t>primeira</w:t>
      </w:r>
      <w:r>
        <w:rPr>
          <w:rFonts w:ascii="Arial" w:hAnsi="Arial" w:cs="Arial"/>
          <w:sz w:val="22"/>
          <w:szCs w:val="22"/>
        </w:rPr>
        <w:t xml:space="preserve"> </w:t>
      </w:r>
      <w:r>
        <w:rPr>
          <w:rFonts w:ascii="Arial" w:hAnsi="Arial" w:cs="Arial"/>
          <w:sz w:val="22"/>
          <w:szCs w:val="22"/>
        </w:rPr>
        <w:t xml:space="preserve">Data de Integralização providenciar, junto ao órgão ou entidade executiva de trânsito do Estado em que for registrado e licenciado </w:t>
      </w:r>
      <w:r>
        <w:rPr>
          <w:rFonts w:ascii="Arial" w:hAnsi="Arial" w:cs="Arial"/>
          <w:sz w:val="22"/>
          <w:szCs w:val="22"/>
        </w:rPr>
        <w:t>cada um d</w:t>
      </w:r>
      <w:r>
        <w:rPr>
          <w:rFonts w:ascii="Arial" w:hAnsi="Arial" w:cs="Arial"/>
          <w:sz w:val="22"/>
          <w:szCs w:val="22"/>
        </w:rPr>
        <w:t xml:space="preserve">os Veículos Alienados Fiduciariamente, a anotação da Alienação Fiduciária no certificado de registro de cada </w:t>
      </w:r>
      <w:r>
        <w:rPr>
          <w:rFonts w:ascii="Arial" w:hAnsi="Arial" w:cs="Arial"/>
          <w:sz w:val="22"/>
          <w:szCs w:val="22"/>
        </w:rPr>
        <w:t>V</w:t>
      </w:r>
      <w:r>
        <w:rPr>
          <w:rFonts w:ascii="Arial" w:hAnsi="Arial" w:cs="Arial"/>
          <w:sz w:val="22"/>
          <w:szCs w:val="22"/>
        </w:rPr>
        <w:t xml:space="preserve">eículo </w:t>
      </w:r>
      <w:r>
        <w:rPr>
          <w:rFonts w:ascii="Arial" w:hAnsi="Arial" w:cs="Arial"/>
          <w:sz w:val="22"/>
          <w:szCs w:val="22"/>
        </w:rPr>
        <w:t>A</w:t>
      </w:r>
      <w:r>
        <w:rPr>
          <w:rFonts w:ascii="Arial" w:hAnsi="Arial" w:cs="Arial"/>
          <w:sz w:val="22"/>
          <w:szCs w:val="22"/>
        </w:rPr>
        <w:t xml:space="preserve">lienado </w:t>
      </w:r>
      <w:r>
        <w:rPr>
          <w:rFonts w:ascii="Arial" w:hAnsi="Arial" w:cs="Arial"/>
          <w:sz w:val="22"/>
          <w:szCs w:val="22"/>
        </w:rPr>
        <w:t>F</w:t>
      </w:r>
      <w:r>
        <w:rPr>
          <w:rFonts w:ascii="Arial" w:hAnsi="Arial" w:cs="Arial"/>
          <w:sz w:val="22"/>
          <w:szCs w:val="22"/>
        </w:rPr>
        <w:t>iduciariamente</w:t>
      </w:r>
      <w:r>
        <w:rPr>
          <w:rFonts w:ascii="Arial" w:hAnsi="Arial" w:cs="Arial"/>
          <w:sz w:val="22"/>
          <w:szCs w:val="22"/>
        </w:rPr>
        <w:t xml:space="preserve">. </w:t>
      </w:r>
    </w:p>
    <w:p>
      <w:pPr>
        <w:spacing w:line="340" w:lineRule="exact"/>
        <w:jc w:val="both"/>
        <w:rPr>
          <w:rFonts w:ascii="Arial" w:hAnsi="Arial" w:cs="Arial"/>
          <w:sz w:val="22"/>
          <w:szCs w:val="22"/>
        </w:rPr>
      </w:pPr>
    </w:p>
    <w:p>
      <w:pPr>
        <w:pStyle w:val="PargrafodaLista"/>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 xml:space="preserve">Cartórios </w:t>
      </w:r>
      <w:r>
        <w:rPr>
          <w:rFonts w:ascii="Arial" w:hAnsi="Arial" w:cs="Arial"/>
          <w:bCs/>
          <w:sz w:val="22"/>
          <w:szCs w:val="22"/>
        </w:rPr>
        <w:t>de</w:t>
      </w:r>
      <w:r>
        <w:rPr>
          <w:rFonts w:ascii="Arial" w:hAnsi="Arial" w:cs="Arial"/>
          <w:bCs/>
          <w:sz w:val="22"/>
          <w:szCs w:val="22"/>
        </w:rPr>
        <w:t xml:space="preserve"> RTDs</w:t>
      </w:r>
      <w:r>
        <w:rPr>
          <w:rFonts w:ascii="Arial" w:hAnsi="Arial" w:cs="Arial"/>
          <w:sz w:val="22"/>
          <w:szCs w:val="22"/>
        </w:rPr>
        <w:t xml:space="preserve">, em até 3 (três) </w:t>
      </w:r>
      <w:r>
        <w:rPr>
          <w:rFonts w:ascii="Arial" w:hAnsi="Arial" w:cs="Arial"/>
          <w:sz w:val="22"/>
          <w:szCs w:val="22"/>
        </w:rPr>
        <w:t>D</w:t>
      </w:r>
      <w:r>
        <w:rPr>
          <w:rFonts w:ascii="Arial" w:hAnsi="Arial" w:cs="Arial"/>
          <w:sz w:val="22"/>
          <w:szCs w:val="22"/>
        </w:rPr>
        <w:t xml:space="preserve">ias </w:t>
      </w:r>
      <w:r>
        <w:rPr>
          <w:rFonts w:ascii="Arial" w:hAnsi="Arial" w:cs="Arial"/>
          <w:sz w:val="22"/>
          <w:szCs w:val="22"/>
        </w:rPr>
        <w:t xml:space="preserve">Úteis </w:t>
      </w:r>
      <w:r>
        <w:rPr>
          <w:rFonts w:ascii="Arial" w:hAnsi="Arial" w:cs="Arial"/>
          <w:sz w:val="22"/>
          <w:szCs w:val="22"/>
        </w:rPr>
        <w:t>contados da data da respectiva assinatura, devendo ser registrados nos Cartórios</w:t>
      </w:r>
      <w:r>
        <w:rPr>
          <w:rFonts w:ascii="Arial" w:hAnsi="Arial" w:cs="Arial"/>
          <w:bCs/>
          <w:sz w:val="22"/>
          <w:szCs w:val="22"/>
        </w:rPr>
        <w:t xml:space="preserve"> </w:t>
      </w:r>
      <w:r>
        <w:rPr>
          <w:rFonts w:ascii="Arial" w:hAnsi="Arial" w:cs="Arial"/>
          <w:bCs/>
          <w:sz w:val="22"/>
          <w:szCs w:val="22"/>
        </w:rPr>
        <w:t>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_Ref42807184 \r \p \h </w:instrText>
      </w:r>
      <w:r>
        <w:rPr>
          <w:rFonts w:ascii="Arial" w:hAnsi="Arial" w:cs="Arial"/>
          <w:sz w:val="22"/>
          <w:szCs w:val="22"/>
        </w:rPr>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w:t>
      </w:r>
      <w:r>
        <w:rPr>
          <w:rFonts w:ascii="Arial" w:hAnsi="Arial" w:cs="Arial"/>
          <w:sz w:val="22"/>
          <w:szCs w:val="22"/>
        </w:rPr>
        <w:t xml:space="preserve">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bookmarkStart w:id="5"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w:instrText>
      </w:r>
      <w:r>
        <w:rPr>
          <w:rFonts w:ascii="Arial" w:hAnsi="Arial" w:cs="Arial"/>
          <w:sz w:val="22"/>
          <w:szCs w:val="22"/>
        </w:rPr>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w:instrText>
      </w:r>
      <w:r>
        <w:rPr>
          <w:rFonts w:ascii="Arial" w:hAnsi="Arial" w:cs="Arial"/>
          <w:sz w:val="22"/>
          <w:szCs w:val="22"/>
        </w:rPr>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5"/>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uma vez que as Debêntures serão objeto de colocação privada, sem</w:t>
      </w:r>
      <w:r>
        <w:rPr>
          <w:rFonts w:ascii="Arial" w:eastAsia="Arial Unicode MS" w:hAnsi="Arial" w:cs="Arial"/>
          <w:sz w:val="22"/>
          <w:szCs w:val="22"/>
        </w:rPr>
        <w:t xml:space="preserve"> a intermediação e qualquer esforço de venda </w:t>
      </w:r>
      <w:r>
        <w:rPr>
          <w:rFonts w:ascii="Arial" w:hAnsi="Arial" w:cs="Arial"/>
          <w:sz w:val="22"/>
          <w:szCs w:val="22"/>
        </w:rPr>
        <w:t>de quaisquer instituições financeiras 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w:t>
      </w:r>
      <w:r>
        <w:rPr>
          <w:rFonts w:ascii="Arial" w:hAnsi="Arial" w:cs="Arial"/>
          <w:color w:val="000000"/>
          <w:sz w:val="22"/>
          <w:szCs w:val="22"/>
        </w:rPr>
        <w:t xml:space="preserve">não </w:t>
      </w:r>
      <w:r>
        <w:rPr>
          <w:rFonts w:ascii="Arial" w:hAnsi="Arial" w:cs="Arial"/>
          <w:color w:val="000000"/>
          <w:sz w:val="22"/>
          <w:szCs w:val="22"/>
        </w:rPr>
        <w:t xml:space="preserve">serão depositadas para distribuição no mercado primário </w:t>
      </w:r>
      <w:r>
        <w:rPr>
          <w:rFonts w:ascii="Arial" w:hAnsi="Arial" w:cs="Arial"/>
          <w:color w:val="000000"/>
          <w:sz w:val="22"/>
          <w:szCs w:val="22"/>
        </w:rPr>
        <w:t>ou negociação secundária nos mercados regulados de valores mobiliários.</w:t>
      </w:r>
      <w:r>
        <w:rPr>
          <w:rFonts w:ascii="Arial" w:hAnsi="Arial" w:cs="Arial"/>
          <w:color w:val="000000"/>
          <w:sz w:val="22"/>
          <w:szCs w:val="22"/>
        </w:rPr>
        <w:t xml:space="preserve">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bookmarkStart w:id="6" w:name="_Ref394418780"/>
      <w:r>
        <w:rPr>
          <w:rFonts w:ascii="Arial" w:hAnsi="Arial" w:cs="Arial"/>
          <w:sz w:val="22"/>
          <w:szCs w:val="22"/>
        </w:rPr>
        <w:t>Não obstante o disposto na Cláusula 2.1.7.1 acima, as Debêntures poderão ser negociadas pelos Debenturistas de forma privada, fora d</w:t>
      </w:r>
      <w:bookmarkEnd w:id="6"/>
      <w:r>
        <w:rPr>
          <w:rFonts w:ascii="Arial" w:hAnsi="Arial" w:cs="Arial"/>
          <w:sz w:val="22"/>
          <w:szCs w:val="22"/>
        </w:rPr>
        <w:t>o âmbito da B3 – Segmento CETIP UTVM</w:t>
      </w:r>
      <w:bookmarkStart w:id="7" w:name="_Ref518309797"/>
      <w:r>
        <w:rPr>
          <w:rFonts w:ascii="Arial" w:hAnsi="Arial" w:cs="Arial"/>
          <w:sz w:val="22"/>
          <w:szCs w:val="22"/>
        </w:rPr>
        <w:t>.</w:t>
      </w:r>
      <w:bookmarkEnd w:id="7"/>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w:t>
      </w:r>
      <w:r>
        <w:rPr>
          <w:rFonts w:ascii="Arial" w:hAnsi="Arial" w:cs="Arial"/>
          <w:sz w:val="22"/>
          <w:szCs w:val="22"/>
        </w:rPr>
        <w:t>.000</w:t>
      </w:r>
      <w:r>
        <w:rPr>
          <w:rFonts w:ascii="Arial" w:hAnsi="Arial" w:cs="Arial"/>
          <w:sz w:val="22"/>
          <w:szCs w:val="22"/>
        </w:rPr>
        <w:t xml:space="preserve"> (oitenta e quatro mil</w:t>
      </w:r>
      <w:r>
        <w:rPr>
          <w:rFonts w:ascii="Arial" w:hAnsi="Arial" w:cs="Arial"/>
          <w:sz w:val="22"/>
          <w:szCs w:val="22"/>
        </w:rPr>
        <w:t>hões</w:t>
      </w:r>
      <w:r>
        <w:rPr>
          <w:rFonts w:ascii="Arial" w:hAnsi="Arial" w:cs="Arial"/>
          <w:sz w:val="22"/>
          <w:szCs w:val="22"/>
        </w:rPr>
        <w:t>) Debêntures.</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bookmarkStart w:id="8"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w:t>
      </w:r>
      <w:r>
        <w:rPr>
          <w:rFonts w:ascii="Arial" w:eastAsia="Arial Unicode MS" w:hAnsi="Arial" w:cs="Arial"/>
          <w:sz w:val="22"/>
          <w:szCs w:val="22"/>
        </w:rPr>
        <w:t xml:space="preserve"> e </w:t>
      </w:r>
      <w:r>
        <w:rPr>
          <w:rFonts w:ascii="Arial" w:eastAsia="Arial Unicode MS" w:hAnsi="Arial" w:cs="Arial"/>
          <w:sz w:val="22"/>
          <w:szCs w:val="22"/>
        </w:rPr>
        <w:t>atualização</w:t>
      </w:r>
      <w:r>
        <w:rPr>
          <w:rFonts w:ascii="Arial" w:eastAsia="Arial Unicode MS" w:hAnsi="Arial" w:cs="Arial"/>
          <w:sz w:val="22"/>
          <w:szCs w:val="22"/>
        </w:rPr>
        <w:t xml:space="preserve"> de frota</w:t>
      </w:r>
      <w:r>
        <w:rPr>
          <w:rFonts w:ascii="Arial" w:eastAsia="Arial Unicode MS" w:hAnsi="Arial" w:cs="Arial"/>
          <w:sz w:val="22"/>
          <w:szCs w:val="22"/>
        </w:rPr>
        <w:t>.</w:t>
      </w:r>
      <w:bookmarkEnd w:id="8"/>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econômico.</w:t>
      </w:r>
    </w:p>
    <w:p>
      <w:pPr>
        <w:widowControl w:val="0"/>
        <w:spacing w:line="340" w:lineRule="exact"/>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colocação das Debêntures</w:t>
      </w:r>
      <w:r>
        <w:rPr>
          <w:rFonts w:ascii="Arial" w:hAnsi="Arial" w:cs="Arial"/>
          <w:sz w:val="22"/>
          <w:szCs w:val="22"/>
        </w:rPr>
        <w:t xml:space="preserve"> poderá </w:t>
      </w:r>
      <w:r>
        <w:rPr>
          <w:rFonts w:ascii="Arial" w:hAnsi="Arial" w:cs="Arial"/>
          <w:sz w:val="22"/>
          <w:szCs w:val="22"/>
        </w:rPr>
        <w:t>ser parcial</w:t>
      </w:r>
      <w:r>
        <w:rPr>
          <w:rFonts w:ascii="Arial" w:hAnsi="Arial" w:cs="Arial"/>
          <w:sz w:val="22"/>
          <w:szCs w:val="22"/>
        </w:rPr>
        <w:t>, desde que haja a colocação do montante de R$8</w:t>
      </w:r>
      <w:r>
        <w:rPr>
          <w:rFonts w:ascii="Arial" w:hAnsi="Arial" w:cs="Arial"/>
          <w:sz w:val="22"/>
          <w:szCs w:val="22"/>
        </w:rPr>
        <w:t>3</w:t>
      </w:r>
      <w:r>
        <w:rPr>
          <w:rFonts w:ascii="Arial" w:hAnsi="Arial" w:cs="Arial"/>
          <w:sz w:val="22"/>
          <w:szCs w:val="22"/>
        </w:rPr>
        <w:t xml:space="preserve">.000.000,00 (oitenta e </w:t>
      </w:r>
      <w:r>
        <w:rPr>
          <w:rFonts w:ascii="Arial" w:hAnsi="Arial" w:cs="Arial"/>
          <w:sz w:val="22"/>
          <w:szCs w:val="22"/>
        </w:rPr>
        <w:t>três</w:t>
      </w:r>
      <w:r>
        <w:rPr>
          <w:rFonts w:ascii="Arial" w:hAnsi="Arial" w:cs="Arial"/>
          <w:sz w:val="22"/>
          <w:szCs w:val="22"/>
        </w:rPr>
        <w:t xml:space="preserve">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w:t>
      </w:r>
      <w:r>
        <w:rPr>
          <w:rFonts w:ascii="Arial" w:hAnsi="Arial" w:cs="Arial"/>
          <w:sz w:val="22"/>
          <w:szCs w:val="22"/>
        </w:rPr>
        <w:t>Emissão</w:t>
      </w:r>
      <w:r>
        <w:rPr>
          <w:rFonts w:ascii="Arial" w:hAnsi="Arial" w:cs="Arial"/>
          <w:sz w:val="22"/>
          <w:szCs w:val="22"/>
        </w:rPr>
        <w:t xml:space="preserve">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w:t>
      </w:r>
      <w:r>
        <w:rPr>
          <w:rFonts w:ascii="Arial" w:hAnsi="Arial" w:cs="Arial"/>
          <w:sz w:val="22"/>
          <w:szCs w:val="22"/>
        </w:rPr>
        <w:t>subscrito e integralizado</w:t>
      </w:r>
      <w:r>
        <w:rPr>
          <w:rFonts w:ascii="Arial" w:hAnsi="Arial" w:cs="Arial"/>
          <w:sz w:val="22"/>
          <w:szCs w:val="22"/>
        </w:rPr>
        <w:t xml:space="preserve"> será cancelado pela Emissora por meio de aditamento a esta Escritura, sem a necessidade de realização de deliberação societária da Emissora ou de realização de Assembleia Geral de Debenturistas. </w:t>
      </w:r>
    </w:p>
    <w:p>
      <w:pPr>
        <w:pStyle w:val="PargrafodaLista"/>
        <w:widowControl w:val="0"/>
        <w:spacing w:line="340" w:lineRule="exact"/>
        <w:ind w:left="0"/>
        <w:jc w:val="both"/>
        <w:rPr>
          <w:rFonts w:ascii="Arial"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9" w:name="_DV_M4"/>
      <w:bookmarkEnd w:id="9"/>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(mil reais)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0" w:name="OLE_LINK3"/>
      <w:bookmarkStart w:id="11"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0"/>
      <w:bookmarkEnd w:id="11"/>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pelo seu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2" w:name="_DV_M117"/>
      <w:bookmarkStart w:id="13" w:name="_DV_M118"/>
      <w:bookmarkStart w:id="14" w:name="_DV_M119"/>
      <w:bookmarkEnd w:id="12"/>
      <w:bookmarkEnd w:id="13"/>
      <w:bookmarkEnd w:id="14"/>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vencimento antecipado, os Juros Remuneratórios serão pagos pela Emissora, conforme datas estipuladas no quadro abaixo, sendo primeiro pagamento devido em </w:t>
      </w:r>
      <w:r>
        <w:rPr>
          <w:rFonts w:ascii="Arial" w:hAnsi="Arial" w:cs="Arial"/>
          <w:sz w:val="22"/>
          <w:szCs w:val="22"/>
        </w:rPr>
        <w:t xml:space="preserve">13 </w:t>
      </w:r>
      <w:r>
        <w:rPr>
          <w:rFonts w:ascii="Arial" w:hAnsi="Arial" w:cs="Arial"/>
          <w:sz w:val="22"/>
          <w:szCs w:val="22"/>
        </w:rPr>
        <w:t>de agosto de 2020, e a última parcela será paga em 13 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5"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w:t>
            </w:r>
            <w:r>
              <w:rPr>
                <w:rFonts w:ascii="Arial" w:hAnsi="Arial" w:cs="Arial"/>
                <w:sz w:val="22"/>
                <w:szCs w:val="22"/>
              </w:rPr>
              <w:t xml:space="preserve"> de </w:t>
            </w:r>
            <w:r>
              <w:rPr>
                <w:rFonts w:ascii="Arial" w:hAnsi="Arial" w:cs="Arial"/>
                <w:sz w:val="22"/>
                <w:szCs w:val="22"/>
              </w:rPr>
              <w:t>agosto</w:t>
            </w:r>
            <w:r>
              <w:rPr>
                <w:rFonts w:ascii="Arial" w:hAnsi="Arial" w:cs="Arial"/>
                <w:sz w:val="22"/>
                <w:szCs w:val="22"/>
              </w:rPr>
              <w:t xml:space="preserve">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w:t>
            </w:r>
            <w:r>
              <w:rPr>
                <w:rFonts w:ascii="Arial" w:hAnsi="Arial" w:cs="Arial"/>
                <w:sz w:val="22"/>
                <w:szCs w:val="22"/>
              </w:rPr>
              <w:t xml:space="preserve">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2023</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bookmarkStart w:id="16" w:name="_Ref40197244"/>
      <w:r>
        <w:rPr>
          <w:rFonts w:ascii="Arial" w:eastAsia="Arial Unicode MS" w:hAnsi="Arial" w:cs="Arial"/>
          <w:i/>
          <w:iCs/>
          <w:sz w:val="22"/>
          <w:szCs w:val="22"/>
        </w:rPr>
        <w:t>Forma de Cálculo dos Juros Remuneratórios</w:t>
      </w:r>
      <w:bookmarkEnd w:id="16"/>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1.5pt;height:53pt" o:ole="">
            <v:imagedata r:id="rId66" o:title=""/>
          </v:shape>
          <o:OLEObject Type="Embed" ProgID="Equation.3" ShapeID="_x0000_i1037" DrawAspect="Content" ObjectID="_1653456409" r:id="rId67"/>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7"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7"/>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8"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8"/>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w:t>
      </w:r>
      <w:r>
        <w:rPr>
          <w:rFonts w:ascii="Arial" w:hAnsi="Arial" w:cs="Arial"/>
          <w:sz w:val="22"/>
          <w:szCs w:val="22"/>
        </w:rPr>
        <w:t xml:space="preserve"> </w:t>
      </w:r>
      <w:r>
        <w:rPr>
          <w:rFonts w:ascii="Arial" w:hAnsi="Arial" w:cs="Arial"/>
          <w:sz w:val="22"/>
          <w:szCs w:val="22"/>
        </w:rPr>
        <w:t>antecipadamente as Debêntures, conforme acima previsto, ou no caso de inadimplemento, pela Emissora, de tal obrigação. O Fiador, desde já, concorda e se obriga a firmar todos e quaisquer documentos necessários à efetivação do disposto acima, incluindo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9" w:name="_DV_C292"/>
      <w:bookmarkEnd w:id="19"/>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20" w:name="_DV_M112"/>
      <w:bookmarkStart w:id="21" w:name="_DV_M126"/>
      <w:bookmarkStart w:id="22" w:name="_DV_M132"/>
      <w:bookmarkStart w:id="23" w:name="_DV_M138"/>
      <w:bookmarkEnd w:id="20"/>
      <w:bookmarkEnd w:id="21"/>
      <w:bookmarkEnd w:id="22"/>
      <w:bookmarkEnd w:id="23"/>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trimestrais, a partir do 13º (décimo terceiro) mês (inclusive) contado da Data de Emissão, sendo, portanto, o primeiro pagamento devido em </w:t>
      </w:r>
      <w:r>
        <w:rPr>
          <w:rFonts w:ascii="Arial" w:hAnsi="Arial" w:cs="Arial"/>
          <w:sz w:val="22"/>
          <w:szCs w:val="22"/>
        </w:rPr>
        <w:t xml:space="preserve">13 de julho </w:t>
      </w:r>
      <w:r>
        <w:rPr>
          <w:rFonts w:ascii="Arial" w:hAnsi="Arial" w:cs="Arial"/>
          <w:sz w:val="22"/>
          <w:szCs w:val="22"/>
        </w:rPr>
        <w:t>de 2021, e a última parcela será paga em 13 de julho de 2023,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0"/>
        <w:gridCol w:w="5032"/>
      </w:tblGrid>
      <w:tr>
        <w:trPr>
          <w:trHeight w:val="20"/>
        </w:trPr>
        <w:tc>
          <w:tcPr>
            <w:tcW w:w="2248"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4" w:name="_DV_M139"/>
      <w:bookmarkEnd w:id="24"/>
    </w:p>
    <w:p>
      <w:pPr>
        <w:widowControl w:val="0"/>
        <w:spacing w:line="340" w:lineRule="exact"/>
        <w:ind w:left="720"/>
        <w:jc w:val="both"/>
        <w:rPr>
          <w:rFonts w:ascii="Arial" w:hAnsi="Arial" w:cs="Arial"/>
          <w:b/>
          <w:iCs/>
          <w:w w:val="0"/>
          <w:sz w:val="22"/>
          <w:szCs w:val="22"/>
        </w:rPr>
      </w:pPr>
    </w:p>
    <w:p>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5" w:name="_DV_M140"/>
      <w:bookmarkEnd w:id="25"/>
    </w:p>
    <w:p>
      <w:pPr>
        <w:widowControl w:val="0"/>
        <w:spacing w:line="340" w:lineRule="exact"/>
        <w:jc w:val="both"/>
        <w:rPr>
          <w:rFonts w:ascii="Arial" w:hAnsi="Arial" w:cs="Arial"/>
          <w:b/>
          <w:iCs/>
          <w:w w:val="0"/>
          <w:sz w:val="22"/>
          <w:szCs w:val="22"/>
        </w:rPr>
      </w:pPr>
    </w:p>
    <w:p>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6"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7" w:name="_DV_M143"/>
      <w:bookmarkEnd w:id="27"/>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8" w:name="_DV_M144"/>
      <w:bookmarkEnd w:id="28"/>
      <w:r>
        <w:rPr>
          <w:rFonts w:ascii="Arial" w:eastAsia="Arial Unicode MS" w:hAnsi="Arial" w:cs="Arial"/>
          <w:w w:val="0"/>
          <w:sz w:val="22"/>
          <w:szCs w:val="22"/>
        </w:rPr>
        <w:t xml:space="preserve">Considerar-se-ão automaticamente </w:t>
      </w:r>
      <w:bookmarkStart w:id="29" w:name="_DV_C294"/>
      <w:r>
        <w:rPr>
          <w:rFonts w:ascii="Arial" w:eastAsia="Arial Unicode MS" w:hAnsi="Arial" w:cs="Arial"/>
          <w:w w:val="0"/>
          <w:sz w:val="22"/>
          <w:szCs w:val="22"/>
        </w:rPr>
        <w:t xml:space="preserve">prorrogadas as datas de pagamento de qualquer obrigação prevista nesta Escritura </w:t>
      </w:r>
      <w:bookmarkStart w:id="30" w:name="_DV_M145"/>
      <w:bookmarkEnd w:id="29"/>
      <w:bookmarkEnd w:id="30"/>
      <w:r>
        <w:rPr>
          <w:rFonts w:ascii="Arial" w:eastAsia="Arial Unicode MS" w:hAnsi="Arial" w:cs="Arial"/>
          <w:w w:val="0"/>
          <w:sz w:val="22"/>
          <w:szCs w:val="22"/>
        </w:rPr>
        <w:t xml:space="preserve">até o primeiro Dia Útil subsequente, se </w:t>
      </w:r>
      <w:bookmarkStart w:id="31" w:name="_DV_C296"/>
      <w:r>
        <w:rPr>
          <w:rFonts w:ascii="Arial" w:eastAsia="Arial Unicode MS" w:hAnsi="Arial" w:cs="Arial"/>
          <w:w w:val="0"/>
          <w:sz w:val="22"/>
          <w:szCs w:val="22"/>
        </w:rPr>
        <w:t xml:space="preserve">a data de </w:t>
      </w:r>
      <w:bookmarkStart w:id="32" w:name="_DV_M146"/>
      <w:bookmarkEnd w:id="31"/>
      <w:bookmarkEnd w:id="32"/>
      <w:r>
        <w:rPr>
          <w:rFonts w:ascii="Arial" w:eastAsia="Arial Unicode MS" w:hAnsi="Arial" w:cs="Arial"/>
          <w:w w:val="0"/>
          <w:sz w:val="22"/>
          <w:szCs w:val="22"/>
        </w:rPr>
        <w:t>vencimento da respectiva obrigação coincidir com um dia que não seja Dia Útil, sem</w:t>
      </w:r>
      <w:bookmarkStart w:id="33" w:name="_DV_M147"/>
      <w:bookmarkEnd w:id="33"/>
      <w:r>
        <w:rPr>
          <w:rFonts w:ascii="Arial" w:eastAsia="Arial Unicode MS" w:hAnsi="Arial" w:cs="Arial"/>
          <w:w w:val="0"/>
          <w:sz w:val="22"/>
          <w:szCs w:val="22"/>
        </w:rPr>
        <w:t xml:space="preserve"> qualquer acréscimo</w:t>
      </w:r>
      <w:bookmarkStart w:id="34" w:name="_DV_M148"/>
      <w:bookmarkEnd w:id="34"/>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i/>
          <w:w w:val="0"/>
          <w:sz w:val="22"/>
          <w:szCs w:val="22"/>
        </w:rPr>
      </w:pPr>
      <w:bookmarkStart w:id="35" w:name="_DV_M149"/>
      <w:bookmarkEnd w:id="35"/>
      <w:r>
        <w:rPr>
          <w:rFonts w:ascii="Arial" w:hAnsi="Arial" w:cs="Arial"/>
          <w:bCs/>
          <w:i/>
          <w:w w:val="0"/>
          <w:sz w:val="22"/>
          <w:szCs w:val="22"/>
        </w:rPr>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6"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6"/>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7" w:name="_DV_M150"/>
      <w:bookmarkEnd w:id="37"/>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4"/>
        </w:numPr>
        <w:spacing w:line="340" w:lineRule="exact"/>
        <w:ind w:hanging="720"/>
        <w:jc w:val="both"/>
        <w:rPr>
          <w:rFonts w:ascii="Arial" w:hAnsi="Arial" w:cs="Arial"/>
          <w:b/>
          <w:w w:val="0"/>
          <w:sz w:val="22"/>
          <w:szCs w:val="22"/>
        </w:rPr>
      </w:pPr>
      <w:bookmarkStart w:id="38" w:name="_DV_M154"/>
      <w:bookmarkStart w:id="39" w:name="_DV_M155"/>
      <w:bookmarkStart w:id="40" w:name="_DV_M159"/>
      <w:bookmarkStart w:id="41" w:name="_Ref40198971"/>
      <w:bookmarkEnd w:id="15"/>
      <w:bookmarkEnd w:id="38"/>
      <w:bookmarkEnd w:id="39"/>
      <w:bookmarkEnd w:id="40"/>
      <w:r>
        <w:rPr>
          <w:rFonts w:ascii="Arial" w:hAnsi="Arial" w:cs="Arial"/>
          <w:b/>
          <w:w w:val="0"/>
          <w:sz w:val="22"/>
          <w:szCs w:val="22"/>
        </w:rPr>
        <w:t>Publicidade</w:t>
      </w:r>
      <w:bookmarkStart w:id="42" w:name="_DV_M161"/>
      <w:bookmarkEnd w:id="41"/>
      <w:bookmarkEnd w:id="42"/>
    </w:p>
    <w:p>
      <w:pPr>
        <w:widowControl w:val="0"/>
        <w:spacing w:line="340" w:lineRule="exact"/>
        <w:ind w:left="720"/>
        <w:jc w:val="both"/>
        <w:rPr>
          <w:rFonts w:ascii="Arial" w:hAnsi="Arial" w:cs="Arial"/>
          <w:b/>
          <w:w w:val="0"/>
          <w:sz w:val="22"/>
          <w:szCs w:val="22"/>
        </w:rPr>
      </w:pPr>
    </w:p>
    <w:p>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bookmarkStart w:id="43"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3"/>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bookmarkStart w:id="44"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 de Emissão</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vencimento antecipado das obrigações decorrentes das Debêntures, nos termos dos Documentos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Documentos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4"/>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 xml:space="preserve">qualquer valor devido pela Emissora nos termos </w:t>
      </w:r>
      <w:r>
        <w:rPr>
          <w:rFonts w:ascii="Arial" w:hAnsi="Arial" w:cs="Arial"/>
          <w:sz w:val="22"/>
          <w:szCs w:val="22"/>
        </w:rPr>
        <w:t xml:space="preserve">desta </w:t>
      </w:r>
      <w:r>
        <w:rPr>
          <w:rFonts w:ascii="Arial" w:hAnsi="Arial" w:cs="Arial"/>
          <w:sz w:val="22"/>
          <w:szCs w:val="22"/>
        </w:rPr>
        <w:t>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 Fiança permanecerá válida e plenamente eficaz, em caso de aditamentos, alterações e quaisquer outras modificações das condições fixadas nesta Escritura e/ou no </w:t>
      </w:r>
      <w:r>
        <w:rPr>
          <w:rFonts w:ascii="Arial" w:hAnsi="Arial" w:cs="Arial"/>
          <w:sz w:val="22"/>
          <w:szCs w:val="22"/>
        </w:rPr>
        <w:t xml:space="preserve">Contrato de </w:t>
      </w:r>
      <w:r>
        <w:rPr>
          <w:rFonts w:ascii="Arial" w:hAnsi="Arial" w:cs="Arial"/>
          <w:sz w:val="22"/>
          <w:szCs w:val="22"/>
        </w:rPr>
        <w:t>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A Emissora e o Fiador deverão, constituir a alienação fiduciária sobre os veículos de sua respectiva titularidade, em valor mínimo correspondente a 80% (oitenta por cento) do saldo do Valor Total da Emissão efetivamente subscrito e integralizado, acrescido dos Juros Remuneratórios e, se for o caso, dos Encargos Moratórios e demais despesas, devidos nos termos </w:t>
      </w:r>
      <w:r>
        <w:rPr>
          <w:rFonts w:ascii="Arial" w:hAnsi="Arial" w:cs="Arial"/>
          <w:sz w:val="22"/>
          <w:szCs w:val="22"/>
        </w:rPr>
        <w:t xml:space="preserve">desta </w:t>
      </w:r>
      <w:r>
        <w:rPr>
          <w:rFonts w:ascii="Arial" w:hAnsi="Arial" w:cs="Arial"/>
          <w:sz w:val="22"/>
          <w:szCs w:val="22"/>
        </w:rPr>
        <w:t>Escritura, do Contrato de Alienação Fiduciária e dos demais documentos da Emissão,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 xml:space="preserve">Os veículos alienados </w:t>
      </w:r>
      <w:r>
        <w:rPr>
          <w:rFonts w:ascii="Arial" w:hAnsi="Arial" w:cs="Arial"/>
          <w:sz w:val="22"/>
          <w:szCs w:val="22"/>
        </w:rPr>
        <w:t xml:space="preserve">fiduciariamente </w:t>
      </w:r>
      <w:r>
        <w:rPr>
          <w:rFonts w:ascii="Arial" w:hAnsi="Arial" w:cs="Arial"/>
          <w:sz w:val="22"/>
          <w:szCs w:val="22"/>
        </w:rPr>
        <w:t>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relativos à liquidação das Debêntures, </w:t>
      </w:r>
      <w:r>
        <w:rPr>
          <w:rFonts w:ascii="Arial" w:hAnsi="Arial" w:cs="Arial"/>
          <w:sz w:val="22"/>
          <w:szCs w:val="22"/>
        </w:rPr>
        <w:t xml:space="preserve">detidos e a serem detidos pela Emissora contra o Banco Depositário (conforme definido no </w:t>
      </w:r>
      <w:r>
        <w:rPr>
          <w:rFonts w:ascii="Arial" w:hAnsi="Arial" w:cs="Arial"/>
          <w:sz w:val="22"/>
          <w:szCs w:val="22"/>
        </w:rPr>
        <w:t>Contrato de Alienação Fiduciária</w:t>
      </w:r>
      <w:r>
        <w:rPr>
          <w:rFonts w:ascii="Arial" w:hAnsi="Arial" w:cs="Arial"/>
          <w:sz w:val="22"/>
          <w:szCs w:val="22"/>
        </w:rPr>
        <w:t xml:space="preserve">) com relação à </w:t>
      </w:r>
      <w:r>
        <w:rPr>
          <w:rFonts w:ascii="Arial" w:hAnsi="Arial" w:cs="Arial"/>
          <w:sz w:val="22"/>
          <w:szCs w:val="22"/>
        </w:rPr>
        <w:t xml:space="preserve">conta corrente a ser indicada no Contrato de Alienação Fiduciária, </w:t>
      </w:r>
      <w:r>
        <w:rPr>
          <w:rFonts w:ascii="Arial" w:hAnsi="Arial" w:cs="Arial"/>
          <w:sz w:val="22"/>
          <w:szCs w:val="22"/>
        </w:rPr>
        <w:t xml:space="preserve">de titularidade da Emissora </w:t>
      </w:r>
      <w:r>
        <w:rPr>
          <w:rFonts w:ascii="Arial" w:hAnsi="Arial" w:cs="Arial"/>
          <w:sz w:val="22"/>
          <w:szCs w:val="22"/>
        </w:rPr>
        <w:t>mantida junto ao Banco Bradesco S.A. (“</w:t>
      </w:r>
      <w:r>
        <w:rPr>
          <w:rFonts w:ascii="Arial" w:hAnsi="Arial" w:cs="Arial"/>
          <w:sz w:val="22"/>
          <w:szCs w:val="22"/>
          <w:u w:val="single"/>
        </w:rPr>
        <w:t>Banco Depositário</w:t>
      </w:r>
      <w:r>
        <w:rPr>
          <w:rFonts w:ascii="Arial" w:hAnsi="Arial" w:cs="Arial"/>
          <w:sz w:val="22"/>
          <w:szCs w:val="22"/>
        </w:rPr>
        <w:t>”), agência [-]</w:t>
      </w:r>
      <w:r>
        <w:rPr>
          <w:rFonts w:ascii="Arial" w:hAnsi="Arial" w:cs="Arial"/>
          <w:sz w:val="22"/>
          <w:szCs w:val="22"/>
        </w:rPr>
        <w:t>, inclusive enquanto em trânsito ou em processo de compensação bancária</w:t>
      </w:r>
      <w:r>
        <w:rPr>
          <w:rFonts w:ascii="Arial" w:hAnsi="Arial" w:cs="Arial"/>
          <w:sz w:val="22"/>
          <w:szCs w:val="22"/>
        </w:rPr>
        <w:t xml:space="preserve">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Conta Vinculada”]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45" w:name="_DV_M164"/>
      <w:bookmarkStart w:id="46" w:name="_DV_M184"/>
      <w:bookmarkStart w:id="47" w:name="_DV_M115"/>
      <w:bookmarkStart w:id="48" w:name="_DV_M186"/>
      <w:bookmarkStart w:id="49" w:name="_DV_M187"/>
      <w:bookmarkEnd w:id="45"/>
      <w:bookmarkEnd w:id="46"/>
      <w:bookmarkEnd w:id="47"/>
      <w:bookmarkEnd w:id="48"/>
      <w:bookmarkEnd w:id="49"/>
      <w:r>
        <w:rPr>
          <w:rFonts w:ascii="Arial" w:hAnsi="Arial" w:cs="Arial"/>
          <w:b/>
          <w:w w:val="0"/>
          <w:sz w:val="22"/>
          <w:szCs w:val="22"/>
        </w:rPr>
        <w:t>DO RESGATE ANTECIPADO TOTAL,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Total</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w:t>
      </w:r>
      <w:r>
        <w:rPr>
          <w:rFonts w:ascii="Arial" w:hAnsi="Arial" w:cs="Arial"/>
          <w:sz w:val="22"/>
          <w:szCs w:val="22"/>
        </w:rPr>
        <w:t xml:space="preserve"> Emissora deverá solicitar </w:t>
      </w:r>
      <w:r>
        <w:rPr>
          <w:rFonts w:ascii="Arial" w:hAnsi="Arial" w:cs="Arial"/>
          <w:sz w:val="22"/>
          <w:szCs w:val="22"/>
        </w:rPr>
        <w:t>aprovação prévia dos Debenturistas, nos termos da Cláusula 8.5.3 desta Escritura, n</w:t>
      </w:r>
      <w:r>
        <w:rPr>
          <w:rFonts w:ascii="Arial" w:hAnsi="Arial" w:cs="Arial"/>
          <w:color w:val="000000"/>
          <w:sz w:val="22"/>
          <w:szCs w:val="22"/>
        </w:rPr>
        <w:t xml:space="preserve">o caso de um evento de </w:t>
      </w:r>
      <w:r>
        <w:rPr>
          <w:rFonts w:ascii="Arial" w:hAnsi="Arial" w:cs="Arial"/>
          <w:sz w:val="22"/>
          <w:szCs w:val="22"/>
        </w:rPr>
        <w:t>mudança ou transferência de controle acionário (conforme definição de controle prevista no artigo 116 da Lei das Sociedades por Ações)</w:t>
      </w:r>
      <w:r>
        <w:rPr>
          <w:rFonts w:ascii="Arial" w:hAnsi="Arial" w:cs="Arial"/>
          <w:sz w:val="22"/>
          <w:szCs w:val="22"/>
        </w:rPr>
        <w:t xml:space="preserve"> direto ou indireto da Emissora e/ou do Fiador, inclusive em decorrência da realização da oferta pública inicial da Emissora (“</w:t>
      </w:r>
      <w:r>
        <w:rPr>
          <w:rFonts w:ascii="Arial" w:hAnsi="Arial" w:cs="Arial"/>
          <w:sz w:val="22"/>
          <w:szCs w:val="22"/>
          <w:u w:val="single"/>
        </w:rPr>
        <w:t>Evento de Alteração de Controle</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deverá notificar diretamente o Debenturista da ocorrência de um Evento de Alteração de Controle, </w:t>
      </w:r>
      <w:r>
        <w:rPr>
          <w:rFonts w:ascii="Arial" w:hAnsi="Arial" w:cs="Arial"/>
          <w:color w:val="000000"/>
          <w:sz w:val="22"/>
          <w:szCs w:val="22"/>
        </w:rPr>
        <w:t xml:space="preserve">por </w:t>
      </w:r>
      <w:r>
        <w:rPr>
          <w:rFonts w:ascii="Arial" w:hAnsi="Arial" w:cs="Arial"/>
          <w:color w:val="000000"/>
          <w:sz w:val="22"/>
          <w:szCs w:val="22"/>
        </w:rPr>
        <w:t xml:space="preserve">meio de comunicação por escrito, </w:t>
      </w:r>
      <w:r>
        <w:rPr>
          <w:rFonts w:ascii="Arial" w:hAnsi="Arial" w:cs="Arial"/>
          <w:color w:val="000000"/>
          <w:sz w:val="22"/>
          <w:szCs w:val="22"/>
        </w:rPr>
        <w:t>(“</w:t>
      </w:r>
      <w:r>
        <w:rPr>
          <w:rFonts w:ascii="Arial" w:hAnsi="Arial" w:cs="Arial"/>
          <w:color w:val="000000"/>
          <w:sz w:val="22"/>
          <w:szCs w:val="22"/>
          <w:u w:val="single"/>
        </w:rPr>
        <w:t xml:space="preserve">Comunicação </w:t>
      </w:r>
      <w:r>
        <w:rPr>
          <w:rFonts w:ascii="Arial" w:hAnsi="Arial" w:cs="Arial"/>
          <w:color w:val="000000"/>
          <w:sz w:val="22"/>
          <w:szCs w:val="22"/>
          <w:u w:val="single"/>
        </w:rPr>
        <w:t xml:space="preserve">do </w:t>
      </w:r>
      <w:r>
        <w:rPr>
          <w:rFonts w:ascii="Arial" w:hAnsi="Arial" w:cs="Arial"/>
          <w:sz w:val="22"/>
          <w:szCs w:val="22"/>
          <w:u w:val="single"/>
        </w:rPr>
        <w:t>Evento de Alteração de Controle</w:t>
      </w:r>
      <w:r>
        <w:rPr>
          <w:rFonts w:ascii="Arial" w:hAnsi="Arial" w:cs="Arial"/>
          <w:sz w:val="22"/>
          <w:szCs w:val="22"/>
        </w:rPr>
        <w:t>”</w:t>
      </w:r>
      <w:r>
        <w:rPr>
          <w:rFonts w:ascii="Arial" w:hAnsi="Arial" w:cs="Arial"/>
          <w:sz w:val="22"/>
          <w:szCs w:val="22"/>
        </w:rPr>
        <w:t>)</w:t>
      </w:r>
      <w:r>
        <w:rPr>
          <w:rFonts w:ascii="Arial" w:hAnsi="Arial" w:cs="Arial"/>
          <w:color w:val="000000"/>
          <w:sz w:val="22"/>
          <w:szCs w:val="22"/>
        </w:rPr>
        <w:t xml:space="preserve">, a qual deverá descrever os </w:t>
      </w:r>
      <w:r>
        <w:rPr>
          <w:rFonts w:ascii="Arial" w:hAnsi="Arial" w:cs="Arial"/>
          <w:color w:val="000000"/>
          <w:sz w:val="22"/>
          <w:szCs w:val="22"/>
        </w:rPr>
        <w:t xml:space="preserve">principais </w:t>
      </w:r>
      <w:r>
        <w:rPr>
          <w:rFonts w:ascii="Arial" w:hAnsi="Arial" w:cs="Arial"/>
          <w:color w:val="000000"/>
          <w:sz w:val="22"/>
          <w:szCs w:val="22"/>
        </w:rPr>
        <w:t xml:space="preserve">termos do </w:t>
      </w:r>
      <w:r>
        <w:rPr>
          <w:rFonts w:ascii="Arial" w:hAnsi="Arial" w:cs="Arial"/>
          <w:sz w:val="22"/>
          <w:szCs w:val="22"/>
        </w:rPr>
        <w:t>Evento de Alteração de Controle</w:t>
      </w:r>
      <w:r>
        <w:rPr>
          <w:rFonts w:ascii="Arial" w:hAnsi="Arial" w:cs="Arial"/>
          <w:color w:val="000000"/>
          <w:sz w:val="22"/>
          <w:szCs w:val="22"/>
        </w:rPr>
        <w:t xml:space="preserve">. </w:t>
      </w:r>
    </w:p>
    <w:p>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color w:val="000000"/>
          <w:sz w:val="22"/>
          <w:szCs w:val="22"/>
        </w:rPr>
        <w:t xml:space="preserve">O Debenturistas deverá enviar comunicação por escrito à Emissora, com cópia para o Agente Fiduciário, se manifestando sobre o seu aceite, ou não, do Evento de Alteração de Controle, no prazo de 30 (trinta) dias contado do </w:t>
      </w:r>
      <w:r>
        <w:rPr>
          <w:rFonts w:ascii="Arial" w:hAnsi="Arial" w:cs="Arial"/>
          <w:color w:val="000000"/>
          <w:sz w:val="22"/>
          <w:szCs w:val="22"/>
        </w:rPr>
        <w:t xml:space="preserve">recebimento da </w:t>
      </w:r>
      <w:r>
        <w:rPr>
          <w:rFonts w:ascii="Arial" w:hAnsi="Arial" w:cs="Arial"/>
          <w:color w:val="000000"/>
          <w:sz w:val="22"/>
          <w:szCs w:val="22"/>
        </w:rPr>
        <w:t>Comunicação</w:t>
      </w:r>
      <w:r>
        <w:rPr>
          <w:rFonts w:ascii="Arial" w:hAnsi="Arial" w:cs="Arial"/>
          <w:color w:val="000000"/>
          <w:sz w:val="22"/>
          <w:szCs w:val="22"/>
        </w:rPr>
        <w:t xml:space="preserve"> do Evento de Alteração de Controle</w:t>
      </w:r>
      <w:r>
        <w:rPr>
          <w:rFonts w:ascii="Arial" w:hAnsi="Arial" w:cs="Arial"/>
          <w:color w:val="000000"/>
          <w:sz w:val="22"/>
          <w:szCs w:val="22"/>
        </w:rPr>
        <w:t xml:space="preserve"> (“</w:t>
      </w:r>
      <w:r>
        <w:rPr>
          <w:rFonts w:ascii="Arial" w:hAnsi="Arial" w:cs="Arial"/>
          <w:color w:val="000000"/>
          <w:sz w:val="22"/>
          <w:szCs w:val="22"/>
          <w:u w:val="single"/>
        </w:rPr>
        <w:t>Manifestação Debenturista</w:t>
      </w:r>
      <w:r>
        <w:rPr>
          <w:rFonts w:ascii="Arial" w:hAnsi="Arial" w:cs="Arial"/>
          <w:color w:val="000000"/>
          <w:sz w:val="22"/>
          <w:szCs w:val="22"/>
        </w:rPr>
        <w:t>”).</w:t>
      </w:r>
    </w:p>
    <w:p>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Caso o Debenturistas não concorde com o Evento de Alteração de Controle, a Emissora terá o prazo de 90 (noventa) dias, contados do recebimento da Manifestação do Debenturista, para realizar o resgate antecipado total das Debêntures </w:t>
      </w:r>
      <w:r>
        <w:rPr>
          <w:rFonts w:ascii="Arial" w:hAnsi="Arial" w:cs="Arial"/>
          <w:color w:val="000000"/>
          <w:sz w:val="22"/>
          <w:szCs w:val="22"/>
        </w:rPr>
        <w:t>(“</w:t>
      </w:r>
      <w:r>
        <w:rPr>
          <w:rFonts w:ascii="Arial" w:hAnsi="Arial" w:cs="Arial"/>
          <w:color w:val="000000"/>
          <w:sz w:val="22"/>
          <w:szCs w:val="22"/>
          <w:u w:val="single"/>
        </w:rPr>
        <w:t>Resgate Antecipado</w:t>
      </w:r>
      <w:r>
        <w:rPr>
          <w:rFonts w:ascii="Arial" w:hAnsi="Arial" w:cs="Arial"/>
          <w:color w:val="000000"/>
          <w:sz w:val="22"/>
          <w:szCs w:val="22"/>
          <w:u w:val="single"/>
        </w:rPr>
        <w:t xml:space="preserve"> Total</w:t>
      </w:r>
      <w:r>
        <w:rPr>
          <w:rFonts w:ascii="Arial" w:hAnsi="Arial" w:cs="Arial"/>
          <w:color w:val="000000"/>
          <w:sz w:val="22"/>
          <w:szCs w:val="22"/>
        </w:rPr>
        <w:t>”)</w:t>
      </w:r>
      <w:r>
        <w:rPr>
          <w:rFonts w:ascii="Arial" w:hAnsi="Arial" w:cs="Arial"/>
          <w:sz w:val="22"/>
          <w:szCs w:val="22"/>
        </w:rPr>
        <w:t xml:space="preserve">. </w:t>
      </w:r>
    </w:p>
    <w:p>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 xml:space="preserve">O Resgate Antecipado </w:t>
      </w:r>
      <w:r>
        <w:rPr>
          <w:rFonts w:ascii="Arial" w:hAnsi="Arial" w:cs="Arial"/>
          <w:color w:val="000000"/>
          <w:sz w:val="22"/>
          <w:szCs w:val="22"/>
        </w:rPr>
        <w:t xml:space="preserve">Total </w:t>
      </w:r>
      <w:r>
        <w:rPr>
          <w:rFonts w:ascii="Arial" w:hAnsi="Arial" w:cs="Arial"/>
          <w:color w:val="000000"/>
          <w:sz w:val="22"/>
          <w:szCs w:val="22"/>
        </w:rPr>
        <w:t>será operacionalizado por meio de comunicação por escrito enviada pela Emi</w:t>
      </w:r>
      <w:r>
        <w:rPr>
          <w:rFonts w:ascii="Arial" w:hAnsi="Arial" w:cs="Arial"/>
          <w:color w:val="000000"/>
          <w:sz w:val="22"/>
          <w:szCs w:val="22"/>
        </w:rPr>
        <w:t>ssora ao Agente Fiduciário e ao Debenturista</w:t>
      </w:r>
      <w:r>
        <w:rPr>
          <w:rFonts w:ascii="Arial" w:hAnsi="Arial" w:cs="Arial"/>
          <w:color w:val="000000"/>
          <w:sz w:val="22"/>
          <w:szCs w:val="22"/>
        </w:rPr>
        <w:t xml:space="preserve"> com antecedência de 15 (quinze) dias da data prevista para o Resgate Antecipado</w:t>
      </w:r>
      <w:r>
        <w:rPr>
          <w:rFonts w:ascii="Arial" w:hAnsi="Arial" w:cs="Arial"/>
          <w:color w:val="000000"/>
          <w:sz w:val="22"/>
          <w:szCs w:val="22"/>
        </w:rPr>
        <w:t xml:space="preserve"> Total</w:t>
      </w:r>
      <w:r>
        <w:rPr>
          <w:rFonts w:ascii="Arial" w:hAnsi="Arial" w:cs="Arial"/>
          <w:color w:val="000000"/>
          <w:sz w:val="22"/>
          <w:szCs w:val="22"/>
        </w:rPr>
        <w:t xml:space="preserve"> (“</w:t>
      </w:r>
      <w:r>
        <w:rPr>
          <w:rFonts w:ascii="Arial" w:hAnsi="Arial" w:cs="Arial"/>
          <w:color w:val="000000"/>
          <w:sz w:val="22"/>
          <w:szCs w:val="22"/>
          <w:u w:val="single"/>
        </w:rPr>
        <w:t>Comunicação de Resgate Antecipado</w:t>
      </w:r>
      <w:r>
        <w:rPr>
          <w:rFonts w:ascii="Arial" w:hAnsi="Arial" w:cs="Arial"/>
          <w:color w:val="000000"/>
          <w:sz w:val="22"/>
          <w:szCs w:val="22"/>
        </w:rPr>
        <w:t xml:space="preserve">”), a qual deverá descrever os termos e condições do Resgate Antecipado das Debêntures, incluindo: (i) que o resgate será total; (ii) a data para o resgate das Debêntures e o efetivo pagamento aos Debenturistas; </w:t>
      </w:r>
      <w:r>
        <w:rPr>
          <w:rFonts w:ascii="Arial" w:hAnsi="Arial" w:cs="Arial"/>
          <w:color w:val="000000"/>
          <w:sz w:val="22"/>
          <w:szCs w:val="22"/>
        </w:rPr>
        <w:t xml:space="preserve">e </w:t>
      </w:r>
      <w:r>
        <w:rPr>
          <w:rFonts w:ascii="Arial" w:hAnsi="Arial" w:cs="Arial"/>
          <w:color w:val="000000"/>
          <w:sz w:val="22"/>
          <w:szCs w:val="22"/>
        </w:rPr>
        <w:t>(iii) o Prêmio de Resga</w:t>
      </w:r>
      <w:r>
        <w:rPr>
          <w:rFonts w:ascii="Arial" w:hAnsi="Arial" w:cs="Arial"/>
          <w:color w:val="000000"/>
          <w:sz w:val="22"/>
          <w:szCs w:val="22"/>
        </w:rPr>
        <w:t>te (conforme definido a seguir)</w:t>
      </w:r>
      <w:r>
        <w:rPr>
          <w:rFonts w:ascii="Arial" w:hAnsi="Arial" w:cs="Arial"/>
          <w:color w:val="000000"/>
          <w:sz w:val="22"/>
          <w:szCs w:val="22"/>
        </w:rPr>
        <w:t>.</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color w:val="000000"/>
          <w:sz w:val="22"/>
          <w:szCs w:val="22"/>
          <w:highlight w:val="yellow"/>
        </w:rPr>
        <w:t>[NOTA: CLÁUSULA DO PRÊMIO SERÁ A PADRÃO DO PÁTRIA]</w:t>
      </w:r>
    </w:p>
    <w:p>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w:t>
      </w:r>
      <w:r>
        <w:rPr>
          <w:rFonts w:ascii="Arial" w:hAnsi="Arial" w:cs="Arial"/>
          <w:color w:val="000000"/>
          <w:sz w:val="22"/>
          <w:szCs w:val="22"/>
        </w:rPr>
        <w:t xml:space="preserve">Total </w:t>
      </w:r>
      <w:r>
        <w:rPr>
          <w:rFonts w:ascii="Arial" w:hAnsi="Arial" w:cs="Arial"/>
          <w:color w:val="000000"/>
          <w:sz w:val="22"/>
          <w:szCs w:val="22"/>
        </w:rPr>
        <w:t xml:space="preserve">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pro rata temporis</w:t>
      </w:r>
      <w:r>
        <w:rPr>
          <w:rFonts w:ascii="Arial" w:hAnsi="Arial" w:cs="Arial"/>
          <w:sz w:val="22"/>
          <w:szCs w:val="22"/>
        </w:rPr>
        <w:t xml:space="preserve"> desde a </w:t>
      </w:r>
      <w:r>
        <w:rPr>
          <w:rFonts w:ascii="Arial" w:hAnsi="Arial" w:cs="Arial"/>
          <w:sz w:val="22"/>
          <w:szCs w:val="22"/>
        </w:rPr>
        <w:t>primeira</w:t>
      </w:r>
      <w:r>
        <w:rPr>
          <w:rFonts w:ascii="Arial" w:hAnsi="Arial" w:cs="Arial"/>
          <w:sz w:val="22"/>
          <w:szCs w:val="22"/>
        </w:rPr>
        <w:t xml:space="preserve">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pPr>
        <w:widowControl w:val="0"/>
        <w:spacing w:line="340" w:lineRule="exact"/>
        <w:jc w:val="both"/>
        <w:rPr>
          <w:rFonts w:ascii="Arial" w:hAnsi="Arial" w:cs="Arial"/>
          <w:sz w:val="22"/>
          <w:szCs w:val="22"/>
          <w:u w:val="single"/>
        </w:rPr>
      </w:pPr>
    </w:p>
    <w:p>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w:t>
      </w:r>
    </w:p>
    <w:p>
      <w:pPr>
        <w:widowControl w:val="0"/>
        <w:spacing w:line="340" w:lineRule="exact"/>
        <w:ind w:left="780" w:firstLine="71"/>
        <w:rPr>
          <w:rFonts w:ascii="Arial" w:hAnsi="Arial" w:cs="Arial"/>
          <w:sz w:val="22"/>
          <w:szCs w:val="22"/>
        </w:rPr>
      </w:pPr>
      <w:r>
        <w:rPr>
          <w:rFonts w:ascii="Arial" w:hAnsi="Arial" w:cs="Arial"/>
          <w:sz w:val="22"/>
          <w:szCs w:val="22"/>
        </w:rPr>
        <w:t>Onde:</w:t>
      </w:r>
    </w:p>
    <w:p>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acrescido dos Juros Remuneratórios e Encargos Moratórios, se for o caso, devidos e ainda não pagos,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w:t>
      </w:r>
      <w:r>
        <w:rPr>
          <w:rFonts w:ascii="Arial" w:eastAsia="Arial Unicode MS" w:hAnsi="Arial" w:cs="Arial"/>
          <w:w w:val="0"/>
          <w:sz w:val="22"/>
          <w:szCs w:val="22"/>
        </w:rPr>
        <w:t>primeira Data de</w:t>
      </w:r>
      <w:r>
        <w:rPr>
          <w:rFonts w:ascii="Arial" w:eastAsia="Arial Unicode MS" w:hAnsi="Arial" w:cs="Arial"/>
          <w:w w:val="0"/>
          <w:sz w:val="22"/>
          <w:szCs w:val="22"/>
        </w:rPr>
        <w:t xml:space="preserve"> Integralização ou a data de pagamento dos Juros Remuneratórios imediatamente anterior, o que tiver ocorrido por último; e</w:t>
      </w:r>
    </w:p>
    <w:p>
      <w:pPr>
        <w:widowControl w:val="0"/>
        <w:spacing w:line="340" w:lineRule="exact"/>
        <w:ind w:left="851"/>
        <w:jc w:val="both"/>
        <w:rPr>
          <w:rFonts w:ascii="Arial" w:hAnsi="Arial" w:cs="Arial"/>
          <w:color w:val="000000"/>
          <w:sz w:val="22"/>
          <w:szCs w:val="22"/>
        </w:rPr>
      </w:pPr>
      <w:r>
        <w:rPr>
          <w:rFonts w:ascii="Arial" w:hAnsi="Arial" w:cs="Arial"/>
          <w:sz w:val="22"/>
          <w:szCs w:val="22"/>
        </w:rPr>
        <w:t xml:space="preserve">P = O percentual do Prêmio de Resgate será calculado conforme o quadro abaixo: </w:t>
      </w:r>
    </w:p>
    <w:p>
      <w:pPr>
        <w:widowControl w:val="0"/>
        <w:spacing w:line="340" w:lineRule="exact"/>
        <w:ind w:left="142" w:firstLine="709"/>
        <w:jc w:val="both"/>
        <w:rPr>
          <w:rFonts w:ascii="Arial" w:hAnsi="Arial" w:cs="Arial"/>
          <w:color w:val="000000"/>
          <w:sz w:val="22"/>
          <w:szCs w:val="22"/>
        </w:rPr>
      </w:pPr>
    </w:p>
    <w:tbl>
      <w:tblPr>
        <w:tblStyle w:val="Tabelacomgrade"/>
        <w:tblW w:w="0" w:type="auto"/>
        <w:jc w:val="center"/>
        <w:tblLook w:val="04A0" w:firstRow="1" w:lastRow="0" w:firstColumn="1" w:lastColumn="0" w:noHBand="0" w:noVBand="1"/>
      </w:tblPr>
      <w:tblGrid>
        <w:gridCol w:w="5670"/>
        <w:gridCol w:w="1746"/>
      </w:tblGrid>
      <w:tr>
        <w:trPr>
          <w:jc w:val="center"/>
        </w:trPr>
        <w:tc>
          <w:tcPr>
            <w:tcW w:w="5670" w:type="dxa"/>
          </w:tcPr>
          <w:p>
            <w:pPr>
              <w:spacing w:line="340" w:lineRule="exact"/>
              <w:jc w:val="center"/>
              <w:rPr>
                <w:rFonts w:ascii="Arial" w:hAnsi="Arial" w:cs="Arial"/>
                <w:b/>
                <w:color w:val="000000"/>
                <w:sz w:val="22"/>
                <w:szCs w:val="22"/>
              </w:rPr>
            </w:pPr>
            <w:r>
              <w:rPr>
                <w:rFonts w:ascii="Arial" w:hAnsi="Arial" w:cs="Arial"/>
                <w:b/>
                <w:color w:val="000000"/>
                <w:sz w:val="22"/>
                <w:szCs w:val="22"/>
              </w:rPr>
              <w:t>Data do Resgate</w:t>
            </w:r>
          </w:p>
        </w:tc>
        <w:tc>
          <w:tcPr>
            <w:tcW w:w="1746" w:type="dxa"/>
          </w:tcPr>
          <w:p>
            <w:pPr>
              <w:spacing w:line="340" w:lineRule="exact"/>
              <w:jc w:val="center"/>
              <w:rPr>
                <w:rFonts w:ascii="Arial" w:hAnsi="Arial" w:cs="Arial"/>
                <w:b/>
                <w:color w:val="000000"/>
                <w:sz w:val="22"/>
                <w:szCs w:val="22"/>
              </w:rPr>
            </w:pPr>
            <w:r>
              <w:rPr>
                <w:rFonts w:ascii="Arial" w:hAnsi="Arial" w:cs="Arial"/>
                <w:b/>
                <w:color w:val="000000"/>
                <w:sz w:val="22"/>
                <w:szCs w:val="22"/>
              </w:rPr>
              <w:t>Prêmio</w:t>
            </w:r>
          </w:p>
        </w:tc>
      </w:tr>
    </w:tbl>
    <w:p>
      <w:pPr>
        <w:widowControl w:val="0"/>
        <w:spacing w:line="340" w:lineRule="exact"/>
        <w:ind w:left="142" w:firstLine="709"/>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pPr>
        <w:widowControl w:val="0"/>
        <w:spacing w:line="340" w:lineRule="exact"/>
        <w:jc w:val="both"/>
        <w:rPr>
          <w:rFonts w:ascii="Arial" w:hAnsi="Arial" w:cs="Arial"/>
          <w:color w:val="000000"/>
          <w:sz w:val="22"/>
          <w:szCs w:val="22"/>
        </w:rPr>
      </w:pPr>
    </w:p>
    <w:p>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5.1.6</w:t>
      </w:r>
      <w:r>
        <w:rPr>
          <w:rFonts w:ascii="Arial" w:hAnsi="Arial" w:cs="Arial"/>
          <w:b/>
          <w:color w:val="000000"/>
        </w:rPr>
        <w:tab/>
      </w:r>
      <w:r>
        <w:rPr>
          <w:rFonts w:ascii="Arial" w:hAnsi="Arial" w:cs="Arial"/>
        </w:rPr>
        <w:t>A B3 deverá ser comunicada através de correspondência enviada pela Emissora, em conjunto com o Agente Fiduciário, acerca da realização do Resgate Antecipado</w:t>
      </w:r>
      <w:r>
        <w:rPr>
          <w:rFonts w:ascii="Arial" w:hAnsi="Arial" w:cs="Arial"/>
        </w:rPr>
        <w:t xml:space="preserve"> Total</w:t>
      </w:r>
      <w:r>
        <w:rPr>
          <w:rFonts w:ascii="Arial" w:hAnsi="Arial" w:cs="Arial"/>
        </w:rPr>
        <w:t>, com pelo menos 3 (três)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5.1.7</w:t>
      </w:r>
      <w:r>
        <w:rPr>
          <w:rFonts w:ascii="Arial" w:hAnsi="Arial" w:cs="Arial"/>
          <w:b/>
          <w:color w:val="000000"/>
          <w:sz w:val="22"/>
          <w:szCs w:val="22"/>
        </w:rPr>
        <w:tab/>
      </w:r>
      <w:r>
        <w:rPr>
          <w:rFonts w:ascii="Arial" w:hAnsi="Arial" w:cs="Arial"/>
          <w:color w:val="000000"/>
          <w:sz w:val="22"/>
          <w:szCs w:val="22"/>
        </w:rPr>
        <w:t>Os valores relativos ao Prêmio de Resgate serão devidos aos respectivos Debenturistas e serão pagos simultaneamente ao pagamento do Resgate Antecipado</w:t>
      </w:r>
      <w:r>
        <w:rPr>
          <w:rFonts w:ascii="Arial" w:hAnsi="Arial" w:cs="Arial"/>
          <w:color w:val="000000"/>
          <w:sz w:val="22"/>
          <w:szCs w:val="22"/>
        </w:rPr>
        <w:t xml:space="preserve"> Total</w:t>
      </w:r>
      <w:r>
        <w:rPr>
          <w:rFonts w:ascii="Arial" w:hAnsi="Arial" w:cs="Arial"/>
          <w:color w:val="000000"/>
          <w:sz w:val="22"/>
          <w:szCs w:val="22"/>
        </w:rPr>
        <w:t>.</w:t>
      </w:r>
    </w:p>
    <w:p>
      <w:pPr>
        <w:pStyle w:val="Corpodetexto"/>
        <w:widowControl w:val="0"/>
        <w:spacing w:after="0" w:line="340" w:lineRule="exact"/>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As Debêntures objeto de Resgate Antecipado</w:t>
      </w:r>
      <w:r>
        <w:rPr>
          <w:rFonts w:ascii="Arial" w:hAnsi="Arial" w:cs="Arial"/>
          <w:color w:val="000000"/>
          <w:sz w:val="22"/>
          <w:szCs w:val="22"/>
        </w:rPr>
        <w:t xml:space="preserve"> </w:t>
      </w:r>
      <w:r>
        <w:rPr>
          <w:rFonts w:ascii="Arial" w:hAnsi="Arial" w:cs="Arial"/>
          <w:color w:val="000000"/>
          <w:sz w:val="22"/>
          <w:szCs w:val="22"/>
        </w:rPr>
        <w:t>Total deverão ser canceladas, observada a regulamentação em vigor.</w:t>
      </w:r>
    </w:p>
    <w:p>
      <w:pPr>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pPr>
        <w:widowControl w:val="0"/>
        <w:spacing w:line="340" w:lineRule="exact"/>
        <w:jc w:val="both"/>
        <w:rPr>
          <w:rFonts w:ascii="Arial" w:hAnsi="Arial" w:cs="Arial"/>
          <w:color w:val="000000"/>
          <w:sz w:val="22"/>
          <w:szCs w:val="22"/>
        </w:rPr>
      </w:pPr>
    </w:p>
    <w:p>
      <w:pPr>
        <w:spacing w:line="340" w:lineRule="exact"/>
        <w:jc w:val="both"/>
        <w:rPr>
          <w:rFonts w:ascii="Arial" w:hAnsi="Arial" w:cs="Arial"/>
          <w:sz w:val="22"/>
          <w:szCs w:val="22"/>
        </w:rPr>
      </w:pPr>
      <w:r>
        <w:rPr>
          <w:rFonts w:ascii="Arial" w:hAnsi="Arial" w:cs="Arial"/>
          <w:b/>
          <w:color w:val="000000"/>
          <w:sz w:val="22"/>
          <w:szCs w:val="22"/>
        </w:rPr>
        <w:t>5.1.10.</w:t>
      </w:r>
      <w:r>
        <w:rPr>
          <w:rFonts w:ascii="Arial" w:hAnsi="Arial" w:cs="Arial"/>
          <w:color w:val="000000"/>
          <w:sz w:val="22"/>
          <w:szCs w:val="22"/>
        </w:rPr>
        <w:tab/>
      </w:r>
      <w:r>
        <w:rPr>
          <w:rFonts w:ascii="Arial" w:hAnsi="Arial" w:cs="Arial"/>
          <w:sz w:val="22"/>
          <w:szCs w:val="22"/>
        </w:rPr>
        <w:t>Caso o Resgate Antecipado venha a ser realizado em qualquer das Datas de Amortização das Debêntures em qualquer das Datas de Pagamento de Juros Remuneratórios, os valores a serem pagos em tal Data de Amortização e/ou em tal Data de Pagamento de Juros Remuneratórios serão deduzidos do Valor Nominal Unitário</w:t>
      </w:r>
      <w:r>
        <w:rPr>
          <w:rFonts w:ascii="Arial" w:hAnsi="Arial" w:cs="Arial"/>
          <w:i/>
          <w:sz w:val="22"/>
          <w:szCs w:val="22"/>
        </w:rPr>
        <w:t xml:space="preserve"> </w:t>
      </w:r>
      <w:r>
        <w:rPr>
          <w:rFonts w:ascii="Arial" w:hAnsi="Arial" w:cs="Arial"/>
          <w:sz w:val="22"/>
          <w:szCs w:val="22"/>
        </w:rPr>
        <w:t>para fins do cálculo do valor</w:t>
      </w:r>
      <w:r>
        <w:rPr>
          <w:rFonts w:ascii="Arial" w:hAnsi="Arial" w:cs="Arial"/>
          <w:sz w:val="22"/>
          <w:szCs w:val="22"/>
        </w:rPr>
        <w:t xml:space="preserve"> referente ao Prêmio de Resgate.</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pPr>
        <w:widowControl w:val="0"/>
        <w:spacing w:line="340" w:lineRule="exact"/>
        <w:jc w:val="both"/>
        <w:rPr>
          <w:rFonts w:ascii="Arial" w:hAnsi="Arial" w:cs="Arial"/>
          <w:color w:val="00000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 mesmos Juros Remuneratórios aplicável às demais Debêntures. As Debêntures adquiridas pela Emissora nos termos desta Cláusula poderão ser canceladas.</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bookmarkStart w:id="50" w:name="_Ref40197437"/>
      <w:r>
        <w:rPr>
          <w:rFonts w:ascii="Arial" w:eastAsia="Arial Unicode MS" w:hAnsi="Arial" w:cs="Arial"/>
          <w:b/>
          <w:bCs/>
          <w:w w:val="0"/>
          <w:sz w:val="22"/>
          <w:szCs w:val="22"/>
        </w:rPr>
        <w:t>Vencimento Antecipado</w:t>
      </w:r>
      <w:bookmarkEnd w:id="50"/>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1" w:name="_DV_M268"/>
      <w:bookmarkStart w:id="52" w:name="_DV_M301"/>
      <w:bookmarkEnd w:id="51"/>
      <w:bookmarkEnd w:id="52"/>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53"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3"/>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54" w:name="_DV_M34"/>
      <w:bookmarkEnd w:id="54"/>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w:t>
      </w:r>
      <w:r>
        <w:rPr>
          <w:rFonts w:ascii="Arial" w:hAnsi="Arial" w:cs="Arial"/>
          <w:w w:val="0"/>
          <w:sz w:val="22"/>
          <w:szCs w:val="22"/>
        </w:rPr>
        <w:t xml:space="preserve">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 xml:space="preserve">ou seu equivalente em </w:t>
      </w:r>
      <w:r>
        <w:rPr>
          <w:rFonts w:ascii="Arial" w:hAnsi="Arial" w:cs="Arial"/>
          <w:w w:val="0"/>
          <w:sz w:val="22"/>
          <w:szCs w:val="22"/>
        </w:rPr>
        <w:t>outras moedas</w:t>
      </w:r>
      <w:r>
        <w:rPr>
          <w:rFonts w:ascii="Arial" w:hAnsi="Arial" w:cs="Arial"/>
          <w:w w:val="0"/>
          <w:sz w:val="22"/>
          <w:szCs w:val="22"/>
        </w:rPr>
        <w:t>,</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esta Escritura, a Fiança e/ou o Contrato de Alienação Fiduciária</w:t>
      </w:r>
      <w:r>
        <w:rPr>
          <w:rFonts w:ascii="Arial" w:hAnsi="Arial" w:cs="Arial"/>
          <w:sz w:val="22"/>
          <w:szCs w:val="22"/>
        </w:rPr>
        <w:t>, venham a se tornar inválidos, ineficazes, nulos ou inexequíveis em decorrência de lei, decreto, ato normativo ou qualquer outro expediente legal, regulamentar ou administrativo</w:t>
      </w:r>
      <w:r>
        <w:rPr>
          <w:rFonts w:ascii="Arial" w:hAnsi="Arial" w:cs="Arial"/>
          <w:sz w:val="22"/>
          <w:szCs w:val="22"/>
        </w:rPr>
        <w:t xml:space="preserve">,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w:t>
      </w:r>
      <w:r>
        <w:rPr>
          <w:rFonts w:ascii="Arial" w:hAnsi="Arial" w:cs="Arial"/>
          <w:sz w:val="22"/>
          <w:szCs w:val="22"/>
        </w:rPr>
        <w:t xml:space="preserve">Escritura, </w:t>
      </w:r>
      <w:r>
        <w:rPr>
          <w:rFonts w:ascii="Arial" w:hAnsi="Arial" w:cs="Arial"/>
          <w:sz w:val="22"/>
          <w:szCs w:val="22"/>
        </w:rPr>
        <w:t>d</w:t>
      </w:r>
      <w:r>
        <w:rPr>
          <w:rFonts w:ascii="Arial" w:hAnsi="Arial" w:cs="Arial"/>
          <w:sz w:val="22"/>
          <w:szCs w:val="22"/>
        </w:rPr>
        <w:t xml:space="preserve">a Fiança e/ou </w:t>
      </w:r>
      <w:r>
        <w:rPr>
          <w:rFonts w:ascii="Arial" w:hAnsi="Arial" w:cs="Arial"/>
          <w:sz w:val="22"/>
          <w:szCs w:val="22"/>
        </w:rPr>
        <w:t>d</w:t>
      </w:r>
      <w:r>
        <w:rPr>
          <w:rFonts w:ascii="Arial" w:hAnsi="Arial" w:cs="Arial"/>
          <w:sz w:val="22"/>
          <w:szCs w:val="22"/>
        </w:rPr>
        <w:t>o Contrato de Alienação Fiduciária</w:t>
      </w:r>
      <w:r>
        <w:rPr>
          <w:rFonts w:ascii="Arial" w:hAnsi="Arial" w:cs="Arial"/>
          <w:sz w:val="22"/>
          <w:szCs w:val="22"/>
        </w:rPr>
        <w:t xml:space="preserve">, cujos efeitos não tenham sido suspensos ou revertidos pela Emissora e/ou pela Fiadora,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w:t>
      </w:r>
      <w:r>
        <w:rPr>
          <w:rFonts w:ascii="Arial" w:hAnsi="Arial" w:cs="Arial"/>
          <w:sz w:val="22"/>
          <w:szCs w:val="22"/>
        </w:rPr>
        <w:t>e/</w:t>
      </w:r>
      <w:r>
        <w:rPr>
          <w:rFonts w:ascii="Arial" w:hAnsi="Arial" w:cs="Arial"/>
          <w:sz w:val="22"/>
          <w:szCs w:val="22"/>
        </w:rPr>
        <w:t>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de suas Controladas e/ou do Fiador; (b) pedido de autofalência pela Emissora, suas Controladas e/ou pelo Fiador, independente do deferimento do respectivo pedido; (c) pedido de falência ou insolvência civil, conforme aplicável, da Emissora, de suas Controladas e/ou do Fiador, formulado por terceiros não elidido no prazo legal; (d) pedido de recuperação judicial ou de recuperação extrajudicial da Emissora, de suas Controladas e/ou do Fiador, independentemente do deferimento do respectivo pedido; (e) liquidação, dissolução ou extinção da Emissora ou qualquer procedimento análogo que venha a ser criado por lei; ou (f) se a Emissora, suas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suas Controladas e/ou o Fiador em valor</w:t>
      </w:r>
      <w:r>
        <w:rPr>
          <w:rFonts w:ascii="Arial" w:hAnsi="Arial" w:cs="Arial"/>
          <w:sz w:val="22"/>
          <w:szCs w:val="22"/>
        </w:rPr>
        <w:t>,</w:t>
      </w:r>
      <w:r>
        <w:rPr>
          <w:rFonts w:ascii="Arial" w:hAnsi="Arial" w:cs="Arial"/>
          <w:sz w:val="22"/>
          <w:szCs w:val="22"/>
        </w:rPr>
        <w:t xml:space="preserve"> individual ou agregado</w:t>
      </w:r>
      <w:r>
        <w:rPr>
          <w:rFonts w:ascii="Arial" w:hAnsi="Arial" w:cs="Arial"/>
          <w:sz w:val="22"/>
          <w:szCs w:val="22"/>
        </w:rPr>
        <w:t>,</w:t>
      </w:r>
      <w:r>
        <w:rPr>
          <w:rFonts w:ascii="Arial" w:hAnsi="Arial" w:cs="Arial"/>
          <w:sz w:val="22"/>
          <w:szCs w:val="22"/>
        </w:rPr>
        <w:t xml:space="preserve">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 Fiador recorrerem de tal decisão ou sentença, por meio de recurso cabível, no prazo legal, e cujos efeitos tenham sido suspensos ou revertidos pela Emissora, pelas Controladas e/ou pela Fiadora,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por suas Controladas e/ou pelo Fiador, tratar-se de erro ou má-fé de terceiros e desde que tais protestos tenham sua exigibilidade suspensa, em qualquer hipótese, dentro do prazo legal, contra a Emissora, suas Controladas</w:t>
      </w:r>
      <w:r>
        <w:rPr>
          <w:rFonts w:ascii="Arial" w:hAnsi="Arial" w:cs="Arial"/>
          <w:sz w:val="22"/>
          <w:szCs w:val="22"/>
        </w:rPr>
        <w:t xml:space="preserve"> </w:t>
      </w:r>
      <w:r>
        <w:rPr>
          <w:rFonts w:ascii="Arial" w:hAnsi="Arial" w:cs="Arial"/>
          <w:sz w:val="22"/>
          <w:szCs w:val="22"/>
        </w:rPr>
        <w:t>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w:t>
      </w:r>
      <w:r>
        <w:rPr>
          <w:rFonts w:ascii="Arial" w:hAnsi="Arial" w:cs="Arial"/>
          <w:sz w:val="22"/>
          <w:szCs w:val="22"/>
        </w:rPr>
        <w:t xml:space="preserve"> pelo Fiador</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dos Contratos de Garantia,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nos Contratos de Garantia, conforme aplicável.</w:t>
      </w:r>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5"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bookmarkEnd w:id="55"/>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6"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6"/>
    </w:p>
    <w:p>
      <w:pPr>
        <w:pStyle w:val="PargrafodaLista"/>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qualquer uma de suas Controladas e/ou o Fiador e/ou suas respectivas Controladoras e/ou Controladas, de sentença condenatória judicial ou decisão administrativa ou arbitral relacionados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pela Fiadora, por si, </w:t>
      </w:r>
      <w:r>
        <w:rPr>
          <w:rFonts w:ascii="Arial" w:hAnsi="Arial" w:cs="Arial"/>
          <w:kern w:val="16"/>
          <w:sz w:val="22"/>
          <w:szCs w:val="22"/>
        </w:rPr>
        <w:t xml:space="preserve">seus </w:t>
      </w:r>
      <w:r>
        <w:rPr>
          <w:rFonts w:ascii="Arial" w:hAnsi="Arial" w:cs="Arial"/>
          <w:sz w:val="22"/>
          <w:szCs w:val="22"/>
        </w:rPr>
        <w:t>respectivos Controladores, Controladas, seus acionistas, seus diretores e membros de conselho de administração, se existentes, funcionários, estes últimos quando agindo em nome</w:t>
      </w:r>
      <w:r>
        <w:rPr>
          <w:rFonts w:ascii="Arial" w:hAnsi="Arial" w:cs="Arial"/>
          <w:sz w:val="22"/>
          <w:szCs w:val="22"/>
        </w:rPr>
        <w:t xml:space="preserve"> e interesse</w:t>
      </w:r>
      <w:r>
        <w:rPr>
          <w:rFonts w:ascii="Arial" w:hAnsi="Arial" w:cs="Arial"/>
          <w:sz w:val="22"/>
          <w:szCs w:val="22"/>
        </w:rPr>
        <w:t xml:space="preserve"> da Companhia: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57" w:name="_Hlk15044892"/>
      <w:r>
        <w:rPr>
          <w:rFonts w:ascii="Arial" w:eastAsiaTheme="minorHAnsi" w:hAnsi="Arial" w:cs="Arial"/>
          <w:sz w:val="22"/>
          <w:szCs w:val="22"/>
        </w:rPr>
        <w:t>atuação, pela Emissora, pela Fiadora, pelo respectivos Controladores e/ou Controladas, em desconformidade com (a) a Legislação Socioambiental; e (b) as Leis Anticorrupção e/ou inclusão da Emissora e/ou da Fiadora e/ou dos respectivos Controladores e/ou Controladas no Cadastro Nacional de Empresas Inidôneas e Suspensas – CEIS ou no Cadastro Nacional de Empresas Punidas – CNEP</w:t>
      </w:r>
      <w:bookmarkEnd w:id="57"/>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estar descumprindo com as </w:t>
      </w:r>
      <w:r>
        <w:rPr>
          <w:rFonts w:ascii="Arial" w:hAnsi="Arial" w:cs="Arial"/>
          <w:sz w:val="22"/>
          <w:szCs w:val="22"/>
        </w:rPr>
        <w:t>(a) obrigações pecuniárias; (b) obrigações não pecuniárias que causem um Efeito Adverso Relevante (conforme definido</w:t>
      </w:r>
      <w:r>
        <w:rPr>
          <w:rFonts w:ascii="Arial" w:hAnsi="Arial" w:cs="Arial"/>
          <w:sz w:val="22"/>
          <w:szCs w:val="22"/>
        </w:rPr>
        <w:t xml:space="preserve"> </w:t>
      </w:r>
      <w:r>
        <w:rPr>
          <w:rFonts w:ascii="Arial" w:hAnsi="Arial" w:cs="Arial"/>
          <w:sz w:val="22"/>
          <w:szCs w:val="22"/>
        </w:rPr>
        <w:t xml:space="preserve">abaixo); e/ou </w:t>
      </w:r>
      <w:r>
        <w:rPr>
          <w:rFonts w:ascii="Arial" w:hAnsi="Arial" w:cs="Arial"/>
          <w:sz w:val="22"/>
          <w:szCs w:val="22"/>
        </w:rPr>
        <w:t>(c) Índice Financeiro (conforme definido abaixo),</w:t>
      </w:r>
      <w:r>
        <w:rPr>
          <w:rFonts w:ascii="Arial" w:hAnsi="Arial" w:cs="Arial"/>
          <w:sz w:val="22"/>
          <w:szCs w:val="22"/>
        </w:rPr>
        <w:t xml:space="preserve"> todos previstos nesta Escritura;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autuação pelos órgãos governamentais, de caráter fiscal ou de defesa da concorrência, entre outros, contra a qual não tenham sido interpostos os recursos competentes </w:t>
      </w:r>
      <w:r>
        <w:rPr>
          <w:rFonts w:ascii="Arial" w:hAnsi="Arial" w:cs="Arial"/>
          <w:sz w:val="22"/>
          <w:szCs w:val="22"/>
        </w:rPr>
        <w:t>e cujos efeitos não tenham sido suspensos ou revertidos pela Emissora</w:t>
      </w:r>
      <w:r>
        <w:rPr>
          <w:rFonts w:ascii="Arial" w:hAnsi="Arial" w:cs="Arial"/>
          <w:sz w:val="22"/>
          <w:szCs w:val="22"/>
        </w:rPr>
        <w:t xml:space="preserve">, </w:t>
      </w:r>
      <w:r>
        <w:rPr>
          <w:rFonts w:ascii="Arial" w:hAnsi="Arial" w:cs="Arial"/>
          <w:sz w:val="22"/>
          <w:szCs w:val="22"/>
        </w:rPr>
        <w:t>que possa vir a afetar de maneira substancial e relevante a capacidade operacional, legal ou financeira da Emissora e/ou do Fiador para o pagamento das Debêntures</w:t>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xml:space="preserve">”), auferido anualmente, pelos auditores independentes contratados pela Emissora e/ou pelo Fiador, e verificados pelo Agente Fiduciário, com base nas demonstrações financeiras combinadas auditadas da Emissora e </w:t>
      </w:r>
      <w:r>
        <w:rPr>
          <w:rFonts w:ascii="Arial" w:hAnsi="Arial" w:cs="Arial"/>
          <w:sz w:val="22"/>
          <w:szCs w:val="22"/>
        </w:rPr>
        <w:t>d</w:t>
      </w:r>
      <w:r>
        <w:rPr>
          <w:rFonts w:ascii="Arial" w:hAnsi="Arial" w:cs="Arial"/>
          <w:sz w:val="22"/>
          <w:szCs w:val="22"/>
        </w:rPr>
        <w:t>a</w:t>
      </w:r>
      <w:r>
        <w:rPr>
          <w:rFonts w:ascii="Arial" w:hAnsi="Arial" w:cs="Arial"/>
          <w:sz w:val="22"/>
          <w:szCs w:val="22"/>
        </w:rPr>
        <w:t xml:space="preserve"> </w:t>
      </w:r>
      <w:r>
        <w:rPr>
          <w:rFonts w:ascii="Arial" w:hAnsi="Arial" w:cs="Arial"/>
          <w:sz w:val="22"/>
          <w:szCs w:val="22"/>
        </w:rPr>
        <w:t>LM Transportes e Serviços e Comércio Ltda.</w:t>
      </w:r>
      <w:r>
        <w:rPr>
          <w:rFonts w:ascii="Arial" w:hAnsi="Arial" w:cs="Arial"/>
          <w:sz w:val="22"/>
          <w:szCs w:val="22"/>
        </w:rPr>
        <w:t xml:space="preserve"> </w:t>
      </w:r>
      <w:r>
        <w:rPr>
          <w:rFonts w:ascii="Arial" w:hAnsi="Arial" w:cs="Arial"/>
          <w:sz w:val="22"/>
          <w:szCs w:val="22"/>
        </w:rPr>
        <w:t>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significa, com base nas demonstrações financeiras combinadas auditadas da Emissora e</w:t>
      </w:r>
      <w:r>
        <w:rPr>
          <w:rFonts w:ascii="Arial" w:hAnsi="Arial" w:cs="Arial"/>
          <w:sz w:val="22"/>
          <w:szCs w:val="22"/>
        </w:rPr>
        <w:t xml:space="preserve"> da</w:t>
      </w:r>
      <w:r>
        <w:rPr>
          <w:rFonts w:ascii="Arial" w:hAnsi="Arial" w:cs="Arial"/>
          <w:sz w:val="22"/>
          <w:szCs w:val="22"/>
        </w:rPr>
        <w:t xml:space="preserve"> </w:t>
      </w:r>
      <w:r>
        <w:rPr>
          <w:rFonts w:ascii="Arial" w:hAnsi="Arial" w:cs="Arial"/>
          <w:sz w:val="22"/>
          <w:szCs w:val="22"/>
        </w:rPr>
        <w:t>LM Transportes e Serviços e Comércio Ltda.</w:t>
      </w:r>
      <w:r>
        <w:rPr>
          <w:rFonts w:ascii="Arial" w:hAnsi="Arial" w:cs="Arial"/>
          <w:sz w:val="22"/>
          <w:szCs w:val="22"/>
        </w:rPr>
        <w:t xml:space="preserve">,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w:t>
      </w:r>
      <w:r>
        <w:rPr>
          <w:rFonts w:ascii="Arial" w:hAnsi="Arial" w:cs="Arial"/>
          <w:sz w:val="22"/>
          <w:szCs w:val="22"/>
        </w:rPr>
        <w:t>e do saldo positivo (ou acrescido do saldo negativo) da posição de hedge,</w:t>
      </w:r>
      <w:r>
        <w:rPr>
          <w:rFonts w:ascii="Arial" w:hAnsi="Arial" w:cs="Arial"/>
          <w:sz w:val="22"/>
          <w:szCs w:val="22"/>
        </w:rPr>
        <w:t xml:space="preserve"> </w:t>
      </w:r>
      <w:r>
        <w:rPr>
          <w:rFonts w:ascii="Arial" w:hAnsi="Arial" w:cs="Arial"/>
          <w:sz w:val="22"/>
          <w:szCs w:val="22"/>
        </w:rPr>
        <w:t>menos as disponibilidades em caixa e aplicações financeiras; e</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xml:space="preserve">” significa, com base nas demonstrações financeiras combinadas auditadas da Emissora e </w:t>
      </w:r>
      <w:r>
        <w:rPr>
          <w:rFonts w:ascii="Arial" w:hAnsi="Arial" w:cs="Arial"/>
          <w:sz w:val="22"/>
          <w:szCs w:val="22"/>
        </w:rPr>
        <w:t>da LM Transportes e Serviços e Comércio Ltda.</w:t>
      </w:r>
      <w:r>
        <w:rPr>
          <w:rFonts w:ascii="Arial" w:hAnsi="Arial" w:cs="Arial"/>
          <w:sz w:val="22"/>
          <w:szCs w:val="22"/>
        </w:rPr>
        <w:t xml:space="preserve">, o somatório: (a) do lucro/prejuízo antes de deduzidos os impostos, tributos, contribuições e participações minoritárias, (b) das despesas de depreciação e amortização, (c) das </w:t>
      </w:r>
      <w:r>
        <w:rPr>
          <w:rFonts w:ascii="Arial" w:hAnsi="Arial" w:cs="Arial"/>
          <w:sz w:val="22"/>
          <w:szCs w:val="22"/>
        </w:rPr>
        <w:t xml:space="preserve">receitas </w:t>
      </w:r>
      <w:r>
        <w:rPr>
          <w:rFonts w:ascii="Arial" w:hAnsi="Arial" w:cs="Arial"/>
          <w:sz w:val="22"/>
          <w:szCs w:val="22"/>
        </w:rPr>
        <w:t xml:space="preserve">financeiras deduzidas das </w:t>
      </w:r>
      <w:r>
        <w:rPr>
          <w:rFonts w:ascii="Arial" w:hAnsi="Arial" w:cs="Arial"/>
          <w:sz w:val="22"/>
          <w:szCs w:val="22"/>
        </w:rPr>
        <w:t xml:space="preserve">despesas </w:t>
      </w:r>
      <w:r>
        <w:rPr>
          <w:rFonts w:ascii="Arial" w:hAnsi="Arial" w:cs="Arial"/>
          <w:sz w:val="22"/>
          <w:szCs w:val="22"/>
        </w:rPr>
        <w:t xml:space="preserve">financeiras, e (d) das </w:t>
      </w:r>
      <w:r>
        <w:rPr>
          <w:rFonts w:ascii="Arial" w:hAnsi="Arial" w:cs="Arial"/>
          <w:sz w:val="22"/>
          <w:szCs w:val="22"/>
        </w:rPr>
        <w:t xml:space="preserve">receitas </w:t>
      </w:r>
      <w:r>
        <w:rPr>
          <w:rFonts w:ascii="Arial" w:hAnsi="Arial" w:cs="Arial"/>
          <w:sz w:val="22"/>
          <w:szCs w:val="22"/>
        </w:rPr>
        <w:t xml:space="preserve">não operacionais e/ou não recorrentes deduzidas das </w:t>
      </w:r>
      <w:r>
        <w:rPr>
          <w:rFonts w:ascii="Arial" w:hAnsi="Arial" w:cs="Arial"/>
          <w:sz w:val="22"/>
          <w:szCs w:val="22"/>
        </w:rPr>
        <w:t xml:space="preserve">despesas </w:t>
      </w:r>
      <w:r>
        <w:rPr>
          <w:rFonts w:ascii="Arial" w:hAnsi="Arial" w:cs="Arial"/>
          <w:sz w:val="22"/>
          <w:szCs w:val="22"/>
        </w:rPr>
        <w:t>não operacionais e/ou não recorrentes ocorridas no período de 12 (doze) meses encerrado na respectiva data de apuração.</w:t>
      </w:r>
    </w:p>
    <w:p>
      <w:pPr>
        <w:widowControl w:val="0"/>
        <w:autoSpaceDE w:val="0"/>
        <w:autoSpaceDN w:val="0"/>
        <w:spacing w:line="340" w:lineRule="exact"/>
        <w:ind w:left="709"/>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w:t>
      </w:r>
      <w:r>
        <w:rPr>
          <w:rFonts w:ascii="Arial" w:hAnsi="Arial" w:cs="Arial"/>
          <w:sz w:val="22"/>
          <w:szCs w:val="22"/>
        </w:rPr>
        <w:t xml:space="preserve"> </w:t>
      </w:r>
      <w:r>
        <w:rPr>
          <w:rFonts w:ascii="Arial" w:hAnsi="Arial" w:cs="Arial"/>
          <w:sz w:val="22"/>
          <w:szCs w:val="22"/>
        </w:rPr>
        <w:t xml:space="preserve">(conforme definido </w:t>
      </w:r>
      <w:r>
        <w:rPr>
          <w:rFonts w:ascii="Arial" w:hAnsi="Arial" w:cs="Arial"/>
          <w:sz w:val="22"/>
          <w:szCs w:val="22"/>
        </w:rPr>
        <w:t>abaixo</w:t>
      </w:r>
      <w:r>
        <w:rPr>
          <w:rFonts w:ascii="Arial" w:hAnsi="Arial" w:cs="Arial"/>
          <w:sz w:val="22"/>
          <w:szCs w:val="22"/>
        </w:rPr>
        <w:t>) e/ou (b) aprovadas pelos Debenturistas</w:t>
      </w:r>
      <w:r>
        <w:rPr>
          <w:rFonts w:ascii="Arial" w:hAnsi="Arial" w:cs="Arial"/>
          <w:sz w:val="22"/>
          <w:szCs w:val="22"/>
        </w:rPr>
        <w:t xml:space="preserve">; e/ou (c) quando do Resgate Antecipado </w:t>
      </w:r>
      <w:r>
        <w:rPr>
          <w:rFonts w:ascii="Arial" w:hAnsi="Arial" w:cs="Arial"/>
          <w:sz w:val="22"/>
          <w:szCs w:val="22"/>
        </w:rPr>
        <w:t>Total;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nos termos do artigo 231 da Lei das Sociedades por Ações, a </w:t>
      </w:r>
      <w:r>
        <w:rPr>
          <w:rFonts w:ascii="Arial" w:hAnsi="Arial" w:cs="Arial"/>
          <w:sz w:val="22"/>
          <w:szCs w:val="22"/>
        </w:rPr>
        <w:t>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e/ou </w:t>
      </w:r>
      <w:r>
        <w:rPr>
          <w:rFonts w:ascii="Arial" w:hAnsi="Arial" w:cs="Arial"/>
          <w:sz w:val="22"/>
          <w:szCs w:val="22"/>
        </w:rPr>
        <w:t xml:space="preserve">(c) </w:t>
      </w:r>
      <w:r>
        <w:rPr>
          <w:rFonts w:ascii="Arial" w:hAnsi="Arial" w:cs="Arial"/>
          <w:sz w:val="22"/>
          <w:szCs w:val="22"/>
        </w:rPr>
        <w:t xml:space="preserve">realização de </w:t>
      </w:r>
      <w:r>
        <w:rPr>
          <w:rFonts w:ascii="Arial" w:hAnsi="Arial" w:cs="Arial"/>
          <w:sz w:val="22"/>
          <w:szCs w:val="22"/>
        </w:rPr>
        <w:t xml:space="preserve">oferta púbica </w:t>
      </w:r>
      <w:r>
        <w:rPr>
          <w:rFonts w:ascii="Arial" w:hAnsi="Arial" w:cs="Arial"/>
          <w:sz w:val="22"/>
          <w:szCs w:val="22"/>
        </w:rPr>
        <w:t xml:space="preserve">inicial da Emissora </w:t>
      </w:r>
      <w:r>
        <w:rPr>
          <w:rFonts w:ascii="Arial" w:hAnsi="Arial" w:cs="Arial"/>
          <w:sz w:val="22"/>
          <w:szCs w:val="22"/>
        </w:rPr>
        <w:t xml:space="preserve">e/ou (c) exclusivamente </w:t>
      </w:r>
      <w:r>
        <w:rPr>
          <w:rFonts w:ascii="Arial" w:hAnsi="Arial" w:cs="Arial"/>
          <w:sz w:val="22"/>
          <w:szCs w:val="22"/>
        </w:rPr>
        <w:t xml:space="preserve">no caso de fusão e/ou incorporação </w:t>
      </w:r>
      <w:r>
        <w:rPr>
          <w:rFonts w:ascii="Arial" w:hAnsi="Arial" w:cs="Arial"/>
          <w:sz w:val="22"/>
          <w:szCs w:val="22"/>
        </w:rPr>
        <w:t>(incluindo incorporação de ações)</w:t>
      </w:r>
      <w:r>
        <w:rPr>
          <w:rFonts w:ascii="Arial" w:hAnsi="Arial" w:cs="Arial"/>
          <w:sz w:val="22"/>
          <w:szCs w:val="22"/>
        </w:rPr>
        <w:t>, pela Emissora e/ou pelo Fiador de outra sociedade (“</w:t>
      </w:r>
      <w:r>
        <w:rPr>
          <w:rFonts w:ascii="Arial" w:hAnsi="Arial" w:cs="Arial"/>
          <w:sz w:val="22"/>
          <w:szCs w:val="22"/>
          <w:u w:val="single"/>
        </w:rPr>
        <w:t>Transação</w:t>
      </w:r>
      <w:r>
        <w:rPr>
          <w:rFonts w:ascii="Arial" w:hAnsi="Arial" w:cs="Arial"/>
          <w:sz w:val="22"/>
          <w:szCs w:val="22"/>
        </w:rPr>
        <w:t>”), caso a Transação não</w:t>
      </w:r>
      <w:r>
        <w:rPr>
          <w:rFonts w:ascii="Arial" w:hAnsi="Arial" w:cs="Arial"/>
          <w:sz w:val="22"/>
          <w:szCs w:val="22"/>
        </w:rPr>
        <w:t xml:space="preserve"> </w:t>
      </w:r>
      <w:r>
        <w:rPr>
          <w:rFonts w:ascii="Arial" w:hAnsi="Arial" w:cs="Arial"/>
          <w:sz w:val="22"/>
          <w:szCs w:val="22"/>
        </w:rPr>
        <w:t>acarrete</w:t>
      </w:r>
      <w:r>
        <w:rPr>
          <w:rFonts w:ascii="Arial" w:hAnsi="Arial" w:cs="Arial"/>
          <w:sz w:val="22"/>
          <w:szCs w:val="22"/>
        </w:rPr>
        <w:t xml:space="preserve"> na redução da classificação de Risco da Emissora</w:t>
      </w:r>
      <w:r>
        <w:rPr>
          <w:rFonts w:ascii="Arial" w:hAnsi="Arial" w:cs="Arial"/>
          <w:sz w:val="22"/>
          <w:szCs w:val="22"/>
        </w:rPr>
        <w:t xml:space="preserve">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w:t>
      </w:r>
      <w:r>
        <w:rPr>
          <w:rFonts w:ascii="Arial" w:hAnsi="Arial" w:cs="Arial"/>
          <w:sz w:val="22"/>
          <w:szCs w:val="22"/>
        </w:rPr>
        <w:t>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rPr>
        <w:t>]</w:t>
      </w:r>
    </w:p>
    <w:p>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58"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w:t>
      </w:r>
      <w:r>
        <w:rPr>
          <w:rFonts w:ascii="Arial" w:eastAsia="Arial Unicode MS" w:hAnsi="Arial" w:cs="Arial"/>
          <w:w w:val="0"/>
        </w:rPr>
        <w:t xml:space="preserve"> 50% (cinquenta por cento) mais 1 (uma) das Debêntures dos Debenturistas presentes em</w:t>
      </w:r>
      <w:r>
        <w:rPr>
          <w:rFonts w:ascii="Arial" w:eastAsia="Arial Unicode MS" w:hAnsi="Arial" w:cs="Arial"/>
          <w:w w:val="0"/>
        </w:rPr>
        <w:t xml:space="preserve"> segunda convocação</w:t>
      </w:r>
      <w:r>
        <w:rPr>
          <w:rFonts w:ascii="Arial" w:hAnsi="Arial" w:cs="Arial"/>
        </w:rPr>
        <w:t>.</w:t>
      </w:r>
      <w:bookmarkEnd w:id="58"/>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autoSpaceDE w:val="0"/>
        <w:autoSpaceDN w:val="0"/>
        <w:spacing w:line="340" w:lineRule="exact"/>
        <w:jc w:val="both"/>
        <w:rPr>
          <w:rFonts w:ascii="Arial" w:eastAsia="Arial Unicode MS"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59"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w:t>
      </w:r>
      <w:r>
        <w:rPr>
          <w:rFonts w:ascii="Arial" w:eastAsia="Arial Unicode MS" w:hAnsi="Arial" w:cs="Arial"/>
        </w:rPr>
        <w:t>, por meio de correspondência sobre o tal pagamento, com, no mínimo, 3 (três) Dias Úteis de antecedência da data estipulada para a sua realização.</w:t>
      </w:r>
      <w:bookmarkEnd w:id="59"/>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60" w:name="_DV_M188"/>
      <w:bookmarkEnd w:id="60"/>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w:t>
      </w:r>
      <w:r>
        <w:rPr>
          <w:rFonts w:ascii="Arial" w:eastAsia="Arial Unicode MS" w:hAnsi="Arial" w:cs="Arial"/>
          <w:w w:val="0"/>
          <w:sz w:val="22"/>
          <w:szCs w:val="22"/>
        </w:rPr>
        <w:t xml:space="preserve">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a Fiadora,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w:t>
      </w:r>
      <w:r>
        <w:rPr>
          <w:rFonts w:ascii="Arial" w:hAnsi="Arial" w:cs="Arial"/>
          <w:sz w:val="22"/>
          <w:szCs w:val="22"/>
        </w:rPr>
        <w:t xml:space="preserve">e do Fiador </w:t>
      </w:r>
      <w:r>
        <w:rPr>
          <w:rFonts w:ascii="Arial" w:hAnsi="Arial" w:cs="Arial"/>
          <w:sz w:val="22"/>
          <w:szCs w:val="22"/>
        </w:rPr>
        <w:t>atestando, na forma de seu estatuto social/contrato social: (A) que permanecem válidas as disposições contidas nos Contratos da Emissão; (B) a não ocorrência de qualquer das Hipóteses de Vencimento Antecipado e inexistência de descumprimento de obrigações da Emissora</w:t>
      </w:r>
      <w:r>
        <w:rPr>
          <w:rFonts w:ascii="Arial" w:hAnsi="Arial" w:cs="Arial"/>
          <w:sz w:val="22"/>
          <w:szCs w:val="22"/>
        </w:rPr>
        <w:t xml:space="preserve"> e/ou do Fiador</w:t>
      </w:r>
      <w:r>
        <w:rPr>
          <w:rFonts w:ascii="Arial" w:hAnsi="Arial" w:cs="Arial"/>
          <w:sz w:val="22"/>
          <w:szCs w:val="22"/>
        </w:rPr>
        <w:t xml:space="preserve"> previstas </w:t>
      </w:r>
      <w:r>
        <w:rPr>
          <w:rFonts w:ascii="Arial" w:hAnsi="Arial" w:cs="Arial"/>
          <w:sz w:val="22"/>
          <w:szCs w:val="22"/>
        </w:rPr>
        <w:t>nos Contratos da Emissão</w:t>
      </w:r>
      <w:r>
        <w:rPr>
          <w:rFonts w:ascii="Arial" w:hAnsi="Arial" w:cs="Arial"/>
          <w:sz w:val="22"/>
          <w:szCs w:val="22"/>
        </w:rPr>
        <w:t xml:space="preserve">;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w:t>
      </w:r>
      <w:r>
        <w:rPr>
          <w:rFonts w:ascii="Arial" w:hAnsi="Arial" w:cs="Arial"/>
          <w:sz w:val="22"/>
          <w:szCs w:val="22"/>
        </w:rPr>
        <w:t>l</w:t>
      </w:r>
      <w:r>
        <w:rPr>
          <w:rFonts w:ascii="Arial" w:hAnsi="Arial" w:cs="Arial"/>
          <w:sz w:val="22"/>
          <w:szCs w:val="22"/>
        </w:rPr>
        <w:t>,</w:t>
      </w:r>
      <w:r>
        <w:rPr>
          <w:rFonts w:ascii="Arial" w:hAnsi="Arial" w:cs="Arial"/>
          <w:color w:val="000000"/>
          <w:sz w:val="22"/>
          <w:szCs w:val="22"/>
        </w:rPr>
        <w:t xml:space="preserve"> que lhe</w:t>
      </w:r>
      <w:r>
        <w:rPr>
          <w:rFonts w:ascii="Arial" w:hAnsi="Arial" w:cs="Arial"/>
          <w:color w:val="000000"/>
          <w:sz w:val="22"/>
          <w:szCs w:val="22"/>
        </w:rPr>
        <w:t>s</w:t>
      </w:r>
      <w:r>
        <w:rPr>
          <w:rFonts w:ascii="Arial" w:hAnsi="Arial" w:cs="Arial"/>
          <w:color w:val="000000"/>
          <w:sz w:val="22"/>
          <w:szCs w:val="22"/>
        </w:rPr>
        <w:t xml:space="preserve"> tenham sido solicitadas, por escrito pelo Agente Fiduciário</w:t>
      </w:r>
      <w:r>
        <w:rPr>
          <w:rFonts w:ascii="Arial" w:hAnsi="Arial" w:cs="Arial"/>
          <w:color w:val="000000"/>
          <w:sz w:val="22"/>
          <w:szCs w:val="22"/>
        </w:rPr>
        <w:t xml:space="preserve"> e/ou pelos Debenturistas</w:t>
      </w:r>
      <w:r>
        <w:rPr>
          <w:rFonts w:ascii="Arial" w:hAnsi="Arial" w:cs="Arial"/>
          <w:color w:val="000000"/>
          <w:sz w:val="22"/>
          <w:szCs w:val="22"/>
        </w:rPr>
        <w:t xml:space="preserve">, sendo a Emissora </w:t>
      </w:r>
      <w:r>
        <w:rPr>
          <w:rFonts w:ascii="Arial" w:hAnsi="Arial" w:cs="Arial"/>
          <w:color w:val="000000"/>
          <w:sz w:val="22"/>
          <w:szCs w:val="22"/>
        </w:rPr>
        <w:t xml:space="preserve">e o Fiador </w:t>
      </w:r>
      <w:r>
        <w:rPr>
          <w:rFonts w:ascii="Arial" w:hAnsi="Arial" w:cs="Arial"/>
          <w:color w:val="000000"/>
          <w:sz w:val="22"/>
          <w:szCs w:val="22"/>
        </w:rPr>
        <w:t>responsáve</w:t>
      </w:r>
      <w:r>
        <w:rPr>
          <w:rFonts w:ascii="Arial" w:hAnsi="Arial" w:cs="Arial"/>
          <w:color w:val="000000"/>
          <w:sz w:val="22"/>
          <w:szCs w:val="22"/>
        </w:rPr>
        <w:t>is</w:t>
      </w:r>
      <w:r>
        <w:rPr>
          <w:rFonts w:ascii="Arial" w:hAnsi="Arial" w:cs="Arial"/>
          <w:color w:val="000000"/>
          <w:sz w:val="22"/>
          <w:szCs w:val="22"/>
        </w:rPr>
        <w:t xml:space="preserve">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w:t>
      </w:r>
      <w:r>
        <w:rPr>
          <w:rFonts w:ascii="Arial" w:hAnsi="Arial" w:cs="Arial"/>
          <w:sz w:val="22"/>
          <w:szCs w:val="22"/>
        </w:rPr>
        <w:t xml:space="preserve">e/ou do Fiador </w:t>
      </w:r>
      <w:r>
        <w:rPr>
          <w:rFonts w:ascii="Arial" w:hAnsi="Arial" w:cs="Arial"/>
          <w:sz w:val="22"/>
          <w:szCs w:val="22"/>
        </w:rPr>
        <w:t>de efetuar o pontual cumprimento das obrigações, no todo ou em parte, assumidas perante os titulares das Debêntures, em até 5 (cinco) Dias Úteis contados da data de sua ciência;</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sz w:val="22"/>
          <w:szCs w:val="22"/>
        </w:rPr>
        <w:t>,</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observar e cumprir integralmente</w:t>
      </w:r>
      <w:r>
        <w:rPr>
          <w:rFonts w:ascii="Arial" w:hAnsi="Arial" w:cs="Arial"/>
          <w:sz w:val="22"/>
          <w:szCs w:val="22"/>
        </w:rPr>
        <w:t xml:space="preserve"> </w:t>
      </w:r>
      <w:r>
        <w:rPr>
          <w:rFonts w:ascii="Arial" w:hAnsi="Arial" w:cs="Arial"/>
          <w:sz w:val="22"/>
          <w:szCs w:val="22"/>
        </w:rPr>
        <w:t xml:space="preserve">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conselheiros, e membros de conselho de administração, se existentes, funcionários, estes últimos quando agindo em nome e interesse da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Controladoras e/ou coligadas, seus funcionários, diretores e/ou conselheiros</w:t>
      </w:r>
      <w:bookmarkStart w:id="61"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conselheiros e membros de conselho de administração, se existentes, funcionários, estes últimos quando agindo em nome e interesse da Companhia</w:t>
      </w:r>
      <w:r>
        <w:rPr>
          <w:rFonts w:ascii="Arial" w:hAnsi="Arial" w:cs="Arial"/>
          <w:sz w:val="22"/>
          <w:szCs w:val="22"/>
        </w:rPr>
        <w:t xml:space="preserve">, do disposto na Legislação Socioambiental, desde que decorrente de investimento dos recursos obtidos através da Escritura; e/ou (b) de qualquer violação do disposto nas Leis Anticorrupção, por si, suas Controladas, Controladoras </w:t>
      </w:r>
      <w:r>
        <w:rPr>
          <w:rFonts w:ascii="Arial" w:hAnsi="Arial" w:cs="Arial"/>
          <w:sz w:val="22"/>
          <w:szCs w:val="22"/>
        </w:rPr>
        <w:t>seus administradores, conselheiros e membros de conselho de administração, se existentes, funcionários, estes últimos quando agindo em nome e interesse da Companhia</w:t>
      </w:r>
      <w:r>
        <w:rPr>
          <w:rFonts w:ascii="Arial" w:hAnsi="Arial" w:cs="Arial"/>
          <w:sz w:val="22"/>
          <w:szCs w:val="22"/>
        </w:rPr>
        <w:t>;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1"/>
    </w:p>
    <w:p>
      <w:pPr>
        <w:widowControl w:val="0"/>
        <w:spacing w:line="340" w:lineRule="exact"/>
        <w:ind w:hanging="7"/>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das Garantidoras;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62" w:name="_DV_M91"/>
      <w:bookmarkEnd w:id="62"/>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w:t>
      </w:r>
      <w:r>
        <w:rPr>
          <w:rFonts w:ascii="Arial" w:hAnsi="Arial" w:cs="Arial"/>
          <w:sz w:val="22"/>
          <w:szCs w:val="22"/>
        </w:rPr>
        <w:t xml:space="preserve">seu estatuto/contrato social, objeto social, com </w:t>
      </w:r>
      <w:r>
        <w:rPr>
          <w:rFonts w:ascii="Arial" w:hAnsi="Arial" w:cs="Arial"/>
          <w:sz w:val="22"/>
          <w:szCs w:val="22"/>
        </w:rPr>
        <w:t>os Contratos da Emissão</w:t>
      </w:r>
      <w:r>
        <w:rPr>
          <w:rFonts w:ascii="Arial" w:hAnsi="Arial" w:cs="Arial"/>
          <w:sz w:val="22"/>
          <w:szCs w:val="22"/>
        </w:rPr>
        <w:t>, conforme aplicável,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w:t>
      </w:r>
      <w:r>
        <w:rPr>
          <w:rFonts w:ascii="Arial" w:eastAsia="Arial Unicode MS" w:hAnsi="Arial" w:cs="Arial"/>
          <w:w w:val="0"/>
          <w:sz w:val="22"/>
          <w:szCs w:val="22"/>
        </w:rPr>
        <w:t xml:space="preserve"> o Banco Depositá</w:t>
      </w:r>
      <w:r>
        <w:rPr>
          <w:rFonts w:ascii="Arial" w:eastAsia="Arial Unicode MS" w:hAnsi="Arial" w:cs="Arial"/>
          <w:w w:val="0"/>
          <w:sz w:val="22"/>
          <w:szCs w:val="22"/>
        </w:rPr>
        <w:t>r</w:t>
      </w:r>
      <w:r>
        <w:rPr>
          <w:rFonts w:ascii="Arial" w:eastAsia="Arial Unicode MS" w:hAnsi="Arial" w:cs="Arial"/>
          <w:w w:val="0"/>
          <w:sz w:val="22"/>
          <w:szCs w:val="22"/>
        </w:rPr>
        <w:t>io</w:t>
      </w:r>
      <w:r>
        <w:rPr>
          <w:rFonts w:ascii="Arial" w:eastAsia="Arial Unicode MS" w:hAnsi="Arial" w:cs="Arial"/>
          <w:w w:val="0"/>
          <w:sz w:val="22"/>
          <w:szCs w:val="22"/>
        </w:rPr>
        <w:t xml:space="preserve">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xml:space="preserve">, sendo certo que nesta hipótese o derivativo não será alavancado e a Emissora e/ou o Fiador deverá(ão) disponibilizar o respectivo contrato 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w:t>
      </w:r>
      <w:r>
        <w:rPr>
          <w:rFonts w:ascii="Arial" w:hAnsi="Arial" w:cs="Arial"/>
          <w:sz w:val="22"/>
          <w:szCs w:val="22"/>
        </w:rPr>
        <w:t xml:space="preserve">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w:t>
      </w:r>
      <w:r>
        <w:rPr>
          <w:rFonts w:ascii="Arial" w:hAnsi="Arial" w:cs="Arial"/>
          <w:kern w:val="16"/>
          <w:sz w:val="22"/>
          <w:szCs w:val="22"/>
        </w:rPr>
        <w:t>, bem como da Emissão;</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a Fiadora deverão incluir, na qualidade de fiadora </w:t>
      </w:r>
      <w:r>
        <w:rPr>
          <w:rFonts w:ascii="Arial" w:hAnsi="Arial" w:cs="Arial"/>
          <w:color w:val="000000"/>
          <w:sz w:val="22"/>
          <w:szCs w:val="22"/>
        </w:rPr>
        <w:t>da</w:t>
      </w:r>
      <w:r>
        <w:rPr>
          <w:rFonts w:ascii="Arial" w:hAnsi="Arial" w:cs="Arial"/>
          <w:color w:val="000000"/>
          <w:sz w:val="22"/>
          <w:szCs w:val="22"/>
        </w:rPr>
        <w:t xml:space="preserve"> Emissão: (a) qualquer as subsidiárias diretas ou indiretas da Emissora ou da Fiadora que venham a ser criadas durante a vigência da Emissão e que seja beneficiária da Emissora e/ou do Fiador em (1) fiança e/ou garantia; e/ou (2)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 (b) as subsidiárias, diretas ou indiretas da Emissora ou da Fiadora (“</w:t>
      </w:r>
      <w:r>
        <w:rPr>
          <w:rFonts w:ascii="Arial" w:hAnsi="Arial" w:cs="Arial"/>
          <w:color w:val="000000"/>
          <w:sz w:val="22"/>
          <w:szCs w:val="22"/>
          <w:u w:val="single"/>
        </w:rPr>
        <w:t>Sociedades Relacionadas</w:t>
      </w:r>
      <w:r>
        <w:rPr>
          <w:rFonts w:ascii="Arial" w:hAnsi="Arial" w:cs="Arial"/>
          <w:color w:val="000000"/>
          <w:sz w:val="22"/>
          <w:szCs w:val="22"/>
        </w:rPr>
        <w:t>”), caso o volume de operações de (1) fiança e/ou garantia; e/ou (2) operação de mútuo ou equivalente em que tais Sociedades Relacionadas sejam beneficiadas, em valor individual ou agregado, seja superior a R$ [-] ([-] milhões de reais) (“</w:t>
      </w:r>
      <w:r>
        <w:rPr>
          <w:rFonts w:ascii="Arial" w:hAnsi="Arial" w:cs="Arial"/>
          <w:color w:val="000000"/>
          <w:sz w:val="22"/>
          <w:szCs w:val="22"/>
          <w:u w:val="single"/>
        </w:rPr>
        <w:t>Limite das Operações Sociedades Relacionadas</w:t>
      </w:r>
      <w:r>
        <w:rPr>
          <w:rFonts w:ascii="Arial" w:hAnsi="Arial" w:cs="Arial"/>
          <w:color w:val="000000"/>
          <w:sz w:val="22"/>
          <w:szCs w:val="22"/>
        </w:rPr>
        <w:t>” e, quando em conjunto com Limite das Operações Novas Sociedades, “</w:t>
      </w:r>
      <w:r>
        <w:rPr>
          <w:rFonts w:ascii="Arial" w:hAnsi="Arial" w:cs="Arial"/>
          <w:color w:val="000000"/>
          <w:sz w:val="22"/>
          <w:szCs w:val="22"/>
          <w:u w:val="single"/>
        </w:rPr>
        <w:t>Limites das Operações com Partes Relacionadas</w:t>
      </w:r>
      <w:r>
        <w:rPr>
          <w:rFonts w:ascii="Arial" w:hAnsi="Arial" w:cs="Arial"/>
          <w:color w:val="000000"/>
          <w:sz w:val="22"/>
          <w:szCs w:val="22"/>
        </w:rPr>
        <w:t xml:space="preserve">”). </w:t>
      </w:r>
    </w:p>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w:t>
      </w:r>
      <w:r>
        <w:rPr>
          <w:rFonts w:ascii="Arial" w:hAnsi="Arial" w:cs="Arial"/>
          <w:color w:val="000000"/>
          <w:sz w:val="22"/>
          <w:szCs w:val="22"/>
        </w:rPr>
        <w:t>s</w:t>
      </w:r>
      <w:r>
        <w:rPr>
          <w:rFonts w:ascii="Arial" w:hAnsi="Arial" w:cs="Arial"/>
          <w:color w:val="000000"/>
          <w:sz w:val="22"/>
          <w:szCs w:val="22"/>
        </w:rPr>
        <w:t xml:space="preserve">erão enviados pela Emissora e pelo Fiador. </w:t>
      </w:r>
    </w:p>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Caso seja verificado que quaisquer dos Limites das Operações com Partes Relacionadas foi superado, a Emissora e o Fiador deverão celebrar aditamento a esta Escritura de Emissão, no prazo de 10 (dez) Dias Úteis da respectiva Data de Verificação para inclusão da(s) sociedades(s) beneficiárias das operações mencionadas nesta Cláusula</w:t>
      </w:r>
      <w:r>
        <w:rPr>
          <w:rFonts w:ascii="Arial" w:hAnsi="Arial" w:cs="Arial"/>
          <w:color w:val="000000"/>
          <w:sz w:val="22"/>
          <w:szCs w:val="22"/>
        </w:rPr>
        <w:t xml:space="preserve"> 6.2</w:t>
      </w:r>
      <w:r>
        <w:rPr>
          <w:rFonts w:ascii="Arial" w:hAnsi="Arial" w:cs="Arial"/>
          <w:color w:val="000000"/>
          <w:sz w:val="22"/>
          <w:szCs w:val="22"/>
        </w:rPr>
        <w:t xml:space="preserve">, como fiadora desta Emissão. </w:t>
      </w:r>
    </w:p>
    <w:p>
      <w:pPr>
        <w:widowControl w:val="0"/>
        <w:spacing w:line="340" w:lineRule="exact"/>
        <w:jc w:val="both"/>
        <w:rPr>
          <w:rFonts w:ascii="Arial" w:hAnsi="Arial" w:cs="Arial"/>
          <w:color w:val="00000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63" w:name="_DV_M189"/>
      <w:bookmarkStart w:id="64" w:name="_DV_M190"/>
      <w:bookmarkStart w:id="65" w:name="_DV_M191"/>
      <w:bookmarkStart w:id="66" w:name="_DV_M194"/>
      <w:bookmarkStart w:id="67" w:name="_DV_M199"/>
      <w:bookmarkStart w:id="68" w:name="_DV_M203"/>
      <w:bookmarkStart w:id="69" w:name="_DV_M205"/>
      <w:bookmarkStart w:id="70" w:name="_DV_M206"/>
      <w:bookmarkStart w:id="71" w:name="_DV_M207"/>
      <w:bookmarkStart w:id="72" w:name="_DV_M208"/>
      <w:bookmarkStart w:id="73" w:name="_DV_M210"/>
      <w:bookmarkStart w:id="74" w:name="_DV_M211"/>
      <w:bookmarkStart w:id="75" w:name="_DV_M76"/>
      <w:bookmarkStart w:id="76" w:name="_DV_M77"/>
      <w:bookmarkStart w:id="77" w:name="_DV_M78"/>
      <w:bookmarkStart w:id="78" w:name="_DV_M75"/>
      <w:bookmarkStart w:id="79" w:name="_DV_M79"/>
      <w:bookmarkStart w:id="80" w:name="_DV_M80"/>
      <w:bookmarkStart w:id="81" w:name="_DV_M212"/>
      <w:bookmarkStart w:id="82" w:name="_DV_M213"/>
      <w:bookmarkStart w:id="83" w:name="_DV_M214"/>
      <w:bookmarkStart w:id="84" w:name="_DV_M217"/>
      <w:bookmarkStart w:id="85" w:name="_DV_M218"/>
      <w:bookmarkStart w:id="86" w:name="_DV_M219"/>
      <w:bookmarkStart w:id="87" w:name="_DV_M223"/>
      <w:bookmarkStart w:id="88" w:name="_DV_M225"/>
      <w:bookmarkStart w:id="89" w:name="_DV_M23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ascii="Arial" w:eastAsia="Arial Unicode MS" w:hAnsi="Arial" w:cs="Arial"/>
          <w:b/>
          <w:bCs/>
          <w:w w:val="0"/>
          <w:sz w:val="22"/>
          <w:szCs w:val="22"/>
        </w:rPr>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0" w:name="_DV_M243"/>
      <w:bookmarkEnd w:id="90"/>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1" w:name="_DV_C424"/>
      <w:r>
        <w:rPr>
          <w:rFonts w:ascii="Arial" w:eastAsia="Arial Unicode MS" w:hAnsi="Arial" w:cs="Arial"/>
          <w:sz w:val="22"/>
          <w:szCs w:val="22"/>
        </w:rPr>
        <w:t xml:space="preserve">que </w:t>
      </w:r>
      <w:bookmarkStart w:id="92" w:name="_DV_X465"/>
      <w:bookmarkStart w:id="93" w:name="_DV_C425"/>
      <w:bookmarkEnd w:id="91"/>
      <w:r>
        <w:rPr>
          <w:rFonts w:ascii="Arial" w:eastAsia="Arial Unicode MS" w:hAnsi="Arial" w:cs="Arial"/>
          <w:sz w:val="22"/>
          <w:szCs w:val="22"/>
        </w:rPr>
        <w:t xml:space="preserve">esta </w:t>
      </w:r>
      <w:r>
        <w:rPr>
          <w:rFonts w:ascii="Arial" w:hAnsi="Arial" w:cs="Arial"/>
          <w:sz w:val="22"/>
          <w:szCs w:val="22"/>
        </w:rPr>
        <w:t>Escritura</w:t>
      </w:r>
      <w:r>
        <w:rPr>
          <w:rFonts w:ascii="Arial" w:hAnsi="Arial" w:cs="Arial"/>
          <w:sz w:val="22"/>
          <w:szCs w:val="22"/>
        </w:rPr>
        <w:t xml:space="preserve">, </w:t>
      </w:r>
      <w:r>
        <w:rPr>
          <w:rFonts w:ascii="Arial" w:hAnsi="Arial" w:cs="Arial"/>
          <w:sz w:val="22"/>
          <w:szCs w:val="22"/>
        </w:rPr>
        <w:t>o Cont</w:t>
      </w:r>
      <w:r>
        <w:rPr>
          <w:rFonts w:ascii="Arial" w:hAnsi="Arial" w:cs="Arial"/>
          <w:sz w:val="22"/>
          <w:szCs w:val="22"/>
        </w:rPr>
        <w:t xml:space="preserve">rato de Alienação Fiduciária e </w:t>
      </w:r>
      <w:r>
        <w:rPr>
          <w:rFonts w:ascii="Arial" w:hAnsi="Arial" w:cs="Arial"/>
          <w:sz w:val="22"/>
          <w:szCs w:val="22"/>
        </w:rPr>
        <w:t>o Contrato de Depósito, conforme aplicável</w:t>
      </w:r>
      <w:r>
        <w:rPr>
          <w:rFonts w:ascii="Arial" w:hAnsi="Arial" w:cs="Arial"/>
          <w:sz w:val="22"/>
          <w:szCs w:val="22"/>
        </w:rPr>
        <w:t>,</w:t>
      </w:r>
      <w:r>
        <w:rPr>
          <w:rFonts w:ascii="Arial" w:eastAsia="Arial Unicode MS" w:hAnsi="Arial" w:cs="Arial"/>
          <w:sz w:val="22"/>
          <w:szCs w:val="22"/>
        </w:rPr>
        <w:t xml:space="preserve"> constituem uma obrigação legal, válida</w:t>
      </w:r>
      <w:bookmarkStart w:id="94" w:name="_DV_C426"/>
      <w:bookmarkEnd w:id="92"/>
      <w:bookmarkEnd w:id="93"/>
      <w:r>
        <w:rPr>
          <w:rFonts w:ascii="Arial" w:eastAsia="Arial Unicode MS" w:hAnsi="Arial" w:cs="Arial"/>
          <w:sz w:val="22"/>
          <w:szCs w:val="22"/>
        </w:rPr>
        <w:t>, vinculativa e eficaz</w:t>
      </w:r>
      <w:bookmarkStart w:id="95" w:name="_DV_X467"/>
      <w:bookmarkStart w:id="96" w:name="_DV_C427"/>
      <w:bookmarkEnd w:id="94"/>
      <w:r>
        <w:rPr>
          <w:rFonts w:ascii="Arial" w:eastAsia="Arial Unicode MS" w:hAnsi="Arial" w:cs="Arial"/>
          <w:sz w:val="22"/>
          <w:szCs w:val="22"/>
        </w:rPr>
        <w:t xml:space="preserve"> do Agente Fiduciário, exequível de acordo com os seus termos e condições;</w:t>
      </w:r>
      <w:bookmarkEnd w:id="95"/>
      <w:bookmarkEnd w:id="96"/>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w:t>
      </w:r>
      <w:r>
        <w:rPr>
          <w:rFonts w:ascii="Arial" w:hAnsi="Arial" w:cs="Arial"/>
          <w:sz w:val="22"/>
          <w:szCs w:val="22"/>
        </w:rPr>
        <w:t xml:space="preserve">, </w:t>
      </w:r>
      <w:r>
        <w:rPr>
          <w:rFonts w:ascii="Arial" w:hAnsi="Arial" w:cs="Arial"/>
          <w:sz w:val="22"/>
          <w:szCs w:val="22"/>
        </w:rPr>
        <w:t>o Cont</w:t>
      </w:r>
      <w:r>
        <w:rPr>
          <w:rFonts w:ascii="Arial" w:hAnsi="Arial" w:cs="Arial"/>
          <w:sz w:val="22"/>
          <w:szCs w:val="22"/>
        </w:rPr>
        <w:t xml:space="preserve">rato de Alienação Fiduciária e </w:t>
      </w:r>
      <w:r>
        <w:rPr>
          <w:rFonts w:ascii="Arial" w:hAnsi="Arial" w:cs="Arial"/>
          <w:sz w:val="22"/>
          <w:szCs w:val="22"/>
        </w:rPr>
        <w:t>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97"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97"/>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w:t>
      </w:r>
      <w:r>
        <w:rPr>
          <w:rFonts w:ascii="Arial" w:eastAsia="Arial Unicode MS" w:hAnsi="Arial" w:cs="Arial"/>
          <w:sz w:val="22"/>
          <w:szCs w:val="22"/>
        </w:rPr>
        <w:t xml:space="preserve"> Contrato de Alienação Fiduciária e </w:t>
      </w:r>
      <w:r>
        <w:rPr>
          <w:rFonts w:ascii="Arial" w:eastAsia="Arial Unicode MS" w:hAnsi="Arial" w:cs="Arial"/>
          <w:sz w:val="22"/>
          <w:szCs w:val="22"/>
        </w:rPr>
        <w:t>ao</w:t>
      </w:r>
      <w:r>
        <w:rPr>
          <w:rFonts w:ascii="Arial" w:eastAsia="Arial Unicode MS" w:hAnsi="Arial" w:cs="Arial"/>
          <w:sz w:val="22"/>
          <w:szCs w:val="22"/>
        </w:rPr>
        <w:t xml:space="preserve">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8" w:name="_Ref420334695"/>
      <w:r>
        <w:rPr>
          <w:rFonts w:ascii="Arial" w:hAnsi="Arial" w:cs="Arial"/>
          <w:sz w:val="22"/>
          <w:szCs w:val="22"/>
        </w:rPr>
        <w:t>diligenciar junto à Emissora para que esta Escritura e o Contrato de Alienação Fiduciária, e seus respectivos aditamentos sejam registrados na JUCEB e nos RTDs, adotando, no caso da omissão da Emissora, as medidas eventualmente previstas em lei;</w:t>
      </w:r>
      <w:bookmarkEnd w:id="98"/>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w:t>
      </w:r>
      <w:r>
        <w:rPr>
          <w:rFonts w:ascii="Arial" w:eastAsia="Arial Unicode MS" w:hAnsi="Arial" w:cs="Arial"/>
          <w:w w:val="0"/>
          <w:sz w:val="22"/>
          <w:szCs w:val="22"/>
        </w:rPr>
        <w:t xml:space="preserve"> e/ou pelo Fiador</w:t>
      </w:r>
      <w:r>
        <w:rPr>
          <w:rFonts w:ascii="Arial" w:eastAsia="Arial Unicode MS" w:hAnsi="Arial" w:cs="Arial"/>
          <w:w w:val="0"/>
          <w:sz w:val="22"/>
          <w:szCs w:val="22"/>
        </w:rPr>
        <w:t>, de obrigações assumidas nos Contratos da Emissão, conforme aplicável</w:t>
      </w:r>
      <w:r>
        <w:rPr>
          <w:rFonts w:ascii="Arial" w:eastAsia="Arial Unicode MS" w:hAnsi="Arial" w:cs="Arial"/>
          <w:w w:val="0"/>
          <w:sz w:val="22"/>
          <w:szCs w:val="22"/>
        </w:rPr>
        <w:t xml:space="preserve">, </w:t>
      </w:r>
      <w:r>
        <w:rPr>
          <w:rFonts w:ascii="Arial" w:eastAsia="Arial Unicode MS" w:hAnsi="Arial" w:cs="Arial"/>
          <w:w w:val="0"/>
          <w:sz w:val="22"/>
          <w:szCs w:val="22"/>
        </w:rPr>
        <w:t>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99" w:name="_Ref40198664"/>
      <w:r>
        <w:rPr>
          <w:rFonts w:ascii="Arial" w:eastAsia="Arial Unicode MS" w:hAnsi="Arial" w:cs="Arial"/>
          <w:w w:val="0"/>
          <w:sz w:val="22"/>
          <w:szCs w:val="22"/>
        </w:rPr>
        <w:t>No caso de inadimplemento de quaisquer condições da Emissão, o Agente Fiduciário deve usar de toda e qualquer medida prevista em lei</w:t>
      </w:r>
      <w:r>
        <w:rPr>
          <w:rFonts w:ascii="Arial" w:eastAsia="Arial Unicode MS" w:hAnsi="Arial" w:cs="Arial"/>
          <w:w w:val="0"/>
          <w:sz w:val="22"/>
          <w:szCs w:val="22"/>
        </w:rPr>
        <w:t xml:space="preserve">, </w:t>
      </w:r>
      <w:r>
        <w:rPr>
          <w:rFonts w:ascii="Arial" w:eastAsia="Arial Unicode MS" w:hAnsi="Arial" w:cs="Arial"/>
          <w:w w:val="0"/>
          <w:sz w:val="22"/>
          <w:szCs w:val="22"/>
        </w:rPr>
        <w:t>nos Contratos da Emissão, conforme aplicável</w:t>
      </w:r>
      <w:r>
        <w:rPr>
          <w:rFonts w:ascii="Arial" w:eastAsia="Arial Unicode MS" w:hAnsi="Arial" w:cs="Arial"/>
          <w:w w:val="0"/>
          <w:sz w:val="22"/>
          <w:szCs w:val="22"/>
        </w:rPr>
        <w:t>,</w:t>
      </w:r>
      <w:r>
        <w:rPr>
          <w:rFonts w:ascii="Arial" w:eastAsia="Arial Unicode MS" w:hAnsi="Arial" w:cs="Arial"/>
          <w:w w:val="0"/>
          <w:sz w:val="22"/>
          <w:szCs w:val="22"/>
        </w:rPr>
        <w:t xml:space="preserve"> para proteger direitos ou defender os interesses dos Debenturistas, observados os termos desta Escritura e do artigo 12 da Instrução CVM 583, incluindo, mas não se limitando a:</w:t>
      </w:r>
      <w:bookmarkEnd w:id="99"/>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w:t>
      </w:r>
      <w:r>
        <w:rPr>
          <w:rFonts w:ascii="Arial" w:eastAsia="Arial Unicode MS" w:hAnsi="Arial" w:cs="Arial"/>
          <w:w w:val="0"/>
          <w:sz w:val="22"/>
          <w:szCs w:val="22"/>
        </w:rPr>
        <w:t xml:space="preserve"> e/ou do Fiador</w:t>
      </w:r>
      <w:r>
        <w:rPr>
          <w:rFonts w:ascii="Arial" w:eastAsia="Arial Unicode MS" w:hAnsi="Arial" w:cs="Arial"/>
          <w:w w:val="0"/>
          <w:sz w:val="22"/>
          <w:szCs w:val="22"/>
        </w:rPr>
        <w:t>,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w:t>
      </w:r>
      <w:r>
        <w:rPr>
          <w:rFonts w:ascii="Arial" w:eastAsia="Arial Unicode MS" w:hAnsi="Arial" w:cs="Arial"/>
          <w:w w:val="0"/>
          <w:sz w:val="22"/>
          <w:szCs w:val="22"/>
        </w:rPr>
        <w:t xml:space="preserve"> e/ou do Fiador</w:t>
      </w:r>
      <w:r>
        <w:rPr>
          <w:rFonts w:ascii="Arial" w:eastAsia="Arial Unicode MS" w:hAnsi="Arial" w:cs="Arial"/>
          <w:w w:val="0"/>
          <w:sz w:val="22"/>
          <w:szCs w:val="22"/>
        </w:rPr>
        <w:t>,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0"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0"/>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1"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1"/>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2"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2"/>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3" w:name="_DV_M371"/>
      <w:bookmarkEnd w:id="103"/>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04" w:name="_DV_M231"/>
      <w:bookmarkStart w:id="105" w:name="_DV_M232"/>
      <w:bookmarkStart w:id="106" w:name="_DV_M240"/>
      <w:bookmarkStart w:id="107" w:name="_DV_M241"/>
      <w:bookmarkStart w:id="108" w:name="_DV_M246"/>
      <w:bookmarkStart w:id="109" w:name="_DV_M247"/>
      <w:bookmarkStart w:id="110" w:name="_DV_M248"/>
      <w:bookmarkStart w:id="111" w:name="_DV_M249"/>
      <w:bookmarkStart w:id="112" w:name="_DV_M250"/>
      <w:bookmarkStart w:id="113" w:name="_DV_M256"/>
      <w:bookmarkStart w:id="114" w:name="_DV_M257"/>
      <w:bookmarkStart w:id="115" w:name="_DV_M263"/>
      <w:bookmarkStart w:id="116" w:name="_DV_M265"/>
      <w:bookmarkStart w:id="117" w:name="_DV_M266"/>
      <w:bookmarkStart w:id="118" w:name="_DV_M267"/>
      <w:bookmarkStart w:id="119" w:name="_DV_M269"/>
      <w:bookmarkStart w:id="120" w:name="_DV_M270"/>
      <w:bookmarkStart w:id="121" w:name="_DV_M272"/>
      <w:bookmarkStart w:id="122" w:name="_DV_M273"/>
      <w:bookmarkStart w:id="123" w:name="_DV_M274"/>
      <w:bookmarkStart w:id="124" w:name="_DV_M275"/>
      <w:bookmarkStart w:id="125" w:name="_DV_M276"/>
      <w:bookmarkStart w:id="126" w:name="_DV_M277"/>
      <w:bookmarkStart w:id="127" w:name="_DV_M278"/>
      <w:bookmarkStart w:id="128" w:name="_DV_M279"/>
      <w:bookmarkStart w:id="129" w:name="_DV_M280"/>
      <w:bookmarkStart w:id="130" w:name="_DV_M281"/>
      <w:bookmarkStart w:id="131" w:name="_DV_M282"/>
      <w:bookmarkStart w:id="132" w:name="_DV_M285"/>
      <w:bookmarkStart w:id="133" w:name="_DV_M286"/>
      <w:bookmarkStart w:id="134" w:name="_DV_M287"/>
      <w:bookmarkStart w:id="135" w:name="_DV_M288"/>
      <w:bookmarkStart w:id="136" w:name="_DV_M289"/>
      <w:bookmarkStart w:id="137" w:name="_DV_M291"/>
      <w:bookmarkStart w:id="138" w:name="_DV_M293"/>
      <w:bookmarkStart w:id="139" w:name="_DV_M295"/>
      <w:bookmarkStart w:id="140" w:name="_DV_M296"/>
      <w:bookmarkStart w:id="141" w:name="_DV_M298"/>
      <w:bookmarkStart w:id="142" w:name="_DV_M300"/>
      <w:bookmarkStart w:id="143" w:name="_DV_M302"/>
      <w:bookmarkStart w:id="144" w:name="_DV_M304"/>
      <w:bookmarkStart w:id="145" w:name="_DV_M306"/>
      <w:bookmarkStart w:id="146" w:name="_DV_M308"/>
      <w:bookmarkStart w:id="147" w:name="_DV_M309"/>
      <w:bookmarkStart w:id="148" w:name="_DV_M310"/>
      <w:bookmarkStart w:id="149" w:name="_DV_M313"/>
      <w:bookmarkStart w:id="150" w:name="_DV_M315"/>
      <w:bookmarkStart w:id="151" w:name="_DV_M317"/>
      <w:bookmarkStart w:id="152" w:name="_DV_M318"/>
      <w:bookmarkStart w:id="153" w:name="_DV_M319"/>
      <w:bookmarkStart w:id="154" w:name="_DV_M320"/>
      <w:bookmarkStart w:id="155" w:name="_DV_M323"/>
      <w:bookmarkStart w:id="156" w:name="_DV_M324"/>
      <w:bookmarkStart w:id="157" w:name="_DV_M325"/>
      <w:bookmarkStart w:id="158" w:name="_DV_M326"/>
      <w:bookmarkStart w:id="159" w:name="_DV_M331"/>
      <w:bookmarkStart w:id="160" w:name="_DV_M338"/>
      <w:bookmarkStart w:id="161" w:name="_DV_M339"/>
      <w:bookmarkStart w:id="162" w:name="_DV_M343"/>
      <w:bookmarkStart w:id="163" w:name="_DV_M345"/>
      <w:bookmarkStart w:id="164" w:name="_DV_M346"/>
      <w:bookmarkStart w:id="165" w:name="_DV_M347"/>
      <w:bookmarkStart w:id="166" w:name="_DV_M348"/>
      <w:bookmarkStart w:id="167" w:name="_DV_M349"/>
      <w:bookmarkStart w:id="168" w:name="_DV_M353"/>
      <w:bookmarkStart w:id="169" w:name="_Ref4019794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Arial" w:hAnsi="Arial" w:cs="Arial"/>
          <w:b/>
          <w:iCs/>
          <w:w w:val="0"/>
          <w:sz w:val="22"/>
          <w:szCs w:val="22"/>
        </w:rPr>
        <w:t>DA ASSEMBLEIA GERAL DE DEBENTURISTAS</w:t>
      </w:r>
      <w:bookmarkEnd w:id="169"/>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0" w:name="_DV_C607"/>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171"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2"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3" w:name="_DV_M375"/>
      <w:bookmarkEnd w:id="172"/>
      <w:bookmarkEnd w:id="173"/>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dos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174"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4"/>
    </w:p>
    <w:p>
      <w:pPr>
        <w:pStyle w:val="citpet"/>
        <w:shd w:val="clear" w:color="auto" w:fill="FFFFFF"/>
        <w:tabs>
          <w:tab w:val="left" w:pos="0"/>
          <w:tab w:val="left" w:pos="709"/>
        </w:tabs>
        <w:spacing w:line="340" w:lineRule="exact"/>
        <w:ind w:left="0"/>
        <w:rPr>
          <w:rFonts w:ascii="Arial" w:hAnsi="Arial" w:cs="Arial"/>
          <w:sz w:val="22"/>
          <w:szCs w:val="22"/>
        </w:rPr>
      </w:pPr>
      <w:bookmarkStart w:id="175" w:name="_Ref392020841"/>
    </w:p>
    <w:p>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5"/>
    </w:p>
    <w:p>
      <w:pPr>
        <w:pStyle w:val="Level4"/>
        <w:widowControl w:val="0"/>
        <w:numPr>
          <w:ilvl w:val="0"/>
          <w:numId w:val="0"/>
        </w:numPr>
        <w:tabs>
          <w:tab w:val="num" w:pos="2041"/>
        </w:tabs>
        <w:spacing w:after="120" w:line="340" w:lineRule="exact"/>
        <w:ind w:left="1360"/>
        <w:outlineLvl w:val="3"/>
        <w:rPr>
          <w:rFonts w:cs="Arial"/>
          <w:sz w:val="22"/>
          <w:szCs w:val="22"/>
        </w:rPr>
      </w:pP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6"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e/ou resgate antecipado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176"/>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da Emissora, incluindo, mas não se limitando, às Controladoras,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77" w:name="_DV_M382"/>
      <w:bookmarkEnd w:id="177"/>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78" w:name="_DV_M384"/>
      <w:bookmarkStart w:id="179" w:name="_DV_M387"/>
      <w:bookmarkStart w:id="180" w:name="_DV_M393"/>
      <w:bookmarkEnd w:id="170"/>
      <w:bookmarkEnd w:id="171"/>
      <w:bookmarkEnd w:id="178"/>
      <w:bookmarkEnd w:id="179"/>
      <w:bookmarkEnd w:id="180"/>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1" w:name="_DV_M394"/>
      <w:bookmarkEnd w:id="181"/>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2" w:name="_DV_M398"/>
      <w:bookmarkStart w:id="183" w:name="_DV_M400"/>
      <w:bookmarkStart w:id="184" w:name="_DV_M401"/>
      <w:bookmarkStart w:id="185" w:name="_DV_M402"/>
      <w:bookmarkStart w:id="186" w:name="_DV_M403"/>
      <w:bookmarkStart w:id="187" w:name="_DV_M404"/>
      <w:bookmarkStart w:id="188" w:name="_DV_M405"/>
      <w:bookmarkStart w:id="189" w:name="_DV_M409"/>
      <w:bookmarkEnd w:id="182"/>
      <w:bookmarkEnd w:id="183"/>
      <w:bookmarkEnd w:id="184"/>
      <w:bookmarkEnd w:id="185"/>
      <w:bookmarkEnd w:id="186"/>
      <w:bookmarkEnd w:id="187"/>
      <w:bookmarkEnd w:id="188"/>
      <w:bookmarkEnd w:id="189"/>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90" w:name="_DV_M222"/>
      <w:bookmarkEnd w:id="190"/>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91"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1"/>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ou eventuais subcontratados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Documentos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w:t>
      </w:r>
      <w:bookmarkStart w:id="192" w:name="_GoBack"/>
      <w:bookmarkEnd w:id="192"/>
      <w:r>
        <w:rPr>
          <w:rFonts w:ascii="Arial" w:hAnsi="Arial" w:cs="Arial"/>
          <w:kern w:val="16"/>
          <w:sz w:val="22"/>
          <w:szCs w:val="22"/>
        </w:rPr>
        <w:t xml:space="preserve"> consistentes e suficientes em todos os seus aspectos; e</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Documentos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Documentos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t>
      </w: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Documentos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Documentos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193" w:name="_DV_M410"/>
      <w:bookmarkEnd w:id="193"/>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94" w:name="_DV_M165"/>
      <w:bookmarkEnd w:id="194"/>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5" w:name="_DV_M166"/>
      <w:bookmarkEnd w:id="195"/>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202"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bookmarkStart w:id="203" w:name="_DV_M468"/>
      <w:bookmarkEnd w:id="203"/>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4" w:name="_DV_M469"/>
      <w:bookmarkEnd w:id="204"/>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5" w:name="_DV_M470"/>
      <w:bookmarkStart w:id="206" w:name="_DV_M471"/>
      <w:bookmarkEnd w:id="205"/>
      <w:bookmarkEnd w:id="206"/>
      <w:r>
        <w:rPr>
          <w:rFonts w:ascii="Arial" w:eastAsia="Arial Unicode MS" w:hAnsi="Arial" w:cs="Arial"/>
          <w:w w:val="0"/>
          <w:sz w:val="22"/>
          <w:szCs w:val="22"/>
        </w:rPr>
        <w:t xml:space="preserve">E-mail: </w:t>
      </w:r>
      <w:bookmarkEnd w:id="202"/>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68"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7" w:name="_DV_M174"/>
      <w:bookmarkEnd w:id="207"/>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69"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2"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08" w:name="_DV_M182"/>
      <w:bookmarkEnd w:id="208"/>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09" w:name="_DV_M183"/>
      <w:bookmarkEnd w:id="209"/>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0" w:name="_DV_M412"/>
      <w:bookmarkEnd w:id="210"/>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11" w:name="_DV_M413"/>
      <w:bookmarkEnd w:id="211"/>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2" w:name="_DV_M414"/>
      <w:bookmarkEnd w:id="212"/>
      <w:r>
        <w:rPr>
          <w:rFonts w:ascii="Arial" w:hAnsi="Arial" w:cs="Arial"/>
          <w:sz w:val="22"/>
          <w:szCs w:val="22"/>
        </w:rPr>
        <w:t>Fica</w:t>
      </w:r>
      <w:r>
        <w:rPr>
          <w:rFonts w:ascii="Arial" w:eastAsia="Arial Unicode MS" w:hAnsi="Arial" w:cs="Arial"/>
          <w:w w:val="0"/>
          <w:sz w:val="22"/>
          <w:szCs w:val="22"/>
        </w:rPr>
        <w:t xml:space="preserve"> eleito o </w:t>
      </w:r>
      <w:bookmarkStart w:id="213" w:name="_DV_C683"/>
      <w:r>
        <w:rPr>
          <w:rFonts w:ascii="Arial" w:eastAsia="Arial Unicode MS" w:hAnsi="Arial" w:cs="Arial"/>
          <w:w w:val="0"/>
          <w:sz w:val="22"/>
          <w:szCs w:val="22"/>
        </w:rPr>
        <w:t>foro da Comarca da Cidade</w:t>
      </w:r>
      <w:bookmarkStart w:id="214" w:name="_DV_M415"/>
      <w:bookmarkEnd w:id="213"/>
      <w:bookmarkEnd w:id="214"/>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pPr>
        <w:widowControl w:val="0"/>
        <w:spacing w:line="340" w:lineRule="exact"/>
        <w:rPr>
          <w:rFonts w:ascii="Arial" w:eastAsia="Arial Unicode MS" w:hAnsi="Arial" w:cs="Arial"/>
          <w:color w:val="000000"/>
          <w:sz w:val="22"/>
          <w:szCs w:val="22"/>
        </w:rPr>
      </w:pPr>
      <w:bookmarkStart w:id="215" w:name="_DV_M416"/>
      <w:bookmarkEnd w:id="215"/>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br w:type="page"/>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footerReference w:type="even" r:id="rId73"/>
      <w:footerReference w:type="default" r:id="rId74"/>
      <w:headerReference w:type="first" r:id="rId75"/>
      <w:footerReference w:type="first" r:id="rId76"/>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BF97A" w16cid:durableId="2280D52F"/>
  <w16cid:commentId w16cid:paraId="0F3E912B" w16cid:durableId="2280D693"/>
  <w16cid:commentId w16cid:paraId="6E53DBE9" w16cid:durableId="2280D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- 36826494v6 - 12070002.459232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- 36826494v14 - 12070002.459232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- 36826494v6 - 12070002.459232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 xml:space="preserve">M I N U T A </w:t>
    </w:r>
  </w:p>
  <w:p>
    <w:pPr>
      <w:pStyle w:val="Cabealho"/>
      <w:jc w:val="right"/>
      <w:rPr>
        <w:rFonts w:ascii="Arial" w:hAnsi="Arial" w:cs="Arial"/>
        <w:b/>
        <w:sz w:val="22"/>
        <w:szCs w:val="22"/>
      </w:rPr>
    </w:pPr>
    <w:r>
      <w:rPr>
        <w:rFonts w:ascii="Arial" w:hAnsi="Arial" w:cs="Arial"/>
        <w:b/>
        <w:sz w:val="22"/>
        <w:szCs w:val="22"/>
      </w:rPr>
      <w:t>10.6.2020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8951759-BAE0-447C-8CAC-3A2EF98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yperlink" Target="mailto:katia.nozela@grupolm.com.br" TargetMode="External" Id="rId68"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image" Target="media/image3.wmf" Id="rId66" /><Relationship Type="http://schemas.openxmlformats.org/officeDocument/2006/relationships/footer" Target="footer2.xml" Id="rId74" /><Relationship Type="http://schemas.openxmlformats.org/officeDocument/2006/relationships/customXml" Target="../customXml/item5.xml" Id="rId5" /><Relationship Type="http://schemas.openxmlformats.org/officeDocument/2006/relationships/webSettings" Target="webSettings.xml" Id="rId61" /><Relationship Type="http://schemas.microsoft.com/office/2016/09/relationships/commentsIds" Target="commentsIds.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image" Target="media/image1.wmf" Id="rId64" /><Relationship Type="http://schemas.openxmlformats.org/officeDocument/2006/relationships/hyperlink" Target="mailto:cliveraldo.bastos@grupolm.com.br;%20financeiro@grupolm.com.br" TargetMode="External" Id="rId69" /><Relationship Type="http://schemas.openxmlformats.org/officeDocument/2006/relationships/fontTable" Target="fontTable.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dac.debentures@bradesco.com.br" TargetMode="External" Id="rId72"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oleObject" Target="embeddings/oleObject1.bin"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marcio.targa@grupolm.com.br" TargetMode="External" Id="rId70" /><Relationship Type="http://schemas.openxmlformats.org/officeDocument/2006/relationships/header" Target="header1.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footer" Target="footer1.xml" Id="rId73" /><Relationship Type="http://schemas.openxmlformats.org/officeDocument/2006/relationships/theme" Target="theme/theme1.xml" Id="rId78"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footer" Target="footer3.xml" Id="rId76" /><Relationship Type="http://schemas.openxmlformats.org/officeDocument/2006/relationships/customXml" Target="../customXml/item7.xml" Id="rId7" /><Relationship Type="http://schemas.openxmlformats.org/officeDocument/2006/relationships/hyperlink" Target="mailto:katia.nozela@grupolm.com.br" TargetMode="External"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 J U R _ S P ! 3 6 8 2 6 4 9 4 . 1 4 < / d o c u m e n t i d >  
     < s e n d e r i d > H S N < / s e n d e r i d >  
     < s e n d e r e m a i l > T A M B R O S A N O @ P N . C O M . B R < / s e n d e r e m a i l >  
     < l a s t m o d i f i e d > 2 0 2 0 - 0 6 - 1 2 T 0 8 : 3 9 : 0 0 . 0 0 0 0 0 0 0 - 0 3 : 0 0 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CBED1-9A76-4057-B3CE-A9AD510907C0}">
  <ds:schemaRefs>
    <ds:schemaRef ds:uri="http://schemas.openxmlformats.org/officeDocument/2006/bibliography"/>
  </ds:schemaRefs>
</ds:datastoreItem>
</file>

<file path=customXml/itemProps10.xml><?xml version="1.0" encoding="utf-8"?>
<ds:datastoreItem xmlns:ds="http://schemas.openxmlformats.org/officeDocument/2006/customXml" ds:itemID="{0FCB4E15-AA9E-4157-90BB-8EF00F645A01}">
  <ds:schemaRefs>
    <ds:schemaRef ds:uri="http://schemas.openxmlformats.org/officeDocument/2006/bibliography"/>
  </ds:schemaRefs>
</ds:datastoreItem>
</file>

<file path=customXml/itemProps11.xml><?xml version="1.0" encoding="utf-8"?>
<ds:datastoreItem xmlns:ds="http://schemas.openxmlformats.org/officeDocument/2006/customXml" ds:itemID="{77542DE7-D44B-4F38-815F-9631D43E8767}">
  <ds:schemaRefs>
    <ds:schemaRef ds:uri="http://schemas.openxmlformats.org/officeDocument/2006/bibliography"/>
  </ds:schemaRefs>
</ds:datastoreItem>
</file>

<file path=customXml/itemProps12.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13.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14.xml><?xml version="1.0" encoding="utf-8"?>
<ds:datastoreItem xmlns:ds="http://schemas.openxmlformats.org/officeDocument/2006/customXml" ds:itemID="{A379B436-536A-4B8C-A0DA-9F320BD43753}">
  <ds:schemaRefs>
    <ds:schemaRef ds:uri="http://schemas.openxmlformats.org/officeDocument/2006/bibliography"/>
  </ds:schemaRefs>
</ds:datastoreItem>
</file>

<file path=customXml/itemProps15.xml><?xml version="1.0" encoding="utf-8"?>
<ds:datastoreItem xmlns:ds="http://schemas.openxmlformats.org/officeDocument/2006/customXml" ds:itemID="{6FD54B19-B57F-40A2-994E-6187B0042A03}">
  <ds:schemaRefs>
    <ds:schemaRef ds:uri="http://schemas.openxmlformats.org/officeDocument/2006/bibliography"/>
  </ds:schemaRefs>
</ds:datastoreItem>
</file>

<file path=customXml/itemProps16.xml><?xml version="1.0" encoding="utf-8"?>
<ds:datastoreItem xmlns:ds="http://schemas.openxmlformats.org/officeDocument/2006/customXml" ds:itemID="{378384D8-B258-4FFF-B5CB-C3DBB53B174A}">
  <ds:schemaRefs>
    <ds:schemaRef ds:uri="http://schemas.openxmlformats.org/officeDocument/2006/bibliography"/>
  </ds:schemaRefs>
</ds:datastoreItem>
</file>

<file path=customXml/itemProps17.xml><?xml version="1.0" encoding="utf-8"?>
<ds:datastoreItem xmlns:ds="http://schemas.openxmlformats.org/officeDocument/2006/customXml" ds:itemID="{BC244853-B1FB-4F13-9DFC-BBA405F969F6}">
  <ds:schemaRefs>
    <ds:schemaRef ds:uri="http://schemas.openxmlformats.org/officeDocument/2006/bibliography"/>
  </ds:schemaRefs>
</ds:datastoreItem>
</file>

<file path=customXml/itemProps18.xml><?xml version="1.0" encoding="utf-8"?>
<ds:datastoreItem xmlns:ds="http://schemas.openxmlformats.org/officeDocument/2006/customXml" ds:itemID="{2E0A210D-69AB-4460-B5E3-C3BB3FF7598C}">
  <ds:schemaRefs>
    <ds:schemaRef ds:uri="http://schemas.openxmlformats.org/officeDocument/2006/bibliography"/>
  </ds:schemaRefs>
</ds:datastoreItem>
</file>

<file path=customXml/itemProps19.xml><?xml version="1.0" encoding="utf-8"?>
<ds:datastoreItem xmlns:ds="http://schemas.openxmlformats.org/officeDocument/2006/customXml" ds:itemID="{34EA7AFA-B7EE-42DB-A3B6-388687137127}">
  <ds:schemaRefs>
    <ds:schemaRef ds:uri="http://schemas.openxmlformats.org/officeDocument/2006/bibliography"/>
  </ds:schemaRefs>
</ds:datastoreItem>
</file>

<file path=customXml/itemProps2.xml><?xml version="1.0" encoding="utf-8"?>
<ds:datastoreItem xmlns:ds="http://schemas.openxmlformats.org/officeDocument/2006/customXml" ds:itemID="{9979F740-F806-4D0E-8076-67502CA33D1A}">
  <ds:schemaRefs>
    <ds:schemaRef ds:uri="http://schemas.openxmlformats.org/officeDocument/2006/bibliography"/>
  </ds:schemaRefs>
</ds:datastoreItem>
</file>

<file path=customXml/itemProps20.xml><?xml version="1.0" encoding="utf-8"?>
<ds:datastoreItem xmlns:ds="http://schemas.openxmlformats.org/officeDocument/2006/customXml" ds:itemID="{99EDB994-FE29-4722-BEBE-6173B8B31394}">
  <ds:schemaRefs>
    <ds:schemaRef ds:uri="http://schemas.openxmlformats.org/officeDocument/2006/bibliography"/>
  </ds:schemaRefs>
</ds:datastoreItem>
</file>

<file path=customXml/itemProps21.xml><?xml version="1.0" encoding="utf-8"?>
<ds:datastoreItem xmlns:ds="http://schemas.openxmlformats.org/officeDocument/2006/customXml" ds:itemID="{32018FE7-0168-4EC1-876B-4AB16CDFE565}">
  <ds:schemaRefs>
    <ds:schemaRef ds:uri="http://schemas.openxmlformats.org/officeDocument/2006/bibliography"/>
  </ds:schemaRefs>
</ds:datastoreItem>
</file>

<file path=customXml/itemProps22.xml><?xml version="1.0" encoding="utf-8"?>
<ds:datastoreItem xmlns:ds="http://schemas.openxmlformats.org/officeDocument/2006/customXml" ds:itemID="{B976DF9A-0F0C-4201-9122-C89ACCD5FA07}">
  <ds:schemaRefs>
    <ds:schemaRef ds:uri="http://schemas.openxmlformats.org/officeDocument/2006/bibliography"/>
  </ds:schemaRefs>
</ds:datastoreItem>
</file>

<file path=customXml/itemProps23.xml><?xml version="1.0" encoding="utf-8"?>
<ds:datastoreItem xmlns:ds="http://schemas.openxmlformats.org/officeDocument/2006/customXml" ds:itemID="{FC2240C5-8EF5-4151-B46C-AD6FDF1BB65F}">
  <ds:schemaRefs>
    <ds:schemaRef ds:uri="http://schemas.openxmlformats.org/officeDocument/2006/bibliography"/>
  </ds:schemaRefs>
</ds:datastoreItem>
</file>

<file path=customXml/itemProps24.xml><?xml version="1.0" encoding="utf-8"?>
<ds:datastoreItem xmlns:ds="http://schemas.openxmlformats.org/officeDocument/2006/customXml" ds:itemID="{1157CBA0-4E40-4682-9222-FCEA536DDE0E}">
  <ds:schemaRefs>
    <ds:schemaRef ds:uri="http://schemas.openxmlformats.org/officeDocument/2006/bibliography"/>
  </ds:schemaRefs>
</ds:datastoreItem>
</file>

<file path=customXml/itemProps25.xml><?xml version="1.0" encoding="utf-8"?>
<ds:datastoreItem xmlns:ds="http://schemas.openxmlformats.org/officeDocument/2006/customXml" ds:itemID="{1ED19912-283D-4D6E-BBF2-444A9EF297AA}">
  <ds:schemaRefs>
    <ds:schemaRef ds:uri="http://schemas.openxmlformats.org/officeDocument/2006/bibliography"/>
  </ds:schemaRefs>
</ds:datastoreItem>
</file>

<file path=customXml/itemProps26.xml><?xml version="1.0" encoding="utf-8"?>
<ds:datastoreItem xmlns:ds="http://schemas.openxmlformats.org/officeDocument/2006/customXml" ds:itemID="{66BE564F-01A2-4C98-9E0E-612C89EC7D14}">
  <ds:schemaRefs>
    <ds:schemaRef ds:uri="http://schemas.openxmlformats.org/officeDocument/2006/bibliography"/>
  </ds:schemaRefs>
</ds:datastoreItem>
</file>

<file path=customXml/itemProps27.xml><?xml version="1.0" encoding="utf-8"?>
<ds:datastoreItem xmlns:ds="http://schemas.openxmlformats.org/officeDocument/2006/customXml" ds:itemID="{088360D5-9554-4F8A-B96C-FE84D1242A4A}">
  <ds:schemaRefs>
    <ds:schemaRef ds:uri="http://schemas.openxmlformats.org/officeDocument/2006/bibliography"/>
  </ds:schemaRefs>
</ds:datastoreItem>
</file>

<file path=customXml/itemProps28.xml><?xml version="1.0" encoding="utf-8"?>
<ds:datastoreItem xmlns:ds="http://schemas.openxmlformats.org/officeDocument/2006/customXml" ds:itemID="{E509AC90-A54E-4B2D-9476-921CFFC20538}">
  <ds:schemaRefs>
    <ds:schemaRef ds:uri="http://schemas.openxmlformats.org/officeDocument/2006/bibliography"/>
  </ds:schemaRefs>
</ds:datastoreItem>
</file>

<file path=customXml/itemProps29.xml><?xml version="1.0" encoding="utf-8"?>
<ds:datastoreItem xmlns:ds="http://schemas.openxmlformats.org/officeDocument/2006/customXml" ds:itemID="{C930A02C-6292-487D-A864-EB077CAB99E7}">
  <ds:schemaRefs>
    <ds:schemaRef ds:uri="http://schemas.openxmlformats.org/officeDocument/2006/bibliography"/>
  </ds:schemaRefs>
</ds:datastoreItem>
</file>

<file path=customXml/itemProps3.xml><?xml version="1.0" encoding="utf-8"?>
<ds:datastoreItem xmlns:ds="http://schemas.openxmlformats.org/officeDocument/2006/customXml" ds:itemID="{1975A072-7AEC-42FA-9BBF-CF19C5611CF9}">
  <ds:schemaRefs>
    <ds:schemaRef ds:uri="http://schemas.openxmlformats.org/officeDocument/2006/bibliography"/>
  </ds:schemaRefs>
</ds:datastoreItem>
</file>

<file path=customXml/itemProps30.xml><?xml version="1.0" encoding="utf-8"?>
<ds:datastoreItem xmlns:ds="http://schemas.openxmlformats.org/officeDocument/2006/customXml" ds:itemID="{2DEE12E6-F9AC-4027-BB35-6C1D38518CBF}">
  <ds:schemaRefs>
    <ds:schemaRef ds:uri="http://schemas.openxmlformats.org/officeDocument/2006/bibliography"/>
  </ds:schemaRefs>
</ds:datastoreItem>
</file>

<file path=customXml/itemProps31.xml><?xml version="1.0" encoding="utf-8"?>
<ds:datastoreItem xmlns:ds="http://schemas.openxmlformats.org/officeDocument/2006/customXml" ds:itemID="{F312AD15-130F-44D3-AD11-CF676FB7E600}">
  <ds:schemaRefs>
    <ds:schemaRef ds:uri="http://schemas.openxmlformats.org/officeDocument/2006/bibliography"/>
  </ds:schemaRefs>
</ds:datastoreItem>
</file>

<file path=customXml/itemProps32.xml><?xml version="1.0" encoding="utf-8"?>
<ds:datastoreItem xmlns:ds="http://schemas.openxmlformats.org/officeDocument/2006/customXml" ds:itemID="{895EB799-4FE9-4BFB-A700-0760E77126FE}">
  <ds:schemaRefs>
    <ds:schemaRef ds:uri="http://schemas.openxmlformats.org/officeDocument/2006/bibliography"/>
  </ds:schemaRefs>
</ds:datastoreItem>
</file>

<file path=customXml/itemProps33.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4.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35.xml><?xml version="1.0" encoding="utf-8"?>
<ds:datastoreItem xmlns:ds="http://schemas.openxmlformats.org/officeDocument/2006/customXml" ds:itemID="{5BF82AEF-F3D5-4FEC-936E-71C6B1119C4E}">
  <ds:schemaRefs>
    <ds:schemaRef ds:uri="http://schemas.openxmlformats.org/officeDocument/2006/bibliography"/>
  </ds:schemaRefs>
</ds:datastoreItem>
</file>

<file path=customXml/itemProps36.xml><?xml version="1.0" encoding="utf-8"?>
<ds:datastoreItem xmlns:ds="http://schemas.openxmlformats.org/officeDocument/2006/customXml" ds:itemID="{46D73EE0-7358-457D-8371-293C78FF4485}">
  <ds:schemaRefs>
    <ds:schemaRef ds:uri="http://schemas.openxmlformats.org/officeDocument/2006/bibliography"/>
  </ds:schemaRefs>
</ds:datastoreItem>
</file>

<file path=customXml/itemProps37.xml><?xml version="1.0" encoding="utf-8"?>
<ds:datastoreItem xmlns:ds="http://schemas.openxmlformats.org/officeDocument/2006/customXml" ds:itemID="{89945C83-B01E-406C-B061-5A2BE471EABA}">
  <ds:schemaRefs>
    <ds:schemaRef ds:uri="http://schemas.openxmlformats.org/officeDocument/2006/bibliography"/>
  </ds:schemaRefs>
</ds:datastoreItem>
</file>

<file path=customXml/itemProps38.xml><?xml version="1.0" encoding="utf-8"?>
<ds:datastoreItem xmlns:ds="http://schemas.openxmlformats.org/officeDocument/2006/customXml" ds:itemID="{73B8C3F8-EE6C-4D73-A3CF-E000E2B2418F}">
  <ds:schemaRefs>
    <ds:schemaRef ds:uri="http://schemas.openxmlformats.org/officeDocument/2006/bibliography"/>
  </ds:schemaRefs>
</ds:datastoreItem>
</file>

<file path=customXml/itemProps39.xml><?xml version="1.0" encoding="utf-8"?>
<ds:datastoreItem xmlns:ds="http://schemas.openxmlformats.org/officeDocument/2006/customXml" ds:itemID="{4240CBFB-77F0-46CA-82BD-5FC06F86921F}">
  <ds:schemaRefs>
    <ds:schemaRef ds:uri="http://schemas.openxmlformats.org/officeDocument/2006/bibliography"/>
  </ds:schemaRefs>
</ds:datastoreItem>
</file>

<file path=customXml/itemProps4.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40.xml><?xml version="1.0" encoding="utf-8"?>
<ds:datastoreItem xmlns:ds="http://schemas.openxmlformats.org/officeDocument/2006/customXml" ds:itemID="{1B4154AA-179D-4EEF-BF53-3FB6EF717056}">
  <ds:schemaRefs>
    <ds:schemaRef ds:uri="http://schemas.openxmlformats.org/officeDocument/2006/bibliography"/>
  </ds:schemaRefs>
</ds:datastoreItem>
</file>

<file path=customXml/itemProps41.xml><?xml version="1.0" encoding="utf-8"?>
<ds:datastoreItem xmlns:ds="http://schemas.openxmlformats.org/officeDocument/2006/customXml" ds:itemID="{3A8AB072-0023-49EE-823D-9078D75E3855}">
  <ds:schemaRefs>
    <ds:schemaRef ds:uri="http://schemas.openxmlformats.org/officeDocument/2006/bibliography"/>
  </ds:schemaRefs>
</ds:datastoreItem>
</file>

<file path=customXml/itemProps42.xml><?xml version="1.0" encoding="utf-8"?>
<ds:datastoreItem xmlns:ds="http://schemas.openxmlformats.org/officeDocument/2006/customXml" ds:itemID="{7F5C4A54-B713-40B5-AC8E-9158596B5558}">
  <ds:schemaRefs>
    <ds:schemaRef ds:uri="http://schemas.openxmlformats.org/officeDocument/2006/bibliography"/>
  </ds:schemaRefs>
</ds:datastoreItem>
</file>

<file path=customXml/itemProps43.xml><?xml version="1.0" encoding="utf-8"?>
<ds:datastoreItem xmlns:ds="http://schemas.openxmlformats.org/officeDocument/2006/customXml" ds:itemID="{B6F4747B-FF4E-41B5-8C25-7F7BD6D597D1}">
  <ds:schemaRefs>
    <ds:schemaRef ds:uri="http://schemas.openxmlformats.org/officeDocument/2006/bibliography"/>
  </ds:schemaRefs>
</ds:datastoreItem>
</file>

<file path=customXml/itemProps44.xml><?xml version="1.0" encoding="utf-8"?>
<ds:datastoreItem xmlns:ds="http://schemas.openxmlformats.org/officeDocument/2006/customXml" ds:itemID="{88726639-9A24-444D-861B-C3FBD9260FB8}">
  <ds:schemaRefs>
    <ds:schemaRef ds:uri="http://schemas.openxmlformats.org/officeDocument/2006/bibliography"/>
  </ds:schemaRefs>
</ds:datastoreItem>
</file>

<file path=customXml/itemProps45.xml><?xml version="1.0" encoding="utf-8"?>
<ds:datastoreItem xmlns:ds="http://schemas.openxmlformats.org/officeDocument/2006/customXml" ds:itemID="{ACA18A62-69DA-4A36-9E8B-F698AADEF571}">
  <ds:schemaRefs>
    <ds:schemaRef ds:uri="http://schemas.openxmlformats.org/officeDocument/2006/bibliography"/>
  </ds:schemaRefs>
</ds:datastoreItem>
</file>

<file path=customXml/itemProps46.xml><?xml version="1.0" encoding="utf-8"?>
<ds:datastoreItem xmlns:ds="http://schemas.openxmlformats.org/officeDocument/2006/customXml" ds:itemID="{D92D6E85-0A27-49C5-B440-26CF429FDDCC}">
  <ds:schemaRefs>
    <ds:schemaRef ds:uri="http://schemas.openxmlformats.org/officeDocument/2006/bibliography"/>
  </ds:schemaRefs>
</ds:datastoreItem>
</file>

<file path=customXml/itemProps47.xml><?xml version="1.0" encoding="utf-8"?>
<ds:datastoreItem xmlns:ds="http://schemas.openxmlformats.org/officeDocument/2006/customXml" ds:itemID="{6F20B533-FC18-4A93-A190-4782BB566CAE}">
  <ds:schemaRefs>
    <ds:schemaRef ds:uri="http://schemas.openxmlformats.org/officeDocument/2006/bibliography"/>
  </ds:schemaRefs>
</ds:datastoreItem>
</file>

<file path=customXml/itemProps48.xml><?xml version="1.0" encoding="utf-8"?>
<ds:datastoreItem xmlns:ds="http://schemas.openxmlformats.org/officeDocument/2006/customXml" ds:itemID="{8D548321-5DF6-4CAA-A649-C7E5F3358477}">
  <ds:schemaRefs>
    <ds:schemaRef ds:uri="http://schemas.openxmlformats.org/officeDocument/2006/bibliography"/>
  </ds:schemaRefs>
</ds:datastoreItem>
</file>

<file path=customXml/itemProps49.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5.xml><?xml version="1.0" encoding="utf-8"?>
<ds:datastoreItem xmlns:ds="http://schemas.openxmlformats.org/officeDocument/2006/customXml" ds:itemID="{E7B92C9D-9DF1-4210-9A73-416FCFBF4D7B}">
  <ds:schemaRefs>
    <ds:schemaRef ds:uri="http://schemas.openxmlformats.org/officeDocument/2006/bibliography"/>
  </ds:schemaRefs>
</ds:datastoreItem>
</file>

<file path=customXml/itemProps50.xml><?xml version="1.0" encoding="utf-8"?>
<ds:datastoreItem xmlns:ds="http://schemas.openxmlformats.org/officeDocument/2006/customXml" ds:itemID="{CAA4E4CD-3E03-4BCC-BBF8-661256E936A4}">
  <ds:schemaRefs>
    <ds:schemaRef ds:uri="http://schemas.openxmlformats.org/officeDocument/2006/bibliography"/>
  </ds:schemaRefs>
</ds:datastoreItem>
</file>

<file path=customXml/itemProps51.xml><?xml version="1.0" encoding="utf-8"?>
<ds:datastoreItem xmlns:ds="http://schemas.openxmlformats.org/officeDocument/2006/customXml" ds:itemID="{660A51E6-420E-407F-917B-CE3CE48EE16C}">
  <ds:schemaRefs>
    <ds:schemaRef ds:uri="http://schemas.openxmlformats.org/officeDocument/2006/bibliography"/>
  </ds:schemaRefs>
</ds:datastoreItem>
</file>

<file path=customXml/itemProps52.xml><?xml version="1.0" encoding="utf-8"?>
<ds:datastoreItem xmlns:ds="http://schemas.openxmlformats.org/officeDocument/2006/customXml" ds:itemID="{18B2D386-1F81-417A-BBC5-1A56A3520B74}">
  <ds:schemaRefs>
    <ds:schemaRef ds:uri="http://schemas.openxmlformats.org/officeDocument/2006/bibliography"/>
  </ds:schemaRefs>
</ds:datastoreItem>
</file>

<file path=customXml/itemProps53.xml><?xml version="1.0" encoding="utf-8"?>
<ds:datastoreItem xmlns:ds="http://schemas.openxmlformats.org/officeDocument/2006/customXml" ds:itemID="{56609355-E019-4A5B-9F4D-8AF2C826127E}">
  <ds:schemaRefs>
    <ds:schemaRef ds:uri="http://schemas.openxmlformats.org/officeDocument/2006/bibliography"/>
  </ds:schemaRefs>
</ds:datastoreItem>
</file>

<file path=customXml/itemProps54.xml><?xml version="1.0" encoding="utf-8"?>
<ds:datastoreItem xmlns:ds="http://schemas.openxmlformats.org/officeDocument/2006/customXml" ds:itemID="{F2F877EF-5D03-4A9E-9D6E-CA229842413B}">
  <ds:schemaRefs>
    <ds:schemaRef ds:uri="http://schemas.openxmlformats.org/officeDocument/2006/bibliography"/>
  </ds:schemaRefs>
</ds:datastoreItem>
</file>

<file path=customXml/itemProps55.xml><?xml version="1.0" encoding="utf-8"?>
<ds:datastoreItem xmlns:ds="http://schemas.openxmlformats.org/officeDocument/2006/customXml" ds:itemID="{F7FF1EE7-8819-42BD-B2BD-3A4E8C57D3DF}">
  <ds:schemaRefs>
    <ds:schemaRef ds:uri="http://schemas.openxmlformats.org/officeDocument/2006/bibliography"/>
  </ds:schemaRefs>
</ds:datastoreItem>
</file>

<file path=customXml/itemProps56.xml><?xml version="1.0" encoding="utf-8"?>
<ds:datastoreItem xmlns:ds="http://schemas.openxmlformats.org/officeDocument/2006/customXml" ds:itemID="{EF02CB4C-0201-4231-A5C0-F63E40BB7993}">
  <ds:schemaRefs>
    <ds:schemaRef ds:uri="http://schemas.openxmlformats.org/officeDocument/2006/bibliography"/>
  </ds:schemaRefs>
</ds:datastoreItem>
</file>

<file path=customXml/itemProps57.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customXml/itemProps6.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7.xml><?xml version="1.0" encoding="utf-8"?>
<ds:datastoreItem xmlns:ds="http://schemas.openxmlformats.org/officeDocument/2006/customXml" ds:itemID="{0D3C45E9-BBD1-4E03-91FE-FD66018078BB}">
  <ds:schemaRefs>
    <ds:schemaRef ds:uri="http://schemas.openxmlformats.org/officeDocument/2006/bibliography"/>
  </ds:schemaRefs>
</ds:datastoreItem>
</file>

<file path=customXml/itemProps8.xml><?xml version="1.0" encoding="utf-8"?>
<ds:datastoreItem xmlns:ds="http://schemas.openxmlformats.org/officeDocument/2006/customXml" ds:itemID="{59920836-F7F9-431E-B061-7A44D85BFCEC}">
  <ds:schemaRefs>
    <ds:schemaRef ds:uri="http://schemas.openxmlformats.org/officeDocument/2006/bibliography"/>
  </ds:schemaRefs>
</ds:datastoreItem>
</file>

<file path=customXml/itemProps9.xml><?xml version="1.0" encoding="utf-8"?>
<ds:datastoreItem xmlns:ds="http://schemas.openxmlformats.org/officeDocument/2006/customXml" ds:itemID="{165C2D41-13BE-41DF-B184-3EEC1F48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67</Pages>
  <Words>21242</Words>
  <Characters>123136</Characters>
  <Application>Microsoft Office Word</Application>
  <DocSecurity>0</DocSecurity>
  <Lines>2462</Lines>
  <Paragraphs>1203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37</cp:revision>
  <cp:lastPrinted>2018-12-14T17:45:00Z</cp:lastPrinted>
  <dcterms:created xsi:type="dcterms:W3CDTF">2020-06-11T00:27:00Z</dcterms:created>
  <dcterms:modified xsi:type="dcterms:W3CDTF">2020-06-12T11:39:00Z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- 36826494v14 - 12070002.459232</vt:lpwstr>
  </property>
</Properties>
</file>