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40" w:lineRule="exact"/>
        <w:jc w:val="both"/>
        <w:rPr>
          <w:rFonts w:ascii="Arial Negrito" w:hAnsi="Arial Negrito" w:cs="Arial"/>
          <w:b/>
          <w:smallCaps/>
          <w:color w:val="000000"/>
          <w:sz w:val="22"/>
          <w:szCs w:val="22"/>
        </w:rPr>
      </w:pPr>
      <w:r>
        <w:rPr>
          <w:rFonts w:ascii="Arial Negrito" w:hAnsi="Arial Negrito" w:cs="Arial"/>
          <w:b/>
          <w:smallCaps/>
          <w:color w:val="000000"/>
          <w:sz w:val="22"/>
          <w:szCs w:val="22"/>
        </w:rPr>
        <w:t xml:space="preserve">INSTRUMENTO PARTICULAR DE ESCRITURA </w:t>
      </w:r>
      <w:r>
        <w:rPr>
          <w:rFonts w:ascii="Arial Negrito" w:hAnsi="Arial Negrito" w:cs="Arial"/>
          <w:b/>
          <w:smallCaps/>
          <w:sz w:val="22"/>
          <w:szCs w:val="22"/>
        </w:rPr>
        <w:t>DA</w:t>
      </w:r>
      <w:r>
        <w:rPr>
          <w:rFonts w:ascii="Arial Negrito" w:hAnsi="Arial Negrito" w:cs="Arial"/>
          <w:b/>
          <w:bCs/>
          <w:smallCaps/>
          <w:sz w:val="22"/>
          <w:szCs w:val="22"/>
        </w:rPr>
        <w:t xml:space="preserve"> 3ª (TERCEIRA) </w:t>
      </w:r>
      <w:r>
        <w:rPr>
          <w:rFonts w:ascii="Arial Negrito" w:hAnsi="Arial Negrito" w:cs="Arial"/>
          <w:b/>
          <w:smallCaps/>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Entre</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Negrito" w:hAnsi="Arial Negrito" w:cs="Arial"/>
          <w:b/>
          <w:caps/>
          <w:sz w:val="22"/>
          <w:szCs w:val="22"/>
        </w:rPr>
      </w:pPr>
      <w:r>
        <w:rPr>
          <w:rFonts w:ascii="Arial Negrito" w:hAnsi="Arial Negrito" w:cs="Arial"/>
          <w:b/>
          <w:caps/>
          <w:color w:val="000000"/>
          <w:sz w:val="22"/>
          <w:szCs w:val="22"/>
        </w:rPr>
        <w:t>LM Transportes Interestaduais Serviços e Comércio</w:t>
      </w:r>
      <w:r>
        <w:rPr>
          <w:rFonts w:ascii="Arial Negrito" w:hAnsi="Arial Negrito" w:cs="Arial"/>
          <w:b/>
          <w:caps/>
          <w:sz w:val="22"/>
          <w:szCs w:val="22"/>
        </w:rPr>
        <w:t xml:space="preserve"> S.A.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spacing w:line="340" w:lineRule="exact"/>
        <w:jc w:val="center"/>
        <w:rPr>
          <w:rFonts w:ascii="Arial Negrito" w:hAnsi="Arial Negrito" w:cs="Arial"/>
          <w:b/>
          <w:caps/>
          <w:sz w:val="22"/>
          <w:szCs w:val="22"/>
        </w:rPr>
      </w:pPr>
      <w:r>
        <w:rPr>
          <w:rFonts w:ascii="Arial Negrito" w:hAnsi="Arial Negrito" w:cs="Arial"/>
          <w:b/>
          <w:caps/>
          <w:sz w:val="22"/>
          <w:szCs w:val="22"/>
        </w:rPr>
        <w:t>Simplific Pavarini Distribuidora de Títulos e Valores Mobiliários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e</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pPr>
        <w:widowControl w:val="0"/>
        <w:spacing w:line="340" w:lineRule="exact"/>
        <w:jc w:val="center"/>
        <w:rPr>
          <w:rFonts w:ascii="Arial" w:hAnsi="Arial" w:cs="Arial"/>
          <w:b/>
          <w:bCs/>
          <w:sz w:val="22"/>
          <w:szCs w:val="22"/>
        </w:rPr>
      </w:pPr>
    </w:p>
    <w:p>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pPr>
        <w:widowControl w:val="0"/>
        <w:spacing w:line="340" w:lineRule="exact"/>
        <w:jc w:val="center"/>
        <w:rPr>
          <w:rFonts w:ascii="Arial" w:hAnsi="Arial" w:cs="Arial"/>
          <w:b/>
          <w:bCs/>
          <w:sz w:val="22"/>
          <w:szCs w:val="22"/>
        </w:rPr>
      </w:pPr>
      <w:r>
        <w:rPr>
          <w:rFonts w:ascii="Arial" w:hAnsi="Arial" w:cs="Arial"/>
          <w:b/>
          <w:bCs/>
          <w:sz w:val="22"/>
          <w:szCs w:val="22"/>
        </w:rPr>
        <w:t>15 de junho de 2020</w:t>
      </w:r>
    </w:p>
    <w:p>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40" w:lineRule="exact"/>
        <w:jc w:val="center"/>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w:t>
      </w:r>
      <w:r>
        <w:rPr>
          <w:rFonts w:ascii="Arial" w:hAnsi="Arial" w:cs="Arial"/>
          <w:i/>
          <w:snapToGrid w:val="0"/>
          <w:sz w:val="22"/>
          <w:szCs w:val="22"/>
        </w:rPr>
        <w:lastRenderedPageBreak/>
        <w:t>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bookmarkStart w:id="0" w:name="_Ref40196957"/>
      <w:r>
        <w:rPr>
          <w:rFonts w:ascii="Arial" w:hAnsi="Arial" w:cs="Arial"/>
          <w:b/>
          <w:bCs/>
          <w:sz w:val="22"/>
          <w:szCs w:val="22"/>
        </w:rPr>
        <w:t>Arquivamento e Publicação</w:t>
      </w:r>
      <w:bookmarkEnd w:id="0"/>
      <w:r>
        <w:rPr>
          <w:rFonts w:ascii="Arial" w:hAnsi="Arial" w:cs="Arial"/>
          <w:b/>
          <w:bCs/>
          <w:sz w:val="22"/>
          <w:szCs w:val="22"/>
        </w:rPr>
        <w:t xml:space="preserve"> da Ata da RCA da Emissora </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8"/>
        <w:jc w:val="both"/>
        <w:rPr>
          <w:rFonts w:ascii="Arial" w:hAnsi="Arial" w:cs="Arial"/>
          <w:b/>
          <w:bCs/>
          <w:sz w:val="22"/>
          <w:szCs w:val="22"/>
        </w:rPr>
      </w:pPr>
      <w:bookmarkStart w:id="1"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1"/>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pPr>
        <w:widowControl w:val="0"/>
        <w:spacing w:line="340" w:lineRule="exact"/>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xml:space="preserve">. Os eventuais aditamentos a esta Escritura deverão ser </w:t>
      </w:r>
      <w:r>
        <w:rPr>
          <w:rFonts w:ascii="Arial" w:hAnsi="Arial" w:cs="Arial"/>
          <w:sz w:val="22"/>
          <w:szCs w:val="22"/>
        </w:rPr>
        <w:lastRenderedPageBreak/>
        <w:t>protocolados para inscrição na JUCEB no prazo de até 3 (três) Dias Úteis contados de sua respectiva celebração</w:t>
      </w:r>
      <w:r>
        <w:rPr>
          <w:rFonts w:ascii="Arial" w:hAnsi="Arial" w:cs="Arial"/>
          <w:bCs/>
          <w:sz w:val="22"/>
          <w:szCs w:val="22"/>
        </w:rPr>
        <w:t xml:space="preserve">. </w:t>
      </w:r>
    </w:p>
    <w:p>
      <w:pPr>
        <w:widowControl w:val="0"/>
        <w:spacing w:line="340" w:lineRule="exact"/>
        <w:jc w:val="both"/>
        <w:rPr>
          <w:rFonts w:ascii="Arial" w:hAnsi="Arial" w:cs="Arial"/>
          <w:bCs/>
          <w:sz w:val="22"/>
          <w:szCs w:val="22"/>
        </w:rPr>
      </w:pPr>
    </w:p>
    <w:p>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r>
        <w:rPr>
          <w:rFonts w:ascii="Arial" w:hAnsi="Arial" w:cs="Arial"/>
          <w:i/>
          <w:sz w:val="22"/>
          <w:szCs w:val="22"/>
        </w:rPr>
        <w:t>pdf</w:t>
      </w:r>
      <w:r>
        <w:rPr>
          <w:rFonts w:ascii="Arial" w:hAnsi="Arial" w:cs="Arial"/>
          <w:sz w:val="22"/>
          <w:szCs w:val="22"/>
        </w:rPr>
        <w:t xml:space="preserve">), contendo a chancela digital de registro e arquivamento na JUCEB (i) desta Escritura até a primeira Data de Integralização; e (ii)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pPr>
        <w:widowControl w:val="0"/>
        <w:spacing w:line="340" w:lineRule="exact"/>
        <w:jc w:val="both"/>
        <w:rPr>
          <w:rFonts w:ascii="Arial" w:hAnsi="Arial" w:cs="Arial"/>
          <w:bCs/>
          <w:sz w:val="22"/>
          <w:szCs w:val="22"/>
        </w:rPr>
      </w:pPr>
    </w:p>
    <w:p>
      <w:pPr>
        <w:widowControl w:val="0"/>
        <w:numPr>
          <w:ilvl w:val="2"/>
          <w:numId w:val="4"/>
        </w:numPr>
        <w:spacing w:line="340" w:lineRule="exact"/>
        <w:ind w:hanging="1080"/>
        <w:jc w:val="both"/>
        <w:rPr>
          <w:rFonts w:ascii="Arial" w:hAnsi="Arial" w:cs="Arial"/>
          <w:b/>
          <w:i/>
          <w:sz w:val="22"/>
          <w:szCs w:val="22"/>
        </w:rPr>
      </w:pPr>
      <w:bookmarkStart w:id="2" w:name="_Ref42807839"/>
      <w:r>
        <w:rPr>
          <w:rFonts w:ascii="Arial" w:hAnsi="Arial" w:cs="Arial"/>
          <w:b/>
          <w:bCs/>
          <w:sz w:val="22"/>
          <w:szCs w:val="22"/>
        </w:rPr>
        <w:t>Constituição e Registro da Fiança</w:t>
      </w:r>
      <w:bookmarkEnd w:id="2"/>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pPr>
        <w:pStyle w:val="PargrafodaLista"/>
        <w:rPr>
          <w:rFonts w:ascii="Arial" w:hAnsi="Arial" w:cs="Arial"/>
          <w:bCs/>
          <w:sz w:val="22"/>
          <w:szCs w:val="22"/>
        </w:rPr>
      </w:pPr>
    </w:p>
    <w:p>
      <w:pPr>
        <w:widowControl w:val="0"/>
        <w:numPr>
          <w:ilvl w:val="4"/>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3 (três) Dias Úteis contados da data da respectiva assinatura, devendo ser registrados nos Cartórios </w:t>
      </w:r>
      <w:r>
        <w:rPr>
          <w:rFonts w:ascii="Arial" w:hAnsi="Arial" w:cs="Arial"/>
          <w:bCs/>
          <w:sz w:val="22"/>
          <w:szCs w:val="22"/>
        </w:rPr>
        <w:t xml:space="preserve">de </w:t>
      </w:r>
      <w:r>
        <w:rPr>
          <w:rFonts w:ascii="Arial" w:hAnsi="Arial" w:cs="Arial"/>
          <w:sz w:val="22"/>
          <w:szCs w:val="22"/>
        </w:rPr>
        <w:t xml:space="preserve">RTDs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pPr>
        <w:widowControl w:val="0"/>
        <w:spacing w:line="340" w:lineRule="exact"/>
        <w:jc w:val="both"/>
        <w:rPr>
          <w:rFonts w:ascii="Arial" w:hAnsi="Arial" w:cs="Arial"/>
          <w:bCs/>
          <w:sz w:val="22"/>
          <w:szCs w:val="22"/>
        </w:rPr>
      </w:pPr>
    </w:p>
    <w:p>
      <w:pPr>
        <w:widowControl w:val="0"/>
        <w:numPr>
          <w:ilvl w:val="4"/>
          <w:numId w:val="4"/>
        </w:numPr>
        <w:spacing w:line="340" w:lineRule="exact"/>
        <w:ind w:left="0" w:firstLine="0"/>
        <w:jc w:val="both"/>
        <w:rPr>
          <w:rFonts w:ascii="Arial" w:hAnsi="Arial" w:cs="Arial"/>
          <w:bCs/>
          <w:sz w:val="22"/>
          <w:szCs w:val="22"/>
        </w:rPr>
      </w:pPr>
      <w:bookmarkStart w:id="3"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RTDs.</w:t>
      </w:r>
      <w:bookmarkEnd w:id="3"/>
    </w:p>
    <w:p>
      <w:pPr>
        <w:widowControl w:val="0"/>
        <w:spacing w:line="340" w:lineRule="exact"/>
        <w:jc w:val="both"/>
        <w:rPr>
          <w:rFonts w:ascii="Arial" w:hAnsi="Arial" w:cs="Arial"/>
          <w:bCs/>
          <w:sz w:val="22"/>
          <w:szCs w:val="22"/>
        </w:rPr>
      </w:pPr>
    </w:p>
    <w:p>
      <w:pPr>
        <w:widowControl w:val="0"/>
        <w:numPr>
          <w:ilvl w:val="2"/>
          <w:numId w:val="4"/>
        </w:numPr>
        <w:spacing w:line="340" w:lineRule="exact"/>
        <w:ind w:hanging="1080"/>
        <w:jc w:val="both"/>
        <w:rPr>
          <w:rFonts w:ascii="Arial" w:hAnsi="Arial" w:cs="Arial"/>
          <w:b/>
          <w:i/>
          <w:sz w:val="22"/>
          <w:szCs w:val="22"/>
        </w:rPr>
      </w:pPr>
      <w:bookmarkStart w:id="4" w:name="_Ref42807873"/>
      <w:r>
        <w:rPr>
          <w:rFonts w:ascii="Arial" w:hAnsi="Arial" w:cs="Arial"/>
          <w:b/>
          <w:bCs/>
          <w:sz w:val="22"/>
          <w:szCs w:val="22"/>
        </w:rPr>
        <w:t>Constituição e Registro das Garantias Reais</w:t>
      </w:r>
      <w:bookmarkEnd w:id="4"/>
    </w:p>
    <w:p>
      <w:pPr>
        <w:widowControl w:val="0"/>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xml:space="preserve">”), administrado pela B3 S.A. – Brasil, Bolsa, Balcão, e (ii)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pPr>
        <w:spacing w:line="340" w:lineRule="exact"/>
        <w:jc w:val="both"/>
        <w:rPr>
          <w:rFonts w:ascii="Arial" w:hAnsi="Arial" w:cs="Arial"/>
          <w:sz w:val="22"/>
          <w:szCs w:val="22"/>
        </w:rPr>
      </w:pPr>
    </w:p>
    <w:p>
      <w:pPr>
        <w:pStyle w:val="PargrafodaLista"/>
        <w:numPr>
          <w:ilvl w:val="4"/>
          <w:numId w:val="4"/>
        </w:numPr>
        <w:tabs>
          <w:tab w:val="left" w:pos="709"/>
          <w:tab w:val="left" w:pos="851"/>
          <w:tab w:val="left" w:pos="1134"/>
        </w:tabs>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Cartórios de RTDs</w:t>
      </w:r>
      <w:r>
        <w:rPr>
          <w:rFonts w:ascii="Arial" w:hAnsi="Arial" w:cs="Arial"/>
          <w:sz w:val="22"/>
          <w:szCs w:val="22"/>
        </w:rPr>
        <w:t>, em até 3 (três)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pPr>
        <w:pStyle w:val="PargrafodaLista"/>
        <w:numPr>
          <w:ilvl w:val="4"/>
          <w:numId w:val="4"/>
        </w:numPr>
        <w:tabs>
          <w:tab w:val="left" w:pos="709"/>
          <w:tab w:val="left" w:pos="851"/>
          <w:tab w:val="left" w:pos="1134"/>
          <w:tab w:val="left" w:pos="2268"/>
          <w:tab w:val="left" w:pos="2410"/>
          <w:tab w:val="left" w:pos="2552"/>
          <w:tab w:val="left" w:pos="2835"/>
          <w:tab w:val="left" w:pos="4678"/>
        </w:tabs>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bookmarkStart w:id="5"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5"/>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 xml:space="preserve">de quaisquer instituições financeiras </w:t>
      </w:r>
      <w:r>
        <w:rPr>
          <w:rFonts w:ascii="Arial" w:hAnsi="Arial" w:cs="Arial"/>
          <w:sz w:val="22"/>
          <w:szCs w:val="22"/>
        </w:rPr>
        <w:lastRenderedPageBreak/>
        <w:t>integrantes do sistema de distribuição de valores mobiliários.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widowControl w:val="0"/>
        <w:spacing w:line="340" w:lineRule="exact"/>
        <w:ind w:left="1080"/>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 Segmento CETIP UTVM, sendo a liquidação financeira dos eventos de pagamento previstos nesta Escritura e a custódia eletrônica das Debêntures realizada por meio da B3.</w:t>
      </w:r>
    </w:p>
    <w:p>
      <w:pPr>
        <w:spacing w:line="288" w:lineRule="auto"/>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bookmarkStart w:id="6" w:name="_Ref394418780"/>
      <w:r>
        <w:rPr>
          <w:rFonts w:ascii="Arial" w:hAnsi="Arial" w:cs="Arial"/>
          <w:sz w:val="22"/>
          <w:szCs w:val="22"/>
        </w:rPr>
        <w:t>Não obstante o disposto na Cláusula 2.1.7.1 acima, as Debêntures poderão ser negociadas pelos Debenturistas de forma privada, fora d</w:t>
      </w:r>
      <w:bookmarkEnd w:id="6"/>
      <w:r>
        <w:rPr>
          <w:rFonts w:ascii="Arial" w:hAnsi="Arial" w:cs="Arial"/>
          <w:sz w:val="22"/>
          <w:szCs w:val="22"/>
        </w:rPr>
        <w:t>o âmbito da B3 – Segmento CETIP UTVM</w:t>
      </w:r>
      <w:bookmarkStart w:id="7" w:name="_Ref518309797"/>
      <w:r>
        <w:rPr>
          <w:rFonts w:ascii="Arial" w:hAnsi="Arial" w:cs="Arial"/>
          <w:sz w:val="22"/>
          <w:szCs w:val="22"/>
        </w:rPr>
        <w:t>.</w:t>
      </w:r>
      <w:bookmarkEnd w:id="7"/>
      <w:r>
        <w:t xml:space="preserve"> </w:t>
      </w:r>
      <w:r>
        <w:rPr>
          <w:rFonts w:ascii="Arial" w:hAnsi="Arial" w:cs="Arial"/>
          <w:sz w:val="22"/>
          <w:szCs w:val="22"/>
        </w:rPr>
        <w:t>Devendo o Debenturista vendedor comunicar ao Agente Fiduciário sobre a intenção e efetivação da negociação.</w:t>
      </w:r>
    </w:p>
    <w:p>
      <w:pPr>
        <w:widowControl w:val="0"/>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pPr>
        <w:widowControl w:val="0"/>
        <w:spacing w:line="340" w:lineRule="exact"/>
        <w:jc w:val="both"/>
        <w:rPr>
          <w:rFonts w:ascii="Arial" w:hAnsi="Arial" w:cs="Arial"/>
          <w:sz w:val="22"/>
          <w:szCs w:val="22"/>
        </w:rPr>
      </w:pPr>
    </w:p>
    <w:p>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widowControl w:val="0"/>
        <w:tabs>
          <w:tab w:val="left" w:pos="567"/>
        </w:tabs>
        <w:spacing w:line="340" w:lineRule="exact"/>
        <w:ind w:left="0"/>
        <w:jc w:val="both"/>
        <w:rPr>
          <w:rFonts w:ascii="Arial" w:hAnsi="Arial" w:cs="Arial"/>
          <w:vanish/>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Valor Total da Emissão</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pPr>
        <w:widowControl w:val="0"/>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vanish/>
          <w:sz w:val="22"/>
          <w:szCs w:val="22"/>
        </w:rPr>
      </w:pPr>
    </w:p>
    <w:p>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709"/>
        </w:tabs>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pPr>
        <w:widowControl w:val="0"/>
        <w:tabs>
          <w:tab w:val="left" w:pos="709"/>
        </w:tabs>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4"/>
        </w:numPr>
        <w:spacing w:line="340" w:lineRule="exact"/>
        <w:ind w:left="0" w:firstLine="0"/>
        <w:jc w:val="both"/>
        <w:rPr>
          <w:rFonts w:ascii="Arial" w:eastAsia="Arial Unicode MS" w:hAnsi="Arial" w:cs="Arial"/>
          <w:sz w:val="22"/>
          <w:szCs w:val="22"/>
        </w:rPr>
      </w:pPr>
      <w:bookmarkStart w:id="8"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renovação de frota.</w:t>
      </w:r>
      <w:bookmarkEnd w:id="8"/>
    </w:p>
    <w:p>
      <w:pPr>
        <w:widowControl w:val="0"/>
        <w:spacing w:line="340" w:lineRule="exact"/>
        <w:jc w:val="both"/>
        <w:rPr>
          <w:rFonts w:ascii="Arial" w:eastAsia="Arial Unicode MS"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pPr>
        <w:pStyle w:val="PargrafodaLista"/>
        <w:widowControl w:val="0"/>
        <w:spacing w:line="340" w:lineRule="exact"/>
        <w:ind w:left="0"/>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highlight w:val="yellow"/>
        </w:rPr>
      </w:pPr>
      <w:r>
        <w:rPr>
          <w:rFonts w:ascii="Arial" w:hAnsi="Arial" w:cs="Arial"/>
          <w:sz w:val="22"/>
          <w:szCs w:val="22"/>
        </w:rPr>
        <w:t xml:space="preserve">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 de </w:t>
      </w:r>
      <w:r>
        <w:rPr>
          <w:rFonts w:ascii="Arial" w:hAnsi="Arial" w:cs="Arial"/>
          <w:sz w:val="22"/>
          <w:szCs w:val="22"/>
          <w:highlight w:val="yellow"/>
        </w:rPr>
        <w:t xml:space="preserve">prévio relacionamento comercial ou creditício da Emissora e/ou de sociedades integrantes de seu grupo econômico. </w:t>
      </w:r>
      <w:r>
        <w:rPr>
          <w:rFonts w:ascii="Arial" w:hAnsi="Arial" w:cs="Arial"/>
          <w:sz w:val="22"/>
          <w:szCs w:val="22"/>
          <w:highlight w:val="yellow"/>
        </w:rPr>
        <w:t>[NOTA: Pátria, favor confirmar indicação do relacionamento prévio]</w:t>
      </w:r>
    </w:p>
    <w:p>
      <w:pPr>
        <w:widowControl w:val="0"/>
        <w:spacing w:line="340" w:lineRule="exact"/>
        <w:jc w:val="both"/>
        <w:rPr>
          <w:rFonts w:ascii="Arial" w:hAnsi="Arial" w:cs="Arial"/>
          <w:sz w:val="22"/>
          <w:szCs w:val="22"/>
        </w:rPr>
      </w:pPr>
    </w:p>
    <w:p>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w:t>
      </w:r>
      <w:r>
        <w:rPr>
          <w:rFonts w:ascii="Arial" w:hAnsi="Arial" w:cs="Arial"/>
          <w:sz w:val="22"/>
          <w:szCs w:val="22"/>
        </w:rPr>
        <w:lastRenderedPageBreak/>
        <w:t xml:space="preserve">atingido, observado que, com relação às Debêntures custodiadas na B3, o resgate será realizado de acordo com os procedimentos da B3. </w:t>
      </w:r>
    </w:p>
    <w:p>
      <w:pPr>
        <w:pStyle w:val="PargrafodaLista"/>
        <w:widowControl w:val="0"/>
        <w:spacing w:line="340" w:lineRule="exact"/>
        <w:ind w:left="0"/>
        <w:jc w:val="both"/>
        <w:rPr>
          <w:rFonts w:ascii="Arial" w:hAnsi="Arial" w:cs="Arial"/>
          <w:sz w:val="22"/>
          <w:szCs w:val="22"/>
        </w:rPr>
      </w:pPr>
    </w:p>
    <w:p>
      <w:pPr>
        <w:pStyle w:val="PargrafodaLista"/>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pPr>
        <w:pStyle w:val="PargrafodaLista"/>
        <w:widowControl w:val="0"/>
        <w:spacing w:line="340" w:lineRule="exact"/>
        <w:ind w:left="0"/>
        <w:jc w:val="both"/>
        <w:rPr>
          <w:rFonts w:ascii="Arial" w:hAnsi="Arial" w:cs="Arial"/>
          <w:sz w:val="22"/>
          <w:szCs w:val="22"/>
        </w:rPr>
      </w:pPr>
    </w:p>
    <w:p>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pPr>
        <w:widowControl w:val="0"/>
        <w:spacing w:line="340" w:lineRule="exact"/>
        <w:jc w:val="both"/>
        <w:rPr>
          <w:rFonts w:ascii="Arial" w:hAnsi="Arial" w:cs="Arial"/>
          <w:sz w:val="22"/>
          <w:szCs w:val="22"/>
        </w:rPr>
      </w:pPr>
      <w:bookmarkStart w:id="9" w:name="_DV_M4"/>
      <w:bookmarkEnd w:id="9"/>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pPr>
        <w:widowControl w:val="0"/>
        <w:spacing w:line="340" w:lineRule="exact"/>
        <w:jc w:val="both"/>
        <w:rPr>
          <w:rFonts w:ascii="Arial" w:hAnsi="Arial" w:cs="Arial"/>
          <w:sz w:val="22"/>
          <w:szCs w:val="22"/>
        </w:rPr>
      </w:pPr>
    </w:p>
    <w:p>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pPr>
        <w:widowControl w:val="0"/>
        <w:spacing w:line="340" w:lineRule="exact"/>
        <w:jc w:val="both"/>
        <w:rPr>
          <w:rFonts w:ascii="Arial" w:hAnsi="Arial" w:cs="Arial"/>
          <w:i/>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0" w:name="OLE_LINK3"/>
      <w:bookmarkStart w:id="11" w:name="OLE_LINK4"/>
      <w:r>
        <w:rPr>
          <w:rFonts w:ascii="Arial" w:hAnsi="Arial" w:cs="Arial"/>
          <w:sz w:val="22"/>
          <w:szCs w:val="22"/>
        </w:rPr>
        <w:t xml:space="preserve">óteses de vencimento antecipado e </w:t>
      </w:r>
      <w:r>
        <w:rPr>
          <w:rFonts w:ascii="Arial" w:hAnsi="Arial" w:cs="Arial"/>
          <w:color w:val="000000" w:themeColor="text1"/>
          <w:sz w:val="22"/>
          <w:szCs w:val="22"/>
        </w:rPr>
        <w:t>de resgate antecipado da totalidade das Debêntures</w:t>
      </w:r>
      <w:r>
        <w:rPr>
          <w:rFonts w:ascii="Arial" w:hAnsi="Arial" w:cs="Arial"/>
          <w:sz w:val="22"/>
          <w:szCs w:val="22"/>
        </w:rPr>
        <w:t>. Na Data de Vencimento das Debêntures ou no caso de declaração do vencimento antecipado ou do resgate antecipado total, a Emissora obriga-se a proceder ao pagamento das Debêntures pelo Valor Nominal Unitário ou saldo do Valor Nominal Unitário, conforme o caso, acrescido dos Juros Remuneratórios</w:t>
      </w:r>
      <w:bookmarkEnd w:id="10"/>
      <w:bookmarkEnd w:id="11"/>
      <w:r>
        <w:rPr>
          <w:rFonts w:ascii="Arial" w:hAnsi="Arial" w:cs="Arial"/>
          <w:sz w:val="22"/>
          <w:szCs w:val="22"/>
        </w:rPr>
        <w:t xml:space="preserve"> (conforme definido abaixo) devidos, </w:t>
      </w:r>
      <w:r>
        <w:rPr>
          <w:rFonts w:ascii="Arial" w:hAnsi="Arial" w:cs="Arial"/>
          <w:sz w:val="22"/>
          <w:szCs w:val="22"/>
        </w:rPr>
        <w:lastRenderedPageBreak/>
        <w:t>calculados na forma prevista nesta Escritura.</w:t>
      </w:r>
    </w:p>
    <w:p>
      <w:pPr>
        <w:widowControl w:val="0"/>
        <w:spacing w:line="340" w:lineRule="exact"/>
        <w:jc w:val="both"/>
        <w:rPr>
          <w:rFonts w:ascii="Arial" w:hAnsi="Arial" w:cs="Arial"/>
          <w:i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pPr>
        <w:widowControl w:val="0"/>
        <w:spacing w:line="340" w:lineRule="exact"/>
        <w:ind w:left="108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subscrição, em moeda corrente nacional, pelo seu (i) Valor Nominal Unitário na primeira Data de Integralização, ou (ii) pelo seu Valor Nominal Unitário ou saldo do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2" w:name="_DV_M117"/>
      <w:bookmarkStart w:id="13" w:name="_DV_M118"/>
      <w:bookmarkStart w:id="14" w:name="_DV_M119"/>
      <w:bookmarkEnd w:id="12"/>
      <w:bookmarkEnd w:id="13"/>
      <w:bookmarkEnd w:id="14"/>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pPr>
        <w:widowControl w:val="0"/>
        <w:spacing w:line="340" w:lineRule="exact"/>
        <w:jc w:val="both"/>
        <w:rPr>
          <w:rFonts w:ascii="Arial" w:eastAsia="Arial Unicode MS" w:hAnsi="Arial" w:cs="Arial"/>
          <w:b/>
          <w:bCs/>
          <w:sz w:val="22"/>
          <w:szCs w:val="22"/>
        </w:rPr>
      </w:pPr>
    </w:p>
    <w:p>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(“Sobretaxa”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e de </w:t>
      </w:r>
      <w:r>
        <w:rPr>
          <w:rFonts w:ascii="Arial" w:hAnsi="Arial" w:cs="Arial"/>
          <w:color w:val="000000" w:themeColor="text1"/>
          <w:sz w:val="22"/>
          <w:szCs w:val="22"/>
        </w:rPr>
        <w:t>resgate antecipado da totalidade das Debêntures</w:t>
      </w:r>
      <w:r>
        <w:rPr>
          <w:rFonts w:ascii="Arial" w:hAnsi="Arial" w:cs="Arial"/>
          <w:sz w:val="22"/>
          <w:szCs w:val="22"/>
        </w:rPr>
        <w:t xml:space="preserve">, que será calculado de acordo com as Cláusulas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e 5.1.3. abaixo</w:t>
      </w:r>
      <w:r>
        <w:rPr>
          <w:rFonts w:ascii="Arial" w:hAnsi="Arial" w:cs="Arial"/>
          <w:sz w:val="22"/>
          <w:szCs w:val="22"/>
        </w:rPr>
        <w:fldChar w:fldCharType="end"/>
      </w:r>
      <w:r>
        <w:rPr>
          <w:rFonts w:ascii="Arial" w:hAnsi="Arial" w:cs="Arial"/>
          <w:sz w:val="22"/>
          <w:szCs w:val="22"/>
        </w:rPr>
        <w:t xml:space="preserve">, conforme aplicável.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xml:space="preserve">. Ressalvadas as hipóteses de vencimento antecipado e de </w:t>
      </w:r>
      <w:r>
        <w:rPr>
          <w:rFonts w:ascii="Arial" w:hAnsi="Arial" w:cs="Arial"/>
          <w:color w:val="000000" w:themeColor="text1"/>
          <w:sz w:val="22"/>
          <w:szCs w:val="22"/>
        </w:rPr>
        <w:t>resgate antecipado da totalidade das Debêntures</w:t>
      </w:r>
      <w:r>
        <w:rPr>
          <w:rFonts w:ascii="Arial" w:hAnsi="Arial" w:cs="Arial"/>
          <w:sz w:val="22"/>
          <w:szCs w:val="22"/>
        </w:rPr>
        <w:t>, os Juros Remuneratórios serão pagos pela Emissora, conforme datas estipuladas no quadro abaixo, sendo o primeiro pagamento devido em 13 de agosto de 2020, e a última parcela será paga em 13 de julho de 2023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5"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lastRenderedPageBreak/>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agosto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janeiro de 2021</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abril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2023</w:t>
            </w:r>
          </w:p>
        </w:tc>
      </w:tr>
    </w:tbl>
    <w:p>
      <w:pPr>
        <w:widowControl w:val="0"/>
        <w:spacing w:line="340" w:lineRule="exact"/>
        <w:rPr>
          <w:rFonts w:ascii="Arial"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bookmarkStart w:id="16" w:name="_Ref40197244"/>
      <w:r>
        <w:rPr>
          <w:rFonts w:ascii="Arial" w:eastAsia="Arial Unicode MS" w:hAnsi="Arial" w:cs="Arial"/>
          <w:i/>
          <w:iCs/>
          <w:sz w:val="22"/>
          <w:szCs w:val="22"/>
        </w:rPr>
        <w:t>Forma de Cálculo dos Juros Remuneratórios</w:t>
      </w:r>
      <w:bookmarkEnd w:id="16"/>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J = VNe x (FatorJuros-1)</w:t>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 xml:space="preserve">FatorJuros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pPr>
        <w:widowControl w:val="0"/>
        <w:spacing w:line="340" w:lineRule="exact"/>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FatorJuros = (FatorDI x FatorSpread)</w:t>
      </w:r>
    </w:p>
    <w:p>
      <w:pPr>
        <w:pStyle w:val="PargrafodaLista"/>
        <w:widowControl w:val="0"/>
        <w:spacing w:line="340" w:lineRule="exact"/>
        <w:ind w:left="360"/>
        <w:jc w:val="center"/>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lastRenderedPageBreak/>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4"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DI</w:t>
      </w:r>
      <w:r>
        <w:rPr>
          <w:rFonts w:ascii="Arial" w:hAnsi="Arial" w:cs="Arial"/>
          <w:sz w:val="22"/>
          <w:szCs w:val="22"/>
        </w:rPr>
        <w:t xml:space="preserve"> = número total de Taxas DI, consideradas em cada Período de Capitalização, na apuração do “FatorDI”, sendo “n</w:t>
      </w:r>
      <w:r>
        <w:rPr>
          <w:rFonts w:ascii="Arial" w:hAnsi="Arial" w:cs="Arial"/>
          <w:sz w:val="22"/>
          <w:szCs w:val="22"/>
          <w:vertAlign w:val="subscript"/>
        </w:rPr>
        <w:t>DI</w:t>
      </w:r>
      <w:r>
        <w:rPr>
          <w:rFonts w:ascii="Arial" w:hAnsi="Arial" w:cs="Arial"/>
          <w:sz w:val="22"/>
          <w:szCs w:val="22"/>
        </w:rPr>
        <w:t>” um número inteiro; 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TDI</w:t>
      </w:r>
      <w:r>
        <w:rPr>
          <w:rFonts w:ascii="Arial" w:hAnsi="Arial" w:cs="Arial"/>
          <w:sz w:val="22"/>
          <w:szCs w:val="22"/>
          <w:vertAlign w:val="subscript"/>
        </w:rPr>
        <w:t>k</w:t>
      </w:r>
      <w:r>
        <w:rPr>
          <w:rFonts w:ascii="Arial" w:hAnsi="Arial" w:cs="Arial"/>
          <w:sz w:val="22"/>
          <w:szCs w:val="22"/>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DI</w:t>
      </w:r>
      <w:r>
        <w:rPr>
          <w:rFonts w:ascii="Arial" w:hAnsi="Arial" w:cs="Arial"/>
          <w:sz w:val="22"/>
          <w:szCs w:val="22"/>
          <w:vertAlign w:val="subscript"/>
        </w:rPr>
        <w:t>k</w:t>
      </w:r>
      <w:r>
        <w:rPr>
          <w:rFonts w:ascii="Arial" w:hAnsi="Arial" w:cs="Arial"/>
          <w:sz w:val="22"/>
          <w:szCs w:val="22"/>
        </w:rPr>
        <w:t xml:space="preserve"> = Taxa DI, de ordem k,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pPr>
        <w:widowControl w:val="0"/>
        <w:spacing w:line="340" w:lineRule="exact"/>
        <w:jc w:val="both"/>
        <w:rPr>
          <w:rFonts w:ascii="Arial" w:hAnsi="Arial" w:cs="Arial"/>
          <w:sz w:val="22"/>
          <w:szCs w:val="22"/>
        </w:rPr>
      </w:pPr>
    </w:p>
    <w:p>
      <w:pPr>
        <w:pStyle w:val="PargrafodaLista"/>
        <w:widowControl w:val="0"/>
        <w:spacing w:line="340" w:lineRule="exact"/>
        <w:ind w:left="0"/>
        <w:jc w:val="both"/>
        <w:rPr>
          <w:rFonts w:ascii="Arial" w:hAnsi="Arial" w:cs="Arial"/>
          <w:sz w:val="22"/>
          <w:szCs w:val="22"/>
        </w:rPr>
      </w:pPr>
      <w:r>
        <w:rPr>
          <w:rFonts w:ascii="Arial" w:hAnsi="Arial" w:cs="Arial"/>
          <w:sz w:val="22"/>
          <w:szCs w:val="22"/>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2"/>
          <w:szCs w:val="22"/>
        </w:rPr>
      </w:pPr>
    </w:p>
    <w:p>
      <w:pPr>
        <w:widowControl w:val="0"/>
        <w:jc w:val="center"/>
        <w:rPr>
          <w:rFonts w:ascii="Arial" w:hAnsi="Arial" w:cs="Arial"/>
          <w:snapToGrid w:val="0"/>
          <w:sz w:val="22"/>
          <w:szCs w:val="22"/>
        </w:rPr>
      </w:pPr>
      <w:r>
        <w:rPr>
          <w:rFonts w:ascii="Arial" w:hAnsi="Arial" w:cs="Arial"/>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pt" o:ole="">
            <v:imagedata r:id="rId66" o:title=""/>
          </v:shape>
          <o:OLEObject Type="Embed" ProgID="Equation.3" ShapeID="_x0000_i1025" DrawAspect="Content" ObjectID="_1653644880" r:id="rId67"/>
        </w:object>
      </w:r>
    </w:p>
    <w:p>
      <w:pPr>
        <w:widowControl w:val="0"/>
        <w:spacing w:line="340" w:lineRule="exact"/>
        <w:jc w:val="both"/>
        <w:rPr>
          <w:rFonts w:ascii="Arial" w:hAnsi="Arial" w:cs="Arial"/>
          <w:snapToGrid w:val="0"/>
          <w:sz w:val="22"/>
          <w:szCs w:val="22"/>
        </w:rPr>
      </w:pPr>
    </w:p>
    <w:p>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5,0000;</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 = número de Dias Úteis entre a primeira Data de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(TDI</w:t>
      </w:r>
      <w:r>
        <w:rPr>
          <w:rFonts w:ascii="Arial" w:hAnsi="Arial" w:cs="Arial"/>
          <w:sz w:val="22"/>
          <w:szCs w:val="22"/>
          <w:vertAlign w:val="subscript"/>
        </w:rPr>
        <w:t>k</w:t>
      </w:r>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efetua-se o produtório dos fatores diários [1 + (TDI</w:t>
      </w:r>
      <w:r>
        <w:rPr>
          <w:rFonts w:ascii="Arial" w:hAnsi="Arial" w:cs="Arial"/>
          <w:sz w:val="22"/>
          <w:szCs w:val="22"/>
          <w:vertAlign w:val="subscript"/>
        </w:rPr>
        <w:t>k</w:t>
      </w:r>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pPr>
        <w:widowControl w:val="0"/>
        <w:spacing w:line="340" w:lineRule="exact"/>
        <w:jc w:val="center"/>
        <w:rPr>
          <w:rFonts w:ascii="Arial" w:hAnsi="Arial" w:cs="Arial"/>
          <w:b/>
          <w:bCs/>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7"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7"/>
      <w:r>
        <w:rPr>
          <w:rFonts w:ascii="Arial" w:hAnsi="Arial" w:cs="Arial"/>
          <w:sz w:val="22"/>
          <w:szCs w:val="22"/>
        </w:rPr>
        <w:t xml:space="preserve">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18"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18"/>
    </w:p>
    <w:p>
      <w:pPr>
        <w:pStyle w:val="Recuodecorpodetexto"/>
        <w:widowControl w:val="0"/>
        <w:autoSpaceDE w:val="0"/>
        <w:autoSpaceDN w:val="0"/>
        <w:adjustRightInd w:val="0"/>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incluindo mas não limitado,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19" w:name="_DV_C292"/>
      <w:bookmarkEnd w:id="19"/>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Amortização</w:t>
      </w:r>
      <w:bookmarkStart w:id="20" w:name="_DV_M112"/>
      <w:bookmarkStart w:id="21" w:name="_DV_M126"/>
      <w:bookmarkStart w:id="22" w:name="_DV_M132"/>
      <w:bookmarkStart w:id="23" w:name="_DV_M138"/>
      <w:bookmarkEnd w:id="20"/>
      <w:bookmarkEnd w:id="21"/>
      <w:bookmarkEnd w:id="22"/>
      <w:bookmarkEnd w:id="23"/>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em 13 de julho de 2023, conforme quadro abaixo (cada uma, uma “</w:t>
      </w:r>
      <w:r>
        <w:rPr>
          <w:rFonts w:ascii="Arial" w:hAnsi="Arial" w:cs="Arial"/>
          <w:sz w:val="22"/>
          <w:szCs w:val="22"/>
          <w:u w:val="single"/>
        </w:rPr>
        <w:t>Data de Amortização</w:t>
      </w:r>
      <w:r>
        <w:rPr>
          <w:rFonts w:ascii="Arial" w:hAnsi="Arial" w:cs="Arial"/>
          <w:sz w:val="22"/>
          <w:szCs w:val="22"/>
        </w:rPr>
        <w:t xml:space="preserve">”), ressalvadas as hipóteses de vencimento antecipado e de </w:t>
      </w:r>
      <w:r>
        <w:rPr>
          <w:rFonts w:ascii="Arial" w:hAnsi="Arial" w:cs="Arial"/>
          <w:color w:val="000000" w:themeColor="text1"/>
          <w:sz w:val="22"/>
          <w:szCs w:val="22"/>
        </w:rPr>
        <w:t>resgate antecipado da totalidade das Debêntures</w:t>
      </w:r>
      <w:r>
        <w:rPr>
          <w:rFonts w:ascii="Arial" w:hAnsi="Arial" w:cs="Arial"/>
          <w:sz w:val="22"/>
          <w:szCs w:val="22"/>
        </w:rPr>
        <w:t>.</w:t>
      </w:r>
      <w:r>
        <w:rPr>
          <w:rFonts w:ascii="Arial" w:hAnsi="Arial" w:cs="Arial"/>
          <w:sz w:val="22"/>
          <w:szCs w:val="22"/>
          <w:highlight w:val="yellow"/>
        </w:rPr>
        <w:t xml:space="preserve"> </w:t>
      </w:r>
    </w:p>
    <w:p>
      <w:pPr>
        <w:widowControl w:val="0"/>
        <w:spacing w:line="340" w:lineRule="exact"/>
        <w:jc w:val="both"/>
        <w:rPr>
          <w:rFonts w:ascii="Arial" w:hAnsi="Arial" w:cs="Arial"/>
          <w:sz w:val="22"/>
          <w:szCs w:val="22"/>
        </w:rPr>
      </w:pPr>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944"/>
      </w:tblGrid>
      <w:tr>
        <w:trPr>
          <w:trHeight w:val="20"/>
        </w:trPr>
        <w:tc>
          <w:tcPr>
            <w:tcW w:w="2248" w:type="pct"/>
            <w:shd w:val="clear" w:color="000000" w:fill="D8D8D8"/>
            <w:noWrap/>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2021</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2021</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2022</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248"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2023</w:t>
            </w:r>
          </w:p>
        </w:tc>
        <w:tc>
          <w:tcPr>
            <w:tcW w:w="2752" w:type="pct"/>
            <w:shd w:val="clear" w:color="auto" w:fill="auto"/>
            <w:noWrap/>
          </w:tcPr>
          <w:p>
            <w:pPr>
              <w:jc w:val="center"/>
              <w:rPr>
                <w:rFonts w:ascii="Arial" w:hAnsi="Arial" w:cs="Arial"/>
                <w:sz w:val="22"/>
                <w:szCs w:val="22"/>
              </w:rPr>
            </w:pPr>
            <w:r>
              <w:rPr>
                <w:rFonts w:ascii="Arial" w:hAnsi="Arial" w:cs="Arial"/>
                <w:sz w:val="22"/>
                <w:szCs w:val="22"/>
              </w:rPr>
              <w:t>15,0000%</w:t>
            </w:r>
          </w:p>
        </w:tc>
      </w:tr>
    </w:tbl>
    <w:p>
      <w:pPr>
        <w:widowControl w:val="0"/>
        <w:spacing w:line="340" w:lineRule="exact"/>
        <w:ind w:left="540"/>
        <w:jc w:val="both"/>
        <w:rPr>
          <w:rFonts w:ascii="Arial" w:hAnsi="Arial" w:cs="Arial"/>
          <w:b/>
          <w:iCs/>
          <w:w w:val="0"/>
          <w:sz w:val="22"/>
          <w:szCs w:val="22"/>
        </w:rPr>
      </w:pPr>
    </w:p>
    <w:p>
      <w:pPr>
        <w:widowControl w:val="0"/>
        <w:numPr>
          <w:ilvl w:val="1"/>
          <w:numId w:val="4"/>
        </w:numPr>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24" w:name="_DV_M139"/>
      <w:bookmarkEnd w:id="24"/>
    </w:p>
    <w:p>
      <w:pPr>
        <w:widowControl w:val="0"/>
        <w:spacing w:line="340" w:lineRule="exact"/>
        <w:ind w:left="720"/>
        <w:jc w:val="both"/>
        <w:rPr>
          <w:rFonts w:ascii="Arial" w:hAnsi="Arial" w:cs="Arial"/>
          <w:b/>
          <w:iCs/>
          <w:w w:val="0"/>
          <w:sz w:val="22"/>
          <w:szCs w:val="22"/>
        </w:rPr>
      </w:pPr>
    </w:p>
    <w:p>
      <w:pPr>
        <w:widowControl w:val="0"/>
        <w:numPr>
          <w:ilvl w:val="2"/>
          <w:numId w:val="4"/>
        </w:numPr>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25" w:name="_DV_M140"/>
      <w:bookmarkEnd w:id="25"/>
    </w:p>
    <w:p>
      <w:pPr>
        <w:widowControl w:val="0"/>
        <w:spacing w:line="340" w:lineRule="exact"/>
        <w:jc w:val="both"/>
        <w:rPr>
          <w:rFonts w:ascii="Arial" w:hAnsi="Arial" w:cs="Arial"/>
          <w:b/>
          <w:iCs/>
          <w:w w:val="0"/>
          <w:sz w:val="22"/>
          <w:szCs w:val="22"/>
        </w:rPr>
      </w:pPr>
    </w:p>
    <w:p>
      <w:pPr>
        <w:widowControl w:val="0"/>
        <w:numPr>
          <w:ilvl w:val="3"/>
          <w:numId w:val="4"/>
        </w:numPr>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6" w:name="_Ref40197291"/>
      <w:r>
        <w:rPr>
          <w:rFonts w:ascii="Arial" w:eastAsia="Arial Unicode MS" w:hAnsi="Arial" w:cs="Arial"/>
          <w:w w:val="0"/>
          <w:sz w:val="22"/>
          <w:szCs w:val="22"/>
        </w:rPr>
        <w:lastRenderedPageBreak/>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6"/>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7" w:name="_DV_M143"/>
      <w:bookmarkEnd w:id="27"/>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pPr>
        <w:widowControl w:val="0"/>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28" w:name="_DV_M144"/>
      <w:bookmarkEnd w:id="28"/>
      <w:r>
        <w:rPr>
          <w:rFonts w:ascii="Arial" w:eastAsia="Arial Unicode MS" w:hAnsi="Arial" w:cs="Arial"/>
          <w:w w:val="0"/>
          <w:sz w:val="22"/>
          <w:szCs w:val="22"/>
        </w:rPr>
        <w:t xml:space="preserve">Considerar-se-ão automaticamente </w:t>
      </w:r>
      <w:bookmarkStart w:id="29" w:name="_DV_C294"/>
      <w:r>
        <w:rPr>
          <w:rFonts w:ascii="Arial" w:eastAsia="Arial Unicode MS" w:hAnsi="Arial" w:cs="Arial"/>
          <w:w w:val="0"/>
          <w:sz w:val="22"/>
          <w:szCs w:val="22"/>
        </w:rPr>
        <w:t xml:space="preserve">prorrogadas as datas de pagamento de qualquer obrigação prevista nesta Escritura </w:t>
      </w:r>
      <w:bookmarkStart w:id="30" w:name="_DV_M145"/>
      <w:bookmarkEnd w:id="29"/>
      <w:bookmarkEnd w:id="30"/>
      <w:r>
        <w:rPr>
          <w:rFonts w:ascii="Arial" w:eastAsia="Arial Unicode MS" w:hAnsi="Arial" w:cs="Arial"/>
          <w:w w:val="0"/>
          <w:sz w:val="22"/>
          <w:szCs w:val="22"/>
        </w:rPr>
        <w:t xml:space="preserve">até o primeiro Dia Útil subsequente, se </w:t>
      </w:r>
      <w:bookmarkStart w:id="31" w:name="_DV_C296"/>
      <w:r>
        <w:rPr>
          <w:rFonts w:ascii="Arial" w:eastAsia="Arial Unicode MS" w:hAnsi="Arial" w:cs="Arial"/>
          <w:w w:val="0"/>
          <w:sz w:val="22"/>
          <w:szCs w:val="22"/>
        </w:rPr>
        <w:t xml:space="preserve">a data de </w:t>
      </w:r>
      <w:bookmarkStart w:id="32" w:name="_DV_M146"/>
      <w:bookmarkEnd w:id="31"/>
      <w:bookmarkEnd w:id="32"/>
      <w:r>
        <w:rPr>
          <w:rFonts w:ascii="Arial" w:eastAsia="Arial Unicode MS" w:hAnsi="Arial" w:cs="Arial"/>
          <w:w w:val="0"/>
          <w:sz w:val="22"/>
          <w:szCs w:val="22"/>
        </w:rPr>
        <w:t>vencimento da respectiva obrigação coincidir com um dia que não seja Dia Útil, sem</w:t>
      </w:r>
      <w:bookmarkStart w:id="33" w:name="_DV_M147"/>
      <w:bookmarkEnd w:id="33"/>
      <w:r>
        <w:rPr>
          <w:rFonts w:ascii="Arial" w:eastAsia="Arial Unicode MS" w:hAnsi="Arial" w:cs="Arial"/>
          <w:w w:val="0"/>
          <w:sz w:val="22"/>
          <w:szCs w:val="22"/>
        </w:rPr>
        <w:t xml:space="preserve"> qualquer acréscimo</w:t>
      </w:r>
      <w:bookmarkStart w:id="34" w:name="_DV_M148"/>
      <w:bookmarkEnd w:id="34"/>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i/>
          <w:w w:val="0"/>
          <w:sz w:val="22"/>
          <w:szCs w:val="22"/>
        </w:rPr>
      </w:pPr>
      <w:bookmarkStart w:id="35" w:name="_DV_M149"/>
      <w:bookmarkEnd w:id="35"/>
      <w:r>
        <w:rPr>
          <w:rFonts w:ascii="Arial" w:hAnsi="Arial" w:cs="Arial"/>
          <w:bCs/>
          <w:i/>
          <w:w w:val="0"/>
          <w:sz w:val="22"/>
          <w:szCs w:val="22"/>
        </w:rPr>
        <w:t>Direito ao Recebimento dos Pagamentos e Decadência dos Acréscimos</w:t>
      </w:r>
    </w:p>
    <w:p>
      <w:pPr>
        <w:widowControl w:val="0"/>
        <w:spacing w:line="340" w:lineRule="exact"/>
        <w:ind w:left="1418"/>
        <w:jc w:val="both"/>
        <w:rPr>
          <w:rFonts w:ascii="Arial" w:hAnsi="Arial" w:cs="Arial"/>
          <w:bCs/>
          <w:i/>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36"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6"/>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r>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widowControl w:val="0"/>
        <w:numPr>
          <w:ilvl w:val="3"/>
          <w:numId w:val="4"/>
        </w:numPr>
        <w:spacing w:line="340" w:lineRule="exact"/>
        <w:ind w:left="0" w:firstLine="0"/>
        <w:jc w:val="both"/>
        <w:rPr>
          <w:rFonts w:ascii="Arial" w:eastAsia="Arial Unicode MS" w:hAnsi="Arial" w:cs="Arial"/>
          <w:w w:val="0"/>
          <w:sz w:val="22"/>
          <w:szCs w:val="22"/>
        </w:rPr>
      </w:pPr>
      <w:bookmarkStart w:id="37" w:name="_DV_M150"/>
      <w:bookmarkEnd w:id="37"/>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1"/>
          <w:numId w:val="4"/>
        </w:numPr>
        <w:spacing w:line="340" w:lineRule="exact"/>
        <w:ind w:hanging="720"/>
        <w:jc w:val="both"/>
        <w:rPr>
          <w:rFonts w:ascii="Arial" w:hAnsi="Arial" w:cs="Arial"/>
          <w:b/>
          <w:w w:val="0"/>
          <w:sz w:val="22"/>
          <w:szCs w:val="22"/>
        </w:rPr>
      </w:pPr>
      <w:bookmarkStart w:id="38" w:name="_DV_M154"/>
      <w:bookmarkStart w:id="39" w:name="_DV_M155"/>
      <w:bookmarkStart w:id="40" w:name="_DV_M159"/>
      <w:bookmarkStart w:id="41" w:name="_Ref40198971"/>
      <w:bookmarkEnd w:id="15"/>
      <w:bookmarkEnd w:id="38"/>
      <w:bookmarkEnd w:id="39"/>
      <w:bookmarkEnd w:id="40"/>
      <w:r>
        <w:rPr>
          <w:rFonts w:ascii="Arial" w:hAnsi="Arial" w:cs="Arial"/>
          <w:b/>
          <w:w w:val="0"/>
          <w:sz w:val="22"/>
          <w:szCs w:val="22"/>
        </w:rPr>
        <w:t>Publicidade</w:t>
      </w:r>
      <w:bookmarkStart w:id="42" w:name="_DV_M161"/>
      <w:bookmarkEnd w:id="41"/>
      <w:bookmarkEnd w:id="42"/>
    </w:p>
    <w:p>
      <w:pPr>
        <w:widowControl w:val="0"/>
        <w:spacing w:line="340" w:lineRule="exact"/>
        <w:ind w:left="720"/>
        <w:jc w:val="both"/>
        <w:rPr>
          <w:rFonts w:ascii="Arial" w:hAnsi="Arial" w:cs="Arial"/>
          <w:b/>
          <w:w w:val="0"/>
          <w:sz w:val="22"/>
          <w:szCs w:val="22"/>
        </w:rPr>
      </w:pPr>
    </w:p>
    <w:p>
      <w:pPr>
        <w:widowControl w:val="0"/>
        <w:numPr>
          <w:ilvl w:val="2"/>
          <w:numId w:val="4"/>
        </w:numPr>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Pr>
          <w:rFonts w:ascii="Arial" w:eastAsia="Arial Unicode MS" w:hAnsi="Arial" w:cs="Arial"/>
          <w:w w:val="0"/>
          <w:sz w:val="22"/>
          <w:szCs w:val="22"/>
        </w:rPr>
        <w:t>.</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w w:val="0"/>
          <w:sz w:val="22"/>
          <w:szCs w:val="22"/>
        </w:rPr>
      </w:pPr>
      <w:bookmarkStart w:id="43"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3"/>
      <w:r>
        <w:rPr>
          <w:rFonts w:ascii="Arial" w:eastAsia="Arial Unicode MS" w:hAnsi="Arial" w:cs="Arial"/>
          <w:b/>
          <w:bCs/>
          <w:w w:val="0"/>
          <w:sz w:val="22"/>
          <w:szCs w:val="22"/>
        </w:rPr>
        <w:t xml:space="preserve"> – Fiança</w:t>
      </w:r>
    </w:p>
    <w:p>
      <w:pPr>
        <w:widowControl w:val="0"/>
        <w:spacing w:line="340" w:lineRule="exact"/>
        <w:ind w:left="540"/>
        <w:jc w:val="both"/>
        <w:rPr>
          <w:rFonts w:ascii="Arial" w:eastAsia="Arial Unicode MS" w:hAnsi="Arial" w:cs="Arial"/>
          <w:b/>
          <w:bCs/>
          <w:w w:val="0"/>
          <w:sz w:val="22"/>
          <w:szCs w:val="22"/>
        </w:rPr>
      </w:pPr>
    </w:p>
    <w:p>
      <w:pPr>
        <w:widowControl w:val="0"/>
        <w:numPr>
          <w:ilvl w:val="2"/>
          <w:numId w:val="4"/>
        </w:numPr>
        <w:spacing w:line="340" w:lineRule="exact"/>
        <w:ind w:left="0" w:firstLine="0"/>
        <w:jc w:val="both"/>
        <w:rPr>
          <w:rFonts w:ascii="Arial" w:hAnsi="Arial" w:cs="Arial"/>
          <w:sz w:val="22"/>
          <w:szCs w:val="22"/>
        </w:rPr>
      </w:pPr>
      <w:bookmarkStart w:id="44"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w:t>
      </w:r>
      <w:r>
        <w:rPr>
          <w:rFonts w:ascii="Arial" w:hAnsi="Arial" w:cs="Arial"/>
          <w:sz w:val="22"/>
          <w:szCs w:val="22"/>
        </w:rPr>
        <w:lastRenderedPageBreak/>
        <w:t xml:space="preserve">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44"/>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w:t>
      </w:r>
      <w:r>
        <w:rPr>
          <w:rFonts w:ascii="Arial" w:hAnsi="Arial" w:cs="Arial"/>
          <w:sz w:val="22"/>
          <w:szCs w:val="22"/>
        </w:rPr>
        <w:lastRenderedPageBreak/>
        <w:t xml:space="preserve">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pPr>
        <w:widowControl w:val="0"/>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lastRenderedPageBreak/>
        <w:t>A Fiança permanecerá válida e plenamente eficaz, em caso de aditamentos, alterações e quaisquer outras modificações das condições fixadas nesta Escritura e/ou no Contrato de Alienação Fiduciária.</w:t>
      </w:r>
    </w:p>
    <w:p>
      <w:pPr>
        <w:widowControl w:val="0"/>
        <w:spacing w:line="340" w:lineRule="exact"/>
        <w:jc w:val="both"/>
        <w:rPr>
          <w:rFonts w:ascii="Arial" w:eastAsia="Arial Unicode MS" w:hAnsi="Arial" w:cs="Arial"/>
          <w:bCs/>
          <w:w w:val="0"/>
          <w:sz w:val="22"/>
          <w:szCs w:val="22"/>
        </w:rPr>
      </w:pPr>
    </w:p>
    <w:p>
      <w:pPr>
        <w:widowControl w:val="0"/>
        <w:numPr>
          <w:ilvl w:val="1"/>
          <w:numId w:val="4"/>
        </w:numPr>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pPr>
        <w:pStyle w:val="PargrafodaLista"/>
        <w:widowControl w:val="0"/>
        <w:spacing w:line="340" w:lineRule="exact"/>
        <w:jc w:val="both"/>
        <w:rPr>
          <w:rFonts w:ascii="Arial" w:eastAsia="Arial Unicode MS" w:hAnsi="Arial" w:cs="Arial"/>
          <w:b/>
          <w:bCs/>
          <w:i/>
          <w:w w:val="0"/>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A Emissora e o Fiador deverão, constituir a alienação fiduciária sobre os veículos de sua respectiva titularidade, em valor mínimo correspondente a 80% (oitenta por cento) do saldo devedor do Valor Total da Emissão efetivamente subscrito e integralizado, acrescido dos Juros Remuneratórios e, se for o caso, dos Encargos Moratórios e demais despesas, devidos nos termos desta Escritura, do Contrato de Alienação Fiduciária e do Contrato de Depósito,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pPr>
        <w:widowControl w:val="0"/>
        <w:tabs>
          <w:tab w:val="left" w:pos="851"/>
        </w:tabs>
        <w:spacing w:line="340" w:lineRule="exact"/>
        <w:jc w:val="both"/>
        <w:rPr>
          <w:rFonts w:ascii="Arial" w:eastAsia="Arial Unicode MS" w:hAnsi="Arial" w:cs="Arial"/>
          <w:bCs/>
          <w:w w:val="0"/>
          <w:sz w:val="22"/>
          <w:szCs w:val="22"/>
        </w:rPr>
      </w:pPr>
    </w:p>
    <w:p>
      <w:pPr>
        <w:widowControl w:val="0"/>
        <w:numPr>
          <w:ilvl w:val="2"/>
          <w:numId w:val="4"/>
        </w:numPr>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da Conta Vinculada</w:t>
      </w:r>
      <w:r>
        <w:rPr>
          <w:rFonts w:ascii="Arial" w:hAnsi="Arial" w:cs="Arial"/>
          <w:sz w:val="22"/>
          <w:szCs w:val="22"/>
        </w:rPr>
        <w:t>”); e (ii)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dos Investimentos Permitidos</w:t>
      </w:r>
      <w:r>
        <w:rPr>
          <w:rFonts w:ascii="Arial" w:hAnsi="Arial" w:cs="Arial"/>
          <w:sz w:val="22"/>
          <w:szCs w:val="22"/>
        </w:rPr>
        <w:t>” e, em conjunto com os Direitos Creditórios da Conta Vinculada,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pPr>
        <w:widowControl w:val="0"/>
        <w:tabs>
          <w:tab w:val="left" w:pos="851"/>
        </w:tabs>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pPr>
        <w:pStyle w:val="Celso1"/>
        <w:spacing w:line="340" w:lineRule="exact"/>
        <w:rPr>
          <w:rFonts w:ascii="Arial" w:hAnsi="Arial" w:cs="Arial"/>
          <w:sz w:val="22"/>
          <w:szCs w:val="22"/>
        </w:rPr>
      </w:pPr>
    </w:p>
    <w:p>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Fica certo e ajustado o caráter não excludente, mas, se e quando aplicável, cumulativo entre si, da Fiança, da Alienação Fiduciária, nos termos desta Escritura, do Contrato de Alienação Fiduciária, podendo o Agente Fiduciário executar ou excutir todas ou cada uma delas indiscriminadamente, em qualquer ordem, para os fins de amortizar </w:t>
      </w:r>
      <w:r>
        <w:rPr>
          <w:rFonts w:ascii="Arial" w:hAnsi="Arial" w:cs="Arial"/>
          <w:sz w:val="22"/>
          <w:szCs w:val="22"/>
        </w:rPr>
        <w:lastRenderedPageBreak/>
        <w:t>ou quitar com as Obrigações Garantidas.</w:t>
      </w:r>
    </w:p>
    <w:p>
      <w:pPr>
        <w:pStyle w:val="Celso1"/>
        <w:spacing w:line="340" w:lineRule="exact"/>
        <w:rPr>
          <w:rFonts w:ascii="Arial" w:hAnsi="Arial" w:cs="Arial"/>
          <w:sz w:val="22"/>
          <w:szCs w:val="22"/>
        </w:rPr>
      </w:pPr>
    </w:p>
    <w:p>
      <w:pPr>
        <w:widowControl w:val="0"/>
        <w:numPr>
          <w:ilvl w:val="0"/>
          <w:numId w:val="4"/>
        </w:numPr>
        <w:tabs>
          <w:tab w:val="left" w:pos="851"/>
        </w:tabs>
        <w:spacing w:line="340" w:lineRule="exact"/>
        <w:ind w:left="0" w:firstLine="0"/>
        <w:jc w:val="both"/>
        <w:rPr>
          <w:rFonts w:ascii="Arial" w:hAnsi="Arial" w:cs="Arial"/>
          <w:b/>
          <w:i/>
          <w:w w:val="0"/>
          <w:sz w:val="22"/>
          <w:szCs w:val="22"/>
        </w:rPr>
      </w:pPr>
      <w:bookmarkStart w:id="45" w:name="_DV_M164"/>
      <w:bookmarkStart w:id="46" w:name="_DV_M184"/>
      <w:bookmarkStart w:id="47" w:name="_DV_M115"/>
      <w:bookmarkStart w:id="48" w:name="_DV_M186"/>
      <w:bookmarkStart w:id="49" w:name="_DV_M187"/>
      <w:bookmarkEnd w:id="45"/>
      <w:bookmarkEnd w:id="46"/>
      <w:bookmarkEnd w:id="47"/>
      <w:bookmarkEnd w:id="48"/>
      <w:bookmarkEnd w:id="49"/>
      <w:r>
        <w:rPr>
          <w:rFonts w:ascii="Arial" w:hAnsi="Arial" w:cs="Arial"/>
          <w:b/>
          <w:w w:val="0"/>
          <w:sz w:val="22"/>
          <w:szCs w:val="22"/>
        </w:rPr>
        <w:t>DO RESGATE ANTECIPADO TOTAL, DA AMORTIZAÇÃO EXTRAORDINÁRIA DA AQUISIÇÃO ANTECIPADA FACULTATIVA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Total</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deverá solicitar aprovação prévia dos Debenturistas, nos termos da Cláusula 8.5.3 desta Escritura, n</w:t>
      </w:r>
      <w:r>
        <w:rPr>
          <w:rFonts w:ascii="Arial" w:hAnsi="Arial" w:cs="Arial"/>
          <w:color w:val="000000"/>
          <w:sz w:val="22"/>
          <w:szCs w:val="22"/>
        </w:rPr>
        <w:t xml:space="preserve">o caso de um evento de </w:t>
      </w:r>
      <w:r>
        <w:rPr>
          <w:rFonts w:ascii="Arial" w:hAnsi="Arial" w:cs="Arial"/>
          <w:sz w:val="22"/>
          <w:szCs w:val="22"/>
        </w:rPr>
        <w:t>mudança ou transferência de controle acionário (conforme definição de controle prevista no artigo 116 da Lei das Sociedades por Ações) direto ou indireto da Emissora e/ou do Fiador, inclusive em decorrência da realização da oferta pública inicial e subsequentes ofertas públicas de emissão de ações da Emissora (“</w:t>
      </w:r>
      <w:r>
        <w:rPr>
          <w:rFonts w:ascii="Arial" w:hAnsi="Arial" w:cs="Arial"/>
          <w:sz w:val="22"/>
          <w:szCs w:val="22"/>
          <w:u w:val="single"/>
        </w:rPr>
        <w:t>Evento de Alteração de Controle</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deverá notificar diretamente o Debenturista da ocorrência de um Evento de Alteração de Controle, </w:t>
      </w:r>
      <w:r>
        <w:rPr>
          <w:rFonts w:ascii="Arial" w:hAnsi="Arial" w:cs="Arial"/>
          <w:color w:val="000000"/>
          <w:sz w:val="22"/>
          <w:szCs w:val="22"/>
        </w:rPr>
        <w:t>por meio de comunicação por escrito, (“</w:t>
      </w:r>
      <w:r>
        <w:rPr>
          <w:rFonts w:ascii="Arial" w:hAnsi="Arial" w:cs="Arial"/>
          <w:color w:val="000000"/>
          <w:sz w:val="22"/>
          <w:szCs w:val="22"/>
          <w:u w:val="single"/>
        </w:rPr>
        <w:t xml:space="preserve">Comunicação do </w:t>
      </w:r>
      <w:r>
        <w:rPr>
          <w:rFonts w:ascii="Arial" w:hAnsi="Arial" w:cs="Arial"/>
          <w:sz w:val="22"/>
          <w:szCs w:val="22"/>
          <w:u w:val="single"/>
        </w:rPr>
        <w:t>Evento de Alteração de Controle</w:t>
      </w:r>
      <w:r>
        <w:rPr>
          <w:rFonts w:ascii="Arial" w:hAnsi="Arial" w:cs="Arial"/>
          <w:sz w:val="22"/>
          <w:szCs w:val="22"/>
        </w:rPr>
        <w:t>”)</w:t>
      </w:r>
      <w:r>
        <w:rPr>
          <w:rFonts w:ascii="Arial" w:hAnsi="Arial" w:cs="Arial"/>
          <w:color w:val="000000"/>
          <w:sz w:val="22"/>
          <w:szCs w:val="22"/>
        </w:rPr>
        <w:t xml:space="preserve">, a qual deverá descrever os principais termos do </w:t>
      </w:r>
      <w:r>
        <w:rPr>
          <w:rFonts w:ascii="Arial" w:hAnsi="Arial" w:cs="Arial"/>
          <w:sz w:val="22"/>
          <w:szCs w:val="22"/>
        </w:rPr>
        <w:t>Evento de Alteração de Controle</w:t>
      </w:r>
      <w:r>
        <w:rPr>
          <w:rFonts w:ascii="Arial" w:hAnsi="Arial" w:cs="Arial"/>
          <w:color w:val="000000"/>
          <w:sz w:val="22"/>
          <w:szCs w:val="22"/>
        </w:rPr>
        <w:t xml:space="preserve">. </w:t>
      </w:r>
    </w:p>
    <w:p>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color w:val="000000"/>
          <w:sz w:val="22"/>
          <w:szCs w:val="22"/>
        </w:rPr>
        <w:t>Os Debenturistas deverão enviar comunicação por escrito à Emissora, com cópia para o Agente Fiduciário, se manifestando sobre o seu aceite, ou não, do Evento de Alteração de Controle, no prazo de 30 (trinta) dias contado do recebimento da Comunicação do Evento de Alteração de Controle (“</w:t>
      </w:r>
      <w:r>
        <w:rPr>
          <w:rFonts w:ascii="Arial" w:hAnsi="Arial" w:cs="Arial"/>
          <w:color w:val="000000"/>
          <w:sz w:val="22"/>
          <w:szCs w:val="22"/>
          <w:u w:val="single"/>
        </w:rPr>
        <w:t>Manifestação Debenturista</w:t>
      </w:r>
      <w:r>
        <w:rPr>
          <w:rFonts w:ascii="Arial" w:hAnsi="Arial" w:cs="Arial"/>
          <w:color w:val="000000"/>
          <w:sz w:val="22"/>
          <w:szCs w:val="22"/>
        </w:rPr>
        <w:t>”).</w:t>
      </w:r>
    </w:p>
    <w:p>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Caso o Debenturistas não concorde com o Evento de Alteração de Controle, a Emissora terá o prazo de 90 (noventa) dias, contados do recebimento da Manifestação do Debenturista, para realizar o resgate antecipado total das Debêntures </w:t>
      </w:r>
      <w:r>
        <w:rPr>
          <w:rFonts w:ascii="Arial" w:hAnsi="Arial" w:cs="Arial"/>
          <w:color w:val="000000"/>
          <w:sz w:val="22"/>
          <w:szCs w:val="22"/>
        </w:rPr>
        <w:t>(“</w:t>
      </w:r>
      <w:r>
        <w:rPr>
          <w:rFonts w:ascii="Arial" w:hAnsi="Arial" w:cs="Arial"/>
          <w:color w:val="000000"/>
          <w:sz w:val="22"/>
          <w:szCs w:val="22"/>
          <w:u w:val="single"/>
        </w:rPr>
        <w:t>Resgate Antecipado Total</w:t>
      </w:r>
      <w:r>
        <w:rPr>
          <w:rFonts w:ascii="Arial" w:hAnsi="Arial" w:cs="Arial"/>
          <w:color w:val="000000"/>
          <w:sz w:val="22"/>
          <w:szCs w:val="22"/>
        </w:rPr>
        <w:t>”)</w:t>
      </w:r>
      <w:r>
        <w:rPr>
          <w:rFonts w:ascii="Arial" w:hAnsi="Arial" w:cs="Arial"/>
          <w:sz w:val="22"/>
          <w:szCs w:val="22"/>
        </w:rPr>
        <w:t xml:space="preserve">. </w:t>
      </w:r>
    </w:p>
    <w:p>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O Resgate Antecipado Total será operacionalizado por meio de comunicação por escrito enviada pela Emissora ao Agente Fiduciário e ao Debenturista com antecedência de 15 (quinze) dias da data prevista para o Resgate Antecipado Total (“</w:t>
      </w:r>
      <w:r>
        <w:rPr>
          <w:rFonts w:ascii="Arial" w:hAnsi="Arial" w:cs="Arial"/>
          <w:color w:val="000000"/>
          <w:sz w:val="22"/>
          <w:szCs w:val="22"/>
          <w:u w:val="single"/>
        </w:rPr>
        <w:t>Comunicação de Resgate Antecipado</w:t>
      </w:r>
      <w:r>
        <w:rPr>
          <w:rFonts w:ascii="Arial" w:hAnsi="Arial" w:cs="Arial"/>
          <w:color w:val="000000"/>
          <w:sz w:val="22"/>
          <w:szCs w:val="22"/>
        </w:rPr>
        <w:t xml:space="preserve">”), a qual deverá descrever os termos e condições do Resgate Antecipado das Debêntures, incluindo: (i) que o resgate será total; (ii) a data para o resgate das Debêntures e o efetivo pagamento aos Debenturistas; e (iii) o valor a ser pago aos Debenturistas </w:t>
      </w:r>
      <w:r>
        <w:rPr>
          <w:rFonts w:ascii="Arial" w:hAnsi="Arial" w:cs="Arial"/>
          <w:sz w:val="22"/>
          <w:szCs w:val="22"/>
        </w:rPr>
        <w:t>calculado de acordo com a fórmula prevista na Cláusula 5.1.3. abaixo</w:t>
      </w:r>
      <w:r>
        <w:rPr>
          <w:rFonts w:ascii="Arial" w:hAnsi="Arial" w:cs="Arial"/>
          <w:color w:val="000000"/>
          <w:sz w:val="22"/>
          <w:szCs w:val="22"/>
        </w:rPr>
        <w:t>.</w:t>
      </w:r>
    </w:p>
    <w:p>
      <w:pPr>
        <w:widowControl w:val="0"/>
        <w:spacing w:line="340" w:lineRule="exact"/>
        <w:jc w:val="both"/>
        <w:rPr>
          <w:rFonts w:ascii="Arial" w:hAnsi="Arial" w:cs="Arial"/>
          <w:color w:val="000000"/>
          <w:sz w:val="22"/>
          <w:szCs w:val="22"/>
        </w:rPr>
      </w:pPr>
    </w:p>
    <w:p>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Total será </w:t>
      </w:r>
      <w:r>
        <w:rPr>
          <w:rFonts w:ascii="Arial" w:hAnsi="Arial" w:cs="Arial"/>
          <w:sz w:val="22"/>
          <w:szCs w:val="22"/>
        </w:rPr>
        <w:t xml:space="preserve">calculado de acordo com a fórmula abaixo: </w:t>
      </w:r>
    </w:p>
    <w:p>
      <w:pPr>
        <w:widowControl w:val="0"/>
        <w:spacing w:line="340" w:lineRule="exact"/>
        <w:jc w:val="both"/>
        <w:rPr>
          <w:rFonts w:ascii="Arial" w:hAnsi="Arial" w:cs="Arial"/>
          <w:sz w:val="22"/>
          <w:szCs w:val="22"/>
          <w:u w:val="single"/>
        </w:rPr>
      </w:pPr>
    </w:p>
    <w:p>
      <w:pPr>
        <w:pStyle w:val="Level3"/>
        <w:widowControl w:val="0"/>
        <w:numPr>
          <w:ilvl w:val="0"/>
          <w:numId w:val="0"/>
        </w:numPr>
        <w:spacing w:after="120"/>
        <w:ind w:left="1418"/>
        <w:jc w:val="center"/>
        <w:rPr>
          <w:rFonts w:cs="Arial"/>
          <w:sz w:val="22"/>
          <w:szCs w:val="22"/>
        </w:rPr>
      </w:pPr>
      <w:r>
        <w:rPr>
          <w:rFonts w:cs="Arial"/>
          <w:sz w:val="22"/>
          <w:szCs w:val="22"/>
        </w:rPr>
        <w:t xml:space="preserve">RAF = </w:t>
      </w:r>
      <m:oMath>
        <m:nary>
          <m:naryPr>
            <m:chr m:val="∑"/>
            <m:limLoc m:val="undOvr"/>
            <m:ctrlPr>
              <w:rPr>
                <w:rFonts w:ascii="Cambria Math" w:hAnsi="Cambria Math"/>
                <w:i/>
                <w:szCs w:val="22"/>
              </w:rPr>
            </m:ctrlPr>
          </m:naryPr>
          <m:sub>
            <m:r>
              <m:rPr>
                <m:sty m:val="bi"/>
              </m:rPr>
              <w:rPr>
                <w:rFonts w:ascii="Cambria Math" w:hAnsi="Cambria Math"/>
              </w:rPr>
              <m:t>i</m:t>
            </m:r>
            <m:r>
              <w:rPr>
                <w:rFonts w:ascii="Cambria Math" w:hAnsi="Cambria Math"/>
              </w:rPr>
              <m:t>=</m:t>
            </m:r>
            <m:r>
              <m:rPr>
                <m:sty m:val="bi"/>
              </m:rPr>
              <w:rPr>
                <w:rFonts w:ascii="Cambria Math" w:hAnsi="Cambria Math"/>
                <w:lang w:val="en-US"/>
              </w:rPr>
              <m:t>0</m:t>
            </m:r>
          </m:sub>
          <m:sup>
            <m:r>
              <m:rPr>
                <m:sty m:val="bi"/>
              </m:rPr>
              <w:rPr>
                <w:rFonts w:ascii="Cambria Math" w:hAnsi="Cambria Math"/>
              </w:rPr>
              <m:t>n</m:t>
            </m:r>
          </m:sup>
          <m:e>
            <m:d>
              <m:dPr>
                <m:ctrlPr>
                  <w:rPr>
                    <w:rFonts w:ascii="Cambria Math" w:hAnsi="Cambria Math"/>
                    <w:szCs w:val="22"/>
                  </w:rPr>
                </m:ctrlPr>
              </m:dPr>
              <m:e>
                <m:f>
                  <m:fPr>
                    <m:ctrlPr>
                      <w:rPr>
                        <w:rFonts w:ascii="Cambria Math" w:hAnsi="Cambria Math"/>
                        <w:szCs w:val="22"/>
                      </w:rPr>
                    </m:ctrlPr>
                  </m:fPr>
                  <m:num>
                    <m:sSub>
                      <m:sSubPr>
                        <m:ctrlPr>
                          <w:rPr>
                            <w:rFonts w:ascii="Cambria Math" w:hAnsi="Cambria Math"/>
                            <w:szCs w:val="22"/>
                          </w:rPr>
                        </m:ctrlPr>
                      </m:sSubPr>
                      <m:e>
                        <m:r>
                          <m:rPr>
                            <m:sty m:val="b"/>
                          </m:rPr>
                          <w:rPr>
                            <w:rFonts w:ascii="Cambria Math" w:hAnsi="Cambria Math"/>
                            <w:lang w:val="en-US"/>
                          </w:rPr>
                          <m:t>Amortiza</m:t>
                        </m:r>
                        <m:r>
                          <m:rPr>
                            <m:sty m:val="p"/>
                          </m:rPr>
                          <w:rPr>
                            <w:rFonts w:ascii="Cambria Math" w:hAnsi="Cambria Math" w:hint="eastAsia"/>
                          </w:rPr>
                          <m:t>çã</m:t>
                        </m:r>
                        <m:r>
                          <m:rPr>
                            <m:sty m:val="b"/>
                          </m:rPr>
                          <w:rPr>
                            <w:rFonts w:ascii="Cambria Math" w:hAnsi="Cambria Math"/>
                            <w:lang w:val="en-US"/>
                          </w:rPr>
                          <m:t>o</m:t>
                        </m:r>
                        <m:r>
                          <m:rPr>
                            <m:sty m:val="p"/>
                          </m:rPr>
                          <w:rPr>
                            <w:rFonts w:ascii="Cambria Math" w:hAnsi="Cambria Math"/>
                          </w:rPr>
                          <m:t xml:space="preserve"> </m:t>
                        </m:r>
                      </m:e>
                      <m:sub>
                        <m:r>
                          <m:rPr>
                            <m:sty m:val="bi"/>
                          </m:rPr>
                          <w:rPr>
                            <w:rFonts w:ascii="Cambria Math" w:hAnsi="Cambria Math"/>
                          </w:rPr>
                          <m:t>i</m:t>
                        </m:r>
                      </m:sub>
                    </m:sSub>
                  </m:num>
                  <m:den>
                    <m:sSup>
                      <m:sSupPr>
                        <m:ctrlPr>
                          <w:rPr>
                            <w:rFonts w:ascii="Cambria Math" w:hAnsi="Cambria Math"/>
                            <w:szCs w:val="22"/>
                          </w:rPr>
                        </m:ctrlPr>
                      </m:sSupPr>
                      <m:e>
                        <m:r>
                          <m:rPr>
                            <m:sty m:val="p"/>
                          </m:rPr>
                          <w:rPr>
                            <w:rFonts w:ascii="Cambria Math" w:hAnsi="Cambria Math"/>
                          </w:rPr>
                          <m:t>(</m:t>
                        </m:r>
                        <m:r>
                          <m:rPr>
                            <m:sty m:val="b"/>
                          </m:rPr>
                          <w:rPr>
                            <w:rFonts w:ascii="Cambria Math" w:hAnsi="Cambria Math"/>
                            <w:lang w:val="en-US"/>
                          </w:rPr>
                          <m:t>1</m:t>
                        </m:r>
                        <m:r>
                          <m:rPr>
                            <m:sty m:val="p"/>
                          </m:rPr>
                          <w:rPr>
                            <w:rFonts w:ascii="Cambria Math" w:hAnsi="Cambria Math"/>
                          </w:rPr>
                          <m:t>+</m:t>
                        </m:r>
                        <m:sSub>
                          <m:sSubPr>
                            <m:ctrlPr>
                              <w:rPr>
                                <w:rFonts w:ascii="Cambria Math" w:hAnsi="Cambria Math"/>
                                <w:szCs w:val="22"/>
                              </w:rPr>
                            </m:ctrlPr>
                          </m:sSubPr>
                          <m:e>
                            <m:r>
                              <m:rPr>
                                <m:sty m:val="b"/>
                              </m:rPr>
                              <w:rPr>
                                <w:rFonts w:ascii="Cambria Math" w:hAnsi="Cambria Math"/>
                                <w:lang w:val="en-US"/>
                              </w:rPr>
                              <m:t>Taxa</m:t>
                            </m:r>
                            <m:r>
                              <m:rPr>
                                <m:sty m:val="p"/>
                              </m:rPr>
                              <w:rPr>
                                <w:rFonts w:ascii="Cambria Math" w:hAnsi="Cambria Math"/>
                              </w:rPr>
                              <m:t xml:space="preserve"> </m:t>
                            </m:r>
                            <m:r>
                              <m:rPr>
                                <m:sty m:val="b"/>
                              </m:rPr>
                              <w:rPr>
                                <w:rFonts w:ascii="Cambria Math" w:hAnsi="Cambria Math"/>
                                <w:lang w:val="en-US"/>
                              </w:rPr>
                              <m:t>DI</m:t>
                            </m:r>
                          </m:e>
                          <m:sub>
                            <m:r>
                              <m:rPr>
                                <m:sty m:val="bi"/>
                              </m:rPr>
                              <w:rPr>
                                <w:rFonts w:ascii="Cambria Math" w:hAnsi="Cambria Math"/>
                              </w:rPr>
                              <m:t>ifutura</m:t>
                            </m:r>
                          </m:sub>
                        </m:sSub>
                        <m:r>
                          <m:rPr>
                            <m:sty m:val="p"/>
                          </m:rPr>
                          <w:rPr>
                            <w:rFonts w:ascii="Cambria Math" w:hAnsi="Cambria Math"/>
                          </w:rPr>
                          <m:t>)</m:t>
                        </m:r>
                      </m:e>
                      <m:sup>
                        <m:f>
                          <m:fPr>
                            <m:ctrlPr>
                              <w:rPr>
                                <w:rFonts w:ascii="Cambria Math" w:hAnsi="Cambria Math"/>
                                <w:i/>
                                <w:szCs w:val="22"/>
                              </w:rPr>
                            </m:ctrlPr>
                          </m:fPr>
                          <m:num>
                            <m:sSub>
                              <m:sSubPr>
                                <m:ctrlPr>
                                  <w:rPr>
                                    <w:rFonts w:ascii="Cambria Math" w:hAnsi="Cambria Math"/>
                                    <w:i/>
                                    <w:szCs w:val="22"/>
                                  </w:rPr>
                                </m:ctrlPr>
                              </m:sSubPr>
                              <m:e>
                                <m:r>
                                  <m:rPr>
                                    <m:sty m:val="bi"/>
                                  </m:rPr>
                                  <w:rPr>
                                    <w:rFonts w:ascii="Cambria Math" w:hAnsi="Cambria Math"/>
                                  </w:rPr>
                                  <m:t>DU</m:t>
                                </m:r>
                              </m:e>
                              <m:sub>
                                <m:r>
                                  <m:rPr>
                                    <m:sty m:val="bi"/>
                                  </m:rPr>
                                  <w:rPr>
                                    <w:rFonts w:ascii="Cambria Math" w:hAnsi="Cambria Math"/>
                                  </w:rPr>
                                  <m:t>i</m:t>
                                </m:r>
                              </m:sub>
                            </m:sSub>
                          </m:num>
                          <m:den>
                            <m:r>
                              <m:rPr>
                                <m:sty m:val="bi"/>
                              </m:rPr>
                              <w:rPr>
                                <w:rFonts w:ascii="Cambria Math" w:hAnsi="Cambria Math"/>
                                <w:lang w:val="en-US"/>
                              </w:rPr>
                              <m:t>252</m:t>
                            </m:r>
                          </m:den>
                        </m:f>
                      </m:sup>
                    </m:sSup>
                  </m:den>
                </m:f>
              </m:e>
            </m:d>
          </m:e>
        </m:nary>
        <m:r>
          <w:rPr>
            <w:rFonts w:ascii="Cambria Math" w:hAnsi="Cambria Math"/>
          </w:rPr>
          <m:t>+</m:t>
        </m:r>
        <m:nary>
          <m:naryPr>
            <m:chr m:val="∑"/>
            <m:limLoc m:val="undOvr"/>
            <m:ctrlPr>
              <w:rPr>
                <w:rFonts w:ascii="Cambria Math" w:hAnsi="Cambria Math"/>
                <w:i/>
                <w:szCs w:val="22"/>
              </w:rPr>
            </m:ctrlPr>
          </m:naryPr>
          <m:sub>
            <m:r>
              <m:rPr>
                <m:sty m:val="bi"/>
              </m:rPr>
              <w:rPr>
                <w:rFonts w:ascii="Cambria Math" w:hAnsi="Cambria Math"/>
              </w:rPr>
              <m:t>i</m:t>
            </m:r>
            <m:r>
              <w:rPr>
                <w:rFonts w:ascii="Cambria Math" w:hAnsi="Cambria Math"/>
              </w:rPr>
              <m:t>=</m:t>
            </m:r>
            <m:r>
              <m:rPr>
                <m:sty m:val="bi"/>
              </m:rPr>
              <w:rPr>
                <w:rFonts w:ascii="Cambria Math" w:hAnsi="Cambria Math"/>
                <w:lang w:val="en-US"/>
              </w:rPr>
              <m:t>0</m:t>
            </m:r>
          </m:sub>
          <m:sup>
            <m:r>
              <m:rPr>
                <m:sty m:val="bi"/>
              </m:rPr>
              <w:rPr>
                <w:rFonts w:ascii="Cambria Math" w:hAnsi="Cambria Math"/>
              </w:rPr>
              <m:t>n</m:t>
            </m:r>
          </m:sup>
          <m:e>
            <m:d>
              <m:dPr>
                <m:ctrlPr>
                  <w:rPr>
                    <w:rFonts w:ascii="Cambria Math" w:hAnsi="Cambria Math"/>
                    <w:szCs w:val="22"/>
                  </w:rPr>
                </m:ctrlPr>
              </m:dPr>
              <m:e>
                <m:f>
                  <m:fPr>
                    <m:ctrlPr>
                      <w:rPr>
                        <w:rFonts w:ascii="Cambria Math" w:hAnsi="Cambria Math"/>
                        <w:szCs w:val="22"/>
                      </w:rPr>
                    </m:ctrlPr>
                  </m:fPr>
                  <m:num>
                    <m:sSub>
                      <m:sSubPr>
                        <m:ctrlPr>
                          <w:rPr>
                            <w:rFonts w:ascii="Cambria Math" w:hAnsi="Cambria Math"/>
                            <w:szCs w:val="22"/>
                          </w:rPr>
                        </m:ctrlPr>
                      </m:sSubPr>
                      <m:e>
                        <m:r>
                          <m:rPr>
                            <m:sty m:val="b"/>
                          </m:rPr>
                          <w:rPr>
                            <w:rFonts w:ascii="Cambria Math" w:hAnsi="Cambria Math"/>
                            <w:lang w:val="en-US"/>
                          </w:rPr>
                          <m:t>Juros Remuneratórios</m:t>
                        </m:r>
                      </m:e>
                      <m:sub>
                        <m:r>
                          <m:rPr>
                            <m:sty m:val="bi"/>
                          </m:rPr>
                          <w:rPr>
                            <w:rFonts w:ascii="Cambria Math" w:hAnsi="Cambria Math"/>
                          </w:rPr>
                          <m:t>i</m:t>
                        </m:r>
                      </m:sub>
                    </m:sSub>
                  </m:num>
                  <m:den>
                    <m:sSup>
                      <m:sSupPr>
                        <m:ctrlPr>
                          <w:rPr>
                            <w:rFonts w:ascii="Cambria Math" w:hAnsi="Cambria Math"/>
                            <w:szCs w:val="22"/>
                          </w:rPr>
                        </m:ctrlPr>
                      </m:sSupPr>
                      <m:e>
                        <m:r>
                          <m:rPr>
                            <m:sty m:val="p"/>
                          </m:rPr>
                          <w:rPr>
                            <w:rFonts w:ascii="Cambria Math" w:hAnsi="Cambria Math"/>
                          </w:rPr>
                          <m:t>(</m:t>
                        </m:r>
                        <m:r>
                          <m:rPr>
                            <m:sty m:val="b"/>
                          </m:rPr>
                          <w:rPr>
                            <w:rFonts w:ascii="Cambria Math" w:hAnsi="Cambria Math"/>
                            <w:lang w:val="en-US"/>
                          </w:rPr>
                          <m:t>1</m:t>
                        </m:r>
                        <m:r>
                          <m:rPr>
                            <m:sty m:val="p"/>
                          </m:rPr>
                          <w:rPr>
                            <w:rFonts w:ascii="Cambria Math" w:hAnsi="Cambria Math"/>
                          </w:rPr>
                          <m:t>+</m:t>
                        </m:r>
                        <m:sSub>
                          <m:sSubPr>
                            <m:ctrlPr>
                              <w:rPr>
                                <w:rFonts w:ascii="Cambria Math" w:hAnsi="Cambria Math"/>
                                <w:szCs w:val="22"/>
                              </w:rPr>
                            </m:ctrlPr>
                          </m:sSubPr>
                          <m:e>
                            <m:r>
                              <m:rPr>
                                <m:sty m:val="b"/>
                              </m:rPr>
                              <w:rPr>
                                <w:rFonts w:ascii="Cambria Math" w:hAnsi="Cambria Math"/>
                                <w:lang w:val="en-US"/>
                              </w:rPr>
                              <m:t>Taxa</m:t>
                            </m:r>
                            <m:r>
                              <m:rPr>
                                <m:sty m:val="p"/>
                              </m:rPr>
                              <w:rPr>
                                <w:rFonts w:ascii="Cambria Math" w:hAnsi="Cambria Math"/>
                              </w:rPr>
                              <m:t xml:space="preserve"> </m:t>
                            </m:r>
                            <m:r>
                              <m:rPr>
                                <m:sty m:val="b"/>
                              </m:rPr>
                              <w:rPr>
                                <w:rFonts w:ascii="Cambria Math" w:hAnsi="Cambria Math"/>
                                <w:lang w:val="en-US"/>
                              </w:rPr>
                              <m:t>DI</m:t>
                            </m:r>
                          </m:e>
                          <m:sub>
                            <m:r>
                              <m:rPr>
                                <m:sty m:val="bi"/>
                              </m:rPr>
                              <w:rPr>
                                <w:rFonts w:ascii="Cambria Math" w:hAnsi="Cambria Math"/>
                              </w:rPr>
                              <m:t>i</m:t>
                            </m:r>
                          </m:sub>
                        </m:sSub>
                        <m:r>
                          <m:rPr>
                            <m:sty m:val="p"/>
                          </m:rPr>
                          <w:rPr>
                            <w:rFonts w:ascii="Cambria Math" w:hAnsi="Cambria Math"/>
                          </w:rPr>
                          <m:t>futura)</m:t>
                        </m:r>
                      </m:e>
                      <m:sup>
                        <m:f>
                          <m:fPr>
                            <m:ctrlPr>
                              <w:rPr>
                                <w:rFonts w:ascii="Cambria Math" w:hAnsi="Cambria Math"/>
                                <w:i/>
                                <w:szCs w:val="22"/>
                              </w:rPr>
                            </m:ctrlPr>
                          </m:fPr>
                          <m:num>
                            <m:sSub>
                              <m:sSubPr>
                                <m:ctrlPr>
                                  <w:rPr>
                                    <w:rFonts w:ascii="Cambria Math" w:hAnsi="Cambria Math"/>
                                    <w:i/>
                                    <w:szCs w:val="22"/>
                                  </w:rPr>
                                </m:ctrlPr>
                              </m:sSubPr>
                              <m:e>
                                <m:r>
                                  <m:rPr>
                                    <m:sty m:val="bi"/>
                                  </m:rPr>
                                  <w:rPr>
                                    <w:rFonts w:ascii="Cambria Math" w:hAnsi="Cambria Math"/>
                                  </w:rPr>
                                  <m:t>DU</m:t>
                                </m:r>
                              </m:e>
                              <m:sub>
                                <m:r>
                                  <m:rPr>
                                    <m:sty m:val="bi"/>
                                  </m:rPr>
                                  <w:rPr>
                                    <w:rFonts w:ascii="Cambria Math" w:hAnsi="Cambria Math"/>
                                  </w:rPr>
                                  <m:t>i</m:t>
                                </m:r>
                              </m:sub>
                            </m:sSub>
                          </m:num>
                          <m:den>
                            <m:r>
                              <m:rPr>
                                <m:sty m:val="bi"/>
                              </m:rPr>
                              <w:rPr>
                                <w:rFonts w:ascii="Cambria Math" w:hAnsi="Cambria Math"/>
                                <w:lang w:val="en-US"/>
                              </w:rPr>
                              <m:t>252</m:t>
                            </m:r>
                          </m:den>
                        </m:f>
                      </m:sup>
                    </m:sSup>
                  </m:den>
                </m:f>
              </m:e>
            </m:d>
          </m:e>
        </m:nary>
      </m:oMath>
    </w:p>
    <w:p>
      <w:pPr>
        <w:pStyle w:val="Level3"/>
        <w:widowControl w:val="0"/>
        <w:numPr>
          <w:ilvl w:val="0"/>
          <w:numId w:val="0"/>
        </w:numPr>
        <w:spacing w:after="120"/>
        <w:ind w:left="1418"/>
        <w:jc w:val="center"/>
        <w:rPr>
          <w:rFonts w:cs="Arial"/>
          <w:sz w:val="22"/>
          <w:szCs w:val="22"/>
        </w:rPr>
      </w:pPr>
    </w:p>
    <w:p>
      <w:pPr>
        <w:pStyle w:val="Level3"/>
        <w:widowControl w:val="0"/>
        <w:numPr>
          <w:ilvl w:val="0"/>
          <w:numId w:val="0"/>
        </w:numPr>
        <w:spacing w:after="120"/>
        <w:ind w:left="1418"/>
        <w:rPr>
          <w:rFonts w:cs="Arial"/>
          <w:b/>
          <w:sz w:val="22"/>
          <w:szCs w:val="22"/>
        </w:rPr>
      </w:pPr>
      <w:r>
        <w:rPr>
          <w:rFonts w:cs="Arial"/>
          <w:b/>
          <w:sz w:val="22"/>
          <w:szCs w:val="22"/>
        </w:rPr>
        <w:t>Sendo:</w:t>
      </w:r>
    </w:p>
    <w:p>
      <w:pPr>
        <w:pStyle w:val="Level1"/>
        <w:numPr>
          <w:ilvl w:val="0"/>
          <w:numId w:val="0"/>
        </w:numPr>
        <w:ind w:left="1418"/>
        <w:rPr>
          <w:rFonts w:cs="Arial"/>
          <w:b/>
          <w:sz w:val="22"/>
          <w:szCs w:val="22"/>
        </w:rPr>
      </w:pPr>
      <w:r>
        <w:rPr>
          <w:rFonts w:cs="Arial"/>
          <w:i/>
          <w:sz w:val="22"/>
          <w:szCs w:val="22"/>
        </w:rPr>
        <w:t>RAF</w:t>
      </w:r>
      <w:r>
        <w:rPr>
          <w:rFonts w:cs="Arial"/>
          <w:sz w:val="22"/>
          <w:szCs w:val="22"/>
        </w:rPr>
        <w:t>: o valor a ser pago por cada Debênture a título de Resgate Antecipado Total</w:t>
      </w:r>
      <w:r>
        <w:rPr>
          <w:rFonts w:cs="Arial"/>
          <w:sz w:val="22"/>
          <w:szCs w:val="22"/>
        </w:rPr>
        <w:t>, expresso em Reais, calculado com 8 casas decimais, sem arredondamento</w:t>
      </w:r>
      <w:r>
        <w:rPr>
          <w:rFonts w:cs="Arial"/>
          <w:sz w:val="22"/>
          <w:szCs w:val="22"/>
        </w:rPr>
        <w:t>;</w:t>
      </w:r>
    </w:p>
    <w:p>
      <w:pPr>
        <w:pStyle w:val="Level1"/>
        <w:numPr>
          <w:ilvl w:val="0"/>
          <w:numId w:val="0"/>
        </w:numPr>
        <w:ind w:left="1418"/>
        <w:rPr>
          <w:rFonts w:cs="Arial"/>
          <w:b/>
          <w:sz w:val="22"/>
          <w:szCs w:val="22"/>
        </w:rPr>
      </w:pPr>
      <w:r>
        <w:rPr>
          <w:rFonts w:cs="Arial"/>
          <w:i/>
          <w:sz w:val="22"/>
          <w:szCs w:val="22"/>
        </w:rPr>
        <w:t>Amortização</w:t>
      </w:r>
      <w:r>
        <w:rPr>
          <w:rFonts w:cs="Arial"/>
          <w:i/>
          <w:sz w:val="22"/>
          <w:szCs w:val="22"/>
          <w:vertAlign w:val="subscript"/>
        </w:rPr>
        <w:t>i</w:t>
      </w:r>
      <w:r>
        <w:rPr>
          <w:rFonts w:cs="Arial"/>
          <w:sz w:val="22"/>
          <w:szCs w:val="22"/>
        </w:rPr>
        <w:t xml:space="preserve">: conforme definido na Cláusula </w:t>
      </w:r>
      <w:r>
        <w:rPr>
          <w:rFonts w:cs="Arial"/>
          <w:b/>
          <w:sz w:val="22"/>
          <w:szCs w:val="22"/>
        </w:rPr>
        <w:fldChar w:fldCharType="begin"/>
      </w:r>
      <w:r>
        <w:rPr>
          <w:rFonts w:cs="Arial"/>
          <w:sz w:val="22"/>
          <w:szCs w:val="22"/>
        </w:rPr>
        <w:instrText xml:space="preserve"> REF _Ref427685207 \r \h </w:instrText>
      </w:r>
      <w:r>
        <w:rPr>
          <w:rFonts w:cs="Arial"/>
          <w:b/>
          <w:sz w:val="22"/>
          <w:szCs w:val="22"/>
        </w:rPr>
        <w:instrText xml:space="preserve"> \* MERGEFORMAT </w:instrText>
      </w:r>
      <w:r>
        <w:rPr>
          <w:rFonts w:cs="Arial"/>
          <w:b/>
          <w:sz w:val="22"/>
          <w:szCs w:val="22"/>
        </w:rPr>
      </w:r>
      <w:r>
        <w:rPr>
          <w:rFonts w:cs="Arial"/>
          <w:b/>
          <w:sz w:val="22"/>
          <w:szCs w:val="22"/>
        </w:rPr>
        <w:fldChar w:fldCharType="separate"/>
      </w:r>
      <w:r>
        <w:rPr>
          <w:rFonts w:cs="Arial"/>
          <w:sz w:val="22"/>
          <w:szCs w:val="22"/>
        </w:rPr>
        <w:t>6.15</w:t>
      </w:r>
      <w:r>
        <w:rPr>
          <w:rFonts w:cs="Arial"/>
          <w:b/>
          <w:sz w:val="22"/>
          <w:szCs w:val="22"/>
        </w:rPr>
        <w:fldChar w:fldCharType="end"/>
      </w:r>
      <w:r>
        <w:rPr>
          <w:rFonts w:cs="Arial"/>
          <w:sz w:val="22"/>
          <w:szCs w:val="22"/>
        </w:rPr>
        <w:t xml:space="preserve"> acima, para cada Debênture, onde “</w:t>
      </w:r>
      <w:r>
        <w:rPr>
          <w:rFonts w:cs="Arial"/>
          <w:i/>
          <w:sz w:val="22"/>
          <w:szCs w:val="22"/>
        </w:rPr>
        <w:t>i</w:t>
      </w:r>
      <w:r>
        <w:rPr>
          <w:rFonts w:cs="Arial"/>
          <w:sz w:val="22"/>
          <w:szCs w:val="22"/>
        </w:rPr>
        <w:t>” representa a ordem de pagamento da respectiva Amortização</w:t>
      </w:r>
      <w:r>
        <w:t xml:space="preserve"> </w:t>
      </w:r>
      <w:r>
        <w:rPr>
          <w:rFonts w:cs="Arial"/>
          <w:sz w:val="22"/>
          <w:szCs w:val="22"/>
        </w:rPr>
        <w:t>após a data do Resgate Antecipado</w:t>
      </w:r>
      <w:r>
        <w:rPr>
          <w:rFonts w:cs="Arial"/>
          <w:sz w:val="22"/>
          <w:szCs w:val="22"/>
        </w:rPr>
        <w:t>, sendo “</w:t>
      </w:r>
      <w:r>
        <w:rPr>
          <w:rFonts w:cs="Arial"/>
          <w:sz w:val="22"/>
          <w:szCs w:val="22"/>
        </w:rPr>
        <w:t>0</w:t>
      </w:r>
      <w:r>
        <w:rPr>
          <w:rFonts w:cs="Arial"/>
          <w:sz w:val="22"/>
          <w:szCs w:val="22"/>
        </w:rPr>
        <w:t>” o próximo pagamento, e “</w:t>
      </w:r>
      <w:r>
        <w:rPr>
          <w:rFonts w:cs="Arial"/>
          <w:i/>
          <w:sz w:val="22"/>
          <w:szCs w:val="22"/>
        </w:rPr>
        <w:t>n</w:t>
      </w:r>
      <w:r>
        <w:rPr>
          <w:rFonts w:cs="Arial"/>
          <w:sz w:val="22"/>
          <w:szCs w:val="22"/>
        </w:rPr>
        <w:t>” o último pagamento;</w:t>
      </w:r>
    </w:p>
    <w:p>
      <w:pPr>
        <w:pStyle w:val="Level1"/>
        <w:numPr>
          <w:ilvl w:val="0"/>
          <w:numId w:val="0"/>
        </w:numPr>
        <w:ind w:left="1418"/>
        <w:rPr>
          <w:rFonts w:cs="Arial"/>
          <w:b/>
          <w:sz w:val="22"/>
          <w:szCs w:val="22"/>
        </w:rPr>
      </w:pPr>
      <w:r>
        <w:rPr>
          <w:rFonts w:cs="Arial"/>
          <w:i/>
          <w:sz w:val="22"/>
          <w:szCs w:val="22"/>
        </w:rPr>
        <w:t>Juros Remuneratórios</w:t>
      </w:r>
      <w:r>
        <w:rPr>
          <w:rFonts w:cs="Arial"/>
          <w:i/>
          <w:sz w:val="22"/>
          <w:szCs w:val="22"/>
          <w:vertAlign w:val="subscript"/>
        </w:rPr>
        <w:t>i</w:t>
      </w:r>
      <w:r>
        <w:rPr>
          <w:rFonts w:cs="Arial"/>
          <w:sz w:val="22"/>
          <w:szCs w:val="22"/>
        </w:rPr>
        <w:t xml:space="preserve">:  a projeção de cada uma das parcelas de Remuneração devidas, nas respectivas datas de pagamento previstas, </w:t>
      </w:r>
      <w:r>
        <w:rPr>
          <w:rFonts w:cs="Arial"/>
          <w:sz w:val="22"/>
          <w:szCs w:val="22"/>
        </w:rPr>
        <w:t>utilizando</w:t>
      </w:r>
      <w:r>
        <w:rPr>
          <w:rFonts w:cs="Arial"/>
          <w:sz w:val="22"/>
          <w:szCs w:val="22"/>
        </w:rPr>
        <w:t xml:space="preserve"> a projeção da </w:t>
      </w:r>
      <w:r>
        <w:rPr>
          <w:rFonts w:cs="Arial"/>
          <w:sz w:val="22"/>
          <w:szCs w:val="22"/>
        </w:rPr>
        <w:t>Taxa DI futura</w:t>
      </w:r>
      <w:r>
        <w:rPr>
          <w:rFonts w:cs="Arial"/>
          <w:sz w:val="22"/>
          <w:szCs w:val="22"/>
        </w:rPr>
        <w:t xml:space="preserve"> </w:t>
      </w:r>
      <w:r>
        <w:rPr>
          <w:rFonts w:cs="Arial"/>
          <w:sz w:val="22"/>
          <w:szCs w:val="22"/>
        </w:rPr>
        <w:t>conforme disposto abaixo, para cada Debênture, onde “</w:t>
      </w:r>
      <w:r>
        <w:rPr>
          <w:rFonts w:cs="Arial"/>
          <w:i/>
          <w:sz w:val="22"/>
          <w:szCs w:val="22"/>
        </w:rPr>
        <w:t>i</w:t>
      </w:r>
      <w:r>
        <w:rPr>
          <w:rFonts w:cs="Arial"/>
          <w:sz w:val="22"/>
          <w:szCs w:val="22"/>
        </w:rPr>
        <w:t>” representa a ordem de pagamento dos respectivos Juros Remuneratórios das Debêntures sendo “0” o próximo pagamento, e “</w:t>
      </w:r>
      <w:r>
        <w:rPr>
          <w:rFonts w:cs="Arial"/>
          <w:i/>
          <w:sz w:val="22"/>
          <w:szCs w:val="22"/>
        </w:rPr>
        <w:t>n</w:t>
      </w:r>
      <w:r>
        <w:rPr>
          <w:rFonts w:cs="Arial"/>
          <w:sz w:val="22"/>
          <w:szCs w:val="22"/>
        </w:rPr>
        <w:t>” o último pagamento;</w:t>
      </w:r>
    </w:p>
    <w:p>
      <w:pPr>
        <w:pStyle w:val="Level1"/>
        <w:numPr>
          <w:ilvl w:val="0"/>
          <w:numId w:val="0"/>
        </w:numPr>
        <w:ind w:left="1418"/>
        <w:rPr>
          <w:rFonts w:cs="Arial"/>
          <w:b/>
          <w:sz w:val="22"/>
          <w:szCs w:val="22"/>
        </w:rPr>
      </w:pPr>
      <w:r>
        <w:rPr>
          <w:rFonts w:cs="Arial"/>
          <w:i/>
          <w:sz w:val="22"/>
          <w:szCs w:val="22"/>
        </w:rPr>
        <w:t>Taxa DI</w:t>
      </w:r>
      <w:r>
        <w:rPr>
          <w:rFonts w:cs="Arial"/>
          <w:i/>
          <w:sz w:val="22"/>
          <w:szCs w:val="22"/>
          <w:vertAlign w:val="subscript"/>
        </w:rPr>
        <w:t>i</w:t>
      </w:r>
      <w:r>
        <w:rPr>
          <w:rFonts w:cs="Arial"/>
          <w:sz w:val="22"/>
          <w:szCs w:val="22"/>
          <w:vertAlign w:val="subscript"/>
        </w:rPr>
        <w:t xml:space="preserve"> futura</w:t>
      </w:r>
      <w:r>
        <w:rPr>
          <w:rFonts w:cs="Arial"/>
          <w:sz w:val="22"/>
          <w:szCs w:val="22"/>
        </w:rPr>
        <w:t xml:space="preserve">: </w:t>
      </w:r>
      <w:r>
        <w:rPr>
          <w:rFonts w:cs="Arial"/>
          <w:sz w:val="22"/>
          <w:szCs w:val="22"/>
        </w:rPr>
        <w:t>a Taxa DI futura, da data do cálculo até a data do pagamento “</w:t>
      </w:r>
      <w:r>
        <w:rPr>
          <w:rFonts w:cs="Arial"/>
          <w:i/>
          <w:sz w:val="22"/>
          <w:szCs w:val="22"/>
        </w:rPr>
        <w:t>i</w:t>
      </w:r>
      <w:r>
        <w:rPr>
          <w:rFonts w:cs="Arial"/>
          <w:sz w:val="22"/>
          <w:szCs w:val="22"/>
        </w:rPr>
        <w:t xml:space="preserve">”, sendo tal taxa obtida da B3 pelo site </w:t>
      </w:r>
      <w:hyperlink r:id="rId68" w:history="1">
        <w:r>
          <w:rPr>
            <w:rStyle w:val="Hyperlink"/>
            <w:rFonts w:cs="Arial"/>
            <w:i/>
            <w:sz w:val="22"/>
            <w:szCs w:val="22"/>
          </w:rPr>
          <w:t>www.calculadorarendafixa.com.br</w:t>
        </w:r>
      </w:hyperlink>
      <w:r>
        <w:rPr>
          <w:rFonts w:cs="Arial"/>
          <w:sz w:val="22"/>
          <w:szCs w:val="22"/>
        </w:rPr>
        <w:t>, opção Debênture (“</w:t>
      </w:r>
      <w:r>
        <w:rPr>
          <w:rFonts w:cs="Arial"/>
          <w:i/>
          <w:sz w:val="22"/>
          <w:szCs w:val="22"/>
        </w:rPr>
        <w:t>Título</w:t>
      </w:r>
      <w:r>
        <w:rPr>
          <w:rFonts w:cs="Arial"/>
          <w:sz w:val="22"/>
          <w:szCs w:val="22"/>
        </w:rPr>
        <w:t>”: debênture / “</w:t>
      </w:r>
      <w:r>
        <w:rPr>
          <w:rFonts w:cs="Arial"/>
          <w:i/>
          <w:sz w:val="22"/>
          <w:szCs w:val="22"/>
        </w:rPr>
        <w:t>Data</w:t>
      </w:r>
      <w:r>
        <w:rPr>
          <w:rFonts w:cs="Arial"/>
          <w:sz w:val="22"/>
          <w:szCs w:val="22"/>
        </w:rPr>
        <w:t>”: data do pagamento do Resgate Antecipado / “</w:t>
      </w:r>
      <w:r>
        <w:rPr>
          <w:rFonts w:cs="Arial"/>
          <w:i/>
          <w:sz w:val="22"/>
          <w:szCs w:val="22"/>
        </w:rPr>
        <w:t>Quantidade</w:t>
      </w:r>
      <w:r>
        <w:rPr>
          <w:rFonts w:cs="Arial"/>
          <w:sz w:val="22"/>
          <w:szCs w:val="22"/>
        </w:rPr>
        <w:t>”: quantidade de Debêntures sendo pagas / “</w:t>
      </w:r>
      <w:r>
        <w:rPr>
          <w:rFonts w:cs="Arial"/>
          <w:i/>
          <w:sz w:val="22"/>
          <w:szCs w:val="22"/>
        </w:rPr>
        <w:t>Calcular</w:t>
      </w:r>
      <w:r>
        <w:rPr>
          <w:rFonts w:cs="Arial"/>
          <w:sz w:val="22"/>
          <w:szCs w:val="22"/>
        </w:rPr>
        <w:t xml:space="preserve">”: PU a 100% do CDI ou CDI + 0%), sendo certo que o resultado será o campo “Taxa” dividido por 100; e </w:t>
      </w:r>
    </w:p>
    <w:p>
      <w:pPr>
        <w:pStyle w:val="Level1"/>
        <w:numPr>
          <w:ilvl w:val="0"/>
          <w:numId w:val="0"/>
        </w:numPr>
        <w:ind w:left="1418"/>
        <w:rPr>
          <w:rFonts w:cs="Arial"/>
          <w:sz w:val="22"/>
          <w:szCs w:val="22"/>
        </w:rPr>
      </w:pPr>
      <w:r>
        <w:rPr>
          <w:rFonts w:cs="Arial"/>
          <w:i/>
          <w:sz w:val="22"/>
          <w:szCs w:val="22"/>
        </w:rPr>
        <w:t>DU</w:t>
      </w:r>
      <w:r>
        <w:rPr>
          <w:rFonts w:cs="Arial"/>
          <w:i/>
          <w:sz w:val="22"/>
          <w:szCs w:val="22"/>
          <w:vertAlign w:val="subscript"/>
        </w:rPr>
        <w:t>i</w:t>
      </w:r>
      <w:r>
        <w:rPr>
          <w:rFonts w:cs="Arial"/>
          <w:sz w:val="22"/>
          <w:szCs w:val="22"/>
        </w:rPr>
        <w:t xml:space="preserve">: o número de Dias Úteis entre a data do </w:t>
      </w:r>
      <w:r>
        <w:rPr>
          <w:rFonts w:cs="Arial"/>
          <w:sz w:val="22"/>
          <w:szCs w:val="22"/>
        </w:rPr>
        <w:t>Resgate Antecipado</w:t>
      </w:r>
      <w:r>
        <w:rPr>
          <w:rFonts w:cs="Arial"/>
          <w:sz w:val="22"/>
          <w:szCs w:val="22"/>
        </w:rPr>
        <w:t xml:space="preserve"> e a data do respectivo pagamento “i”.</w:t>
      </w: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b/>
          <w:color w:val="000000"/>
          <w:sz w:val="22"/>
          <w:szCs w:val="22"/>
        </w:rPr>
        <w:tab/>
      </w:r>
      <w:r>
        <w:rPr>
          <w:rFonts w:ascii="Arial" w:hAnsi="Arial" w:cs="Arial"/>
          <w:color w:val="000000"/>
          <w:sz w:val="22"/>
          <w:szCs w:val="22"/>
        </w:rPr>
        <w:t>Para as Debêntures custodiadas eletronicamente na B3, no caso de Resgate Antecipado Total das Debêntures, a operacionalização do resgate seguirá os procedimentos adotados pela B3.</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pPr>
        <w:widowControl w:val="0"/>
        <w:spacing w:line="340" w:lineRule="exact"/>
        <w:jc w:val="both"/>
        <w:rPr>
          <w:rFonts w:ascii="Arial" w:hAnsi="Arial" w:cs="Arial"/>
          <w:color w:val="000000"/>
          <w:sz w:val="22"/>
          <w:szCs w:val="22"/>
        </w:rPr>
      </w:pPr>
    </w:p>
    <w:p>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5.1.6</w:t>
      </w:r>
      <w:r>
        <w:rPr>
          <w:rFonts w:ascii="Arial" w:hAnsi="Arial" w:cs="Arial"/>
          <w:b/>
          <w:color w:val="000000"/>
        </w:rPr>
        <w:tab/>
      </w:r>
      <w:r>
        <w:rPr>
          <w:rFonts w:ascii="Arial" w:hAnsi="Arial" w:cs="Arial"/>
        </w:rPr>
        <w:t>A B3 deverá ser comunicada através de correspondência enviada pela Emissora, em conjunto com o Agente Fiduciário, acerca da realização do Resgate Antecipado Total, com pelo menos 3 (três)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lastRenderedPageBreak/>
        <w:t>5.1.8</w:t>
      </w:r>
      <w:r>
        <w:rPr>
          <w:rFonts w:ascii="Arial" w:hAnsi="Arial" w:cs="Arial"/>
          <w:b/>
          <w:color w:val="000000"/>
          <w:sz w:val="22"/>
          <w:szCs w:val="22"/>
        </w:rPr>
        <w:tab/>
      </w:r>
      <w:r>
        <w:rPr>
          <w:rFonts w:ascii="Arial" w:hAnsi="Arial" w:cs="Arial"/>
          <w:color w:val="000000"/>
          <w:sz w:val="22"/>
          <w:szCs w:val="22"/>
        </w:rPr>
        <w:t>As Debêntures objeto de Resgate Antecipado Total deverão ser canceladas, observada a regulamentação em vigor.</w:t>
      </w:r>
    </w:p>
    <w:p>
      <w:pPr>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pPr>
        <w:widowControl w:val="0"/>
        <w:spacing w:line="340" w:lineRule="exact"/>
        <w:jc w:val="both"/>
        <w:rPr>
          <w:rFonts w:ascii="Arial" w:hAnsi="Arial" w:cs="Arial"/>
          <w:color w:val="000000"/>
          <w:sz w:val="22"/>
          <w:szCs w:val="22"/>
        </w:rPr>
      </w:pPr>
    </w:p>
    <w:p>
      <w:pPr>
        <w:spacing w:line="340" w:lineRule="exact"/>
        <w:jc w:val="both"/>
        <w:rPr>
          <w:rFonts w:ascii="Arial" w:hAnsi="Arial" w:cs="Arial"/>
          <w:sz w:val="22"/>
          <w:szCs w:val="22"/>
        </w:rPr>
      </w:pPr>
      <w:r>
        <w:rPr>
          <w:rFonts w:ascii="Arial" w:hAnsi="Arial" w:cs="Arial"/>
          <w:b/>
          <w:color w:val="000000"/>
          <w:sz w:val="22"/>
          <w:szCs w:val="22"/>
        </w:rPr>
        <w:t>5.1.10.</w:t>
      </w:r>
      <w:r>
        <w:rPr>
          <w:rFonts w:ascii="Arial" w:hAnsi="Arial" w:cs="Arial"/>
          <w:color w:val="000000"/>
          <w:sz w:val="22"/>
          <w:szCs w:val="22"/>
        </w:rPr>
        <w:tab/>
      </w:r>
      <w:r>
        <w:rPr>
          <w:rFonts w:ascii="Arial" w:hAnsi="Arial" w:cs="Arial"/>
          <w:sz w:val="22"/>
          <w:szCs w:val="22"/>
        </w:rPr>
        <w:t>Caso o Resgate Antecipado Total venha a ser realizado em qualquer das Datas de Amortização das Debêntures em qualquer das Datas de Pagamento de Juros Remuneratórios, os valores a serem pagos em tal Data de Amortização e/ou em tal Data de Pagamento de Juros Remuneratórios serão deduzidos do Valor Nominal Unitário</w:t>
      </w:r>
      <w:r>
        <w:rPr>
          <w:rFonts w:ascii="Arial" w:hAnsi="Arial" w:cs="Arial"/>
          <w:i/>
          <w:sz w:val="22"/>
          <w:szCs w:val="22"/>
        </w:rPr>
        <w:t xml:space="preserve"> </w:t>
      </w:r>
      <w:r>
        <w:rPr>
          <w:rFonts w:ascii="Arial" w:hAnsi="Arial" w:cs="Arial"/>
          <w:sz w:val="22"/>
          <w:szCs w:val="22"/>
        </w:rPr>
        <w:t>para fins do cálculo do valor de Resgate Antecipado Total.</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pPr>
        <w:widowControl w:val="0"/>
        <w:spacing w:line="340" w:lineRule="exact"/>
        <w:jc w:val="both"/>
        <w:rPr>
          <w:rFonts w:ascii="Arial" w:hAnsi="Arial" w:cs="Arial"/>
          <w:color w:val="00000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17"/>
        </w:numPr>
        <w:spacing w:line="340" w:lineRule="exact"/>
        <w:jc w:val="both"/>
        <w:rPr>
          <w:rFonts w:ascii="Arial" w:hAnsi="Arial" w:cs="Arial"/>
          <w:sz w:val="22"/>
          <w:szCs w:val="22"/>
        </w:rPr>
      </w:pPr>
      <w:bookmarkStart w:id="50" w:name="_Ref40197437"/>
      <w:r>
        <w:rPr>
          <w:rFonts w:ascii="Arial" w:eastAsia="Arial Unicode MS" w:hAnsi="Arial" w:cs="Arial"/>
          <w:b/>
          <w:bCs/>
          <w:w w:val="0"/>
          <w:sz w:val="22"/>
          <w:szCs w:val="22"/>
        </w:rPr>
        <w:t>Vencimento Antecipado</w:t>
      </w:r>
      <w:bookmarkEnd w:id="50"/>
      <w:r>
        <w:rPr>
          <w:rFonts w:ascii="Arial" w:eastAsia="Arial Unicode MS" w:hAnsi="Arial" w:cs="Arial"/>
          <w:b/>
          <w:bCs/>
          <w:w w:val="0"/>
          <w:sz w:val="22"/>
          <w:szCs w:val="22"/>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51" w:name="_DV_M268"/>
      <w:bookmarkStart w:id="52" w:name="_DV_M301"/>
      <w:bookmarkEnd w:id="51"/>
      <w:bookmarkEnd w:id="52"/>
      <w:r>
        <w:rPr>
          <w:rFonts w:ascii="Arial" w:eastAsia="Arial Unicode MS" w:hAnsi="Arial" w:cs="Arial"/>
          <w:i/>
          <w:iCs/>
          <w:w w:val="0"/>
          <w:sz w:val="22"/>
          <w:szCs w:val="22"/>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w:t>
      </w:r>
      <w:r>
        <w:rPr>
          <w:rFonts w:ascii="Arial" w:eastAsia="Arial Unicode MS" w:hAnsi="Arial" w:cs="Arial"/>
          <w:w w:val="0"/>
        </w:rPr>
        <w:lastRenderedPageBreak/>
        <w:t xml:space="preserve">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53"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53"/>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54" w:name="_DV_M34"/>
      <w:bookmarkEnd w:id="54"/>
      <w:r>
        <w:rPr>
          <w:rFonts w:ascii="Arial" w:hAnsi="Arial" w:cs="Arial"/>
          <w:sz w:val="22"/>
          <w:szCs w:val="22"/>
        </w:rPr>
        <w:t xml:space="preserve">, não sanada em até 2 (dois) Dias Úteis contados da data do respectivo vencimento;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pPr>
        <w:pStyle w:val="Corpodetexto"/>
        <w:widowControl w:val="0"/>
        <w:autoSpaceDE w:val="0"/>
        <w:autoSpaceDN w:val="0"/>
        <w:adjustRightInd w:val="0"/>
        <w:spacing w:after="0" w:line="340" w:lineRule="exact"/>
        <w:jc w:val="both"/>
        <w:rPr>
          <w:rFonts w:ascii="Arial" w:hAnsi="Arial" w:cs="Arial"/>
          <w:w w:val="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e/ou pelo Fiador, quanto à validade, eficácia, exequibilidade e/ou vigência da Fiança e/ou de qualquer dos Contratos da Emissão;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 xml:space="preserve">(a) decretação de falência ou insolvência civil, conforme aplicável, da Emissora das Controladas e/ou do Fiador; (b) pedido de autofalência pela Emissora, pelas Controladas e/ou pelo Fiador, independente do deferimento do respectivo pedido; (c) pedido de falência ou insolvência civil, conforme aplicável, da Emissora, das Controladas e/ou do Fiador, formulado por terceiros não elidido no prazo legal; (d) pedido de recuperação judicial ou de recuperação extrajudicial da Emissora, das </w:t>
      </w:r>
      <w:r>
        <w:rPr>
          <w:rFonts w:ascii="Arial" w:hAnsi="Arial" w:cs="Arial"/>
          <w:sz w:val="22"/>
          <w:szCs w:val="22"/>
        </w:rPr>
        <w:lastRenderedPageBreak/>
        <w:t>Controladas e/ou do Fiador, independentemente do deferimento do respectivo pedido; (e) liquidação, dissolução ou extinção da Emissora e/ou do Fiador ou qualquer procedimento análogo que venha a ser criado por lei; ou (f) se a Emissora, as Controladas e/ou o Fiador, por qualquer motivo, encerrarem suas atividades;</w:t>
      </w:r>
    </w:p>
    <w:p>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recurso cabível, no prazo legal, e cujos efeitos tenham sido suspensos ou revertidos pela Emissora, pelas Controladas e/ou pelo Fiador, conforme aplicável, em até 10 (dez) Dias Úteis contados de tal decisão;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pPr>
        <w:pStyle w:val="PargrafodaLista"/>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quaisquer informações, declarações e/ou garantias prestadas pela Emissora e/ou pelo Fiador nesta Escritura, e no Contrato de Alienação Fiduciária;</w:t>
      </w:r>
    </w:p>
    <w:p>
      <w:pPr>
        <w:pStyle w:val="PargrafodaLista"/>
        <w:spacing w:line="340" w:lineRule="exact"/>
        <w:rPr>
          <w:rFonts w:ascii="Arial" w:eastAsia="Arial Unicode MS" w:hAnsi="Arial" w:cs="Arial"/>
          <w:w w:val="0"/>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destinação,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line="340" w:lineRule="exact"/>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pPr>
        <w:pStyle w:val="Corpodetexto"/>
        <w:widowControl w:val="0"/>
        <w:spacing w:after="0" w:line="340" w:lineRule="exact"/>
        <w:jc w:val="both"/>
        <w:rPr>
          <w:rFonts w:ascii="Arial" w:hAnsi="Arial" w:cs="Arial"/>
          <w:sz w:val="22"/>
          <w:szCs w:val="22"/>
        </w:rPr>
      </w:pPr>
    </w:p>
    <w:p>
      <w:pPr>
        <w:pStyle w:val="Corpodetexto"/>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Fiduciária, conforme aplicável.</w:t>
      </w:r>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5" w:name="_Ref40197652"/>
      <w:r>
        <w:rPr>
          <w:rFonts w:ascii="Arial" w:hAnsi="Arial" w:cs="Arial"/>
        </w:rPr>
        <w:t xml:space="preserve">A ocorrência de quaisquer das Hipóteses de Vencimento Antecipado </w:t>
      </w:r>
      <w:r>
        <w:rPr>
          <w:rFonts w:ascii="Arial" w:hAnsi="Arial" w:cs="Arial"/>
        </w:rPr>
        <w:lastRenderedPageBreak/>
        <w:t xml:space="preserve">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 e/ou ao Fiador.</w:t>
      </w:r>
      <w:bookmarkEnd w:id="55"/>
    </w:p>
    <w:p>
      <w:pPr>
        <w:pStyle w:val="Corpodetexto"/>
        <w:widowControl w:val="0"/>
        <w:spacing w:after="0" w:line="340" w:lineRule="exact"/>
        <w:jc w:val="both"/>
        <w:rPr>
          <w:rFonts w:ascii="Arial"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56"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56"/>
    </w:p>
    <w:p>
      <w:pPr>
        <w:pStyle w:val="PargrafodaLista"/>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 e/ou pelo Fiador,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e/ou o Fiador e/ou suas respectivas Controladoras e/ou Controladas, de sentença condenatória judicial ou decisão administrativa ou arbitral em decorrência da respectiva atuação em desconformidade com a Legislação Socioambiental (conforme definido abaixo);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pPr>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Theme="minorHAnsi" w:hAnsi="Arial" w:cs="Arial"/>
          <w:sz w:val="22"/>
          <w:szCs w:val="22"/>
        </w:rPr>
      </w:pPr>
      <w:bookmarkStart w:id="57" w:name="_Hlk15044892"/>
      <w:r>
        <w:rPr>
          <w:rFonts w:ascii="Arial" w:eastAsiaTheme="minorHAnsi" w:hAnsi="Arial" w:cs="Arial"/>
          <w:sz w:val="22"/>
          <w:szCs w:val="22"/>
        </w:rPr>
        <w:t xml:space="preserve">atuação, pela Emissora, pelo Fiador, pelo respectivos Controladores e/ou Controladas, em desconformidade com (a) a Legislação Socioambiental; e (b) as Leis </w:t>
      </w:r>
      <w:r>
        <w:rPr>
          <w:rFonts w:ascii="Arial" w:eastAsiaTheme="minorHAnsi" w:hAnsi="Arial" w:cs="Arial"/>
          <w:sz w:val="22"/>
          <w:szCs w:val="22"/>
        </w:rPr>
        <w:lastRenderedPageBreak/>
        <w:t>Anticorrupção e/ou inclusão da Emissora e/ou do Fiador e/ou dos respectivos Controladores e/ou Controladas no Cadastro Nacional de Empresas Inidôneas e Suspensas – CEIS ou no Cadastro Nacional de Empresas Punidas – CNEP</w:t>
      </w:r>
      <w:bookmarkEnd w:id="57"/>
      <w:r>
        <w:rPr>
          <w:rFonts w:ascii="Arial" w:eastAsiaTheme="minorHAnsi" w:hAnsi="Arial" w:cs="Arial"/>
          <w:sz w:val="22"/>
          <w:szCs w:val="22"/>
        </w:rPr>
        <w:t>;</w:t>
      </w:r>
    </w:p>
    <w:p>
      <w:pPr>
        <w:pStyle w:val="Corpodetexto"/>
        <w:widowControl w:val="0"/>
        <w:autoSpaceDE w:val="0"/>
        <w:autoSpaceDN w:val="0"/>
        <w:adjustRightInd w:val="0"/>
        <w:spacing w:after="0" w:line="340" w:lineRule="exact"/>
        <w:jc w:val="both"/>
        <w:rPr>
          <w:rFonts w:ascii="Arial" w:eastAsiaTheme="minorHAnsi"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pPr>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pPr>
        <w:pStyle w:val="PargrafodaLista"/>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e/ou pelo Fiador acima do mínimo legal e/ou de juros sobre capital próprio ou de qualquer tipo de participação nos resultados (incluindo bonificação em ações), exclusivamente no caso de a Emissora e/ou  Fiador estarem descumprindo com as (a) obrigações pecuniárias; (b) obrigações não pecuniárias que causem um Efeito Adverso Relevante (conforme definido abaixo); e/ou (c) Índice Financeiro (conforme definido abaixo) previstos nesta Escritura; </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rebaixamento da classificação de risco da Emissora para BB+(bra)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pPr>
        <w:widowControl w:val="0"/>
        <w:spacing w:line="340" w:lineRule="exact"/>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e/ou pelo Fiador, e verificados pelo Agente Fiduciário, com base nas demonstrações financeiras combinadas auditadas da Emissora e da LM Transportes e Serviços e Comércio Ltda. sendo que a primeira verificação deverá ocorrer com base nas demonstrações financeiras de 31 de dezembro de 2020:</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sado credor da posição de hedge; e </w:t>
      </w:r>
    </w:p>
    <w:p>
      <w:pPr>
        <w:widowControl w:val="0"/>
        <w:autoSpaceDE w:val="0"/>
        <w:autoSpaceDN w:val="0"/>
        <w:spacing w:line="340" w:lineRule="exact"/>
        <w:ind w:left="709"/>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da LM Transportes e Serviços e Comércio Ltda.,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pPr>
        <w:widowControl w:val="0"/>
        <w:autoSpaceDE w:val="0"/>
        <w:autoSpaceDN w:val="0"/>
        <w:spacing w:line="340" w:lineRule="exact"/>
        <w:ind w:left="709"/>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 e/ou (c) efetuado o Resgate Antecipado Total, nos termos previstos na Cláusula 5.1 acima;</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 pela Agência de Classificação de Risco, vigente na data da Transação, como consequência da referida Transação;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5"/>
        </w:numPr>
        <w:autoSpaceDE w:val="0"/>
        <w:autoSpaceDN w:val="0"/>
        <w:adjustRightInd w:val="0"/>
        <w:spacing w:after="0" w:line="340" w:lineRule="exact"/>
        <w:ind w:left="0" w:firstLine="0"/>
        <w:jc w:val="both"/>
        <w:rPr>
          <w:rFonts w:ascii="Arial" w:eastAsia="MS Mincho" w:hAnsi="Arial" w:cs="Arial"/>
          <w:color w:val="000000"/>
          <w:sz w:val="22"/>
          <w:szCs w:val="22"/>
        </w:rPr>
      </w:pPr>
      <w:r>
        <w:rPr>
          <w:rFonts w:ascii="Arial" w:hAnsi="Arial" w:cs="Arial"/>
          <w:sz w:val="22"/>
          <w:szCs w:val="22"/>
        </w:rPr>
        <w:t>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w:t>
      </w:r>
    </w:p>
    <w:p>
      <w:pPr>
        <w:pStyle w:val="Corpodetexto"/>
        <w:widowControl w:val="0"/>
        <w:autoSpaceDE w:val="0"/>
        <w:autoSpaceDN w:val="0"/>
        <w:adjustRightInd w:val="0"/>
        <w:spacing w:after="0" w:line="340" w:lineRule="exact"/>
        <w:jc w:val="both"/>
        <w:rPr>
          <w:rFonts w:ascii="Arial" w:eastAsia="MS Mincho" w:hAnsi="Arial" w:cs="Arial"/>
          <w:color w:val="000000"/>
          <w:sz w:val="22"/>
          <w:szCs w:val="22"/>
        </w:rPr>
      </w:pPr>
    </w:p>
    <w:p>
      <w:pPr>
        <w:pStyle w:val="sub"/>
        <w:numPr>
          <w:ilvl w:val="4"/>
          <w:numId w:val="17"/>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 na Data de Emissão,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os Controladores, as Controladas, sociedades sob o controle comum, Coligadas e/ou subsidiárias de determinada sociedade ou pessoa.</w:t>
      </w:r>
    </w:p>
    <w:p>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58"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 em segunda convocação</w:t>
      </w:r>
      <w:r>
        <w:rPr>
          <w:rFonts w:ascii="Arial" w:hAnsi="Arial" w:cs="Arial"/>
        </w:rPr>
        <w:t>.</w:t>
      </w:r>
      <w:bookmarkEnd w:id="58"/>
      <w:r>
        <w:rPr>
          <w:rFonts w:ascii="Arial" w:hAnsi="Arial" w:cs="Arial"/>
        </w:rPr>
        <w:t xml:space="preserve"> </w:t>
      </w:r>
    </w:p>
    <w:p>
      <w:pPr>
        <w:pStyle w:val="sub"/>
        <w:tabs>
          <w:tab w:val="clear" w:pos="1440"/>
          <w:tab w:val="clear" w:pos="2880"/>
          <w:tab w:val="clear" w:pos="4320"/>
          <w:tab w:val="left" w:pos="709"/>
        </w:tabs>
        <w:spacing w:before="0" w:after="0" w:line="340" w:lineRule="exact"/>
        <w:rPr>
          <w:rFonts w:ascii="Arial" w:eastAsia="Arial Unicode MS" w:hAnsi="Arial" w:cs="Arial"/>
          <w:w w:val="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pPr>
        <w:widowControl w:val="0"/>
        <w:autoSpaceDE w:val="0"/>
        <w:autoSpaceDN w:val="0"/>
        <w:spacing w:line="340" w:lineRule="exact"/>
        <w:jc w:val="both"/>
        <w:rPr>
          <w:rFonts w:ascii="Arial" w:eastAsia="Arial Unicode MS" w:hAnsi="Arial" w:cs="Arial"/>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59"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59"/>
    </w:p>
    <w:p>
      <w:pPr>
        <w:widowControl w:val="0"/>
        <w:autoSpaceDE w:val="0"/>
        <w:autoSpaceDN w:val="0"/>
        <w:spacing w:line="340" w:lineRule="exact"/>
        <w:jc w:val="both"/>
        <w:rPr>
          <w:rFonts w:ascii="Arial" w:eastAsia="Arial Unicode MS" w:hAnsi="Arial" w:cs="Arial"/>
          <w:w w:val="0"/>
          <w:sz w:val="22"/>
          <w:szCs w:val="22"/>
        </w:rPr>
      </w:pPr>
    </w:p>
    <w:p>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6"/>
        </w:numPr>
        <w:spacing w:line="340" w:lineRule="exact"/>
        <w:ind w:left="0" w:firstLine="0"/>
        <w:jc w:val="both"/>
        <w:rPr>
          <w:rFonts w:ascii="Arial" w:eastAsia="Arial Unicode MS" w:hAnsi="Arial" w:cs="Arial"/>
          <w:w w:val="0"/>
          <w:sz w:val="22"/>
          <w:szCs w:val="22"/>
        </w:rPr>
      </w:pPr>
      <w:bookmarkStart w:id="60" w:name="_DV_M188"/>
      <w:bookmarkEnd w:id="60"/>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pPr>
        <w:widowControl w:val="0"/>
        <w:spacing w:line="340" w:lineRule="exact"/>
        <w:jc w:val="both"/>
        <w:rPr>
          <w:rFonts w:ascii="Arial" w:eastAsia="Arial Unicode MS" w:hAnsi="Arial" w:cs="Arial"/>
          <w:w w:val="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o Fiador, preparadas de acordo com os princípios contábeis determinados pela legislação </w:t>
      </w:r>
      <w:r>
        <w:rPr>
          <w:rFonts w:ascii="Arial" w:hAnsi="Arial" w:cs="Arial"/>
          <w:sz w:val="22"/>
          <w:szCs w:val="22"/>
        </w:rPr>
        <w:lastRenderedPageBreak/>
        <w:t xml:space="preserve">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pPr>
        <w:pStyle w:val="corpoescritura2"/>
        <w:spacing w:line="340" w:lineRule="exact"/>
        <w:ind w:right="-1" w:hanging="436"/>
        <w:rPr>
          <w:rFonts w:ascii="Arial" w:hAnsi="Arial" w:cs="Arial"/>
          <w:color w:val="000000"/>
          <w:sz w:val="22"/>
          <w:szCs w:val="22"/>
        </w:rPr>
      </w:pPr>
    </w:p>
    <w:p>
      <w:pPr>
        <w:widowControl w:val="0"/>
        <w:spacing w:line="340" w:lineRule="exact"/>
        <w:ind w:left="708" w:right="-1"/>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lastRenderedPageBreak/>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bookmarkStart w:id="61" w:name="_GoBack"/>
      <w:bookmarkEnd w:id="61"/>
      <w:r>
        <w:rPr>
          <w:rFonts w:ascii="Arial" w:hAnsi="Arial" w:cs="Arial"/>
          <w:color w:val="000000"/>
          <w:sz w:val="22"/>
          <w:szCs w:val="22"/>
        </w:rPr>
        <w:t xml:space="preserve"> </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pPr>
        <w:pStyle w:val="corpoescritura2"/>
        <w:spacing w:line="340" w:lineRule="exact"/>
        <w:ind w:right="-1" w:hanging="436"/>
        <w:rPr>
          <w:rFonts w:ascii="Arial" w:hAnsi="Arial" w:cs="Arial"/>
          <w:color w:val="000000"/>
          <w:sz w:val="22"/>
          <w:szCs w:val="22"/>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 xml:space="preserve">(b) dar </w:t>
      </w:r>
      <w:r>
        <w:rPr>
          <w:rFonts w:ascii="Arial" w:hAnsi="Arial" w:cs="Arial"/>
          <w:sz w:val="22"/>
          <w:szCs w:val="22"/>
        </w:rPr>
        <w:lastRenderedPageBreak/>
        <w:t>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62" w:name="_Hlk33625008"/>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respectivos Controladores, Controladas, seus administradores e membros de conselho de administração, se existentes, funcionários, estes últimos quando agindo em nome e no interesse e beneficio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62"/>
    </w:p>
    <w:p>
      <w:pPr>
        <w:widowControl w:val="0"/>
        <w:spacing w:line="340" w:lineRule="exact"/>
        <w:ind w:hanging="7"/>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do Fiador; e (d) tenha(m) acesso aos empregados, representantes, contratados e subcontratados da Emissora e/ou do Fiador;</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proceder a todas as diligências exigidas para suas respectivas atividades </w:t>
      </w:r>
      <w:r>
        <w:rPr>
          <w:rFonts w:ascii="Arial" w:hAnsi="Arial" w:cs="Arial"/>
          <w:sz w:val="22"/>
          <w:szCs w:val="22"/>
        </w:rPr>
        <w:lastRenderedPageBreak/>
        <w:t xml:space="preserve">econômicas, preservando o meio ambiente e atendendo às determinações dos órgãos municipais, estaduais e federais que, </w:t>
      </w:r>
      <w:bookmarkStart w:id="63" w:name="_DV_M91"/>
      <w:bookmarkEnd w:id="63"/>
      <w:r>
        <w:rPr>
          <w:rFonts w:ascii="Arial" w:hAnsi="Arial" w:cs="Arial"/>
          <w:sz w:val="22"/>
          <w:szCs w:val="22"/>
        </w:rPr>
        <w:t>subsidiariamente, venham a legislar ou regulamentar as normas ambientais em vigor;</w:t>
      </w:r>
    </w:p>
    <w:p>
      <w:pPr>
        <w:pStyle w:val="PargrafodaLista"/>
        <w:rPr>
          <w:rFonts w:ascii="Arial" w:hAnsi="Arial" w:cs="Arial"/>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pPr>
        <w:widowControl w:val="0"/>
        <w:tabs>
          <w:tab w:val="left" w:pos="567"/>
          <w:tab w:val="left" w:pos="709"/>
        </w:tabs>
        <w:spacing w:line="340" w:lineRule="exact"/>
        <w:ind w:hanging="7"/>
        <w:jc w:val="both"/>
        <w:rPr>
          <w:rFonts w:ascii="Arial" w:hAnsi="Arial" w:cs="Arial"/>
          <w:color w:val="000000"/>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dos Contratos da Emissão de que seja parte, e 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19"/>
        </w:numPr>
        <w:tabs>
          <w:tab w:val="left" w:pos="567"/>
          <w:tab w:val="left" w:pos="851"/>
        </w:tabs>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não praticar qualquer ato em desacordo com o seu estatuto/contrato social, objeto social, com os Contratos da Emissão, conforme aplicável, que possam, direta ou indiretamente, comprometer o cumprimento das obrigações assumidas perante os </w:t>
      </w:r>
      <w:r>
        <w:rPr>
          <w:rFonts w:ascii="Arial" w:hAnsi="Arial" w:cs="Arial"/>
          <w:sz w:val="22"/>
          <w:szCs w:val="22"/>
        </w:rPr>
        <w:lastRenderedPageBreak/>
        <w:t>Debenturistas;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xml:space="preserve">”),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w:t>
      </w:r>
      <w:r>
        <w:rPr>
          <w:rFonts w:ascii="Arial" w:hAnsi="Arial" w:cs="Arial"/>
          <w:sz w:val="22"/>
          <w:szCs w:val="22"/>
        </w:rPr>
        <w:lastRenderedPageBreak/>
        <w:t>suas atividades no Brasil ou, por qualquer motivo, inclusive de cunho comercial, esteja ou seja impedida de emitir a classificação de risco da Emissora, esta última deverá contratar outra agência de classificação de risco previamente aprovada pelos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xml:space="preserve">, sendo certo que nesta hipótese o derivativo não será alavancado e a Emissora e/ou o Fiador deverá(ão) disponibilizar o respectivo contrato de derivativo para o Agente Fiduciário e para os Debenturistas; </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pPr>
        <w:pStyle w:val="PargrafodaLista"/>
        <w:spacing w:line="340" w:lineRule="exact"/>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pPr>
        <w:widowControl w:val="0"/>
        <w:spacing w:line="340" w:lineRule="exact"/>
        <w:ind w:left="705"/>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w:t>
      </w:r>
      <w:r>
        <w:rPr>
          <w:rFonts w:ascii="Arial" w:hAnsi="Arial" w:cs="Arial"/>
          <w:kern w:val="16"/>
          <w:sz w:val="22"/>
          <w:szCs w:val="22"/>
        </w:rPr>
        <w:lastRenderedPageBreak/>
        <w:t>financeira da Emissora e/ou a condição econômico-financeira do Fiador, ou afete a sua capacidade de cumprir com suas obrigações decorrentes dos Contratos da Emissão, bem como da Emissão;</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envidar os melhores esforços para que seus clientes e prestadores de serviço adotem as melhores práticas de proteção socioambiental; e</w:t>
      </w:r>
    </w:p>
    <w:p>
      <w:pPr>
        <w:widowControl w:val="0"/>
        <w:spacing w:line="340" w:lineRule="exact"/>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pPr>
        <w:widowControl w:val="0"/>
        <w:spacing w:line="340" w:lineRule="exact"/>
        <w:jc w:val="both"/>
        <w:rPr>
          <w:rFonts w:ascii="Arial" w:hAnsi="Arial" w:cs="Arial"/>
          <w:color w:val="000000"/>
          <w:sz w:val="22"/>
          <w:szCs w:val="22"/>
        </w:rPr>
      </w:pPr>
    </w:p>
    <w:p>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A Emissora e o Fiador deverão incluir, na qualidade de fiadora da Emissão qualquer empresa que seja beneficiária da Emissora e/ou o Fiador e/ou de novos fiadores da Emissão que sejam beneficiários de operação de mútuo ou equivalente, em qualquer caso, em valor superior a R$ 10.000.000,00 (dez milhões de reais) (“</w:t>
      </w:r>
      <w:r>
        <w:rPr>
          <w:rFonts w:ascii="Arial" w:hAnsi="Arial" w:cs="Arial"/>
          <w:color w:val="000000"/>
          <w:sz w:val="22"/>
          <w:szCs w:val="22"/>
          <w:u w:val="single"/>
        </w:rPr>
        <w:t>Limite Operações Novas Sociedades</w:t>
      </w:r>
      <w:r>
        <w:rPr>
          <w:rFonts w:ascii="Arial" w:hAnsi="Arial" w:cs="Arial"/>
          <w:color w:val="000000"/>
          <w:sz w:val="22"/>
          <w:szCs w:val="22"/>
        </w:rPr>
        <w:t>”).</w:t>
      </w:r>
    </w:p>
    <w:p>
      <w:pPr>
        <w:widowControl w:val="0"/>
        <w:spacing w:line="340" w:lineRule="exact"/>
        <w:jc w:val="both"/>
        <w:rPr>
          <w:rFonts w:ascii="Arial" w:hAnsi="Arial" w:cs="Arial"/>
          <w:color w:val="000000"/>
          <w:sz w:val="22"/>
          <w:szCs w:val="22"/>
        </w:rPr>
      </w:pPr>
    </w:p>
    <w:p>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w:t>
      </w:r>
    </w:p>
    <w:p>
      <w:pPr>
        <w:widowControl w:val="0"/>
        <w:spacing w:line="340" w:lineRule="exact"/>
        <w:ind w:left="360"/>
        <w:jc w:val="both"/>
        <w:rPr>
          <w:rFonts w:ascii="Arial" w:hAnsi="Arial" w:cs="Arial"/>
          <w:color w:val="000000"/>
          <w:sz w:val="22"/>
          <w:szCs w:val="22"/>
          <w:shd w:val="clear" w:color="auto" w:fill="FFFF00"/>
        </w:rPr>
      </w:pPr>
    </w:p>
    <w:tbl>
      <w:tblPr>
        <w:tblStyle w:val="Tabelacomgrade"/>
        <w:tblW w:w="0" w:type="auto"/>
        <w:tblInd w:w="360" w:type="dxa"/>
        <w:tblLook w:val="04A0" w:firstRow="1" w:lastRow="0" w:firstColumn="1" w:lastColumn="0" w:noHBand="0" w:noVBand="1"/>
      </w:tblPr>
      <w:tblGrid>
        <w:gridCol w:w="2141"/>
        <w:gridCol w:w="2009"/>
        <w:gridCol w:w="2009"/>
        <w:gridCol w:w="1975"/>
      </w:tblGrid>
      <w:tr>
        <w:tc>
          <w:tcPr>
            <w:tcW w:w="2161" w:type="dxa"/>
          </w:tcPr>
          <w:p>
            <w:pPr>
              <w:spacing w:line="340" w:lineRule="exact"/>
              <w:jc w:val="both"/>
              <w:rPr>
                <w:rFonts w:ascii="Arial" w:hAnsi="Arial" w:cs="Arial"/>
                <w:sz w:val="22"/>
                <w:szCs w:val="22"/>
              </w:rPr>
            </w:pPr>
            <w:r>
              <w:rPr>
                <w:rFonts w:ascii="Arial" w:hAnsi="Arial" w:cs="Arial"/>
                <w:color w:val="000000"/>
                <w:sz w:val="22"/>
                <w:szCs w:val="22"/>
              </w:rPr>
              <w:t>Empresa </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2020 </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2021</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2022</w:t>
            </w:r>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AuraBrasil – Transportes, Máquinas e Equipamentos Ltda.</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R$85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 xml:space="preserve">R$40 milhões </w:t>
            </w:r>
          </w:p>
        </w:tc>
        <w:tc>
          <w:tcPr>
            <w:tcW w:w="2161" w:type="dxa"/>
          </w:tcPr>
          <w:p>
            <w:pPr>
              <w:spacing w:line="340" w:lineRule="exact"/>
              <w:jc w:val="both"/>
              <w:rPr>
                <w:rFonts w:ascii="Arial" w:hAnsi="Arial" w:cs="Arial"/>
                <w:sz w:val="22"/>
                <w:szCs w:val="22"/>
              </w:rPr>
            </w:pPr>
            <w:r>
              <w:rPr>
                <w:rFonts w:ascii="Arial" w:hAnsi="Arial" w:cs="Arial"/>
                <w:sz w:val="22"/>
                <w:szCs w:val="22"/>
              </w:rPr>
              <w:t>zero</w:t>
            </w:r>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Bravo Caminhões e Empreendimentos Ltda</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R$8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R$4 milhões</w:t>
            </w:r>
          </w:p>
        </w:tc>
        <w:tc>
          <w:tcPr>
            <w:tcW w:w="2161" w:type="dxa"/>
          </w:tcPr>
          <w:p>
            <w:pPr>
              <w:spacing w:line="340" w:lineRule="exact"/>
              <w:jc w:val="both"/>
              <w:rPr>
                <w:rFonts w:ascii="Arial" w:hAnsi="Arial" w:cs="Arial"/>
                <w:sz w:val="22"/>
                <w:szCs w:val="22"/>
              </w:rPr>
            </w:pPr>
            <w:r>
              <w:rPr>
                <w:rFonts w:ascii="Arial" w:hAnsi="Arial" w:cs="Arial"/>
                <w:sz w:val="22"/>
                <w:szCs w:val="22"/>
              </w:rPr>
              <w:t>zero</w:t>
            </w:r>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[Aero Santo Antônio]</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R$6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R$3 milhões</w:t>
            </w:r>
          </w:p>
        </w:tc>
        <w:tc>
          <w:tcPr>
            <w:tcW w:w="2161" w:type="dxa"/>
          </w:tcPr>
          <w:p>
            <w:pPr>
              <w:spacing w:line="340" w:lineRule="exact"/>
              <w:jc w:val="both"/>
              <w:rPr>
                <w:rFonts w:ascii="Arial" w:hAnsi="Arial" w:cs="Arial"/>
                <w:sz w:val="22"/>
                <w:szCs w:val="22"/>
              </w:rPr>
            </w:pPr>
            <w:r>
              <w:rPr>
                <w:rFonts w:ascii="Arial" w:hAnsi="Arial" w:cs="Arial"/>
                <w:sz w:val="22"/>
                <w:szCs w:val="22"/>
              </w:rPr>
              <w:t>zero</w:t>
            </w:r>
          </w:p>
        </w:tc>
      </w:tr>
      <w:tr>
        <w:tc>
          <w:tcPr>
            <w:tcW w:w="2161" w:type="dxa"/>
          </w:tcPr>
          <w:p>
            <w:pPr>
              <w:spacing w:line="340" w:lineRule="exact"/>
              <w:jc w:val="both"/>
              <w:rPr>
                <w:rFonts w:ascii="Arial" w:hAnsi="Arial" w:cs="Arial"/>
                <w:sz w:val="22"/>
                <w:szCs w:val="22"/>
              </w:rPr>
            </w:pPr>
            <w:r>
              <w:rPr>
                <w:rFonts w:ascii="Arial" w:hAnsi="Arial" w:cs="Arial"/>
                <w:color w:val="000000"/>
                <w:sz w:val="22"/>
                <w:szCs w:val="22"/>
              </w:rPr>
              <w:t>LM Participações e Empreendimentos S.A.</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R$3 milhões</w:t>
            </w:r>
          </w:p>
        </w:tc>
        <w:tc>
          <w:tcPr>
            <w:tcW w:w="2161" w:type="dxa"/>
          </w:tcPr>
          <w:p>
            <w:pPr>
              <w:spacing w:line="340" w:lineRule="exact"/>
              <w:jc w:val="both"/>
              <w:rPr>
                <w:rFonts w:ascii="Arial" w:hAnsi="Arial" w:cs="Arial"/>
                <w:sz w:val="22"/>
                <w:szCs w:val="22"/>
              </w:rPr>
            </w:pPr>
            <w:r>
              <w:rPr>
                <w:rFonts w:ascii="Arial" w:hAnsi="Arial" w:cs="Arial"/>
                <w:color w:val="000000"/>
                <w:sz w:val="22"/>
                <w:szCs w:val="22"/>
              </w:rPr>
              <w:t>R$2 milhões</w:t>
            </w:r>
          </w:p>
        </w:tc>
        <w:tc>
          <w:tcPr>
            <w:tcW w:w="2161" w:type="dxa"/>
          </w:tcPr>
          <w:p>
            <w:pPr>
              <w:spacing w:line="340" w:lineRule="exact"/>
              <w:jc w:val="both"/>
              <w:rPr>
                <w:rFonts w:ascii="Arial" w:hAnsi="Arial" w:cs="Arial"/>
                <w:sz w:val="22"/>
                <w:szCs w:val="22"/>
              </w:rPr>
            </w:pPr>
            <w:r>
              <w:rPr>
                <w:rFonts w:ascii="Arial" w:hAnsi="Arial" w:cs="Arial"/>
                <w:sz w:val="22"/>
                <w:szCs w:val="22"/>
              </w:rPr>
              <w:t>zero</w:t>
            </w:r>
          </w:p>
        </w:tc>
      </w:tr>
    </w:tbl>
    <w:p>
      <w:pPr>
        <w:widowControl w:val="0"/>
        <w:spacing w:line="340" w:lineRule="exact"/>
        <w:jc w:val="both"/>
        <w:rPr>
          <w:rFonts w:ascii="Arial" w:hAnsi="Arial" w:cs="Arial"/>
          <w:color w:val="000000"/>
          <w:sz w:val="22"/>
          <w:szCs w:val="22"/>
        </w:rPr>
      </w:pPr>
    </w:p>
    <w:p>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 Agente Fiduciário deverá apurar anualmente</w:t>
      </w:r>
      <w:r>
        <w:rPr>
          <w:rFonts w:ascii="Arial" w:hAnsi="Arial" w:cs="Arial"/>
          <w:color w:val="000000"/>
          <w:sz w:val="22"/>
          <w:szCs w:val="22"/>
        </w:rPr>
        <w:t xml:space="preserve"> no dia 11 dos meses de junho</w:t>
      </w:r>
      <w:r>
        <w:rPr>
          <w:rFonts w:ascii="Arial" w:hAnsi="Arial" w:cs="Arial"/>
          <w:color w:val="000000"/>
          <w:sz w:val="22"/>
          <w:szCs w:val="22"/>
        </w:rPr>
        <w:t xml:space="preserve">, </w:t>
      </w:r>
      <w:r>
        <w:rPr>
          <w:rFonts w:ascii="Arial" w:hAnsi="Arial" w:cs="Arial"/>
          <w:color w:val="000000"/>
          <w:sz w:val="22"/>
          <w:szCs w:val="22"/>
        </w:rPr>
        <w:t xml:space="preserve">a contar da Data de Emissão </w:t>
      </w:r>
      <w:r>
        <w:rPr>
          <w:rFonts w:ascii="Arial" w:hAnsi="Arial" w:cs="Arial"/>
          <w:color w:val="000000"/>
          <w:sz w:val="22"/>
          <w:szCs w:val="22"/>
        </w:rPr>
        <w:t>(“</w:t>
      </w:r>
      <w:r>
        <w:rPr>
          <w:rFonts w:ascii="Arial" w:hAnsi="Arial" w:cs="Arial"/>
          <w:color w:val="000000"/>
          <w:sz w:val="22"/>
          <w:szCs w:val="22"/>
          <w:u w:val="single"/>
        </w:rPr>
        <w:t>Data de Verificação</w:t>
      </w:r>
      <w:r>
        <w:rPr>
          <w:rFonts w:ascii="Arial" w:hAnsi="Arial" w:cs="Arial"/>
          <w:color w:val="000000"/>
          <w:sz w:val="22"/>
          <w:szCs w:val="22"/>
        </w:rPr>
        <w:t xml:space="preserve">”), os Limites das Operações com Partes Relacionada por meio dos contratos que serão enviados pela Emissora e pelo </w:t>
      </w:r>
      <w:r>
        <w:rPr>
          <w:rFonts w:ascii="Arial" w:hAnsi="Arial" w:cs="Arial"/>
          <w:color w:val="000000"/>
          <w:sz w:val="22"/>
          <w:szCs w:val="22"/>
        </w:rPr>
        <w:lastRenderedPageBreak/>
        <w:t xml:space="preserve">Fiador. </w:t>
      </w:r>
    </w:p>
    <w:p>
      <w:pPr>
        <w:widowControl w:val="0"/>
        <w:spacing w:line="340" w:lineRule="exact"/>
        <w:jc w:val="both"/>
        <w:rPr>
          <w:rFonts w:ascii="Arial" w:hAnsi="Arial" w:cs="Arial"/>
          <w:color w:val="000000"/>
          <w:sz w:val="22"/>
          <w:szCs w:val="22"/>
        </w:rPr>
      </w:pPr>
    </w:p>
    <w:p>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Caso seja verificado que quaisquer dos Limites das Operações com Partes Relacionadas foi superado, a Emissora e o Fiador deverão celebrar aditamento a esta Escritura, no prazo de 10 (dez) Dias Úteis da respectiva Data de Verificação para inclusão da(s) sociedades(s) beneficiárias das operações mencionadas nesta Cláusula 6.2, como fiadora desta Emissão. </w:t>
      </w:r>
    </w:p>
    <w:p>
      <w:pPr>
        <w:widowControl w:val="0"/>
        <w:spacing w:line="340" w:lineRule="exact"/>
        <w:jc w:val="both"/>
        <w:rPr>
          <w:rFonts w:ascii="Arial" w:hAnsi="Arial" w:cs="Arial"/>
          <w:color w:val="000000"/>
          <w:sz w:val="22"/>
          <w:szCs w:val="22"/>
        </w:rPr>
      </w:pPr>
    </w:p>
    <w:p>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bookmarkStart w:id="64" w:name="_DV_M189"/>
      <w:bookmarkStart w:id="65" w:name="_DV_M190"/>
      <w:bookmarkStart w:id="66" w:name="_DV_M191"/>
      <w:bookmarkStart w:id="67" w:name="_DV_M194"/>
      <w:bookmarkStart w:id="68" w:name="_DV_M199"/>
      <w:bookmarkStart w:id="69" w:name="_DV_M203"/>
      <w:bookmarkStart w:id="70" w:name="_DV_M205"/>
      <w:bookmarkStart w:id="71" w:name="_DV_M206"/>
      <w:bookmarkStart w:id="72" w:name="_DV_M207"/>
      <w:bookmarkStart w:id="73" w:name="_DV_M208"/>
      <w:bookmarkStart w:id="74" w:name="_DV_M210"/>
      <w:bookmarkStart w:id="75" w:name="_DV_M211"/>
      <w:bookmarkStart w:id="76" w:name="_DV_M76"/>
      <w:bookmarkStart w:id="77" w:name="_DV_M77"/>
      <w:bookmarkStart w:id="78" w:name="_DV_M78"/>
      <w:bookmarkStart w:id="79" w:name="_DV_M75"/>
      <w:bookmarkStart w:id="80" w:name="_DV_M79"/>
      <w:bookmarkStart w:id="81" w:name="_DV_M80"/>
      <w:bookmarkStart w:id="82" w:name="_DV_M212"/>
      <w:bookmarkStart w:id="83" w:name="_DV_M213"/>
      <w:bookmarkStart w:id="84" w:name="_DV_M214"/>
      <w:bookmarkStart w:id="85" w:name="_DV_M217"/>
      <w:bookmarkStart w:id="86" w:name="_DV_M218"/>
      <w:bookmarkStart w:id="87" w:name="_DV_M219"/>
      <w:bookmarkStart w:id="88" w:name="_DV_M223"/>
      <w:bookmarkStart w:id="89" w:name="_DV_M225"/>
      <w:bookmarkStart w:id="90" w:name="_DV_M23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Arial" w:eastAsia="Arial Unicode MS" w:hAnsi="Arial" w:cs="Arial"/>
          <w:b/>
          <w:bCs/>
          <w:w w:val="0"/>
          <w:sz w:val="22"/>
          <w:szCs w:val="22"/>
        </w:rPr>
        <w:t>DO AGENTE FIDUCIÁRIO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pPr>
        <w:widowControl w:val="0"/>
        <w:spacing w:line="340" w:lineRule="exact"/>
        <w:ind w:left="390"/>
        <w:jc w:val="both"/>
        <w:rPr>
          <w:rFonts w:ascii="Arial" w:eastAsia="Arial Unicode MS" w:hAnsi="Arial" w:cs="Arial"/>
          <w:b/>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1" w:name="_DV_M243"/>
      <w:bookmarkEnd w:id="91"/>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pPr>
        <w:widowControl w:val="0"/>
        <w:tabs>
          <w:tab w:val="left" w:pos="567"/>
        </w:tabs>
        <w:spacing w:line="340" w:lineRule="exact"/>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92" w:name="_DV_C424"/>
      <w:r>
        <w:rPr>
          <w:rFonts w:ascii="Arial" w:eastAsia="Arial Unicode MS" w:hAnsi="Arial" w:cs="Arial"/>
          <w:sz w:val="22"/>
          <w:szCs w:val="22"/>
        </w:rPr>
        <w:t xml:space="preserve">que </w:t>
      </w:r>
      <w:bookmarkStart w:id="93" w:name="_DV_X465"/>
      <w:bookmarkStart w:id="94" w:name="_DV_C425"/>
      <w:bookmarkEnd w:id="92"/>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95" w:name="_DV_C426"/>
      <w:bookmarkEnd w:id="93"/>
      <w:bookmarkEnd w:id="94"/>
      <w:r>
        <w:rPr>
          <w:rFonts w:ascii="Arial" w:eastAsia="Arial Unicode MS" w:hAnsi="Arial" w:cs="Arial"/>
          <w:sz w:val="22"/>
          <w:szCs w:val="22"/>
        </w:rPr>
        <w:t>, vinculativa e eficaz</w:t>
      </w:r>
      <w:bookmarkStart w:id="96" w:name="_DV_X467"/>
      <w:bookmarkStart w:id="97" w:name="_DV_C427"/>
      <w:bookmarkEnd w:id="95"/>
      <w:r>
        <w:rPr>
          <w:rFonts w:ascii="Arial" w:eastAsia="Arial Unicode MS" w:hAnsi="Arial" w:cs="Arial"/>
          <w:sz w:val="22"/>
          <w:szCs w:val="22"/>
        </w:rPr>
        <w:t xml:space="preserve"> do Agente Fiduciário, exequível de acordo com os seus termos e condições;</w:t>
      </w:r>
      <w:bookmarkEnd w:id="96"/>
      <w:bookmarkEnd w:id="97"/>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estar ciente da regulamentação aplicável emanada do Banco Central do Brasil e </w:t>
      </w:r>
      <w:r>
        <w:rPr>
          <w:rFonts w:ascii="Arial" w:eastAsia="Arial Unicode MS" w:hAnsi="Arial" w:cs="Arial"/>
          <w:sz w:val="22"/>
          <w:szCs w:val="22"/>
        </w:rPr>
        <w:lastRenderedPageBreak/>
        <w:t>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os Contratos da Emissão de quais é parte, e a cumprir suas obrigações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w:t>
      </w:r>
      <w:r>
        <w:rPr>
          <w:rFonts w:ascii="Arial" w:eastAsia="Arial Unicode MS" w:hAnsi="Arial" w:cs="Arial"/>
          <w:sz w:val="22"/>
          <w:szCs w:val="22"/>
        </w:rPr>
        <w:lastRenderedPageBreak/>
        <w:t xml:space="preserve">emissões: </w:t>
      </w:r>
    </w:p>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Debêntures</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00.389.481/0001-79</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2</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Única</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LMTI12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Adimplente</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ICVM 476</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30.000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R$ 10.000,00</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R$ 300.000.000,00</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Garantia Real</w:t>
            </w:r>
          </w:p>
        </w:tc>
      </w:tr>
      <w:tr>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DI + 2,95</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11/12/2018</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11/12/2022</w:t>
            </w:r>
          </w:p>
        </w:tc>
      </w:tr>
      <w:tr>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Notas Promissórias</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NC0019006HN</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BRLMTPNPM009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 DI + 2,20% a.a.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30/09/2019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30/01/2022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4"/>
        </w:numPr>
        <w:tabs>
          <w:tab w:val="left" w:pos="851"/>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98"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98"/>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 bem </w:t>
      </w:r>
      <w:r>
        <w:rPr>
          <w:rFonts w:ascii="Arial" w:eastAsia="Arial Unicode MS" w:hAnsi="Arial" w:cs="Arial"/>
          <w:sz w:val="22"/>
          <w:szCs w:val="22"/>
        </w:rPr>
        <w:t>ao Contrato de Alienação Fiduciária e ao Contrato de Depósito,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 xml:space="preserve">Escritura ou de eventual aditamento relativo à sua substituição devendo permanecer no exercício de suas funções até a sua efetiva substituição ou </w:t>
      </w:r>
      <w:r>
        <w:rPr>
          <w:rFonts w:ascii="Arial" w:eastAsia="Arial Unicode MS" w:hAnsi="Arial" w:cs="Arial"/>
          <w:w w:val="0"/>
          <w:sz w:val="22"/>
          <w:szCs w:val="22"/>
        </w:rPr>
        <w:lastRenderedPageBreak/>
        <w:t>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99" w:name="_Ref420334695"/>
      <w:r>
        <w:rPr>
          <w:rFonts w:ascii="Arial" w:hAnsi="Arial" w:cs="Arial"/>
          <w:sz w:val="22"/>
          <w:szCs w:val="22"/>
        </w:rPr>
        <w:t>diligenciar junto à Emissora e ao Fiador para que esta Escritura e o Contrato de Alienação Fiduciária, e seus respectivos aditamentos sejam registrados na JUCEB e nos RTDs, adotando, no caso da omissão da Emissora e/ou o Fiador, as medidas eventualmente previstas em lei;</w:t>
      </w:r>
      <w:bookmarkEnd w:id="99"/>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verificar a regularidade da constituição das Garantias, bem como o valor dos bens objeto das Garantias, observando a manutenção de sua suficiência e exequibilidade, nos termos desta Escritura e do Contrato de Alienação Fiduciária;</w:t>
      </w:r>
    </w:p>
    <w:p>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 e/ou no Fiador;</w:t>
      </w:r>
    </w:p>
    <w:p>
      <w:pPr>
        <w:widowControl w:val="0"/>
        <w:tabs>
          <w:tab w:val="left" w:pos="567"/>
        </w:tabs>
        <w:spacing w:line="340" w:lineRule="exact"/>
        <w:jc w:val="both"/>
        <w:rPr>
          <w:rFonts w:ascii="Arial"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e pelo Fiador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e pelo Fiador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comentários sobre indicadores econômicos, financeiros e de estrutura de capital da Emissora e do Fiado relacionados a Cláusulas destinadas a </w:t>
      </w:r>
      <w:r>
        <w:rPr>
          <w:rFonts w:ascii="Arial" w:eastAsia="Arial Unicode MS" w:hAnsi="Arial" w:cs="Arial"/>
          <w:sz w:val="22"/>
          <w:szCs w:val="22"/>
        </w:rPr>
        <w:lastRenderedPageBreak/>
        <w:t>proteger o interesse dos titulares dos valores mobiliários e que estabelecem condições que não devem ser descumpridas pela Emissora e pelo Fiador;</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e pelo Fiador nesta Escritura e no Contrato de Alienação Fiduciária;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 xml:space="preserve">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w:t>
      </w:r>
      <w:r>
        <w:rPr>
          <w:rFonts w:ascii="Arial" w:eastAsia="Arial Unicode MS" w:hAnsi="Arial" w:cs="Arial"/>
          <w:w w:val="0"/>
          <w:sz w:val="22"/>
          <w:szCs w:val="22"/>
        </w:rPr>
        <w:lastRenderedPageBreak/>
        <w:t>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nos Contratos da Emissão de quais seja parte,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0"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00"/>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Escritura e do Contrato de Alienação Fiduciária,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e/ou do Fiador,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tomar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e/ou do Fiador,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(iv)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1"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01"/>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2"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2"/>
    </w:p>
    <w:p>
      <w:pPr>
        <w:pStyle w:val="PargrafodaLista"/>
        <w:widowControl w:val="0"/>
        <w:spacing w:line="340" w:lineRule="exact"/>
        <w:rPr>
          <w:rFonts w:ascii="Arial" w:eastAsia="Arial Unicode MS" w:hAnsi="Arial" w:cs="Arial"/>
          <w:w w:val="0"/>
          <w:sz w:val="22"/>
          <w:szCs w:val="22"/>
        </w:rPr>
      </w:pPr>
    </w:p>
    <w:p>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w:t>
      </w:r>
      <w:r>
        <w:rPr>
          <w:rFonts w:ascii="Arial" w:eastAsia="Arial Unicode MS" w:hAnsi="Arial" w:cs="Arial"/>
          <w:w w:val="0"/>
          <w:sz w:val="22"/>
          <w:szCs w:val="22"/>
        </w:rPr>
        <w:lastRenderedPageBreak/>
        <w:t xml:space="preserve">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 e/ou ao Fiador.</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4"/>
        </w:numPr>
        <w:tabs>
          <w:tab w:val="left" w:pos="851"/>
        </w:tabs>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03"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03"/>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104" w:name="_DV_M371"/>
      <w:bookmarkEnd w:id="104"/>
    </w:p>
    <w:p>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05" w:name="_DV_M231"/>
      <w:bookmarkStart w:id="106" w:name="_DV_M232"/>
      <w:bookmarkStart w:id="107" w:name="_DV_M240"/>
      <w:bookmarkStart w:id="108" w:name="_DV_M241"/>
      <w:bookmarkStart w:id="109" w:name="_DV_M246"/>
      <w:bookmarkStart w:id="110" w:name="_DV_M247"/>
      <w:bookmarkStart w:id="111" w:name="_DV_M248"/>
      <w:bookmarkStart w:id="112" w:name="_DV_M249"/>
      <w:bookmarkStart w:id="113" w:name="_DV_M250"/>
      <w:bookmarkStart w:id="114" w:name="_DV_M256"/>
      <w:bookmarkStart w:id="115" w:name="_DV_M257"/>
      <w:bookmarkStart w:id="116" w:name="_DV_M263"/>
      <w:bookmarkStart w:id="117" w:name="_DV_M265"/>
      <w:bookmarkStart w:id="118" w:name="_DV_M266"/>
      <w:bookmarkStart w:id="119" w:name="_DV_M267"/>
      <w:bookmarkStart w:id="120" w:name="_DV_M269"/>
      <w:bookmarkStart w:id="121" w:name="_DV_M270"/>
      <w:bookmarkStart w:id="122" w:name="_DV_M272"/>
      <w:bookmarkStart w:id="123" w:name="_DV_M273"/>
      <w:bookmarkStart w:id="124" w:name="_DV_M274"/>
      <w:bookmarkStart w:id="125" w:name="_DV_M275"/>
      <w:bookmarkStart w:id="126" w:name="_DV_M276"/>
      <w:bookmarkStart w:id="127" w:name="_DV_M277"/>
      <w:bookmarkStart w:id="128" w:name="_DV_M278"/>
      <w:bookmarkStart w:id="129" w:name="_DV_M279"/>
      <w:bookmarkStart w:id="130" w:name="_DV_M280"/>
      <w:bookmarkStart w:id="131" w:name="_DV_M281"/>
      <w:bookmarkStart w:id="132" w:name="_DV_M282"/>
      <w:bookmarkStart w:id="133" w:name="_DV_M285"/>
      <w:bookmarkStart w:id="134" w:name="_DV_M286"/>
      <w:bookmarkStart w:id="135" w:name="_DV_M287"/>
      <w:bookmarkStart w:id="136" w:name="_DV_M288"/>
      <w:bookmarkStart w:id="137" w:name="_DV_M289"/>
      <w:bookmarkStart w:id="138" w:name="_DV_M291"/>
      <w:bookmarkStart w:id="139" w:name="_DV_M293"/>
      <w:bookmarkStart w:id="140" w:name="_DV_M295"/>
      <w:bookmarkStart w:id="141" w:name="_DV_M296"/>
      <w:bookmarkStart w:id="142" w:name="_DV_M298"/>
      <w:bookmarkStart w:id="143" w:name="_DV_M300"/>
      <w:bookmarkStart w:id="144" w:name="_DV_M302"/>
      <w:bookmarkStart w:id="145" w:name="_DV_M304"/>
      <w:bookmarkStart w:id="146" w:name="_DV_M306"/>
      <w:bookmarkStart w:id="147" w:name="_DV_M308"/>
      <w:bookmarkStart w:id="148" w:name="_DV_M309"/>
      <w:bookmarkStart w:id="149" w:name="_DV_M310"/>
      <w:bookmarkStart w:id="150" w:name="_DV_M313"/>
      <w:bookmarkStart w:id="151" w:name="_DV_M315"/>
      <w:bookmarkStart w:id="152" w:name="_DV_M317"/>
      <w:bookmarkStart w:id="153" w:name="_DV_M318"/>
      <w:bookmarkStart w:id="154" w:name="_DV_M319"/>
      <w:bookmarkStart w:id="155" w:name="_DV_M320"/>
      <w:bookmarkStart w:id="156" w:name="_DV_M323"/>
      <w:bookmarkStart w:id="157" w:name="_DV_M324"/>
      <w:bookmarkStart w:id="158" w:name="_DV_M325"/>
      <w:bookmarkStart w:id="159" w:name="_DV_M326"/>
      <w:bookmarkStart w:id="160" w:name="_DV_M331"/>
      <w:bookmarkStart w:id="161" w:name="_DV_M338"/>
      <w:bookmarkStart w:id="162" w:name="_DV_M339"/>
      <w:bookmarkStart w:id="163" w:name="_DV_M343"/>
      <w:bookmarkStart w:id="164" w:name="_DV_M345"/>
      <w:bookmarkStart w:id="165" w:name="_DV_M346"/>
      <w:bookmarkStart w:id="166" w:name="_DV_M347"/>
      <w:bookmarkStart w:id="167" w:name="_DV_M348"/>
      <w:bookmarkStart w:id="168" w:name="_DV_M349"/>
      <w:bookmarkStart w:id="169" w:name="_DV_M353"/>
      <w:bookmarkStart w:id="170" w:name="_Ref4019794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ascii="Arial" w:hAnsi="Arial" w:cs="Arial"/>
          <w:b/>
          <w:iCs/>
          <w:w w:val="0"/>
          <w:sz w:val="22"/>
          <w:szCs w:val="22"/>
        </w:rPr>
        <w:t>DA ASSEMBLEIA GERAL DE DEBENTURISTAS</w:t>
      </w:r>
      <w:bookmarkEnd w:id="170"/>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1" w:name="_DV_C607"/>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172"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pPr>
        <w:pStyle w:val="PargrafodaLista"/>
        <w:widowControl w:val="0"/>
        <w:spacing w:line="340" w:lineRule="exact"/>
        <w:ind w:left="0"/>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73" w:name="_DV_C608"/>
      <w:r>
        <w:rPr>
          <w:rFonts w:eastAsia="Arial Unicode MS" w:cs="Arial"/>
          <w:b w:val="0"/>
          <w:sz w:val="22"/>
          <w:szCs w:val="22"/>
        </w:rPr>
        <w:t>.</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4" w:name="_DV_M375"/>
      <w:bookmarkEnd w:id="173"/>
      <w:bookmarkEnd w:id="174"/>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pPr>
        <w:widowControl w:val="0"/>
        <w:spacing w:line="340" w:lineRule="exact"/>
        <w:rPr>
          <w:rFonts w:ascii="Arial" w:eastAsia="Arial Unicode MS" w:hAnsi="Arial" w:cs="Arial"/>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widowControl w:val="0"/>
        <w:tabs>
          <w:tab w:val="left" w:pos="709"/>
        </w:tabs>
        <w:spacing w:line="340" w:lineRule="exact"/>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hAnsi="Arial" w:cs="Arial"/>
          <w:sz w:val="22"/>
          <w:szCs w:val="22"/>
        </w:rPr>
      </w:pPr>
      <w:bookmarkStart w:id="175"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75"/>
    </w:p>
    <w:p>
      <w:pPr>
        <w:pStyle w:val="citpet"/>
        <w:shd w:val="clear" w:color="auto" w:fill="FFFFFF"/>
        <w:tabs>
          <w:tab w:val="left" w:pos="0"/>
          <w:tab w:val="left" w:pos="709"/>
        </w:tabs>
        <w:spacing w:line="340" w:lineRule="exact"/>
        <w:ind w:left="0"/>
        <w:rPr>
          <w:rFonts w:ascii="Arial" w:hAnsi="Arial" w:cs="Arial"/>
          <w:sz w:val="22"/>
          <w:szCs w:val="22"/>
        </w:rPr>
      </w:pPr>
      <w:bookmarkStart w:id="176" w:name="_Ref392020841"/>
    </w:p>
    <w:p>
      <w:pPr>
        <w:pStyle w:val="citpet"/>
        <w:numPr>
          <w:ilvl w:val="2"/>
          <w:numId w:val="24"/>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176"/>
    </w:p>
    <w:p>
      <w:pPr>
        <w:pStyle w:val="Level4"/>
        <w:widowControl w:val="0"/>
        <w:numPr>
          <w:ilvl w:val="0"/>
          <w:numId w:val="0"/>
        </w:numPr>
        <w:tabs>
          <w:tab w:val="num" w:pos="2041"/>
        </w:tabs>
        <w:spacing w:after="120" w:line="340" w:lineRule="exact"/>
        <w:ind w:left="1360"/>
        <w:outlineLvl w:val="3"/>
        <w:rPr>
          <w:rFonts w:cs="Arial"/>
          <w:sz w:val="22"/>
          <w:szCs w:val="22"/>
        </w:rPr>
      </w:pPr>
    </w:p>
    <w:p>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os quóruns expressamente previstos em outros itens e/ou Cláusulas desta Escritura e/ou do Contratos de Alienação Fiduciária; e </w:t>
      </w:r>
    </w:p>
    <w:p>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77" w:name="_Ref459799771"/>
      <w:r>
        <w:rPr>
          <w:rFonts w:cs="Arial"/>
          <w:sz w:val="22"/>
          <w:szCs w:val="22"/>
        </w:rPr>
        <w:t xml:space="preserve">as Hipóteses de Vencimento Antecipado, (f) quaisquer obrigações ou declarações e garantias da Emissora e do Fiador, (g) quaisquer alterações das Garantias, (h) alterações das </w:t>
      </w:r>
      <w:r>
        <w:rPr>
          <w:rFonts w:cs="Arial"/>
          <w:sz w:val="22"/>
          <w:szCs w:val="22"/>
        </w:rPr>
        <w:lastRenderedPageBreak/>
        <w:t xml:space="preserve">condições de liquidação antecipada e/ou resgate antecipado das Debêntures, </w:t>
      </w:r>
      <w:r>
        <w:rPr>
          <w:rFonts w:cs="Arial"/>
          <w:color w:val="000000" w:themeColor="text1"/>
          <w:sz w:val="22"/>
          <w:szCs w:val="22"/>
        </w:rPr>
        <w:t>(j) da espécie das Debêntures; (k) da criação de evento de repactuação das Debêntures</w:t>
      </w:r>
      <w:r>
        <w:rPr>
          <w:rFonts w:cs="Arial"/>
          <w:sz w:val="22"/>
          <w:szCs w:val="22"/>
        </w:rPr>
        <w:t>, que dependerão da aprovação, por Debenturistas que, em primeira ou segunda convocações, representem, no mínimo, 70% (setenta por cento) das Debêntures em Circulação.</w:t>
      </w:r>
      <w:bookmarkEnd w:id="177"/>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(ii) as de titularidade de (a) sociedades do mesmo Grupo 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78" w:name="_DV_M382"/>
      <w:bookmarkEnd w:id="178"/>
    </w:p>
    <w:p>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79" w:name="_DV_M384"/>
      <w:bookmarkStart w:id="180" w:name="_DV_M387"/>
      <w:bookmarkStart w:id="181" w:name="_DV_M393"/>
      <w:bookmarkEnd w:id="171"/>
      <w:bookmarkEnd w:id="172"/>
      <w:bookmarkEnd w:id="179"/>
      <w:bookmarkEnd w:id="180"/>
      <w:bookmarkEnd w:id="181"/>
      <w:r>
        <w:rPr>
          <w:rFonts w:ascii="Arial" w:hAnsi="Arial" w:cs="Arial"/>
          <w:b/>
          <w:w w:val="0"/>
          <w:sz w:val="22"/>
          <w:szCs w:val="22"/>
        </w:rPr>
        <w:t>DECLARAÇÕES E GARANTIAS DA EMISSORA E DO FIADOR</w:t>
      </w:r>
    </w:p>
    <w:p>
      <w:pPr>
        <w:pStyle w:val="p0"/>
        <w:tabs>
          <w:tab w:val="clear" w:pos="720"/>
        </w:tabs>
        <w:spacing w:line="340" w:lineRule="exact"/>
        <w:rPr>
          <w:rFonts w:ascii="Arial" w:eastAsia="Arial Unicode MS" w:hAnsi="Arial" w:cs="Arial"/>
          <w:sz w:val="22"/>
          <w:szCs w:val="22"/>
        </w:rPr>
      </w:pPr>
      <w:bookmarkStart w:id="182" w:name="_DV_M394"/>
      <w:bookmarkEnd w:id="182"/>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83" w:name="_DV_M398"/>
      <w:bookmarkStart w:id="184" w:name="_DV_M400"/>
      <w:bookmarkStart w:id="185" w:name="_DV_M401"/>
      <w:bookmarkStart w:id="186" w:name="_DV_M402"/>
      <w:bookmarkStart w:id="187" w:name="_DV_M403"/>
      <w:bookmarkStart w:id="188" w:name="_DV_M404"/>
      <w:bookmarkStart w:id="189" w:name="_DV_M405"/>
      <w:bookmarkStart w:id="190" w:name="_DV_M409"/>
      <w:bookmarkEnd w:id="183"/>
      <w:bookmarkEnd w:id="184"/>
      <w:bookmarkEnd w:id="185"/>
      <w:bookmarkEnd w:id="186"/>
      <w:bookmarkEnd w:id="187"/>
      <w:bookmarkEnd w:id="188"/>
      <w:bookmarkEnd w:id="189"/>
      <w:bookmarkEnd w:id="190"/>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91" w:name="_DV_M222"/>
      <w:bookmarkEnd w:id="191"/>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w:t>
      </w:r>
      <w:r>
        <w:rPr>
          <w:rFonts w:ascii="Arial" w:hAnsi="Arial" w:cs="Arial"/>
          <w:kern w:val="16"/>
          <w:sz w:val="22"/>
          <w:szCs w:val="22"/>
        </w:rPr>
        <w:lastRenderedPageBreak/>
        <w:t>(b)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92"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192"/>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w:t>
      </w:r>
      <w:r>
        <w:rPr>
          <w:rFonts w:ascii="Arial" w:hAnsi="Arial" w:cs="Arial"/>
          <w:sz w:val="22"/>
          <w:szCs w:val="22"/>
        </w:rPr>
        <w:lastRenderedPageBreak/>
        <w:t xml:space="preserve">equitativas, saúde, segurança, exceto </w:t>
      </w:r>
      <w:r>
        <w:rPr>
          <w:rFonts w:ascii="Arial" w:hAnsi="Arial" w:cs="Arial"/>
          <w:kern w:val="16"/>
          <w:sz w:val="22"/>
          <w:szCs w:val="22"/>
        </w:rPr>
        <w:t>com relação àquelas que estão sendo contestadas de boa-fé pelos meios legais ou administrativos apropriados;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as Debêntures; </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Controladores,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w:t>
      </w:r>
      <w:r>
        <w:rPr>
          <w:rFonts w:ascii="Arial" w:hAnsi="Arial" w:cs="Arial"/>
          <w:sz w:val="22"/>
          <w:szCs w:val="22"/>
        </w:rPr>
        <w:lastRenderedPageBreak/>
        <w:t>membros de conselho de administração, quaisquer terceiros, incluindo assessores ou prestadores de serviço agindo em seu benefício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pPr>
        <w:widowControl w:val="0"/>
        <w:spacing w:line="340" w:lineRule="exact"/>
        <w:jc w:val="both"/>
        <w:rPr>
          <w:rFonts w:ascii="Arial" w:hAnsi="Arial" w:cs="Arial"/>
          <w:sz w:val="22"/>
          <w:szCs w:val="22"/>
        </w:rPr>
      </w:pPr>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lastRenderedPageBreak/>
        <w:t>O Fiador declara e garante,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Contratos da Emissão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w:t>
      </w:r>
      <w:r>
        <w:rPr>
          <w:rFonts w:ascii="Arial" w:hAnsi="Arial" w:cs="Arial"/>
          <w:sz w:val="22"/>
          <w:szCs w:val="22"/>
        </w:rPr>
        <w:lastRenderedPageBreak/>
        <w:t>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widowControl w:val="0"/>
        <w:spacing w:line="340" w:lineRule="exact"/>
        <w:jc w:val="both"/>
        <w:rPr>
          <w:rFonts w:ascii="Arial" w:hAnsi="Arial" w:cs="Arial"/>
          <w:color w:val="000000"/>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lastRenderedPageBreak/>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dos Contratos da Emissão,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sejam ou tornem-se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193" w:name="_DV_M410"/>
      <w:bookmarkEnd w:id="193"/>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2"/>
        </w:numPr>
        <w:spacing w:line="340" w:lineRule="exact"/>
        <w:ind w:left="0" w:firstLine="0"/>
        <w:jc w:val="both"/>
        <w:rPr>
          <w:rFonts w:ascii="Arial" w:eastAsia="Arial Unicode MS" w:hAnsi="Arial" w:cs="Arial"/>
          <w:w w:val="0"/>
          <w:sz w:val="22"/>
          <w:szCs w:val="22"/>
        </w:rPr>
      </w:pPr>
      <w:bookmarkStart w:id="194" w:name="_DV_M165"/>
      <w:bookmarkEnd w:id="194"/>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95" w:name="_DV_M166"/>
      <w:bookmarkEnd w:id="195"/>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96" w:name="_DV_M167"/>
      <w:bookmarkStart w:id="197" w:name="_DV_M168"/>
      <w:bookmarkStart w:id="198" w:name="_DV_M170"/>
      <w:bookmarkStart w:id="199" w:name="_DV_M171"/>
      <w:bookmarkStart w:id="200" w:name="_DV_M172"/>
      <w:bookmarkStart w:id="201" w:name="_DV_M173"/>
      <w:bookmarkEnd w:id="196"/>
      <w:bookmarkEnd w:id="197"/>
      <w:bookmarkEnd w:id="198"/>
      <w:bookmarkEnd w:id="199"/>
      <w:bookmarkEnd w:id="200"/>
      <w:bookmarkEnd w:id="201"/>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eastAsia="Arial Unicode MS" w:hAnsi="Arial" w:cs="Arial"/>
          <w:w w:val="0"/>
          <w:sz w:val="22"/>
          <w:szCs w:val="22"/>
        </w:rPr>
      </w:pPr>
      <w:bookmarkStart w:id="202" w:name="_DV_C551"/>
      <w:r>
        <w:rPr>
          <w:rFonts w:ascii="Arial" w:eastAsia="Arial Unicode MS" w:hAnsi="Arial" w:cs="Arial"/>
          <w:w w:val="0"/>
          <w:sz w:val="22"/>
          <w:szCs w:val="22"/>
        </w:rPr>
        <w:t>Rua da Alfazema, nº 761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bookmarkStart w:id="203" w:name="_DV_M468"/>
      <w:bookmarkEnd w:id="203"/>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bookmarkStart w:id="204" w:name="_DV_M469"/>
      <w:bookmarkEnd w:id="204"/>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bookmarkStart w:id="205" w:name="_DV_M470"/>
      <w:bookmarkStart w:id="206" w:name="_DV_M471"/>
      <w:bookmarkEnd w:id="205"/>
      <w:bookmarkEnd w:id="206"/>
      <w:r>
        <w:rPr>
          <w:rFonts w:ascii="Arial" w:eastAsia="Arial Unicode MS" w:hAnsi="Arial" w:cs="Arial"/>
          <w:w w:val="0"/>
          <w:sz w:val="22"/>
          <w:szCs w:val="22"/>
        </w:rPr>
        <w:t xml:space="preserve">E-mail: </w:t>
      </w:r>
      <w:bookmarkEnd w:id="202"/>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69"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07" w:name="_DV_M174"/>
      <w:bookmarkEnd w:id="207"/>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Rua </w:t>
      </w:r>
      <w:r>
        <w:rPr>
          <w:rFonts w:ascii="Arial" w:eastAsia="Arial Unicode MS" w:hAnsi="Arial" w:cs="Arial"/>
          <w:w w:val="0"/>
          <w:sz w:val="22"/>
          <w:szCs w:val="22"/>
        </w:rPr>
        <w:t>Sete de Setembro, nº 99, Sala 2401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CEP </w:t>
      </w:r>
      <w:r>
        <w:rPr>
          <w:rFonts w:ascii="Arial" w:eastAsia="Arial Unicode MS" w:hAnsi="Arial" w:cs="Arial"/>
          <w:w w:val="0"/>
          <w:sz w:val="22"/>
          <w:szCs w:val="22"/>
        </w:rPr>
        <w:t>20050-005, Rio de Janeiro/RJ</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0"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1"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2"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tabs>
          <w:tab w:val="left" w:pos="0"/>
        </w:tabs>
        <w:spacing w:line="340" w:lineRule="exact"/>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pPr>
        <w:pStyle w:val="Body2"/>
        <w:keepNext/>
        <w:keepLines/>
        <w:widowControl w:val="0"/>
        <w:spacing w:after="0" w:line="320" w:lineRule="exact"/>
        <w:rPr>
          <w:bCs/>
          <w:sz w:val="22"/>
        </w:rPr>
      </w:pPr>
      <w:r>
        <w:rPr>
          <w:bCs/>
          <w:sz w:val="22"/>
        </w:rPr>
        <w:lastRenderedPageBreak/>
        <w:t>Núcleo da Cidade de Deus, s/n, Vila Yara</w:t>
      </w:r>
    </w:p>
    <w:p>
      <w:pPr>
        <w:pStyle w:val="Body2"/>
        <w:keepNext/>
        <w:keepLines/>
        <w:widowControl w:val="0"/>
        <w:spacing w:after="0" w:line="320" w:lineRule="exact"/>
        <w:rPr>
          <w:bCs/>
          <w:sz w:val="22"/>
        </w:rPr>
      </w:pPr>
      <w:r>
        <w:rPr>
          <w:bCs/>
          <w:sz w:val="22"/>
        </w:rPr>
        <w:t>CEP 06028-080 Osasco, SP</w:t>
      </w:r>
    </w:p>
    <w:p>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pPr>
        <w:pStyle w:val="Body2"/>
        <w:keepNext/>
        <w:keepLines/>
        <w:widowControl w:val="0"/>
        <w:spacing w:after="0" w:line="320" w:lineRule="exact"/>
        <w:rPr>
          <w:bCs/>
          <w:sz w:val="22"/>
        </w:rPr>
      </w:pPr>
      <w:r>
        <w:rPr>
          <w:bCs/>
          <w:sz w:val="22"/>
        </w:rPr>
        <w:t xml:space="preserve">Telefone: </w:t>
      </w:r>
      <w:r>
        <w:rPr>
          <w:sz w:val="22"/>
        </w:rPr>
        <w:t>11-3684- 9492/7911 / 11-3684-7654</w:t>
      </w:r>
    </w:p>
    <w:p>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3"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08" w:name="_DV_M182"/>
      <w:bookmarkEnd w:id="208"/>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widowControl w:val="0"/>
        <w:spacing w:line="340" w:lineRule="exact"/>
        <w:rPr>
          <w:rFonts w:ascii="Arial" w:hAnsi="Arial" w:cs="Arial"/>
          <w:sz w:val="22"/>
          <w:szCs w:val="22"/>
        </w:rPr>
      </w:pPr>
      <w:bookmarkStart w:id="209" w:name="_DV_M183"/>
      <w:bookmarkEnd w:id="209"/>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10" w:name="_DV_M412"/>
      <w:bookmarkEnd w:id="210"/>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 xml:space="preserve">Todos e quaisquer custos incorridos em razão do registro desta Escritura, do Contrato de Alienação Fiduciária e seus eventuais aditamentos, e dos atos societários relacionados a esta Emissão, nos registros competentes, serão de responsabilidade </w:t>
      </w:r>
      <w:r>
        <w:rPr>
          <w:rFonts w:ascii="Arial" w:hAnsi="Arial" w:cs="Arial"/>
          <w:color w:val="000000"/>
          <w:w w:val="0"/>
          <w:sz w:val="22"/>
          <w:szCs w:val="22"/>
        </w:rPr>
        <w:lastRenderedPageBreak/>
        <w:t>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tabs>
          <w:tab w:val="left" w:pos="851"/>
        </w:tabs>
        <w:spacing w:line="340" w:lineRule="exact"/>
        <w:jc w:val="both"/>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11" w:name="_DV_M413"/>
      <w:bookmarkEnd w:id="211"/>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12" w:name="_DV_M414"/>
      <w:bookmarkEnd w:id="212"/>
      <w:r>
        <w:rPr>
          <w:rFonts w:ascii="Arial" w:hAnsi="Arial" w:cs="Arial"/>
          <w:sz w:val="22"/>
          <w:szCs w:val="22"/>
        </w:rPr>
        <w:t>Fica</w:t>
      </w:r>
      <w:r>
        <w:rPr>
          <w:rFonts w:ascii="Arial" w:eastAsia="Arial Unicode MS" w:hAnsi="Arial" w:cs="Arial"/>
          <w:w w:val="0"/>
          <w:sz w:val="22"/>
          <w:szCs w:val="22"/>
        </w:rPr>
        <w:t xml:space="preserve"> eleito o </w:t>
      </w:r>
      <w:bookmarkStart w:id="213" w:name="_DV_C683"/>
      <w:r>
        <w:rPr>
          <w:rFonts w:ascii="Arial" w:eastAsia="Arial Unicode MS" w:hAnsi="Arial" w:cs="Arial"/>
          <w:w w:val="0"/>
          <w:sz w:val="22"/>
          <w:szCs w:val="22"/>
        </w:rPr>
        <w:t>foro da Comarca da Cidade</w:t>
      </w:r>
      <w:bookmarkStart w:id="214" w:name="_DV_M415"/>
      <w:bookmarkEnd w:id="213"/>
      <w:bookmarkEnd w:id="214"/>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rPr>
      </w:pPr>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pPr>
        <w:widowControl w:val="0"/>
        <w:spacing w:line="340" w:lineRule="exact"/>
        <w:rPr>
          <w:rFonts w:ascii="Arial" w:eastAsia="Arial Unicode MS" w:hAnsi="Arial" w:cs="Arial"/>
          <w:color w:val="000000"/>
          <w:sz w:val="22"/>
          <w:szCs w:val="22"/>
        </w:rPr>
      </w:pPr>
      <w:bookmarkStart w:id="215" w:name="_DV_M416"/>
      <w:bookmarkEnd w:id="215"/>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p>
    <w:sectPr>
      <w:footerReference w:type="even" r:id="rId74"/>
      <w:footerReference w:type="default" r:id="rId75"/>
      <w:headerReference w:type="first" r:id="rId76"/>
      <w:footerReference w:type="first" r:id="rId77"/>
      <w:pgSz w:w="11906" w:h="16838"/>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B092E" w16cid:durableId="228F84CC"/>
  <w16cid:commentId w16cid:paraId="268C1D41" w16cid:durableId="228F84FC"/>
  <w16cid:commentId w16cid:paraId="684AFDAF" w16cid:durableId="228F8549"/>
  <w16cid:commentId w16cid:paraId="1FF30FD2" w16cid:durableId="228F8571"/>
  <w16cid:commentId w16cid:paraId="4AB2BEAF" w16cid:durableId="228F8575"/>
  <w16cid:commentId w16cid:paraId="464A1FC8" w16cid:durableId="228F857C"/>
  <w16cid:commentId w16cid:paraId="24B21E30" w16cid:durableId="228F858B"/>
  <w16cid:commentId w16cid:paraId="603CEBCE" w16cid:durableId="228F858E"/>
  <w16cid:commentId w16cid:paraId="1C2F2BE8" w16cid:durableId="228F8592"/>
  <w16cid:commentId w16cid:paraId="149F8B30" w16cid:durableId="228F8618"/>
  <w16cid:commentId w16cid:paraId="41E2EE17" w16cid:durableId="228F887C"/>
  <w16cid:commentId w16cid:paraId="47AB70BA" w16cid:durableId="228F87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egrito">
    <w:panose1 w:val="00000000000000000000"/>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- 36826494v16 - 12070002.459232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- 36826494v16 - 12070002.459232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- 36826494v16 - 12070002.459232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8"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0" w15:restartNumberingAfterBreak="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1"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7"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9"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6"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2" w15:restartNumberingAfterBreak="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5" w15:restartNumberingAfterBreak="0">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4"/>
  </w:num>
  <w:num w:numId="3">
    <w:abstractNumId w:val="7"/>
  </w:num>
  <w:num w:numId="4">
    <w:abstractNumId w:val="21"/>
  </w:num>
  <w:num w:numId="5">
    <w:abstractNumId w:val="30"/>
  </w:num>
  <w:num w:numId="6">
    <w:abstractNumId w:val="17"/>
  </w:num>
  <w:num w:numId="7">
    <w:abstractNumId w:val="10"/>
  </w:num>
  <w:num w:numId="8">
    <w:abstractNumId w:val="2"/>
  </w:num>
  <w:num w:numId="9">
    <w:abstractNumId w:val="16"/>
  </w:num>
  <w:num w:numId="10">
    <w:abstractNumId w:val="35"/>
  </w:num>
  <w:num w:numId="11">
    <w:abstractNumId w:val="18"/>
  </w:num>
  <w:num w:numId="12">
    <w:abstractNumId w:val="14"/>
  </w:num>
  <w:num w:numId="13">
    <w:abstractNumId w:val="29"/>
  </w:num>
  <w:num w:numId="14">
    <w:abstractNumId w:val="12"/>
  </w:num>
  <w:num w:numId="15">
    <w:abstractNumId w:val="33"/>
  </w:num>
  <w:num w:numId="16">
    <w:abstractNumId w:val="34"/>
  </w:num>
  <w:num w:numId="17">
    <w:abstractNumId w:val="1"/>
  </w:num>
  <w:num w:numId="18">
    <w:abstractNumId w:val="27"/>
  </w:num>
  <w:num w:numId="19">
    <w:abstractNumId w:val="13"/>
  </w:num>
  <w:num w:numId="20">
    <w:abstractNumId w:val="6"/>
  </w:num>
  <w:num w:numId="21">
    <w:abstractNumId w:val="19"/>
  </w:num>
  <w:num w:numId="22">
    <w:abstractNumId w:val="23"/>
  </w:num>
  <w:num w:numId="23">
    <w:abstractNumId w:val="8"/>
  </w:num>
  <w:num w:numId="24">
    <w:abstractNumId w:val="26"/>
  </w:num>
  <w:num w:numId="25">
    <w:abstractNumId w:val="20"/>
  </w:num>
  <w:num w:numId="26">
    <w:abstractNumId w:val="28"/>
  </w:num>
  <w:num w:numId="27">
    <w:abstractNumId w:val="5"/>
  </w:num>
  <w:num w:numId="28">
    <w:abstractNumId w:val="11"/>
  </w:num>
  <w:num w:numId="29">
    <w:abstractNumId w:val="25"/>
  </w:num>
  <w:num w:numId="30">
    <w:abstractNumId w:val="27"/>
  </w:num>
  <w:num w:numId="31">
    <w:abstractNumId w:val="9"/>
  </w:num>
  <w:num w:numId="32">
    <w:abstractNumId w:val="22"/>
  </w:num>
  <w:num w:numId="33">
    <w:abstractNumId w:val="0"/>
  </w:num>
  <w:num w:numId="34">
    <w:abstractNumId w:val="31"/>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AD51C9F-71D3-47B4-B8CB-9A562FF2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072657892">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hyperlink" Target="http://www.calculadorarendafixa.com.br" TargetMode="External" Id="rId68"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image" Target="media/image3.wmf" Id="rId66" /><Relationship Type="http://schemas.openxmlformats.org/officeDocument/2006/relationships/footer" Target="footer1.xml" Id="rId74" /><Relationship Type="http://schemas.openxmlformats.org/officeDocument/2006/relationships/theme" Target="theme/theme1.xml" Id="rId79" /><Relationship Type="http://schemas.openxmlformats.org/officeDocument/2006/relationships/customXml" Target="../customXml/item5.xml" Id="rId5" /><Relationship Type="http://schemas.openxmlformats.org/officeDocument/2006/relationships/webSettings" Target="webSettings.xml" Id="rId61"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image" Target="media/image1.wmf" Id="rId64" /><Relationship Type="http://schemas.openxmlformats.org/officeDocument/2006/relationships/hyperlink" Target="mailto:katia.nozela@grupolm.com.br" TargetMode="External" Id="rId69" /><Relationship Type="http://schemas.openxmlformats.org/officeDocument/2006/relationships/footer" Target="footer3.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katia.nozela@grupolm.com.br" TargetMode="External" Id="rId72" /><Relationship Type="http://schemas.microsoft.com/office/2016/09/relationships/commentsIds" Target="commentsIds.xml" Id="rId80"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oleObject" Target="embeddings/oleObject1.bin"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yperlink" Target="mailto:cliveraldo.bastos@grupolm.com.br;%20financeiro@grupolm.com.br" TargetMode="External" Id="rId70" /><Relationship Type="http://schemas.openxmlformats.org/officeDocument/2006/relationships/footer" Target="footer2.xml" Id="rId75"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wmf" Id="rId65" /><Relationship Type="http://schemas.openxmlformats.org/officeDocument/2006/relationships/hyperlink" Target="mailto:dac.debentures@bradesco.com.br" TargetMode="External" Id="rId73" /><Relationship Type="http://schemas.openxmlformats.org/officeDocument/2006/relationships/fontTable" Target="fontTable.xml" Id="rId78"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header" Target="header1.xml" Id="rId76" /><Relationship Type="http://schemas.openxmlformats.org/officeDocument/2006/relationships/customXml" Target="../customXml/item7.xml" Id="rId7" /><Relationship Type="http://schemas.openxmlformats.org/officeDocument/2006/relationships/hyperlink" Target="mailto:marcio.targa@grupolm.com.br" TargetMode="External" Id="rId71"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 J U R _ S P ! 3 6 8 2 6 4 9 4 . 1 6 < / d o c u m e n t i d >  
     < s e n d e r i d > H S N < / s e n d e r i d >  
     < s e n d e r e m a i l > T A M B R O S A N O @ P N . C O M . B R < / s e n d e r e m a i l >  
     < l a s t m o d i f i e d > 2 0 2 0 - 0 6 - 1 4 T 1 3 : 0 2 : 0 0 . 0 0 0 0 0 0 0 - 0 3 : 0 0 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B3543-DBAD-4404-AC8B-F85FA757FC7D}">
  <ds:schemaRefs>
    <ds:schemaRef ds:uri="http://schemas.openxmlformats.org/officeDocument/2006/bibliography"/>
  </ds:schemaRefs>
</ds:datastoreItem>
</file>

<file path=customXml/itemProps10.xml><?xml version="1.0" encoding="utf-8"?>
<ds:datastoreItem xmlns:ds="http://schemas.openxmlformats.org/officeDocument/2006/customXml" ds:itemID="{35A201A3-0CC5-42F7-938D-4F952FDB3C9D}">
  <ds:schemaRefs>
    <ds:schemaRef ds:uri="http://schemas.openxmlformats.org/officeDocument/2006/bibliography"/>
  </ds:schemaRefs>
</ds:datastoreItem>
</file>

<file path=customXml/itemProps11.xml><?xml version="1.0" encoding="utf-8"?>
<ds:datastoreItem xmlns:ds="http://schemas.openxmlformats.org/officeDocument/2006/customXml" ds:itemID="{151A4403-0D25-4193-A5A6-F02A713581BD}">
  <ds:schemaRefs>
    <ds:schemaRef ds:uri="http://schemas.openxmlformats.org/officeDocument/2006/bibliography"/>
  </ds:schemaRefs>
</ds:datastoreItem>
</file>

<file path=customXml/itemProps12.xml><?xml version="1.0" encoding="utf-8"?>
<ds:datastoreItem xmlns:ds="http://schemas.openxmlformats.org/officeDocument/2006/customXml" ds:itemID="{4AC3BF92-2D55-40AC-8BB5-6F6B7EE14FD1}">
  <ds:schemaRefs>
    <ds:schemaRef ds:uri="http://schemas.openxmlformats.org/officeDocument/2006/bibliography"/>
  </ds:schemaRefs>
</ds:datastoreItem>
</file>

<file path=customXml/itemProps13.xml><?xml version="1.0" encoding="utf-8"?>
<ds:datastoreItem xmlns:ds="http://schemas.openxmlformats.org/officeDocument/2006/customXml" ds:itemID="{30B951F5-7608-40A6-A92B-2C5EFEAD739E}">
  <ds:schemaRefs>
    <ds:schemaRef ds:uri="http://schemas.openxmlformats.org/officeDocument/2006/bibliography"/>
  </ds:schemaRefs>
</ds:datastoreItem>
</file>

<file path=customXml/itemProps14.xml><?xml version="1.0" encoding="utf-8"?>
<ds:datastoreItem xmlns:ds="http://schemas.openxmlformats.org/officeDocument/2006/customXml" ds:itemID="{935AC161-69AA-4C57-8D82-C6FA86C06554}">
  <ds:schemaRefs>
    <ds:schemaRef ds:uri="http://schemas.openxmlformats.org/officeDocument/2006/bibliography"/>
  </ds:schemaRefs>
</ds:datastoreItem>
</file>

<file path=customXml/itemProps15.xml><?xml version="1.0" encoding="utf-8"?>
<ds:datastoreItem xmlns:ds="http://schemas.openxmlformats.org/officeDocument/2006/customXml" ds:itemID="{383EE474-B8F1-4725-B540-B69154417A52}">
  <ds:schemaRefs>
    <ds:schemaRef ds:uri="http://schemas.openxmlformats.org/officeDocument/2006/bibliography"/>
  </ds:schemaRefs>
</ds:datastoreItem>
</file>

<file path=customXml/itemProps16.xml><?xml version="1.0" encoding="utf-8"?>
<ds:datastoreItem xmlns:ds="http://schemas.openxmlformats.org/officeDocument/2006/customXml" ds:itemID="{8D548321-5DF6-4CAA-A649-C7E5F3358477}">
  <ds:schemaRefs>
    <ds:schemaRef ds:uri="http://schemas.openxmlformats.org/officeDocument/2006/bibliography"/>
  </ds:schemaRefs>
</ds:datastoreItem>
</file>

<file path=customXml/itemProps17.xml><?xml version="1.0" encoding="utf-8"?>
<ds:datastoreItem xmlns:ds="http://schemas.openxmlformats.org/officeDocument/2006/customXml" ds:itemID="{0F114248-9FBC-4455-8A4F-97F8E7D7E180}">
  <ds:schemaRefs>
    <ds:schemaRef ds:uri="http://schemas.openxmlformats.org/officeDocument/2006/bibliography"/>
  </ds:schemaRefs>
</ds:datastoreItem>
</file>

<file path=customXml/itemProps18.xml><?xml version="1.0" encoding="utf-8"?>
<ds:datastoreItem xmlns:ds="http://schemas.openxmlformats.org/officeDocument/2006/customXml" ds:itemID="{C735E99E-F9C0-4A7D-9E67-4D4E72CDD167}">
  <ds:schemaRefs>
    <ds:schemaRef ds:uri="http://schemas.openxmlformats.org/officeDocument/2006/bibliography"/>
  </ds:schemaRefs>
</ds:datastoreItem>
</file>

<file path=customXml/itemProps19.xml><?xml version="1.0" encoding="utf-8"?>
<ds:datastoreItem xmlns:ds="http://schemas.openxmlformats.org/officeDocument/2006/customXml" ds:itemID="{E578073A-5411-465E-BE17-9B6B49C46CC0}">
  <ds:schemaRefs>
    <ds:schemaRef ds:uri="http://schemas.openxmlformats.org/officeDocument/2006/bibliography"/>
  </ds:schemaRefs>
</ds:datastoreItem>
</file>

<file path=customXml/itemProps2.xml><?xml version="1.0" encoding="utf-8"?>
<ds:datastoreItem xmlns:ds="http://schemas.openxmlformats.org/officeDocument/2006/customXml" ds:itemID="{79BB73DE-DDBC-45F7-B3EF-8A138D69D8AC}">
  <ds:schemaRefs>
    <ds:schemaRef ds:uri="http://schemas.openxmlformats.org/officeDocument/2006/bibliography"/>
  </ds:schemaRefs>
</ds:datastoreItem>
</file>

<file path=customXml/itemProps20.xml><?xml version="1.0" encoding="utf-8"?>
<ds:datastoreItem xmlns:ds="http://schemas.openxmlformats.org/officeDocument/2006/customXml" ds:itemID="{5C60484F-EC94-4C19-A1A5-75908FEE4544}">
  <ds:schemaRefs>
    <ds:schemaRef ds:uri="http://schemas.openxmlformats.org/officeDocument/2006/bibliography"/>
  </ds:schemaRefs>
</ds:datastoreItem>
</file>

<file path=customXml/itemProps21.xml><?xml version="1.0" encoding="utf-8"?>
<ds:datastoreItem xmlns:ds="http://schemas.openxmlformats.org/officeDocument/2006/customXml" ds:itemID="{4472823D-D4EF-4E2C-A65D-E68EDFA4659A}">
  <ds:schemaRefs>
    <ds:schemaRef ds:uri="http://schemas.openxmlformats.org/officeDocument/2006/bibliography"/>
  </ds:schemaRefs>
</ds:datastoreItem>
</file>

<file path=customXml/itemProps22.xml><?xml version="1.0" encoding="utf-8"?>
<ds:datastoreItem xmlns:ds="http://schemas.openxmlformats.org/officeDocument/2006/customXml" ds:itemID="{B9EA5052-EB15-4CFF-AAF0-32CA7CD7B2BE}">
  <ds:schemaRefs>
    <ds:schemaRef ds:uri="http://schemas.openxmlformats.org/officeDocument/2006/bibliography"/>
  </ds:schemaRefs>
</ds:datastoreItem>
</file>

<file path=customXml/itemProps23.xml><?xml version="1.0" encoding="utf-8"?>
<ds:datastoreItem xmlns:ds="http://schemas.openxmlformats.org/officeDocument/2006/customXml" ds:itemID="{A5F5EE23-A821-4395-87AB-B21D3E4A75A4}">
  <ds:schemaRefs>
    <ds:schemaRef ds:uri="http://schemas.openxmlformats.org/officeDocument/2006/bibliography"/>
  </ds:schemaRefs>
</ds:datastoreItem>
</file>

<file path=customXml/itemProps24.xml><?xml version="1.0" encoding="utf-8"?>
<ds:datastoreItem xmlns:ds="http://schemas.openxmlformats.org/officeDocument/2006/customXml" ds:itemID="{C930A02C-6292-487D-A864-EB077CAB99E7}">
  <ds:schemaRefs>
    <ds:schemaRef ds:uri="http://schemas.openxmlformats.org/officeDocument/2006/bibliography"/>
  </ds:schemaRefs>
</ds:datastoreItem>
</file>

<file path=customXml/itemProps25.xml><?xml version="1.0" encoding="utf-8"?>
<ds:datastoreItem xmlns:ds="http://schemas.openxmlformats.org/officeDocument/2006/customXml" ds:itemID="{0D9FF999-CFBC-4C39-B9D3-7C937F7199EA}">
  <ds:schemaRefs>
    <ds:schemaRef ds:uri="http://schemas.openxmlformats.org/officeDocument/2006/bibliography"/>
  </ds:schemaRefs>
</ds:datastoreItem>
</file>

<file path=customXml/itemProps26.xml><?xml version="1.0" encoding="utf-8"?>
<ds:datastoreItem xmlns:ds="http://schemas.openxmlformats.org/officeDocument/2006/customXml" ds:itemID="{0AC97ABA-5255-4872-90A8-E6363D3A78BB}">
  <ds:schemaRefs>
    <ds:schemaRef ds:uri="http://schemas.openxmlformats.org/officeDocument/2006/bibliography"/>
  </ds:schemaRefs>
</ds:datastoreItem>
</file>

<file path=customXml/itemProps27.xml><?xml version="1.0" encoding="utf-8"?>
<ds:datastoreItem xmlns:ds="http://schemas.openxmlformats.org/officeDocument/2006/customXml" ds:itemID="{6D22C9B0-C9C4-4643-87EA-F219D7225422}">
  <ds:schemaRefs>
    <ds:schemaRef ds:uri="http://schemas.openxmlformats.org/officeDocument/2006/bibliography"/>
  </ds:schemaRefs>
</ds:datastoreItem>
</file>

<file path=customXml/itemProps28.xml><?xml version="1.0" encoding="utf-8"?>
<ds:datastoreItem xmlns:ds="http://schemas.openxmlformats.org/officeDocument/2006/customXml" ds:itemID="{D729DB01-3653-4FD5-9F53-2E5727F7866F}">
  <ds:schemaRefs>
    <ds:schemaRef ds:uri="http://schemas.openxmlformats.org/officeDocument/2006/bibliography"/>
  </ds:schemaRefs>
</ds:datastoreItem>
</file>

<file path=customXml/itemProps29.xml><?xml version="1.0" encoding="utf-8"?>
<ds:datastoreItem xmlns:ds="http://schemas.openxmlformats.org/officeDocument/2006/customXml" ds:itemID="{27538BE0-2372-4D84-9CCE-86D6BB4F4350}">
  <ds:schemaRefs>
    <ds:schemaRef ds:uri="http://schemas.openxmlformats.org/officeDocument/2006/bibliography"/>
  </ds:schemaRefs>
</ds:datastoreItem>
</file>

<file path=customXml/itemProps3.xml><?xml version="1.0" encoding="utf-8"?>
<ds:datastoreItem xmlns:ds="http://schemas.openxmlformats.org/officeDocument/2006/customXml" ds:itemID="{8E10320B-A591-4118-A262-695E1B731468}">
  <ds:schemaRefs>
    <ds:schemaRef ds:uri="http://schemas.openxmlformats.org/officeDocument/2006/bibliography"/>
  </ds:schemaRefs>
</ds:datastoreItem>
</file>

<file path=customXml/itemProps30.xml><?xml version="1.0" encoding="utf-8"?>
<ds:datastoreItem xmlns:ds="http://schemas.openxmlformats.org/officeDocument/2006/customXml" ds:itemID="{F4EE3BDB-B0F3-474D-92F3-DDFE2BDB7CE0}">
  <ds:schemaRefs>
    <ds:schemaRef ds:uri="http://schemas.openxmlformats.org/officeDocument/2006/bibliography"/>
  </ds:schemaRefs>
</ds:datastoreItem>
</file>

<file path=customXml/itemProps31.xml><?xml version="1.0" encoding="utf-8"?>
<ds:datastoreItem xmlns:ds="http://schemas.openxmlformats.org/officeDocument/2006/customXml" ds:itemID="{1446F48B-A6F1-4BE0-905B-A9F0961C585D}">
  <ds:schemaRefs>
    <ds:schemaRef ds:uri="http://schemas.openxmlformats.org/officeDocument/2006/bibliography"/>
  </ds:schemaRefs>
</ds:datastoreItem>
</file>

<file path=customXml/itemProps32.xml><?xml version="1.0" encoding="utf-8"?>
<ds:datastoreItem xmlns:ds="http://schemas.openxmlformats.org/officeDocument/2006/customXml" ds:itemID="{2A3C0A72-3336-4804-8415-26C432B85817}">
  <ds:schemaRefs>
    <ds:schemaRef ds:uri="http://schemas.openxmlformats.org/officeDocument/2006/bibliography"/>
  </ds:schemaRefs>
</ds:datastoreItem>
</file>

<file path=customXml/itemProps33.xml><?xml version="1.0" encoding="utf-8"?>
<ds:datastoreItem xmlns:ds="http://schemas.openxmlformats.org/officeDocument/2006/customXml" ds:itemID="{77CBAD0D-C9DC-4548-8CA4-E9ADB2D1C76C}">
  <ds:schemaRefs>
    <ds:schemaRef ds:uri="http://schemas.openxmlformats.org/officeDocument/2006/bibliography"/>
  </ds:schemaRefs>
</ds:datastoreItem>
</file>

<file path=customXml/itemProps34.xml><?xml version="1.0" encoding="utf-8"?>
<ds:datastoreItem xmlns:ds="http://schemas.openxmlformats.org/officeDocument/2006/customXml" ds:itemID="{A29611DB-E3E5-4029-8F27-C2834F4FFB8E}">
  <ds:schemaRefs>
    <ds:schemaRef ds:uri="http://schemas.openxmlformats.org/officeDocument/2006/bibliography"/>
  </ds:schemaRefs>
</ds:datastoreItem>
</file>

<file path=customXml/itemProps35.xml><?xml version="1.0" encoding="utf-8"?>
<ds:datastoreItem xmlns:ds="http://schemas.openxmlformats.org/officeDocument/2006/customXml" ds:itemID="{E9817E41-AAA6-4426-8F56-BEBBB5E9638D}">
  <ds:schemaRefs>
    <ds:schemaRef ds:uri="http://schemas.openxmlformats.org/officeDocument/2006/bibliography"/>
  </ds:schemaRefs>
</ds:datastoreItem>
</file>

<file path=customXml/itemProps36.xml><?xml version="1.0" encoding="utf-8"?>
<ds:datastoreItem xmlns:ds="http://schemas.openxmlformats.org/officeDocument/2006/customXml" ds:itemID="{429EF047-98AB-45E5-A4B6-3D87F8865549}">
  <ds:schemaRefs>
    <ds:schemaRef ds:uri="http://schemas.openxmlformats.org/officeDocument/2006/bibliography"/>
  </ds:schemaRefs>
</ds:datastoreItem>
</file>

<file path=customXml/itemProps37.xml><?xml version="1.0" encoding="utf-8"?>
<ds:datastoreItem xmlns:ds="http://schemas.openxmlformats.org/officeDocument/2006/customXml" ds:itemID="{1ED19912-283D-4D6E-BBF2-444A9EF297AA}">
  <ds:schemaRefs>
    <ds:schemaRef ds:uri="http://schemas.openxmlformats.org/officeDocument/2006/bibliography"/>
  </ds:schemaRefs>
</ds:datastoreItem>
</file>

<file path=customXml/itemProps38.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39.xml><?xml version="1.0" encoding="utf-8"?>
<ds:datastoreItem xmlns:ds="http://schemas.openxmlformats.org/officeDocument/2006/customXml" ds:itemID="{B7B79197-907C-46DF-9B58-D61B9D90395F}">
  <ds:schemaRefs>
    <ds:schemaRef ds:uri="http://schemas.openxmlformats.org/officeDocument/2006/bibliography"/>
  </ds:schemaRefs>
</ds:datastoreItem>
</file>

<file path=customXml/itemProps4.xml><?xml version="1.0" encoding="utf-8"?>
<ds:datastoreItem xmlns:ds="http://schemas.openxmlformats.org/officeDocument/2006/customXml" ds:itemID="{C69DE078-5E72-4BEE-89F4-64BC86F51B63}">
  <ds:schemaRefs>
    <ds:schemaRef ds:uri="http://schemas.openxmlformats.org/officeDocument/2006/bibliography"/>
  </ds:schemaRefs>
</ds:datastoreItem>
</file>

<file path=customXml/itemProps40.xml><?xml version="1.0" encoding="utf-8"?>
<ds:datastoreItem xmlns:ds="http://schemas.openxmlformats.org/officeDocument/2006/customXml" ds:itemID="{2285FEA3-4E56-4132-BFC0-8FB461CF80CF}">
  <ds:schemaRefs>
    <ds:schemaRef ds:uri="http://schemas.openxmlformats.org/officeDocument/2006/bibliography"/>
  </ds:schemaRefs>
</ds:datastoreItem>
</file>

<file path=customXml/itemProps41.xml><?xml version="1.0" encoding="utf-8"?>
<ds:datastoreItem xmlns:ds="http://schemas.openxmlformats.org/officeDocument/2006/customXml" ds:itemID="{4B8B3539-1777-4FDB-A7A5-8467FE13A640}">
  <ds:schemaRefs>
    <ds:schemaRef ds:uri="http://schemas.openxmlformats.org/officeDocument/2006/bibliography"/>
  </ds:schemaRefs>
</ds:datastoreItem>
</file>

<file path=customXml/itemProps42.xml><?xml version="1.0" encoding="utf-8"?>
<ds:datastoreItem xmlns:ds="http://schemas.openxmlformats.org/officeDocument/2006/customXml" ds:itemID="{6BCD55C1-D909-45F6-BE8A-8072D6386341}">
  <ds:schemaRefs>
    <ds:schemaRef ds:uri="http://schemas.openxmlformats.org/officeDocument/2006/bibliography"/>
  </ds:schemaRefs>
</ds:datastoreItem>
</file>

<file path=customXml/itemProps43.xml><?xml version="1.0" encoding="utf-8"?>
<ds:datastoreItem xmlns:ds="http://schemas.openxmlformats.org/officeDocument/2006/customXml" ds:itemID="{F2DA5F8D-9177-472D-8CF4-12DD1ED043B4}">
  <ds:schemaRefs>
    <ds:schemaRef ds:uri="http://schemas.openxmlformats.org/officeDocument/2006/bibliography"/>
  </ds:schemaRefs>
</ds:datastoreItem>
</file>

<file path=customXml/itemProps44.xml><?xml version="1.0" encoding="utf-8"?>
<ds:datastoreItem xmlns:ds="http://schemas.openxmlformats.org/officeDocument/2006/customXml" ds:itemID="{3FC14648-7C51-46DB-B3D5-D10846CF6B35}">
  <ds:schemaRefs>
    <ds:schemaRef ds:uri="http://schemas.openxmlformats.org/officeDocument/2006/bibliography"/>
  </ds:schemaRefs>
</ds:datastoreItem>
</file>

<file path=customXml/itemProps45.xml><?xml version="1.0" encoding="utf-8"?>
<ds:datastoreItem xmlns:ds="http://schemas.openxmlformats.org/officeDocument/2006/customXml" ds:itemID="{6C15EEE1-6525-4CBD-B301-47EA85A26959}">
  <ds:schemaRefs>
    <ds:schemaRef ds:uri="http://schemas.openxmlformats.org/officeDocument/2006/bibliography"/>
  </ds:schemaRefs>
</ds:datastoreItem>
</file>

<file path=customXml/itemProps46.xml><?xml version="1.0" encoding="utf-8"?>
<ds:datastoreItem xmlns:ds="http://schemas.openxmlformats.org/officeDocument/2006/customXml" ds:itemID="{013052F9-B41A-4FBB-8391-4E5A21A860C5}">
  <ds:schemaRefs>
    <ds:schemaRef ds:uri="http://schemas.openxmlformats.org/officeDocument/2006/bibliography"/>
  </ds:schemaRefs>
</ds:datastoreItem>
</file>

<file path=customXml/itemProps47.xml><?xml version="1.0" encoding="utf-8"?>
<ds:datastoreItem xmlns:ds="http://schemas.openxmlformats.org/officeDocument/2006/customXml" ds:itemID="{171F72AB-87BE-4822-A833-B145C96D5738}">
  <ds:schemaRefs>
    <ds:schemaRef ds:uri="http://schemas.openxmlformats.org/officeDocument/2006/bibliography"/>
  </ds:schemaRefs>
</ds:datastoreItem>
</file>

<file path=customXml/itemProps48.xml><?xml version="1.0" encoding="utf-8"?>
<ds:datastoreItem xmlns:ds="http://schemas.openxmlformats.org/officeDocument/2006/customXml" ds:itemID="{6CB43D96-5508-4888-A155-ACAD09E57FBE}">
  <ds:schemaRefs>
    <ds:schemaRef ds:uri="http://schemas.openxmlformats.org/officeDocument/2006/bibliography"/>
  </ds:schemaRefs>
</ds:datastoreItem>
</file>

<file path=customXml/itemProps49.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5.xml><?xml version="1.0" encoding="utf-8"?>
<ds:datastoreItem xmlns:ds="http://schemas.openxmlformats.org/officeDocument/2006/customXml" ds:itemID="{BCF8EC8B-4683-4E2E-9E04-22C125338AA5}">
  <ds:schemaRefs>
    <ds:schemaRef ds:uri="http://schemas.openxmlformats.org/officeDocument/2006/bibliography"/>
  </ds:schemaRefs>
</ds:datastoreItem>
</file>

<file path=customXml/itemProps50.xml><?xml version="1.0" encoding="utf-8"?>
<ds:datastoreItem xmlns:ds="http://schemas.openxmlformats.org/officeDocument/2006/customXml" ds:itemID="{9A9C1196-5351-4D50-83FD-5F13F01917E7}">
  <ds:schemaRefs>
    <ds:schemaRef ds:uri="http://schemas.openxmlformats.org/officeDocument/2006/bibliography"/>
  </ds:schemaRefs>
</ds:datastoreItem>
</file>

<file path=customXml/itemProps51.xml><?xml version="1.0" encoding="utf-8"?>
<ds:datastoreItem xmlns:ds="http://schemas.openxmlformats.org/officeDocument/2006/customXml" ds:itemID="{276101FB-D822-4076-BD2D-C1BF933C3057}">
  <ds:schemaRefs>
    <ds:schemaRef ds:uri="http://schemas.openxmlformats.org/officeDocument/2006/bibliography"/>
  </ds:schemaRefs>
</ds:datastoreItem>
</file>

<file path=customXml/itemProps52.xml><?xml version="1.0" encoding="utf-8"?>
<ds:datastoreItem xmlns:ds="http://schemas.openxmlformats.org/officeDocument/2006/customXml" ds:itemID="{85183DA2-6BD5-4F03-BE46-679FEF70C007}">
  <ds:schemaRefs>
    <ds:schemaRef ds:uri="http://schemas.openxmlformats.org/officeDocument/2006/bibliography"/>
  </ds:schemaRefs>
</ds:datastoreItem>
</file>

<file path=customXml/itemProps53.xml><?xml version="1.0" encoding="utf-8"?>
<ds:datastoreItem xmlns:ds="http://schemas.openxmlformats.org/officeDocument/2006/customXml" ds:itemID="{15092948-1577-48A0-964F-09C061E82D52}">
  <ds:schemaRefs>
    <ds:schemaRef ds:uri="http://schemas.openxmlformats.org/officeDocument/2006/bibliography"/>
  </ds:schemaRefs>
</ds:datastoreItem>
</file>

<file path=customXml/itemProps54.xml><?xml version="1.0" encoding="utf-8"?>
<ds:datastoreItem xmlns:ds="http://schemas.openxmlformats.org/officeDocument/2006/customXml" ds:itemID="{AB90013E-8E5E-4B22-BDD7-D55D35576225}">
  <ds:schemaRefs>
    <ds:schemaRef ds:uri="http://schemas.openxmlformats.org/officeDocument/2006/bibliography"/>
  </ds:schemaRefs>
</ds:datastoreItem>
</file>

<file path=customXml/itemProps55.xml><?xml version="1.0" encoding="utf-8"?>
<ds:datastoreItem xmlns:ds="http://schemas.openxmlformats.org/officeDocument/2006/customXml" ds:itemID="{3F4DEFA7-5D9B-4A7F-821D-AC6DD9871A8F}">
  <ds:schemaRefs>
    <ds:schemaRef ds:uri="http://schemas.openxmlformats.org/officeDocument/2006/bibliography"/>
  </ds:schemaRefs>
</ds:datastoreItem>
</file>

<file path=customXml/itemProps56.xml><?xml version="1.0" encoding="utf-8"?>
<ds:datastoreItem xmlns:ds="http://schemas.openxmlformats.org/officeDocument/2006/customXml" ds:itemID="{FCAA6F6A-1CCC-4B08-800B-7C6F780DA6E1}">
  <ds:schemaRefs>
    <ds:schemaRef ds:uri="http://schemas.openxmlformats.org/officeDocument/2006/bibliography"/>
  </ds:schemaRefs>
</ds:datastoreItem>
</file>

<file path=customXml/itemProps57.xml><?xml version="1.0" encoding="utf-8"?>
<ds:datastoreItem xmlns:ds="http://schemas.openxmlformats.org/officeDocument/2006/customXml" ds:itemID="{51BD4389-F14B-42C9-8105-5144CC9386D1}">
  <ds:schemaRefs>
    <ds:schemaRef ds:uri="http://schemas.openxmlformats.org/officeDocument/2006/bibliography"/>
  </ds:schemaRefs>
</ds:datastoreItem>
</file>

<file path=customXml/itemProps6.xml><?xml version="1.0" encoding="utf-8"?>
<ds:datastoreItem xmlns:ds="http://schemas.openxmlformats.org/officeDocument/2006/customXml" ds:itemID="{AA2C6FDB-3BF1-422C-BE73-C38D25005268}">
  <ds:schemaRefs>
    <ds:schemaRef ds:uri="http://schemas.openxmlformats.org/officeDocument/2006/bibliography"/>
  </ds:schemaRefs>
</ds:datastoreItem>
</file>

<file path=customXml/itemProps7.xml><?xml version="1.0" encoding="utf-8"?>
<ds:datastoreItem xmlns:ds="http://schemas.openxmlformats.org/officeDocument/2006/customXml" ds:itemID="{93DF275D-2630-4D5A-9480-2BCDB12A653F}">
  <ds:schemaRefs>
    <ds:schemaRef ds:uri="http://schemas.openxmlformats.org/officeDocument/2006/bibliography"/>
  </ds:schemaRefs>
</ds:datastoreItem>
</file>

<file path=customXml/itemProps8.xml><?xml version="1.0" encoding="utf-8"?>
<ds:datastoreItem xmlns:ds="http://schemas.openxmlformats.org/officeDocument/2006/customXml" ds:itemID="{325EB765-6C0A-46BC-AA32-BF4EE6B2D120}">
  <ds:schemaRefs>
    <ds:schemaRef ds:uri="http://schemas.openxmlformats.org/officeDocument/2006/bibliography"/>
  </ds:schemaRefs>
</ds:datastoreItem>
</file>

<file path=customXml/itemProps9.xml><?xml version="1.0" encoding="utf-8"?>
<ds:datastoreItem xmlns:ds="http://schemas.openxmlformats.org/officeDocument/2006/customXml" ds:itemID="{88A8E756-06A0-4BB9-BC8D-20713EA9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66</Pages>
  <Words>21416</Words>
  <Characters>124159</Characters>
  <Application>Microsoft Office Word</Application>
  <DocSecurity>0</DocSecurity>
  <Lines>1034</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6</cp:revision>
  <cp:lastPrinted>2018-12-14T17:45:00Z</cp:lastPrinted>
  <dcterms:created xsi:type="dcterms:W3CDTF">2020-06-13T20:13:00Z</dcterms:created>
  <dcterms:modified xsi:type="dcterms:W3CDTF">2020-06-14T16:02:00Z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- 36826494v16 - 12070002.459232</vt:lpwstr>
  </property>
</Properties>
</file>