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12" w:lineRule="auto"/>
        <w:jc w:val="both"/>
        <w:rPr>
          <w:rFonts w:ascii="Arial" w:hAnsi="Arial" w:cs="Arial"/>
          <w:b/>
          <w:bCs/>
          <w:sz w:val="22"/>
          <w:szCs w:val="22"/>
        </w:rPr>
      </w:pPr>
    </w:p>
    <w:p>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12" w:lineRule="auto"/>
        <w:jc w:val="both"/>
        <w:rPr>
          <w:rFonts w:ascii="Arial" w:hAnsi="Arial" w:cs="Arial"/>
          <w:sz w:val="22"/>
          <w:szCs w:val="22"/>
        </w:rPr>
      </w:pPr>
    </w:p>
    <w:p>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12" w:lineRule="auto"/>
        <w:ind w:left="1080"/>
        <w:jc w:val="both"/>
        <w:rPr>
          <w:rFonts w:ascii="Arial" w:hAnsi="Arial" w:cs="Arial"/>
          <w:sz w:val="22"/>
          <w:szCs w:val="22"/>
        </w:rPr>
      </w:pPr>
    </w:p>
    <w:p>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12" w:lineRule="auto"/>
        <w:jc w:val="both"/>
        <w:rPr>
          <w:rFonts w:ascii="Arial" w:hAnsi="Arial" w:cs="Arial"/>
          <w:b/>
          <w:smallCaps/>
          <w:sz w:val="22"/>
          <w:szCs w:val="22"/>
        </w:rPr>
      </w:pPr>
    </w:p>
    <w:p>
      <w:pPr>
        <w:widowControl w:val="0"/>
        <w:tabs>
          <w:tab w:val="left" w:pos="709"/>
        </w:tabs>
        <w:spacing w:line="312" w:lineRule="auto"/>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12" w:lineRule="auto"/>
        <w:jc w:val="both"/>
        <w:rPr>
          <w:rFonts w:ascii="Arial" w:hAnsi="Arial" w:cs="Arial"/>
          <w:b/>
          <w:bCs/>
          <w:smallCaps/>
          <w:sz w:val="22"/>
          <w:szCs w:val="22"/>
        </w:rPr>
      </w:pPr>
    </w:p>
    <w:p>
      <w:pPr>
        <w:widowControl w:val="0"/>
        <w:numPr>
          <w:ilvl w:val="0"/>
          <w:numId w:val="1"/>
        </w:numPr>
        <w:autoSpaceDE/>
        <w:autoSpaceDN/>
        <w:adjustRightInd/>
        <w:spacing w:line="312" w:lineRule="auto"/>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12" w:lineRule="auto"/>
        <w:jc w:val="both"/>
        <w:rPr>
          <w:rFonts w:ascii="Arial" w:hAnsi="Arial" w:cs="Arial"/>
          <w:b/>
          <w:bCs/>
          <w:smallCaps/>
          <w:sz w:val="22"/>
          <w:szCs w:val="22"/>
        </w:rPr>
      </w:pPr>
    </w:p>
    <w:p>
      <w:pPr>
        <w:widowControl w:val="0"/>
        <w:spacing w:line="312" w:lineRule="auto"/>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12" w:lineRule="auto"/>
        <w:jc w:val="both"/>
        <w:rPr>
          <w:rFonts w:ascii="Arial" w:hAnsi="Arial" w:cs="Arial"/>
          <w:sz w:val="22"/>
          <w:szCs w:val="22"/>
        </w:rPr>
      </w:pPr>
    </w:p>
    <w:p>
      <w:pPr>
        <w:pStyle w:val="Body"/>
        <w:widowControl w:val="0"/>
        <w:spacing w:after="0" w:line="312" w:lineRule="auto"/>
        <w:rPr>
          <w:rFonts w:cs="Arial"/>
          <w:b/>
          <w:sz w:val="22"/>
          <w:szCs w:val="22"/>
        </w:rPr>
      </w:pPr>
      <w:r>
        <w:rPr>
          <w:rFonts w:cs="Arial"/>
          <w:b/>
          <w:sz w:val="22"/>
          <w:szCs w:val="22"/>
        </w:rPr>
        <w:t>CONSIDERANDO QUE:</w:t>
      </w:r>
    </w:p>
    <w:p>
      <w:pPr>
        <w:pStyle w:val="Body"/>
        <w:widowControl w:val="0"/>
        <w:spacing w:after="0" w:line="312" w:lineRule="auto"/>
        <w:rPr>
          <w:rFonts w:cs="Arial"/>
          <w:b/>
          <w:sz w:val="22"/>
          <w:szCs w:val="22"/>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as Partes celebraram, em 13 de junho de 2020, o “</w:t>
      </w:r>
      <w:r>
        <w:rPr>
          <w:rFonts w:cs="Arial"/>
          <w:i/>
          <w:snapToGrid w:val="0"/>
          <w:sz w:val="22"/>
          <w:szCs w:val="22"/>
          <w:lang w:val="pt-BR"/>
        </w:rPr>
        <w:t xml:space="preserve">Instrumento Particular de </w:t>
      </w:r>
      <w:r>
        <w:rPr>
          <w:rFonts w:cs="Arial"/>
          <w:i/>
          <w:snapToGrid w:val="0"/>
          <w:sz w:val="22"/>
          <w:szCs w:val="22"/>
          <w:lang w:val="pt-BR"/>
        </w:rPr>
        <w:lastRenderedPageBreak/>
        <w:t>Escritura da 3ª (Terceira) Emissão de Debêntures Simples, não Conversíveis em Ações, em Série Única, 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Escritura</w:t>
      </w:r>
      <w:r>
        <w:rPr>
          <w:rFonts w:cs="Arial"/>
          <w:sz w:val="22"/>
          <w:szCs w:val="22"/>
          <w:lang w:val="pt-BR"/>
        </w:rPr>
        <w:t xml:space="preserve">”), que rege os termos da </w:t>
      </w:r>
      <w:r>
        <w:rPr>
          <w:rFonts w:cs="Arial"/>
          <w:snapToGrid w:val="0"/>
          <w:sz w:val="22"/>
          <w:szCs w:val="22"/>
          <w:lang w:val="pt-BR"/>
        </w:rPr>
        <w:t>3ª (terceira) emissão de debêntures simples, não conversíveis em ações, em série única, da espécie com garantia real, com garantia adicional fidejussória</w:t>
      </w:r>
      <w:r>
        <w:rPr>
          <w:rFonts w:cs="Arial"/>
          <w:sz w:val="22"/>
          <w:szCs w:val="22"/>
          <w:lang w:val="pt-BR"/>
        </w:rPr>
        <w:t xml:space="preserve"> da Emissora (“</w:t>
      </w:r>
      <w:r>
        <w:rPr>
          <w:rFonts w:cs="Arial"/>
          <w:sz w:val="22"/>
          <w:szCs w:val="22"/>
          <w:u w:val="single"/>
          <w:lang w:val="pt-BR"/>
        </w:rPr>
        <w:t>Debêntures</w:t>
      </w:r>
      <w:r>
        <w:rPr>
          <w:rFonts w:cs="Arial"/>
          <w:sz w:val="22"/>
          <w:szCs w:val="22"/>
          <w:lang w:val="pt-BR"/>
        </w:rPr>
        <w:t>” e “</w:t>
      </w:r>
      <w:r>
        <w:rPr>
          <w:rFonts w:cs="Arial"/>
          <w:sz w:val="22"/>
          <w:szCs w:val="22"/>
          <w:u w:val="single"/>
          <w:lang w:val="pt-BR"/>
        </w:rPr>
        <w:t>Emissão</w:t>
      </w:r>
      <w:r>
        <w:rPr>
          <w:rFonts w:cs="Arial"/>
          <w:sz w:val="22"/>
          <w:szCs w:val="22"/>
          <w:lang w:val="pt-BR"/>
        </w:rPr>
        <w:t xml:space="preserve">” respectivamente), o qual foi registrado e arquivado </w:t>
      </w:r>
      <w:r>
        <w:rPr>
          <w:rFonts w:cs="Arial"/>
          <w:b/>
          <w:sz w:val="22"/>
          <w:szCs w:val="22"/>
          <w:lang w:val="pt-BR"/>
        </w:rPr>
        <w:t>(a)</w:t>
      </w:r>
      <w:r>
        <w:rPr>
          <w:rFonts w:cs="Arial"/>
          <w:sz w:val="22"/>
          <w:szCs w:val="22"/>
          <w:lang w:val="pt-BR"/>
        </w:rPr>
        <w:t xml:space="preserve"> na </w:t>
      </w:r>
      <w:r>
        <w:rPr>
          <w:rFonts w:cs="Arial"/>
          <w:color w:val="000000"/>
          <w:sz w:val="22"/>
          <w:szCs w:val="22"/>
          <w:lang w:val="pt-BR"/>
        </w:rPr>
        <w:t>JUCEB</w:t>
      </w:r>
      <w:r>
        <w:rPr>
          <w:rFonts w:cs="Arial"/>
          <w:sz w:val="22"/>
          <w:szCs w:val="22"/>
          <w:lang w:val="pt-BR"/>
        </w:rPr>
        <w:t xml:space="preserve"> em 19 de junho de 2020, sob o nº 97973410; </w:t>
      </w:r>
      <w:r>
        <w:rPr>
          <w:rFonts w:cs="Arial"/>
          <w:b/>
          <w:bCs/>
          <w:sz w:val="22"/>
          <w:szCs w:val="22"/>
          <w:lang w:val="pt-BR"/>
        </w:rPr>
        <w:t>(b)</w:t>
      </w:r>
      <w:r>
        <w:rPr>
          <w:rFonts w:cs="Arial"/>
          <w:bCs/>
          <w:sz w:val="22"/>
          <w:szCs w:val="22"/>
          <w:lang w:val="pt-BR"/>
        </w:rPr>
        <w:t xml:space="preserve"> no cartório de registro de títulos e documentos da Cidade do Rio de Janeiro, Estado do Rio de Janeiro, </w:t>
      </w:r>
      <w:r>
        <w:rPr>
          <w:rFonts w:cs="Arial"/>
          <w:sz w:val="22"/>
          <w:szCs w:val="22"/>
          <w:lang w:val="pt-BR"/>
        </w:rPr>
        <w:t>em 18 de junho de 2020, sob o nº 1933618;</w:t>
      </w:r>
      <w:r>
        <w:rPr>
          <w:rFonts w:cs="Arial"/>
          <w:bCs/>
          <w:sz w:val="22"/>
          <w:szCs w:val="22"/>
          <w:lang w:val="pt-BR"/>
        </w:rPr>
        <w:t xml:space="preserve"> e </w:t>
      </w:r>
      <w:r>
        <w:rPr>
          <w:rFonts w:cs="Arial"/>
          <w:b/>
          <w:bCs/>
          <w:sz w:val="22"/>
          <w:szCs w:val="22"/>
          <w:lang w:val="pt-BR"/>
        </w:rPr>
        <w:t>(c</w:t>
      </w:r>
      <w:bookmarkStart w:id="0" w:name="_GoBack"/>
      <w:bookmarkEnd w:id="0"/>
      <w:r>
        <w:rPr>
          <w:rFonts w:cs="Arial"/>
          <w:b/>
          <w:bCs/>
          <w:sz w:val="22"/>
          <w:szCs w:val="22"/>
          <w:lang w:val="pt-BR"/>
        </w:rPr>
        <w:t>)</w:t>
      </w:r>
      <w:r>
        <w:rPr>
          <w:rFonts w:cs="Arial"/>
          <w:bCs/>
          <w:sz w:val="22"/>
          <w:szCs w:val="22"/>
          <w:lang w:val="pt-BR"/>
        </w:rPr>
        <w:t xml:space="preserve"> no cartório de registro de títulos e documentos da Cidade de Salvador, Estado da Bahia, </w:t>
      </w:r>
      <w:r>
        <w:rPr>
          <w:rFonts w:cs="Arial"/>
          <w:sz w:val="22"/>
          <w:szCs w:val="22"/>
          <w:lang w:val="pt-BR"/>
        </w:rPr>
        <w:t>em 17 de agosto de 2020, sob o nº 483234;</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proofErr w:type="gramStart"/>
      <w:r>
        <w:rPr>
          <w:rFonts w:cs="Arial"/>
          <w:sz w:val="22"/>
          <w:szCs w:val="22"/>
          <w:lang w:val="pt-BR"/>
        </w:rPr>
        <w:t>a</w:t>
      </w:r>
      <w:proofErr w:type="gramEnd"/>
      <w:r>
        <w:rPr>
          <w:rFonts w:cs="Arial"/>
          <w:sz w:val="22"/>
          <w:szCs w:val="22"/>
          <w:lang w:val="pt-BR"/>
        </w:rPr>
        <w:t xml:space="preserve"> Emissão foi aprovada na Reunião do Conselho de Administração da Emissora</w:t>
      </w:r>
      <w:r>
        <w:rPr>
          <w:rFonts w:cs="Arial"/>
          <w:sz w:val="22"/>
          <w:szCs w:val="22"/>
          <w:lang w:val="pt-BR" w:eastAsia="pt-BR"/>
        </w:rPr>
        <w:t xml:space="preserve"> realizada em 12 de junho de 2020, cuja ata foi registrada e arquivada na JUCEB em </w:t>
      </w:r>
      <w:r>
        <w:rPr>
          <w:rFonts w:cs="Arial"/>
          <w:color w:val="000000"/>
          <w:sz w:val="22"/>
          <w:szCs w:val="22"/>
          <w:lang w:val="pt-BR"/>
        </w:rPr>
        <w:t>17 de junho de 2020 sob o n° </w:t>
      </w:r>
      <w:r>
        <w:rPr>
          <w:rFonts w:cs="Arial"/>
          <w:sz w:val="22"/>
          <w:szCs w:val="22"/>
          <w:lang w:val="pt-BR"/>
        </w:rPr>
        <w:t>97972777</w:t>
      </w:r>
      <w:r>
        <w:rPr>
          <w:rFonts w:cs="Arial"/>
          <w:sz w:val="22"/>
          <w:szCs w:val="22"/>
          <w:lang w:val="pt-BR" w:eastAsia="pt-BR"/>
        </w:rPr>
        <w:t xml:space="preserve">, e publicada </w:t>
      </w:r>
      <w:r>
        <w:rPr>
          <w:rFonts w:cs="Arial"/>
          <w:sz w:val="22"/>
          <w:szCs w:val="22"/>
          <w:lang w:val="pt-BR"/>
        </w:rPr>
        <w:t>Diário Oficial do Estado da Bahia e no jornal Tribuna da Bahia em 20 de junho de 2020;</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proofErr w:type="gramStart"/>
      <w:r>
        <w:rPr>
          <w:rFonts w:cs="Arial"/>
          <w:sz w:val="22"/>
          <w:szCs w:val="22"/>
          <w:lang w:val="pt-BR"/>
        </w:rPr>
        <w:t>em</w:t>
      </w:r>
      <w:proofErr w:type="gramEnd"/>
      <w:r>
        <w:rPr>
          <w:rFonts w:cs="Arial"/>
          <w:sz w:val="22"/>
          <w:szCs w:val="22"/>
          <w:lang w:val="pt-BR"/>
        </w:rPr>
        <w:t xml:space="preserve"> [</w:t>
      </w:r>
      <w:r>
        <w:rPr>
          <w:rFonts w:cs="Arial"/>
          <w:sz w:val="22"/>
          <w:szCs w:val="22"/>
          <w:highlight w:val="yellow"/>
          <w:lang w:val="pt-BR"/>
        </w:rPr>
        <w:t>●</w:t>
      </w:r>
      <w:r>
        <w:rPr>
          <w:rFonts w:cs="Arial"/>
          <w:sz w:val="22"/>
          <w:szCs w:val="22"/>
          <w:lang w:val="pt-BR"/>
        </w:rPr>
        <w:t xml:space="preserve">] de junho de 2021, foi realizada Assembleia Geral de Debenturistas, que deliberou a </w:t>
      </w:r>
      <w:r>
        <w:rPr>
          <w:rFonts w:cs="Arial"/>
          <w:b/>
          <w:sz w:val="22"/>
          <w:szCs w:val="22"/>
          <w:lang w:val="pt-BR"/>
        </w:rPr>
        <w:t>(a)</w:t>
      </w:r>
      <w:r>
        <w:rPr>
          <w:rFonts w:cs="Arial"/>
          <w:sz w:val="22"/>
          <w:szCs w:val="22"/>
          <w:lang w:val="pt-BR"/>
        </w:rPr>
        <w:t xml:space="preserve"> atualização do endereço da Emissora ao longo da Escritura; </w:t>
      </w:r>
      <w:r>
        <w:rPr>
          <w:rFonts w:cs="Arial"/>
          <w:b/>
          <w:sz w:val="22"/>
          <w:szCs w:val="22"/>
          <w:lang w:val="pt-BR"/>
        </w:rPr>
        <w:t>(b)</w:t>
      </w:r>
      <w:r>
        <w:rPr>
          <w:rFonts w:cs="Arial"/>
          <w:sz w:val="22"/>
          <w:szCs w:val="22"/>
          <w:lang w:val="pt-BR"/>
        </w:rPr>
        <w:t xml:space="preserve"> ratificação para a alteração das Cláusulas 4.4.1.1 e 4.4.2.1 da Escritura para prever o ajuste dos Juros Remuneratórios; e </w:t>
      </w:r>
      <w:r>
        <w:rPr>
          <w:rFonts w:cs="Arial"/>
          <w:b/>
          <w:sz w:val="22"/>
          <w:szCs w:val="22"/>
          <w:lang w:val="pt-BR"/>
        </w:rPr>
        <w:t>(c)</w:t>
      </w:r>
      <w:r>
        <w:rPr>
          <w:rFonts w:cs="Arial"/>
          <w:sz w:val="22"/>
          <w:szCs w:val="22"/>
          <w:lang w:val="pt-BR"/>
        </w:rPr>
        <w:t xml:space="preserve"> alteração das Cláusulas 6.2, 6.3, 6.3.1, 6.3.2 e 10.1 da Escritura; e</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proofErr w:type="gramStart"/>
      <w:r>
        <w:rPr>
          <w:rFonts w:cs="Arial"/>
          <w:sz w:val="22"/>
          <w:szCs w:val="22"/>
          <w:lang w:val="pt-BR"/>
        </w:rPr>
        <w:t>as</w:t>
      </w:r>
      <w:proofErr w:type="gramEnd"/>
      <w:r>
        <w:rPr>
          <w:rFonts w:cs="Arial"/>
          <w:sz w:val="22"/>
          <w:szCs w:val="22"/>
          <w:lang w:val="pt-BR"/>
        </w:rPr>
        <w:t xml:space="preserve"> alterações das Cláusulas 4.4.1.1 e 4.4.2.1 da Escritura não necessitam de aprovação em Assembleia Geral de Debenturistas, visto já estarem autorizadas na Cláusula </w:t>
      </w:r>
      <w:bookmarkStart w:id="1" w:name="_Hlk74746458"/>
      <w:r>
        <w:rPr>
          <w:rFonts w:cs="Arial"/>
          <w:sz w:val="22"/>
          <w:szCs w:val="22"/>
          <w:lang w:val="pt-BR"/>
        </w:rPr>
        <w:t xml:space="preserve">4.3.2.1 do Instrumento Particular de Constituição de Alienação Fiduciária de Veículos </w:t>
      </w:r>
      <w:bookmarkEnd w:id="1"/>
      <w:r>
        <w:rPr>
          <w:rFonts w:cs="Arial"/>
          <w:sz w:val="22"/>
          <w:szCs w:val="22"/>
          <w:lang w:val="pt-BR"/>
        </w:rPr>
        <w:t>em Garantia e Outras Avenças firmado em 18 de junho de 2020.</w:t>
      </w:r>
    </w:p>
    <w:p>
      <w:pPr>
        <w:pStyle w:val="Body"/>
        <w:widowControl w:val="0"/>
        <w:spacing w:after="0" w:line="312" w:lineRule="auto"/>
        <w:rPr>
          <w:rFonts w:cs="Arial"/>
          <w:sz w:val="22"/>
          <w:szCs w:val="22"/>
          <w:lang w:val="pt-BR"/>
        </w:rPr>
      </w:pPr>
    </w:p>
    <w:p>
      <w:pPr>
        <w:widowControl w:val="0"/>
        <w:spacing w:line="312" w:lineRule="auto"/>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w:t>
      </w:r>
      <w:r>
        <w:rPr>
          <w:rFonts w:ascii="Arial" w:hAnsi="Arial" w:cs="Arial"/>
          <w:i/>
          <w:sz w:val="22"/>
          <w:szCs w:val="22"/>
        </w:rPr>
        <w:t xml:space="preserve">Primeiro Aditamento ao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pPr>
        <w:widowControl w:val="0"/>
        <w:spacing w:line="312" w:lineRule="auto"/>
        <w:jc w:val="both"/>
        <w:rPr>
          <w:rFonts w:ascii="Arial" w:hAnsi="Arial" w:cs="Arial"/>
          <w:sz w:val="22"/>
          <w:szCs w:val="22"/>
        </w:rPr>
      </w:pPr>
    </w:p>
    <w:p>
      <w:pPr>
        <w:pStyle w:val="Level1"/>
        <w:widowControl w:val="0"/>
        <w:numPr>
          <w:ilvl w:val="0"/>
          <w:numId w:val="4"/>
        </w:numPr>
        <w:spacing w:after="0" w:line="312" w:lineRule="auto"/>
        <w:rPr>
          <w:rFonts w:cs="Arial"/>
          <w:b/>
          <w:sz w:val="22"/>
          <w:szCs w:val="22"/>
        </w:rPr>
      </w:pPr>
      <w:r>
        <w:rPr>
          <w:rFonts w:eastAsia="Arial Unicode MS" w:cs="Arial"/>
          <w:b/>
          <w:sz w:val="22"/>
          <w:szCs w:val="22"/>
        </w:rPr>
        <w:t>ALTERAÇÕES</w:t>
      </w:r>
    </w:p>
    <w:p>
      <w:pPr>
        <w:pStyle w:val="Level1"/>
        <w:widowControl w:val="0"/>
        <w:tabs>
          <w:tab w:val="clear" w:pos="567"/>
        </w:tabs>
        <w:spacing w:after="0" w:line="312" w:lineRule="auto"/>
        <w:ind w:left="0" w:firstLine="0"/>
        <w:rPr>
          <w:rFonts w:cs="Arial"/>
          <w:b/>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o endereço da Emissora ao longo da Escritura</w:t>
      </w:r>
      <w:r>
        <w:rPr>
          <w:rFonts w:cs="Arial"/>
          <w:sz w:val="22"/>
          <w:szCs w:val="22"/>
          <w:lang w:val="pt-BR"/>
        </w:rPr>
        <w:t>, que passará</w:t>
      </w:r>
      <w:r>
        <w:rPr>
          <w:rFonts w:cs="Arial"/>
          <w:kern w:val="0"/>
          <w:sz w:val="22"/>
          <w:szCs w:val="22"/>
          <w:lang w:val="pt-BR" w:eastAsia="pt-BR"/>
        </w:rPr>
        <w:t xml:space="preserve"> a vigorar com a redação abaixo:</w:t>
      </w:r>
    </w:p>
    <w:p>
      <w:pPr>
        <w:pStyle w:val="Level2"/>
        <w:widowControl w:val="0"/>
        <w:numPr>
          <w:ilvl w:val="0"/>
          <w:numId w:val="0"/>
        </w:numPr>
        <w:spacing w:after="0" w:line="312" w:lineRule="auto"/>
        <w:rPr>
          <w:rFonts w:cs="Arial"/>
          <w:kern w:val="0"/>
          <w:sz w:val="22"/>
          <w:szCs w:val="22"/>
          <w:lang w:val="pt-BR" w:eastAsia="pt-BR"/>
        </w:rPr>
      </w:pPr>
    </w:p>
    <w:p>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Caput da Escritura de Emissão:</w:t>
      </w:r>
    </w:p>
    <w:p>
      <w:pPr>
        <w:pStyle w:val="PargrafodaLista"/>
        <w:spacing w:line="312" w:lineRule="auto"/>
        <w:ind w:left="993"/>
        <w:rPr>
          <w:rFonts w:ascii="Arial" w:eastAsia="Arial Unicode MS" w:hAnsi="Arial" w:cs="Arial"/>
          <w:i/>
          <w:w w:val="0"/>
          <w:sz w:val="22"/>
          <w:szCs w:val="22"/>
        </w:rPr>
      </w:pPr>
    </w:p>
    <w:p>
      <w:pPr>
        <w:widowControl w:val="0"/>
        <w:numPr>
          <w:ilvl w:val="0"/>
          <w:numId w:val="39"/>
        </w:numPr>
        <w:tabs>
          <w:tab w:val="left" w:pos="709"/>
        </w:tabs>
        <w:autoSpaceDE/>
        <w:autoSpaceDN/>
        <w:adjustRightInd/>
        <w:spacing w:line="312" w:lineRule="auto"/>
        <w:ind w:left="993" w:firstLine="0"/>
        <w:jc w:val="both"/>
        <w:rPr>
          <w:rFonts w:ascii="Arial" w:hAnsi="Arial" w:cs="Arial"/>
          <w:i/>
          <w:sz w:val="22"/>
          <w:szCs w:val="22"/>
        </w:rPr>
      </w:pPr>
      <w:r>
        <w:rPr>
          <w:rFonts w:ascii="Arial" w:hAnsi="Arial" w:cs="Arial"/>
          <w:i/>
          <w:color w:val="000000"/>
          <w:sz w:val="22"/>
          <w:szCs w:val="22"/>
        </w:rPr>
        <w:lastRenderedPageBreak/>
        <w:t>“</w:t>
      </w:r>
      <w:r>
        <w:rPr>
          <w:rFonts w:ascii="Arial" w:hAnsi="Arial" w:cs="Arial"/>
          <w:b/>
          <w:i/>
          <w:color w:val="000000"/>
          <w:sz w:val="22"/>
          <w:szCs w:val="22"/>
        </w:rPr>
        <w:t>LM TRANSPORTES INTERESTADUAIS SERVIÇOS E COMÉRCIO</w:t>
      </w:r>
      <w:r>
        <w:rPr>
          <w:rFonts w:ascii="Arial" w:hAnsi="Arial" w:cs="Arial"/>
          <w:b/>
          <w:i/>
          <w:sz w:val="22"/>
          <w:szCs w:val="22"/>
        </w:rPr>
        <w:t xml:space="preserve"> 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p>
    <w:p>
      <w:pPr>
        <w:pStyle w:val="Level2"/>
        <w:widowControl w:val="0"/>
        <w:numPr>
          <w:ilvl w:val="0"/>
          <w:numId w:val="0"/>
        </w:numPr>
        <w:spacing w:after="0" w:line="312" w:lineRule="auto"/>
        <w:rPr>
          <w:rFonts w:cs="Arial"/>
          <w:kern w:val="0"/>
          <w:sz w:val="22"/>
          <w:szCs w:val="22"/>
          <w:lang w:val="pt-BR" w:eastAsia="pt-BR"/>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as Cláusulas 4.4.1.1 e 4.4.2.1 da Escritura, que passarão a vigorar com as redações abaixo, no período compreendido entre 13 de julho de 2021 (inclusive) e 13 de julho de 2022 (exclusive), passando a partir de 13 de julho de 2022 as aludidas Cláusulas a vigorar com a redação originalmente prevista na Escritura:</w:t>
      </w:r>
    </w:p>
    <w:p>
      <w:pPr>
        <w:pStyle w:val="Level2"/>
        <w:widowControl w:val="0"/>
        <w:numPr>
          <w:ilvl w:val="0"/>
          <w:numId w:val="0"/>
        </w:numPr>
        <w:spacing w:after="0" w:line="312" w:lineRule="auto"/>
        <w:rPr>
          <w:rFonts w:cs="Arial"/>
          <w:kern w:val="0"/>
          <w:sz w:val="22"/>
          <w:szCs w:val="22"/>
          <w:lang w:val="pt-BR" w:eastAsia="pt-BR"/>
        </w:rPr>
      </w:pPr>
    </w:p>
    <w:p>
      <w:pPr>
        <w:pStyle w:val="Level2"/>
        <w:widowControl w:val="0"/>
        <w:numPr>
          <w:ilvl w:val="0"/>
          <w:numId w:val="0"/>
        </w:numPr>
        <w:spacing w:after="0" w:line="312" w:lineRule="auto"/>
        <w:ind w:left="1080"/>
        <w:rPr>
          <w:rFonts w:cs="Arial"/>
          <w:sz w:val="22"/>
          <w:szCs w:val="22"/>
          <w:lang w:val="pt-BR"/>
        </w:rPr>
      </w:pPr>
      <w:r>
        <w:rPr>
          <w:rFonts w:cs="Arial"/>
          <w:sz w:val="22"/>
          <w:szCs w:val="22"/>
          <w:lang w:val="pt-BR"/>
        </w:rPr>
        <w:t>“</w:t>
      </w:r>
      <w:r>
        <w:rPr>
          <w:rFonts w:cs="Arial"/>
          <w:i/>
          <w:sz w:val="22"/>
          <w:szCs w:val="22"/>
          <w:lang w:val="pt-BR"/>
        </w:rPr>
        <w:t>4.4.1.1.</w:t>
      </w:r>
      <w:r>
        <w:rPr>
          <w:rFonts w:cs="Arial"/>
          <w:i/>
          <w:sz w:val="22"/>
          <w:szCs w:val="22"/>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i/>
          <w:sz w:val="22"/>
          <w:szCs w:val="22"/>
          <w:u w:val="single"/>
          <w:lang w:val="pt-BR"/>
        </w:rPr>
        <w:t>Taxa DI</w:t>
      </w:r>
      <w:r>
        <w:rPr>
          <w:rFonts w:cs="Arial"/>
          <w:i/>
          <w:sz w:val="22"/>
          <w:szCs w:val="22"/>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i/>
          <w:w w:val="0"/>
          <w:sz w:val="22"/>
          <w:szCs w:val="22"/>
          <w:lang w:val="pt-BR"/>
        </w:rPr>
        <w:t>(“</w:t>
      </w:r>
      <w:r>
        <w:rPr>
          <w:rFonts w:eastAsia="Arial Unicode MS" w:cs="Arial"/>
          <w:i/>
          <w:w w:val="0"/>
          <w:sz w:val="22"/>
          <w:szCs w:val="22"/>
          <w:u w:val="single"/>
          <w:lang w:val="pt-BR"/>
        </w:rPr>
        <w:t>Sobretaxa</w:t>
      </w:r>
      <w:r>
        <w:rPr>
          <w:rFonts w:eastAsia="Arial Unicode MS" w:cs="Arial"/>
          <w:i/>
          <w:w w:val="0"/>
          <w:sz w:val="22"/>
          <w:szCs w:val="22"/>
          <w:lang w:val="pt-BR"/>
        </w:rPr>
        <w:t>” e, em conjunto com a Taxa DI, os “</w:t>
      </w:r>
      <w:r>
        <w:rPr>
          <w:rFonts w:eastAsia="Arial Unicode MS" w:cs="Arial"/>
          <w:i/>
          <w:w w:val="0"/>
          <w:sz w:val="22"/>
          <w:szCs w:val="22"/>
          <w:u w:val="single"/>
          <w:lang w:val="pt-BR"/>
        </w:rPr>
        <w:t>Juros Remuneratórios</w:t>
      </w:r>
      <w:r>
        <w:rPr>
          <w:rFonts w:eastAsia="Arial Unicode MS" w:cs="Arial"/>
          <w:i/>
          <w:w w:val="0"/>
          <w:sz w:val="22"/>
          <w:szCs w:val="22"/>
          <w:lang w:val="pt-BR"/>
        </w:rPr>
        <w:t>”)</w:t>
      </w:r>
      <w:r>
        <w:rPr>
          <w:rFonts w:cs="Arial"/>
          <w:i/>
          <w:sz w:val="22"/>
          <w:szCs w:val="22"/>
          <w:lang w:val="pt-BR"/>
        </w:rPr>
        <w:t xml:space="preserve">, calculados de forma exponencial e cumulativa, </w:t>
      </w:r>
      <w:r>
        <w:rPr>
          <w:rFonts w:cs="Arial"/>
          <w:i/>
          <w:iCs/>
          <w:sz w:val="22"/>
          <w:szCs w:val="22"/>
          <w:lang w:val="pt-BR"/>
        </w:rPr>
        <w:t>pro rata temporis</w:t>
      </w:r>
      <w:r>
        <w:rPr>
          <w:rFonts w:cs="Arial"/>
          <w:i/>
          <w:sz w:val="22"/>
          <w:szCs w:val="22"/>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r>
        <w:rPr>
          <w:rFonts w:cs="Arial"/>
          <w:sz w:val="22"/>
          <w:szCs w:val="22"/>
          <w:lang w:val="pt-BR"/>
        </w:rPr>
        <w:t>”</w:t>
      </w:r>
    </w:p>
    <w:p>
      <w:pPr>
        <w:pStyle w:val="Level2"/>
        <w:widowControl w:val="0"/>
        <w:numPr>
          <w:ilvl w:val="0"/>
          <w:numId w:val="0"/>
        </w:numPr>
        <w:spacing w:after="0" w:line="312" w:lineRule="auto"/>
        <w:ind w:left="1080"/>
        <w:rPr>
          <w:rFonts w:cs="Arial"/>
          <w:sz w:val="22"/>
          <w:szCs w:val="22"/>
          <w:lang w:val="pt-BR"/>
        </w:rPr>
      </w:pPr>
    </w:p>
    <w:p>
      <w:pPr>
        <w:widowControl w:val="0"/>
        <w:spacing w:line="312" w:lineRule="auto"/>
        <w:ind w:left="1068"/>
        <w:jc w:val="both"/>
        <w:rPr>
          <w:rFonts w:ascii="Arial" w:hAnsi="Arial" w:cs="Arial"/>
          <w:i/>
          <w:sz w:val="22"/>
          <w:szCs w:val="22"/>
        </w:rPr>
      </w:pPr>
      <w:r>
        <w:rPr>
          <w:rFonts w:ascii="Arial" w:eastAsia="Arial Unicode MS" w:hAnsi="Arial" w:cs="Arial"/>
          <w:iCs/>
          <w:sz w:val="22"/>
          <w:szCs w:val="22"/>
        </w:rPr>
        <w:t>“</w:t>
      </w: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12" w:lineRule="auto"/>
        <w:ind w:left="106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pPr>
        <w:widowControl w:val="0"/>
        <w:spacing w:line="312" w:lineRule="auto"/>
        <w:ind w:left="1068"/>
        <w:jc w:val="both"/>
        <w:rPr>
          <w:rFonts w:ascii="Arial" w:hAnsi="Arial" w:cs="Arial"/>
          <w:i/>
          <w:sz w:val="22"/>
          <w:szCs w:val="22"/>
        </w:rPr>
      </w:pPr>
      <w:proofErr w:type="gramStart"/>
      <w:r>
        <w:rPr>
          <w:rFonts w:ascii="Arial" w:hAnsi="Arial" w:cs="Arial"/>
          <w:i/>
          <w:sz w:val="22"/>
          <w:szCs w:val="22"/>
        </w:rPr>
        <w:lastRenderedPageBreak/>
        <w:t>onde</w:t>
      </w:r>
      <w:proofErr w:type="gramEnd"/>
      <w:r>
        <w:rPr>
          <w:rFonts w:ascii="Arial" w:hAnsi="Arial" w:cs="Arial"/>
          <w:i/>
          <w:sz w:val="22"/>
          <w:szCs w:val="22"/>
        </w:rPr>
        <w:t>,</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pPr>
        <w:widowControl w:val="0"/>
        <w:spacing w:line="312" w:lineRule="auto"/>
        <w:ind w:left="106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pPr>
        <w:pStyle w:val="PargrafodaLista"/>
        <w:widowControl w:val="0"/>
        <w:spacing w:line="312" w:lineRule="auto"/>
        <w:ind w:left="1428"/>
        <w:jc w:val="center"/>
        <w:rPr>
          <w:rFonts w:ascii="Arial" w:hAnsi="Arial" w:cs="Arial"/>
          <w:i/>
          <w:sz w:val="22"/>
          <w:szCs w:val="22"/>
        </w:rPr>
      </w:pPr>
    </w:p>
    <w:p>
      <w:pPr>
        <w:widowControl w:val="0"/>
        <w:spacing w:line="312" w:lineRule="auto"/>
        <w:ind w:left="1068"/>
        <w:jc w:val="both"/>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12" w:lineRule="auto"/>
        <w:ind w:left="1428"/>
        <w:jc w:val="both"/>
        <w:rPr>
          <w:rFonts w:ascii="Arial" w:hAnsi="Arial" w:cs="Arial"/>
          <w:i/>
          <w:sz w:val="22"/>
          <w:szCs w:val="22"/>
        </w:rPr>
      </w:pPr>
    </w:p>
    <w:p>
      <w:pPr>
        <w:pStyle w:val="PargrafodaLista"/>
        <w:widowControl w:val="0"/>
        <w:spacing w:line="312" w:lineRule="auto"/>
        <w:ind w:left="1428"/>
        <w:jc w:val="center"/>
        <w:rPr>
          <w:rFonts w:ascii="Arial" w:hAnsi="Arial" w:cs="Arial"/>
          <w:i/>
          <w:noProof/>
          <w:sz w:val="22"/>
          <w:szCs w:val="22"/>
        </w:rPr>
      </w:pPr>
      <w:r>
        <w:rPr>
          <w:rFonts w:ascii="Arial" w:hAnsi="Arial" w:cs="Arial"/>
          <w:i/>
          <w:noProof/>
          <w:sz w:val="22"/>
          <w:szCs w:val="22"/>
        </w:rPr>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12" w:lineRule="auto"/>
        <w:ind w:left="1068"/>
        <w:jc w:val="both"/>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gramStart"/>
      <w:r>
        <w:rPr>
          <w:rFonts w:ascii="Arial" w:hAnsi="Arial" w:cs="Arial"/>
          <w:i/>
          <w:sz w:val="22"/>
          <w:szCs w:val="22"/>
        </w:rPr>
        <w:t>k</w:t>
      </w:r>
      <w:proofErr w:type="gramEnd"/>
      <w:r>
        <w:rPr>
          <w:rFonts w:ascii="Arial" w:hAnsi="Arial" w:cs="Arial"/>
          <w:i/>
          <w:sz w:val="22"/>
          <w:szCs w:val="22"/>
        </w:rPr>
        <w:t xml:space="preserve"> = número de ordem das Taxas DI, variando de 1 até n, sendo “k” um número inteiro;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proofErr w:type="gramStart"/>
      <w:r>
        <w:rPr>
          <w:rFonts w:ascii="Arial" w:hAnsi="Arial" w:cs="Arial"/>
          <w:i/>
          <w:sz w:val="22"/>
          <w:szCs w:val="22"/>
        </w:rPr>
        <w:t>n</w:t>
      </w:r>
      <w:r>
        <w:rPr>
          <w:rFonts w:ascii="Arial" w:hAnsi="Arial" w:cs="Arial"/>
          <w:i/>
          <w:sz w:val="22"/>
          <w:szCs w:val="22"/>
          <w:vertAlign w:val="subscript"/>
        </w:rPr>
        <w:t>DI</w:t>
      </w:r>
      <w:proofErr w:type="spellEnd"/>
      <w:proofErr w:type="gram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pPr>
        <w:pStyle w:val="PargrafodaLista"/>
        <w:widowControl w:val="0"/>
        <w:spacing w:line="312" w:lineRule="auto"/>
        <w:ind w:left="142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r>
        <w:rPr>
          <w:rFonts w:ascii="Arial" w:hAnsi="Arial" w:cs="Arial"/>
          <w:i/>
          <w:noProof/>
          <w:sz w:val="22"/>
          <w:szCs w:val="22"/>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12" w:lineRule="auto"/>
        <w:ind w:left="1068"/>
        <w:jc w:val="both"/>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w:t>
      </w:r>
      <w:r>
        <w:rPr>
          <w:rFonts w:ascii="Arial" w:hAnsi="Arial" w:cs="Arial"/>
          <w:i/>
          <w:sz w:val="22"/>
          <w:szCs w:val="22"/>
        </w:rPr>
        <w:lastRenderedPageBreak/>
        <w:t>com 2 (duas) casas decimais;</w:t>
      </w:r>
    </w:p>
    <w:p>
      <w:pPr>
        <w:widowControl w:val="0"/>
        <w:spacing w:line="312" w:lineRule="auto"/>
        <w:ind w:left="1068"/>
        <w:jc w:val="both"/>
        <w:rPr>
          <w:rFonts w:ascii="Arial" w:hAnsi="Arial" w:cs="Arial"/>
          <w:i/>
          <w:sz w:val="22"/>
          <w:szCs w:val="22"/>
        </w:rPr>
      </w:pPr>
    </w:p>
    <w:p>
      <w:pPr>
        <w:pStyle w:val="PargrafodaLista"/>
        <w:widowControl w:val="0"/>
        <w:spacing w:line="312" w:lineRule="auto"/>
        <w:ind w:left="1068"/>
        <w:jc w:val="both"/>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pPr>
        <w:pStyle w:val="PargrafodaLista"/>
        <w:widowControl w:val="0"/>
        <w:spacing w:line="312" w:lineRule="auto"/>
        <w:ind w:left="1068"/>
        <w:jc w:val="both"/>
        <w:rPr>
          <w:rFonts w:ascii="Arial" w:hAnsi="Arial" w:cs="Arial"/>
          <w:i/>
          <w:sz w:val="22"/>
          <w:szCs w:val="22"/>
        </w:rPr>
      </w:pPr>
    </w:p>
    <w:p>
      <w:pPr>
        <w:widowControl w:val="0"/>
        <w:spacing w:line="312" w:lineRule="auto"/>
        <w:ind w:left="1068"/>
        <w:jc w:val="center"/>
        <w:rPr>
          <w:rFonts w:ascii="Arial" w:hAnsi="Arial" w:cs="Arial"/>
          <w:i/>
          <w:snapToGrid w:val="0"/>
          <w:sz w:val="22"/>
          <w:szCs w:val="22"/>
        </w:rPr>
      </w:pPr>
      <w:r>
        <w:rPr>
          <w:rFonts w:ascii="Arial" w:hAnsi="Arial" w:cs="Arial"/>
          <w:i/>
          <w:noProof/>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9" o:title=""/>
          </v:shape>
          <o:OLEObject Type="Embed" ProgID="Equation.3" ShapeID="_x0000_i1025" DrawAspect="Content" ObjectID="_1686390651" r:id="rId10"/>
        </w:object>
      </w:r>
    </w:p>
    <w:p>
      <w:pPr>
        <w:widowControl w:val="0"/>
        <w:spacing w:line="312" w:lineRule="auto"/>
        <w:ind w:left="1068"/>
        <w:jc w:val="both"/>
        <w:rPr>
          <w:rFonts w:ascii="Arial" w:hAnsi="Arial" w:cs="Arial"/>
          <w:i/>
          <w:snapToGrid w:val="0"/>
          <w:sz w:val="22"/>
          <w:szCs w:val="22"/>
        </w:rPr>
      </w:pPr>
    </w:p>
    <w:p>
      <w:pPr>
        <w:widowControl w:val="0"/>
        <w:spacing w:line="312" w:lineRule="auto"/>
        <w:ind w:left="1068"/>
        <w:jc w:val="both"/>
        <w:rPr>
          <w:rFonts w:ascii="Arial" w:hAnsi="Arial" w:cs="Arial"/>
          <w:i/>
          <w:snapToGrid w:val="0"/>
          <w:sz w:val="22"/>
          <w:szCs w:val="22"/>
        </w:rPr>
      </w:pPr>
      <w:proofErr w:type="gramStart"/>
      <w:r>
        <w:rPr>
          <w:rFonts w:ascii="Arial" w:hAnsi="Arial" w:cs="Arial"/>
          <w:i/>
          <w:snapToGrid w:val="0"/>
          <w:sz w:val="22"/>
          <w:szCs w:val="22"/>
        </w:rPr>
        <w:t>onde</w:t>
      </w:r>
      <w:proofErr w:type="gramEnd"/>
      <w:r>
        <w:rPr>
          <w:rFonts w:ascii="Arial" w:hAnsi="Arial" w:cs="Arial"/>
          <w:i/>
          <w:snapToGrid w:val="0"/>
          <w:sz w:val="22"/>
          <w:szCs w:val="22"/>
        </w:rPr>
        <w:t>:</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gramStart"/>
      <w:r>
        <w:rPr>
          <w:rFonts w:ascii="Arial" w:hAnsi="Arial" w:cs="Arial"/>
          <w:i/>
          <w:sz w:val="22"/>
          <w:szCs w:val="22"/>
        </w:rPr>
        <w:t>spread</w:t>
      </w:r>
      <w:proofErr w:type="gramEnd"/>
      <w:r>
        <w:rPr>
          <w:rFonts w:ascii="Arial" w:hAnsi="Arial" w:cs="Arial"/>
          <w:i/>
          <w:sz w:val="22"/>
          <w:szCs w:val="22"/>
        </w:rPr>
        <w:t xml:space="preserve"> = 4,8344; </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gramStart"/>
      <w:r>
        <w:rPr>
          <w:rFonts w:ascii="Arial" w:hAnsi="Arial" w:cs="Arial"/>
          <w:i/>
          <w:sz w:val="22"/>
          <w:szCs w:val="22"/>
        </w:rPr>
        <w:t>n</w:t>
      </w:r>
      <w:proofErr w:type="gramEnd"/>
      <w:r>
        <w:rPr>
          <w:rFonts w:ascii="Arial" w:hAnsi="Arial" w:cs="Arial"/>
          <w:i/>
          <w:sz w:val="22"/>
          <w:szCs w:val="22"/>
        </w:rPr>
        <w:t xml:space="preserve"> = número de Dias Úteis entre a primeira Data de Integralização ou a Data de Pagamento dos Juros Remuneratórios imediatamente anterior, conforme o caso, e a data atual, sendo “n” um número inteiro.</w:t>
      </w:r>
      <w:r>
        <w:rPr>
          <w:rFonts w:ascii="Arial" w:hAnsi="Arial" w:cs="Arial"/>
          <w:sz w:val="22"/>
          <w:szCs w:val="22"/>
        </w:rPr>
        <w:t>”</w:t>
      </w:r>
    </w:p>
    <w:p>
      <w:pPr>
        <w:widowControl w:val="0"/>
        <w:spacing w:line="312" w:lineRule="auto"/>
        <w:ind w:left="1068"/>
        <w:jc w:val="both"/>
        <w:rPr>
          <w:rFonts w:ascii="Arial" w:hAnsi="Arial" w:cs="Arial"/>
          <w:i/>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as Cláusulas 6.2, 6.3, 6.3.1 e 6.3.2 da Escritura, que passarão a vigorar com as redações abaixo:</w:t>
      </w:r>
    </w:p>
    <w:p>
      <w:pPr>
        <w:pStyle w:val="Level2"/>
        <w:widowControl w:val="0"/>
        <w:numPr>
          <w:ilvl w:val="0"/>
          <w:numId w:val="0"/>
        </w:numPr>
        <w:spacing w:after="0" w:line="312" w:lineRule="auto"/>
        <w:rPr>
          <w:rFonts w:cs="Arial"/>
          <w:kern w:val="0"/>
          <w:sz w:val="22"/>
          <w:szCs w:val="22"/>
          <w:lang w:val="pt-BR" w:eastAsia="pt-BR"/>
        </w:rPr>
      </w:pPr>
    </w:p>
    <w:p>
      <w:pPr>
        <w:pStyle w:val="PargrafodaLista"/>
        <w:widowControl w:val="0"/>
        <w:spacing w:line="312" w:lineRule="auto"/>
        <w:ind w:left="1080"/>
        <w:jc w:val="both"/>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roofErr w:type="gramStart"/>
      <w:r>
        <w:rPr>
          <w:rFonts w:ascii="Arial" w:hAnsi="Arial" w:cs="Arial"/>
          <w:i/>
          <w:color w:val="000000"/>
          <w:sz w:val="22"/>
          <w:szCs w:val="22"/>
        </w:rPr>
        <w:t>).”</w:t>
      </w:r>
      <w:proofErr w:type="gramEnd"/>
    </w:p>
    <w:p>
      <w:pPr>
        <w:pStyle w:val="Level2"/>
        <w:widowControl w:val="0"/>
        <w:numPr>
          <w:ilvl w:val="0"/>
          <w:numId w:val="0"/>
        </w:numPr>
        <w:spacing w:after="0" w:line="312" w:lineRule="auto"/>
        <w:rPr>
          <w:rFonts w:cs="Arial"/>
          <w:kern w:val="0"/>
          <w:sz w:val="22"/>
          <w:szCs w:val="22"/>
          <w:lang w:val="pt-BR" w:eastAsia="pt-BR"/>
        </w:rPr>
      </w:pPr>
    </w:p>
    <w:p>
      <w:pPr>
        <w:widowControl w:val="0"/>
        <w:spacing w:line="312" w:lineRule="auto"/>
        <w:ind w:left="1068"/>
        <w:jc w:val="both"/>
        <w:rPr>
          <w:rFonts w:ascii="Arial" w:hAnsi="Arial" w:cs="Arial"/>
          <w:i/>
          <w:sz w:val="22"/>
          <w:szCs w:val="22"/>
        </w:rPr>
      </w:pPr>
      <w:r>
        <w:rPr>
          <w:rFonts w:ascii="Arial" w:hAnsi="Arial" w:cs="Arial"/>
          <w:sz w:val="22"/>
          <w:szCs w:val="22"/>
        </w:rPr>
        <w:t>“</w:t>
      </w:r>
      <w:r>
        <w:rPr>
          <w:rFonts w:ascii="Arial" w:hAnsi="Arial" w:cs="Arial"/>
          <w:i/>
          <w:sz w:val="22"/>
          <w:szCs w:val="22"/>
        </w:rPr>
        <w:t xml:space="preserve">6.3. 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31 de dezembro de cada ano e não deverá levar em consideração os volumes de aval e/ou garantias prestados pela Emissora ao Fiador e/ou pelo Fiador à </w:t>
      </w:r>
      <w:proofErr w:type="gramStart"/>
      <w:r>
        <w:rPr>
          <w:rFonts w:ascii="Arial" w:hAnsi="Arial" w:cs="Arial"/>
          <w:i/>
          <w:sz w:val="22"/>
          <w:szCs w:val="22"/>
        </w:rPr>
        <w:t>Emissora:</w:t>
      </w:r>
      <w:r>
        <w:rPr>
          <w:rFonts w:ascii="Arial" w:hAnsi="Arial" w:cs="Arial"/>
          <w:sz w:val="22"/>
          <w:szCs w:val="22"/>
        </w:rPr>
        <w:t>”</w:t>
      </w:r>
      <w:proofErr w:type="gramEnd"/>
      <w:r>
        <w:rPr>
          <w:rFonts w:ascii="Arial" w:hAnsi="Arial" w:cs="Arial"/>
          <w:sz w:val="22"/>
          <w:szCs w:val="22"/>
        </w:rPr>
        <w:t xml:space="preserve"> </w:t>
      </w:r>
    </w:p>
    <w:p>
      <w:pPr>
        <w:widowControl w:val="0"/>
        <w:spacing w:line="312" w:lineRule="auto"/>
        <w:ind w:left="1066"/>
        <w:jc w:val="both"/>
        <w:rPr>
          <w:rFonts w:ascii="Arial" w:hAnsi="Arial" w:cs="Arial"/>
          <w:i/>
          <w:sz w:val="22"/>
          <w:szCs w:val="22"/>
        </w:rPr>
      </w:pP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3256"/>
        <w:gridCol w:w="1726"/>
        <w:gridCol w:w="1559"/>
        <w:gridCol w:w="885"/>
      </w:tblGrid>
      <w:tr>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2021</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2022</w:t>
            </w:r>
          </w:p>
        </w:tc>
      </w:tr>
      <w:tr>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t>AuraBrasil – Transportes, Máquinas e Equipamentos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R$50 milhões</w:t>
            </w:r>
          </w:p>
        </w:tc>
        <w:tc>
          <w:tcPr>
            <w:tcW w:w="885"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lastRenderedPageBreak/>
              <w:t>Bravo Caminhões e Empreendimentos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R$4 milhões</w:t>
            </w:r>
          </w:p>
        </w:tc>
        <w:tc>
          <w:tcPr>
            <w:tcW w:w="885"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t>Aero Santo Antônio</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t>LM Participações e Empreendimentos S.A.</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312" w:lineRule="auto"/>
              <w:jc w:val="both"/>
              <w:rPr>
                <w:rFonts w:ascii="Arial" w:hAnsi="Arial" w:cs="Arial"/>
                <w:i/>
                <w:color w:val="000000"/>
                <w:sz w:val="22"/>
                <w:szCs w:val="22"/>
              </w:rPr>
            </w:pPr>
            <w:r>
              <w:rPr>
                <w:rFonts w:ascii="Arial" w:hAnsi="Arial" w:cs="Arial"/>
                <w:i/>
                <w:sz w:val="22"/>
                <w:szCs w:val="22"/>
              </w:rPr>
              <w:t>Santo Antônio Imóveis e Empreendimentos Ltda.</w:t>
            </w:r>
          </w:p>
        </w:tc>
        <w:tc>
          <w:tcPr>
            <w:tcW w:w="1726"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i/>
                <w:color w:val="000000"/>
                <w:sz w:val="22"/>
                <w:szCs w:val="22"/>
              </w:rPr>
            </w:pPr>
            <w:r>
              <w:rPr>
                <w:rFonts w:ascii="Arial" w:hAnsi="Arial" w:cs="Arial"/>
                <w:i/>
                <w:color w:val="000000"/>
                <w:sz w:val="22"/>
                <w:szCs w:val="22"/>
              </w:rPr>
              <w:t>R$25 milhões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885"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bl>
    <w:p>
      <w:pPr>
        <w:widowControl w:val="0"/>
        <w:spacing w:line="312" w:lineRule="auto"/>
        <w:ind w:left="1134"/>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6.3.1.</w:t>
      </w:r>
      <w:r>
        <w:rPr>
          <w:rFonts w:ascii="Arial" w:hAnsi="Arial" w:cs="Arial"/>
          <w:i/>
          <w:sz w:val="22"/>
          <w:szCs w:val="22"/>
        </w:rPr>
        <w:tab/>
        <w:t>O Agente Fiduciário deverá verificar anualmente, no dia 11 dos meses de junho, a contar da Data de Emissão (“</w:t>
      </w:r>
      <w:r>
        <w:rPr>
          <w:rFonts w:ascii="Arial" w:hAnsi="Arial" w:cs="Arial"/>
          <w:i/>
          <w:sz w:val="22"/>
          <w:szCs w:val="22"/>
          <w:u w:val="single"/>
        </w:rPr>
        <w:t>Data de Verificação</w:t>
      </w:r>
      <w:r>
        <w:rPr>
          <w:rFonts w:ascii="Arial" w:hAnsi="Arial" w:cs="Arial"/>
          <w:i/>
          <w:sz w:val="22"/>
          <w:szCs w:val="22"/>
        </w:rPr>
        <w:t xml:space="preserve">”), levando em consideração a data-base de apuração o dia 31 de dezembro de cada ano, os volumes previstos nas Cláusulas 6.2 e 6.3 da Escritura de Emissão, por meio dos contratos que serão enviados pela Emissora e pelo </w:t>
      </w:r>
      <w:proofErr w:type="gramStart"/>
      <w:r>
        <w:rPr>
          <w:rFonts w:ascii="Arial" w:hAnsi="Arial" w:cs="Arial"/>
          <w:i/>
          <w:sz w:val="22"/>
          <w:szCs w:val="22"/>
        </w:rPr>
        <w:t>Fiador.</w:t>
      </w:r>
      <w:r>
        <w:rPr>
          <w:rFonts w:ascii="Arial" w:hAnsi="Arial" w:cs="Arial"/>
          <w:sz w:val="22"/>
          <w:szCs w:val="22"/>
        </w:rPr>
        <w:t>”</w:t>
      </w:r>
      <w:proofErr w:type="gramEnd"/>
      <w:r>
        <w:rPr>
          <w:rFonts w:ascii="Arial" w:hAnsi="Arial" w:cs="Arial"/>
          <w:sz w:val="22"/>
          <w:szCs w:val="22"/>
        </w:rPr>
        <w:t xml:space="preserve"> </w:t>
      </w: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 xml:space="preserve">Caso seja verificado que quaisquer dos limites previstos nas Cláusulas 6.2 e/ou 6.3 acima foi superado, a Emissora e o Fiador deverão celebrar aditamento a esta Escritura, no prazo de 10 (dez) Dias Úteis da respectiva Data de Verificação, para, conforme aplicável (a) inclusão </w:t>
      </w:r>
      <w:proofErr w:type="gramStart"/>
      <w:r>
        <w:rPr>
          <w:rFonts w:ascii="Arial" w:hAnsi="Arial" w:cs="Arial"/>
          <w:i/>
          <w:color w:val="000000"/>
          <w:sz w:val="22"/>
          <w:szCs w:val="22"/>
        </w:rPr>
        <w:t>da(</w:t>
      </w:r>
      <w:proofErr w:type="gramEnd"/>
      <w:r>
        <w:rPr>
          <w:rFonts w:ascii="Arial" w:hAnsi="Arial" w:cs="Arial"/>
          <w:i/>
          <w:color w:val="000000"/>
          <w:sz w:val="22"/>
          <w:szCs w:val="22"/>
        </w:rPr>
        <w:t>s) sociedades(s) beneficiária(s) das operações mencionadas na Cláusula 6.2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pPr>
        <w:widowControl w:val="0"/>
        <w:spacing w:line="312" w:lineRule="auto"/>
        <w:ind w:left="1068"/>
        <w:jc w:val="both"/>
        <w:rPr>
          <w:rFonts w:ascii="Arial" w:hAnsi="Arial" w:cs="Arial"/>
          <w:i/>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 Cláusula 10.1 da Escritura (Notificações), que passará a vigorar com a redação abaixo:</w:t>
      </w:r>
    </w:p>
    <w:p>
      <w:pPr>
        <w:pStyle w:val="PargrafodaLista"/>
        <w:spacing w:line="312" w:lineRule="auto"/>
        <w:ind w:left="1440"/>
        <w:rPr>
          <w:rFonts w:ascii="Arial" w:eastAsia="Arial Unicode MS" w:hAnsi="Arial" w:cs="Arial"/>
          <w:i/>
          <w:w w:val="0"/>
          <w:sz w:val="22"/>
          <w:szCs w:val="22"/>
        </w:rPr>
      </w:pPr>
    </w:p>
    <w:p>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pPr>
        <w:pStyle w:val="p0"/>
        <w:spacing w:line="312" w:lineRule="auto"/>
        <w:ind w:left="993"/>
        <w:rPr>
          <w:rFonts w:ascii="Arial" w:eastAsia="Arial Unicode MS" w:hAnsi="Arial" w:cs="Arial"/>
          <w:i/>
          <w:sz w:val="22"/>
          <w:szCs w:val="22"/>
        </w:rPr>
      </w:pPr>
    </w:p>
    <w:p>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12" w:lineRule="auto"/>
        <w:ind w:left="993"/>
        <w:jc w:val="both"/>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line="312" w:lineRule="auto"/>
        <w:ind w:left="993"/>
        <w:rPr>
          <w:rFonts w:ascii="Arial" w:eastAsia="Arial Unicode MS" w:hAnsi="Arial" w:cs="Arial"/>
          <w:i/>
          <w:w w:val="0"/>
          <w:sz w:val="22"/>
          <w:szCs w:val="22"/>
        </w:rPr>
      </w:pPr>
      <w:proofErr w:type="gramStart"/>
      <w:r>
        <w:rPr>
          <w:rFonts w:ascii="Arial" w:eastAsia="Arial Unicode MS" w:hAnsi="Arial" w:cs="Arial"/>
          <w:i/>
          <w:w w:val="0"/>
          <w:sz w:val="22"/>
          <w:szCs w:val="22"/>
        </w:rPr>
        <w:t>At.:</w:t>
      </w:r>
      <w:proofErr w:type="gramEnd"/>
      <w:r>
        <w:rPr>
          <w:rFonts w:ascii="Arial" w:eastAsia="Arial Unicode MS" w:hAnsi="Arial" w:cs="Arial"/>
          <w:i/>
          <w:w w:val="0"/>
          <w:sz w:val="22"/>
          <w:szCs w:val="22"/>
        </w:rPr>
        <w:t xml:space="preserve"> Cliveraldo Bastos, Marcio Targa, Katia Nozela e Reveca Cardonski</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t>marcio.targa@grupolm.com.br</w:t>
      </w:r>
      <w:r>
        <w:rPr>
          <w:rFonts w:ascii="Arial" w:eastAsia="Arial Unicode MS" w:hAnsi="Arial" w:cs="Arial"/>
          <w:i/>
          <w:w w:val="0"/>
          <w:sz w:val="22"/>
          <w:szCs w:val="22"/>
        </w:rPr>
        <w:t xml:space="preserve">; </w:t>
      </w:r>
      <w:hyperlink r:id="rId11"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993"/>
        <w:jc w:val="both"/>
        <w:rPr>
          <w:rFonts w:ascii="Arial" w:eastAsia="Arial Unicode MS" w:hAnsi="Arial" w:cs="Arial"/>
          <w:i/>
          <w:w w:val="0"/>
          <w:sz w:val="22"/>
          <w:szCs w:val="22"/>
        </w:rPr>
      </w:pPr>
    </w:p>
    <w:p>
      <w:pPr>
        <w:widowControl w:val="0"/>
        <w:tabs>
          <w:tab w:val="left" w:pos="709"/>
        </w:tabs>
        <w:spacing w:line="312" w:lineRule="auto"/>
        <w:ind w:left="993"/>
        <w:rPr>
          <w:rFonts w:ascii="Arial" w:eastAsia="Arial Unicode MS" w:hAnsi="Arial" w:cs="Arial"/>
          <w:i/>
          <w:w w:val="0"/>
          <w:sz w:val="22"/>
          <w:szCs w:val="22"/>
        </w:rPr>
      </w:pPr>
      <w:r>
        <w:rPr>
          <w:rFonts w:ascii="Arial" w:eastAsia="Arial Unicode MS" w:hAnsi="Arial" w:cs="Arial"/>
          <w:i/>
          <w:sz w:val="22"/>
          <w:szCs w:val="22"/>
        </w:rPr>
        <w:t>(...)</w:t>
      </w:r>
    </w:p>
    <w:p>
      <w:pPr>
        <w:widowControl w:val="0"/>
        <w:shd w:val="clear" w:color="auto" w:fill="FFFFFF"/>
        <w:tabs>
          <w:tab w:val="left" w:pos="709"/>
          <w:tab w:val="left" w:pos="1800"/>
        </w:tabs>
        <w:spacing w:line="312" w:lineRule="auto"/>
        <w:ind w:left="993"/>
        <w:jc w:val="both"/>
        <w:rPr>
          <w:rFonts w:ascii="Arial" w:eastAsia="Arial Unicode MS" w:hAnsi="Arial" w:cs="Arial"/>
          <w:i/>
          <w:color w:val="000000"/>
          <w:w w:val="0"/>
          <w:sz w:val="22"/>
          <w:szCs w:val="22"/>
        </w:rPr>
      </w:pPr>
    </w:p>
    <w:p>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12" w:lineRule="auto"/>
        <w:ind w:left="993"/>
        <w:jc w:val="both"/>
        <w:rPr>
          <w:rFonts w:ascii="Arial" w:eastAsia="Arial Unicode MS" w:hAnsi="Arial" w:cs="Arial"/>
          <w:i/>
          <w:w w:val="0"/>
          <w:sz w:val="22"/>
          <w:szCs w:val="22"/>
        </w:rPr>
      </w:pPr>
      <w:r>
        <w:rPr>
          <w:rFonts w:ascii="Arial" w:hAnsi="Arial" w:cs="Arial"/>
          <w:b/>
          <w:i/>
          <w:smallCaps/>
          <w:sz w:val="22"/>
          <w:szCs w:val="22"/>
        </w:rPr>
        <w:t>LM Transportes e Serviços e Comércio Ltda.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line="312" w:lineRule="auto"/>
        <w:ind w:left="993"/>
        <w:rPr>
          <w:rFonts w:ascii="Arial" w:eastAsia="Arial Unicode MS" w:hAnsi="Arial" w:cs="Arial"/>
          <w:i/>
          <w:w w:val="0"/>
          <w:sz w:val="22"/>
          <w:szCs w:val="22"/>
        </w:rPr>
      </w:pPr>
      <w:proofErr w:type="gramStart"/>
      <w:r>
        <w:rPr>
          <w:rFonts w:ascii="Arial" w:eastAsia="Arial Unicode MS" w:hAnsi="Arial" w:cs="Arial"/>
          <w:i/>
          <w:w w:val="0"/>
          <w:sz w:val="22"/>
          <w:szCs w:val="22"/>
        </w:rPr>
        <w:t>At.:</w:t>
      </w:r>
      <w:proofErr w:type="gramEnd"/>
      <w:r>
        <w:rPr>
          <w:rFonts w:ascii="Arial" w:eastAsia="Arial Unicode MS" w:hAnsi="Arial" w:cs="Arial"/>
          <w:i/>
          <w:w w:val="0"/>
          <w:sz w:val="22"/>
          <w:szCs w:val="22"/>
        </w:rPr>
        <w:t xml:space="preserve"> Cliveraldo Bastos, Marcio Targa Katia Nozela e Reveca Cardonski</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r>
        <w:rPr>
          <w:rStyle w:val="Hyperlink"/>
          <w:rFonts w:ascii="Arial" w:eastAsia="Arial Unicode MS" w:hAnsi="Arial" w:cs="Arial"/>
          <w:i/>
          <w:color w:val="auto"/>
          <w:w w:val="0"/>
          <w:sz w:val="22"/>
          <w:szCs w:val="22"/>
          <w:u w:val="none"/>
        </w:rPr>
        <w:t>marcio.targa@grupolm.com.br</w:t>
      </w:r>
      <w:r>
        <w:rPr>
          <w:rFonts w:ascii="Arial" w:eastAsia="Arial Unicode MS" w:hAnsi="Arial" w:cs="Arial"/>
          <w:i/>
          <w:w w:val="0"/>
          <w:sz w:val="22"/>
          <w:szCs w:val="22"/>
        </w:rPr>
        <w:t xml:space="preserve">; </w:t>
      </w:r>
      <w:hyperlink r:id="rId12"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pacing w:line="312" w:lineRule="auto"/>
        <w:ind w:left="1134"/>
        <w:jc w:val="both"/>
        <w:rPr>
          <w:rFonts w:ascii="Arial" w:hAnsi="Arial" w:cs="Arial"/>
          <w:sz w:val="22"/>
          <w:szCs w:val="22"/>
        </w:rPr>
      </w:pPr>
    </w:p>
    <w:p>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ARQUIVAMENTO E PUBLICAÇÃO</w:t>
      </w:r>
    </w:p>
    <w:p>
      <w:pPr>
        <w:pStyle w:val="Level1"/>
        <w:widowControl w:val="0"/>
        <w:tabs>
          <w:tab w:val="clear" w:pos="567"/>
        </w:tabs>
        <w:spacing w:after="0" w:line="312" w:lineRule="auto"/>
        <w:ind w:left="0" w:firstLine="0"/>
        <w:rPr>
          <w:rFonts w:eastAsia="Arial Unicode MS" w:cs="Arial"/>
          <w:b/>
          <w:sz w:val="22"/>
          <w:szCs w:val="22"/>
        </w:rPr>
      </w:pPr>
    </w:p>
    <w:p>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snapToGrid w:val="0"/>
          <w:sz w:val="22"/>
          <w:szCs w:val="22"/>
          <w:lang w:val="pt-BR"/>
        </w:rPr>
        <w:t xml:space="preserve">Este Aditamento será apresentado para registro </w:t>
      </w:r>
      <w:r>
        <w:rPr>
          <w:rFonts w:cs="Arial"/>
          <w:b/>
          <w:snapToGrid w:val="0"/>
          <w:sz w:val="22"/>
          <w:szCs w:val="22"/>
          <w:lang w:val="pt-BR"/>
        </w:rPr>
        <w:t>(i)</w:t>
      </w:r>
      <w:r>
        <w:rPr>
          <w:rFonts w:cs="Arial"/>
          <w:snapToGrid w:val="0"/>
          <w:sz w:val="22"/>
          <w:szCs w:val="22"/>
          <w:lang w:val="pt-BR"/>
        </w:rPr>
        <w:t xml:space="preserve"> no prazo de 3 (três) Dias Úteis contados de sua celebração, na JUCEB, </w:t>
      </w:r>
      <w:r>
        <w:rPr>
          <w:rFonts w:cs="Arial"/>
          <w:bCs/>
          <w:sz w:val="22"/>
          <w:szCs w:val="22"/>
          <w:lang w:val="pt-BR"/>
        </w:rPr>
        <w:t xml:space="preserve">de acordo com o disposto no artigo 62, inciso II e parágrafo 3º, da Lei das Sociedades por Ações; e </w:t>
      </w:r>
      <w:r>
        <w:rPr>
          <w:rFonts w:cs="Arial"/>
          <w:b/>
          <w:bCs/>
          <w:sz w:val="22"/>
          <w:szCs w:val="22"/>
          <w:lang w:val="pt-BR"/>
        </w:rPr>
        <w:t>(ii)</w:t>
      </w:r>
      <w:r>
        <w:rPr>
          <w:rFonts w:cs="Arial"/>
          <w:bCs/>
          <w:sz w:val="22"/>
          <w:szCs w:val="22"/>
          <w:lang w:val="pt-BR"/>
        </w:rPr>
        <w:t xml:space="preserve"> no prazo de 5 (cinco) Dias Úteis) contatos de sua celebração, nos cartórios de registro de títulos e documentos (em conjunto, “</w:t>
      </w:r>
      <w:r>
        <w:rPr>
          <w:rFonts w:cs="Arial"/>
          <w:bCs/>
          <w:sz w:val="22"/>
          <w:szCs w:val="22"/>
          <w:u w:val="single"/>
          <w:lang w:val="pt-BR"/>
        </w:rPr>
        <w:t>Cartórios de RTDs</w:t>
      </w:r>
      <w:r>
        <w:rPr>
          <w:rFonts w:cs="Arial"/>
          <w:bCs/>
          <w:sz w:val="22"/>
          <w:szCs w:val="22"/>
          <w:lang w:val="pt-BR"/>
        </w:rPr>
        <w:t xml:space="preserve">”): </w:t>
      </w:r>
      <w:r>
        <w:rPr>
          <w:rFonts w:cs="Arial"/>
          <w:b/>
          <w:bCs/>
          <w:sz w:val="22"/>
          <w:szCs w:val="22"/>
          <w:lang w:val="pt-BR"/>
        </w:rPr>
        <w:t>(a)</w:t>
      </w:r>
      <w:r>
        <w:rPr>
          <w:rFonts w:cs="Arial"/>
          <w:bCs/>
          <w:sz w:val="22"/>
          <w:szCs w:val="22"/>
          <w:lang w:val="pt-BR"/>
        </w:rPr>
        <w:t xml:space="preserve"> da Cidade do Rio de Janeiro, Estado do Rio de Janeiro, e </w:t>
      </w:r>
      <w:r>
        <w:rPr>
          <w:rFonts w:cs="Arial"/>
          <w:b/>
          <w:bCs/>
          <w:sz w:val="22"/>
          <w:szCs w:val="22"/>
          <w:lang w:val="pt-BR"/>
        </w:rPr>
        <w:t>(b)</w:t>
      </w:r>
      <w:r>
        <w:rPr>
          <w:rFonts w:cs="Arial"/>
          <w:bCs/>
          <w:sz w:val="22"/>
          <w:szCs w:val="22"/>
          <w:lang w:val="pt-BR"/>
        </w:rPr>
        <w:t xml:space="preserve">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p>
    <w:p>
      <w:pPr>
        <w:pStyle w:val="Level2"/>
        <w:widowControl w:val="0"/>
        <w:numPr>
          <w:ilvl w:val="0"/>
          <w:numId w:val="0"/>
        </w:numPr>
        <w:spacing w:after="0" w:line="312" w:lineRule="auto"/>
        <w:rPr>
          <w:rFonts w:cs="Arial"/>
          <w:snapToGrid w:val="0"/>
          <w:sz w:val="22"/>
          <w:szCs w:val="22"/>
          <w:lang w:val="pt-BR"/>
        </w:rPr>
      </w:pPr>
    </w:p>
    <w:p>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bCs/>
          <w:sz w:val="22"/>
          <w:szCs w:val="22"/>
          <w:lang w:val="pt-BR"/>
        </w:rPr>
        <w:t>A Emissora entregará uma via original ou cópia com a chancela eletrônica da JUCEB e Cartórios de RTDs, conforme aplicável, deste Aditamento, registrado ou averbado, conforme o caso, na JUCEB e em cada Cartório de RTD, ao Agente Fiduciário, no prazo de até 5 (cinco) Dias Úteis contados da data do efetivo registro ou averbação</w:t>
      </w:r>
      <w:r>
        <w:rPr>
          <w:rFonts w:cs="Arial"/>
          <w:color w:val="000000"/>
          <w:sz w:val="22"/>
          <w:szCs w:val="22"/>
          <w:lang w:val="pt-BR"/>
        </w:rPr>
        <w:t>.</w:t>
      </w:r>
    </w:p>
    <w:p>
      <w:pPr>
        <w:pStyle w:val="Level2"/>
        <w:widowControl w:val="0"/>
        <w:numPr>
          <w:ilvl w:val="0"/>
          <w:numId w:val="0"/>
        </w:numPr>
        <w:spacing w:after="0" w:line="312" w:lineRule="auto"/>
        <w:rPr>
          <w:rFonts w:cs="Arial"/>
          <w:snapToGrid w:val="0"/>
          <w:sz w:val="22"/>
          <w:szCs w:val="22"/>
          <w:lang w:val="pt-BR"/>
        </w:rPr>
      </w:pPr>
    </w:p>
    <w:p>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DISPOSIÇÕES GERAIS</w:t>
      </w:r>
    </w:p>
    <w:p>
      <w:pPr>
        <w:pStyle w:val="Level1"/>
        <w:widowControl w:val="0"/>
        <w:tabs>
          <w:tab w:val="clear" w:pos="567"/>
        </w:tabs>
        <w:spacing w:after="0" w:line="312" w:lineRule="auto"/>
        <w:ind w:left="0" w:firstLine="0"/>
        <w:rPr>
          <w:rFonts w:eastAsia="Arial Unicode MS" w:cs="Arial"/>
          <w:b/>
          <w:sz w:val="22"/>
          <w:szCs w:val="22"/>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termos aqui iniciados em letra maiúscula, estejam no singular ou no plural, terão o significado a eles atribuído na Escritura, ainda que posteriormente ao seu uso.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 xml:space="preserve">Todos os termos e condições da Escritura que não tenham sido expressamente alterados pelo presente Aditamento são neste ato ratificados e permanecem em pleno vigor e efeito. Dessa forma, a Escritura passa a vigorar conforme o disposto no </w:t>
      </w:r>
      <w:r>
        <w:rPr>
          <w:rFonts w:cs="Arial"/>
          <w:sz w:val="22"/>
          <w:szCs w:val="22"/>
          <w:u w:val="single"/>
          <w:lang w:val="pt-BR"/>
        </w:rPr>
        <w:t xml:space="preserve">Anexo A </w:t>
      </w:r>
      <w:r>
        <w:rPr>
          <w:rFonts w:cs="Arial"/>
          <w:sz w:val="22"/>
          <w:szCs w:val="22"/>
          <w:lang w:val="pt-BR"/>
        </w:rPr>
        <w:t>ao presente Aditamento.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Todos e quaisquer custos incorridos em razão do registro deste Aditamento, nos registros competentes, serão de responsabilidade exclusiva da Emissora.</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 xml:space="preserve">Este Aditamento é firmado em caráter irrevogável e irretratável, obrigando as Partes por si e seus sucessores a qualquer título. </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Caso qualquer das disposições deste Aditamento venha a ser julgada ilegal, inválida ou ineficaz, prevalecerão válidas e eficazes todas as demais disposições não afetadas por tal julgamento, comprometendo-se as Partes, em boa-fé, a substituir a disposição afetada por outra que, na medida do possível, produza o mesmo efeito.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prazos estabelecidos no presente Aditamento serão computados de acordo com a regra prescrita no artigo 132 do Código Civil, sendo excluído o dia do começo e incluído o do vencimento.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Este Aditamento será regido pelas Leis da República Federativa do Brasil.</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eastAsia="Arial Unicode MS" w:cs="Arial"/>
          <w:sz w:val="22"/>
          <w:szCs w:val="22"/>
          <w:lang w:val="pt-BR"/>
        </w:rPr>
        <w:t xml:space="preserve">Fica eleito o Foro da </w:t>
      </w:r>
      <w:r>
        <w:rPr>
          <w:rFonts w:eastAsia="Arial Unicode MS" w:cs="Arial"/>
          <w:w w:val="0"/>
          <w:sz w:val="22"/>
          <w:szCs w:val="22"/>
          <w:lang w:val="pt-BR"/>
        </w:rPr>
        <w:t>Comarca da Cidade de São Paulo, Estado de São Paulo</w:t>
      </w:r>
      <w:r>
        <w:rPr>
          <w:rFonts w:eastAsia="Arial Unicode MS" w:cs="Arial"/>
          <w:sz w:val="22"/>
          <w:szCs w:val="22"/>
          <w:lang w:val="pt-BR"/>
        </w:rPr>
        <w:t>, para dirimir quaisquer dúvidas ou controvérsias oriundas deste Aditamento, com renúncia a qualquer outro, por mais privilegiado que seja.</w:t>
      </w:r>
    </w:p>
    <w:p>
      <w:pPr>
        <w:pStyle w:val="Level2"/>
        <w:widowControl w:val="0"/>
        <w:numPr>
          <w:ilvl w:val="0"/>
          <w:numId w:val="0"/>
        </w:numPr>
        <w:spacing w:after="0" w:line="312" w:lineRule="auto"/>
        <w:rPr>
          <w:rFonts w:cs="Arial"/>
          <w:sz w:val="22"/>
          <w:szCs w:val="22"/>
          <w:lang w:val="pt-BR"/>
        </w:rPr>
      </w:pPr>
    </w:p>
    <w:p>
      <w:pPr>
        <w:widowControl w:val="0"/>
        <w:numPr>
          <w:ilvl w:val="1"/>
          <w:numId w:val="4"/>
        </w:numPr>
        <w:autoSpaceDE/>
        <w:autoSpaceDN/>
        <w:adjustRightInd/>
        <w:spacing w:line="312" w:lineRule="auto"/>
        <w:jc w:val="both"/>
        <w:rPr>
          <w:rFonts w:ascii="Arial" w:hAnsi="Arial" w:cs="Arial"/>
          <w:sz w:val="22"/>
          <w:szCs w:val="22"/>
        </w:rPr>
      </w:pPr>
      <w:bookmarkStart w:id="2" w:name="_Ref57883180"/>
      <w:r>
        <w:rPr>
          <w:rFonts w:ascii="Arial" w:hAnsi="Arial" w:cs="Arial"/>
          <w:sz w:val="22"/>
          <w:szCs w:val="22"/>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
    </w:p>
    <w:p>
      <w:pPr>
        <w:widowControl w:val="0"/>
        <w:autoSpaceDE/>
        <w:autoSpaceDN/>
        <w:adjustRightInd/>
        <w:spacing w:line="312" w:lineRule="auto"/>
        <w:jc w:val="both"/>
        <w:rPr>
          <w:rFonts w:ascii="Arial" w:hAnsi="Arial" w:cs="Arial"/>
          <w:sz w:val="22"/>
          <w:szCs w:val="22"/>
        </w:rPr>
      </w:pPr>
    </w:p>
    <w:p>
      <w:pPr>
        <w:widowControl w:val="0"/>
        <w:numPr>
          <w:ilvl w:val="2"/>
          <w:numId w:val="4"/>
        </w:numPr>
        <w:autoSpaceDE/>
        <w:autoSpaceDN/>
        <w:adjustRightInd/>
        <w:spacing w:line="312" w:lineRule="auto"/>
        <w:jc w:val="both"/>
        <w:rPr>
          <w:rFonts w:ascii="Arial" w:hAnsi="Arial" w:cs="Arial"/>
          <w:sz w:val="22"/>
          <w:szCs w:val="22"/>
        </w:rPr>
      </w:pPr>
      <w:r>
        <w:rPr>
          <w:rFonts w:ascii="Arial" w:hAnsi="Arial" w:cs="Arial"/>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widowControl w:val="0"/>
        <w:autoSpaceDE/>
        <w:autoSpaceDN/>
        <w:adjustRightInd/>
        <w:spacing w:line="312" w:lineRule="auto"/>
        <w:ind w:left="851"/>
        <w:jc w:val="both"/>
        <w:rPr>
          <w:rFonts w:ascii="Arial" w:hAnsi="Arial" w:cs="Arial"/>
          <w:sz w:val="22"/>
          <w:szCs w:val="22"/>
        </w:rPr>
      </w:pPr>
    </w:p>
    <w:p>
      <w:pPr>
        <w:widowControl w:val="0"/>
        <w:spacing w:line="312" w:lineRule="auto"/>
        <w:jc w:val="both"/>
        <w:rPr>
          <w:rFonts w:ascii="Arial" w:hAnsi="Arial" w:cs="Arial"/>
          <w:sz w:val="22"/>
          <w:szCs w:val="22"/>
        </w:rPr>
      </w:pPr>
      <w:r>
        <w:rPr>
          <w:rFonts w:ascii="Arial" w:hAnsi="Arial" w:cs="Arial"/>
          <w:sz w:val="22"/>
          <w:szCs w:val="22"/>
        </w:rPr>
        <w:t>Estando assim as Partes certas e ajustadas, firmam o presente instrumento, eletronicamente, juntamente com 2 (duas) testemunhas, que também o assinam.</w:t>
      </w:r>
    </w:p>
    <w:p>
      <w:pPr>
        <w:widowControl w:val="0"/>
        <w:spacing w:line="312" w:lineRule="auto"/>
        <w:jc w:val="both"/>
        <w:rPr>
          <w:rFonts w:ascii="Arial" w:hAnsi="Arial" w:cs="Arial"/>
          <w:sz w:val="22"/>
          <w:szCs w:val="22"/>
        </w:rPr>
      </w:pPr>
    </w:p>
    <w:p>
      <w:pPr>
        <w:widowControl w:val="0"/>
        <w:spacing w:line="312" w:lineRule="auto"/>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rPr>
        <w:t xml:space="preserve"> de junho de 2021.</w:t>
      </w:r>
    </w:p>
    <w:p>
      <w:pPr>
        <w:widowControl w:val="0"/>
        <w:spacing w:line="312" w:lineRule="auto"/>
        <w:jc w:val="center"/>
        <w:rPr>
          <w:rFonts w:ascii="Arial" w:hAnsi="Arial" w:cs="Arial"/>
          <w:sz w:val="22"/>
          <w:szCs w:val="22"/>
        </w:rPr>
      </w:pPr>
    </w:p>
    <w:p>
      <w:pPr>
        <w:widowControl w:val="0"/>
        <w:spacing w:line="312" w:lineRule="auto"/>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pPr>
        <w:pStyle w:val="Body"/>
        <w:widowControl w:val="0"/>
        <w:spacing w:after="0" w:line="312" w:lineRule="auto"/>
        <w:jc w:val="center"/>
        <w:rPr>
          <w:rFonts w:eastAsia="Arial Unicode MS" w:cs="Arial"/>
          <w:i/>
          <w:sz w:val="22"/>
          <w:szCs w:val="22"/>
          <w:lang w:val="pt-BR"/>
        </w:rPr>
      </w:pPr>
      <w:r>
        <w:rPr>
          <w:rFonts w:eastAsia="Arial Unicode MS" w:cs="Arial"/>
          <w:i/>
          <w:sz w:val="22"/>
          <w:szCs w:val="22"/>
          <w:lang w:val="pt-BR"/>
        </w:rPr>
        <w:lastRenderedPageBreak/>
        <w:t>(Restante da página deixado intencionalmente em branco.)</w:t>
      </w:r>
    </w:p>
    <w:p>
      <w:pPr>
        <w:widowControl w:val="0"/>
        <w:spacing w:line="312" w:lineRule="auto"/>
        <w:jc w:val="both"/>
        <w:rPr>
          <w:rFonts w:ascii="Arial" w:hAnsi="Arial" w:cs="Arial"/>
          <w:i/>
          <w:sz w:val="22"/>
          <w:szCs w:val="22"/>
        </w:rPr>
      </w:pPr>
    </w:p>
    <w:p>
      <w:pPr>
        <w:spacing w:line="312" w:lineRule="auto"/>
        <w:rPr>
          <w:rFonts w:ascii="Arial" w:hAnsi="Arial" w:cs="Arial"/>
          <w:i/>
          <w:sz w:val="22"/>
          <w:szCs w:val="22"/>
        </w:rPr>
      </w:pPr>
      <w:r>
        <w:rPr>
          <w:rFonts w:ascii="Arial" w:hAnsi="Arial" w:cs="Arial"/>
          <w:i/>
          <w:sz w:val="22"/>
          <w:szCs w:val="22"/>
        </w:rPr>
        <w:br w:type="page"/>
      </w:r>
    </w:p>
    <w:p>
      <w:pPr>
        <w:widowControl w:val="0"/>
        <w:spacing w:line="312" w:lineRule="auto"/>
        <w:jc w:val="both"/>
        <w:rPr>
          <w:rFonts w:ascii="Arial" w:hAnsi="Arial" w:cs="Arial"/>
          <w:i/>
          <w:sz w:val="22"/>
          <w:szCs w:val="22"/>
        </w:rPr>
      </w:pPr>
    </w:p>
    <w:p>
      <w:pPr>
        <w:widowControl w:val="0"/>
        <w:spacing w:line="312" w:lineRule="auto"/>
        <w:jc w:val="both"/>
        <w:rPr>
          <w:rFonts w:ascii="Arial" w:hAnsi="Arial" w:cs="Arial"/>
          <w:sz w:val="22"/>
          <w:szCs w:val="22"/>
        </w:rPr>
      </w:pPr>
      <w:r>
        <w:rPr>
          <w:rFonts w:ascii="Arial" w:hAnsi="Arial" w:cs="Arial"/>
          <w:i/>
          <w:sz w:val="22"/>
          <w:szCs w:val="22"/>
        </w:rPr>
        <w:t xml:space="preserve">Página de assinaturas do Primeiro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12" w:lineRule="auto"/>
        <w:rPr>
          <w:rFonts w:ascii="Arial" w:hAnsi="Arial" w:cs="Arial"/>
          <w:sz w:val="22"/>
          <w:szCs w:val="22"/>
        </w:rPr>
      </w:pPr>
    </w:p>
    <w:p>
      <w:pPr>
        <w:widowControl w:val="0"/>
        <w:spacing w:line="312"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12" w:lineRule="auto"/>
        <w:jc w:val="center"/>
        <w:rPr>
          <w:rFonts w:ascii="Arial" w:hAnsi="Arial" w:cs="Arial"/>
          <w:b/>
          <w:sz w:val="22"/>
          <w:szCs w:val="22"/>
        </w:rPr>
      </w:pPr>
    </w:p>
    <w:p>
      <w:pPr>
        <w:widowControl w:val="0"/>
        <w:spacing w:line="312" w:lineRule="auto"/>
        <w:jc w:val="center"/>
        <w:rPr>
          <w:rFonts w:ascii="Arial" w:hAnsi="Arial" w:cs="Arial"/>
          <w:b/>
          <w:sz w:val="22"/>
          <w:szCs w:val="22"/>
        </w:rPr>
      </w:pPr>
    </w:p>
    <w:p>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line="312" w:lineRule="auto"/>
        <w:rPr>
          <w:rFonts w:ascii="Arial" w:hAnsi="Arial" w:cs="Arial"/>
          <w:sz w:val="22"/>
          <w:szCs w:val="22"/>
        </w:rPr>
      </w:pPr>
    </w:p>
    <w:p>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 xml:space="preserve">SIMPLIFIC PAVARINI DISTRIBUIDORA DE TÍTULOS E VALORES MOBILIÁRIOS </w:t>
      </w:r>
    </w:p>
    <w:p>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LTDA.</w:t>
      </w:r>
    </w:p>
    <w:p>
      <w:pPr>
        <w:widowControl w:val="0"/>
        <w:shd w:val="clear" w:color="auto" w:fill="FFFFFF"/>
        <w:tabs>
          <w:tab w:val="left" w:pos="709"/>
          <w:tab w:val="left" w:pos="1800"/>
        </w:tabs>
        <w:spacing w:line="312" w:lineRule="auto"/>
        <w:jc w:val="center"/>
        <w:rPr>
          <w:rFonts w:ascii="Arial" w:hAnsi="Arial" w:cs="Arial"/>
          <w:b/>
          <w:sz w:val="22"/>
          <w:szCs w:val="22"/>
        </w:rPr>
      </w:pPr>
    </w:p>
    <w:p>
      <w:pPr>
        <w:widowControl w:val="0"/>
        <w:shd w:val="clear" w:color="auto" w:fill="FFFFFF"/>
        <w:tabs>
          <w:tab w:val="left" w:pos="709"/>
          <w:tab w:val="left" w:pos="1800"/>
        </w:tabs>
        <w:spacing w:line="312" w:lineRule="auto"/>
        <w:jc w:val="center"/>
        <w:rPr>
          <w:rFonts w:ascii="Arial" w:eastAsia="Arial Unicode MS" w:hAnsi="Arial" w:cs="Arial"/>
          <w:b/>
          <w:w w:val="0"/>
          <w:sz w:val="22"/>
          <w:szCs w:val="22"/>
        </w:rPr>
      </w:pPr>
    </w:p>
    <w:p>
      <w:pPr>
        <w:pStyle w:val="Body"/>
        <w:widowControl w:val="0"/>
        <w:spacing w:after="0" w:line="312" w:lineRule="auto"/>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Matheus Gomes Faria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993" w:type="dxa"/>
            <w:tcBorders>
              <w:top w:val="nil"/>
              <w:bottom w:val="nil"/>
            </w:tcBorders>
          </w:tcPr>
          <w:p>
            <w:pPr>
              <w:pStyle w:val="Body"/>
              <w:widowControl w:val="0"/>
              <w:spacing w:after="0" w:line="312" w:lineRule="auto"/>
              <w:rPr>
                <w:rFonts w:cs="Arial"/>
                <w:color w:val="000000"/>
                <w:w w:val="0"/>
                <w:kern w:val="0"/>
                <w:sz w:val="22"/>
                <w:szCs w:val="22"/>
                <w:lang w:val="pt-BR"/>
              </w:rPr>
            </w:pPr>
          </w:p>
        </w:tc>
      </w:tr>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058.133.117-69</w:t>
            </w:r>
          </w:p>
        </w:tc>
        <w:tc>
          <w:tcPr>
            <w:tcW w:w="993" w:type="dxa"/>
            <w:tcBorders>
              <w:top w:val="nil"/>
            </w:tcBorders>
          </w:tcPr>
          <w:p>
            <w:pPr>
              <w:pStyle w:val="Body"/>
              <w:widowControl w:val="0"/>
              <w:spacing w:after="0" w:line="312" w:lineRule="auto"/>
              <w:rPr>
                <w:rFonts w:cs="Arial"/>
                <w:color w:val="000000"/>
                <w:w w:val="0"/>
                <w:kern w:val="0"/>
                <w:sz w:val="22"/>
                <w:szCs w:val="22"/>
                <w:lang w:val="pt-BR"/>
              </w:rPr>
            </w:pPr>
          </w:p>
        </w:tc>
      </w:tr>
    </w:tbl>
    <w:p>
      <w:pPr>
        <w:widowControl w:val="0"/>
        <w:spacing w:line="312" w:lineRule="auto"/>
        <w:jc w:val="both"/>
        <w:rPr>
          <w:rFonts w:ascii="Arial" w:hAnsi="Arial" w:cs="Arial"/>
          <w:sz w:val="22"/>
          <w:szCs w:val="22"/>
        </w:rPr>
      </w:pPr>
    </w:p>
    <w:p>
      <w:pPr>
        <w:widowControl w:val="0"/>
        <w:spacing w:line="312" w:lineRule="auto"/>
        <w:jc w:val="center"/>
        <w:rPr>
          <w:rFonts w:ascii="Arial" w:hAnsi="Arial" w:cs="Arial"/>
          <w:b/>
          <w:sz w:val="22"/>
          <w:szCs w:val="22"/>
        </w:rPr>
      </w:pPr>
      <w:r>
        <w:rPr>
          <w:rFonts w:ascii="Arial" w:hAnsi="Arial" w:cs="Arial"/>
          <w:b/>
          <w:sz w:val="22"/>
          <w:szCs w:val="22"/>
        </w:rPr>
        <w:t>LM TRANSPORTES E SERVIÇOS E COMÉRCIO LTDA.</w:t>
      </w:r>
    </w:p>
    <w:p>
      <w:pPr>
        <w:widowControl w:val="0"/>
        <w:spacing w:line="312" w:lineRule="auto"/>
        <w:jc w:val="center"/>
        <w:rPr>
          <w:rFonts w:ascii="Arial" w:hAnsi="Arial" w:cs="Arial"/>
          <w:b/>
          <w:sz w:val="22"/>
          <w:szCs w:val="22"/>
        </w:rPr>
      </w:pPr>
    </w:p>
    <w:p>
      <w:pPr>
        <w:widowControl w:val="0"/>
        <w:spacing w:line="312" w:lineRule="auto"/>
        <w:jc w:val="center"/>
        <w:rPr>
          <w:rFonts w:ascii="Arial" w:hAnsi="Arial" w:cs="Arial"/>
          <w:b/>
          <w:sz w:val="22"/>
          <w:szCs w:val="22"/>
        </w:rPr>
      </w:pPr>
    </w:p>
    <w:p>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line="312" w:lineRule="auto"/>
        <w:rPr>
          <w:rFonts w:ascii="Arial" w:hAnsi="Arial" w:cs="Arial"/>
          <w:sz w:val="22"/>
          <w:szCs w:val="22"/>
        </w:rPr>
      </w:pPr>
    </w:p>
    <w:p>
      <w:pPr>
        <w:widowControl w:val="0"/>
        <w:spacing w:line="312" w:lineRule="auto"/>
        <w:rPr>
          <w:rFonts w:ascii="Arial" w:hAnsi="Arial" w:cs="Arial"/>
          <w:b/>
          <w:sz w:val="22"/>
          <w:szCs w:val="22"/>
        </w:rPr>
      </w:pPr>
      <w:r>
        <w:rPr>
          <w:rFonts w:ascii="Arial" w:hAnsi="Arial" w:cs="Arial"/>
          <w:b/>
          <w:sz w:val="22"/>
          <w:szCs w:val="22"/>
        </w:rPr>
        <w:t>Testemunhas:</w:t>
      </w:r>
    </w:p>
    <w:p>
      <w:pPr>
        <w:widowControl w:val="0"/>
        <w:spacing w:line="312" w:lineRule="auto"/>
        <w:rPr>
          <w:rFonts w:ascii="Arial" w:hAnsi="Arial" w:cs="Arial"/>
          <w:b/>
          <w:sz w:val="22"/>
          <w:szCs w:val="22"/>
        </w:rPr>
      </w:pPr>
    </w:p>
    <w:p>
      <w:pPr>
        <w:widowControl w:val="0"/>
        <w:spacing w:line="312" w:lineRule="auto"/>
        <w:rPr>
          <w:rFonts w:ascii="Arial" w:hAnsi="Arial" w:cs="Arial"/>
          <w:sz w:val="22"/>
          <w:szCs w:val="22"/>
        </w:rPr>
      </w:pPr>
    </w:p>
    <w:p>
      <w:pPr>
        <w:widowControl w:val="0"/>
        <w:spacing w:line="312"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Márcio Targa de Lima</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lang w:val="pt-BR"/>
              </w:rPr>
              <w:t>54.176.055-5 SSP SP</w:t>
            </w:r>
          </w:p>
        </w:tc>
        <w:tc>
          <w:tcPr>
            <w:tcW w:w="993" w:type="dxa"/>
            <w:tcBorders>
              <w:top w:val="nil"/>
              <w:bottom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Reveca Fichman Cardonski</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rPr>
              <w:t>01.274.118-36 SSP BA</w:t>
            </w:r>
          </w:p>
        </w:tc>
      </w:tr>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CPF: </w:t>
            </w:r>
            <w:r>
              <w:rPr>
                <w:rFonts w:eastAsiaTheme="minorHAnsi" w:cs="Arial"/>
                <w:sz w:val="22"/>
                <w:szCs w:val="22"/>
              </w:rPr>
              <w:t>856.295.539-68</w:t>
            </w:r>
          </w:p>
        </w:tc>
        <w:tc>
          <w:tcPr>
            <w:tcW w:w="993" w:type="dxa"/>
            <w:tcBorders>
              <w:top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CPF: 3</w:t>
            </w:r>
            <w:r>
              <w:rPr>
                <w:rFonts w:eastAsiaTheme="minorHAnsi" w:cs="Arial"/>
                <w:sz w:val="22"/>
                <w:szCs w:val="22"/>
              </w:rPr>
              <w:t>57.004.325-87</w:t>
            </w:r>
          </w:p>
        </w:tc>
      </w:tr>
    </w:tbl>
    <w:p>
      <w:pPr>
        <w:autoSpaceDE/>
        <w:autoSpaceDN/>
        <w:adjustRightInd/>
      </w:pPr>
    </w:p>
    <w:p>
      <w:pPr>
        <w:widowControl w:val="0"/>
        <w:spacing w:line="312" w:lineRule="auto"/>
        <w:jc w:val="center"/>
        <w:rPr>
          <w:rFonts w:ascii="Arial" w:hAnsi="Arial" w:cs="Arial"/>
          <w:sz w:val="22"/>
          <w:szCs w:val="22"/>
        </w:rPr>
      </w:pPr>
      <w:r>
        <w:br w:type="page"/>
      </w:r>
      <w:r>
        <w:rPr>
          <w:rFonts w:ascii="Arial" w:hAnsi="Arial" w:cs="Arial"/>
          <w:b/>
          <w:sz w:val="22"/>
          <w:szCs w:val="22"/>
        </w:rPr>
        <w:lastRenderedPageBreak/>
        <w:t>ANEXO A AO</w:t>
      </w:r>
    </w:p>
    <w:p>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12" w:lineRule="auto"/>
        <w:jc w:val="both"/>
        <w:rPr>
          <w:rFonts w:ascii="Arial" w:hAnsi="Arial" w:cs="Arial"/>
          <w:b/>
          <w:color w:val="000000"/>
          <w:sz w:val="22"/>
          <w:szCs w:val="22"/>
        </w:rPr>
      </w:pPr>
    </w:p>
    <w:p>
      <w:pPr>
        <w:widowControl w:val="0"/>
        <w:spacing w:line="312" w:lineRule="auto"/>
        <w:jc w:val="center"/>
        <w:rPr>
          <w:rFonts w:ascii="Arial" w:hAnsi="Arial" w:cs="Arial"/>
          <w:b/>
          <w:color w:val="000000"/>
          <w:sz w:val="22"/>
          <w:szCs w:val="22"/>
          <w:u w:val="single"/>
        </w:rPr>
      </w:pPr>
      <w:r>
        <w:rPr>
          <w:rFonts w:ascii="Arial" w:hAnsi="Arial" w:cs="Arial"/>
          <w:b/>
          <w:color w:val="000000"/>
          <w:sz w:val="22"/>
          <w:szCs w:val="22"/>
          <w:u w:val="single"/>
        </w:rPr>
        <w:t>Escritura Consolidada</w:t>
      </w:r>
    </w:p>
    <w:p>
      <w:pPr>
        <w:widowControl w:val="0"/>
        <w:spacing w:line="312" w:lineRule="auto"/>
        <w:jc w:val="center"/>
        <w:rPr>
          <w:rFonts w:ascii="Arial" w:hAnsi="Arial" w:cs="Arial"/>
          <w:b/>
          <w:color w:val="000000"/>
          <w:sz w:val="22"/>
          <w:szCs w:val="22"/>
          <w:u w:val="single"/>
        </w:rPr>
      </w:pP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xml:space="preserve">”), com sede na Cidade de Salvador, Estado da Bahia, </w:t>
      </w:r>
      <w:r>
        <w:rPr>
          <w:rFonts w:ascii="Arial" w:hAnsi="Arial" w:cs="Arial"/>
          <w:sz w:val="22"/>
          <w:szCs w:val="22"/>
          <w:highlight w:val="yellow"/>
        </w:rPr>
        <w:t>na Rua da Alfazema, nº 761, Ed. Iguatemi Business &amp; Flat, Sala 703, 7º andar, Lojas 29, 30, 31, Térreo, Caminho das Árvores, CEP 41820-710</w:t>
      </w:r>
      <w:r>
        <w:rPr>
          <w:rFonts w:ascii="Arial" w:hAnsi="Arial" w:cs="Arial"/>
          <w:sz w:val="22"/>
          <w:szCs w:val="22"/>
        </w:rPr>
        <w:t>,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39"/>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w:t>
      </w:r>
      <w:r>
        <w:rPr>
          <w:rFonts w:ascii="Arial" w:hAnsi="Arial" w:cs="Arial"/>
          <w:sz w:val="22"/>
          <w:szCs w:val="22"/>
        </w:rPr>
        <w:lastRenderedPageBreak/>
        <w:t>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bookmarkStart w:id="3" w:name="_Ref40196957"/>
      <w:r>
        <w:rPr>
          <w:rFonts w:ascii="Arial" w:hAnsi="Arial" w:cs="Arial"/>
          <w:b/>
          <w:bCs/>
          <w:sz w:val="22"/>
          <w:szCs w:val="22"/>
        </w:rPr>
        <w:t>Arquivamento e Publicação</w:t>
      </w:r>
      <w:bookmarkEnd w:id="3"/>
      <w:r>
        <w:rPr>
          <w:rFonts w:ascii="Arial" w:hAnsi="Arial" w:cs="Arial"/>
          <w:b/>
          <w:bCs/>
          <w:sz w:val="22"/>
          <w:szCs w:val="22"/>
        </w:rPr>
        <w:t xml:space="preserve"> da Ata da RCA da Emissora </w:t>
      </w:r>
    </w:p>
    <w:p>
      <w:pPr>
        <w:widowControl w:val="0"/>
        <w:spacing w:line="340" w:lineRule="exact"/>
        <w:jc w:val="both"/>
        <w:rPr>
          <w:rFonts w:ascii="Arial" w:hAnsi="Arial" w:cs="Arial"/>
          <w:bCs/>
          <w:sz w:val="22"/>
          <w:szCs w:val="22"/>
        </w:rPr>
      </w:pPr>
    </w:p>
    <w:p>
      <w:pPr>
        <w:widowControl w:val="0"/>
        <w:numPr>
          <w:ilvl w:val="3"/>
          <w:numId w:val="5"/>
        </w:numPr>
        <w:autoSpaceDE/>
        <w:autoSpaceDN/>
        <w:adjustRightInd/>
        <w:spacing w:line="340" w:lineRule="exact"/>
        <w:ind w:left="0" w:firstLine="8"/>
        <w:jc w:val="both"/>
        <w:rPr>
          <w:rFonts w:ascii="Arial" w:hAnsi="Arial" w:cs="Arial"/>
          <w:b/>
          <w:bCs/>
          <w:sz w:val="22"/>
          <w:szCs w:val="22"/>
        </w:rPr>
      </w:pPr>
      <w:bookmarkStart w:id="4"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4"/>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w:t>
      </w:r>
      <w:r>
        <w:rPr>
          <w:rFonts w:ascii="Arial" w:hAnsi="Arial" w:cs="Arial"/>
          <w:sz w:val="22"/>
          <w:szCs w:val="22"/>
        </w:rPr>
        <w:lastRenderedPageBreak/>
        <w:t xml:space="preserve">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line="340" w:lineRule="exact"/>
        <w:jc w:val="both"/>
        <w:rPr>
          <w:rFonts w:ascii="Arial" w:hAnsi="Arial" w:cs="Arial"/>
          <w:b/>
          <w:bCs/>
          <w:sz w:val="22"/>
          <w:szCs w:val="22"/>
        </w:rPr>
      </w:pPr>
    </w:p>
    <w:p>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pPr>
        <w:widowControl w:val="0"/>
        <w:spacing w:line="340" w:lineRule="exact"/>
        <w:jc w:val="both"/>
        <w:rPr>
          <w:rFonts w:ascii="Arial" w:hAnsi="Arial" w:cs="Arial"/>
          <w:bCs/>
          <w:sz w:val="22"/>
          <w:szCs w:val="22"/>
        </w:rPr>
      </w:pPr>
    </w:p>
    <w:p>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line="340" w:lineRule="exact"/>
        <w:jc w:val="both"/>
        <w:rPr>
          <w:rFonts w:ascii="Arial" w:hAnsi="Arial" w:cs="Arial"/>
          <w:bCs/>
          <w:sz w:val="22"/>
          <w:szCs w:val="22"/>
        </w:rPr>
      </w:pPr>
    </w:p>
    <w:p>
      <w:pPr>
        <w:widowControl w:val="0"/>
        <w:numPr>
          <w:ilvl w:val="2"/>
          <w:numId w:val="5"/>
        </w:numPr>
        <w:autoSpaceDE/>
        <w:autoSpaceDN/>
        <w:adjustRightInd/>
        <w:spacing w:line="340" w:lineRule="exact"/>
        <w:ind w:hanging="1080"/>
        <w:jc w:val="both"/>
        <w:rPr>
          <w:rFonts w:ascii="Arial" w:hAnsi="Arial" w:cs="Arial"/>
          <w:b/>
          <w:i/>
          <w:sz w:val="22"/>
          <w:szCs w:val="22"/>
        </w:rPr>
      </w:pPr>
      <w:bookmarkStart w:id="5" w:name="_Ref42807839"/>
      <w:r>
        <w:rPr>
          <w:rFonts w:ascii="Arial" w:hAnsi="Arial" w:cs="Arial"/>
          <w:b/>
          <w:bCs/>
          <w:sz w:val="22"/>
          <w:szCs w:val="22"/>
        </w:rPr>
        <w:t>Constituição e Registro da Fiança</w:t>
      </w:r>
      <w:bookmarkEnd w:id="5"/>
    </w:p>
    <w:p>
      <w:pPr>
        <w:widowControl w:val="0"/>
        <w:spacing w:line="340" w:lineRule="exact"/>
        <w:jc w:val="both"/>
        <w:rPr>
          <w:rFonts w:ascii="Arial" w:hAnsi="Arial" w:cs="Arial"/>
          <w:bCs/>
          <w:sz w:val="22"/>
          <w:szCs w:val="22"/>
        </w:rPr>
      </w:pPr>
    </w:p>
    <w:p>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rPr>
          <w:rFonts w:ascii="Arial" w:hAnsi="Arial" w:cs="Arial"/>
          <w:bCs/>
          <w:sz w:val="22"/>
          <w:szCs w:val="22"/>
        </w:rPr>
      </w:pPr>
    </w:p>
    <w:p>
      <w:pPr>
        <w:widowControl w:val="0"/>
        <w:numPr>
          <w:ilvl w:val="4"/>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5 (cinco)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pPr>
        <w:widowControl w:val="0"/>
        <w:spacing w:line="340" w:lineRule="exact"/>
        <w:jc w:val="both"/>
        <w:rPr>
          <w:rFonts w:ascii="Arial" w:hAnsi="Arial" w:cs="Arial"/>
          <w:bCs/>
          <w:sz w:val="22"/>
          <w:szCs w:val="22"/>
        </w:rPr>
      </w:pPr>
    </w:p>
    <w:p>
      <w:pPr>
        <w:widowControl w:val="0"/>
        <w:numPr>
          <w:ilvl w:val="4"/>
          <w:numId w:val="5"/>
        </w:numPr>
        <w:autoSpaceDE/>
        <w:autoSpaceDN/>
        <w:adjustRightInd/>
        <w:spacing w:line="340" w:lineRule="exact"/>
        <w:ind w:left="0" w:firstLine="0"/>
        <w:jc w:val="both"/>
        <w:rPr>
          <w:rFonts w:ascii="Arial" w:hAnsi="Arial" w:cs="Arial"/>
          <w:bCs/>
          <w:sz w:val="22"/>
          <w:szCs w:val="22"/>
        </w:rPr>
      </w:pPr>
      <w:bookmarkStart w:id="6"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6"/>
    </w:p>
    <w:p>
      <w:pPr>
        <w:widowControl w:val="0"/>
        <w:spacing w:line="340" w:lineRule="exact"/>
        <w:jc w:val="both"/>
        <w:rPr>
          <w:rFonts w:ascii="Arial" w:hAnsi="Arial" w:cs="Arial"/>
          <w:bCs/>
          <w:sz w:val="22"/>
          <w:szCs w:val="22"/>
        </w:rPr>
      </w:pPr>
    </w:p>
    <w:p>
      <w:pPr>
        <w:widowControl w:val="0"/>
        <w:numPr>
          <w:ilvl w:val="2"/>
          <w:numId w:val="5"/>
        </w:numPr>
        <w:autoSpaceDE/>
        <w:autoSpaceDN/>
        <w:adjustRightInd/>
        <w:spacing w:line="340" w:lineRule="exact"/>
        <w:ind w:hanging="1080"/>
        <w:jc w:val="both"/>
        <w:rPr>
          <w:rFonts w:ascii="Arial" w:hAnsi="Arial" w:cs="Arial"/>
          <w:b/>
          <w:i/>
          <w:sz w:val="22"/>
          <w:szCs w:val="22"/>
        </w:rPr>
      </w:pPr>
      <w:bookmarkStart w:id="7" w:name="_Ref42807873"/>
      <w:r>
        <w:rPr>
          <w:rFonts w:ascii="Arial" w:hAnsi="Arial" w:cs="Arial"/>
          <w:b/>
          <w:bCs/>
          <w:sz w:val="22"/>
          <w:szCs w:val="22"/>
        </w:rPr>
        <w:lastRenderedPageBreak/>
        <w:t>Constituição e Registro das Garantias Reais</w:t>
      </w:r>
      <w:bookmarkEnd w:id="7"/>
    </w:p>
    <w:p>
      <w:pPr>
        <w:widowControl w:val="0"/>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Segmento CETIP UTVM (“</w:t>
      </w:r>
      <w:r>
        <w:rPr>
          <w:rFonts w:ascii="Arial" w:hAnsi="Arial" w:cs="Arial"/>
          <w:sz w:val="22"/>
          <w:szCs w:val="22"/>
          <w:u w:val="single"/>
        </w:rPr>
        <w:t>B3</w:t>
      </w:r>
      <w:r>
        <w:rPr>
          <w:rFonts w:ascii="Arial" w:hAnsi="Arial" w:cs="Arial"/>
          <w:sz w:val="22"/>
          <w:szCs w:val="22"/>
        </w:rPr>
        <w:t xml:space="preserve">”),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pPr>
        <w:spacing w:line="340" w:lineRule="exact"/>
        <w:jc w:val="both"/>
        <w:rPr>
          <w:rFonts w:ascii="Arial" w:hAnsi="Arial" w:cs="Arial"/>
          <w:sz w:val="22"/>
          <w:szCs w:val="22"/>
        </w:rPr>
      </w:pPr>
    </w:p>
    <w:p>
      <w:pPr>
        <w:pStyle w:val="PargrafodaLista"/>
        <w:numPr>
          <w:ilvl w:val="4"/>
          <w:numId w:val="5"/>
        </w:numPr>
        <w:tabs>
          <w:tab w:val="left" w:pos="709"/>
          <w:tab w:val="left" w:pos="851"/>
          <w:tab w:val="left" w:pos="1134"/>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5 (cinco)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numPr>
          <w:ilvl w:val="4"/>
          <w:numId w:val="5"/>
        </w:numPr>
        <w:tabs>
          <w:tab w:val="left" w:pos="709"/>
          <w:tab w:val="left" w:pos="851"/>
          <w:tab w:val="left" w:pos="1134"/>
          <w:tab w:val="left" w:pos="2268"/>
          <w:tab w:val="left" w:pos="2410"/>
          <w:tab w:val="left" w:pos="2552"/>
          <w:tab w:val="left" w:pos="2835"/>
          <w:tab w:val="left" w:pos="4678"/>
        </w:tabs>
        <w:autoSpaceDE/>
        <w:autoSpaceDN/>
        <w:adjustRightInd/>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bookmarkStart w:id="8"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w:t>
      </w:r>
      <w:r>
        <w:rPr>
          <w:rFonts w:ascii="Arial" w:hAnsi="Arial" w:cs="Arial"/>
          <w:sz w:val="22"/>
          <w:szCs w:val="22"/>
        </w:rPr>
        <w:lastRenderedPageBreak/>
        <w:t>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8"/>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5"/>
        </w:numPr>
        <w:autoSpaceDE/>
        <w:autoSpaceDN/>
        <w:adjustRightInd/>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sendo a liquidação financeira dos eventos de pagamento previstos nesta Escritura e a custódia eletrônica das Debêntures realizada por meio da B3.</w:t>
      </w:r>
    </w:p>
    <w:p>
      <w:pPr>
        <w:spacing w:line="288" w:lineRule="auto"/>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bookmarkStart w:id="9" w:name="_Ref394418780"/>
      <w:r>
        <w:rPr>
          <w:rFonts w:ascii="Arial" w:hAnsi="Arial" w:cs="Arial"/>
          <w:sz w:val="22"/>
          <w:szCs w:val="22"/>
        </w:rPr>
        <w:t>Não obstante o disposto na Cláusula 2.1.7.1 acima, as Debêntures poderão ser negociadas pelos Debenturistas de forma privada, fora d</w:t>
      </w:r>
      <w:bookmarkEnd w:id="9"/>
      <w:r>
        <w:rPr>
          <w:rFonts w:ascii="Arial" w:hAnsi="Arial" w:cs="Arial"/>
          <w:sz w:val="22"/>
          <w:szCs w:val="22"/>
        </w:rPr>
        <w:t>o âmbito da B3</w:t>
      </w:r>
      <w:bookmarkStart w:id="10" w:name="_Ref518309797"/>
      <w:r>
        <w:rPr>
          <w:rFonts w:ascii="Arial" w:hAnsi="Arial" w:cs="Arial"/>
          <w:sz w:val="22"/>
          <w:szCs w:val="22"/>
        </w:rPr>
        <w:t>.</w:t>
      </w:r>
      <w:bookmarkEnd w:id="10"/>
      <w:r>
        <w:t xml:space="preserve"> </w:t>
      </w:r>
      <w:r>
        <w:rPr>
          <w:rFonts w:ascii="Arial" w:hAnsi="Arial" w:cs="Arial"/>
          <w:sz w:val="22"/>
          <w:szCs w:val="22"/>
        </w:rPr>
        <w:t>Devendo o Debenturista vendedor comunicar ao Agente Fiduciário sobre a intenção e efetivação da negociação.</w:t>
      </w:r>
    </w:p>
    <w:p>
      <w:pPr>
        <w:widowControl w:val="0"/>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5"/>
        </w:numPr>
        <w:autoSpaceDE/>
        <w:autoSpaceDN/>
        <w:adjustRightInd/>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lastRenderedPageBreak/>
        <w:t>Número da Emissão</w:t>
      </w:r>
    </w:p>
    <w:p>
      <w:pPr>
        <w:widowControl w:val="0"/>
        <w:spacing w:line="340" w:lineRule="exact"/>
        <w:jc w:val="both"/>
        <w:rPr>
          <w:rFonts w:ascii="Arial" w:hAnsi="Arial" w:cs="Arial"/>
          <w:vanish/>
          <w:sz w:val="22"/>
          <w:szCs w:val="22"/>
        </w:rPr>
      </w:pPr>
    </w:p>
    <w:p>
      <w:pPr>
        <w:widowControl w:val="0"/>
        <w:numPr>
          <w:ilvl w:val="2"/>
          <w:numId w:val="18"/>
        </w:numPr>
        <w:autoSpaceDE/>
        <w:autoSpaceDN/>
        <w:adjustRightInd/>
        <w:spacing w:line="340" w:lineRule="exact"/>
        <w:jc w:val="both"/>
        <w:rPr>
          <w:rFonts w:ascii="Arial" w:hAnsi="Arial" w:cs="Arial"/>
          <w:sz w:val="22"/>
          <w:szCs w:val="22"/>
        </w:rPr>
      </w:pPr>
      <w:r>
        <w:rPr>
          <w:rFonts w:ascii="Arial" w:hAnsi="Arial" w:cs="Arial"/>
          <w:sz w:val="22"/>
          <w:szCs w:val="22"/>
        </w:rPr>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567"/>
        </w:tabs>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Valor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pPr>
        <w:widowControl w:val="0"/>
        <w:spacing w:line="340" w:lineRule="exact"/>
        <w:ind w:left="8"/>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5"/>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709"/>
        </w:tabs>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line="340" w:lineRule="exact"/>
        <w:ind w:left="8"/>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sz w:val="22"/>
          <w:szCs w:val="22"/>
        </w:rPr>
      </w:pPr>
      <w:bookmarkStart w:id="11"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11"/>
    </w:p>
    <w:p>
      <w:pPr>
        <w:widowControl w:val="0"/>
        <w:spacing w:line="340" w:lineRule="exact"/>
        <w:jc w:val="both"/>
        <w:rPr>
          <w:rFonts w:ascii="Arial" w:eastAsia="Arial Unicode MS"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pPr>
        <w:pStyle w:val="PargrafodaLista"/>
        <w:widowControl w:val="0"/>
        <w:spacing w:line="340" w:lineRule="exact"/>
        <w:ind w:left="0"/>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objeto de colocação privada, sem a intermediação ou esforço de venda de quaisquer instituições financeiras integrantes do sistema de distribuição de valores mobiliários, exclusivamente para um único Debenturista, que </w:t>
      </w:r>
      <w:r>
        <w:rPr>
          <w:rFonts w:ascii="Arial" w:hAnsi="Arial" w:cs="Arial"/>
          <w:sz w:val="22"/>
          <w:szCs w:val="22"/>
        </w:rPr>
        <w:lastRenderedPageBreak/>
        <w:t>seja pessoa física, pessoa jurídica e/ou fundo de investimento.</w:t>
      </w:r>
    </w:p>
    <w:p>
      <w:pPr>
        <w:widowControl w:val="0"/>
        <w:spacing w:line="340" w:lineRule="exact"/>
        <w:jc w:val="both"/>
        <w:rPr>
          <w:rFonts w:ascii="Arial" w:hAnsi="Arial" w:cs="Arial"/>
          <w:sz w:val="22"/>
          <w:szCs w:val="22"/>
        </w:rPr>
      </w:pPr>
    </w:p>
    <w:p>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pPr>
        <w:pStyle w:val="PargrafodaLista"/>
        <w:widowControl w:val="0"/>
        <w:spacing w:line="340" w:lineRule="exact"/>
        <w:ind w:left="0"/>
        <w:jc w:val="both"/>
        <w:rPr>
          <w:rFonts w:ascii="Arial" w:hAnsi="Arial" w:cs="Arial"/>
          <w:sz w:val="22"/>
          <w:szCs w:val="22"/>
        </w:rPr>
      </w:pPr>
    </w:p>
    <w:p>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pPr>
        <w:pStyle w:val="PargrafodaLista"/>
        <w:widowControl w:val="0"/>
        <w:spacing w:line="340" w:lineRule="exact"/>
        <w:ind w:left="0"/>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pPr>
        <w:widowControl w:val="0"/>
        <w:spacing w:line="340" w:lineRule="exact"/>
        <w:jc w:val="both"/>
        <w:rPr>
          <w:rFonts w:ascii="Arial" w:hAnsi="Arial" w:cs="Arial"/>
          <w:sz w:val="22"/>
          <w:szCs w:val="22"/>
        </w:rPr>
      </w:pPr>
      <w:bookmarkStart w:id="12" w:name="_DV_M4"/>
      <w:bookmarkEnd w:id="12"/>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lastRenderedPageBreak/>
        <w:t>Prazo e Data de Vencimento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3" w:name="OLE_LINK3"/>
      <w:bookmarkStart w:id="14"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3"/>
      <w:bookmarkEnd w:id="14"/>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Valor Nominal Unitário acrescido dos Juros Remuneratórios, calculada </w:t>
      </w:r>
      <w:proofErr w:type="gramStart"/>
      <w:r>
        <w:rPr>
          <w:rFonts w:ascii="Arial" w:hAnsi="Arial" w:cs="Arial"/>
          <w:i/>
          <w:sz w:val="22"/>
          <w:szCs w:val="22"/>
        </w:rPr>
        <w:t>pro</w:t>
      </w:r>
      <w:proofErr w:type="gramEnd"/>
      <w:r>
        <w:rPr>
          <w:rFonts w:ascii="Arial" w:hAnsi="Arial" w:cs="Arial"/>
          <w:i/>
          <w:sz w:val="22"/>
          <w:szCs w:val="22"/>
        </w:rPr>
        <w:t xml:space="preserve">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5" w:name="_DV_M117"/>
      <w:bookmarkStart w:id="16" w:name="_DV_M118"/>
      <w:bookmarkStart w:id="17" w:name="_DV_M119"/>
      <w:bookmarkEnd w:id="15"/>
      <w:bookmarkEnd w:id="16"/>
      <w:bookmarkEnd w:id="17"/>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spacing w:line="340" w:lineRule="exact"/>
        <w:jc w:val="both"/>
        <w:rPr>
          <w:rFonts w:ascii="Arial" w:eastAsia="Arial Unicode MS" w:hAnsi="Arial" w:cs="Arial"/>
          <w:b/>
          <w:bCs/>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5"/>
        </w:numPr>
        <w:autoSpaceDE/>
        <w:autoSpaceDN/>
        <w:adjustRightInd/>
        <w:spacing w:line="340" w:lineRule="exact"/>
        <w:ind w:hanging="1080"/>
        <w:jc w:val="both"/>
        <w:rPr>
          <w:rFonts w:ascii="Arial" w:eastAsia="Arial Unicode MS" w:hAnsi="Arial" w:cs="Arial"/>
          <w:i/>
          <w:iCs/>
          <w:sz w:val="22"/>
          <w:szCs w:val="22"/>
          <w:highlight w:val="yellow"/>
        </w:rPr>
      </w:pPr>
      <w:r>
        <w:rPr>
          <w:rFonts w:ascii="Arial" w:eastAsia="Arial Unicode MS" w:hAnsi="Arial" w:cs="Arial"/>
          <w:i/>
          <w:iCs/>
          <w:sz w:val="22"/>
          <w:szCs w:val="22"/>
          <w:highlight w:val="yellow"/>
        </w:rPr>
        <w:t>Juros Remuneratórios</w:t>
      </w:r>
    </w:p>
    <w:p>
      <w:pPr>
        <w:pStyle w:val="Level2"/>
        <w:widowControl w:val="0"/>
        <w:numPr>
          <w:ilvl w:val="0"/>
          <w:numId w:val="0"/>
        </w:numPr>
        <w:spacing w:after="0" w:line="312" w:lineRule="auto"/>
        <w:rPr>
          <w:rFonts w:eastAsia="Arial Unicode MS" w:cs="Arial"/>
          <w:b/>
          <w:bCs/>
          <w:kern w:val="0"/>
          <w:sz w:val="22"/>
          <w:szCs w:val="22"/>
          <w:highlight w:val="yellow"/>
          <w:lang w:val="pt-BR" w:eastAsia="pt-BR"/>
        </w:rPr>
      </w:pPr>
    </w:p>
    <w:p>
      <w:pPr>
        <w:pStyle w:val="Level2"/>
        <w:widowControl w:val="0"/>
        <w:numPr>
          <w:ilvl w:val="0"/>
          <w:numId w:val="0"/>
        </w:numPr>
        <w:spacing w:after="0" w:line="312" w:lineRule="auto"/>
        <w:rPr>
          <w:rFonts w:cs="Arial"/>
          <w:sz w:val="22"/>
          <w:szCs w:val="22"/>
          <w:lang w:val="pt-BR"/>
        </w:rPr>
      </w:pPr>
      <w:r>
        <w:rPr>
          <w:rFonts w:cs="Arial"/>
          <w:sz w:val="22"/>
          <w:szCs w:val="22"/>
          <w:highlight w:val="yellow"/>
          <w:lang w:val="pt-BR"/>
        </w:rPr>
        <w:t>4.4.1.1.</w:t>
      </w:r>
      <w:r>
        <w:rPr>
          <w:rFonts w:cs="Arial"/>
          <w:sz w:val="22"/>
          <w:szCs w:val="22"/>
          <w:highlight w:val="yellow"/>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sz w:val="22"/>
          <w:szCs w:val="22"/>
          <w:highlight w:val="yellow"/>
          <w:u w:val="single"/>
          <w:lang w:val="pt-BR"/>
        </w:rPr>
        <w:t>Taxa DI</w:t>
      </w:r>
      <w:r>
        <w:rPr>
          <w:rFonts w:cs="Arial"/>
          <w:sz w:val="22"/>
          <w:szCs w:val="22"/>
          <w:highlight w:val="yellow"/>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w w:val="0"/>
          <w:sz w:val="22"/>
          <w:szCs w:val="22"/>
          <w:highlight w:val="yellow"/>
          <w:lang w:val="pt-BR"/>
        </w:rPr>
        <w:t>(“</w:t>
      </w:r>
      <w:r>
        <w:rPr>
          <w:rFonts w:eastAsia="Arial Unicode MS" w:cs="Arial"/>
          <w:w w:val="0"/>
          <w:sz w:val="22"/>
          <w:szCs w:val="22"/>
          <w:highlight w:val="yellow"/>
          <w:u w:val="single"/>
          <w:lang w:val="pt-BR"/>
        </w:rPr>
        <w:t>Sobretaxa</w:t>
      </w:r>
      <w:r>
        <w:rPr>
          <w:rFonts w:eastAsia="Arial Unicode MS" w:cs="Arial"/>
          <w:w w:val="0"/>
          <w:sz w:val="22"/>
          <w:szCs w:val="22"/>
          <w:highlight w:val="yellow"/>
          <w:lang w:val="pt-BR"/>
        </w:rPr>
        <w:t>” e, em conjunto com a Taxa DI, os “</w:t>
      </w:r>
      <w:r>
        <w:rPr>
          <w:rFonts w:eastAsia="Arial Unicode MS" w:cs="Arial"/>
          <w:w w:val="0"/>
          <w:sz w:val="22"/>
          <w:szCs w:val="22"/>
          <w:highlight w:val="yellow"/>
          <w:u w:val="single"/>
          <w:lang w:val="pt-BR"/>
        </w:rPr>
        <w:t>Juros Remuneratórios</w:t>
      </w:r>
      <w:r>
        <w:rPr>
          <w:rFonts w:eastAsia="Arial Unicode MS" w:cs="Arial"/>
          <w:w w:val="0"/>
          <w:sz w:val="22"/>
          <w:szCs w:val="22"/>
          <w:highlight w:val="yellow"/>
          <w:lang w:val="pt-BR"/>
        </w:rPr>
        <w:t>”)</w:t>
      </w:r>
      <w:r>
        <w:rPr>
          <w:rFonts w:cs="Arial"/>
          <w:sz w:val="22"/>
          <w:szCs w:val="22"/>
          <w:highlight w:val="yellow"/>
          <w:lang w:val="pt-BR"/>
        </w:rPr>
        <w:t xml:space="preserve">, calculados de forma exponencial e cumulativa, </w:t>
      </w:r>
      <w:r>
        <w:rPr>
          <w:rFonts w:cs="Arial"/>
          <w:i/>
          <w:iCs/>
          <w:sz w:val="22"/>
          <w:szCs w:val="22"/>
          <w:highlight w:val="yellow"/>
          <w:lang w:val="pt-BR"/>
        </w:rPr>
        <w:t>pro rata temporis</w:t>
      </w:r>
      <w:r>
        <w:rPr>
          <w:rFonts w:cs="Arial"/>
          <w:sz w:val="22"/>
          <w:szCs w:val="22"/>
          <w:highlight w:val="yellow"/>
          <w:lang w:val="pt-BR"/>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w:t>
      </w:r>
      <w:r>
        <w:rPr>
          <w:rFonts w:cs="Arial"/>
          <w:sz w:val="22"/>
          <w:szCs w:val="22"/>
          <w:highlight w:val="yellow"/>
          <w:lang w:val="pt-BR"/>
        </w:rPr>
        <w:lastRenderedPageBreak/>
        <w:t>aplicável.</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conforme datas estipuladas no quadro abaixo, sempre no dia 13 dos meses indicados abaixo,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8"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Data de Vencimento</w:t>
            </w:r>
          </w:p>
        </w:tc>
      </w:tr>
    </w:tbl>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eastAsia="Arial Unicode MS" w:hAnsi="Arial" w:cs="Arial"/>
          <w:i/>
          <w:iCs/>
          <w:sz w:val="22"/>
          <w:szCs w:val="22"/>
        </w:rPr>
      </w:pPr>
      <w:bookmarkStart w:id="19" w:name="_Ref40197244"/>
      <w:r>
        <w:rPr>
          <w:rFonts w:ascii="Arial" w:eastAsia="Arial Unicode MS" w:hAnsi="Arial" w:cs="Arial"/>
          <w:i/>
          <w:iCs/>
          <w:sz w:val="22"/>
          <w:szCs w:val="22"/>
        </w:rPr>
        <w:t>Forma de Cálculo dos Juros Remuneratórios</w:t>
      </w:r>
      <w:bookmarkEnd w:id="19"/>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highlight w:val="yellow"/>
        </w:rPr>
      </w:pPr>
      <w:r>
        <w:rPr>
          <w:rFonts w:ascii="Arial" w:hAnsi="Arial" w:cs="Arial"/>
          <w:sz w:val="22"/>
          <w:szCs w:val="22"/>
          <w:highlight w:val="yellow"/>
        </w:rPr>
        <w:t>Os Juros Remuneratórios das Debêntures deverão ser calculados de acordo com a seguinte fórmula:</w:t>
      </w:r>
    </w:p>
    <w:p>
      <w:pPr>
        <w:pStyle w:val="Recuodecorpodetexto"/>
        <w:widowControl w:val="0"/>
        <w:tabs>
          <w:tab w:val="left" w:pos="1418"/>
        </w:tabs>
        <w:spacing w:after="0"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r>
        <w:rPr>
          <w:rFonts w:ascii="Arial" w:hAnsi="Arial" w:cs="Arial"/>
          <w:sz w:val="22"/>
          <w:szCs w:val="22"/>
          <w:highlight w:val="yellow"/>
        </w:rPr>
        <w:t xml:space="preserve">J = </w:t>
      </w: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x (FatorJuros-1)</w:t>
      </w:r>
    </w:p>
    <w:p>
      <w:pPr>
        <w:pStyle w:val="PargrafodaLista"/>
        <w:widowControl w:val="0"/>
        <w:spacing w:line="312" w:lineRule="auto"/>
        <w:ind w:left="0"/>
        <w:jc w:val="both"/>
        <w:rPr>
          <w:rFonts w:ascii="Arial" w:hAnsi="Arial" w:cs="Arial"/>
          <w:sz w:val="22"/>
          <w:szCs w:val="22"/>
          <w:highlight w:val="yellow"/>
        </w:rPr>
      </w:pPr>
      <w:proofErr w:type="gramStart"/>
      <w:r>
        <w:rPr>
          <w:rFonts w:ascii="Arial" w:hAnsi="Arial" w:cs="Arial"/>
          <w:sz w:val="22"/>
          <w:szCs w:val="22"/>
          <w:highlight w:val="yellow"/>
        </w:rPr>
        <w:t>onde</w:t>
      </w:r>
      <w:proofErr w:type="gramEnd"/>
      <w:r>
        <w:rPr>
          <w:rFonts w:ascii="Arial" w:hAnsi="Arial" w:cs="Arial"/>
          <w:sz w:val="22"/>
          <w:szCs w:val="22"/>
          <w:highlight w:val="yellow"/>
        </w:rPr>
        <w:t>,</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J = valor unitário dos Juros Remuneratórios, devidos no final de cada Período de Capitalização (conforme definido abaixo), calculado com 8 (oito) casas decimais sem arredondamento;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 Valor Nominal Unitário ou saldo do Valor Nominal Unitário, conforme o caso, no início de cada Período de Capitalização, informado/calculado com 8 (oito) casas decimais, sem arredondamento;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lastRenderedPageBreak/>
        <w:t>FatorJuros</w:t>
      </w:r>
      <w:proofErr w:type="spellEnd"/>
      <w:r>
        <w:rPr>
          <w:rFonts w:ascii="Arial" w:hAnsi="Arial" w:cs="Arial"/>
          <w:sz w:val="22"/>
          <w:szCs w:val="22"/>
          <w:highlight w:val="yellow"/>
        </w:rPr>
        <w:t xml:space="preserve"> = fator de juros composto pelo parâmetro de flutuação acrescido de spread, calculado com 9 (nove) casas decimais, com arredondamento, apurado de acordo com a seguinte fórmula: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proofErr w:type="spellStart"/>
      <w:r>
        <w:rPr>
          <w:rFonts w:ascii="Arial" w:hAnsi="Arial" w:cs="Arial"/>
          <w:sz w:val="22"/>
          <w:szCs w:val="22"/>
          <w:highlight w:val="yellow"/>
        </w:rPr>
        <w:t>FatorJuros</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x </w:t>
      </w:r>
      <w:proofErr w:type="spellStart"/>
      <w:r>
        <w:rPr>
          <w:rFonts w:ascii="Arial" w:hAnsi="Arial" w:cs="Arial"/>
          <w:sz w:val="22"/>
          <w:szCs w:val="22"/>
          <w:highlight w:val="yellow"/>
        </w:rPr>
        <w:t>FatorSpread</w:t>
      </w:r>
      <w:proofErr w:type="spellEnd"/>
      <w:r>
        <w:rPr>
          <w:rFonts w:ascii="Arial" w:hAnsi="Arial" w:cs="Arial"/>
          <w:sz w:val="22"/>
          <w:szCs w:val="22"/>
          <w:highlight w:val="yellow"/>
        </w:rPr>
        <w:t>)</w:t>
      </w:r>
    </w:p>
    <w:p>
      <w:pPr>
        <w:pStyle w:val="PargrafodaLista"/>
        <w:widowControl w:val="0"/>
        <w:spacing w:line="312" w:lineRule="auto"/>
        <w:ind w:left="0"/>
        <w:jc w:val="center"/>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gramStart"/>
      <w:r>
        <w:rPr>
          <w:rFonts w:ascii="Arial" w:hAnsi="Arial" w:cs="Arial"/>
          <w:sz w:val="22"/>
          <w:szCs w:val="22"/>
          <w:highlight w:val="yellow"/>
        </w:rPr>
        <w:t>onde</w:t>
      </w:r>
      <w:proofErr w:type="gramEnd"/>
      <w:r>
        <w:rPr>
          <w:rFonts w:ascii="Arial" w:hAnsi="Arial" w:cs="Arial"/>
          <w:sz w:val="22"/>
          <w:szCs w:val="22"/>
          <w:highlight w:val="yellow"/>
        </w:rPr>
        <w:t>,</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produtório</w:t>
      </w:r>
      <w:proofErr w:type="spellEnd"/>
      <w:r>
        <w:rPr>
          <w:rFonts w:ascii="Arial" w:hAnsi="Arial" w:cs="Arial"/>
          <w:sz w:val="22"/>
          <w:szCs w:val="22"/>
          <w:highlight w:val="yellow"/>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noProof/>
          <w:sz w:val="22"/>
          <w:szCs w:val="22"/>
          <w:highlight w:val="yellow"/>
        </w:rPr>
      </w:pPr>
      <w:r>
        <w:rPr>
          <w:rFonts w:ascii="Arial" w:hAnsi="Arial" w:cs="Arial"/>
          <w:noProof/>
          <w:sz w:val="22"/>
          <w:szCs w:val="22"/>
          <w:highlight w:val="yellow"/>
        </w:rPr>
        <w:drawing>
          <wp:inline distT="0" distB="0" distL="0" distR="0">
            <wp:extent cx="2122170" cy="47434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pStyle w:val="PargrafodaLista"/>
        <w:widowControl w:val="0"/>
        <w:spacing w:line="312" w:lineRule="auto"/>
        <w:ind w:left="0"/>
        <w:jc w:val="both"/>
        <w:rPr>
          <w:rFonts w:ascii="Arial" w:hAnsi="Arial" w:cs="Arial"/>
          <w:sz w:val="22"/>
          <w:szCs w:val="22"/>
          <w:highlight w:val="yellow"/>
        </w:rPr>
      </w:pPr>
      <w:proofErr w:type="gramStart"/>
      <w:r>
        <w:rPr>
          <w:rFonts w:ascii="Arial" w:hAnsi="Arial" w:cs="Arial"/>
          <w:sz w:val="22"/>
          <w:szCs w:val="22"/>
          <w:highlight w:val="yellow"/>
        </w:rPr>
        <w:t>onde</w:t>
      </w:r>
      <w:proofErr w:type="gramEnd"/>
      <w:r>
        <w:rPr>
          <w:rFonts w:ascii="Arial" w:hAnsi="Arial" w:cs="Arial"/>
          <w:sz w:val="22"/>
          <w:szCs w:val="22"/>
          <w:highlight w:val="yellow"/>
        </w:rPr>
        <w:t>,</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gramStart"/>
      <w:r>
        <w:rPr>
          <w:rFonts w:ascii="Arial" w:hAnsi="Arial" w:cs="Arial"/>
          <w:sz w:val="22"/>
          <w:szCs w:val="22"/>
          <w:highlight w:val="yellow"/>
        </w:rPr>
        <w:t>k</w:t>
      </w:r>
      <w:proofErr w:type="gramEnd"/>
      <w:r>
        <w:rPr>
          <w:rFonts w:ascii="Arial" w:hAnsi="Arial" w:cs="Arial"/>
          <w:sz w:val="22"/>
          <w:szCs w:val="22"/>
          <w:highlight w:val="yellow"/>
        </w:rPr>
        <w:t xml:space="preserve"> = número de ordem das Taxas DI, variando de 1 até n, sendo “k” um número inteiro;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proofErr w:type="gramStart"/>
      <w:r>
        <w:rPr>
          <w:rFonts w:ascii="Arial" w:hAnsi="Arial" w:cs="Arial"/>
          <w:sz w:val="22"/>
          <w:szCs w:val="22"/>
          <w:highlight w:val="yellow"/>
        </w:rPr>
        <w:t>n</w:t>
      </w:r>
      <w:r>
        <w:rPr>
          <w:rFonts w:ascii="Arial" w:hAnsi="Arial" w:cs="Arial"/>
          <w:sz w:val="22"/>
          <w:szCs w:val="22"/>
          <w:highlight w:val="yellow"/>
          <w:vertAlign w:val="subscript"/>
        </w:rPr>
        <w:t>DI</w:t>
      </w:r>
      <w:proofErr w:type="spellEnd"/>
      <w:proofErr w:type="gramEnd"/>
      <w:r>
        <w:rPr>
          <w:rFonts w:ascii="Arial" w:hAnsi="Arial" w:cs="Arial"/>
          <w:sz w:val="22"/>
          <w:szCs w:val="22"/>
          <w:highlight w:val="yellow"/>
        </w:rPr>
        <w:t xml:space="preserve"> = número total de Taxas DI, consideradas em cada Período de Capitalização, na apuração do “</w:t>
      </w:r>
      <w:proofErr w:type="spellStart"/>
      <w:r>
        <w:rPr>
          <w:rFonts w:ascii="Arial" w:hAnsi="Arial" w:cs="Arial"/>
          <w:sz w:val="22"/>
          <w:szCs w:val="22"/>
          <w:highlight w:val="yellow"/>
        </w:rPr>
        <w:t>FatorDI</w:t>
      </w:r>
      <w:proofErr w:type="spellEnd"/>
      <w:r>
        <w:rPr>
          <w:rFonts w:ascii="Arial" w:hAnsi="Arial" w:cs="Arial"/>
          <w:sz w:val="22"/>
          <w:szCs w:val="22"/>
          <w:highlight w:val="yellow"/>
        </w:rPr>
        <w:t>”, sendo “</w:t>
      </w:r>
      <w:proofErr w:type="spellStart"/>
      <w:r>
        <w:rPr>
          <w:rFonts w:ascii="Arial" w:hAnsi="Arial" w:cs="Arial"/>
          <w:sz w:val="22"/>
          <w:szCs w:val="22"/>
          <w:highlight w:val="yellow"/>
        </w:rPr>
        <w:t>n</w:t>
      </w:r>
      <w:r>
        <w:rPr>
          <w:rFonts w:ascii="Arial" w:hAnsi="Arial" w:cs="Arial"/>
          <w:sz w:val="22"/>
          <w:szCs w:val="22"/>
          <w:highlight w:val="yellow"/>
          <w:vertAlign w:val="subscript"/>
        </w:rPr>
        <w:t>DI</w:t>
      </w:r>
      <w:proofErr w:type="spellEnd"/>
      <w:r>
        <w:rPr>
          <w:rFonts w:ascii="Arial" w:hAnsi="Arial" w:cs="Arial"/>
          <w:sz w:val="22"/>
          <w:szCs w:val="22"/>
          <w:highlight w:val="yellow"/>
        </w:rPr>
        <w:t>” um número inteiro; 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expressa ao dia, calculada com 8 (oito) casas decimais com arredondamento, apurado da seguinte forma: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r>
        <w:rPr>
          <w:rFonts w:ascii="Arial" w:hAnsi="Arial" w:cs="Arial"/>
          <w:noProof/>
          <w:sz w:val="22"/>
          <w:szCs w:val="22"/>
          <w:highlight w:val="yellow"/>
        </w:rPr>
        <w:drawing>
          <wp:inline distT="0" distB="0" distL="0" distR="0">
            <wp:extent cx="1587500" cy="56070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pStyle w:val="PargrafodaLista"/>
        <w:widowControl w:val="0"/>
        <w:spacing w:line="312" w:lineRule="auto"/>
        <w:ind w:left="0"/>
        <w:jc w:val="both"/>
        <w:rPr>
          <w:rFonts w:ascii="Arial" w:hAnsi="Arial" w:cs="Arial"/>
          <w:sz w:val="22"/>
          <w:szCs w:val="22"/>
          <w:highlight w:val="yellow"/>
        </w:rPr>
      </w:pPr>
      <w:proofErr w:type="gramStart"/>
      <w:r>
        <w:rPr>
          <w:rFonts w:ascii="Arial" w:hAnsi="Arial" w:cs="Arial"/>
          <w:sz w:val="22"/>
          <w:szCs w:val="22"/>
          <w:highlight w:val="yellow"/>
        </w:rPr>
        <w:t>onde</w:t>
      </w:r>
      <w:proofErr w:type="gramEnd"/>
      <w:r>
        <w:rPr>
          <w:rFonts w:ascii="Arial" w:hAnsi="Arial" w:cs="Arial"/>
          <w:sz w:val="22"/>
          <w:szCs w:val="22"/>
          <w:highlight w:val="yellow"/>
        </w:rPr>
        <w:t>,</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divulgada pela B3 S.A – Brasil, Bolsa, Balcão, válida por 1 (um) Dia Útil (conforme definido abaixo) (overnight), utilizada com 2 (duas) casas decimais;</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FatorSpread</w:t>
      </w:r>
      <w:proofErr w:type="spellEnd"/>
      <w:r>
        <w:rPr>
          <w:rFonts w:ascii="Arial" w:hAnsi="Arial" w:cs="Arial"/>
          <w:sz w:val="22"/>
          <w:szCs w:val="22"/>
          <w:highlight w:val="yellow"/>
        </w:rPr>
        <w:t xml:space="preserve"> = sobretaxa de juros fixos calculada com 9 (nove) casas decimais, com arredondamento, calculado conforme fórmula abaixo: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napToGrid w:val="0"/>
          <w:sz w:val="22"/>
          <w:szCs w:val="22"/>
          <w:highlight w:val="yellow"/>
        </w:rPr>
      </w:pPr>
      <w:r>
        <w:rPr>
          <w:rFonts w:ascii="Arial" w:hAnsi="Arial" w:cs="Arial"/>
          <w:noProof/>
          <w:sz w:val="22"/>
          <w:szCs w:val="22"/>
          <w:highlight w:val="yellow"/>
        </w:rPr>
        <w:object w:dxaOrig="3632" w:dyaOrig="1053">
          <v:shape id="_x0000_i1026" type="#_x0000_t75" style="width:180pt;height:50.25pt" o:ole="">
            <v:imagedata r:id="rId9" o:title=""/>
          </v:shape>
          <o:OLEObject Type="Embed" ProgID="Equation.3" ShapeID="_x0000_i1026" DrawAspect="Content" ObjectID="_1686390652" r:id="rId13"/>
        </w:object>
      </w:r>
    </w:p>
    <w:p>
      <w:pPr>
        <w:pStyle w:val="PargrafodaLista"/>
        <w:widowControl w:val="0"/>
        <w:spacing w:line="312" w:lineRule="auto"/>
        <w:ind w:left="0"/>
        <w:jc w:val="both"/>
        <w:rPr>
          <w:rFonts w:ascii="Arial" w:hAnsi="Arial" w:cs="Arial"/>
          <w:snapToGrid w:val="0"/>
          <w:sz w:val="22"/>
          <w:szCs w:val="22"/>
          <w:highlight w:val="yellow"/>
        </w:rPr>
      </w:pPr>
    </w:p>
    <w:p>
      <w:pPr>
        <w:pStyle w:val="PargrafodaLista"/>
        <w:widowControl w:val="0"/>
        <w:spacing w:line="312" w:lineRule="auto"/>
        <w:ind w:left="0"/>
        <w:jc w:val="both"/>
        <w:rPr>
          <w:rFonts w:ascii="Arial" w:hAnsi="Arial" w:cs="Arial"/>
          <w:snapToGrid w:val="0"/>
          <w:sz w:val="22"/>
          <w:szCs w:val="22"/>
          <w:highlight w:val="yellow"/>
        </w:rPr>
      </w:pPr>
      <w:proofErr w:type="gramStart"/>
      <w:r>
        <w:rPr>
          <w:rFonts w:ascii="Arial" w:hAnsi="Arial" w:cs="Arial"/>
          <w:snapToGrid w:val="0"/>
          <w:sz w:val="22"/>
          <w:szCs w:val="22"/>
          <w:highlight w:val="yellow"/>
        </w:rPr>
        <w:t>onde</w:t>
      </w:r>
      <w:proofErr w:type="gramEnd"/>
      <w:r>
        <w:rPr>
          <w:rFonts w:ascii="Arial" w:hAnsi="Arial" w:cs="Arial"/>
          <w:snapToGrid w:val="0"/>
          <w:sz w:val="22"/>
          <w:szCs w:val="22"/>
          <w:highlight w:val="yellow"/>
        </w:rPr>
        <w:t>:</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gramStart"/>
      <w:r>
        <w:rPr>
          <w:rFonts w:ascii="Arial" w:hAnsi="Arial" w:cs="Arial"/>
          <w:i/>
          <w:sz w:val="22"/>
          <w:szCs w:val="22"/>
          <w:highlight w:val="yellow"/>
        </w:rPr>
        <w:lastRenderedPageBreak/>
        <w:t>spread</w:t>
      </w:r>
      <w:proofErr w:type="gramEnd"/>
      <w:r>
        <w:rPr>
          <w:rFonts w:ascii="Arial" w:hAnsi="Arial" w:cs="Arial"/>
          <w:sz w:val="22"/>
          <w:szCs w:val="22"/>
          <w:highlight w:val="yellow"/>
        </w:rPr>
        <w:t xml:space="preserve"> = 4,8344; </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rPr>
      </w:pPr>
      <w:proofErr w:type="gramStart"/>
      <w:r>
        <w:rPr>
          <w:rFonts w:ascii="Arial" w:hAnsi="Arial" w:cs="Arial"/>
          <w:sz w:val="22"/>
          <w:szCs w:val="22"/>
          <w:highlight w:val="yellow"/>
        </w:rPr>
        <w:t>n</w:t>
      </w:r>
      <w:proofErr w:type="gramEnd"/>
      <w:r>
        <w:rPr>
          <w:rFonts w:ascii="Arial" w:hAnsi="Arial" w:cs="Arial"/>
          <w:sz w:val="22"/>
          <w:szCs w:val="22"/>
          <w:highlight w:val="yellow"/>
        </w:rPr>
        <w:t xml:space="preserve">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efetua</w:t>
      </w:r>
      <w:proofErr w:type="gramEnd"/>
      <w:r>
        <w:rPr>
          <w:rFonts w:ascii="Arial" w:hAnsi="Arial" w:cs="Arial"/>
          <w:snapToGrid w:val="0"/>
          <w:sz w:val="22"/>
          <w:szCs w:val="22"/>
        </w:rPr>
        <w:t xml:space="preserve">-se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uma</w:t>
      </w:r>
      <w:proofErr w:type="gramEnd"/>
      <w:r>
        <w:rPr>
          <w:rFonts w:ascii="Arial" w:hAnsi="Arial" w:cs="Arial"/>
          <w:snapToGrid w:val="0"/>
          <w:sz w:val="22"/>
          <w:szCs w:val="22"/>
        </w:rPr>
        <w:t xml:space="preserve">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a</w:t>
      </w:r>
      <w:proofErr w:type="gramEnd"/>
      <w:r>
        <w:rPr>
          <w:rFonts w:ascii="Arial" w:hAnsi="Arial" w:cs="Arial"/>
          <w:snapToGrid w:val="0"/>
          <w:sz w:val="22"/>
          <w:szCs w:val="22"/>
        </w:rPr>
        <w:t xml:space="preserve">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20"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20"/>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w:t>
      </w:r>
      <w:r>
        <w:rPr>
          <w:rFonts w:ascii="Arial" w:hAnsi="Arial" w:cs="Arial"/>
          <w:sz w:val="22"/>
          <w:szCs w:val="22"/>
        </w:rPr>
        <w:lastRenderedPageBreak/>
        <w:t xml:space="preserve">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21"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21"/>
    </w:p>
    <w:p>
      <w:pPr>
        <w:pStyle w:val="Recuodecorpodetexto"/>
        <w:widowControl w:val="0"/>
        <w:spacing w:after="0" w:line="340" w:lineRule="exact"/>
        <w:ind w:left="0"/>
        <w:jc w:val="both"/>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w:t>
      </w:r>
      <w:proofErr w:type="gramStart"/>
      <w:r>
        <w:rPr>
          <w:rFonts w:ascii="Arial" w:hAnsi="Arial" w:cs="Arial"/>
          <w:sz w:val="22"/>
          <w:szCs w:val="22"/>
        </w:rPr>
        <w:t>incluindo</w:t>
      </w:r>
      <w:proofErr w:type="gramEnd"/>
      <w:r>
        <w:rPr>
          <w:rFonts w:ascii="Arial" w:hAnsi="Arial" w:cs="Arial"/>
          <w:sz w:val="22"/>
          <w:szCs w:val="22"/>
        </w:rPr>
        <w:t xml:space="preserve"> mas não limitado,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5"/>
        </w:numPr>
        <w:autoSpaceDE/>
        <w:autoSpaceDN/>
        <w:adjustRightInd/>
        <w:spacing w:line="340" w:lineRule="exact"/>
        <w:ind w:left="1418" w:hanging="1418"/>
        <w:jc w:val="both"/>
        <w:rPr>
          <w:rFonts w:ascii="Arial" w:hAnsi="Arial" w:cs="Arial"/>
          <w:i/>
          <w:sz w:val="22"/>
          <w:szCs w:val="22"/>
        </w:rPr>
      </w:pPr>
      <w:r>
        <w:rPr>
          <w:rFonts w:ascii="Arial" w:hAnsi="Arial" w:cs="Arial"/>
          <w:i/>
          <w:sz w:val="22"/>
          <w:szCs w:val="22"/>
        </w:rPr>
        <w:lastRenderedPageBreak/>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22" w:name="_DV_C292"/>
      <w:bookmarkEnd w:id="22"/>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Amortização</w:t>
      </w:r>
      <w:bookmarkStart w:id="23" w:name="_DV_M112"/>
      <w:bookmarkStart w:id="24" w:name="_DV_M126"/>
      <w:bookmarkStart w:id="25" w:name="_DV_M132"/>
      <w:bookmarkStart w:id="26" w:name="_DV_M138"/>
      <w:bookmarkEnd w:id="23"/>
      <w:bookmarkEnd w:id="24"/>
      <w:bookmarkEnd w:id="25"/>
      <w:bookmarkEnd w:id="26"/>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pPr>
        <w:widowControl w:val="0"/>
        <w:spacing w:line="340" w:lineRule="exact"/>
        <w:jc w:val="both"/>
        <w:rPr>
          <w:rFonts w:ascii="Arial" w:hAnsi="Arial" w:cs="Arial"/>
          <w:sz w:val="22"/>
          <w:szCs w:val="22"/>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467"/>
      </w:tblGrid>
      <w:tr>
        <w:trPr>
          <w:trHeight w:val="20"/>
        </w:trPr>
        <w:tc>
          <w:tcPr>
            <w:tcW w:w="2396"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604"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2021</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2021</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2023</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2023</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Data de Vencimento</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5"/>
        </w:numPr>
        <w:autoSpaceDE/>
        <w:autoSpaceDN/>
        <w:adjustRightInd/>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7" w:name="_DV_M139"/>
      <w:bookmarkEnd w:id="27"/>
    </w:p>
    <w:p>
      <w:pPr>
        <w:widowControl w:val="0"/>
        <w:spacing w:line="340" w:lineRule="exact"/>
        <w:ind w:left="720"/>
        <w:jc w:val="both"/>
        <w:rPr>
          <w:rFonts w:ascii="Arial" w:hAnsi="Arial" w:cs="Arial"/>
          <w:b/>
          <w:iCs/>
          <w:w w:val="0"/>
          <w:sz w:val="22"/>
          <w:szCs w:val="22"/>
        </w:rPr>
      </w:pPr>
    </w:p>
    <w:p>
      <w:pPr>
        <w:widowControl w:val="0"/>
        <w:numPr>
          <w:ilvl w:val="2"/>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8" w:name="_DV_M140"/>
      <w:bookmarkEnd w:id="28"/>
    </w:p>
    <w:p>
      <w:pPr>
        <w:widowControl w:val="0"/>
        <w:spacing w:line="340" w:lineRule="exact"/>
        <w:jc w:val="both"/>
        <w:rPr>
          <w:rFonts w:ascii="Arial" w:hAnsi="Arial" w:cs="Arial"/>
          <w:b/>
          <w:iCs/>
          <w:w w:val="0"/>
          <w:sz w:val="22"/>
          <w:szCs w:val="22"/>
        </w:rPr>
      </w:pPr>
    </w:p>
    <w:p>
      <w:pPr>
        <w:widowControl w:val="0"/>
        <w:numPr>
          <w:ilvl w:val="3"/>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w:t>
      </w:r>
      <w:r>
        <w:rPr>
          <w:rFonts w:ascii="Arial" w:hAnsi="Arial" w:cs="Arial"/>
          <w:sz w:val="22"/>
          <w:szCs w:val="22"/>
        </w:rPr>
        <w:lastRenderedPageBreak/>
        <w:t xml:space="preserve">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29"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9"/>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0" w:name="_DV_M143"/>
      <w:bookmarkEnd w:id="30"/>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1" w:name="_DV_M144"/>
      <w:bookmarkEnd w:id="31"/>
      <w:r>
        <w:rPr>
          <w:rFonts w:ascii="Arial" w:eastAsia="Arial Unicode MS" w:hAnsi="Arial" w:cs="Arial"/>
          <w:w w:val="0"/>
          <w:sz w:val="22"/>
          <w:szCs w:val="22"/>
        </w:rPr>
        <w:t xml:space="preserve">Considerar-se-ão automaticamente </w:t>
      </w:r>
      <w:bookmarkStart w:id="32" w:name="_DV_C294"/>
      <w:r>
        <w:rPr>
          <w:rFonts w:ascii="Arial" w:eastAsia="Arial Unicode MS" w:hAnsi="Arial" w:cs="Arial"/>
          <w:w w:val="0"/>
          <w:sz w:val="22"/>
          <w:szCs w:val="22"/>
        </w:rPr>
        <w:t xml:space="preserve">prorrogadas as datas de pagamento de qualquer obrigação prevista nesta Escritura </w:t>
      </w:r>
      <w:bookmarkStart w:id="33" w:name="_DV_M145"/>
      <w:bookmarkEnd w:id="32"/>
      <w:bookmarkEnd w:id="33"/>
      <w:r>
        <w:rPr>
          <w:rFonts w:ascii="Arial" w:eastAsia="Arial Unicode MS" w:hAnsi="Arial" w:cs="Arial"/>
          <w:w w:val="0"/>
          <w:sz w:val="22"/>
          <w:szCs w:val="22"/>
        </w:rPr>
        <w:t xml:space="preserve">até o primeiro Dia Útil subsequente, se </w:t>
      </w:r>
      <w:bookmarkStart w:id="34" w:name="_DV_C296"/>
      <w:r>
        <w:rPr>
          <w:rFonts w:ascii="Arial" w:eastAsia="Arial Unicode MS" w:hAnsi="Arial" w:cs="Arial"/>
          <w:w w:val="0"/>
          <w:sz w:val="22"/>
          <w:szCs w:val="22"/>
        </w:rPr>
        <w:t xml:space="preserve">a data de </w:t>
      </w:r>
      <w:bookmarkStart w:id="35" w:name="_DV_M146"/>
      <w:bookmarkEnd w:id="34"/>
      <w:bookmarkEnd w:id="35"/>
      <w:r>
        <w:rPr>
          <w:rFonts w:ascii="Arial" w:eastAsia="Arial Unicode MS" w:hAnsi="Arial" w:cs="Arial"/>
          <w:w w:val="0"/>
          <w:sz w:val="22"/>
          <w:szCs w:val="22"/>
        </w:rPr>
        <w:t>vencimento da respectiva obrigação coincidir com um dia que não seja Dia Útil, sem</w:t>
      </w:r>
      <w:bookmarkStart w:id="36" w:name="_DV_M147"/>
      <w:bookmarkEnd w:id="36"/>
      <w:r>
        <w:rPr>
          <w:rFonts w:ascii="Arial" w:eastAsia="Arial Unicode MS" w:hAnsi="Arial" w:cs="Arial"/>
          <w:w w:val="0"/>
          <w:sz w:val="22"/>
          <w:szCs w:val="22"/>
        </w:rPr>
        <w:t xml:space="preserve"> qualquer acréscimo</w:t>
      </w:r>
      <w:bookmarkStart w:id="37" w:name="_DV_M148"/>
      <w:bookmarkEnd w:id="37"/>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lastRenderedPageBreak/>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i/>
          <w:w w:val="0"/>
          <w:sz w:val="22"/>
          <w:szCs w:val="22"/>
        </w:rPr>
      </w:pPr>
      <w:bookmarkStart w:id="38" w:name="_DV_M149"/>
      <w:bookmarkEnd w:id="38"/>
      <w:r>
        <w:rPr>
          <w:rFonts w:ascii="Arial" w:hAnsi="Arial" w:cs="Arial"/>
          <w:bCs/>
          <w:i/>
          <w:w w:val="0"/>
          <w:sz w:val="22"/>
          <w:szCs w:val="22"/>
        </w:rPr>
        <w:t>Direito ao Recebimento dos Pagamentos e Decadência dos Acréscimos</w:t>
      </w:r>
    </w:p>
    <w:p>
      <w:pPr>
        <w:widowControl w:val="0"/>
        <w:spacing w:line="340" w:lineRule="exact"/>
        <w:ind w:left="1418"/>
        <w:jc w:val="both"/>
        <w:rPr>
          <w:rFonts w:ascii="Arial" w:hAnsi="Arial" w:cs="Arial"/>
          <w:bCs/>
          <w:i/>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9"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9"/>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40" w:name="_DV_M150"/>
      <w:bookmarkEnd w:id="40"/>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1"/>
          <w:numId w:val="5"/>
        </w:numPr>
        <w:autoSpaceDE/>
        <w:autoSpaceDN/>
        <w:adjustRightInd/>
        <w:spacing w:line="340" w:lineRule="exact"/>
        <w:ind w:hanging="720"/>
        <w:jc w:val="both"/>
        <w:rPr>
          <w:rFonts w:ascii="Arial" w:hAnsi="Arial" w:cs="Arial"/>
          <w:b/>
          <w:w w:val="0"/>
          <w:sz w:val="22"/>
          <w:szCs w:val="22"/>
        </w:rPr>
      </w:pPr>
      <w:bookmarkStart w:id="41" w:name="_DV_M154"/>
      <w:bookmarkStart w:id="42" w:name="_DV_M155"/>
      <w:bookmarkStart w:id="43" w:name="_DV_M159"/>
      <w:bookmarkStart w:id="44" w:name="_Ref40198971"/>
      <w:bookmarkEnd w:id="18"/>
      <w:bookmarkEnd w:id="41"/>
      <w:bookmarkEnd w:id="42"/>
      <w:bookmarkEnd w:id="43"/>
      <w:r>
        <w:rPr>
          <w:rFonts w:ascii="Arial" w:hAnsi="Arial" w:cs="Arial"/>
          <w:b/>
          <w:w w:val="0"/>
          <w:sz w:val="22"/>
          <w:szCs w:val="22"/>
        </w:rPr>
        <w:t>Publicidade</w:t>
      </w:r>
      <w:bookmarkStart w:id="45" w:name="_DV_M161"/>
      <w:bookmarkEnd w:id="44"/>
      <w:bookmarkEnd w:id="45"/>
    </w:p>
    <w:p>
      <w:pPr>
        <w:widowControl w:val="0"/>
        <w:spacing w:line="340" w:lineRule="exact"/>
        <w:ind w:left="720"/>
        <w:jc w:val="both"/>
        <w:rPr>
          <w:rFonts w:ascii="Arial" w:hAnsi="Arial" w:cs="Arial"/>
          <w:b/>
          <w:w w:val="0"/>
          <w:sz w:val="22"/>
          <w:szCs w:val="22"/>
        </w:rPr>
      </w:pPr>
    </w:p>
    <w:p>
      <w:pPr>
        <w:widowControl w:val="0"/>
        <w:numPr>
          <w:ilvl w:val="2"/>
          <w:numId w:val="5"/>
        </w:numPr>
        <w:autoSpaceDE/>
        <w:autoSpaceDN/>
        <w:adjustRightInd/>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 xml:space="preserve">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w:t>
      </w:r>
      <w:r>
        <w:rPr>
          <w:rFonts w:ascii="Arial" w:hAnsi="Arial" w:cs="Arial"/>
          <w:sz w:val="22"/>
          <w:szCs w:val="22"/>
        </w:rPr>
        <w:lastRenderedPageBreak/>
        <w:t>nos jornais anteriormente utilizados, aviso aos Debenturistas informando o novo jornal de publicação</w:t>
      </w:r>
      <w:r>
        <w:rPr>
          <w:rFonts w:ascii="Arial" w:eastAsia="Arial Unicode MS" w:hAnsi="Arial" w:cs="Arial"/>
          <w:w w:val="0"/>
          <w:sz w:val="22"/>
          <w:szCs w:val="22"/>
        </w:rPr>
        <w:t>.</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bookmarkStart w:id="46"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6"/>
      <w:r>
        <w:rPr>
          <w:rFonts w:ascii="Arial" w:eastAsia="Arial Unicode MS" w:hAnsi="Arial" w:cs="Arial"/>
          <w:b/>
          <w:bCs/>
          <w:w w:val="0"/>
          <w:sz w:val="22"/>
          <w:szCs w:val="22"/>
        </w:rPr>
        <w:t xml:space="preserve"> – Fiança</w:t>
      </w:r>
    </w:p>
    <w:p>
      <w:pPr>
        <w:widowControl w:val="0"/>
        <w:spacing w:line="340" w:lineRule="exact"/>
        <w:ind w:left="540"/>
        <w:jc w:val="both"/>
        <w:rPr>
          <w:rFonts w:ascii="Arial" w:eastAsia="Arial Unicode MS" w:hAnsi="Arial" w:cs="Arial"/>
          <w:b/>
          <w:bCs/>
          <w:w w:val="0"/>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bookmarkStart w:id="47"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7"/>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 xml:space="preserve">livre e líquido, sem a dedução de quaisquer tributos, impostos, taxas, contribuições de qualquer natureza, encargos ou retenções, presentes ou </w:t>
      </w:r>
      <w:r>
        <w:rPr>
          <w:rFonts w:ascii="Arial" w:hAnsi="Arial" w:cs="Arial"/>
          <w:sz w:val="22"/>
          <w:szCs w:val="22"/>
        </w:rPr>
        <w:lastRenderedPageBreak/>
        <w:t>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pPr>
        <w:widowControl w:val="0"/>
        <w:spacing w:line="340" w:lineRule="exact"/>
        <w:jc w:val="both"/>
        <w:rPr>
          <w:rFonts w:ascii="Arial" w:eastAsia="Arial Unicode MS" w:hAnsi="Arial" w:cs="Arial"/>
          <w:bCs/>
          <w:w w:val="0"/>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pPr>
        <w:pStyle w:val="PargrafodaLista"/>
        <w:widowControl w:val="0"/>
        <w:spacing w:line="340" w:lineRule="exact"/>
        <w:jc w:val="both"/>
        <w:rPr>
          <w:rFonts w:ascii="Arial" w:eastAsia="Arial Unicode MS" w:hAnsi="Arial" w:cs="Arial"/>
          <w:b/>
          <w:bCs/>
          <w:i/>
          <w:w w:val="0"/>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das Debêntures, devido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xml:space="preserve">”); e (ii) de todo e qualquer montante relacionado aos Investimentos Permitidos (conforme definidos no Contrato de Alienação Fiduciária) realizados na forma do contrato a ser celebrado com o Banco </w:t>
      </w:r>
      <w:r>
        <w:rPr>
          <w:rFonts w:ascii="Arial" w:hAnsi="Arial" w:cs="Arial"/>
          <w:sz w:val="22"/>
          <w:szCs w:val="22"/>
        </w:rPr>
        <w:lastRenderedPageBreak/>
        <w:t>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pPr>
        <w:pStyle w:val="Celso1"/>
        <w:spacing w:line="340" w:lineRule="exact"/>
        <w:rPr>
          <w:rFonts w:ascii="Arial" w:hAnsi="Arial" w:cs="Arial"/>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
          <w:w w:val="0"/>
          <w:sz w:val="22"/>
          <w:szCs w:val="22"/>
        </w:rPr>
      </w:pPr>
      <w:bookmarkStart w:id="48" w:name="_DV_M164"/>
      <w:bookmarkStart w:id="49" w:name="_DV_M184"/>
      <w:bookmarkStart w:id="50" w:name="_DV_M115"/>
      <w:bookmarkStart w:id="51" w:name="_DV_M186"/>
      <w:bookmarkStart w:id="52" w:name="_DV_M187"/>
      <w:bookmarkEnd w:id="48"/>
      <w:bookmarkEnd w:id="49"/>
      <w:bookmarkEnd w:id="50"/>
      <w:bookmarkEnd w:id="51"/>
      <w:bookmarkEnd w:id="52"/>
      <w:r>
        <w:rPr>
          <w:rFonts w:ascii="Arial" w:hAnsi="Arial" w:cs="Arial"/>
          <w:b/>
          <w:w w:val="0"/>
          <w:sz w:val="22"/>
          <w:szCs w:val="22"/>
        </w:rPr>
        <w:t>DO RESGATE ANTECIPADO,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w:t>
      </w:r>
    </w:p>
    <w:p>
      <w:pPr>
        <w:widowControl w:val="0"/>
        <w:tabs>
          <w:tab w:val="left" w:pos="851"/>
        </w:tabs>
        <w:spacing w:line="340" w:lineRule="exact"/>
        <w:jc w:val="both"/>
        <w:rPr>
          <w:rFonts w:ascii="Arial" w:eastAsia="Arial Unicode MS" w:hAnsi="Arial" w:cs="Arial"/>
          <w:b/>
          <w:bCs/>
          <w:w w:val="0"/>
          <w:sz w:val="22"/>
          <w:szCs w:val="22"/>
        </w:rPr>
      </w:pPr>
    </w:p>
    <w:p>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amortização extraordinária.</w:t>
      </w:r>
    </w:p>
    <w:p>
      <w:pPr>
        <w:widowControl w:val="0"/>
        <w:spacing w:line="340" w:lineRule="exact"/>
        <w:jc w:val="both"/>
        <w:rPr>
          <w:rFonts w:ascii="Arial" w:hAnsi="Arial" w:cs="Arial"/>
          <w:color w:val="00000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21"/>
        </w:numPr>
        <w:shd w:val="clear" w:color="auto" w:fill="FFFFFF"/>
        <w:tabs>
          <w:tab w:val="left" w:pos="0"/>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pPr>
        <w:widowControl w:val="0"/>
        <w:tabs>
          <w:tab w:val="left" w:pos="709"/>
        </w:tabs>
        <w:spacing w:line="340" w:lineRule="exact"/>
        <w:jc w:val="both"/>
        <w:rPr>
          <w:rFonts w:ascii="Arial" w:hAnsi="Arial" w:cs="Arial"/>
          <w:sz w:val="22"/>
          <w:szCs w:val="22"/>
        </w:rPr>
      </w:pPr>
    </w:p>
    <w:p>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Aquisição Antecipada Facultativa será realizada de forma privada entre a Emissora e os Debenturistas, fora do âmbito da B3. </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21"/>
        </w:numPr>
        <w:autoSpaceDE/>
        <w:autoSpaceDN/>
        <w:adjustRightInd/>
        <w:spacing w:line="340" w:lineRule="exact"/>
        <w:jc w:val="both"/>
        <w:rPr>
          <w:rFonts w:ascii="Arial" w:hAnsi="Arial" w:cs="Arial"/>
          <w:sz w:val="22"/>
          <w:szCs w:val="22"/>
        </w:rPr>
      </w:pPr>
      <w:bookmarkStart w:id="53" w:name="_Ref40197437"/>
      <w:r>
        <w:rPr>
          <w:rFonts w:ascii="Arial" w:eastAsia="Arial Unicode MS" w:hAnsi="Arial" w:cs="Arial"/>
          <w:b/>
          <w:bCs/>
          <w:w w:val="0"/>
          <w:sz w:val="22"/>
          <w:szCs w:val="22"/>
        </w:rPr>
        <w:t>Vencimento Antecipado</w:t>
      </w:r>
      <w:bookmarkEnd w:id="53"/>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21"/>
        </w:numPr>
        <w:tabs>
          <w:tab w:val="left" w:pos="24"/>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b/>
          <w:w w:val="0"/>
          <w:sz w:val="22"/>
          <w:szCs w:val="22"/>
        </w:rPr>
      </w:pPr>
      <w:bookmarkStart w:id="54" w:name="_DV_M268"/>
      <w:bookmarkStart w:id="55" w:name="_DV_M301"/>
      <w:bookmarkEnd w:id="54"/>
      <w:bookmarkEnd w:id="55"/>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bookmarkStart w:id="56"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6"/>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quaisquer de suas respectivas obrigações pecuniárias previstas nesta Escritura</w:t>
      </w:r>
      <w:bookmarkStart w:id="57" w:name="_DV_M34"/>
      <w:bookmarkEnd w:id="57"/>
      <w:r>
        <w:rPr>
          <w:rFonts w:ascii="Arial" w:hAnsi="Arial" w:cs="Arial"/>
          <w:sz w:val="22"/>
          <w:szCs w:val="22"/>
        </w:rPr>
        <w:t xml:space="preserve">, não sanada em até 2 (dois) Dias Úteis contados da data do respectivo vencimento;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w w:val="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w:t>
      </w:r>
      <w:r>
        <w:rPr>
          <w:rFonts w:ascii="Arial" w:hAnsi="Arial" w:cs="Arial"/>
          <w:sz w:val="22"/>
          <w:szCs w:val="22"/>
        </w:rPr>
        <w:lastRenderedPageBreak/>
        <w:t xml:space="preserve">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w w:val="0"/>
          <w:sz w:val="22"/>
          <w:szCs w:val="22"/>
        </w:rPr>
        <w:t>questionamento</w:t>
      </w:r>
      <w:proofErr w:type="gramEnd"/>
      <w:r>
        <w:rPr>
          <w:rFonts w:ascii="Arial" w:hAnsi="Arial" w:cs="Arial"/>
          <w:sz w:val="22"/>
          <w:szCs w:val="22"/>
        </w:rPr>
        <w:t xml:space="preserve"> judicial, pela Emissora, pelas Controladas e/ou pelo Fiador, quanto à validade, eficácia, exequibilidade e/ou vigência da Fiança e/ou de qualquer dos Contratos da Emissão;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aplicável, em até 10 (dez) Dias Úteis contados de tal decisão;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transformação</w:t>
      </w:r>
      <w:proofErr w:type="gramEnd"/>
      <w:r>
        <w:rPr>
          <w:rFonts w:ascii="Arial" w:hAnsi="Arial" w:cs="Arial"/>
          <w:sz w:val="22"/>
          <w:szCs w:val="22"/>
        </w:rPr>
        <w:t xml:space="preserve">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revelarem</w:t>
      </w:r>
      <w:proofErr w:type="gramEnd"/>
      <w:r>
        <w:rPr>
          <w:rFonts w:ascii="Arial" w:hAnsi="Arial" w:cs="Arial"/>
          <w:sz w:val="22"/>
          <w:szCs w:val="22"/>
        </w:rPr>
        <w:t>-se falsas ou enganosas, ou ainda, de modo relevante, revelarem-se incorretas, insuficientes, inconsistentes ou incompletas, quaisquer informações, declarações e/ou garantias prestadas pela Emissora e/ou pelo Fiador nesta Escritura, e no Contrato de Alienação Fiduciária;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proofErr w:type="gramStart"/>
      <w:r>
        <w:rPr>
          <w:rFonts w:ascii="Arial" w:hAnsi="Arial" w:cs="Arial"/>
          <w:sz w:val="22"/>
          <w:szCs w:val="22"/>
        </w:rPr>
        <w:t>cessão</w:t>
      </w:r>
      <w:proofErr w:type="gramEnd"/>
      <w:r>
        <w:rPr>
          <w:rFonts w:ascii="Arial" w:hAnsi="Arial" w:cs="Arial"/>
          <w:sz w:val="22"/>
          <w:szCs w:val="22"/>
        </w:rPr>
        <w:t>,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pPr>
        <w:pStyle w:val="Corpodetexto"/>
        <w:widowControl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pPr>
        <w:pStyle w:val="Corpodetexto"/>
        <w:widowControl w:val="0"/>
        <w:spacing w:after="0" w:line="340" w:lineRule="exact"/>
        <w:jc w:val="both"/>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58"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58"/>
    </w:p>
    <w:p>
      <w:pPr>
        <w:pStyle w:val="Corpodetexto"/>
        <w:widowControl w:val="0"/>
        <w:spacing w:after="0" w:line="340" w:lineRule="exact"/>
        <w:jc w:val="both"/>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59"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9"/>
    </w:p>
    <w:p>
      <w:pPr>
        <w:pStyle w:val="PargrafodaLista"/>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existência</w:t>
      </w:r>
      <w:proofErr w:type="gramEnd"/>
      <w:r>
        <w:rPr>
          <w:rFonts w:ascii="Arial" w:hAnsi="Arial" w:cs="Arial"/>
          <w:sz w:val="22"/>
          <w:szCs w:val="22"/>
        </w:rPr>
        <w:t xml:space="preserve">,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w:t>
      </w:r>
      <w:r>
        <w:rPr>
          <w:rFonts w:ascii="Arial" w:hAnsi="Arial" w:cs="Arial"/>
          <w:sz w:val="22"/>
          <w:szCs w:val="22"/>
        </w:rPr>
        <w:lastRenderedPageBreak/>
        <w:t xml:space="preserve">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Theme="minorHAnsi" w:hAnsi="Arial" w:cs="Arial"/>
          <w:sz w:val="22"/>
          <w:szCs w:val="22"/>
        </w:rPr>
      </w:pPr>
      <w:bookmarkStart w:id="60" w:name="_Hlk15044892"/>
      <w:proofErr w:type="gramStart"/>
      <w:r>
        <w:rPr>
          <w:rFonts w:ascii="Arial" w:eastAsiaTheme="minorHAnsi" w:hAnsi="Arial" w:cs="Arial"/>
          <w:sz w:val="22"/>
          <w:szCs w:val="22"/>
        </w:rPr>
        <w:t>atuação</w:t>
      </w:r>
      <w:proofErr w:type="gramEnd"/>
      <w:r>
        <w:rPr>
          <w:rFonts w:ascii="Arial" w:eastAsiaTheme="minorHAnsi" w:hAnsi="Arial" w:cs="Arial"/>
          <w:sz w:val="22"/>
          <w:szCs w:val="22"/>
        </w:rPr>
        <w:t>,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Suspensas – CEIS ou no Cadastro Nacional de Empresas Punidas – CNEP</w:t>
      </w:r>
      <w:bookmarkEnd w:id="60"/>
      <w:r>
        <w:rPr>
          <w:rFonts w:ascii="Arial" w:eastAsiaTheme="minorHAnsi" w:hAnsi="Arial" w:cs="Arial"/>
          <w:sz w:val="22"/>
          <w:szCs w:val="22"/>
        </w:rPr>
        <w:t>;</w:t>
      </w:r>
    </w:p>
    <w:p>
      <w:pPr>
        <w:pStyle w:val="Corpodetexto"/>
        <w:widowControl w:val="0"/>
        <w:autoSpaceDE w:val="0"/>
        <w:autoSpaceDN w:val="0"/>
        <w:adjustRightInd w:val="0"/>
        <w:spacing w:after="0" w:line="340" w:lineRule="exact"/>
        <w:jc w:val="both"/>
        <w:rPr>
          <w:rFonts w:ascii="Arial" w:eastAsiaTheme="minorHAnsi"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pPr>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redução</w:t>
      </w:r>
      <w:proofErr w:type="gramEnd"/>
      <w:r>
        <w:rPr>
          <w:rFonts w:ascii="Arial" w:hAnsi="Arial" w:cs="Arial"/>
          <w:sz w:val="22"/>
          <w:szCs w:val="22"/>
        </w:rPr>
        <w:t xml:space="preserve">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pPr>
        <w:pStyle w:val="PargrafodaLista"/>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autuação</w:t>
      </w:r>
      <w:proofErr w:type="gramEnd"/>
      <w:r>
        <w:rPr>
          <w:rFonts w:ascii="Arial" w:hAnsi="Arial" w:cs="Arial"/>
          <w:sz w:val="22"/>
          <w:szCs w:val="22"/>
        </w:rPr>
        <w:t xml:space="preserve">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w:t>
      </w:r>
      <w:r>
        <w:rPr>
          <w:rFonts w:ascii="Arial" w:hAnsi="Arial" w:cs="Arial"/>
          <w:sz w:val="22"/>
          <w:szCs w:val="22"/>
        </w:rPr>
        <w:lastRenderedPageBreak/>
        <w:t>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inclusão</w:t>
      </w:r>
      <w:proofErr w:type="gramEnd"/>
      <w:r>
        <w:rPr>
          <w:rFonts w:ascii="Arial" w:hAnsi="Arial" w:cs="Arial"/>
          <w:sz w:val="22"/>
          <w:szCs w:val="22"/>
        </w:rPr>
        <w:t xml:space="preserve">,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rebaixamento</w:t>
      </w:r>
      <w:proofErr w:type="gramEnd"/>
      <w:r>
        <w:rPr>
          <w:rFonts w:ascii="Arial" w:hAnsi="Arial" w:cs="Arial"/>
          <w:sz w:val="22"/>
          <w:szCs w:val="22"/>
        </w:rPr>
        <w:t xml:space="preserve">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b/>
          <w:i/>
          <w:sz w:val="22"/>
          <w:szCs w:val="22"/>
        </w:rPr>
      </w:pPr>
      <w:proofErr w:type="gramStart"/>
      <w:r>
        <w:rPr>
          <w:rFonts w:ascii="Arial" w:hAnsi="Arial" w:cs="Arial"/>
          <w:sz w:val="22"/>
          <w:szCs w:val="22"/>
        </w:rPr>
        <w:t>descumprimento</w:t>
      </w:r>
      <w:proofErr w:type="gramEnd"/>
      <w:r>
        <w:rPr>
          <w:rFonts w:ascii="Arial" w:hAnsi="Arial" w:cs="Arial"/>
          <w:sz w:val="22"/>
          <w:szCs w:val="22"/>
        </w:rPr>
        <w:t xml:space="preserve">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spacing w:line="340" w:lineRule="exact"/>
        <w:ind w:left="709"/>
        <w:jc w:val="both"/>
        <w:rPr>
          <w:rFonts w:ascii="Arial" w:hAnsi="Arial" w:cs="Arial"/>
          <w:sz w:val="22"/>
          <w:szCs w:val="22"/>
        </w:rPr>
      </w:pPr>
    </w:p>
    <w:p>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pPr>
        <w:widowControl w:val="0"/>
        <w:spacing w:line="340" w:lineRule="exact"/>
        <w:ind w:left="709"/>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mudança</w:t>
      </w:r>
      <w:proofErr w:type="gramEnd"/>
      <w:r>
        <w:rPr>
          <w:rFonts w:ascii="Arial" w:hAnsi="Arial" w:cs="Arial"/>
          <w:sz w:val="22"/>
          <w:szCs w:val="22"/>
        </w:rPr>
        <w:t xml:space="preserve"> ou transferência de controle acionário (conforme definição de controle prevista no artigo 116 da Lei das Sociedades por Ações), indireta, da Emissora e/ou </w:t>
      </w:r>
      <w:r>
        <w:rPr>
          <w:rFonts w:ascii="Arial" w:hAnsi="Arial" w:cs="Arial"/>
          <w:sz w:val="22"/>
          <w:szCs w:val="22"/>
        </w:rPr>
        <w:lastRenderedPageBreak/>
        <w:t>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MS Mincho" w:hAnsi="Arial" w:cs="Arial"/>
          <w:color w:val="000000"/>
          <w:sz w:val="22"/>
          <w:szCs w:val="22"/>
        </w:rPr>
      </w:pPr>
      <w:proofErr w:type="gramStart"/>
      <w:r>
        <w:rPr>
          <w:rFonts w:ascii="Arial" w:hAnsi="Arial" w:cs="Arial"/>
          <w:sz w:val="22"/>
          <w:szCs w:val="22"/>
        </w:rPr>
        <w:t>realizar</w:t>
      </w:r>
      <w:proofErr w:type="gramEnd"/>
      <w:r>
        <w:rPr>
          <w:rFonts w:ascii="Arial" w:hAnsi="Arial" w:cs="Arial"/>
          <w:sz w:val="22"/>
          <w:szCs w:val="22"/>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pPr>
        <w:pStyle w:val="Corpodetexto"/>
        <w:widowControl w:val="0"/>
        <w:autoSpaceDE w:val="0"/>
        <w:autoSpaceDN w:val="0"/>
        <w:adjustRightInd w:val="0"/>
        <w:spacing w:after="0" w:line="340" w:lineRule="exact"/>
        <w:jc w:val="both"/>
        <w:rPr>
          <w:rFonts w:ascii="Arial" w:eastAsia="MS Mincho" w:hAnsi="Arial" w:cs="Arial"/>
          <w:color w:val="000000"/>
          <w:sz w:val="22"/>
          <w:szCs w:val="22"/>
        </w:rPr>
      </w:pPr>
    </w:p>
    <w:p>
      <w:pPr>
        <w:pStyle w:val="sub"/>
        <w:numPr>
          <w:ilvl w:val="4"/>
          <w:numId w:val="21"/>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xml:space="preserve">” qualquer sociedade controlada pela Emissora e/ou pelo Fiador, compreendidas como pessoas jurídicas que tenham o mesmo controlador, </w:t>
      </w:r>
      <w:r>
        <w:rPr>
          <w:rFonts w:ascii="Arial" w:eastAsia="MS Mincho" w:hAnsi="Arial" w:cs="Arial"/>
          <w:color w:val="000000"/>
        </w:rPr>
        <w:lastRenderedPageBreak/>
        <w:t>direto ou indireto, salvo quando se tratar de companhias abertas com ações negociadas em bolsa de valores em segmento de listagem que exija, no mínimo, 25% (vinte e cinco por cento) de suas ações em circulação no mercado.</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xml:space="preserve">”, os Controladores, as Controladas, sociedades sob o controle comum, </w:t>
      </w:r>
      <w:proofErr w:type="gramStart"/>
      <w:r>
        <w:rPr>
          <w:rFonts w:ascii="Arial" w:eastAsia="MS Mincho" w:hAnsi="Arial" w:cs="Arial"/>
          <w:color w:val="000000"/>
        </w:rPr>
        <w:t>Coligadas</w:t>
      </w:r>
      <w:proofErr w:type="gramEnd"/>
      <w:r>
        <w:rPr>
          <w:rFonts w:ascii="Arial" w:eastAsia="MS Mincho" w:hAnsi="Arial" w:cs="Arial"/>
          <w:color w:val="000000"/>
        </w:rPr>
        <w:t xml:space="preserve"> e/ou subsidiárias de determinada sociedade ou pessoa.</w:t>
      </w:r>
    </w:p>
    <w:p>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61"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61"/>
      <w:r>
        <w:rPr>
          <w:rFonts w:ascii="Arial" w:hAnsi="Arial" w:cs="Arial"/>
        </w:rPr>
        <w:t xml:space="preserve"> </w:t>
      </w:r>
    </w:p>
    <w:p>
      <w:pPr>
        <w:pStyle w:val="sub"/>
        <w:tabs>
          <w:tab w:val="clear" w:pos="1440"/>
          <w:tab w:val="clear" w:pos="2880"/>
          <w:tab w:val="clear" w:pos="4320"/>
          <w:tab w:val="left" w:pos="709"/>
        </w:tabs>
        <w:spacing w:before="0" w:after="0" w:line="340" w:lineRule="exact"/>
        <w:rPr>
          <w:rFonts w:ascii="Arial" w:eastAsia="Arial Unicode MS" w:hAnsi="Arial" w:cs="Arial"/>
          <w:w w:val="0"/>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spacing w:line="340" w:lineRule="exact"/>
        <w:jc w:val="both"/>
        <w:rPr>
          <w:rFonts w:ascii="Arial" w:eastAsia="Arial Unicode MS"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62"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primeira Data de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62"/>
    </w:p>
    <w:p>
      <w:pPr>
        <w:widowControl w:val="0"/>
        <w:spacing w:line="340" w:lineRule="exact"/>
        <w:jc w:val="both"/>
        <w:rPr>
          <w:rFonts w:ascii="Arial" w:eastAsia="Arial Unicode MS" w:hAnsi="Arial" w:cs="Arial"/>
          <w:w w:val="0"/>
          <w:sz w:val="22"/>
          <w:szCs w:val="22"/>
        </w:rPr>
      </w:pPr>
    </w:p>
    <w:p>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10"/>
        </w:numPr>
        <w:autoSpaceDE/>
        <w:autoSpaceDN/>
        <w:adjustRightInd/>
        <w:spacing w:line="340" w:lineRule="exact"/>
        <w:ind w:left="0" w:firstLine="0"/>
        <w:jc w:val="both"/>
        <w:rPr>
          <w:rFonts w:ascii="Arial" w:eastAsia="Arial Unicode MS" w:hAnsi="Arial" w:cs="Arial"/>
          <w:w w:val="0"/>
          <w:sz w:val="22"/>
          <w:szCs w:val="22"/>
        </w:rPr>
      </w:pPr>
      <w:bookmarkStart w:id="63" w:name="_DV_M188"/>
      <w:bookmarkEnd w:id="63"/>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pPr>
        <w:widowControl w:val="0"/>
        <w:spacing w:line="340" w:lineRule="exact"/>
        <w:jc w:val="both"/>
        <w:rPr>
          <w:rFonts w:ascii="Arial" w:eastAsia="Arial Unicode MS" w:hAnsi="Arial" w:cs="Arial"/>
          <w:w w:val="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fornecer</w:t>
      </w:r>
      <w:proofErr w:type="gramEnd"/>
      <w:r>
        <w:rPr>
          <w:rFonts w:ascii="Arial" w:hAnsi="Arial" w:cs="Arial"/>
          <w:color w:val="000000"/>
          <w:sz w:val="22"/>
          <w:szCs w:val="22"/>
        </w:rPr>
        <w:t xml:space="preserve">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pPr>
        <w:pStyle w:val="corpoescritura2"/>
        <w:spacing w:line="340" w:lineRule="exact"/>
        <w:ind w:right="-1" w:hanging="436"/>
        <w:rPr>
          <w:rFonts w:ascii="Arial" w:hAnsi="Arial" w:cs="Arial"/>
          <w:color w:val="000000"/>
          <w:sz w:val="22"/>
          <w:szCs w:val="22"/>
        </w:rPr>
      </w:pPr>
    </w:p>
    <w:p>
      <w:pPr>
        <w:widowControl w:val="0"/>
        <w:spacing w:line="340" w:lineRule="exact"/>
        <w:ind w:left="708" w:right="-1" w:hanging="424"/>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w:t>
      </w:r>
      <w:r>
        <w:rPr>
          <w:rFonts w:ascii="Arial" w:hAnsi="Arial" w:cs="Arial"/>
          <w:color w:val="000000"/>
          <w:sz w:val="22"/>
          <w:szCs w:val="22"/>
        </w:rPr>
        <w:lastRenderedPageBreak/>
        <w:t>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spacing w:line="340" w:lineRule="exact"/>
        <w:ind w:right="-1" w:hanging="436"/>
        <w:rPr>
          <w:rFonts w:ascii="Arial" w:hAnsi="Arial" w:cs="Arial"/>
          <w:color w:val="000000"/>
          <w:sz w:val="22"/>
          <w:szCs w:val="22"/>
        </w:rPr>
      </w:pPr>
    </w:p>
    <w:p>
      <w:pPr>
        <w:pStyle w:val="PargrafodaLista"/>
        <w:numPr>
          <w:ilvl w:val="0"/>
          <w:numId w:val="23"/>
        </w:numPr>
        <w:tabs>
          <w:tab w:val="left" w:pos="567"/>
        </w:tabs>
        <w:spacing w:line="320" w:lineRule="exact"/>
        <w:ind w:left="0" w:firstLine="0"/>
        <w:jc w:val="both"/>
        <w:rPr>
          <w:rFonts w:ascii="Arial" w:hAnsi="Arial" w:cs="Arial"/>
          <w:sz w:val="22"/>
          <w:szCs w:val="22"/>
        </w:rPr>
      </w:pPr>
      <w:proofErr w:type="gramStart"/>
      <w:r>
        <w:rPr>
          <w:rFonts w:ascii="Arial" w:hAnsi="Arial" w:cs="Arial"/>
          <w:sz w:val="22"/>
          <w:szCs w:val="22"/>
        </w:rPr>
        <w:lastRenderedPageBreak/>
        <w:t>comparecer</w:t>
      </w:r>
      <w:proofErr w:type="gramEnd"/>
      <w:r>
        <w:rPr>
          <w:rFonts w:ascii="Arial" w:hAnsi="Arial" w:cs="Arial"/>
          <w:sz w:val="22"/>
          <w:szCs w:val="22"/>
        </w:rPr>
        <w:t xml:space="preserve">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23"/>
        </w:numPr>
        <w:tabs>
          <w:tab w:val="left" w:pos="567"/>
        </w:tabs>
        <w:autoSpaceDE/>
        <w:autoSpaceDN/>
        <w:adjustRightInd/>
        <w:spacing w:line="340" w:lineRule="exact"/>
        <w:ind w:left="0" w:firstLine="0"/>
        <w:jc w:val="both"/>
        <w:rPr>
          <w:rFonts w:ascii="Arial" w:hAnsi="Arial" w:cs="Arial"/>
          <w:color w:val="000000"/>
          <w:sz w:val="22"/>
          <w:szCs w:val="22"/>
        </w:rPr>
      </w:pPr>
      <w:proofErr w:type="gramStart"/>
      <w:r>
        <w:rPr>
          <w:rFonts w:ascii="Arial" w:hAnsi="Arial" w:cs="Arial"/>
          <w:color w:val="000000"/>
          <w:sz w:val="22"/>
          <w:szCs w:val="22"/>
        </w:rPr>
        <w:t>constituir</w:t>
      </w:r>
      <w:proofErr w:type="gramEnd"/>
      <w:r>
        <w:rPr>
          <w:rFonts w:ascii="Arial" w:hAnsi="Arial" w:cs="Arial"/>
          <w:color w:val="000000"/>
          <w:sz w:val="22"/>
          <w:szCs w:val="22"/>
        </w:rPr>
        <w:t xml:space="preserve"> as Garantias nos termos e prazos indicados nesta Escritura e no Contrato de Alienação Fiduciária;</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quando</w:t>
      </w:r>
      <w:proofErr w:type="gramEnd"/>
      <w:r>
        <w:rPr>
          <w:rFonts w:ascii="Arial" w:hAnsi="Arial" w:cs="Arial"/>
          <w:color w:val="000000"/>
          <w:sz w:val="22"/>
          <w:szCs w:val="22"/>
        </w:rPr>
        <w:t xml:space="preserve">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efetuar</w:t>
      </w:r>
      <w:proofErr w:type="gramEnd"/>
      <w:r>
        <w:rPr>
          <w:rFonts w:ascii="Arial" w:hAnsi="Arial" w:cs="Arial"/>
          <w:color w:val="000000"/>
          <w:sz w:val="22"/>
          <w:szCs w:val="22"/>
        </w:rPr>
        <w:t xml:space="preserve">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a sua contabilidade atualizada e efetuar os respectivos registros de acordo com os princípios contábeis geralmente aceitos no Brasil;</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64" w:name="_Hlk33625008"/>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beneficio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w:t>
      </w:r>
      <w:r>
        <w:rPr>
          <w:rFonts w:ascii="Arial" w:hAnsi="Arial" w:cs="Arial"/>
          <w:sz w:val="22"/>
          <w:szCs w:val="22"/>
        </w:rPr>
        <w:lastRenderedPageBreak/>
        <w:t>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4"/>
    </w:p>
    <w:p>
      <w:pPr>
        <w:widowControl w:val="0"/>
        <w:spacing w:line="340" w:lineRule="exact"/>
        <w:ind w:hanging="7"/>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proofErr w:type="gramStart"/>
      <w:r>
        <w:rPr>
          <w:rFonts w:ascii="Arial" w:hAnsi="Arial" w:cs="Arial"/>
          <w:sz w:val="22"/>
          <w:szCs w:val="22"/>
        </w:rPr>
        <w:t>proceder</w:t>
      </w:r>
      <w:proofErr w:type="gramEnd"/>
      <w:r>
        <w:rPr>
          <w:rFonts w:ascii="Arial" w:hAnsi="Arial" w:cs="Arial"/>
          <w:sz w:val="22"/>
          <w:szCs w:val="22"/>
        </w:rPr>
        <w:t xml:space="preserve"> a todas as diligências exigidas para suas respectivas atividades econômicas, preservando o meio ambiente e atendendo às determinações dos órgãos municipais, estaduais e federais que, </w:t>
      </w:r>
      <w:bookmarkStart w:id="65" w:name="_DV_M91"/>
      <w:bookmarkEnd w:id="65"/>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kern w:val="16"/>
          <w:sz w:val="22"/>
          <w:szCs w:val="22"/>
        </w:rPr>
        <w:t>manter</w:t>
      </w:r>
      <w:proofErr w:type="gramEnd"/>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kern w:val="16"/>
          <w:sz w:val="22"/>
          <w:szCs w:val="22"/>
        </w:rPr>
      </w:pPr>
      <w:proofErr w:type="gramStart"/>
      <w:r>
        <w:rPr>
          <w:rFonts w:ascii="Arial" w:hAnsi="Arial" w:cs="Arial"/>
          <w:kern w:val="16"/>
          <w:sz w:val="22"/>
          <w:szCs w:val="22"/>
        </w:rPr>
        <w:t>manter</w:t>
      </w:r>
      <w:proofErr w:type="gramEnd"/>
      <w:r>
        <w:rPr>
          <w:rFonts w:ascii="Arial" w:hAnsi="Arial" w:cs="Arial"/>
          <w:kern w:val="16"/>
          <w:sz w:val="22"/>
          <w:szCs w:val="22"/>
        </w:rPr>
        <w:t xml:space="preserve"> sempre válidas, eficazes, em perfeita ordem e em pleno vigor todas as autorizações necessárias à assinatura dos Contratos da Emissão de que seja parte,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23"/>
        </w:numPr>
        <w:tabs>
          <w:tab w:val="left" w:pos="567"/>
          <w:tab w:val="left" w:pos="851"/>
        </w:tabs>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w:t>
      </w:r>
      <w:r>
        <w:rPr>
          <w:rFonts w:ascii="Arial" w:hAnsi="Arial" w:cs="Arial"/>
          <w:sz w:val="22"/>
          <w:szCs w:val="22"/>
        </w:rPr>
        <w:lastRenderedPageBreak/>
        <w:t xml:space="preserve">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sz w:val="22"/>
          <w:szCs w:val="22"/>
        </w:rPr>
        <w:t>não</w:t>
      </w:r>
      <w:proofErr w:type="gramEnd"/>
      <w:r>
        <w:rPr>
          <w:rFonts w:ascii="Arial" w:hAnsi="Arial" w:cs="Arial"/>
          <w:sz w:val="22"/>
          <w:szCs w:val="22"/>
        </w:rPr>
        <w:t xml:space="preserve"> praticar qualquer ato em desacordo com o seu estatuto/contrato social, objeto social, com os Contratos da Emissão, conforme aplicável,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válidas e regulares, durante todo o prazo de vigência das Debêntures as declarações e garantias prestadas nos Contratos da Emissão, no que for aplicável;</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sz w:val="22"/>
          <w:szCs w:val="22"/>
        </w:rPr>
        <w:t>manter</w:t>
      </w:r>
      <w:proofErr w:type="gramEnd"/>
      <w:r>
        <w:rPr>
          <w:rFonts w:ascii="Arial" w:hAnsi="Arial" w:cs="Arial"/>
          <w:sz w:val="22"/>
          <w:szCs w:val="22"/>
        </w:rPr>
        <w:t xml:space="preserve">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pPr>
        <w:pStyle w:val="ListParagraph1"/>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sz w:val="22"/>
          <w:szCs w:val="22"/>
        </w:rPr>
        <w:t>efetuar</w:t>
      </w:r>
      <w:proofErr w:type="gramEnd"/>
      <w:r>
        <w:rPr>
          <w:rFonts w:ascii="Arial" w:hAnsi="Arial" w:cs="Arial"/>
          <w:sz w:val="22"/>
          <w:szCs w:val="22"/>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40" w:lineRule="exact"/>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ceder, transferir ou de qualquer outra forma alienar quaisquer de suas </w:t>
      </w:r>
      <w:r>
        <w:rPr>
          <w:rFonts w:ascii="Arial" w:eastAsia="Arial Unicode MS" w:hAnsi="Arial" w:cs="Arial"/>
          <w:w w:val="0"/>
          <w:sz w:val="22"/>
          <w:szCs w:val="22"/>
        </w:rPr>
        <w:lastRenderedPageBreak/>
        <w:t>obrigações</w:t>
      </w:r>
      <w:r>
        <w:rPr>
          <w:rFonts w:ascii="Arial" w:hAnsi="Arial" w:cs="Arial"/>
          <w:color w:val="000000"/>
          <w:sz w:val="22"/>
          <w:szCs w:val="22"/>
        </w:rPr>
        <w:t xml:space="preserve">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cumprir</w:t>
      </w:r>
      <w:proofErr w:type="gramEnd"/>
      <w:r>
        <w:rPr>
          <w:rFonts w:ascii="Arial" w:hAnsi="Arial" w:cs="Arial"/>
          <w:color w:val="000000"/>
          <w:sz w:val="22"/>
          <w:szCs w:val="22"/>
        </w:rPr>
        <w:t xml:space="preserve"> todas as leis, regras, regulamentos e ordens aplicáveis em qualquer jurisdição na qual realize negócios ou possua ativos; </w:t>
      </w:r>
    </w:p>
    <w:p>
      <w:pPr>
        <w:widowControl w:val="0"/>
        <w:spacing w:line="340" w:lineRule="exact"/>
        <w:ind w:left="705"/>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proofErr w:type="gramStart"/>
      <w:r>
        <w:rPr>
          <w:rFonts w:ascii="Arial" w:hAnsi="Arial" w:cs="Arial"/>
          <w:color w:val="000000"/>
          <w:sz w:val="22"/>
          <w:szCs w:val="22"/>
        </w:rPr>
        <w:t>cumprir</w:t>
      </w:r>
      <w:proofErr w:type="gramEnd"/>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proofErr w:type="gramStart"/>
      <w:r>
        <w:rPr>
          <w:rFonts w:ascii="Arial" w:hAnsi="Arial" w:cs="Arial"/>
          <w:sz w:val="22"/>
          <w:szCs w:val="22"/>
        </w:rPr>
        <w:t>envidar</w:t>
      </w:r>
      <w:proofErr w:type="gramEnd"/>
      <w:r>
        <w:rPr>
          <w:rFonts w:ascii="Arial" w:hAnsi="Arial" w:cs="Arial"/>
          <w:sz w:val="22"/>
          <w:szCs w:val="22"/>
        </w:rPr>
        <w:t xml:space="preserve"> os melhores esforços para que seus clientes e prestadores de serviço adotem as melhores práticas de proteção socioambiental; e</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proofErr w:type="gramStart"/>
      <w:r>
        <w:rPr>
          <w:rFonts w:ascii="Arial" w:hAnsi="Arial" w:cs="Arial"/>
          <w:sz w:val="22"/>
          <w:szCs w:val="22"/>
        </w:rPr>
        <w:t>monitorar</w:t>
      </w:r>
      <w:proofErr w:type="gramEnd"/>
      <w:r>
        <w:rPr>
          <w:rFonts w:ascii="Arial" w:hAnsi="Arial" w:cs="Arial"/>
          <w:sz w:val="22"/>
          <w:szCs w:val="22"/>
        </w:rPr>
        <w:t xml:space="preserve">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line="340" w:lineRule="exact"/>
        <w:jc w:val="both"/>
        <w:rPr>
          <w:rFonts w:ascii="Arial" w:hAnsi="Arial" w:cs="Arial"/>
          <w:color w:val="000000"/>
          <w:sz w:val="22"/>
          <w:szCs w:val="22"/>
        </w:rPr>
      </w:pPr>
    </w:p>
    <w:p>
      <w:pPr>
        <w:widowControl w:val="0"/>
        <w:numPr>
          <w:ilvl w:val="1"/>
          <w:numId w:val="10"/>
        </w:numPr>
        <w:autoSpaceDE/>
        <w:autoSpaceDN/>
        <w:adjustRightInd/>
        <w:spacing w:line="340" w:lineRule="exact"/>
        <w:ind w:left="0" w:firstLine="0"/>
        <w:jc w:val="both"/>
        <w:rPr>
          <w:rFonts w:ascii="Arial" w:hAnsi="Arial" w:cs="Arial"/>
          <w:sz w:val="22"/>
          <w:szCs w:val="22"/>
          <w:highlight w:val="yellow"/>
        </w:rPr>
      </w:pPr>
      <w:r>
        <w:rPr>
          <w:rFonts w:ascii="Arial" w:hAnsi="Arial" w:cs="Arial"/>
          <w:color w:val="000000"/>
          <w:sz w:val="22"/>
          <w:szCs w:val="22"/>
          <w:highlight w:val="yellow"/>
        </w:rPr>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pPr>
        <w:widowControl w:val="0"/>
        <w:autoSpaceDE/>
        <w:autoSpaceDN/>
        <w:adjustRightInd/>
        <w:spacing w:line="340" w:lineRule="exact"/>
        <w:jc w:val="both"/>
        <w:rPr>
          <w:rFonts w:ascii="Arial" w:hAnsi="Arial" w:cs="Arial"/>
          <w:color w:val="000000"/>
          <w:sz w:val="22"/>
          <w:szCs w:val="22"/>
        </w:rPr>
      </w:pPr>
    </w:p>
    <w:p>
      <w:pPr>
        <w:widowControl w:val="0"/>
        <w:numPr>
          <w:ilvl w:val="1"/>
          <w:numId w:val="10"/>
        </w:numPr>
        <w:autoSpaceDE/>
        <w:autoSpaceDN/>
        <w:adjustRightInd/>
        <w:spacing w:line="340" w:lineRule="exact"/>
        <w:ind w:left="0" w:firstLine="0"/>
        <w:jc w:val="both"/>
        <w:rPr>
          <w:rFonts w:ascii="Arial" w:hAnsi="Arial" w:cs="Arial"/>
          <w:color w:val="000000"/>
          <w:sz w:val="22"/>
          <w:szCs w:val="22"/>
          <w:highlight w:val="yellow"/>
        </w:rPr>
      </w:pPr>
      <w:r>
        <w:rPr>
          <w:rFonts w:ascii="Arial" w:hAnsi="Arial" w:cs="Arial"/>
          <w:sz w:val="22"/>
          <w:szCs w:val="22"/>
          <w:highlight w:val="yellow"/>
        </w:rPr>
        <w:t xml:space="preserve">Os Controladores passarão a configurar como fiadores da Emissão caso as empresas abaixo não respeitem os seguintes volumes de aval e/ou garantias concedidas pela Emissora e Fiador (somadas por operação, caso o aval e garantia </w:t>
      </w:r>
      <w:r>
        <w:rPr>
          <w:rFonts w:ascii="Arial" w:hAnsi="Arial" w:cs="Arial"/>
          <w:sz w:val="22"/>
          <w:szCs w:val="22"/>
          <w:highlight w:val="yellow"/>
        </w:rPr>
        <w:lastRenderedPageBreak/>
        <w:t>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31 de dezembro de cada ano e não deverá levar em consideração os volumes de aval e/ou garantias prestados pela Emissora ao Fiador e/ou pelo Fiador à Emissora:</w:t>
      </w:r>
    </w:p>
    <w:p>
      <w:pPr>
        <w:widowControl w:val="0"/>
        <w:spacing w:line="312" w:lineRule="auto"/>
        <w:ind w:left="1066"/>
        <w:jc w:val="both"/>
        <w:rPr>
          <w:rFonts w:ascii="Arial" w:hAnsi="Arial" w:cs="Arial"/>
          <w:i/>
          <w:sz w:val="22"/>
          <w:szCs w:val="22"/>
          <w:highlight w:val="yellow"/>
        </w:rPr>
      </w:pPr>
    </w:p>
    <w:tbl>
      <w:tblPr>
        <w:tblpPr w:leftFromText="141" w:rightFromText="141" w:vertAnchor="text" w:horzAnchor="margin" w:tblpXSpec="right" w:tblpY="209"/>
        <w:tblW w:w="8565" w:type="dxa"/>
        <w:tblLayout w:type="fixed"/>
        <w:tblCellMar>
          <w:left w:w="70" w:type="dxa"/>
          <w:right w:w="70" w:type="dxa"/>
        </w:tblCellMar>
        <w:tblLook w:val="04A0" w:firstRow="1" w:lastRow="0" w:firstColumn="1" w:lastColumn="0" w:noHBand="0" w:noVBand="1"/>
      </w:tblPr>
      <w:tblGrid>
        <w:gridCol w:w="3964"/>
        <w:gridCol w:w="1701"/>
        <w:gridCol w:w="1560"/>
        <w:gridCol w:w="1340"/>
      </w:tblGrid>
      <w:tr>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Empresa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2020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2021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2022</w:t>
            </w:r>
          </w:p>
        </w:tc>
      </w:tr>
      <w:tr>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AuraBrasil – Transportes, Máquinas e Equipamentos Ltda.</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R$85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R$50 milhões</w:t>
            </w:r>
          </w:p>
        </w:tc>
        <w:tc>
          <w:tcPr>
            <w:tcW w:w="134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Bravo Caminhões e Empreendimentos Ltda.</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R$4 milhões</w:t>
            </w:r>
          </w:p>
        </w:tc>
        <w:tc>
          <w:tcPr>
            <w:tcW w:w="134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434"/>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Aero Santo Antônio</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R$6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c>
          <w:tcPr>
            <w:tcW w:w="134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LM Participações e Empreendimentos S.A.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R$3 milhões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312" w:lineRule="auto"/>
              <w:jc w:val="both"/>
              <w:rPr>
                <w:rFonts w:ascii="Arial" w:hAnsi="Arial" w:cs="Arial"/>
                <w:color w:val="000000"/>
                <w:sz w:val="22"/>
                <w:szCs w:val="22"/>
                <w:highlight w:val="yellow"/>
              </w:rPr>
            </w:pPr>
            <w:r>
              <w:rPr>
                <w:rFonts w:ascii="Arial" w:hAnsi="Arial" w:cs="Arial"/>
                <w:sz w:val="22"/>
                <w:szCs w:val="22"/>
                <w:highlight w:val="yellow"/>
              </w:rPr>
              <w:t>Santo Antônio Imóveis e Empreendimentos Ltda.</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R$25 milhões</w:t>
            </w:r>
          </w:p>
        </w:tc>
        <w:tc>
          <w:tcPr>
            <w:tcW w:w="1560"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c>
          <w:tcPr>
            <w:tcW w:w="1340"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bl>
    <w:p>
      <w:pPr>
        <w:widowControl w:val="0"/>
        <w:spacing w:line="312" w:lineRule="auto"/>
        <w:ind w:left="1134"/>
        <w:jc w:val="both"/>
        <w:rPr>
          <w:rFonts w:ascii="Arial" w:hAnsi="Arial" w:cs="Arial"/>
          <w:sz w:val="22"/>
          <w:szCs w:val="22"/>
        </w:rPr>
      </w:pPr>
    </w:p>
    <w:p>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6.3.1.</w:t>
      </w:r>
      <w:r>
        <w:rPr>
          <w:rFonts w:ascii="Arial" w:hAnsi="Arial" w:cs="Arial"/>
          <w:sz w:val="22"/>
          <w:szCs w:val="22"/>
          <w:highlight w:val="yellow"/>
        </w:rPr>
        <w:tab/>
      </w:r>
      <w:r>
        <w:rPr>
          <w:rFonts w:ascii="Arial" w:hAnsi="Arial" w:cs="Arial"/>
          <w:sz w:val="22"/>
          <w:szCs w:val="22"/>
          <w:highlight w:val="yellow"/>
          <w:lang w:eastAsia="en-US"/>
        </w:rPr>
        <w:t>O Agente Fiduciário deverá verificar anualmente</w:t>
      </w:r>
      <w:r>
        <w:rPr>
          <w:rFonts w:ascii="Arial" w:hAnsi="Arial" w:cs="Arial"/>
          <w:sz w:val="22"/>
          <w:szCs w:val="22"/>
          <w:highlight w:val="yellow"/>
        </w:rPr>
        <w:t>,</w:t>
      </w:r>
      <w:r>
        <w:rPr>
          <w:rFonts w:ascii="Arial" w:hAnsi="Arial" w:cs="Arial"/>
          <w:sz w:val="22"/>
          <w:szCs w:val="22"/>
          <w:highlight w:val="yellow"/>
          <w:lang w:eastAsia="en-US"/>
        </w:rPr>
        <w:t xml:space="preserve"> no dia 11 dos meses de junho, a contar da Data de Emissão (“</w:t>
      </w:r>
      <w:r>
        <w:rPr>
          <w:rFonts w:ascii="Arial" w:hAnsi="Arial" w:cs="Arial"/>
          <w:sz w:val="22"/>
          <w:szCs w:val="22"/>
          <w:highlight w:val="yellow"/>
          <w:u w:val="single"/>
          <w:lang w:eastAsia="en-US"/>
        </w:rPr>
        <w:t>Data de Verificação</w:t>
      </w:r>
      <w:r>
        <w:rPr>
          <w:rFonts w:ascii="Arial" w:hAnsi="Arial" w:cs="Arial"/>
          <w:sz w:val="22"/>
          <w:szCs w:val="22"/>
          <w:highlight w:val="yellow"/>
          <w:lang w:eastAsia="en-US"/>
        </w:rPr>
        <w:t>”), levando em consideração a data</w:t>
      </w:r>
      <w:r>
        <w:rPr>
          <w:rFonts w:ascii="Arial" w:hAnsi="Arial" w:cs="Arial"/>
          <w:sz w:val="22"/>
          <w:szCs w:val="22"/>
          <w:highlight w:val="yellow"/>
        </w:rPr>
        <w:t>-</w:t>
      </w:r>
      <w:r>
        <w:rPr>
          <w:rFonts w:ascii="Arial" w:hAnsi="Arial" w:cs="Arial"/>
          <w:sz w:val="22"/>
          <w:szCs w:val="22"/>
          <w:highlight w:val="yellow"/>
          <w:lang w:eastAsia="en-US"/>
        </w:rPr>
        <w:t>base de apuração o dia 31 de dezembro de cada ano, os volumes previstos nas Cláusulas 6.2 e 6.3 da Escritura de Emissão</w:t>
      </w:r>
      <w:r>
        <w:rPr>
          <w:rFonts w:ascii="Arial" w:hAnsi="Arial" w:cs="Arial"/>
          <w:sz w:val="22"/>
          <w:szCs w:val="22"/>
          <w:highlight w:val="yellow"/>
        </w:rPr>
        <w:t>,</w:t>
      </w:r>
      <w:r>
        <w:rPr>
          <w:rFonts w:ascii="Arial" w:hAnsi="Arial" w:cs="Arial"/>
          <w:sz w:val="22"/>
          <w:szCs w:val="22"/>
          <w:highlight w:val="yellow"/>
          <w:lang w:eastAsia="en-US"/>
        </w:rPr>
        <w:t xml:space="preserve"> por meio dos contratos que serão enviados pela Emissora e pelo </w:t>
      </w:r>
      <w:r>
        <w:rPr>
          <w:rFonts w:ascii="Arial" w:hAnsi="Arial" w:cs="Arial"/>
          <w:sz w:val="22"/>
          <w:szCs w:val="22"/>
          <w:highlight w:val="yellow"/>
        </w:rPr>
        <w:t>Fiador.</w:t>
      </w:r>
    </w:p>
    <w:p>
      <w:pPr>
        <w:pStyle w:val="PargrafodaLista"/>
        <w:widowControl w:val="0"/>
        <w:spacing w:line="312" w:lineRule="auto"/>
        <w:ind w:left="0"/>
        <w:jc w:val="both"/>
        <w:rPr>
          <w:rFonts w:ascii="Arial" w:hAnsi="Arial" w:cs="Arial"/>
          <w:sz w:val="22"/>
          <w:szCs w:val="22"/>
        </w:rPr>
      </w:pPr>
    </w:p>
    <w:p>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6.3.2.</w:t>
      </w:r>
      <w:r>
        <w:rPr>
          <w:rFonts w:ascii="Arial" w:hAnsi="Arial" w:cs="Arial"/>
          <w:sz w:val="22"/>
          <w:szCs w:val="22"/>
          <w:highlight w:val="yellow"/>
        </w:rPr>
        <w:tab/>
      </w:r>
      <w:r>
        <w:rPr>
          <w:rFonts w:ascii="Arial" w:hAnsi="Arial" w:cs="Arial"/>
          <w:color w:val="000000"/>
          <w:sz w:val="22"/>
          <w:szCs w:val="22"/>
          <w:highlight w:val="yellow"/>
        </w:rPr>
        <w:t xml:space="preserve">Caso seja verificado que quaisquer dos limites previstos nas Cláusulas 6.2 e/ou 6.3 acima foi superado, a Emissora e o Fiador deverão celebrar aditamento a esta Escritura, no prazo de 10 (dez) Dias Úteis da respectiva Data de Verificação, para, conforme aplicável (a) inclusão </w:t>
      </w:r>
      <w:proofErr w:type="gramStart"/>
      <w:r>
        <w:rPr>
          <w:rFonts w:ascii="Arial" w:hAnsi="Arial" w:cs="Arial"/>
          <w:color w:val="000000"/>
          <w:sz w:val="22"/>
          <w:szCs w:val="22"/>
          <w:highlight w:val="yellow"/>
        </w:rPr>
        <w:t>da(</w:t>
      </w:r>
      <w:proofErr w:type="gramEnd"/>
      <w:r>
        <w:rPr>
          <w:rFonts w:ascii="Arial" w:hAnsi="Arial" w:cs="Arial"/>
          <w:color w:val="000000"/>
          <w:sz w:val="22"/>
          <w:szCs w:val="22"/>
          <w:highlight w:val="yellow"/>
        </w:rPr>
        <w:t>s) sociedades(s) beneficiária(s) das operações mencionadas na Cláusula 6.2 acima como fiador(es) desta Emissão, ou (b) inclusão dos Controladores como fiadores desta Emissão, nos termos da Cláusula 6.3 acima.</w:t>
      </w:r>
    </w:p>
    <w:p>
      <w:pPr>
        <w:widowControl w:val="0"/>
        <w:spacing w:line="340" w:lineRule="exact"/>
        <w:jc w:val="both"/>
        <w:rPr>
          <w:rFonts w:ascii="Arial" w:hAnsi="Arial" w:cs="Arial"/>
          <w:color w:val="000000"/>
          <w:sz w:val="22"/>
          <w:szCs w:val="22"/>
        </w:rPr>
      </w:pPr>
    </w:p>
    <w:p>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bookmarkStart w:id="66" w:name="_DV_M189"/>
      <w:bookmarkStart w:id="67" w:name="_DV_M190"/>
      <w:bookmarkStart w:id="68" w:name="_DV_M191"/>
      <w:bookmarkStart w:id="69" w:name="_DV_M194"/>
      <w:bookmarkStart w:id="70" w:name="_DV_M199"/>
      <w:bookmarkStart w:id="71" w:name="_DV_M203"/>
      <w:bookmarkStart w:id="72" w:name="_DV_M205"/>
      <w:bookmarkStart w:id="73" w:name="_DV_M206"/>
      <w:bookmarkStart w:id="74" w:name="_DV_M207"/>
      <w:bookmarkStart w:id="75" w:name="_DV_M208"/>
      <w:bookmarkStart w:id="76" w:name="_DV_M210"/>
      <w:bookmarkStart w:id="77" w:name="_DV_M211"/>
      <w:bookmarkStart w:id="78" w:name="_DV_M76"/>
      <w:bookmarkStart w:id="79" w:name="_DV_M77"/>
      <w:bookmarkStart w:id="80" w:name="_DV_M78"/>
      <w:bookmarkStart w:id="81" w:name="_DV_M75"/>
      <w:bookmarkStart w:id="82" w:name="_DV_M79"/>
      <w:bookmarkStart w:id="83" w:name="_DV_M80"/>
      <w:bookmarkStart w:id="84" w:name="_DV_M212"/>
      <w:bookmarkStart w:id="85" w:name="_DV_M213"/>
      <w:bookmarkStart w:id="86" w:name="_DV_M214"/>
      <w:bookmarkStart w:id="87" w:name="_DV_M217"/>
      <w:bookmarkStart w:id="88" w:name="_DV_M218"/>
      <w:bookmarkStart w:id="89" w:name="_DV_M219"/>
      <w:bookmarkStart w:id="90" w:name="_DV_M223"/>
      <w:bookmarkStart w:id="91" w:name="_DV_M225"/>
      <w:bookmarkStart w:id="92" w:name="_DV_M23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Arial" w:eastAsia="Arial Unicode MS" w:hAnsi="Arial" w:cs="Arial"/>
          <w:b/>
          <w:bCs/>
          <w:w w:val="0"/>
          <w:sz w:val="22"/>
          <w:szCs w:val="22"/>
        </w:rPr>
        <w:t>DO AGENTE FIDUCIÁRIO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line="340" w:lineRule="exact"/>
        <w:ind w:left="390"/>
        <w:jc w:val="both"/>
        <w:rPr>
          <w:rFonts w:ascii="Arial" w:eastAsia="Arial Unicode MS" w:hAnsi="Arial" w:cs="Arial"/>
          <w:b/>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3" w:name="_DV_M243"/>
      <w:bookmarkEnd w:id="93"/>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aceitar</w:t>
      </w:r>
      <w:proofErr w:type="gramEnd"/>
      <w:r>
        <w:rPr>
          <w:rFonts w:ascii="Arial" w:eastAsia="Arial Unicode MS" w:hAnsi="Arial" w:cs="Arial"/>
          <w:sz w:val="22"/>
          <w:szCs w:val="22"/>
        </w:rPr>
        <w:t xml:space="preserve">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line="340" w:lineRule="exact"/>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bookmarkStart w:id="94" w:name="_DV_C424"/>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w:t>
      </w:r>
      <w:bookmarkStart w:id="95" w:name="_DV_X465"/>
      <w:bookmarkStart w:id="96" w:name="_DV_C425"/>
      <w:bookmarkEnd w:id="94"/>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97" w:name="_DV_C426"/>
      <w:bookmarkEnd w:id="95"/>
      <w:bookmarkEnd w:id="96"/>
      <w:r>
        <w:rPr>
          <w:rFonts w:ascii="Arial" w:eastAsia="Arial Unicode MS" w:hAnsi="Arial" w:cs="Arial"/>
          <w:sz w:val="22"/>
          <w:szCs w:val="22"/>
        </w:rPr>
        <w:t>, vinculativa e eficaz</w:t>
      </w:r>
      <w:bookmarkStart w:id="98" w:name="_DV_X467"/>
      <w:bookmarkStart w:id="99" w:name="_DV_C427"/>
      <w:bookmarkEnd w:id="97"/>
      <w:r>
        <w:rPr>
          <w:rFonts w:ascii="Arial" w:eastAsia="Arial Unicode MS" w:hAnsi="Arial" w:cs="Arial"/>
          <w:sz w:val="22"/>
          <w:szCs w:val="22"/>
        </w:rPr>
        <w:t xml:space="preserve"> do Agente Fiduciário, exequível de acordo com os seus termos e condições;</w:t>
      </w:r>
      <w:bookmarkEnd w:id="98"/>
      <w:bookmarkEnd w:id="99"/>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conhecer</w:t>
      </w:r>
      <w:proofErr w:type="gramEnd"/>
      <w:r>
        <w:rPr>
          <w:rFonts w:ascii="Arial" w:eastAsia="Arial Unicode MS" w:hAnsi="Arial" w:cs="Arial"/>
          <w:sz w:val="22"/>
          <w:szCs w:val="22"/>
        </w:rPr>
        <w:t xml:space="preserve">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11"/>
        </w:numPr>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estar</w:t>
      </w:r>
      <w:proofErr w:type="gramEnd"/>
      <w:r>
        <w:rPr>
          <w:rFonts w:ascii="Arial" w:eastAsia="Arial Unicode MS" w:hAnsi="Arial" w:cs="Arial"/>
          <w:sz w:val="22"/>
          <w:szCs w:val="22"/>
        </w:rPr>
        <w:t xml:space="preserve">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11"/>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autorizado a celebrar os Contratos da Emissão de quais é parte, e a cumprir suas obrigações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ser</w:t>
      </w:r>
      <w:proofErr w:type="gramEnd"/>
      <w:r>
        <w:rPr>
          <w:rFonts w:ascii="Arial" w:hAnsi="Arial" w:cs="Arial"/>
          <w:sz w:val="22"/>
          <w:szCs w:val="22"/>
        </w:rPr>
        <w:t xml:space="preserve">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proofErr w:type="gramStart"/>
      <w:r>
        <w:rPr>
          <w:rFonts w:ascii="Arial" w:hAnsi="Arial" w:cs="Arial"/>
          <w:sz w:val="22"/>
          <w:szCs w:val="22"/>
        </w:rPr>
        <w:lastRenderedPageBreak/>
        <w:t>que</w:t>
      </w:r>
      <w:proofErr w:type="gramEnd"/>
      <w:r>
        <w:rPr>
          <w:rFonts w:ascii="Arial" w:hAnsi="Arial" w:cs="Arial"/>
          <w:sz w:val="22"/>
          <w:szCs w:val="22"/>
        </w:rPr>
        <w:t xml:space="preserv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na data de celebração desta Escritura, conforme organograma encaminhado pela Emissora, presta serviços de agente fiduciário e agente de garantias nas seguintes emissões: </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10" w:type="dxa"/>
        <w:shd w:val="clear" w:color="auto" w:fill="FFFFFF"/>
        <w:tblCellMar>
          <w:left w:w="0" w:type="dxa"/>
          <w:right w:w="0" w:type="dxa"/>
        </w:tblCellMar>
        <w:tblLook w:val="04A0" w:firstRow="1" w:lastRow="0" w:firstColumn="1" w:lastColumn="0" w:noHBand="0" w:noVBand="1"/>
      </w:tblPr>
      <w:tblGrid>
        <w:gridCol w:w="3719"/>
        <w:gridCol w:w="4786"/>
      </w:tblGrid>
      <w:tr>
        <w:tc>
          <w:tcPr>
            <w:tcW w:w="3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Volume Total da Operação: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lastRenderedPageBreak/>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5" w:type="dxa"/>
        <w:tblCellMar>
          <w:left w:w="70" w:type="dxa"/>
          <w:right w:w="70" w:type="dxa"/>
        </w:tblCellMar>
        <w:tblLook w:val="04A0" w:firstRow="1" w:lastRow="0" w:firstColumn="1" w:lastColumn="0" w:noHBand="0" w:noVBand="1"/>
      </w:tblPr>
      <w:tblGrid>
        <w:gridCol w:w="3652"/>
        <w:gridCol w:w="4853"/>
      </w:tblGrid>
      <w:tr>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0"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00"/>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CVM poderá nomear substituto provisório para o Agente Fiduciário </w:t>
      </w:r>
      <w:r>
        <w:rPr>
          <w:rFonts w:ascii="Arial" w:eastAsia="Arial Unicode MS" w:hAnsi="Arial" w:cs="Arial"/>
          <w:w w:val="0"/>
          <w:sz w:val="22"/>
          <w:szCs w:val="22"/>
        </w:rPr>
        <w:lastRenderedPageBreak/>
        <w:t>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hAnsi="Arial" w:cs="Arial"/>
          <w:sz w:val="22"/>
          <w:szCs w:val="22"/>
        </w:rPr>
      </w:pPr>
      <w:proofErr w:type="gramStart"/>
      <w:r>
        <w:rPr>
          <w:rFonts w:ascii="Arial" w:hAnsi="Arial" w:cs="Arial"/>
          <w:sz w:val="22"/>
          <w:szCs w:val="22"/>
        </w:rPr>
        <w:t>exercer</w:t>
      </w:r>
      <w:proofErr w:type="gramEnd"/>
      <w:r>
        <w:rPr>
          <w:rFonts w:ascii="Arial" w:hAnsi="Arial" w:cs="Arial"/>
          <w:sz w:val="22"/>
          <w:szCs w:val="22"/>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sz w:val="22"/>
          <w:szCs w:val="22"/>
        </w:rPr>
        <w:lastRenderedPageBreak/>
        <w:t>renunciar</w:t>
      </w:r>
      <w:proofErr w:type="gramEnd"/>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conservar</w:t>
      </w:r>
      <w:proofErr w:type="gramEnd"/>
      <w:r>
        <w:rPr>
          <w:rFonts w:ascii="Arial" w:eastAsia="Arial Unicode MS" w:hAnsi="Arial" w:cs="Arial"/>
          <w:w w:val="0"/>
          <w:sz w:val="22"/>
          <w:szCs w:val="22"/>
        </w:rPr>
        <w:t xml:space="preserve">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bookmarkStart w:id="101" w:name="_Ref420334695"/>
      <w:proofErr w:type="gramStart"/>
      <w:r>
        <w:rPr>
          <w:rFonts w:ascii="Arial" w:hAnsi="Arial" w:cs="Arial"/>
          <w:sz w:val="22"/>
          <w:szCs w:val="22"/>
        </w:rPr>
        <w:t>diligenciar</w:t>
      </w:r>
      <w:proofErr w:type="gramEnd"/>
      <w:r>
        <w:rPr>
          <w:rFonts w:ascii="Arial" w:hAnsi="Arial" w:cs="Arial"/>
          <w:sz w:val="22"/>
          <w:szCs w:val="22"/>
        </w:rPr>
        <w:t xml:space="preserve">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101"/>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opinar</w:t>
      </w:r>
      <w:proofErr w:type="gramEnd"/>
      <w:r>
        <w:rPr>
          <w:rFonts w:ascii="Arial" w:eastAsia="Arial Unicode MS" w:hAnsi="Arial" w:cs="Arial"/>
          <w:w w:val="0"/>
          <w:sz w:val="22"/>
          <w:szCs w:val="22"/>
        </w:rPr>
        <w:t xml:space="preserve">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a regularidade da constituição das Garantias, bem como o valor dos bens 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examinar</w:t>
      </w:r>
      <w:proofErr w:type="gramEnd"/>
      <w:r>
        <w:rPr>
          <w:rFonts w:ascii="Arial" w:hAnsi="Arial" w:cs="Arial"/>
          <w:sz w:val="22"/>
          <w:szCs w:val="22"/>
        </w:rPr>
        <w:t xml:space="preserve"> proposta de substituição das Garantias, manifestando sua opinião a respeito do assunto de forma justificada;</w:t>
      </w:r>
      <w:r>
        <w:rPr>
          <w:rFonts w:ascii="Arial" w:hAnsi="Arial" w:cs="Arial"/>
          <w:sz w:val="22"/>
          <w:szCs w:val="22"/>
        </w:rPr>
        <w:cr/>
      </w: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intimar</w:t>
      </w:r>
      <w:proofErr w:type="gramEnd"/>
      <w:r>
        <w:rPr>
          <w:rFonts w:ascii="Arial" w:eastAsia="Arial Unicode MS" w:hAnsi="Arial" w:cs="Arial"/>
          <w:w w:val="0"/>
          <w:sz w:val="22"/>
          <w:szCs w:val="22"/>
        </w:rPr>
        <w:t xml:space="preserve"> a Emissora e o Fiador a reforçarem as Garantias, na hipótese de sua deterioração ou depreciação, nos termos desta Escritura e do Contrato de Alienação Fiduciária;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solicitar</w:t>
      </w:r>
      <w:proofErr w:type="gramEnd"/>
      <w:r>
        <w:rPr>
          <w:rFonts w:ascii="Arial" w:eastAsia="Arial Unicode MS" w:hAnsi="Arial" w:cs="Arial"/>
          <w:w w:val="0"/>
          <w:sz w:val="22"/>
          <w:szCs w:val="22"/>
        </w:rPr>
        <w:t>,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solicitar</w:t>
      </w:r>
      <w:proofErr w:type="gramEnd"/>
      <w:r>
        <w:rPr>
          <w:rFonts w:ascii="Arial" w:hAnsi="Arial" w:cs="Arial"/>
          <w:sz w:val="22"/>
          <w:szCs w:val="22"/>
        </w:rPr>
        <w:t xml:space="preserve">, quando considerar </w:t>
      </w:r>
      <w:r>
        <w:rPr>
          <w:rFonts w:ascii="Arial" w:eastAsia="Arial Unicode MS" w:hAnsi="Arial" w:cs="Arial"/>
          <w:w w:val="0"/>
          <w:sz w:val="22"/>
          <w:szCs w:val="22"/>
        </w:rPr>
        <w:t>necessário</w:t>
      </w:r>
      <w:r>
        <w:rPr>
          <w:rFonts w:ascii="Arial" w:hAnsi="Arial" w:cs="Arial"/>
          <w:sz w:val="22"/>
          <w:szCs w:val="22"/>
        </w:rPr>
        <w:t xml:space="preserve">, auditoria externa na Emissora e/ou no </w:t>
      </w:r>
      <w:r>
        <w:rPr>
          <w:rFonts w:ascii="Arial" w:hAnsi="Arial" w:cs="Arial"/>
          <w:sz w:val="22"/>
          <w:szCs w:val="22"/>
        </w:rPr>
        <w:lastRenderedPageBreak/>
        <w:t>Fiador;</w:t>
      </w:r>
    </w:p>
    <w:p>
      <w:pPr>
        <w:widowControl w:val="0"/>
        <w:tabs>
          <w:tab w:val="left" w:pos="567"/>
        </w:tabs>
        <w:spacing w:line="340" w:lineRule="exact"/>
        <w:jc w:val="both"/>
        <w:rPr>
          <w:rFonts w:ascii="Arial" w:hAnsi="Arial" w:cs="Arial"/>
          <w:w w:val="0"/>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comparecer</w:t>
      </w:r>
      <w:proofErr w:type="gramEnd"/>
      <w:r>
        <w:rPr>
          <w:rFonts w:ascii="Arial" w:eastAsia="Arial Unicode MS" w:hAnsi="Arial" w:cs="Arial"/>
          <w:w w:val="0"/>
          <w:sz w:val="22"/>
          <w:szCs w:val="22"/>
        </w:rPr>
        <w:t xml:space="preserve">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os procedimentos adotados pela Emissora e pelo Fiador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elaborar</w:t>
      </w:r>
      <w:proofErr w:type="gramEnd"/>
      <w:r>
        <w:rPr>
          <w:rFonts w:ascii="Arial" w:eastAsia="Arial Unicode MS" w:hAnsi="Arial" w:cs="Arial"/>
          <w:w w:val="0"/>
          <w:sz w:val="22"/>
          <w:szCs w:val="22"/>
        </w:rPr>
        <w:t xml:space="preserve">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pela Emissora e pelo Fiador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alterações</w:t>
      </w:r>
      <w:proofErr w:type="gramEnd"/>
      <w:r>
        <w:rPr>
          <w:rFonts w:ascii="Arial" w:eastAsia="Arial Unicode MS" w:hAnsi="Arial" w:cs="Arial"/>
          <w:sz w:val="22"/>
          <w:szCs w:val="22"/>
        </w:rPr>
        <w:t xml:space="preserve">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comentários</w:t>
      </w:r>
      <w:proofErr w:type="gramEnd"/>
      <w:r>
        <w:rPr>
          <w:rFonts w:ascii="Arial" w:eastAsia="Arial Unicode MS" w:hAnsi="Arial" w:cs="Arial"/>
          <w:sz w:val="22"/>
          <w:szCs w:val="22"/>
        </w:rPr>
        <w:t xml:space="preserve"> sobre indicadores econômicos, financeiros e de estrutura de capital da Emissora e do Fiador relacionados a Cláusulas destinadas a proteger o interesse dos titulares dos valores mobiliários e que estabelecem condições que não devem ser descumpridas pela Emissora e pelo Fiador;</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quantidade</w:t>
      </w:r>
      <w:proofErr w:type="gramEnd"/>
      <w:r>
        <w:rPr>
          <w:rFonts w:ascii="Arial" w:eastAsia="Arial Unicode MS" w:hAnsi="Arial" w:cs="Arial"/>
          <w:sz w:val="22"/>
          <w:szCs w:val="22"/>
        </w:rPr>
        <w:t xml:space="preserv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resgate</w:t>
      </w:r>
      <w:proofErr w:type="gramEnd"/>
      <w:r>
        <w:rPr>
          <w:rFonts w:ascii="Arial" w:eastAsia="Arial Unicode MS" w:hAnsi="Arial" w:cs="Arial"/>
          <w:sz w:val="22"/>
          <w:szCs w:val="22"/>
        </w:rPr>
        <w:t>,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destinação</w:t>
      </w:r>
      <w:proofErr w:type="gramEnd"/>
      <w:r>
        <w:rPr>
          <w:rFonts w:ascii="Arial" w:eastAsia="Arial Unicode MS" w:hAnsi="Arial" w:cs="Arial"/>
          <w:sz w:val="22"/>
          <w:szCs w:val="22"/>
        </w:rPr>
        <w:t xml:space="preserve">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relação</w:t>
      </w:r>
      <w:proofErr w:type="gramEnd"/>
      <w:r>
        <w:rPr>
          <w:rFonts w:ascii="Arial" w:eastAsia="Arial Unicode MS" w:hAnsi="Arial" w:cs="Arial"/>
          <w:sz w:val="22"/>
          <w:szCs w:val="22"/>
        </w:rPr>
        <w:t xml:space="preserve">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de outras obrigações assumidas pela Emissora e pelo Fiador nesta Escritura e no Contrato de Alienação Fiduciária;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declaração</w:t>
      </w:r>
      <w:proofErr w:type="gramEnd"/>
      <w:r>
        <w:rPr>
          <w:rFonts w:ascii="Arial" w:eastAsia="Arial Unicode MS" w:hAnsi="Arial" w:cs="Arial"/>
          <w:sz w:val="22"/>
          <w:szCs w:val="22"/>
        </w:rPr>
        <w:t xml:space="preserve">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colocar</w:t>
      </w:r>
      <w:proofErr w:type="gramEnd"/>
      <w:r>
        <w:rPr>
          <w:rFonts w:ascii="Arial" w:eastAsia="Arial Unicode MS" w:hAnsi="Arial" w:cs="Arial"/>
          <w:sz w:val="22"/>
          <w:szCs w:val="22"/>
        </w:rPr>
        <w:t xml:space="preserve">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publicar</w:t>
      </w:r>
      <w:proofErr w:type="gramEnd"/>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fiscalizar</w:t>
      </w:r>
      <w:proofErr w:type="gramEnd"/>
      <w:r>
        <w:rPr>
          <w:rFonts w:ascii="Arial" w:eastAsia="Arial Unicode MS" w:hAnsi="Arial" w:cs="Arial"/>
          <w:w w:val="0"/>
          <w:sz w:val="22"/>
          <w:szCs w:val="22"/>
        </w:rPr>
        <w:t xml:space="preserve"> o cumprimento das cláusulas constantes nos Contratos da Emissão de quais seja parte,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disponibilizar</w:t>
      </w:r>
      <w:proofErr w:type="gramEnd"/>
      <w:r>
        <w:rPr>
          <w:rFonts w:ascii="Arial" w:eastAsia="Arial Unicode MS" w:hAnsi="Arial" w:cs="Arial"/>
          <w:w w:val="0"/>
          <w:sz w:val="22"/>
          <w:szCs w:val="22"/>
        </w:rPr>
        <w:t xml:space="preserve">, diariamente, o cálculo do Valor Nominal Unitário ou o saldo do Valor Nominal Unitário, conforme o caso, efetuado pela Emissora, aos Debenturistas e aos demais participantes do mercado, por meio de sua central de atendimento e/ou do </w:t>
      </w:r>
      <w:r>
        <w:rPr>
          <w:rFonts w:ascii="Arial" w:eastAsia="Arial Unicode MS" w:hAnsi="Arial" w:cs="Arial"/>
          <w:w w:val="0"/>
          <w:sz w:val="22"/>
          <w:szCs w:val="22"/>
        </w:rPr>
        <w:lastRenderedPageBreak/>
        <w:t>site “www.simplificpavarini.com.br”;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acompanhar</w:t>
      </w:r>
      <w:proofErr w:type="gramEnd"/>
      <w:r>
        <w:rPr>
          <w:rFonts w:ascii="Arial" w:eastAsia="Arial Unicode MS" w:hAnsi="Arial" w:cs="Arial"/>
          <w:w w:val="0"/>
          <w:sz w:val="22"/>
          <w:szCs w:val="22"/>
        </w:rPr>
        <w:t xml:space="preserve">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2"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2"/>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declarar</w:t>
      </w:r>
      <w:proofErr w:type="gramEnd"/>
      <w:r>
        <w:rPr>
          <w:rFonts w:ascii="Arial" w:eastAsia="Arial Unicode MS" w:hAnsi="Arial" w:cs="Arial"/>
          <w:w w:val="0"/>
          <w:sz w:val="22"/>
          <w:szCs w:val="22"/>
        </w:rPr>
        <w:t xml:space="preserve">,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requerer</w:t>
      </w:r>
      <w:proofErr w:type="gramEnd"/>
      <w:r>
        <w:rPr>
          <w:rFonts w:ascii="Arial" w:eastAsia="Arial Unicode MS" w:hAnsi="Arial" w:cs="Arial"/>
          <w:w w:val="0"/>
          <w:sz w:val="22"/>
          <w:szCs w:val="22"/>
        </w:rPr>
        <w:t xml:space="preserve"> a falência da Emissora e/ou do Fiador,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executar</w:t>
      </w:r>
      <w:proofErr w:type="gramEnd"/>
      <w:r>
        <w:rPr>
          <w:rFonts w:ascii="Arial" w:eastAsia="Arial Unicode MS" w:hAnsi="Arial" w:cs="Arial"/>
          <w:w w:val="0"/>
          <w:sz w:val="22"/>
          <w:szCs w:val="22"/>
        </w:rPr>
        <w:t xml:space="preserve">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tomar</w:t>
      </w:r>
      <w:proofErr w:type="gramEnd"/>
      <w:r>
        <w:rPr>
          <w:rFonts w:ascii="Arial" w:eastAsia="Arial Unicode MS" w:hAnsi="Arial" w:cs="Arial"/>
          <w:w w:val="0"/>
          <w:sz w:val="22"/>
          <w:szCs w:val="22"/>
        </w:rPr>
        <w:t xml:space="preserve">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representar</w:t>
      </w:r>
      <w:proofErr w:type="gramEnd"/>
      <w:r>
        <w:rPr>
          <w:rFonts w:ascii="Arial" w:eastAsia="Arial Unicode MS" w:hAnsi="Arial" w:cs="Arial"/>
          <w:w w:val="0"/>
          <w:sz w:val="22"/>
          <w:szCs w:val="22"/>
        </w:rPr>
        <w:t xml:space="preserve"> os Debenturistas, caso deliberado em Assembleia Geral de Debenturistas realizada para este fim, em processo de falência, recuperação judicial e extrajudicial e/ou liquidação extrajudicial e/ou insolvência da Emissora e/ou do Fiador,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3" w:name="_Ref340059128"/>
      <w:r>
        <w:rPr>
          <w:rFonts w:ascii="Arial" w:eastAsia="Arial Unicode MS" w:hAnsi="Arial" w:cs="Arial"/>
          <w:w w:val="0"/>
          <w:sz w:val="22"/>
          <w:szCs w:val="22"/>
        </w:rPr>
        <w:t xml:space="preserve">As parcelas citadas nas Cláusulas 7.6.1 e 7.6.3 acima serão acrescidas dos seguintes impostos: ISS (Imposto Sobre Serviços de Qualquer Natureza), PIS (Contribuição ao Programa de Integração Social), COFINS (Contribuição para o </w:t>
      </w:r>
      <w:r>
        <w:rPr>
          <w:rFonts w:ascii="Arial" w:eastAsia="Arial Unicode MS" w:hAnsi="Arial" w:cs="Arial"/>
          <w:w w:val="0"/>
          <w:sz w:val="22"/>
          <w:szCs w:val="22"/>
        </w:rPr>
        <w:lastRenderedPageBreak/>
        <w:t>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03"/>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4"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4"/>
    </w:p>
    <w:p>
      <w:pPr>
        <w:pStyle w:val="PargrafodaLista"/>
        <w:widowControl w:val="0"/>
        <w:spacing w:line="340" w:lineRule="exact"/>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No caso de inadimplemento da Emissora e/ou do Fiador, todas as despesas com procedimentos legais, inclusive as administrativas, que tenham sido incorridas </w:t>
      </w:r>
      <w:r>
        <w:rPr>
          <w:rFonts w:ascii="Arial" w:hAnsi="Arial" w:cs="Arial"/>
          <w:color w:val="000000"/>
          <w:sz w:val="22"/>
          <w:szCs w:val="22"/>
        </w:rPr>
        <w:lastRenderedPageBreak/>
        <w:t>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5"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5"/>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6" w:name="_DV_M371"/>
      <w:bookmarkEnd w:id="106"/>
    </w:p>
    <w:p>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07" w:name="_DV_M231"/>
      <w:bookmarkStart w:id="108" w:name="_DV_M232"/>
      <w:bookmarkStart w:id="109" w:name="_DV_M240"/>
      <w:bookmarkStart w:id="110" w:name="_DV_M241"/>
      <w:bookmarkStart w:id="111" w:name="_DV_M246"/>
      <w:bookmarkStart w:id="112" w:name="_DV_M247"/>
      <w:bookmarkStart w:id="113" w:name="_DV_M248"/>
      <w:bookmarkStart w:id="114" w:name="_DV_M249"/>
      <w:bookmarkStart w:id="115" w:name="_DV_M250"/>
      <w:bookmarkStart w:id="116" w:name="_DV_M256"/>
      <w:bookmarkStart w:id="117" w:name="_DV_M257"/>
      <w:bookmarkStart w:id="118" w:name="_DV_M263"/>
      <w:bookmarkStart w:id="119" w:name="_DV_M265"/>
      <w:bookmarkStart w:id="120" w:name="_DV_M266"/>
      <w:bookmarkStart w:id="121" w:name="_DV_M267"/>
      <w:bookmarkStart w:id="122" w:name="_DV_M269"/>
      <w:bookmarkStart w:id="123" w:name="_DV_M270"/>
      <w:bookmarkStart w:id="124" w:name="_DV_M272"/>
      <w:bookmarkStart w:id="125" w:name="_DV_M273"/>
      <w:bookmarkStart w:id="126" w:name="_DV_M274"/>
      <w:bookmarkStart w:id="127" w:name="_DV_M275"/>
      <w:bookmarkStart w:id="128" w:name="_DV_M276"/>
      <w:bookmarkStart w:id="129" w:name="_DV_M277"/>
      <w:bookmarkStart w:id="130" w:name="_DV_M278"/>
      <w:bookmarkStart w:id="131" w:name="_DV_M279"/>
      <w:bookmarkStart w:id="132" w:name="_DV_M280"/>
      <w:bookmarkStart w:id="133" w:name="_DV_M281"/>
      <w:bookmarkStart w:id="134" w:name="_DV_M282"/>
      <w:bookmarkStart w:id="135" w:name="_DV_M285"/>
      <w:bookmarkStart w:id="136" w:name="_DV_M286"/>
      <w:bookmarkStart w:id="137" w:name="_DV_M287"/>
      <w:bookmarkStart w:id="138" w:name="_DV_M288"/>
      <w:bookmarkStart w:id="139" w:name="_DV_M289"/>
      <w:bookmarkStart w:id="140" w:name="_DV_M291"/>
      <w:bookmarkStart w:id="141" w:name="_DV_M293"/>
      <w:bookmarkStart w:id="142" w:name="_DV_M295"/>
      <w:bookmarkStart w:id="143" w:name="_DV_M296"/>
      <w:bookmarkStart w:id="144" w:name="_DV_M298"/>
      <w:bookmarkStart w:id="145" w:name="_DV_M300"/>
      <w:bookmarkStart w:id="146" w:name="_DV_M302"/>
      <w:bookmarkStart w:id="147" w:name="_DV_M304"/>
      <w:bookmarkStart w:id="148" w:name="_DV_M306"/>
      <w:bookmarkStart w:id="149" w:name="_DV_M308"/>
      <w:bookmarkStart w:id="150" w:name="_DV_M309"/>
      <w:bookmarkStart w:id="151" w:name="_DV_M310"/>
      <w:bookmarkStart w:id="152" w:name="_DV_M313"/>
      <w:bookmarkStart w:id="153" w:name="_DV_M315"/>
      <w:bookmarkStart w:id="154" w:name="_DV_M317"/>
      <w:bookmarkStart w:id="155" w:name="_DV_M318"/>
      <w:bookmarkStart w:id="156" w:name="_DV_M319"/>
      <w:bookmarkStart w:id="157" w:name="_DV_M320"/>
      <w:bookmarkStart w:id="158" w:name="_DV_M323"/>
      <w:bookmarkStart w:id="159" w:name="_DV_M324"/>
      <w:bookmarkStart w:id="160" w:name="_DV_M325"/>
      <w:bookmarkStart w:id="161" w:name="_DV_M326"/>
      <w:bookmarkStart w:id="162" w:name="_DV_M331"/>
      <w:bookmarkStart w:id="163" w:name="_DV_M338"/>
      <w:bookmarkStart w:id="164" w:name="_DV_M339"/>
      <w:bookmarkStart w:id="165" w:name="_DV_M343"/>
      <w:bookmarkStart w:id="166" w:name="_DV_M345"/>
      <w:bookmarkStart w:id="167" w:name="_DV_M346"/>
      <w:bookmarkStart w:id="168" w:name="_DV_M347"/>
      <w:bookmarkStart w:id="169" w:name="_DV_M348"/>
      <w:bookmarkStart w:id="170" w:name="_DV_M349"/>
      <w:bookmarkStart w:id="171" w:name="_DV_M353"/>
      <w:bookmarkStart w:id="172" w:name="_Ref4019794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Arial" w:hAnsi="Arial" w:cs="Arial"/>
          <w:b/>
          <w:iCs/>
          <w:w w:val="0"/>
          <w:sz w:val="22"/>
          <w:szCs w:val="22"/>
        </w:rPr>
        <w:t>DA ASSEMBLEIA GERAL DE DEBENTURISTAS</w:t>
      </w:r>
      <w:bookmarkEnd w:id="172"/>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3" w:name="_DV_C607"/>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74"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lastRenderedPageBreak/>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5"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6" w:name="_DV_M375"/>
      <w:bookmarkEnd w:id="175"/>
      <w:bookmarkEnd w:id="176"/>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line="340" w:lineRule="exact"/>
        <w:rPr>
          <w:rFonts w:ascii="Arial" w:eastAsia="Arial Unicode MS"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hAnsi="Arial" w:cs="Arial"/>
          <w:sz w:val="22"/>
          <w:szCs w:val="22"/>
        </w:rPr>
      </w:pPr>
      <w:bookmarkStart w:id="177"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7"/>
    </w:p>
    <w:p>
      <w:pPr>
        <w:pStyle w:val="citpet"/>
        <w:shd w:val="clear" w:color="auto" w:fill="FFFFFF"/>
        <w:tabs>
          <w:tab w:val="left" w:pos="0"/>
          <w:tab w:val="left" w:pos="709"/>
        </w:tabs>
        <w:spacing w:line="340" w:lineRule="exact"/>
        <w:ind w:left="0"/>
        <w:rPr>
          <w:rFonts w:ascii="Arial" w:hAnsi="Arial" w:cs="Arial"/>
          <w:sz w:val="22"/>
          <w:szCs w:val="22"/>
        </w:rPr>
      </w:pPr>
      <w:bookmarkStart w:id="178" w:name="_Ref392020841"/>
    </w:p>
    <w:p>
      <w:pPr>
        <w:pStyle w:val="citpet"/>
        <w:numPr>
          <w:ilvl w:val="2"/>
          <w:numId w:val="28"/>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78"/>
    </w:p>
    <w:p>
      <w:pPr>
        <w:pStyle w:val="Level4"/>
        <w:widowControl w:val="0"/>
        <w:numPr>
          <w:ilvl w:val="0"/>
          <w:numId w:val="0"/>
        </w:numPr>
        <w:tabs>
          <w:tab w:val="num" w:pos="2041"/>
        </w:tabs>
        <w:spacing w:after="120" w:line="340" w:lineRule="exact"/>
        <w:ind w:left="1360"/>
        <w:outlineLvl w:val="3"/>
        <w:rPr>
          <w:rFonts w:cs="Arial"/>
          <w:sz w:val="22"/>
          <w:szCs w:val="22"/>
          <w:lang w:val="pt-BR"/>
        </w:rPr>
      </w:pPr>
    </w:p>
    <w:p>
      <w:pPr>
        <w:pStyle w:val="Level4"/>
        <w:widowControl w:val="0"/>
        <w:numPr>
          <w:ilvl w:val="3"/>
          <w:numId w:val="35"/>
        </w:numPr>
        <w:tabs>
          <w:tab w:val="num" w:pos="1361"/>
        </w:tabs>
        <w:spacing w:after="120" w:line="340" w:lineRule="exact"/>
        <w:ind w:left="1360"/>
        <w:outlineLvl w:val="3"/>
        <w:rPr>
          <w:rFonts w:cs="Arial"/>
          <w:sz w:val="22"/>
          <w:szCs w:val="22"/>
          <w:lang w:val="pt-BR"/>
        </w:rPr>
      </w:pPr>
      <w:proofErr w:type="gramStart"/>
      <w:r>
        <w:rPr>
          <w:rFonts w:cs="Arial"/>
          <w:sz w:val="22"/>
          <w:szCs w:val="22"/>
          <w:lang w:val="pt-BR"/>
        </w:rPr>
        <w:t>os</w:t>
      </w:r>
      <w:proofErr w:type="gramEnd"/>
      <w:r>
        <w:rPr>
          <w:rFonts w:cs="Arial"/>
          <w:sz w:val="22"/>
          <w:szCs w:val="22"/>
          <w:lang w:val="pt-BR"/>
        </w:rPr>
        <w:t xml:space="preserve"> quóruns expressamente previstos em outros itens e/ou Cláusulas desta Escritura e/ou do Contratos de Alienação Fiduciária; e </w:t>
      </w:r>
    </w:p>
    <w:p>
      <w:pPr>
        <w:pStyle w:val="Level4"/>
        <w:widowControl w:val="0"/>
        <w:numPr>
          <w:ilvl w:val="3"/>
          <w:numId w:val="35"/>
        </w:numPr>
        <w:tabs>
          <w:tab w:val="num" w:pos="1361"/>
        </w:tabs>
        <w:spacing w:after="120" w:line="340" w:lineRule="exact"/>
        <w:ind w:left="1360"/>
        <w:outlineLvl w:val="3"/>
        <w:rPr>
          <w:rFonts w:cs="Arial"/>
          <w:sz w:val="22"/>
          <w:szCs w:val="22"/>
          <w:lang w:val="pt-BR"/>
        </w:rPr>
      </w:pPr>
      <w:r>
        <w:rPr>
          <w:rFonts w:cs="Arial"/>
          <w:sz w:val="22"/>
          <w:szCs w:val="22"/>
          <w:lang w:val="pt-BR"/>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9" w:name="_Ref459799771"/>
      <w:r>
        <w:rPr>
          <w:rFonts w:cs="Arial"/>
          <w:sz w:val="22"/>
          <w:szCs w:val="22"/>
          <w:lang w:val="pt-BR"/>
        </w:rPr>
        <w:t xml:space="preserve">as Hipóteses de Vencimento Antecipado, (f) quaisquer obrigações ou declarações e garantias da Emissora e do Fiador, (g) quaisquer alterações das Garantias, (h) alterações das condições de liquidação antecipada das Debêntures, </w:t>
      </w:r>
      <w:r>
        <w:rPr>
          <w:rFonts w:cs="Arial"/>
          <w:color w:val="000000" w:themeColor="text1"/>
          <w:sz w:val="22"/>
          <w:szCs w:val="22"/>
          <w:lang w:val="pt-BR"/>
        </w:rPr>
        <w:t>(j) da espécie das Debêntures; (k) da criação de evento de repactuação das Debêntures</w:t>
      </w:r>
      <w:r>
        <w:rPr>
          <w:rFonts w:cs="Arial"/>
          <w:sz w:val="22"/>
          <w:szCs w:val="22"/>
          <w:lang w:val="pt-BR"/>
        </w:rPr>
        <w:t>, que dependerão da aprovação, por Debenturistas que, em primeira ou segunda convocações, representem, no mínimo, 70% (setenta por cento) das Debêntures em Circulação.</w:t>
      </w:r>
      <w:bookmarkEnd w:id="179"/>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 xml:space="preserve">todas as 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w:t>
      </w:r>
      <w:r>
        <w:rPr>
          <w:rFonts w:ascii="Arial" w:hAnsi="Arial" w:cs="Arial"/>
          <w:sz w:val="22"/>
          <w:szCs w:val="22"/>
        </w:rPr>
        <w:lastRenderedPageBreak/>
        <w:t>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80" w:name="_DV_M382"/>
      <w:bookmarkEnd w:id="180"/>
    </w:p>
    <w:p>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81" w:name="_DV_M384"/>
      <w:bookmarkStart w:id="182" w:name="_DV_M387"/>
      <w:bookmarkStart w:id="183" w:name="_DV_M393"/>
      <w:bookmarkEnd w:id="173"/>
      <w:bookmarkEnd w:id="174"/>
      <w:bookmarkEnd w:id="181"/>
      <w:bookmarkEnd w:id="182"/>
      <w:bookmarkEnd w:id="183"/>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84" w:name="_DV_M394"/>
      <w:bookmarkEnd w:id="184"/>
    </w:p>
    <w:p>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é</w:t>
      </w:r>
      <w:proofErr w:type="gram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bookmarkStart w:id="193" w:name="_DV_M222"/>
      <w:bookmarkEnd w:id="193"/>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xml:space="preserve">, bem como a cumprir com suas respectivas obrigações, tendo sido plenamente satisfeitos todos os requisitos legais e estatutários </w:t>
      </w:r>
      <w:r>
        <w:rPr>
          <w:rFonts w:ascii="Arial" w:hAnsi="Arial" w:cs="Arial"/>
          <w:kern w:val="16"/>
          <w:sz w:val="22"/>
          <w:szCs w:val="22"/>
        </w:rPr>
        <w:lastRenderedPageBreak/>
        <w:t>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Style w:val="DeltaViewInsertion"/>
          <w:rFonts w:ascii="Arial" w:hAnsi="Arial" w:cs="Arial"/>
          <w:color w:val="auto"/>
          <w:kern w:val="16"/>
          <w:sz w:val="22"/>
          <w:szCs w:val="22"/>
          <w:u w:val="none"/>
        </w:rPr>
      </w:pPr>
      <w:bookmarkStart w:id="194" w:name="_DV_C1909"/>
      <w:proofErr w:type="gramStart"/>
      <w:r>
        <w:rPr>
          <w:rStyle w:val="DeltaViewInsertion"/>
          <w:rFonts w:ascii="Arial" w:eastAsia="Arial Unicode MS" w:hAnsi="Arial" w:cs="Arial"/>
          <w:color w:val="auto"/>
          <w:sz w:val="22"/>
          <w:szCs w:val="22"/>
          <w:u w:val="none"/>
        </w:rPr>
        <w:t>está</w:t>
      </w:r>
      <w:proofErr w:type="gramEnd"/>
      <w:r>
        <w:rPr>
          <w:rStyle w:val="DeltaViewInsertion"/>
          <w:rFonts w:ascii="Arial" w:eastAsia="Arial Unicode MS" w:hAnsi="Arial" w:cs="Arial"/>
          <w:color w:val="auto"/>
          <w:sz w:val="22"/>
          <w:szCs w:val="22"/>
          <w:u w:val="none"/>
        </w:rPr>
        <w:t xml:space="preserve">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4"/>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tem</w:t>
      </w:r>
      <w:proofErr w:type="gramEnd"/>
      <w:r>
        <w:rPr>
          <w:rFonts w:ascii="Arial" w:hAnsi="Arial" w:cs="Arial"/>
          <w:sz w:val="22"/>
          <w:szCs w:val="22"/>
        </w:rPr>
        <w:t xml:space="preserve">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declarou</w:t>
      </w:r>
      <w:proofErr w:type="gramEnd"/>
      <w:r>
        <w:rPr>
          <w:rFonts w:ascii="Arial" w:hAnsi="Arial" w:cs="Arial"/>
          <w:color w:val="000000"/>
          <w:sz w:val="22"/>
          <w:szCs w:val="22"/>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 xml:space="preserve">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w:t>
      </w:r>
      <w:r>
        <w:rPr>
          <w:rFonts w:ascii="Arial" w:hAnsi="Arial" w:cs="Arial"/>
          <w:sz w:val="22"/>
          <w:szCs w:val="22"/>
        </w:rPr>
        <w:lastRenderedPageBreak/>
        <w:t>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a</w:t>
      </w:r>
      <w:proofErr w:type="gramEnd"/>
      <w:r>
        <w:rPr>
          <w:rFonts w:ascii="Arial" w:hAnsi="Arial" w:cs="Arial"/>
          <w:sz w:val="22"/>
          <w:szCs w:val="22"/>
        </w:rPr>
        <w:t xml:space="preserve">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w:t>
      </w:r>
      <w:r>
        <w:rPr>
          <w:rFonts w:ascii="Arial" w:hAnsi="Arial" w:cs="Arial"/>
          <w:sz w:val="22"/>
          <w:szCs w:val="22"/>
        </w:rPr>
        <w:lastRenderedPageBreak/>
        <w:t>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w:t>
      </w:r>
      <w:r>
        <w:rPr>
          <w:rFonts w:ascii="Arial" w:hAnsi="Arial" w:cs="Arial"/>
          <w:sz w:val="22"/>
          <w:szCs w:val="22"/>
        </w:rPr>
        <w:lastRenderedPageBreak/>
        <w:t>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esta</w:t>
      </w:r>
      <w:proofErr w:type="gramEnd"/>
      <w:r>
        <w:rPr>
          <w:rFonts w:ascii="Arial" w:hAnsi="Arial" w:cs="Arial"/>
          <w:sz w:val="22"/>
          <w:szCs w:val="22"/>
        </w:rPr>
        <w:t xml:space="preserve">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pPr>
        <w:pStyle w:val="PargrafodaLista"/>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5"/>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é</w:t>
      </w:r>
      <w:proofErr w:type="gramEnd"/>
      <w:r>
        <w:rPr>
          <w:rFonts w:ascii="Arial" w:hAnsi="Arial" w:cs="Arial"/>
          <w:color w:val="000000"/>
          <w:w w:val="0"/>
          <w:sz w:val="22"/>
          <w:szCs w:val="22"/>
        </w:rPr>
        <w:t xml:space="preserve">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5"/>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a</w:t>
      </w:r>
      <w:proofErr w:type="gramEnd"/>
      <w:r>
        <w:rPr>
          <w:rFonts w:ascii="Arial" w:hAnsi="Arial" w:cs="Arial"/>
          <w:color w:val="000000"/>
          <w:w w:val="0"/>
          <w:sz w:val="22"/>
          <w:szCs w:val="22"/>
        </w:rPr>
        <w:t xml:space="preserve">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5"/>
        </w:numPr>
        <w:spacing w:line="340" w:lineRule="exact"/>
        <w:ind w:left="0" w:firstLine="0"/>
        <w:jc w:val="both"/>
        <w:rPr>
          <w:rStyle w:val="DeltaViewInsertion"/>
          <w:rFonts w:ascii="Arial" w:hAnsi="Arial" w:cs="Arial"/>
          <w:color w:val="auto"/>
          <w:kern w:val="16"/>
          <w:sz w:val="22"/>
          <w:szCs w:val="22"/>
          <w:u w:val="none"/>
        </w:rPr>
      </w:pPr>
      <w:proofErr w:type="gramStart"/>
      <w:r>
        <w:rPr>
          <w:rStyle w:val="DeltaViewInsertion"/>
          <w:rFonts w:ascii="Arial" w:eastAsia="Arial Unicode MS" w:hAnsi="Arial" w:cs="Arial"/>
          <w:color w:val="auto"/>
          <w:sz w:val="22"/>
          <w:szCs w:val="22"/>
          <w:u w:val="none"/>
        </w:rPr>
        <w:t>têm</w:t>
      </w:r>
      <w:proofErr w:type="gramEnd"/>
      <w:r>
        <w:rPr>
          <w:rStyle w:val="DeltaViewInsertion"/>
          <w:rFonts w:ascii="Arial" w:eastAsia="Arial Unicode MS" w:hAnsi="Arial" w:cs="Arial"/>
          <w:color w:val="auto"/>
          <w:sz w:val="22"/>
          <w:szCs w:val="22"/>
          <w:u w:val="none"/>
        </w:rPr>
        <w:t xml:space="preserve">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está</w:t>
      </w:r>
      <w:proofErr w:type="gramEnd"/>
      <w:r>
        <w:rPr>
          <w:rFonts w:ascii="Arial" w:hAnsi="Arial" w:cs="Arial"/>
          <w:color w:val="000000"/>
          <w:sz w:val="22"/>
          <w:szCs w:val="22"/>
        </w:rPr>
        <w:t xml:space="preserve">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os</w:t>
      </w:r>
      <w:proofErr w:type="gramEnd"/>
      <w:r>
        <w:rPr>
          <w:rFonts w:ascii="Arial" w:hAnsi="Arial" w:cs="Arial"/>
          <w:kern w:val="16"/>
          <w:sz w:val="22"/>
          <w:szCs w:val="22"/>
        </w:rPr>
        <w:t xml:space="preserve"> Contratos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está</w:t>
      </w:r>
      <w:proofErr w:type="gramEnd"/>
      <w:r>
        <w:rPr>
          <w:rFonts w:ascii="Arial" w:hAnsi="Arial" w:cs="Arial"/>
          <w:kern w:val="16"/>
          <w:sz w:val="22"/>
          <w:szCs w:val="22"/>
        </w:rPr>
        <w:t xml:space="preserve">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w:t>
      </w:r>
      <w:r>
        <w:rPr>
          <w:rFonts w:ascii="Arial" w:hAnsi="Arial" w:cs="Arial"/>
          <w:sz w:val="22"/>
          <w:szCs w:val="22"/>
        </w:rPr>
        <w:lastRenderedPageBreak/>
        <w:t>(incluindo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widowControl w:val="0"/>
        <w:spacing w:line="340" w:lineRule="exact"/>
        <w:jc w:val="both"/>
        <w:rPr>
          <w:rFonts w:ascii="Arial" w:hAnsi="Arial" w:cs="Arial"/>
          <w:color w:val="000000"/>
          <w:sz w:val="22"/>
          <w:szCs w:val="22"/>
        </w:rPr>
      </w:pPr>
    </w:p>
    <w:p>
      <w:pPr>
        <w:widowControl w:val="0"/>
        <w:numPr>
          <w:ilvl w:val="0"/>
          <w:numId w:val="25"/>
        </w:numPr>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5"/>
        </w:numPr>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no</w:t>
      </w:r>
      <w:proofErr w:type="gramEnd"/>
      <w:r>
        <w:rPr>
          <w:rFonts w:ascii="Arial" w:hAnsi="Arial" w:cs="Arial"/>
          <w:color w:val="000000"/>
          <w:sz w:val="22"/>
          <w:szCs w:val="22"/>
        </w:rPr>
        <w:t xml:space="preserve">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cumpre</w:t>
      </w:r>
      <w:proofErr w:type="gramEnd"/>
      <w:r>
        <w:rPr>
          <w:rFonts w:ascii="Arial" w:hAnsi="Arial" w:cs="Arial"/>
          <w:kern w:val="16"/>
          <w:sz w:val="22"/>
          <w:szCs w:val="22"/>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sz w:val="22"/>
          <w:szCs w:val="22"/>
        </w:rPr>
        <w:t>não</w:t>
      </w:r>
      <w:proofErr w:type="gramEnd"/>
      <w:r>
        <w:rPr>
          <w:rFonts w:ascii="Arial" w:hAnsi="Arial" w:cs="Arial"/>
          <w:sz w:val="22"/>
          <w:szCs w:val="22"/>
        </w:rPr>
        <w:t xml:space="preserve">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w:t>
      </w:r>
      <w:proofErr w:type="gramStart"/>
      <w:r>
        <w:rPr>
          <w:rFonts w:ascii="Arial" w:hAnsi="Arial" w:cs="Arial"/>
          <w:sz w:val="22"/>
          <w:szCs w:val="22"/>
        </w:rPr>
        <w:t>e</w:t>
      </w:r>
      <w:proofErr w:type="gramEnd"/>
      <w:r>
        <w:rPr>
          <w:rFonts w:ascii="Arial" w:hAnsi="Arial" w:cs="Arial"/>
          <w:sz w:val="22"/>
          <w:szCs w:val="22"/>
        </w:rPr>
        <w:t xml:space="preserve"> 9.2. </w:t>
      </w:r>
      <w:proofErr w:type="gramStart"/>
      <w:r>
        <w:rPr>
          <w:rFonts w:ascii="Arial" w:hAnsi="Arial" w:cs="Arial"/>
          <w:sz w:val="22"/>
          <w:szCs w:val="22"/>
        </w:rPr>
        <w:t>acima</w:t>
      </w:r>
      <w:proofErr w:type="gramEnd"/>
      <w:r>
        <w:rPr>
          <w:rFonts w:ascii="Arial" w:hAnsi="Arial" w:cs="Arial"/>
          <w:sz w:val="22"/>
          <w:szCs w:val="22"/>
        </w:rPr>
        <w:t>.</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proofErr w:type="gramStart"/>
      <w:r>
        <w:rPr>
          <w:b/>
          <w:sz w:val="22"/>
          <w:szCs w:val="22"/>
          <w:lang w:val="pt-BR"/>
        </w:rPr>
        <w:t>9.4</w:t>
      </w:r>
      <w:r>
        <w:rPr>
          <w:sz w:val="22"/>
          <w:szCs w:val="22"/>
          <w:lang w:val="pt-BR"/>
        </w:rPr>
        <w:tab/>
        <w:t>Sem</w:t>
      </w:r>
      <w:proofErr w:type="gramEnd"/>
      <w:r>
        <w:rPr>
          <w:sz w:val="22"/>
          <w:szCs w:val="22"/>
          <w:lang w:val="pt-BR"/>
        </w:rPr>
        <w:t xml:space="preserve">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195" w:name="_DV_M410"/>
      <w:bookmarkEnd w:id="195"/>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6"/>
        </w:numPr>
        <w:autoSpaceDE/>
        <w:autoSpaceDN/>
        <w:adjustRightInd/>
        <w:spacing w:line="340" w:lineRule="exact"/>
        <w:ind w:left="0" w:firstLine="0"/>
        <w:jc w:val="both"/>
        <w:rPr>
          <w:rFonts w:ascii="Arial" w:eastAsia="Arial Unicode MS" w:hAnsi="Arial" w:cs="Arial"/>
          <w:w w:val="0"/>
          <w:sz w:val="22"/>
          <w:szCs w:val="22"/>
        </w:rPr>
      </w:pPr>
      <w:bookmarkStart w:id="196" w:name="_DV_M165"/>
      <w:bookmarkEnd w:id="196"/>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7" w:name="_DV_M166"/>
      <w:bookmarkEnd w:id="197"/>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highlight w:val="yellow"/>
        </w:rPr>
      </w:pPr>
      <w:bookmarkStart w:id="198" w:name="_DV_M167"/>
      <w:bookmarkStart w:id="199" w:name="_DV_M168"/>
      <w:bookmarkStart w:id="200" w:name="_DV_M170"/>
      <w:bookmarkStart w:id="201" w:name="_DV_M171"/>
      <w:bookmarkStart w:id="202" w:name="_DV_M172"/>
      <w:bookmarkStart w:id="203" w:name="_DV_M173"/>
      <w:bookmarkEnd w:id="198"/>
      <w:bookmarkEnd w:id="199"/>
      <w:bookmarkEnd w:id="200"/>
      <w:bookmarkEnd w:id="201"/>
      <w:bookmarkEnd w:id="202"/>
      <w:bookmarkEnd w:id="203"/>
      <w:r>
        <w:rPr>
          <w:rFonts w:ascii="Arial" w:hAnsi="Arial" w:cs="Arial"/>
          <w:b/>
          <w:smallCaps/>
          <w:color w:val="000000"/>
          <w:sz w:val="22"/>
          <w:szCs w:val="22"/>
          <w:highlight w:val="yellow"/>
        </w:rPr>
        <w:t>LM Transportes Interestaduais Serviços e Comércio</w:t>
      </w:r>
      <w:r>
        <w:rPr>
          <w:rFonts w:ascii="Arial" w:hAnsi="Arial" w:cs="Arial"/>
          <w:b/>
          <w:sz w:val="22"/>
          <w:szCs w:val="22"/>
          <w:highlight w:val="yellow"/>
        </w:rPr>
        <w:t xml:space="preserve"> S.A.</w:t>
      </w:r>
    </w:p>
    <w:p>
      <w:pPr>
        <w:widowControl w:val="0"/>
        <w:spacing w:line="340" w:lineRule="exact"/>
        <w:rPr>
          <w:rFonts w:ascii="Arial" w:eastAsia="Arial Unicode MS" w:hAnsi="Arial" w:cs="Arial"/>
          <w:w w:val="0"/>
          <w:sz w:val="22"/>
          <w:szCs w:val="22"/>
          <w:highlight w:val="yellow"/>
        </w:rPr>
      </w:pPr>
      <w:bookmarkStart w:id="204" w:name="_DV_C551"/>
      <w:r>
        <w:rPr>
          <w:rFonts w:ascii="Arial" w:eastAsia="Arial Unicode MS" w:hAnsi="Arial" w:cs="Arial"/>
          <w:w w:val="0"/>
          <w:sz w:val="22"/>
          <w:szCs w:val="22"/>
          <w:highlight w:val="yellow"/>
        </w:rPr>
        <w:t>Rua da Alfazema, nº 761</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Katia Nozela e Reveca Cardonski</w:t>
      </w:r>
    </w:p>
    <w:p>
      <w:pPr>
        <w:widowControl w:val="0"/>
        <w:spacing w:line="340" w:lineRule="exact"/>
        <w:rPr>
          <w:rFonts w:ascii="Arial" w:eastAsia="Arial Unicode MS" w:hAnsi="Arial" w:cs="Arial"/>
          <w:w w:val="0"/>
          <w:sz w:val="22"/>
          <w:szCs w:val="22"/>
        </w:rPr>
      </w:pPr>
      <w:bookmarkStart w:id="205" w:name="_DV_M468"/>
      <w:bookmarkEnd w:id="205"/>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bookmarkStart w:id="206" w:name="_DV_M469"/>
      <w:bookmarkEnd w:id="206"/>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bookmarkStart w:id="207" w:name="_DV_M470"/>
      <w:bookmarkStart w:id="208" w:name="_DV_M471"/>
      <w:bookmarkEnd w:id="207"/>
      <w:bookmarkEnd w:id="208"/>
      <w:r>
        <w:rPr>
          <w:rFonts w:ascii="Arial" w:eastAsia="Arial Unicode MS" w:hAnsi="Arial" w:cs="Arial"/>
          <w:w w:val="0"/>
          <w:sz w:val="22"/>
          <w:szCs w:val="22"/>
          <w:highlight w:val="yellow"/>
        </w:rPr>
        <w:t xml:space="preserve">E-mail: </w:t>
      </w:r>
      <w:bookmarkEnd w:id="204"/>
      <w:r>
        <w:rPr>
          <w:rFonts w:ascii="Arial" w:eastAsia="Arial Unicode MS" w:hAnsi="Arial" w:cs="Arial"/>
          <w:w w:val="0"/>
          <w:sz w:val="22"/>
          <w:szCs w:val="22"/>
          <w:highlight w:val="yellow"/>
        </w:rPr>
        <w:t xml:space="preserve">cliveraldo.bastos@grupolm.com.br; </w:t>
      </w:r>
      <w:r>
        <w:rPr>
          <w:rStyle w:val="Hyperlink"/>
          <w:rFonts w:ascii="Arial" w:eastAsia="Arial Unicode MS" w:hAnsi="Arial" w:cs="Arial"/>
          <w:color w:val="auto"/>
          <w:w w:val="0"/>
          <w:sz w:val="22"/>
          <w:szCs w:val="22"/>
          <w:highlight w:val="yellow"/>
          <w:u w:val="none"/>
        </w:rPr>
        <w:t>financeiro@grupolm.com.br</w:t>
      </w:r>
      <w:r>
        <w:rPr>
          <w:rFonts w:ascii="Arial" w:eastAsia="Arial Unicode MS" w:hAnsi="Arial" w:cs="Arial"/>
          <w:w w:val="0"/>
          <w:sz w:val="22"/>
          <w:szCs w:val="22"/>
          <w:highlight w:val="yellow"/>
        </w:rPr>
        <w:t xml:space="preserve">; </w:t>
      </w:r>
      <w:r>
        <w:rPr>
          <w:rFonts w:ascii="Arial" w:eastAsia="Arial Unicode MS" w:hAnsi="Arial" w:cs="Arial"/>
          <w:sz w:val="22"/>
          <w:szCs w:val="22"/>
          <w:highlight w:val="yellow"/>
        </w:rPr>
        <w:t>marcio.targa@grupolm.com.br</w:t>
      </w:r>
      <w:r>
        <w:rPr>
          <w:rFonts w:ascii="Arial" w:eastAsia="Arial Unicode MS" w:hAnsi="Arial" w:cs="Arial"/>
          <w:w w:val="0"/>
          <w:sz w:val="22"/>
          <w:szCs w:val="22"/>
          <w:highlight w:val="yellow"/>
        </w:rPr>
        <w:t xml:space="preserve">; </w:t>
      </w:r>
      <w:hyperlink r:id="rId14" w:tgtFrame="_blank" w:history="1">
        <w:r>
          <w:rPr>
            <w:rFonts w:ascii="Arial" w:eastAsia="Arial Unicode MS" w:hAnsi="Arial" w:cs="Arial"/>
            <w:w w:val="0"/>
            <w:sz w:val="22"/>
            <w:szCs w:val="22"/>
            <w:highlight w:val="yellow"/>
          </w:rPr>
          <w:t>katia.nozela@grupolm.com.br</w:t>
        </w:r>
      </w:hyperlink>
      <w:r>
        <w:rPr>
          <w:rFonts w:ascii="Arial" w:eastAsia="Arial Unicode MS" w:hAnsi="Arial" w:cs="Arial"/>
          <w:w w:val="0"/>
          <w:sz w:val="22"/>
          <w:szCs w:val="22"/>
          <w:highlight w:val="yellow"/>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9" w:name="_DV_M174"/>
      <w:bookmarkEnd w:id="209"/>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20050-005, Rio de Janeiro/RJ</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highlight w:val="yellow"/>
        </w:rPr>
      </w:pPr>
      <w:r>
        <w:rPr>
          <w:rFonts w:ascii="Arial" w:hAnsi="Arial" w:cs="Arial"/>
          <w:b/>
          <w:smallCaps/>
          <w:sz w:val="22"/>
          <w:szCs w:val="22"/>
          <w:highlight w:val="yellow"/>
        </w:rPr>
        <w:t>LM Transportes e Serviços e Comércio Ltda.</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Rua da Alfazema, nº 761</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r>
        <w:rPr>
          <w:rStyle w:val="Hyperlink"/>
          <w:rFonts w:ascii="Arial" w:eastAsia="Arial Unicode MS" w:hAnsi="Arial" w:cs="Arial"/>
          <w:color w:val="auto"/>
          <w:w w:val="0"/>
          <w:sz w:val="22"/>
          <w:szCs w:val="22"/>
          <w:u w:val="none"/>
        </w:rPr>
        <w:t>cliveraldo.bastos@grupolm.com.br; financeiro@grupolm.com.br</w:t>
      </w:r>
      <w:r>
        <w:rPr>
          <w:rFonts w:ascii="Arial" w:eastAsia="Arial Unicode MS" w:hAnsi="Arial" w:cs="Arial"/>
          <w:w w:val="0"/>
          <w:sz w:val="22"/>
          <w:szCs w:val="22"/>
        </w:rPr>
        <w:t xml:space="preserve">; </w:t>
      </w:r>
      <w:hyperlink r:id="rId15" w:history="1">
        <w:r>
          <w:rPr>
            <w:rStyle w:val="Hyperlink"/>
            <w:rFonts w:ascii="Arial" w:eastAsia="Arial Unicode MS" w:hAnsi="Arial" w:cs="Arial"/>
            <w:color w:val="auto"/>
            <w:w w:val="0"/>
            <w:sz w:val="22"/>
            <w:szCs w:val="22"/>
            <w:u w:val="none"/>
          </w:rPr>
          <w:t>marcio.targa@grupolm.com.br</w:t>
        </w:r>
      </w:hyperlink>
      <w:r>
        <w:rPr>
          <w:rFonts w:ascii="Arial" w:eastAsia="Arial Unicode MS" w:hAnsi="Arial" w:cs="Arial"/>
          <w:w w:val="0"/>
          <w:sz w:val="22"/>
          <w:szCs w:val="22"/>
        </w:rPr>
        <w:t xml:space="preserve">; </w:t>
      </w:r>
      <w:hyperlink r:id="rId16"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20" w:lineRule="exact"/>
        <w:rPr>
          <w:bCs/>
          <w:sz w:val="22"/>
        </w:rPr>
      </w:pPr>
      <w:r>
        <w:rPr>
          <w:bCs/>
          <w:sz w:val="22"/>
        </w:rPr>
        <w:lastRenderedPageBreak/>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proofErr w:type="gramStart"/>
      <w:r>
        <w:rPr>
          <w:bCs/>
          <w:sz w:val="22"/>
        </w:rPr>
        <w:t>At.:</w:t>
      </w:r>
      <w:proofErr w:type="gramEnd"/>
      <w:r>
        <w:rPr>
          <w:bCs/>
          <w:sz w:val="22"/>
        </w:rPr>
        <w:t xml:space="preserve">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17" w:history="1">
        <w:r>
          <w:rPr>
            <w:rStyle w:val="Hyperlink"/>
            <w:rFonts w:ascii="Arial" w:hAnsi="Arial" w:cs="Arial"/>
            <w:color w:val="auto"/>
            <w:sz w:val="22"/>
            <w:szCs w:val="22"/>
            <w:u w:val="none"/>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10" w:name="_DV_M182"/>
      <w:bookmarkEnd w:id="210"/>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11" w:name="_DV_M183"/>
      <w:bookmarkEnd w:id="211"/>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12" w:name="_DV_M412"/>
      <w:bookmarkEnd w:id="212"/>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 xml:space="preserve">Todos e quaisquer custos incorridos em razão do registro desta Escritura, do Contrato de Alienação Fiduciária e seus eventuais aditamentos, e dos atos societários relacionados a esta Emissão, nos registros competentes, serão de responsabilidade </w:t>
      </w:r>
      <w:r>
        <w:rPr>
          <w:rFonts w:ascii="Arial" w:hAnsi="Arial" w:cs="Arial"/>
          <w:color w:val="000000"/>
          <w:w w:val="0"/>
          <w:sz w:val="22"/>
          <w:szCs w:val="22"/>
        </w:rPr>
        <w:lastRenderedPageBreak/>
        <w:t>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tabs>
          <w:tab w:val="left" w:pos="851"/>
        </w:tabs>
        <w:spacing w:line="340" w:lineRule="exact"/>
        <w:jc w:val="both"/>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213" w:name="_DV_M413"/>
      <w:bookmarkEnd w:id="213"/>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14" w:name="_DV_M414"/>
      <w:bookmarkEnd w:id="214"/>
      <w:r>
        <w:rPr>
          <w:rFonts w:ascii="Arial" w:hAnsi="Arial" w:cs="Arial"/>
          <w:sz w:val="22"/>
          <w:szCs w:val="22"/>
        </w:rPr>
        <w:t>Fica</w:t>
      </w:r>
      <w:r>
        <w:rPr>
          <w:rFonts w:ascii="Arial" w:eastAsia="Arial Unicode MS" w:hAnsi="Arial" w:cs="Arial"/>
          <w:w w:val="0"/>
          <w:sz w:val="22"/>
          <w:szCs w:val="22"/>
        </w:rPr>
        <w:t xml:space="preserve"> eleito o </w:t>
      </w:r>
      <w:bookmarkStart w:id="215" w:name="_DV_C683"/>
      <w:r>
        <w:rPr>
          <w:rFonts w:ascii="Arial" w:eastAsia="Arial Unicode MS" w:hAnsi="Arial" w:cs="Arial"/>
          <w:w w:val="0"/>
          <w:sz w:val="22"/>
          <w:szCs w:val="22"/>
        </w:rPr>
        <w:t>foro da Comarca da Cidade</w:t>
      </w:r>
      <w:bookmarkStart w:id="216" w:name="_DV_M415"/>
      <w:bookmarkEnd w:id="215"/>
      <w:bookmarkEnd w:id="216"/>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widowControl w:val="0"/>
        <w:tabs>
          <w:tab w:val="left" w:pos="851"/>
        </w:tabs>
        <w:autoSpaceDE/>
        <w:autoSpaceDN/>
        <w:adjustRightInd/>
        <w:spacing w:line="340" w:lineRule="exact"/>
        <w:jc w:val="both"/>
        <w:rPr>
          <w:rFonts w:ascii="Arial" w:eastAsia="Arial Unicode MS" w:hAnsi="Arial" w:cs="Arial"/>
          <w:w w:val="0"/>
          <w:sz w:val="22"/>
          <w:szCs w:val="22"/>
        </w:rPr>
      </w:pPr>
    </w:p>
    <w:p>
      <w:pPr>
        <w:widowControl w:val="0"/>
        <w:spacing w:line="340" w:lineRule="exact"/>
        <w:jc w:val="center"/>
        <w:rPr>
          <w:rFonts w:ascii="Arial" w:eastAsia="Arial Unicode MS" w:hAnsi="Arial" w:cs="Arial"/>
          <w:w w:val="0"/>
          <w:sz w:val="22"/>
          <w:szCs w:val="22"/>
        </w:rPr>
      </w:pPr>
      <w:r>
        <w:rPr>
          <w:rFonts w:ascii="Arial" w:eastAsia="Arial Unicode MS" w:hAnsi="Arial" w:cs="Arial"/>
          <w:w w:val="0"/>
          <w:sz w:val="22"/>
          <w:szCs w:val="22"/>
        </w:rPr>
        <w:t>**********</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- 40989238v8 - 12070002.478368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2673F3C"/>
    <w:multiLevelType w:val="multilevel"/>
    <w:tmpl w:val="4EFA66EA"/>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Arial" w:hAnsi="Arial" w:cs="Arial" w:hint="default"/>
        <w:b/>
        <w:i w:val="0"/>
        <w:sz w:val="22"/>
        <w:szCs w:val="22"/>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9"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0A76776"/>
    <w:multiLevelType w:val="hybridMultilevel"/>
    <w:tmpl w:val="AA30A428"/>
    <w:lvl w:ilvl="0" w:tplc="6E3A0EF0">
      <w:start w:val="1"/>
      <w:numFmt w:val="lowerLetter"/>
      <w:lvlText w:val="%1."/>
      <w:lvlJc w:val="left"/>
      <w:pPr>
        <w:ind w:left="144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2" w15:restartNumberingAfterBreak="0">
    <w:nsid w:val="25C353A1"/>
    <w:multiLevelType w:val="hybridMultilevel"/>
    <w:tmpl w:val="73BC6D9C"/>
    <w:lvl w:ilvl="0" w:tplc="869C84C4">
      <w:start w:val="1"/>
      <w:numFmt w:val="lowerRoman"/>
      <w:lvlText w:val="(%1)"/>
      <w:lvlJc w:val="left"/>
      <w:pPr>
        <w:ind w:left="862" w:hanging="720"/>
      </w:pPr>
      <w:rPr>
        <w:rFonts w:ascii="Arial" w:hAnsi="Arial" w:cs="Arial" w:hint="default"/>
        <w:sz w:val="22"/>
        <w:szCs w:val="22"/>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3"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9"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22"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3"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30"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32" w15:restartNumberingAfterBreak="0">
    <w:nsid w:val="651C1D48"/>
    <w:multiLevelType w:val="hybridMultilevel"/>
    <w:tmpl w:val="85126CE0"/>
    <w:lvl w:ilvl="0" w:tplc="4320A3CE">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6FF729B9"/>
    <w:multiLevelType w:val="hybridMultilevel"/>
    <w:tmpl w:val="13E69FFC"/>
    <w:lvl w:ilvl="0" w:tplc="2FF092D8">
      <w:start w:val="1"/>
      <w:numFmt w:val="lowerRoman"/>
      <w:lvlText w:val="(%1)"/>
      <w:lvlJc w:val="left"/>
      <w:pPr>
        <w:ind w:left="1440" w:hanging="720"/>
      </w:pPr>
      <w:rPr>
        <w:rFonts w:ascii="Arial" w:hAnsi="Arial" w:cs="Arial" w:hint="default"/>
        <w:sz w:val="22"/>
        <w:szCs w:val="22"/>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8"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CC02F4"/>
    <w:multiLevelType w:val="hybridMultilevel"/>
    <w:tmpl w:val="64EE9AEC"/>
    <w:lvl w:ilvl="0" w:tplc="EF88B6CC">
      <w:start w:val="1"/>
      <w:numFmt w:val="lowerLetter"/>
      <w:lvlText w:val="(%1)"/>
      <w:lvlJc w:val="left"/>
      <w:pPr>
        <w:ind w:left="1637" w:hanging="360"/>
      </w:pPr>
      <w:rPr>
        <w:rFonts w:ascii="Arial" w:hAnsi="Arial" w:cs="Arial" w:hint="default"/>
        <w:b w:val="0"/>
        <w:i w:val="0"/>
        <w:caps w:val="0"/>
        <w:color w:val="000000"/>
        <w:sz w:val="22"/>
        <w:szCs w:val="22"/>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27"/>
  </w:num>
  <w:num w:numId="2">
    <w:abstractNumId w:val="34"/>
  </w:num>
  <w:num w:numId="3">
    <w:abstractNumId w:val="32"/>
  </w:num>
  <w:num w:numId="4">
    <w:abstractNumId w:val="7"/>
  </w:num>
  <w:num w:numId="5">
    <w:abstractNumId w:val="24"/>
  </w:num>
  <w:num w:numId="6">
    <w:abstractNumId w:val="20"/>
  </w:num>
  <w:num w:numId="7">
    <w:abstractNumId w:val="3"/>
  </w:num>
  <w:num w:numId="8">
    <w:abstractNumId w:val="8"/>
  </w:num>
  <w:num w:numId="9">
    <w:abstractNumId w:val="36"/>
  </w:num>
  <w:num w:numId="10">
    <w:abstractNumId w:val="19"/>
  </w:num>
  <w:num w:numId="11">
    <w:abstractNumId w:val="12"/>
  </w:num>
  <w:num w:numId="12">
    <w:abstractNumId w:val="2"/>
  </w:num>
  <w:num w:numId="13">
    <w:abstractNumId w:val="18"/>
  </w:num>
  <w:num w:numId="14">
    <w:abstractNumId w:val="40"/>
  </w:num>
  <w:num w:numId="15">
    <w:abstractNumId w:val="21"/>
  </w:num>
  <w:num w:numId="16">
    <w:abstractNumId w:val="16"/>
  </w:num>
  <w:num w:numId="17">
    <w:abstractNumId w:val="35"/>
  </w:num>
  <w:num w:numId="18">
    <w:abstractNumId w:val="14"/>
  </w:num>
  <w:num w:numId="19">
    <w:abstractNumId w:val="38"/>
  </w:num>
  <w:num w:numId="20">
    <w:abstractNumId w:val="39"/>
  </w:num>
  <w:num w:numId="21">
    <w:abstractNumId w:val="1"/>
  </w:num>
  <w:num w:numId="22">
    <w:abstractNumId w:val="33"/>
  </w:num>
  <w:num w:numId="23">
    <w:abstractNumId w:val="15"/>
  </w:num>
  <w:num w:numId="24">
    <w:abstractNumId w:val="6"/>
  </w:num>
  <w:num w:numId="25">
    <w:abstractNumId w:val="22"/>
  </w:num>
  <w:num w:numId="26">
    <w:abstractNumId w:val="26"/>
  </w:num>
  <w:num w:numId="27">
    <w:abstractNumId w:val="9"/>
  </w:num>
  <w:num w:numId="28">
    <w:abstractNumId w:val="31"/>
  </w:num>
  <w:num w:numId="29">
    <w:abstractNumId w:val="23"/>
  </w:num>
  <w:num w:numId="30">
    <w:abstractNumId w:val="5"/>
  </w:num>
  <w:num w:numId="31">
    <w:abstractNumId w:val="13"/>
  </w:num>
  <w:num w:numId="32">
    <w:abstractNumId w:val="29"/>
  </w:num>
  <w:num w:numId="33">
    <w:abstractNumId w:val="11"/>
  </w:num>
  <w:num w:numId="34">
    <w:abstractNumId w:val="25"/>
  </w:num>
  <w:num w:numId="35">
    <w:abstractNumId w:val="0"/>
  </w:num>
  <w:num w:numId="36">
    <w:abstractNumId w:val="37"/>
  </w:num>
  <w:num w:numId="37">
    <w:abstractNumId w:val="4"/>
  </w:num>
  <w:num w:numId="38">
    <w:abstractNumId w:val="17"/>
  </w:num>
  <w:num w:numId="39">
    <w:abstractNumId w:val="28"/>
  </w:num>
  <w:num w:numId="40">
    <w:abstractNumId w:val="34"/>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9B371FA-EDBA-4C13-A903-277FA181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autoSpaceDE/>
      <w:autoSpaceDN/>
      <w:adjustRightInd/>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autoSpaceDE/>
      <w:autoSpaceDN/>
      <w:adjustRightInd/>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bCs/>
      <w:sz w:val="20"/>
      <w:szCs w:val="20"/>
    </w:rPr>
  </w:style>
  <w:style w:type="paragraph" w:styleId="Ttulo9">
    <w:name w:val="heading 9"/>
    <w:basedOn w:val="Normal"/>
    <w:next w:val="Normal"/>
    <w:link w:val="Ttulo9Char"/>
    <w:qFormat/>
    <w:pPr>
      <w:autoSpaceDE/>
      <w:autoSpaceDN/>
      <w:adjustRightInd/>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link w:val="Recuodecorpodetexto"/>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cs="Times New Roman"/>
      <w:kern w:val="20"/>
      <w:sz w:val="20"/>
      <w:szCs w:val="28"/>
      <w:lang w:val="en-GB"/>
    </w:r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lang w:eastAsia="pt-BR"/>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NormalWeb">
    <w:name w:val="Normal (Web)"/>
    <w:basedOn w:val="Normal"/>
    <w:uiPriority w:val="99"/>
    <w:pPr>
      <w:spacing w:before="100" w:beforeAutospacing="1" w:after="100" w:afterAutospacing="1"/>
    </w:pPr>
  </w:style>
  <w:style w:type="paragraph" w:styleId="Commarcadores">
    <w:name w:val="List Bullet"/>
    <w:basedOn w:val="Normal"/>
    <w:pPr>
      <w:tabs>
        <w:tab w:val="num" w:pos="360"/>
      </w:tabs>
      <w:autoSpaceDE/>
      <w:autoSpaceDN/>
      <w:adjustRightInd/>
      <w:ind w:left="360" w:hanging="360"/>
    </w:pPr>
  </w:style>
  <w:style w:type="character" w:customStyle="1" w:styleId="Char1">
    <w:name w:val="Char1"/>
    <w:rPr>
      <w:sz w:val="24"/>
      <w:szCs w:val="24"/>
      <w:lang w:val="pt-BR" w:eastAsia="pt-BR"/>
    </w:rPr>
  </w:style>
  <w:style w:type="paragraph" w:customStyle="1" w:styleId="BodyText22">
    <w:name w:val="Body Text 22"/>
    <w:basedOn w:val="Normal"/>
    <w:pPr>
      <w:autoSpaceDE/>
      <w:autoSpaceDN/>
      <w:adjustRightInd/>
      <w:jc w:val="both"/>
    </w:pPr>
    <w:rPr>
      <w:lang w:val="en-AU"/>
    </w:rPr>
  </w:style>
  <w:style w:type="paragraph" w:styleId="Corpodetexto">
    <w:name w:val="Body Text"/>
    <w:aliases w:val="b"/>
    <w:basedOn w:val="Normal"/>
    <w:link w:val="CorpodetextoChar"/>
    <w:pPr>
      <w:autoSpaceDE/>
      <w:autoSpaceDN/>
      <w:adjustRightInd/>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Corpodetexto3">
    <w:name w:val="Body Text 3"/>
    <w:basedOn w:val="Normal"/>
    <w:link w:val="Corpodetexto3Char"/>
    <w:pPr>
      <w:autoSpaceDE/>
      <w:autoSpaceDN/>
      <w:adjustRightInd/>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autoSpaceDE/>
      <w:autoSpaceDN/>
      <w:adjustRightInd/>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eastAsia="pt-BR"/>
    </w:rPr>
  </w:style>
  <w:style w:type="character" w:customStyle="1" w:styleId="subChar">
    <w:name w:val="sub Char"/>
    <w:link w:val="sub"/>
    <w:rPr>
      <w:rFonts w:ascii="Swiss" w:eastAsia="Times New Roman" w:hAnsi="Swiss" w:cs="Swiss"/>
      <w:lang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pPr>
      <w:autoSpaceDE/>
      <w:autoSpaceDN/>
      <w:adjustRightInd/>
    </w:pP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pPr>
      <w:widowControl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eastAsia="pt-BR"/>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autoSpaceDE/>
      <w:autoSpaceDN/>
      <w:adjustRightInd/>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eastAsia="pt-BR"/>
    </w:rPr>
  </w:style>
  <w:style w:type="paragraph" w:styleId="Ttulo">
    <w:name w:val="Title"/>
    <w:basedOn w:val="Normal"/>
    <w:link w:val="TtuloChar"/>
    <w:qFormat/>
    <w:pPr>
      <w:autoSpaceDE/>
      <w:autoSpaceDN/>
      <w:adjustRightInd/>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7"/>
      </w:numPr>
    </w:pPr>
  </w:style>
  <w:style w:type="paragraph" w:customStyle="1" w:styleId="TextoProspecto">
    <w:name w:val="Texto Prospecto"/>
    <w:basedOn w:val="Normal"/>
    <w:autoRedefine/>
    <w:pPr>
      <w:tabs>
        <w:tab w:val="left" w:pos="-1430"/>
        <w:tab w:val="left" w:pos="780"/>
      </w:tabs>
      <w:autoSpaceDE/>
      <w:autoSpaceDN/>
      <w:adjustRightInd/>
      <w:spacing w:after="120"/>
      <w:jc w:val="both"/>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autoSpaceDE/>
      <w:autoSpaceDN/>
      <w:adjustRightInd/>
      <w:jc w:val="both"/>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autoSpaceDE/>
      <w:autoSpaceDN/>
      <w:adjustRightInd/>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autoSpaceDE/>
      <w:autoSpaceDN/>
      <w:adjustRightInd/>
      <w:spacing w:after="160" w:line="240" w:lineRule="exact"/>
    </w:pPr>
    <w:rPr>
      <w:rFonts w:ascii="Verdana" w:hAnsi="Verdana" w:cs="Verdana"/>
      <w:sz w:val="20"/>
      <w:szCs w:val="20"/>
      <w:lang w:val="en-US" w:eastAsia="en-US"/>
    </w:rPr>
  </w:style>
  <w:style w:type="paragraph" w:styleId="Lista">
    <w:name w:val="List"/>
    <w:basedOn w:val="Normal"/>
    <w:pPr>
      <w:autoSpaceDE/>
      <w:autoSpaceDN/>
      <w:adjustRightInd/>
      <w:ind w:left="283" w:hanging="283"/>
    </w:pPr>
  </w:style>
  <w:style w:type="paragraph" w:customStyle="1" w:styleId="Body1">
    <w:name w:val="Body 1"/>
    <w:basedOn w:val="Normal"/>
    <w:pPr>
      <w:autoSpaceDE/>
      <w:autoSpaceDN/>
      <w:adjustRightInd/>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pPr>
      <w:autoSpaceDE/>
      <w:autoSpaceDN/>
      <w:adjustRightInd/>
    </w:pP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autoSpaceDE/>
      <w:autoSpaceDN/>
      <w:adjustRightInd/>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spacing w:before="240"/>
      <w:ind w:left="720" w:firstLine="720"/>
    </w:pPr>
    <w:rPr>
      <w:lang w:val="en-US" w:eastAsia="en-US"/>
    </w:rPr>
  </w:style>
  <w:style w:type="paragraph" w:customStyle="1" w:styleId="Para0">
    <w:name w:val="Para"/>
    <w:basedOn w:val="Normal"/>
    <w:pPr>
      <w:widowControl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autoSpaceDE/>
      <w:autoSpaceDN/>
      <w:adjustRightInd/>
      <w:ind w:left="720"/>
    </w:pPr>
    <w:rPr>
      <w:rFonts w:ascii="Calibri" w:hAnsi="Calibri" w:cs="Calibri"/>
      <w:sz w:val="22"/>
      <w:szCs w:val="22"/>
    </w:rPr>
  </w:style>
  <w:style w:type="paragraph" w:customStyle="1" w:styleId="CcList">
    <w:name w:val="Cc List"/>
    <w:basedOn w:val="Normal"/>
    <w:pPr>
      <w:keepLines/>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pPr>
      <w:autoSpaceDE/>
      <w:autoSpaceDN/>
      <w:adjustRightInd/>
    </w:pPr>
    <w:rPr>
      <w:rFonts w:ascii="Consolas" w:hAnsi="Consolas" w:cs="Consolas"/>
      <w:sz w:val="21"/>
      <w:szCs w:val="21"/>
      <w:lang w:eastAsia="en-US"/>
    </w:rPr>
  </w:style>
  <w:style w:type="character" w:customStyle="1" w:styleId="TextosemFormataoChar1">
    <w:name w:val="Texto sem Formatação Char1"/>
    <w:basedOn w:val="Fontepargpadro"/>
    <w:uiPriority w:val="99"/>
    <w:semiHidden/>
    <w:rPr>
      <w:rFonts w:ascii="Consolas" w:eastAsia="Times New Roman" w:hAnsi="Consolas" w:cs="Times New Roman"/>
      <w:sz w:val="21"/>
      <w:szCs w:val="21"/>
      <w:lang w:eastAsia="pt-BR"/>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autoSpaceDE/>
      <w:autoSpaceDN/>
      <w:adjustRightInd/>
      <w:jc w:val="both"/>
    </w:pPr>
    <w:rPr>
      <w:rFonts w:eastAsia="Batang"/>
    </w:rPr>
  </w:style>
  <w:style w:type="paragraph" w:customStyle="1" w:styleId="c3">
    <w:name w:val="c3"/>
    <w:basedOn w:val="Normal"/>
    <w:pPr>
      <w:widowControl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autoSpaceDE/>
      <w:autoSpaceDN/>
      <w:adjustRightInd/>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autoSpaceDE/>
      <w:autoSpaceDN/>
      <w:adjustRightInd/>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autoSpaceDE/>
      <w:autoSpaceDN/>
      <w:adjustRightInd/>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autoSpaceDE/>
      <w:autoSpaceDN/>
      <w:adjustRightInd/>
      <w:spacing w:after="160" w:line="240" w:lineRule="exact"/>
    </w:pPr>
    <w:rPr>
      <w:rFonts w:ascii="Verdana" w:hAnsi="Verdana"/>
      <w:sz w:val="20"/>
      <w:szCs w:val="20"/>
      <w:lang w:val="en-US" w:eastAsia="en-US"/>
    </w:rPr>
  </w:style>
  <w:style w:type="paragraph" w:styleId="Lista2">
    <w:name w:val="List 2"/>
    <w:basedOn w:val="Normal"/>
    <w:uiPriority w:val="99"/>
    <w:unhideWhenUsed/>
    <w:pPr>
      <w:autoSpaceDE/>
      <w:autoSpaceDN/>
      <w:adjustRightInd/>
      <w:ind w:left="566" w:hanging="283"/>
      <w:contextualSpacing/>
    </w:pPr>
  </w:style>
  <w:style w:type="paragraph" w:styleId="Lista3">
    <w:name w:val="List 3"/>
    <w:basedOn w:val="Normal"/>
    <w:uiPriority w:val="99"/>
    <w:unhideWhenUsed/>
    <w:pPr>
      <w:autoSpaceDE/>
      <w:autoSpaceDN/>
      <w:adjustRightInd/>
      <w:ind w:left="849" w:hanging="283"/>
      <w:contextualSpacing/>
    </w:pPr>
  </w:style>
  <w:style w:type="paragraph" w:styleId="Lista4">
    <w:name w:val="List 4"/>
    <w:basedOn w:val="Normal"/>
    <w:uiPriority w:val="99"/>
    <w:unhideWhenUsed/>
    <w:pPr>
      <w:autoSpaceDE/>
      <w:autoSpaceDN/>
      <w:adjustRightInd/>
      <w:ind w:left="1132" w:hanging="283"/>
      <w:contextualSpacing/>
    </w:pPr>
  </w:style>
  <w:style w:type="paragraph" w:styleId="Lista5">
    <w:name w:val="List 5"/>
    <w:basedOn w:val="Normal"/>
    <w:uiPriority w:val="99"/>
    <w:unhideWhenUsed/>
    <w:pPr>
      <w:autoSpaceDE/>
      <w:autoSpaceDN/>
      <w:adjustRightInd/>
      <w:ind w:left="1415" w:hanging="283"/>
      <w:contextualSpacing/>
    </w:pPr>
  </w:style>
  <w:style w:type="paragraph" w:styleId="Saudao">
    <w:name w:val="Salutation"/>
    <w:basedOn w:val="Normal"/>
    <w:next w:val="Normal"/>
    <w:link w:val="SaudaoChar"/>
    <w:unhideWhenUsed/>
    <w:pPr>
      <w:autoSpaceDE/>
      <w:autoSpaceDN/>
      <w:adjustRightInd/>
    </w:pPr>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autoSpaceDE/>
      <w:autoSpaceDN/>
      <w:adjustRightInd/>
      <w:spacing w:after="120"/>
      <w:ind w:left="283"/>
      <w:contextualSpacing/>
    </w:pPr>
  </w:style>
  <w:style w:type="paragraph" w:styleId="Listadecontinuao3">
    <w:name w:val="List Continue 3"/>
    <w:basedOn w:val="Normal"/>
    <w:uiPriority w:val="99"/>
    <w:unhideWhenUsed/>
    <w:pPr>
      <w:autoSpaceDE/>
      <w:autoSpaceDN/>
      <w:adjustRightInd/>
      <w:spacing w:after="120"/>
      <w:ind w:left="849"/>
      <w:contextualSpacing/>
    </w:pPr>
  </w:style>
  <w:style w:type="paragraph" w:styleId="Legenda">
    <w:name w:val="caption"/>
    <w:basedOn w:val="Normal"/>
    <w:next w:val="Normal"/>
    <w:uiPriority w:val="35"/>
    <w:qFormat/>
    <w:pPr>
      <w:autoSpaceDE/>
      <w:autoSpaceDN/>
      <w:adjustRightInd/>
    </w:pPr>
    <w:rPr>
      <w:b/>
      <w:bCs/>
      <w:sz w:val="20"/>
      <w:szCs w:val="20"/>
    </w:rPr>
  </w:style>
  <w:style w:type="paragraph" w:styleId="Primeirorecuodecorpodetexto2">
    <w:name w:val="Body Text First Indent 2"/>
    <w:basedOn w:val="Recuodecorpodetexto"/>
    <w:link w:val="Primeirorecuodecorpodetexto2Char"/>
    <w:uiPriority w:val="99"/>
    <w:unhideWhenUsed/>
    <w:pPr>
      <w:autoSpaceDE/>
      <w:autoSpaceDN/>
      <w:adjustRightInd/>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autoSpaceDE/>
      <w:autoSpaceDN/>
      <w:adjustRightInd/>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8"/>
      </w:numPr>
      <w:autoSpaceDE/>
      <w:autoSpaceDN/>
      <w:adjustRightInd/>
      <w:spacing w:before="240" w:after="240" w:line="320" w:lineRule="exact"/>
      <w:jc w:val="both"/>
    </w:pPr>
    <w:rPr>
      <w:sz w:val="20"/>
      <w:szCs w:val="20"/>
    </w:rPr>
  </w:style>
  <w:style w:type="character" w:customStyle="1" w:styleId="P-iChar">
    <w:name w:val="P-#(i) Char"/>
    <w:link w:val="P-i"/>
    <w:rPr>
      <w:rFonts w:ascii="Times New Roman" w:eastAsia="Times New Roman" w:hAnsi="Times New Roman" w:cs="Times New Roman"/>
      <w:sz w:val="20"/>
      <w:szCs w:val="20"/>
      <w:lang w:eastAsia="pt-BR"/>
    </w:rPr>
  </w:style>
  <w:style w:type="paragraph" w:styleId="Reviso">
    <w:name w:val="Revision"/>
    <w:hidden/>
    <w:uiPriority w:val="71"/>
    <w:pPr>
      <w:spacing w:after="0"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pPr>
      <w:autoSpaceDE/>
      <w:autoSpaceDN/>
      <w:adjustRightInd/>
    </w:pPr>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spacing w:before="100" w:beforeAutospacing="1" w:after="100" w:afterAutospacing="1"/>
    </w:pPr>
  </w:style>
  <w:style w:type="paragraph" w:styleId="Sumrio1">
    <w:name w:val="toc 1"/>
    <w:basedOn w:val="Normal"/>
    <w:next w:val="Normal"/>
    <w:autoRedefine/>
    <w:uiPriority w:val="39"/>
    <w:pPr>
      <w:widowControl w:val="0"/>
      <w:tabs>
        <w:tab w:val="right" w:leader="dot" w:pos="8636"/>
      </w:tabs>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pPr>
    <w:rPr>
      <w:b/>
      <w:lang w:val="af-ZA"/>
    </w:rPr>
  </w:style>
  <w:style w:type="paragraph" w:customStyle="1" w:styleId="CharChar">
    <w:name w:val="Char Char"/>
    <w:basedOn w:val="Normal"/>
    <w:pPr>
      <w:autoSpaceDE/>
      <w:autoSpaceDN/>
      <w:adjustRightInd/>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pPr>
      <w:overflowPunct w:val="0"/>
      <w:textAlignment w:val="baseline"/>
    </w:pPr>
    <w:rPr>
      <w:rFonts w:cs="Courier New"/>
      <w:szCs w:val="20"/>
      <w:lang w:val="en-US"/>
    </w:rPr>
  </w:style>
  <w:style w:type="paragraph" w:customStyle="1" w:styleId="Entity">
    <w:name w:val="Entity"/>
    <w:basedOn w:val="Normal"/>
    <w:pPr>
      <w:keepNext/>
      <w:autoSpaceDE/>
      <w:autoSpaceDN/>
      <w:adjustRightInd/>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20"/>
      </w:numPr>
      <w:autoSpaceDE/>
      <w:autoSpaceDN/>
      <w:adjustRightInd/>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ilvl w:val="2"/>
        <w:numId w:val="20"/>
      </w:numPr>
      <w:tabs>
        <w:tab w:val="clear" w:pos="7809"/>
        <w:tab w:val="num" w:pos="0"/>
      </w:tabs>
      <w:autoSpaceDE/>
      <w:autoSpaceDN/>
      <w:adjustRightInd/>
      <w:spacing w:before="600" w:after="120"/>
      <w:ind w:left="0" w:firstLine="288"/>
      <w:jc w:val="center"/>
    </w:pPr>
    <w:rPr>
      <w:rFonts w:ascii="Times New Roman Negrito" w:hAnsi="Times New Roman Negrito"/>
      <w:b/>
      <w:bCs/>
      <w:caps/>
      <w:smallCaps/>
      <w:color w:val="000000"/>
    </w:rPr>
  </w:style>
  <w:style w:type="paragraph" w:customStyle="1" w:styleId="ListParagraph1">
    <w:name w:val="List Paragraph1"/>
    <w:basedOn w:val="Normal"/>
    <w:pPr>
      <w:ind w:left="708"/>
    </w:pPr>
  </w:style>
  <w:style w:type="paragraph" w:customStyle="1" w:styleId="CorpodetextobtBT">
    <w:name w:val="Corpo de texto.bt.BT"/>
    <w:basedOn w:val="Normal"/>
    <w:pPr>
      <w:autoSpaceDE/>
      <w:autoSpaceDN/>
      <w:adjustRightInd/>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6"/>
      </w:numPr>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6"/>
      </w:numPr>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6"/>
      </w:numPr>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cs="Times New Roman"/>
      <w:lang w:eastAsia="pt-BR"/>
    </w:rPr>
  </w:style>
  <w:style w:type="paragraph" w:customStyle="1" w:styleId="titulo5">
    <w:name w:val="titulo 5"/>
    <w:basedOn w:val="Normal"/>
    <w:qFormat/>
    <w:pPr>
      <w:keepNext/>
      <w:numPr>
        <w:ilvl w:val="4"/>
        <w:numId w:val="26"/>
      </w:numPr>
      <w:spacing w:line="280" w:lineRule="atLeast"/>
      <w:jc w:val="both"/>
    </w:pPr>
    <w:rPr>
      <w:rFonts w:ascii="Lucida Bright" w:eastAsia="MS Mincho" w:hAnsi="Lucida Bright"/>
      <w:sz w:val="22"/>
      <w:szCs w:val="22"/>
    </w:rPr>
  </w:style>
  <w:style w:type="character" w:customStyle="1" w:styleId="apple-converted-space">
    <w:name w:val="apple-converted-space"/>
    <w:basedOn w:val="Fontepargpadro"/>
  </w:style>
  <w:style w:type="character" w:customStyle="1" w:styleId="Level3Char">
    <w:name w:val="Level 3 Char"/>
    <w:link w:val="Level3"/>
    <w:locked/>
    <w:rPr>
      <w:rFonts w:ascii="Arial" w:eastAsia="Times New Roman" w:hAnsi="Arial" w:cs="Times New Roman"/>
      <w:kern w:val="20"/>
      <w:sz w:val="20"/>
      <w:szCs w:val="28"/>
      <w:lang w:val="en-GB"/>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Body2">
    <w:name w:val="Body 2"/>
    <w:basedOn w:val="Normal"/>
    <w:pPr>
      <w:autoSpaceDE/>
      <w:autoSpaceDN/>
      <w:adjustRightInd/>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6"/>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6"/>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oleObject" Target="embeddings/oleObject2.bin"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image" Target="media/image1.wmf" Id="rId7" /><Relationship Type="http://schemas.openxmlformats.org/officeDocument/2006/relationships/hyperlink" Target="mailto:katia.nozela@grupolm.com.br" TargetMode="External" Id="rId12" /><Relationship Type="http://schemas.openxmlformats.org/officeDocument/2006/relationships/hyperlink" Target="mailto:dac.debentures@bradesco.com.br"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mailto:katia.nozela@grupolm.com.br" TargetMode="External"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katia.nozela@grupolm.com.br"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mailto:marcio.targa@grupolm.com.br" TargetMode="External" Id="rId15" /><Relationship Type="http://schemas.openxmlformats.org/officeDocument/2006/relationships/footer" Target="footer3.xml" Id="rId23" /><Relationship Type="http://schemas.openxmlformats.org/officeDocument/2006/relationships/oleObject" Target="embeddings/oleObject1.bin" Id="rId10"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hyperlink" Target="mailto:katia.nozela@grupolm.com.br" TargetMode="External" Id="rId14" /><Relationship Type="http://schemas.openxmlformats.org/officeDocument/2006/relationships/header" Target="header3.xml" Id="rId22"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 J U R _ S P ! 4 0 9 8 9 2 3 8 . 8 < / d o c u m e n t i d >  
     < s e n d e r i d > C I S < / s e n d e r i d >  
     < s e n d e r e m a i l > C D E R I S I O @ P N . C O M . B R < / s e n d e r e m a i l >  
     < l a s t m o d i f i e d > 2 0 2 1 - 0 6 - 2 8 T 1 3 : 0 4 : 0 0 . 0 0 0 0 0 0 0 - 0 3 : 0 0 < / l a s t m o d i f i e d >  
     < d a t a b a s e > J U R _ S P < / d a t a b a s e >  
 < / p r o p e r t i e s > 
</file>

<file path=docProps/app.xml><?xml version="1.0" encoding="utf-8"?>
<Properties xmlns="http://schemas.openxmlformats.org/officeDocument/2006/extended-properties" xmlns:vt="http://schemas.openxmlformats.org/officeDocument/2006/docPropsVTypes">
  <Template>Normal.dotm</Template>
  <TotalTime>27</TotalTime>
  <Pages>70</Pages>
  <Words>24410</Words>
  <Characters>131814</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Pinheiro Neto Advogados</cp:lastModifiedBy>
  <cp:revision>21</cp:revision>
  <dcterms:created xsi:type="dcterms:W3CDTF">2021-06-28T14:28:00Z</dcterms:created>
  <dcterms:modified xsi:type="dcterms:W3CDTF">2021-06-28T16:04:00Z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- 40989238v8 - 12070002.478368</vt:lpwstr>
  </property>
</Properties>
</file>