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4D90C6DF"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7FDE58BE"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24 de maio de 2021, sob o nº </w:t>
      </w:r>
      <w:r>
        <w:rPr>
          <w:rFonts w:ascii="Arial" w:eastAsiaTheme="minorHAnsi" w:hAnsi="Arial" w:cs="Arial"/>
          <w:sz w:val="22"/>
          <w:szCs w:val="22"/>
          <w:bdr w:val="none" w:sz="0" w:space="0" w:color="auto"/>
        </w:rPr>
        <w:lastRenderedPageBreak/>
        <w:t xml:space="preserve">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0FFF7E6B"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7A1790E"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sidR="00D17A5E">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w:t>
      </w:r>
      <w:r w:rsidR="00297851">
        <w:rPr>
          <w:rFonts w:ascii="Arial" w:hAnsi="Arial" w:cs="Arial"/>
          <w:sz w:val="22"/>
          <w:szCs w:val="22"/>
        </w:rPr>
        <w:t>,</w:t>
      </w:r>
      <w:r>
        <w:rPr>
          <w:rFonts w:ascii="Arial" w:hAnsi="Arial" w:cs="Arial"/>
          <w:sz w:val="22"/>
          <w:szCs w:val="22"/>
        </w:rPr>
        <w:t xml:space="preserve">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02544F">
        <w:rPr>
          <w:rFonts w:ascii="Arial" w:eastAsiaTheme="minorHAnsi" w:hAnsi="Arial" w:cs="Arial"/>
          <w:sz w:val="22"/>
          <w:szCs w:val="22"/>
          <w:bdr w:val="none" w:sz="0" w:space="0" w:color="auto"/>
        </w:rPr>
        <w:t>23 de agosto de 2021</w:t>
      </w:r>
      <w:r>
        <w:rPr>
          <w:rFonts w:ascii="Arial" w:eastAsiaTheme="minorHAnsi" w:hAnsi="Arial" w:cs="Arial"/>
          <w:sz w:val="22"/>
          <w:szCs w:val="22"/>
          <w:bdr w:val="none" w:sz="0" w:space="0" w:color="auto"/>
        </w:rPr>
        <w:t xml:space="preserve">, sob o nº </w:t>
      </w:r>
      <w:r w:rsidR="003A61D8" w:rsidRPr="0002544F">
        <w:rPr>
          <w:rFonts w:ascii="Arial" w:eastAsiaTheme="minorHAnsi" w:hAnsi="Arial" w:cs="Arial"/>
          <w:sz w:val="22"/>
          <w:szCs w:val="22"/>
          <w:bdr w:val="none" w:sz="0" w:space="0" w:color="auto"/>
        </w:rPr>
        <w:t>5.410.728</w:t>
      </w:r>
      <w:r w:rsidRPr="0002544F">
        <w:rPr>
          <w:rFonts w:ascii="Arial" w:eastAsiaTheme="minorHAnsi" w:hAnsi="Arial" w:cs="Arial"/>
          <w:sz w:val="22"/>
          <w:szCs w:val="22"/>
          <w:bdr w:val="none" w:sz="0" w:space="0" w:color="auto"/>
        </w:rPr>
        <w:t>,</w:t>
      </w:r>
      <w:r w:rsidR="00761306" w:rsidRPr="0002544F">
        <w:rPr>
          <w:rFonts w:ascii="Arial" w:eastAsiaTheme="minorHAnsi" w:hAnsi="Arial" w:cs="Arial"/>
          <w:sz w:val="22"/>
          <w:szCs w:val="22"/>
          <w:bdr w:val="none" w:sz="0" w:space="0" w:color="auto"/>
        </w:rPr>
        <w:t xml:space="preserve"> apenas</w:t>
      </w:r>
      <w:r w:rsidR="00761306">
        <w:rPr>
          <w:rFonts w:ascii="Arial" w:hAnsi="Arial" w:cs="Arial"/>
          <w:sz w:val="22"/>
          <w:szCs w:val="22"/>
        </w:rPr>
        <w:t xml:space="preserve">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p>
    <w:p w14:paraId="243593D9" w14:textId="77777777" w:rsidR="00233903" w:rsidRPr="00461FA7" w:rsidRDefault="00233903" w:rsidP="00461FA7">
      <w:pPr>
        <w:pStyle w:val="PargrafodaLista"/>
        <w:rPr>
          <w:rFonts w:ascii="Arial" w:hAnsi="Arial" w:cs="Arial"/>
          <w:sz w:val="22"/>
          <w:szCs w:val="22"/>
        </w:rPr>
      </w:pPr>
    </w:p>
    <w:p w14:paraId="2D48AA50" w14:textId="571F92CB"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Emissora, realizada em</w:t>
      </w:r>
      <w:r w:rsidR="00D17A5E">
        <w:rPr>
          <w:rFonts w:ascii="Arial" w:eastAsiaTheme="minorHAnsi" w:hAnsi="Arial" w:cs="Arial"/>
          <w:sz w:val="22"/>
          <w:szCs w:val="22"/>
          <w:bdr w:val="none" w:sz="0" w:space="0" w:color="auto"/>
        </w:rPr>
        <w:t xml:space="preserve"> 08 de junho</w:t>
      </w:r>
      <w:r w:rsidR="008268B0">
        <w:rPr>
          <w:rFonts w:ascii="Arial" w:eastAsiaTheme="minorHAnsi" w:hAnsi="Arial" w:cs="Arial"/>
          <w:sz w:val="22"/>
          <w:szCs w:val="22"/>
          <w:bdr w:val="none" w:sz="0" w:space="0" w:color="auto"/>
        </w:rPr>
        <w:t xml:space="preserve">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lastRenderedPageBreak/>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192FBBC4"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008D4058" w:rsidRPr="008D4058">
        <w:rPr>
          <w:rFonts w:ascii="Arial" w:hAnsi="Arial" w:cs="Arial"/>
          <w:iCs/>
          <w:snapToGrid w:val="0"/>
          <w:sz w:val="22"/>
          <w:szCs w:val="22"/>
        </w:rPr>
        <w:t>”</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1D5C55D3"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w:t>
      </w:r>
      <w:r w:rsidR="00003001">
        <w:rPr>
          <w:rFonts w:cs="Arial"/>
          <w:sz w:val="22"/>
          <w:szCs w:val="22"/>
        </w:rPr>
        <w:t xml:space="preserve"> e </w:t>
      </w:r>
      <w:proofErr w:type="spellStart"/>
      <w:r w:rsidR="00003001">
        <w:rPr>
          <w:rFonts w:cs="Arial"/>
          <w:sz w:val="22"/>
          <w:szCs w:val="22"/>
        </w:rPr>
        <w:t>RTDs</w:t>
      </w:r>
      <w:proofErr w:type="spellEnd"/>
      <w:r>
        <w:rPr>
          <w:rFonts w:cs="Arial"/>
          <w:sz w:val="22"/>
          <w:szCs w:val="22"/>
        </w:rPr>
        <w:t xml:space="preserve">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06372157"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proofErr w:type="spellStart"/>
      <w:r w:rsidR="006C1B6F" w:rsidRPr="006C1B6F">
        <w:rPr>
          <w:rFonts w:cs="Arial"/>
          <w:i/>
          <w:iCs/>
          <w:sz w:val="22"/>
          <w:szCs w:val="22"/>
        </w:rPr>
        <w:t>covenants</w:t>
      </w:r>
      <w:proofErr w:type="spellEnd"/>
      <w:r w:rsidR="006C1B6F">
        <w:rPr>
          <w:rFonts w:cs="Arial"/>
          <w:sz w:val="22"/>
          <w:szCs w:val="22"/>
        </w:rPr>
        <w:t xml:space="preserve"> financeiros da Emissão; e </w:t>
      </w:r>
      <w:r w:rsidR="006C1B6F" w:rsidRPr="006C1B6F">
        <w:rPr>
          <w:rFonts w:cs="Arial"/>
          <w:b/>
          <w:bCs/>
          <w:sz w:val="22"/>
          <w:szCs w:val="22"/>
        </w:rPr>
        <w:t>(</w:t>
      </w:r>
      <w:proofErr w:type="spellStart"/>
      <w:r w:rsidR="006C1B6F" w:rsidRPr="006C1B6F">
        <w:rPr>
          <w:rFonts w:cs="Arial"/>
          <w:b/>
          <w:bCs/>
          <w:sz w:val="22"/>
          <w:szCs w:val="22"/>
        </w:rPr>
        <w:t>ii</w:t>
      </w:r>
      <w:proofErr w:type="spellEnd"/>
      <w:r w:rsidR="006C1B6F" w:rsidRPr="006C1B6F">
        <w:rPr>
          <w:rFonts w:cs="Arial"/>
          <w:b/>
          <w:bCs/>
          <w:sz w:val="22"/>
          <w:szCs w:val="22"/>
        </w:rPr>
        <w:t>)</w:t>
      </w:r>
      <w:r w:rsidR="00BD22A9">
        <w:rPr>
          <w:rFonts w:cs="Arial"/>
          <w:sz w:val="22"/>
          <w:szCs w:val="22"/>
        </w:rPr>
        <w:t xml:space="preserve"> as garantias da Emissão, com a realização </w:t>
      </w:r>
      <w:r w:rsidR="002965DA">
        <w:rPr>
          <w:rFonts w:cs="Arial"/>
          <w:sz w:val="22"/>
          <w:szCs w:val="22"/>
        </w:rPr>
        <w:t>do seguinte</w:t>
      </w:r>
      <w:r w:rsidR="00BD22A9">
        <w:rPr>
          <w:rFonts w:cs="Arial"/>
          <w:sz w:val="22"/>
          <w:szCs w:val="22"/>
        </w:rPr>
        <w:t>:</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084520F0"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xml:space="preserve">”), nos termos do artigo 59 da Lei das Sociedades por Ações, a oferta pública de distribuição com esforços </w:t>
      </w:r>
      <w:r w:rsidRPr="00461FA7">
        <w:rPr>
          <w:rFonts w:cs="Arial"/>
          <w:i/>
          <w:sz w:val="22"/>
          <w:szCs w:val="22"/>
        </w:rPr>
        <w:lastRenderedPageBreak/>
        <w:t>restritos das Debêntures, nos termos da Instrução CVM nº</w:t>
      </w:r>
      <w:r w:rsidR="00CD4D4B">
        <w:rPr>
          <w:rFonts w:cs="Arial"/>
          <w:i/>
          <w:sz w:val="22"/>
          <w:szCs w:val="22"/>
        </w:rPr>
        <w:t xml:space="preserve"> </w:t>
      </w:r>
      <w:r w:rsidRPr="00461FA7">
        <w:rPr>
          <w:rFonts w:cs="Arial"/>
          <w:i/>
          <w:sz w:val="22"/>
          <w:szCs w:val="22"/>
        </w:rPr>
        <w:t>476, de 16 de janeiro de 2009, conforme alterada (“</w:t>
      </w:r>
      <w:r w:rsidRPr="00461FA7">
        <w:rPr>
          <w:rFonts w:cs="Arial"/>
          <w:i/>
          <w:sz w:val="22"/>
          <w:szCs w:val="22"/>
          <w:u w:val="single"/>
        </w:rPr>
        <w:t>Instrução</w:t>
      </w:r>
      <w:r w:rsidR="00CD4D4B">
        <w:rPr>
          <w:rFonts w:cs="Arial"/>
          <w:i/>
          <w:sz w:val="22"/>
          <w:szCs w:val="22"/>
          <w:u w:val="single"/>
        </w:rPr>
        <w:t xml:space="preserve"> </w:t>
      </w:r>
      <w:r w:rsidRPr="00461FA7">
        <w:rPr>
          <w:rFonts w:cs="Arial"/>
          <w:i/>
          <w:sz w:val="22"/>
          <w:szCs w:val="22"/>
          <w:u w:val="single"/>
        </w:rPr>
        <w:t>CVM</w:t>
      </w:r>
      <w:r w:rsidR="00CD4D4B">
        <w:rPr>
          <w:rFonts w:cs="Arial"/>
          <w:i/>
          <w:sz w:val="22"/>
          <w:szCs w:val="22"/>
          <w:u w:val="single"/>
        </w:rPr>
        <w:t xml:space="preserve"> </w:t>
      </w:r>
      <w:r w:rsidRPr="00461FA7">
        <w:rPr>
          <w:rFonts w:cs="Arial"/>
          <w:i/>
          <w:sz w:val="22"/>
          <w:szCs w:val="22"/>
          <w:u w:val="single"/>
        </w:rPr>
        <w:t>476</w:t>
      </w:r>
      <w:r w:rsidRPr="00461FA7">
        <w:rPr>
          <w:rFonts w:cs="Arial"/>
          <w:i/>
          <w:sz w:val="22"/>
          <w:szCs w:val="22"/>
        </w:rPr>
        <w:t>”), e das demais disposições legais e regulamentares aplicáveis (“</w:t>
      </w:r>
      <w:r w:rsidRPr="00461FA7">
        <w:rPr>
          <w:rFonts w:cs="Arial"/>
          <w:i/>
          <w:sz w:val="22"/>
          <w:szCs w:val="22"/>
          <w:u w:val="single"/>
        </w:rPr>
        <w:t>Oferta</w:t>
      </w:r>
      <w:r w:rsidRPr="00461FA7">
        <w:rPr>
          <w:rFonts w:cs="Arial"/>
          <w:i/>
          <w:sz w:val="22"/>
          <w:szCs w:val="22"/>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461FA7">
        <w:rPr>
          <w:rFonts w:cs="Arial"/>
          <w:i/>
          <w:sz w:val="22"/>
          <w:szCs w:val="22"/>
          <w:u w:val="single"/>
        </w:rPr>
        <w:t>RCAs</w:t>
      </w:r>
      <w:proofErr w:type="spellEnd"/>
      <w:r w:rsidRPr="00461FA7">
        <w:rPr>
          <w:rFonts w:cs="Arial"/>
          <w:i/>
          <w:sz w:val="22"/>
          <w:szCs w:val="22"/>
        </w:rPr>
        <w:t>”)</w:t>
      </w:r>
      <w:bookmarkEnd w:id="3"/>
      <w:r w:rsidR="002965DA">
        <w:rPr>
          <w:rFonts w:cs="Arial"/>
          <w:i/>
          <w:sz w:val="22"/>
          <w:szCs w:val="22"/>
        </w:rPr>
        <w:t>.</w:t>
      </w:r>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022DAF0B" w:rsidR="00F60DD1" w:rsidRDefault="00F60DD1" w:rsidP="002965DA">
      <w:pPr>
        <w:pStyle w:val="Level2"/>
        <w:numPr>
          <w:ilvl w:val="0"/>
          <w:numId w:val="0"/>
        </w:numPr>
        <w:tabs>
          <w:tab w:val="left" w:pos="1134"/>
          <w:tab w:val="left" w:pos="1560"/>
        </w:tabs>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 xml:space="preserve">As Debêntures serão </w:t>
      </w:r>
      <w:r w:rsidR="004956E7">
        <w:rPr>
          <w:rFonts w:cs="Arial"/>
          <w:i/>
          <w:iCs/>
          <w:sz w:val="22"/>
          <w:szCs w:val="22"/>
        </w:rPr>
        <w:t xml:space="preserve">exclusivamente </w:t>
      </w:r>
      <w:r w:rsidRPr="00461FA7">
        <w:rPr>
          <w:rFonts w:cs="Arial"/>
          <w:i/>
          <w:iCs/>
          <w:sz w:val="22"/>
          <w:szCs w:val="22"/>
        </w:rPr>
        <w:t>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250C9D25"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C7372C" w:rsidRPr="00047893">
        <w:rPr>
          <w:rFonts w:cs="Arial"/>
          <w:sz w:val="22"/>
          <w:szCs w:val="22"/>
          <w:shd w:val="clear" w:color="auto" w:fill="FFFFFF"/>
        </w:rPr>
        <w:t>Cláusulas 2.1.2.2, 2.1.3, 4.8, 4.9, 4.10, 5.5.1.2(</w:t>
      </w:r>
      <w:proofErr w:type="spellStart"/>
      <w:r w:rsidR="00C7372C" w:rsidRPr="00047893">
        <w:rPr>
          <w:rFonts w:cs="Arial"/>
          <w:sz w:val="22"/>
          <w:szCs w:val="22"/>
          <w:shd w:val="clear" w:color="auto" w:fill="FFFFFF"/>
        </w:rPr>
        <w:t>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xix</w:t>
      </w:r>
      <w:proofErr w:type="spellEnd"/>
      <w:r w:rsidR="00C7372C" w:rsidRPr="00047893">
        <w:rPr>
          <w:rFonts w:cs="Arial"/>
          <w:sz w:val="22"/>
          <w:szCs w:val="22"/>
          <w:shd w:val="clear" w:color="auto" w:fill="FFFFFF"/>
        </w:rPr>
        <w:t>), 6.1(v) e 9.2</w:t>
      </w:r>
      <w:r w:rsidR="00C7372C">
        <w:rPr>
          <w:rFonts w:cs="Arial"/>
          <w:sz w:val="22"/>
          <w:szCs w:val="22"/>
          <w:shd w:val="clear" w:color="auto" w:fill="FFFFFF"/>
        </w:rPr>
        <w:t xml:space="preserve"> </w:t>
      </w:r>
      <w:r w:rsidR="00C7372C" w:rsidRPr="00047893">
        <w:rPr>
          <w:rFonts w:cs="Arial"/>
          <w:sz w:val="22"/>
          <w:szCs w:val="22"/>
          <w:shd w:val="clear" w:color="auto" w:fill="FFFFFF"/>
        </w:rPr>
        <w:t>da Escritura de Emissão, com o ajuste na 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79D8A75A" w:rsidR="00587EE2" w:rsidRDefault="00587EE2" w:rsidP="00721DE0">
      <w:pPr>
        <w:pStyle w:val="Level2"/>
        <w:numPr>
          <w:ilvl w:val="0"/>
          <w:numId w:val="49"/>
        </w:numPr>
        <w:spacing w:after="0" w:line="312" w:lineRule="auto"/>
        <w:ind w:hanging="578"/>
        <w:rPr>
          <w:rFonts w:cs="Arial"/>
          <w:sz w:val="22"/>
          <w:szCs w:val="22"/>
        </w:rPr>
      </w:pPr>
      <w:r w:rsidRPr="00CD3504">
        <w:rPr>
          <w:rFonts w:cs="Arial"/>
          <w:sz w:val="22"/>
          <w:szCs w:val="22"/>
        </w:rPr>
        <w:t xml:space="preserve">alteração da espécie das Debêntures, as quais deixam de ser da espécie </w:t>
      </w:r>
      <w:r w:rsidR="00CD4D4B">
        <w:rPr>
          <w:rFonts w:cs="Arial"/>
          <w:sz w:val="22"/>
          <w:szCs w:val="22"/>
        </w:rPr>
        <w:t>“</w:t>
      </w:r>
      <w:r w:rsidRPr="00CD3504">
        <w:rPr>
          <w:rFonts w:cs="Arial"/>
          <w:sz w:val="22"/>
          <w:szCs w:val="22"/>
        </w:rPr>
        <w:t>com garantia real</w:t>
      </w:r>
      <w:r w:rsidR="00CD4D4B">
        <w:rPr>
          <w:rFonts w:cs="Arial"/>
          <w:sz w:val="22"/>
          <w:szCs w:val="22"/>
        </w:rPr>
        <w:t>”</w:t>
      </w:r>
      <w:r w:rsidRPr="00CD3504">
        <w:rPr>
          <w:rFonts w:cs="Arial"/>
          <w:sz w:val="22"/>
          <w:szCs w:val="22"/>
        </w:rPr>
        <w:t xml:space="preserve">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285F2062"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 xml:space="preserve">exclusão das demais referências à Fiança (conforme definido na Escritura de Emissão), </w:t>
      </w:r>
      <w:r w:rsidR="00C7372C">
        <w:rPr>
          <w:rFonts w:cs="Arial"/>
          <w:sz w:val="22"/>
          <w:szCs w:val="22"/>
          <w:shd w:val="clear" w:color="auto" w:fill="FFFFFF"/>
        </w:rPr>
        <w:t xml:space="preserve">ao Fiador (conforme definido na Escritura de Emissão), </w:t>
      </w:r>
      <w:r w:rsidRPr="00CD3504">
        <w:rPr>
          <w:rFonts w:cs="Arial"/>
          <w:sz w:val="22"/>
          <w:szCs w:val="22"/>
        </w:rPr>
        <w:t>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6347AB10" w:rsidR="00876B73" w:rsidRDefault="00C7372C" w:rsidP="00461FA7">
      <w:pPr>
        <w:pStyle w:val="Level2"/>
        <w:numPr>
          <w:ilvl w:val="0"/>
          <w:numId w:val="49"/>
        </w:numPr>
        <w:spacing w:after="0" w:line="312" w:lineRule="auto"/>
        <w:ind w:hanging="578"/>
        <w:rPr>
          <w:rFonts w:cs="Arial"/>
          <w:sz w:val="22"/>
          <w:szCs w:val="22"/>
        </w:rPr>
      </w:pPr>
      <w:r w:rsidRPr="002B6144">
        <w:rPr>
          <w:rFonts w:cs="Arial"/>
          <w:sz w:val="22"/>
          <w:szCs w:val="22"/>
          <w:shd w:val="clear" w:color="auto" w:fill="FFFFFF"/>
        </w:rPr>
        <w:t>exclusão do ite</w:t>
      </w:r>
      <w:r>
        <w:rPr>
          <w:rFonts w:cs="Arial"/>
          <w:sz w:val="22"/>
          <w:szCs w:val="22"/>
          <w:shd w:val="clear" w:color="auto" w:fill="FFFFFF"/>
        </w:rPr>
        <w:t>m (</w:t>
      </w:r>
      <w:proofErr w:type="spellStart"/>
      <w:r>
        <w:rPr>
          <w:rFonts w:cs="Arial"/>
          <w:sz w:val="22"/>
          <w:szCs w:val="22"/>
          <w:shd w:val="clear" w:color="auto" w:fill="FFFFFF"/>
        </w:rPr>
        <w:t>xvi</w:t>
      </w:r>
      <w:proofErr w:type="spellEnd"/>
      <w:r>
        <w:rPr>
          <w:rFonts w:cs="Arial"/>
          <w:sz w:val="22"/>
          <w:szCs w:val="22"/>
          <w:shd w:val="clear" w:color="auto" w:fill="FFFFFF"/>
        </w:rPr>
        <w:t>) da Cláusula 5.5.1.4 da Escritura de Emissão,</w:t>
      </w:r>
      <w:r w:rsidRPr="002B6144">
        <w:rPr>
          <w:rFonts w:cs="Arial"/>
          <w:sz w:val="22"/>
          <w:szCs w:val="22"/>
          <w:shd w:val="clear" w:color="auto" w:fill="FFFFFF"/>
        </w:rPr>
        <w:t xml:space="preserve"> referente aos </w:t>
      </w:r>
      <w:proofErr w:type="spellStart"/>
      <w:r w:rsidRPr="00AB0321">
        <w:rPr>
          <w:rFonts w:cs="Arial"/>
          <w:i/>
          <w:iCs/>
          <w:sz w:val="22"/>
          <w:szCs w:val="22"/>
          <w:shd w:val="clear" w:color="auto" w:fill="FFFFFF"/>
        </w:rPr>
        <w:t>covenants</w:t>
      </w:r>
      <w:proofErr w:type="spellEnd"/>
      <w:r w:rsidRPr="002B6144">
        <w:rPr>
          <w:rFonts w:cs="Arial"/>
          <w:sz w:val="22"/>
          <w:szCs w:val="22"/>
          <w:shd w:val="clear" w:color="auto" w:fill="FFFFFF"/>
        </w:rPr>
        <w:t xml:space="preserve"> financeiros da Emissão</w:t>
      </w:r>
      <w:r>
        <w:rPr>
          <w:rFonts w:cs="Arial"/>
          <w:sz w:val="22"/>
          <w:szCs w:val="22"/>
          <w:shd w:val="clear" w:color="auto" w:fill="FFFFFF"/>
        </w:rPr>
        <w:t>, e</w:t>
      </w:r>
      <w:r w:rsidRPr="002B6144">
        <w:rPr>
          <w:rFonts w:cs="Arial"/>
          <w:sz w:val="22"/>
          <w:szCs w:val="22"/>
          <w:shd w:val="clear" w:color="auto" w:fill="FFFFFF"/>
        </w:rPr>
        <w:t xml:space="preserve"> consequente </w:t>
      </w:r>
      <w:r>
        <w:rPr>
          <w:rFonts w:cs="Arial"/>
          <w:sz w:val="22"/>
          <w:szCs w:val="22"/>
          <w:shd w:val="clear" w:color="auto" w:fill="FFFFFF"/>
        </w:rPr>
        <w:t xml:space="preserve">ajuste na </w:t>
      </w:r>
      <w:r w:rsidRPr="002B6144">
        <w:rPr>
          <w:rFonts w:cs="Arial"/>
          <w:sz w:val="22"/>
          <w:szCs w:val="22"/>
          <w:shd w:val="clear" w:color="auto" w:fill="FFFFFF"/>
        </w:rPr>
        <w:t>numeração dos itens subsequentes</w:t>
      </w:r>
      <w:r>
        <w:rPr>
          <w:rFonts w:cs="Arial"/>
          <w:sz w:val="22"/>
          <w:szCs w:val="22"/>
          <w:shd w:val="clear" w:color="auto" w:fill="FFFFFF"/>
        </w:rPr>
        <w:t>, bem como qualquer menção aos índices financeiros na Escritura de Emissão</w:t>
      </w:r>
      <w:r w:rsidR="00876B73">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56EEF145" w14:textId="621630BA" w:rsidR="00C7372C" w:rsidRDefault="00C7372C" w:rsidP="00C7372C">
      <w:pPr>
        <w:pStyle w:val="Level2"/>
        <w:spacing w:after="0" w:line="312" w:lineRule="auto"/>
        <w:ind w:left="0" w:firstLine="0"/>
        <w:rPr>
          <w:rFonts w:cs="Arial"/>
          <w:sz w:val="22"/>
          <w:szCs w:val="22"/>
        </w:rPr>
      </w:pPr>
      <w:r>
        <w:rPr>
          <w:rFonts w:cs="Arial"/>
          <w:sz w:val="22"/>
          <w:szCs w:val="22"/>
        </w:rPr>
        <w:t xml:space="preserve">Ainda, </w:t>
      </w:r>
      <w:r w:rsidR="0080667D">
        <w:rPr>
          <w:rFonts w:cs="Arial"/>
          <w:sz w:val="22"/>
          <w:szCs w:val="22"/>
        </w:rPr>
        <w:t>como</w:t>
      </w:r>
      <w:r>
        <w:rPr>
          <w:rFonts w:cs="Arial"/>
          <w:sz w:val="22"/>
          <w:szCs w:val="22"/>
        </w:rPr>
        <w:t xml:space="preserve"> </w:t>
      </w:r>
      <w:r w:rsidR="002965DA">
        <w:rPr>
          <w:rFonts w:cs="Arial"/>
          <w:sz w:val="22"/>
          <w:szCs w:val="22"/>
        </w:rPr>
        <w:t>contrapartidas da Companhia conforme acordadas</w:t>
      </w:r>
      <w:r>
        <w:rPr>
          <w:rFonts w:cs="Arial"/>
          <w:sz w:val="22"/>
          <w:szCs w:val="22"/>
        </w:rPr>
        <w:t xml:space="preserve"> </w:t>
      </w:r>
      <w:r w:rsidR="00B1159E">
        <w:rPr>
          <w:rFonts w:cs="Arial"/>
          <w:sz w:val="22"/>
          <w:szCs w:val="22"/>
        </w:rPr>
        <w:t>n</w:t>
      </w:r>
      <w:r>
        <w:rPr>
          <w:rFonts w:cs="Arial"/>
          <w:sz w:val="22"/>
          <w:szCs w:val="22"/>
        </w:rPr>
        <w:t>a Assembleia Geral de Debenturistas, as Partes concordam em aditar a Escritura de Emissão a fim de:</w:t>
      </w:r>
    </w:p>
    <w:p w14:paraId="5BF0E2B4" w14:textId="77777777" w:rsidR="00C7372C" w:rsidRPr="00C7372C" w:rsidRDefault="00C7372C" w:rsidP="00C7372C">
      <w:pPr>
        <w:pStyle w:val="Level2"/>
        <w:numPr>
          <w:ilvl w:val="0"/>
          <w:numId w:val="0"/>
        </w:numPr>
        <w:tabs>
          <w:tab w:val="left" w:pos="709"/>
        </w:tabs>
        <w:spacing w:after="0" w:line="312" w:lineRule="auto"/>
        <w:rPr>
          <w:rFonts w:cs="Arial"/>
          <w:sz w:val="22"/>
          <w:szCs w:val="22"/>
        </w:rPr>
      </w:pPr>
    </w:p>
    <w:p w14:paraId="655A8865" w14:textId="1315414B" w:rsidR="00C7372C" w:rsidRPr="001E62B7" w:rsidRDefault="00C7372C" w:rsidP="001E62B7">
      <w:pPr>
        <w:pStyle w:val="Level5"/>
        <w:tabs>
          <w:tab w:val="clear" w:pos="2721"/>
          <w:tab w:val="num" w:pos="2041"/>
        </w:tabs>
        <w:spacing w:after="0" w:line="312" w:lineRule="auto"/>
        <w:ind w:left="708"/>
        <w:rPr>
          <w:sz w:val="22"/>
          <w:szCs w:val="22"/>
        </w:rPr>
      </w:pPr>
      <w:r w:rsidRPr="001E62B7">
        <w:rPr>
          <w:sz w:val="22"/>
          <w:szCs w:val="22"/>
          <w:shd w:val="clear" w:color="auto" w:fill="FFFFFF"/>
        </w:rPr>
        <w:t>alterar o item (</w:t>
      </w:r>
      <w:proofErr w:type="spellStart"/>
      <w:r w:rsidRPr="001E62B7">
        <w:rPr>
          <w:sz w:val="22"/>
          <w:szCs w:val="22"/>
          <w:shd w:val="clear" w:color="auto" w:fill="FFFFFF"/>
        </w:rPr>
        <w:t>viii</w:t>
      </w:r>
      <w:proofErr w:type="spellEnd"/>
      <w:r w:rsidRPr="001E62B7">
        <w:rPr>
          <w:sz w:val="22"/>
          <w:szCs w:val="22"/>
          <w:shd w:val="clear" w:color="auto" w:fill="FFFFFF"/>
        </w:rPr>
        <w:t xml:space="preserve">) da Cláusula 5.5.1.4 da Escritura de Emissão, prevendo vencimento antecipado na ocorrência de mudança ou transferência de controle acionário pela </w:t>
      </w:r>
      <w:r w:rsidRPr="001E62B7">
        <w:rPr>
          <w:sz w:val="22"/>
          <w:szCs w:val="22"/>
        </w:rPr>
        <w:t xml:space="preserve">Volkswagen Financial Services </w:t>
      </w:r>
      <w:proofErr w:type="spellStart"/>
      <w:r w:rsidRPr="001E62B7">
        <w:rPr>
          <w:sz w:val="22"/>
          <w:szCs w:val="22"/>
        </w:rPr>
        <w:t>Aktiengesellschaft</w:t>
      </w:r>
      <w:proofErr w:type="spellEnd"/>
      <w:r w:rsidRPr="001E62B7">
        <w:rPr>
          <w:sz w:val="22"/>
          <w:szCs w:val="22"/>
          <w:shd w:val="clear" w:color="auto" w:fill="FFFFFF"/>
        </w:rPr>
        <w:t xml:space="preserve"> (“</w:t>
      </w:r>
      <w:r w:rsidRPr="001E62B7">
        <w:rPr>
          <w:sz w:val="22"/>
          <w:szCs w:val="22"/>
          <w:u w:val="single"/>
          <w:shd w:val="clear" w:color="auto" w:fill="FFFFFF"/>
        </w:rPr>
        <w:t>VW Financial Services AG</w:t>
      </w:r>
      <w:r w:rsidRPr="001E62B7">
        <w:rPr>
          <w:sz w:val="22"/>
          <w:szCs w:val="22"/>
          <w:shd w:val="clear" w:color="auto" w:fill="FFFFFF"/>
        </w:rPr>
        <w:t>”), controle direto ou indireto da Emissora, em pelo menos 50% (cinquenta por cento) mais 1 (uma) ação do capital social da Emissora (“</w:t>
      </w:r>
      <w:r w:rsidRPr="001E62B7">
        <w:rPr>
          <w:sz w:val="22"/>
          <w:szCs w:val="22"/>
          <w:u w:val="single"/>
          <w:shd w:val="clear" w:color="auto" w:fill="FFFFFF"/>
        </w:rPr>
        <w:t>Cláusula de Mudança de Controle</w:t>
      </w:r>
      <w:r w:rsidRPr="001E62B7">
        <w:rPr>
          <w:sz w:val="22"/>
          <w:szCs w:val="22"/>
          <w:shd w:val="clear" w:color="auto" w:fill="FFFFFF"/>
        </w:rPr>
        <w:t xml:space="preserve">”), </w:t>
      </w:r>
      <w:r w:rsidR="001E62B7">
        <w:rPr>
          <w:sz w:val="22"/>
          <w:szCs w:val="22"/>
        </w:rPr>
        <w:t>passando esta cláusula a</w:t>
      </w:r>
      <w:r w:rsidR="001E62B7" w:rsidRPr="00461FA7">
        <w:rPr>
          <w:sz w:val="22"/>
          <w:szCs w:val="22"/>
        </w:rPr>
        <w:t xml:space="preserve"> vigorar com a seguinte nova redaç</w:t>
      </w:r>
      <w:r w:rsidR="001E62B7">
        <w:rPr>
          <w:sz w:val="22"/>
          <w:szCs w:val="22"/>
        </w:rPr>
        <w:t>ão</w:t>
      </w:r>
      <w:r w:rsidR="00B1159E">
        <w:rPr>
          <w:sz w:val="22"/>
          <w:szCs w:val="22"/>
          <w:shd w:val="clear" w:color="auto" w:fill="FFFFFF"/>
        </w:rPr>
        <w:t>:</w:t>
      </w:r>
    </w:p>
    <w:p w14:paraId="00025815" w14:textId="74F9E016" w:rsidR="00C7372C" w:rsidRDefault="00C7372C" w:rsidP="00C7372C">
      <w:pPr>
        <w:pStyle w:val="Level2"/>
        <w:numPr>
          <w:ilvl w:val="0"/>
          <w:numId w:val="0"/>
        </w:numPr>
        <w:spacing w:after="0" w:line="312" w:lineRule="auto"/>
        <w:rPr>
          <w:rFonts w:cs="Arial"/>
          <w:sz w:val="22"/>
          <w:szCs w:val="22"/>
        </w:rPr>
      </w:pPr>
    </w:p>
    <w:p w14:paraId="4E827224" w14:textId="77777777" w:rsidR="00C7372C" w:rsidRPr="00B1159E" w:rsidRDefault="00C7372C" w:rsidP="001E62B7">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7D61B99F" w14:textId="77777777" w:rsidR="00C7372C" w:rsidRPr="00762DDE" w:rsidRDefault="00C7372C" w:rsidP="001E62B7">
      <w:pPr>
        <w:autoSpaceDE w:val="0"/>
        <w:autoSpaceDN w:val="0"/>
        <w:adjustRightInd w:val="0"/>
        <w:spacing w:line="312" w:lineRule="auto"/>
        <w:ind w:left="709"/>
        <w:jc w:val="both"/>
        <w:rPr>
          <w:rFonts w:ascii="Arial" w:hAnsi="Arial" w:cs="Arial"/>
          <w:i/>
          <w:iCs/>
          <w:color w:val="000000"/>
        </w:rPr>
      </w:pPr>
    </w:p>
    <w:p w14:paraId="291B1434" w14:textId="23AD0457" w:rsidR="00C7372C" w:rsidRPr="00762DDE" w:rsidRDefault="00C7372C" w:rsidP="001E62B7">
      <w:pPr>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9"/>
        <w:jc w:val="both"/>
        <w:rPr>
          <w:rFonts w:ascii="Arial" w:hAnsi="Arial" w:cs="Arial"/>
          <w:i/>
          <w:iCs/>
          <w:color w:val="000000"/>
          <w:sz w:val="22"/>
          <w:szCs w:val="22"/>
        </w:rPr>
      </w:pPr>
      <w:r>
        <w:rPr>
          <w:rFonts w:ascii="Arial" w:hAnsi="Arial" w:cs="Arial"/>
          <w:i/>
          <w:iCs/>
          <w:color w:val="000000"/>
          <w:sz w:val="22"/>
          <w:szCs w:val="22"/>
        </w:rPr>
        <w:lastRenderedPageBreak/>
        <w:t>(</w:t>
      </w:r>
      <w:proofErr w:type="spellStart"/>
      <w:r>
        <w:rPr>
          <w:rFonts w:ascii="Arial" w:hAnsi="Arial" w:cs="Arial"/>
          <w:i/>
          <w:iCs/>
          <w:color w:val="000000"/>
          <w:sz w:val="22"/>
          <w:szCs w:val="22"/>
        </w:rPr>
        <w:t>viii</w:t>
      </w:r>
      <w:proofErr w:type="spellEnd"/>
      <w:r>
        <w:rPr>
          <w:rFonts w:ascii="Arial" w:hAnsi="Arial" w:cs="Arial"/>
          <w:i/>
          <w:iCs/>
          <w:color w:val="000000"/>
          <w:sz w:val="22"/>
          <w:szCs w:val="22"/>
        </w:rPr>
        <w:t>)</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 xml:space="preserve">Volkswagen Financial Services </w:t>
      </w:r>
      <w:proofErr w:type="spellStart"/>
      <w:r w:rsidRPr="00121D66">
        <w:rPr>
          <w:rFonts w:ascii="Arial" w:hAnsi="Arial" w:cs="Arial"/>
          <w:sz w:val="22"/>
          <w:szCs w:val="22"/>
        </w:rPr>
        <w:t>Aktiengesellschaft</w:t>
      </w:r>
      <w:proofErr w:type="spellEnd"/>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w:t>
      </w:r>
      <w:r w:rsidR="001650B9">
        <w:rPr>
          <w:rFonts w:ascii="Arial" w:hAnsi="Arial" w:cs="Arial"/>
          <w:i/>
          <w:iCs/>
          <w:color w:val="000000"/>
          <w:sz w:val="22"/>
          <w:szCs w:val="22"/>
        </w:rPr>
        <w:t xml:space="preserve"> </w:t>
      </w:r>
      <w:r w:rsidRPr="00762DDE">
        <w:rPr>
          <w:rFonts w:ascii="Arial" w:hAnsi="Arial" w:cs="Arial"/>
          <w:i/>
          <w:iCs/>
          <w:color w:val="000000"/>
          <w:sz w:val="22"/>
          <w:szCs w:val="22"/>
        </w:rPr>
        <w:t>cento) mais 1 (uma) ação do capital social da Emissora, exceto quando houver autorização prévia dos Debenturistas;</w:t>
      </w:r>
      <w:r w:rsidR="00CD4D4B">
        <w:rPr>
          <w:rFonts w:ascii="Arial" w:hAnsi="Arial" w:cs="Arial"/>
          <w:i/>
          <w:iCs/>
          <w:color w:val="000000"/>
          <w:sz w:val="22"/>
          <w:szCs w:val="22"/>
        </w:rPr>
        <w:t>”</w:t>
      </w:r>
    </w:p>
    <w:p w14:paraId="3116B09E" w14:textId="1F327339" w:rsidR="00C7372C" w:rsidRDefault="00C7372C" w:rsidP="00C7372C">
      <w:pPr>
        <w:pStyle w:val="Level2"/>
        <w:numPr>
          <w:ilvl w:val="0"/>
          <w:numId w:val="0"/>
        </w:numPr>
        <w:spacing w:after="0" w:line="312" w:lineRule="auto"/>
        <w:rPr>
          <w:rFonts w:cs="Arial"/>
          <w:sz w:val="22"/>
          <w:szCs w:val="22"/>
        </w:rPr>
      </w:pPr>
    </w:p>
    <w:p w14:paraId="25237AFF" w14:textId="09B343AE" w:rsidR="00C7372C" w:rsidRPr="00C7372C" w:rsidRDefault="00C7372C" w:rsidP="00B1159E">
      <w:pPr>
        <w:pStyle w:val="Level5"/>
        <w:tabs>
          <w:tab w:val="clear" w:pos="2721"/>
          <w:tab w:val="num" w:pos="2041"/>
        </w:tabs>
        <w:spacing w:after="0" w:line="312" w:lineRule="auto"/>
        <w:ind w:left="708"/>
        <w:rPr>
          <w:sz w:val="22"/>
          <w:szCs w:val="22"/>
        </w:rPr>
      </w:pPr>
      <w:r w:rsidRPr="00C7372C">
        <w:rPr>
          <w:sz w:val="22"/>
          <w:szCs w:val="22"/>
          <w:shd w:val="clear" w:color="auto" w:fill="FFFFFF"/>
        </w:rPr>
        <w:t>exclu</w:t>
      </w:r>
      <w:r w:rsidR="00B1159E">
        <w:rPr>
          <w:sz w:val="22"/>
          <w:szCs w:val="22"/>
          <w:shd w:val="clear" w:color="auto" w:fill="FFFFFF"/>
        </w:rPr>
        <w:t>ir</w:t>
      </w:r>
      <w:r w:rsidRPr="00C7372C">
        <w:rPr>
          <w:sz w:val="22"/>
          <w:szCs w:val="22"/>
          <w:shd w:val="clear" w:color="auto" w:fill="FFFFFF"/>
        </w:rPr>
        <w:t xml:space="preserve">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C7372C">
        <w:rPr>
          <w:sz w:val="22"/>
          <w:szCs w:val="22"/>
          <w:u w:val="single"/>
          <w:shd w:val="clear" w:color="auto" w:fill="FFFFFF"/>
        </w:rPr>
        <w:t>Exclusão das Cláusulas de Resgate Antecipado e Amortização Extraordinária</w:t>
      </w:r>
      <w:r w:rsidRPr="00C7372C">
        <w:rPr>
          <w:sz w:val="22"/>
          <w:szCs w:val="22"/>
          <w:shd w:val="clear" w:color="auto" w:fill="FFFFFF"/>
        </w:rPr>
        <w:t>”)</w:t>
      </w:r>
      <w:r w:rsidR="00A457C5">
        <w:rPr>
          <w:sz w:val="22"/>
          <w:szCs w:val="22"/>
          <w:shd w:val="clear" w:color="auto" w:fill="FFFFFF"/>
        </w:rPr>
        <w:t>.</w:t>
      </w:r>
    </w:p>
    <w:p w14:paraId="6D7B100C" w14:textId="77777777" w:rsidR="00C7372C" w:rsidRDefault="00C7372C" w:rsidP="00C7372C">
      <w:pPr>
        <w:pStyle w:val="Level2"/>
        <w:numPr>
          <w:ilvl w:val="0"/>
          <w:numId w:val="0"/>
        </w:numPr>
        <w:spacing w:after="0" w:line="312" w:lineRule="auto"/>
        <w:rPr>
          <w:rFonts w:cs="Arial"/>
          <w:sz w:val="22"/>
          <w:szCs w:val="22"/>
        </w:rPr>
      </w:pPr>
    </w:p>
    <w:p w14:paraId="715A8AE9" w14:textId="1A4ABF4C"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de Emissão</w:t>
      </w:r>
      <w:r w:rsidR="00A457C5">
        <w:rPr>
          <w:rFonts w:cs="Arial"/>
          <w:sz w:val="22"/>
          <w:szCs w:val="22"/>
        </w:rPr>
        <w:t>, Primeiro Aditamento à Escritura de Emissão e Segundo Aditamento à Escritura de Emissão</w:t>
      </w:r>
      <w:r>
        <w:rPr>
          <w:rFonts w:cs="Arial"/>
          <w:sz w:val="22"/>
          <w:szCs w:val="22"/>
        </w:rPr>
        <w:t xml:space="preserve">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20F81A3B"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 xml:space="preserve">o, </w:t>
      </w:r>
      <w:r w:rsidR="00CD4D4B">
        <w:rPr>
          <w:rFonts w:cs="Arial"/>
          <w:sz w:val="22"/>
          <w:szCs w:val="22"/>
        </w:rPr>
        <w:t>n</w:t>
      </w:r>
      <w:r w:rsidR="0096569B">
        <w:rPr>
          <w:rFonts w:cs="Arial"/>
          <w:sz w:val="22"/>
          <w:szCs w:val="22"/>
        </w:rPr>
        <w:t>o</w:t>
      </w:r>
      <w:r>
        <w:rPr>
          <w:rFonts w:cs="Arial"/>
          <w:sz w:val="22"/>
          <w:szCs w:val="22"/>
        </w:rPr>
        <w:t xml:space="preserve"> Primeiro Aditamento à Escritura de Emissão</w:t>
      </w:r>
      <w:r w:rsidR="0096569B">
        <w:rPr>
          <w:rFonts w:cs="Arial"/>
          <w:sz w:val="22"/>
          <w:szCs w:val="22"/>
        </w:rPr>
        <w:t xml:space="preserve"> e </w:t>
      </w:r>
      <w:r w:rsidR="00CD4D4B">
        <w:rPr>
          <w:rFonts w:cs="Arial"/>
          <w:sz w:val="22"/>
          <w:szCs w:val="22"/>
        </w:rPr>
        <w:t>n</w:t>
      </w:r>
      <w:r w:rsidR="0096569B">
        <w:rPr>
          <w:rFonts w:cs="Arial"/>
          <w:sz w:val="22"/>
          <w:szCs w:val="22"/>
        </w:rPr>
        <w:t>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t>DISPOSIÇÕES GERAIS</w:t>
      </w:r>
    </w:p>
    <w:p w14:paraId="21CEB98E" w14:textId="77777777" w:rsidR="00E42281" w:rsidRDefault="00E42281">
      <w:pPr>
        <w:pStyle w:val="Level1"/>
        <w:numPr>
          <w:ilvl w:val="0"/>
          <w:numId w:val="0"/>
        </w:numPr>
        <w:spacing w:before="0" w:after="0" w:line="312" w:lineRule="auto"/>
        <w:jc w:val="left"/>
      </w:pPr>
    </w:p>
    <w:p w14:paraId="12B147F8" w14:textId="41CF7398"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e</w:t>
      </w:r>
      <w:r w:rsidR="007042E6">
        <w:rPr>
          <w:rFonts w:cs="Arial"/>
          <w:sz w:val="22"/>
          <w:szCs w:val="22"/>
        </w:rPr>
        <w:t>/ou</w:t>
      </w:r>
      <w:r w:rsidR="0096569B">
        <w:rPr>
          <w:rFonts w:cs="Arial"/>
          <w:sz w:val="22"/>
          <w:szCs w:val="22"/>
        </w:rPr>
        <w:t xml:space="preserv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lastRenderedPageBreak/>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5E78E8DF"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41BE1248" w:rsidR="00E42281" w:rsidRDefault="00350D15">
      <w:pPr>
        <w:spacing w:line="312" w:lineRule="auto"/>
        <w:jc w:val="both"/>
        <w:rPr>
          <w:rFonts w:ascii="Arial" w:hAnsi="Arial" w:cs="Arial"/>
          <w:sz w:val="22"/>
          <w:szCs w:val="22"/>
        </w:rPr>
      </w:pPr>
      <w:r>
        <w:rPr>
          <w:rFonts w:ascii="Arial" w:hAnsi="Arial" w:cs="Arial"/>
          <w:sz w:val="22"/>
          <w:szCs w:val="22"/>
        </w:rPr>
        <w:lastRenderedPageBreak/>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w:t>
      </w:r>
      <w:r w:rsidR="006C300D">
        <w:rPr>
          <w:rStyle w:val="NenhumA"/>
          <w:rFonts w:ascii="Arial" w:hAnsi="Arial" w:cs="Arial"/>
          <w:sz w:val="22"/>
          <w:szCs w:val="22"/>
        </w:rPr>
        <w:t xml:space="preserve"> de igual teor e forma</w:t>
      </w:r>
      <w:r w:rsidR="00C8135D">
        <w:rPr>
          <w:rStyle w:val="NenhumA"/>
          <w:rFonts w:ascii="Arial" w:hAnsi="Arial" w:cs="Arial"/>
          <w:sz w:val="22"/>
          <w:szCs w:val="22"/>
        </w:rPr>
        <w:t>,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1C0D0442"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t xml:space="preserve">São Paulo, </w:t>
      </w:r>
      <w:r w:rsidR="008841A2">
        <w:rPr>
          <w:rStyle w:val="NenhumA"/>
          <w:rFonts w:ascii="Arial" w:hAnsi="Arial" w:cs="Arial"/>
          <w:sz w:val="22"/>
          <w:szCs w:val="22"/>
          <w:lang w:val="pt-BR"/>
        </w:rPr>
        <w:t>08 de junho</w:t>
      </w:r>
      <w:r w:rsidR="0096569B">
        <w:rPr>
          <w:rStyle w:val="NenhumA"/>
          <w:rFonts w:ascii="Arial" w:hAnsi="Arial" w:cs="Arial"/>
          <w:sz w:val="22"/>
          <w:szCs w:val="22"/>
          <w:lang w:val="pt-BR"/>
        </w:rPr>
        <w:t xml:space="preserve">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0A33E537" w:rsidR="009D6CBD" w:rsidRDefault="009D6CBD" w:rsidP="00343C65">
      <w:pPr>
        <w:spacing w:line="312" w:lineRule="auto"/>
        <w:rPr>
          <w:rFonts w:ascii="Arial" w:eastAsia="Times New Roman" w:hAnsi="Arial" w:cs="Arial"/>
          <w:sz w:val="22"/>
          <w:szCs w:val="22"/>
          <w:bdr w:val="none" w:sz="0" w:space="0" w:color="auto"/>
        </w:rPr>
      </w:pP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D55F0" w14:paraId="1B718646" w14:textId="77777777" w:rsidTr="005D0772">
        <w:trPr>
          <w:cantSplit/>
        </w:trPr>
        <w:tc>
          <w:tcPr>
            <w:tcW w:w="4253" w:type="dxa"/>
            <w:tcBorders>
              <w:top w:val="single" w:sz="6" w:space="0" w:color="auto"/>
            </w:tcBorders>
          </w:tcPr>
          <w:p w14:paraId="59266BAD"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André Passos Miranda</w:t>
            </w:r>
          </w:p>
          <w:p w14:paraId="31FDA71D"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Financeiro</w:t>
            </w:r>
          </w:p>
          <w:p w14:paraId="16D86FFD" w14:textId="08583DF2" w:rsidR="006D55F0" w:rsidRPr="00393575" w:rsidRDefault="006D55F0" w:rsidP="00EA72E5">
            <w:pPr>
              <w:spacing w:line="312" w:lineRule="auto"/>
              <w:jc w:val="both"/>
              <w:rPr>
                <w:rFonts w:ascii="Arial" w:hAnsi="Arial" w:cs="Arial"/>
                <w:sz w:val="22"/>
                <w:szCs w:val="22"/>
              </w:rPr>
            </w:pPr>
            <w:r w:rsidRPr="00393575">
              <w:rPr>
                <w:rFonts w:ascii="Arial" w:hAnsi="Arial" w:cs="Arial"/>
                <w:sz w:val="22"/>
                <w:szCs w:val="22"/>
              </w:rPr>
              <w:t>CPF/ME: 668.337.955-68</w:t>
            </w:r>
          </w:p>
        </w:tc>
        <w:tc>
          <w:tcPr>
            <w:tcW w:w="567" w:type="dxa"/>
          </w:tcPr>
          <w:p w14:paraId="084CEBE5" w14:textId="77777777" w:rsidR="006D55F0" w:rsidRPr="00393575" w:rsidRDefault="006D55F0" w:rsidP="005D0772">
            <w:pPr>
              <w:spacing w:line="312" w:lineRule="auto"/>
              <w:jc w:val="center"/>
              <w:rPr>
                <w:rFonts w:ascii="Arial" w:hAnsi="Arial" w:cs="Arial"/>
                <w:sz w:val="22"/>
                <w:szCs w:val="22"/>
              </w:rPr>
            </w:pPr>
          </w:p>
        </w:tc>
        <w:tc>
          <w:tcPr>
            <w:tcW w:w="4253" w:type="dxa"/>
            <w:tcBorders>
              <w:top w:val="single" w:sz="6" w:space="0" w:color="auto"/>
            </w:tcBorders>
          </w:tcPr>
          <w:p w14:paraId="0A025F66"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Ricardo Soeiro dos Santos Cunha</w:t>
            </w:r>
          </w:p>
          <w:p w14:paraId="1812902B"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Presidente</w:t>
            </w:r>
          </w:p>
          <w:p w14:paraId="5409EA62" w14:textId="3C4D0F62" w:rsidR="006D55F0" w:rsidRPr="00393575" w:rsidRDefault="006D55F0" w:rsidP="00EA72E5">
            <w:pPr>
              <w:spacing w:line="312" w:lineRule="auto"/>
              <w:rPr>
                <w:rFonts w:ascii="Arial" w:hAnsi="Arial" w:cs="Arial"/>
                <w:sz w:val="22"/>
                <w:szCs w:val="22"/>
              </w:rPr>
            </w:pPr>
            <w:r w:rsidRPr="00393575">
              <w:rPr>
                <w:rFonts w:ascii="Arial" w:hAnsi="Arial" w:cs="Arial"/>
                <w:sz w:val="22"/>
                <w:szCs w:val="22"/>
              </w:rPr>
              <w:t>CPF/ME: 129.094.298-65</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lastRenderedPageBreak/>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E178CB">
        <w:trPr>
          <w:jc w:val="center"/>
        </w:trPr>
        <w:tc>
          <w:tcPr>
            <w:tcW w:w="4077" w:type="dxa"/>
          </w:tcPr>
          <w:p w14:paraId="39E8CC23" w14:textId="77777777" w:rsidR="000B5FEE" w:rsidRPr="006D55F0" w:rsidRDefault="000B5FEE" w:rsidP="00E178CB">
            <w:pPr>
              <w:pStyle w:val="Body"/>
              <w:widowControl w:val="0"/>
              <w:spacing w:after="0" w:line="312" w:lineRule="auto"/>
              <w:rPr>
                <w:color w:val="000000"/>
                <w:w w:val="0"/>
              </w:rPr>
            </w:pPr>
            <w:r w:rsidRPr="006D55F0">
              <w:rPr>
                <w:color w:val="000000"/>
                <w:w w:val="0"/>
              </w:rPr>
              <w:t>Nome: Matheus Gomes Faria</w:t>
            </w:r>
          </w:p>
          <w:p w14:paraId="32EC2FF2" w14:textId="77777777" w:rsidR="000B5FEE" w:rsidRPr="006D55F0" w:rsidRDefault="000B5FEE" w:rsidP="00E178CB">
            <w:pPr>
              <w:pStyle w:val="Body"/>
              <w:widowControl w:val="0"/>
              <w:spacing w:after="0" w:line="312" w:lineRule="auto"/>
              <w:rPr>
                <w:color w:val="000000"/>
                <w:w w:val="0"/>
              </w:rPr>
            </w:pPr>
            <w:r w:rsidRPr="006D55F0">
              <w:rPr>
                <w:color w:val="000000"/>
                <w:w w:val="0"/>
              </w:rPr>
              <w:t>Cargo: Diretor</w:t>
            </w:r>
          </w:p>
        </w:tc>
      </w:tr>
      <w:tr w:rsidR="000B5FEE" w14:paraId="14EAB8F6" w14:textId="77777777" w:rsidTr="00E178CB">
        <w:trPr>
          <w:jc w:val="center"/>
        </w:trPr>
        <w:tc>
          <w:tcPr>
            <w:tcW w:w="4077" w:type="dxa"/>
          </w:tcPr>
          <w:p w14:paraId="321CC628" w14:textId="77777777" w:rsidR="000B5FEE" w:rsidRPr="006D55F0" w:rsidRDefault="000B5FEE" w:rsidP="00E178CB">
            <w:pPr>
              <w:pStyle w:val="Body"/>
              <w:widowControl w:val="0"/>
              <w:spacing w:after="0" w:line="312" w:lineRule="auto"/>
              <w:rPr>
                <w:color w:val="000000"/>
                <w:w w:val="0"/>
              </w:rPr>
            </w:pPr>
            <w:r w:rsidRPr="006D55F0">
              <w:rPr>
                <w:color w:val="000000"/>
                <w:w w:val="0"/>
              </w:rPr>
              <w:t>CPF: 058.133.117-69</w:t>
            </w:r>
          </w:p>
        </w:tc>
      </w:tr>
    </w:tbl>
    <w:p w14:paraId="77CFE516" w14:textId="77777777" w:rsidR="00465026" w:rsidRDefault="00465026">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1A937143" w:rsidR="00E42281" w:rsidRDefault="00E42281">
      <w:pPr>
        <w:widowControl w:val="0"/>
        <w:spacing w:line="312" w:lineRule="auto"/>
        <w:rPr>
          <w:rFonts w:ascii="Arial" w:hAnsi="Arial" w:cs="Arial"/>
          <w:sz w:val="22"/>
          <w:szCs w:val="22"/>
        </w:rPr>
      </w:pPr>
    </w:p>
    <w:p w14:paraId="256CC74C" w14:textId="77777777" w:rsidR="006D55F0" w:rsidRDefault="006D55F0">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D55F0" w14:paraId="5DCFBDAC" w14:textId="77777777" w:rsidTr="005D0772">
        <w:trPr>
          <w:cantSplit/>
        </w:trPr>
        <w:tc>
          <w:tcPr>
            <w:tcW w:w="4253" w:type="dxa"/>
            <w:tcBorders>
              <w:top w:val="single" w:sz="6" w:space="0" w:color="auto"/>
            </w:tcBorders>
          </w:tcPr>
          <w:p w14:paraId="6EFE14D7"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André Passos Miranda</w:t>
            </w:r>
          </w:p>
          <w:p w14:paraId="247273EB"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Financeiro</w:t>
            </w:r>
          </w:p>
          <w:p w14:paraId="55D5C2EE" w14:textId="77777777" w:rsidR="006D55F0" w:rsidRPr="00393575" w:rsidRDefault="006D55F0" w:rsidP="005D0772">
            <w:pPr>
              <w:spacing w:line="312" w:lineRule="auto"/>
              <w:jc w:val="both"/>
              <w:rPr>
                <w:rFonts w:ascii="Arial" w:hAnsi="Arial" w:cs="Arial"/>
                <w:sz w:val="22"/>
                <w:szCs w:val="22"/>
              </w:rPr>
            </w:pPr>
            <w:r w:rsidRPr="00393575">
              <w:rPr>
                <w:rFonts w:ascii="Arial" w:hAnsi="Arial" w:cs="Arial"/>
                <w:sz w:val="22"/>
                <w:szCs w:val="22"/>
              </w:rPr>
              <w:t>CPF/ME: 668.337.955-68</w:t>
            </w:r>
          </w:p>
          <w:p w14:paraId="04A40606" w14:textId="77777777" w:rsidR="006D55F0" w:rsidRPr="00393575" w:rsidRDefault="006D55F0" w:rsidP="005D0772">
            <w:pPr>
              <w:spacing w:line="312" w:lineRule="auto"/>
              <w:jc w:val="center"/>
              <w:rPr>
                <w:rFonts w:ascii="Arial" w:hAnsi="Arial" w:cs="Arial"/>
                <w:sz w:val="22"/>
                <w:szCs w:val="22"/>
              </w:rPr>
            </w:pPr>
          </w:p>
        </w:tc>
        <w:tc>
          <w:tcPr>
            <w:tcW w:w="567" w:type="dxa"/>
          </w:tcPr>
          <w:p w14:paraId="2387B453" w14:textId="77777777" w:rsidR="006D55F0" w:rsidRPr="00393575" w:rsidRDefault="006D55F0" w:rsidP="005D0772">
            <w:pPr>
              <w:spacing w:line="312" w:lineRule="auto"/>
              <w:jc w:val="center"/>
              <w:rPr>
                <w:rFonts w:ascii="Arial" w:hAnsi="Arial" w:cs="Arial"/>
                <w:sz w:val="22"/>
                <w:szCs w:val="22"/>
              </w:rPr>
            </w:pPr>
          </w:p>
        </w:tc>
        <w:tc>
          <w:tcPr>
            <w:tcW w:w="4253" w:type="dxa"/>
            <w:tcBorders>
              <w:top w:val="single" w:sz="6" w:space="0" w:color="auto"/>
            </w:tcBorders>
          </w:tcPr>
          <w:p w14:paraId="281DAB12"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Ricardo Soeiro dos Santos Cunha</w:t>
            </w:r>
          </w:p>
          <w:p w14:paraId="15389FFE"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Presidente</w:t>
            </w:r>
          </w:p>
          <w:p w14:paraId="385E8D92"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CPF/ME: 129.094.298-65</w:t>
            </w:r>
          </w:p>
          <w:p w14:paraId="1E69D9A8" w14:textId="77777777" w:rsidR="006D55F0" w:rsidRPr="00393575" w:rsidRDefault="006D55F0" w:rsidP="005D0772">
            <w:pPr>
              <w:spacing w:line="312" w:lineRule="auto"/>
              <w:jc w:val="center"/>
              <w:rPr>
                <w:rFonts w:ascii="Arial" w:hAnsi="Arial" w:cs="Arial"/>
                <w:sz w:val="22"/>
                <w:szCs w:val="22"/>
              </w:rPr>
            </w:pP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324A5A3B" w:rsidR="009D6CBD" w:rsidRDefault="009D6CBD" w:rsidP="004F0B65">
      <w:pPr>
        <w:spacing w:line="312" w:lineRule="auto"/>
        <w:rPr>
          <w:rFonts w:ascii="Arial" w:eastAsia="Times New Roman" w:hAnsi="Arial" w:cs="Arial"/>
          <w:sz w:val="22"/>
          <w:szCs w:val="22"/>
          <w:bdr w:val="none" w:sz="0" w:space="0" w:color="auto"/>
        </w:rPr>
      </w:pP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E178CB">
        <w:trPr>
          <w:trHeight w:val="50"/>
        </w:trPr>
        <w:tc>
          <w:tcPr>
            <w:tcW w:w="4077" w:type="dxa"/>
          </w:tcPr>
          <w:p w14:paraId="57AA5CCB" w14:textId="03257FE9" w:rsidR="000B5FEE" w:rsidRPr="00E52D7F" w:rsidRDefault="000B5FEE" w:rsidP="00E52D7F">
            <w:pPr>
              <w:spacing w:line="312" w:lineRule="auto"/>
              <w:rPr>
                <w:rFonts w:ascii="Arial" w:eastAsiaTheme="minorHAnsi" w:hAnsi="Arial" w:cs="Arial"/>
                <w:sz w:val="22"/>
                <w:szCs w:val="22"/>
                <w:bdr w:val="none" w:sz="0" w:space="0" w:color="auto"/>
              </w:rPr>
            </w:pPr>
            <w:r w:rsidRPr="00E52D7F">
              <w:rPr>
                <w:rFonts w:ascii="Arial" w:hAnsi="Arial" w:cs="Arial"/>
                <w:w w:val="0"/>
                <w:sz w:val="22"/>
                <w:szCs w:val="22"/>
              </w:rPr>
              <w:t xml:space="preserve">Nome: </w:t>
            </w:r>
            <w:proofErr w:type="spellStart"/>
            <w:r w:rsidR="00E52D7F" w:rsidRPr="00E52D7F">
              <w:rPr>
                <w:rFonts w:ascii="Arial" w:hAnsi="Arial" w:cs="Arial"/>
                <w:sz w:val="22"/>
                <w:szCs w:val="22"/>
              </w:rPr>
              <w:t>Simara</w:t>
            </w:r>
            <w:proofErr w:type="spellEnd"/>
            <w:r w:rsidR="00E52D7F" w:rsidRPr="00E52D7F">
              <w:rPr>
                <w:rFonts w:ascii="Arial" w:hAnsi="Arial" w:cs="Arial"/>
                <w:sz w:val="22"/>
                <w:szCs w:val="22"/>
              </w:rPr>
              <w:t xml:space="preserve"> Camargo Fernandes</w:t>
            </w:r>
          </w:p>
          <w:p w14:paraId="2884CE1A" w14:textId="07DBE468" w:rsidR="000B5FEE" w:rsidRPr="006D55F0" w:rsidRDefault="000B5FEE" w:rsidP="00E52D7F">
            <w:pPr>
              <w:pStyle w:val="Body"/>
              <w:widowControl w:val="0"/>
              <w:spacing w:after="0" w:line="312" w:lineRule="auto"/>
              <w:rPr>
                <w:color w:val="000000"/>
                <w:w w:val="0"/>
              </w:rPr>
            </w:pPr>
            <w:r w:rsidRPr="00E52D7F">
              <w:rPr>
                <w:w w:val="0"/>
              </w:rPr>
              <w:t xml:space="preserve">CPF: </w:t>
            </w:r>
            <w:r w:rsidR="00E52D7F" w:rsidRPr="00E52D7F">
              <w:t>668.830.675-15</w:t>
            </w:r>
          </w:p>
        </w:tc>
        <w:tc>
          <w:tcPr>
            <w:tcW w:w="993" w:type="dxa"/>
            <w:tcBorders>
              <w:top w:val="nil"/>
            </w:tcBorders>
          </w:tcPr>
          <w:p w14:paraId="09E3773E" w14:textId="77777777" w:rsidR="000B5FEE" w:rsidRPr="006D55F0" w:rsidRDefault="000B5FEE" w:rsidP="00E178CB">
            <w:pPr>
              <w:pStyle w:val="Body"/>
              <w:widowControl w:val="0"/>
              <w:spacing w:after="0" w:line="312" w:lineRule="auto"/>
              <w:rPr>
                <w:color w:val="000000"/>
                <w:w w:val="0"/>
              </w:rPr>
            </w:pPr>
          </w:p>
        </w:tc>
        <w:tc>
          <w:tcPr>
            <w:tcW w:w="3543" w:type="dxa"/>
          </w:tcPr>
          <w:p w14:paraId="7662370C" w14:textId="3591F55B" w:rsidR="000B5FEE" w:rsidRPr="006D55F0" w:rsidRDefault="000B5FEE" w:rsidP="00E178CB">
            <w:pPr>
              <w:pStyle w:val="Body"/>
              <w:widowControl w:val="0"/>
              <w:spacing w:after="0" w:line="312" w:lineRule="auto"/>
              <w:rPr>
                <w:color w:val="000000"/>
                <w:w w:val="0"/>
              </w:rPr>
            </w:pPr>
            <w:r w:rsidRPr="006D55F0">
              <w:rPr>
                <w:color w:val="000000"/>
                <w:w w:val="0"/>
              </w:rPr>
              <w:t xml:space="preserve">Nome: </w:t>
            </w:r>
            <w:r w:rsidR="004F0B65">
              <w:t>Pedro Paulo Farme D’</w:t>
            </w:r>
            <w:proofErr w:type="spellStart"/>
            <w:r w:rsidR="004F0B65">
              <w:t>amoed</w:t>
            </w:r>
            <w:proofErr w:type="spellEnd"/>
            <w:r w:rsidR="004F0B65">
              <w:t xml:space="preserve"> Fernandes de Oliveira</w:t>
            </w:r>
          </w:p>
          <w:p w14:paraId="20E18CB8" w14:textId="1790CE3D" w:rsidR="000B5FEE" w:rsidRPr="006D55F0" w:rsidRDefault="000B5FEE" w:rsidP="00E178CB">
            <w:pPr>
              <w:pStyle w:val="Body"/>
              <w:widowControl w:val="0"/>
              <w:spacing w:after="0" w:line="312" w:lineRule="auto"/>
              <w:rPr>
                <w:color w:val="000000"/>
                <w:w w:val="0"/>
              </w:rPr>
            </w:pPr>
            <w:r w:rsidRPr="006D55F0">
              <w:rPr>
                <w:color w:val="000000"/>
                <w:w w:val="0"/>
              </w:rPr>
              <w:t xml:space="preserve">CPF: </w:t>
            </w:r>
            <w:r w:rsidR="004F0B65">
              <w:t>060.883.727-02</w:t>
            </w:r>
          </w:p>
        </w:tc>
      </w:tr>
    </w:tbl>
    <w:p w14:paraId="4F6233CE" w14:textId="77777777" w:rsidR="004F0B65" w:rsidRDefault="004F0B65"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50062000" w14:textId="77777777" w:rsidR="005B1C25" w:rsidRDefault="0096569B" w:rsidP="005B1C2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
          <w:bCs/>
          <w:sz w:val="22"/>
          <w:szCs w:val="22"/>
        </w:rPr>
      </w:pPr>
      <w:r w:rsidRPr="00BE2D95">
        <w:rPr>
          <w:rFonts w:ascii="Arial" w:hAnsi="Arial" w:cs="Arial"/>
          <w:b/>
          <w:bCs/>
          <w:sz w:val="22"/>
          <w:szCs w:val="22"/>
        </w:rPr>
        <w:t>ANEXO A</w:t>
      </w:r>
    </w:p>
    <w:p w14:paraId="11E759FF" w14:textId="77777777" w:rsidR="005B1C25" w:rsidRDefault="005B1C2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1385EBA2" w14:textId="16067C9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1C6CDBF1"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 xml:space="preserve">Escritura </w:t>
      </w:r>
      <w:r w:rsidR="004160C0">
        <w:rPr>
          <w:rFonts w:ascii="Arial" w:hAnsi="Arial" w:cs="Arial"/>
          <w:bCs/>
          <w:smallCaps/>
          <w:sz w:val="22"/>
          <w:szCs w:val="22"/>
          <w:u w:val="single"/>
        </w:rPr>
        <w:t xml:space="preserve">de Emissão </w:t>
      </w:r>
      <w:r w:rsidRPr="00BE2D95">
        <w:rPr>
          <w:rFonts w:ascii="Arial" w:hAnsi="Arial" w:cs="Arial"/>
          <w:bCs/>
          <w:smallCaps/>
          <w:sz w:val="22"/>
          <w:szCs w:val="22"/>
          <w:u w:val="single"/>
        </w:rPr>
        <w:t>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4"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BE2D95">
        <w:rPr>
          <w:rFonts w:ascii="Arial" w:eastAsia="Times New Roman" w:hAnsi="Arial" w:cs="Arial"/>
          <w:iCs/>
          <w:color w:val="000000"/>
          <w:sz w:val="22"/>
          <w:szCs w:val="22"/>
          <w:u w:val="single"/>
          <w:bdr w:val="none" w:sz="0" w:space="0" w:color="auto"/>
          <w:lang w:eastAsia="pt-BR"/>
        </w:rPr>
        <w:t>RCAs</w:t>
      </w:r>
      <w:proofErr w:type="spellEnd"/>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5" w:name="_Ref71287231"/>
      <w:r w:rsidRPr="00BE2D95">
        <w:rPr>
          <w:rFonts w:ascii="Arial" w:eastAsia="Times New Roman" w:hAnsi="Arial" w:cs="Arial"/>
          <w:color w:val="000000"/>
          <w:sz w:val="22"/>
          <w:szCs w:val="22"/>
          <w:bdr w:val="none" w:sz="0" w:space="0" w:color="auto"/>
          <w:lang w:eastAsia="pt-BR"/>
        </w:rPr>
        <w:t xml:space="preserve">As atas das </w:t>
      </w:r>
      <w:proofErr w:type="spellStart"/>
      <w:r w:rsidRPr="00BE2D95">
        <w:rPr>
          <w:rFonts w:ascii="Arial" w:eastAsia="Times New Roman" w:hAnsi="Arial" w:cs="Arial"/>
          <w:color w:val="000000"/>
          <w:sz w:val="22"/>
          <w:szCs w:val="22"/>
          <w:bdr w:val="none" w:sz="0" w:space="0" w:color="auto"/>
          <w:lang w:eastAsia="pt-BR"/>
        </w:rPr>
        <w:t>RCAs</w:t>
      </w:r>
      <w:proofErr w:type="spellEnd"/>
      <w:r w:rsidRPr="00BE2D95">
        <w:rPr>
          <w:rFonts w:ascii="Arial" w:eastAsia="Times New Roman" w:hAnsi="Arial" w:cs="Arial"/>
          <w:color w:val="000000"/>
          <w:sz w:val="22"/>
          <w:szCs w:val="22"/>
          <w:bdr w:val="none" w:sz="0" w:space="0" w:color="auto"/>
          <w:lang w:eastAsia="pt-BR"/>
        </w:rPr>
        <w:t xml:space="preserve">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5"/>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6"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6"/>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7"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w:t>
      </w:r>
      <w:r w:rsidRPr="00BE2D95">
        <w:rPr>
          <w:rFonts w:ascii="Arial" w:eastAsia="Times New Roman" w:hAnsi="Arial" w:cs="Arial"/>
          <w:color w:val="000000"/>
          <w:sz w:val="22"/>
          <w:szCs w:val="22"/>
          <w:bdr w:val="none" w:sz="0" w:space="0" w:color="auto"/>
          <w:lang w:eastAsia="pt-BR"/>
        </w:rPr>
        <w:lastRenderedPageBreak/>
        <w:t xml:space="preserve">Dias Úteis contados da data do efetivo registro. </w:t>
      </w:r>
    </w:p>
    <w:bookmarkEnd w:id="7"/>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locação de veículos automotores, com mão de obra de motoristas;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transportes rodoviários de carga não perigosa, intermunicipal, interestadual e internacional;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gestão de frota de veículos automotores próprios e de terceiros (atividades de apoio às empresas); (v) transporte rodoviário intermunicipal de passageiros por meio de ônibus, micro-</w:t>
      </w:r>
      <w:r w:rsidRPr="00BE2D95">
        <w:rPr>
          <w:rFonts w:ascii="Arial" w:eastAsia="Times New Roman" w:hAnsi="Arial" w:cs="Arial"/>
          <w:color w:val="000000"/>
          <w:sz w:val="22"/>
          <w:szCs w:val="22"/>
          <w:bdr w:val="none" w:sz="0" w:space="0" w:color="auto"/>
          <w:lang w:eastAsia="pt-BR"/>
        </w:rPr>
        <w:lastRenderedPageBreak/>
        <w:t>ônibus; (vi) atividades de intermediação e agenciamento de serviços e negócios;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participação no capital social de outras empresas, como sócia, quotista ou acionista; e (</w:t>
      </w:r>
      <w:proofErr w:type="spellStart"/>
      <w:r w:rsidRPr="00BE2D95">
        <w:rPr>
          <w:rFonts w:ascii="Arial" w:eastAsia="Times New Roman" w:hAnsi="Arial" w:cs="Arial"/>
          <w:color w:val="000000"/>
          <w:sz w:val="22"/>
          <w:szCs w:val="22"/>
          <w:bdr w:val="none" w:sz="0" w:space="0" w:color="auto"/>
          <w:lang w:eastAsia="pt-BR"/>
        </w:rPr>
        <w:t>viii</w:t>
      </w:r>
      <w:proofErr w:type="spellEnd"/>
      <w:r w:rsidRPr="00BE2D95">
        <w:rPr>
          <w:rFonts w:ascii="Arial" w:eastAsia="Times New Roman" w:hAnsi="Arial" w:cs="Arial"/>
          <w:color w:val="000000"/>
          <w:sz w:val="22"/>
          <w:szCs w:val="22"/>
          <w:bdr w:val="none" w:sz="0" w:space="0" w:color="auto"/>
          <w:lang w:eastAsia="pt-BR"/>
        </w:rPr>
        <w:t xml:space="preserve">) locação de caminhões, ônibus, micro-ônibus, reboques, </w:t>
      </w:r>
      <w:proofErr w:type="spellStart"/>
      <w:r w:rsidRPr="00BE2D95">
        <w:rPr>
          <w:rFonts w:ascii="Arial" w:eastAsia="Times New Roman" w:hAnsi="Arial" w:cs="Arial"/>
          <w:color w:val="000000"/>
          <w:sz w:val="22"/>
          <w:szCs w:val="22"/>
          <w:bdr w:val="none" w:sz="0" w:space="0" w:color="auto"/>
          <w:lang w:eastAsia="pt-BR"/>
        </w:rPr>
        <w:t>semi-reboques</w:t>
      </w:r>
      <w:proofErr w:type="spellEnd"/>
      <w:r w:rsidRPr="00BE2D95">
        <w:rPr>
          <w:rFonts w:ascii="Arial" w:eastAsia="Times New Roman" w:hAnsi="Arial" w:cs="Arial"/>
          <w:color w:val="000000"/>
          <w:sz w:val="22"/>
          <w:szCs w:val="22"/>
          <w:bdr w:val="none" w:sz="0" w:space="0" w:color="auto"/>
          <w:lang w:eastAsia="pt-BR"/>
        </w:rPr>
        <w:t xml:space="preserve"> e similares, sendo que 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w:t>
      </w:r>
      <w:proofErr w:type="spellStart"/>
      <w:r w:rsidRPr="00BE2D95">
        <w:rPr>
          <w:rFonts w:ascii="Arial" w:eastAsia="Times New Roman" w:hAnsi="Arial" w:cs="Arial"/>
          <w:b/>
          <w:bCs/>
          <w:color w:val="000000"/>
          <w:sz w:val="22"/>
          <w:szCs w:val="22"/>
          <w:bdr w:val="none" w:sz="0" w:space="0" w:color="auto"/>
          <w:lang w:eastAsia="pt-BR"/>
        </w:rPr>
        <w:t>Escriturador</w:t>
      </w:r>
      <w:proofErr w:type="spellEnd"/>
      <w:r w:rsidRPr="00BE2D95">
        <w:rPr>
          <w:rFonts w:ascii="Arial" w:eastAsia="Times New Roman" w:hAnsi="Arial" w:cs="Arial"/>
          <w:b/>
          <w:bCs/>
          <w:color w:val="000000"/>
          <w:sz w:val="22"/>
          <w:szCs w:val="22"/>
          <w:bdr w:val="none" w:sz="0" w:space="0" w:color="auto"/>
          <w:lang w:eastAsia="pt-BR"/>
        </w:rPr>
        <w:t xml:space="preserve">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banco liquidante da presente Emissão será o Itaú Unibanco S.A., instituição financeira com sede na Cidade de São Paulo, Estado de São Paulo, na Praça Alfredo Egydio de Souza Aranha, nº 100, Torre Olavo </w:t>
      </w:r>
      <w:proofErr w:type="spellStart"/>
      <w:r w:rsidRPr="00BE2D95">
        <w:rPr>
          <w:rFonts w:ascii="Arial" w:eastAsia="Times New Roman" w:hAnsi="Arial" w:cs="Arial"/>
          <w:color w:val="000000"/>
          <w:sz w:val="22"/>
          <w:szCs w:val="22"/>
          <w:bdr w:val="none" w:sz="0" w:space="0" w:color="auto"/>
          <w:lang w:eastAsia="pt-BR"/>
        </w:rPr>
        <w:t>Setubal</w:t>
      </w:r>
      <w:proofErr w:type="spellEnd"/>
      <w:r w:rsidRPr="00BE2D95">
        <w:rPr>
          <w:rFonts w:ascii="Arial" w:eastAsia="Times New Roman" w:hAnsi="Arial" w:cs="Arial"/>
          <w:color w:val="000000"/>
          <w:sz w:val="22"/>
          <w:szCs w:val="22"/>
          <w:bdr w:val="none" w:sz="0" w:space="0" w:color="auto"/>
          <w:lang w:eastAsia="pt-BR"/>
        </w:rPr>
        <w:t>,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das Debêntures será o Itaú Corretora de Valores S.A., instituição financeira com sede na Cidade de São Paulo, Estado de São Paulo, na Avenida Brigadeiro Faria Lima, nº 3.500, 3º andar, inscrita no CNPJ/ME sob o nº 61.194.353/0001-64 (“</w:t>
      </w:r>
      <w:proofErr w:type="spellStart"/>
      <w:r w:rsidRPr="00BE2D95">
        <w:rPr>
          <w:rFonts w:ascii="Arial" w:eastAsia="Times New Roman" w:hAnsi="Arial" w:cs="Arial"/>
          <w:color w:val="000000"/>
          <w:sz w:val="22"/>
          <w:szCs w:val="22"/>
          <w:u w:val="single"/>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w:t>
      </w:r>
      <w:proofErr w:type="spellStart"/>
      <w:r w:rsidRPr="00BE2D95">
        <w:rPr>
          <w:rFonts w:ascii="Arial" w:hAnsi="Arial" w:cs="Arial"/>
          <w:color w:val="000000"/>
          <w:sz w:val="22"/>
          <w:szCs w:val="22"/>
          <w:bdr w:val="none" w:sz="0" w:space="0" w:color="auto"/>
          <w:lang w:eastAsia="pt-BR"/>
        </w:rPr>
        <w:t>Escriturador</w:t>
      </w:r>
      <w:proofErr w:type="spellEnd"/>
      <w:r w:rsidRPr="00BE2D95">
        <w:rPr>
          <w:rFonts w:ascii="Arial" w:hAnsi="Arial" w:cs="Arial"/>
          <w:color w:val="000000"/>
          <w:sz w:val="22"/>
          <w:szCs w:val="22"/>
          <w:bdr w:val="none" w:sz="0" w:space="0" w:color="auto"/>
          <w:lang w:eastAsia="pt-BR"/>
        </w:rPr>
        <w:t xml:space="preserv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8"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8"/>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lastRenderedPageBreak/>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(i) para distribuição no mercado primário por meio do MDA; e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9" w:name="_Ref489274193"/>
    </w:p>
    <w:bookmarkEnd w:id="9"/>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as Debêntures estão sujeitas a restrições de negociação previstas nesta Escritura, no Contrato de Colocação e na regulamentação aplicável;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efetuaram sua própria análise com relação à capacidade de pagamento da Emissora;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0" w:name="OLE_LINK5"/>
      <w:bookmarkStart w:id="11"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97F10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2" w:name="_Hlk73459022"/>
      <w:r w:rsidRPr="00BE2D95">
        <w:rPr>
          <w:rFonts w:ascii="Arial" w:eastAsia="Times New Roman" w:hAnsi="Arial" w:cs="Arial"/>
          <w:iCs/>
          <w:color w:val="000000"/>
          <w:sz w:val="22"/>
          <w:szCs w:val="22"/>
          <w:bdr w:val="none" w:sz="0" w:space="0" w:color="auto"/>
          <w:lang w:eastAsia="pt-BR"/>
        </w:rPr>
        <w:lastRenderedPageBreak/>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ressalvadas as hipóteses de vencimento antecipado,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2"/>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5B22984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004956E7">
        <w:rPr>
          <w:rFonts w:ascii="Arial" w:eastAsia="Times New Roman" w:hAnsi="Arial" w:cs="Arial"/>
          <w:color w:val="000000"/>
          <w:sz w:val="22"/>
          <w:szCs w:val="22"/>
          <w:bdr w:val="none" w:sz="0" w:space="0" w:color="auto"/>
          <w:lang w:eastAsia="pt-BR"/>
        </w:rPr>
        <w:t xml:space="preserve">exclusivamente </w:t>
      </w:r>
      <w:r w:rsidRPr="00BE2D95">
        <w:rPr>
          <w:rFonts w:ascii="Arial" w:eastAsia="Times New Roman" w:hAnsi="Arial" w:cs="Arial"/>
          <w:color w:val="000000"/>
          <w:sz w:val="22"/>
          <w:szCs w:val="22"/>
          <w:bdr w:val="none" w:sz="0" w:space="0" w:color="auto"/>
          <w:lang w:eastAsia="pt-BR"/>
        </w:rPr>
        <w:t xml:space="preserve">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0"/>
    <w:bookmarkEnd w:id="11"/>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3"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3"/>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4" w:name="_Hlk73459137"/>
      <w:r w:rsidRPr="00BE2D95">
        <w:rPr>
          <w:rFonts w:ascii="Arial" w:eastAsia="Times New Roman" w:hAnsi="Arial" w:cs="Arial"/>
          <w:iCs/>
          <w:color w:val="000000"/>
          <w:sz w:val="22"/>
          <w:szCs w:val="22"/>
          <w:bdr w:val="none" w:sz="0" w:space="0" w:color="auto"/>
          <w:lang w:eastAsia="pt-BR"/>
        </w:rPr>
        <w:t>As Debêntures serão subscritas e integralizadas por meio do MDA, à vista, no 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ou (</w:t>
      </w:r>
      <w:proofErr w:type="spellStart"/>
      <w:r w:rsidRPr="00BE2D95">
        <w:rPr>
          <w:rFonts w:ascii="Arial" w:eastAsia="Times New Roman" w:hAnsi="Arial" w:cs="Arial"/>
          <w:iCs/>
          <w:color w:val="000000"/>
          <w:sz w:val="22"/>
          <w:szCs w:val="22"/>
          <w:bdr w:val="none" w:sz="0" w:space="0" w:color="auto"/>
          <w:lang w:eastAsia="pt-BR"/>
        </w:rPr>
        <w:t>ii</w:t>
      </w:r>
      <w:proofErr w:type="spellEnd"/>
      <w:r w:rsidRPr="00BE2D95">
        <w:rPr>
          <w:rFonts w:ascii="Arial" w:eastAsia="Times New Roman" w:hAnsi="Arial" w:cs="Arial"/>
          <w:iCs/>
          <w:color w:val="000000"/>
          <w:sz w:val="22"/>
          <w:szCs w:val="22"/>
          <w:bdr w:val="none" w:sz="0" w:space="0" w:color="auto"/>
          <w:lang w:eastAsia="pt-BR"/>
        </w:rPr>
        <w:t xml:space="preserve">) pelo seu Valor Nominal Unitário acrescido dos Juros Remuneratórios (conforme abaixo definido), calculada </w:t>
      </w:r>
      <w:r w:rsidRPr="004D1F5F">
        <w:rPr>
          <w:rFonts w:ascii="Arial" w:eastAsia="Times New Roman" w:hAnsi="Arial" w:cs="Arial"/>
          <w:i/>
          <w:color w:val="000000"/>
          <w:sz w:val="22"/>
          <w:szCs w:val="22"/>
          <w:bdr w:val="none" w:sz="0" w:space="0" w:color="auto"/>
          <w:lang w:eastAsia="pt-BR"/>
        </w:rPr>
        <w:t xml:space="preserve">pro rata </w:t>
      </w:r>
      <w:proofErr w:type="spellStart"/>
      <w:r w:rsidRPr="004D1F5F">
        <w:rPr>
          <w:rFonts w:ascii="Arial" w:eastAsia="Times New Roman" w:hAnsi="Arial" w:cs="Arial"/>
          <w:i/>
          <w:color w:val="000000"/>
          <w:sz w:val="22"/>
          <w:szCs w:val="22"/>
          <w:bdr w:val="none" w:sz="0" w:space="0" w:color="auto"/>
          <w:lang w:eastAsia="pt-BR"/>
        </w:rPr>
        <w:t>temporis</w:t>
      </w:r>
      <w:proofErr w:type="spellEnd"/>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4"/>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270E1CA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w:t>
      </w:r>
      <w:r w:rsidR="000E6BD2">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6E92D49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5" w:name="_Ref73472168"/>
      <w:bookmarkStart w:id="16"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15"/>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31089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31089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2021</w:t>
            </w:r>
          </w:p>
        </w:tc>
      </w:tr>
      <w:tr w:rsidR="001052BD" w:rsidRPr="00BE2D95" w14:paraId="77A7FF81" w14:textId="77777777" w:rsidTr="0031089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7B8B4D75" w14:textId="77777777" w:rsidTr="0031089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470CD7FF" w14:textId="77777777" w:rsidTr="0031089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3F8DC577" w14:textId="77777777" w:rsidTr="0031089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0D99B39B" w14:textId="77777777" w:rsidTr="0031089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7EEA43D2" w14:textId="77777777" w:rsidTr="0031089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27F063CE" w14:textId="77777777" w:rsidTr="0031089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Data de </w:t>
            </w:r>
            <w:proofErr w:type="spellStart"/>
            <w:r w:rsidRPr="00BE2D95">
              <w:rPr>
                <w:rFonts w:ascii="Arial" w:eastAsia="Times New Roman" w:hAnsi="Arial" w:cs="Arial"/>
                <w:color w:val="000000"/>
                <w:sz w:val="22"/>
                <w:szCs w:val="22"/>
                <w:bdr w:val="none" w:sz="0" w:space="0" w:color="auto"/>
                <w:lang w:eastAsia="pt-BR"/>
              </w:rPr>
              <w:t>Vencimento</w:t>
            </w:r>
            <w:proofErr w:type="spellEnd"/>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17" w:name="_Ref73471924"/>
      <w:bookmarkStart w:id="18" w:name="_Hlk73462829"/>
      <w:bookmarkEnd w:id="16"/>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17"/>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J = </w:t>
      </w: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xml:space="preserve"> = número total de Taxas DI, consideradas em cada Período de Capitalização, na apuração do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sendo “</w:t>
      </w: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xml:space="preserve">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lastRenderedPageBreak/>
        <w:t>DIk</w:t>
      </w:r>
      <w:proofErr w:type="spellEnd"/>
      <w:r w:rsidRPr="00BE2D95">
        <w:rPr>
          <w:rFonts w:ascii="Arial" w:eastAsia="Times New Roman" w:hAnsi="Arial" w:cs="Arial"/>
          <w:color w:val="000000"/>
          <w:sz w:val="22"/>
          <w:szCs w:val="22"/>
          <w:bdr w:val="none" w:sz="0" w:space="0" w:color="auto"/>
          <w:lang w:eastAsia="pt-BR"/>
        </w:rPr>
        <w:t xml:space="preserve">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xml:space="preserve"> = sobretaxa de juros fixos calculada com 9 (nove) casas decimais, com arredondamento, calculado conforme fórmula abaixo:</w:t>
      </w:r>
    </w:p>
    <w:p w14:paraId="15B9103F" w14:textId="77777777" w:rsidR="001052BD" w:rsidRPr="00BE2D95" w:rsidRDefault="0099038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5pt;margin-top:13.55pt;width:198.1pt;height:55.35pt;z-index:251660288" fillcolor="window">
            <v:imagedata r:id="rId14" o:title=""/>
          </v:shape>
          <o:OLEObject Type="Embed" ProgID="Equation.3" ShapeID="_x0000_s1027" DrawAspect="Content" ObjectID="_1716204151" r:id="rId15"/>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efetua-se o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dos fatores diários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9" w:name="_Ref71290171"/>
      <w:bookmarkEnd w:id="18"/>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9"/>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Na ausência de apuração e/ou divulgação da Taxa DI por prazo superior a 5 (cinco)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0" w:name="_Ref73472035"/>
      <w:bookmarkStart w:id="21" w:name="_Hlk73463069"/>
      <w:r w:rsidRPr="00BE2D95">
        <w:rPr>
          <w:rFonts w:ascii="Arial" w:eastAsia="Times New Roman" w:hAnsi="Arial" w:cs="Arial"/>
          <w:color w:val="000000"/>
          <w:sz w:val="22"/>
          <w:szCs w:val="22"/>
          <w:bdr w:val="none" w:sz="0" w:space="0" w:color="auto"/>
          <w:lang w:eastAsia="pt-BR"/>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0"/>
    </w:p>
    <w:bookmarkEnd w:id="21"/>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2"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19CBDFB3"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3" w:name="_Hlk73463222"/>
      <w:bookmarkEnd w:id="22"/>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xml:space="preserve">”) como sendo o intervalo de tempo que se inicia na Data da Primeira Integralização das Debêntures (inclusive), </w:t>
      </w:r>
      <w:r w:rsidRPr="00BE2D95">
        <w:rPr>
          <w:rFonts w:ascii="Arial" w:eastAsia="Times New Roman" w:hAnsi="Arial" w:cs="Arial"/>
          <w:color w:val="000000"/>
          <w:sz w:val="22"/>
          <w:szCs w:val="22"/>
          <w:bdr w:val="none" w:sz="0" w:space="0" w:color="auto"/>
          <w:lang w:eastAsia="pt-BR"/>
        </w:rPr>
        <w:lastRenderedPageBreak/>
        <w:t>no caso do primeiro Período de Capitalização, ou na Data de Pagamento dos Juros Remuneratórios imediatamente anterior ou Datas de Amortização (inclusive), no caso dos demais Períodos de Capitalização, e termina na Data de Pagamento de Juros Remuneratórios ou Datas de Amortização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3"/>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4" w:name="_Ref73472120"/>
      <w:bookmarkStart w:id="25" w:name="_Hlk73463377"/>
      <w:r w:rsidRPr="00BE2D95">
        <w:rPr>
          <w:rFonts w:ascii="Arial" w:eastAsia="Times New Roman" w:hAnsi="Arial" w:cs="Arial"/>
          <w:b/>
          <w:bCs/>
          <w:color w:val="000000"/>
          <w:sz w:val="22"/>
          <w:szCs w:val="22"/>
          <w:bdr w:val="none" w:sz="0" w:space="0" w:color="auto"/>
          <w:lang w:eastAsia="pt-BR"/>
        </w:rPr>
        <w:t>Amortização</w:t>
      </w:r>
      <w:bookmarkEnd w:id="24"/>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3D5194D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Oferta de Resgate Antecipado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31089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31089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31089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25"/>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na hipótese de as Debêntures não estarem custodiadas eletronicamente na B3: (a) na sede da Emissora ou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6"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 xml:space="preserve">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O Debenturista que tenha apresentado documentação comprobatória de sua 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27"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27"/>
      <w:r w:rsidRPr="00BE2D95">
        <w:rPr>
          <w:rFonts w:ascii="Arial" w:hAnsi="Arial" w:cs="Arial"/>
          <w:color w:val="000000"/>
          <w:w w:val="0"/>
          <w:sz w:val="22"/>
          <w:szCs w:val="22"/>
          <w:bdr w:val="none" w:sz="0" w:space="0" w:color="auto"/>
          <w:lang w:eastAsia="pt-BR"/>
        </w:rPr>
        <w:t xml:space="preserve">até o primeiro Dia Útil subsequente, se </w:t>
      </w:r>
      <w:bookmarkStart w:id="28" w:name="_DV_C296"/>
      <w:r w:rsidRPr="00BE2D95">
        <w:rPr>
          <w:rFonts w:ascii="Arial" w:hAnsi="Arial" w:cs="Arial"/>
          <w:color w:val="000000"/>
          <w:w w:val="0"/>
          <w:sz w:val="22"/>
          <w:szCs w:val="22"/>
          <w:bdr w:val="none" w:sz="0" w:space="0" w:color="auto"/>
          <w:lang w:eastAsia="pt-BR"/>
        </w:rPr>
        <w:t xml:space="preserve">a data de </w:t>
      </w:r>
      <w:bookmarkEnd w:id="28"/>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(i) com relação a qualquer obrigação que seja realizada por meio da B3, inclusive para fins de cálculo, qualquer dia que não seja sábado, domingo ou feriado declarado nacional;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9" w:name="_Ref71290237"/>
      <w:r w:rsidRPr="00BE2D95">
        <w:rPr>
          <w:rFonts w:ascii="Arial" w:hAnsi="Arial" w:cs="Arial"/>
          <w:color w:val="000000"/>
          <w:w w:val="0"/>
          <w:sz w:val="22"/>
          <w:szCs w:val="22"/>
          <w:bdr w:val="none" w:sz="0" w:space="0" w:color="auto"/>
          <w:lang w:eastAsia="pt-BR"/>
        </w:rPr>
        <w:t xml:space="preserve">Farão jus ao recebimento de qualquer valor devido aos Debenturistas nos termos desta Escritura aqueles que </w:t>
      </w:r>
      <w:proofErr w:type="gramStart"/>
      <w:r w:rsidRPr="00BE2D95">
        <w:rPr>
          <w:rFonts w:ascii="Arial" w:hAnsi="Arial" w:cs="Arial"/>
          <w:color w:val="000000"/>
          <w:w w:val="0"/>
          <w:sz w:val="22"/>
          <w:szCs w:val="22"/>
          <w:bdr w:val="none" w:sz="0" w:space="0" w:color="auto"/>
          <w:lang w:eastAsia="pt-BR"/>
        </w:rPr>
        <w:t>forem Debenturistas</w:t>
      </w:r>
      <w:proofErr w:type="gramEnd"/>
      <w:r w:rsidRPr="00BE2D95">
        <w:rPr>
          <w:rFonts w:ascii="Arial" w:hAnsi="Arial" w:cs="Arial"/>
          <w:color w:val="000000"/>
          <w:w w:val="0"/>
          <w:sz w:val="22"/>
          <w:szCs w:val="22"/>
          <w:bdr w:val="none" w:sz="0" w:space="0" w:color="auto"/>
          <w:lang w:eastAsia="pt-BR"/>
        </w:rPr>
        <w:t xml:space="preserve"> no encerramento do Dia Útil imediatamente anterior à respectiva data de pagamento.</w:t>
      </w:r>
      <w:bookmarkEnd w:id="29"/>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 xml:space="preserve">pro rata </w:t>
      </w:r>
      <w:proofErr w:type="spellStart"/>
      <w:r w:rsidRPr="00BE2D95">
        <w:rPr>
          <w:rFonts w:ascii="Arial" w:hAnsi="Arial" w:cs="Arial"/>
          <w:i/>
          <w:iCs/>
          <w:color w:val="000000"/>
          <w:w w:val="0"/>
          <w:sz w:val="22"/>
          <w:szCs w:val="22"/>
          <w:bdr w:val="none" w:sz="0" w:space="0" w:color="auto"/>
          <w:lang w:eastAsia="pt-BR"/>
        </w:rPr>
        <w:t>temporis</w:t>
      </w:r>
      <w:proofErr w:type="spellEnd"/>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0" w:name="OLE_LINK11"/>
      <w:bookmarkStart w:id="31" w:name="OLE_LINK12"/>
      <w:bookmarkStart w:id="32"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0"/>
      <w:bookmarkEnd w:id="31"/>
      <w:bookmarkEnd w:id="32"/>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3" w:name="_Ref71291288"/>
      <w:r w:rsidRPr="00BE2D95">
        <w:rPr>
          <w:rFonts w:ascii="Arial" w:eastAsia="Times New Roman" w:hAnsi="Arial" w:cs="Arial"/>
          <w:b/>
          <w:color w:val="000000"/>
          <w:w w:val="0"/>
          <w:sz w:val="22"/>
          <w:szCs w:val="22"/>
          <w:bdr w:val="none" w:sz="0" w:space="0" w:color="auto"/>
          <w:lang w:eastAsia="pt-BR"/>
        </w:rPr>
        <w:t>Publicidade</w:t>
      </w:r>
      <w:bookmarkEnd w:id="33"/>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4"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35"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35"/>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4"/>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36"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w:t>
      </w:r>
      <w:proofErr w:type="spellStart"/>
      <w:r w:rsidRPr="00BE2D95">
        <w:rPr>
          <w:rFonts w:ascii="Arial" w:eastAsia="Times New Roman" w:hAnsi="Arial" w:cs="Arial"/>
          <w:bCs/>
          <w:iCs/>
          <w:color w:val="000000"/>
          <w:sz w:val="22"/>
          <w:szCs w:val="22"/>
          <w:bdr w:val="none" w:sz="0" w:space="0" w:color="auto"/>
          <w:lang w:eastAsia="pt-BR"/>
        </w:rPr>
        <w:t>and</w:t>
      </w:r>
      <w:proofErr w:type="spellEnd"/>
      <w:r w:rsidRPr="00BE2D95">
        <w:rPr>
          <w:rFonts w:ascii="Arial" w:eastAsia="Times New Roman" w:hAnsi="Arial" w:cs="Arial"/>
          <w:bCs/>
          <w:iCs/>
          <w:color w:val="000000"/>
          <w:sz w:val="22"/>
          <w:szCs w:val="22"/>
          <w:bdr w:val="none" w:sz="0" w:space="0" w:color="auto"/>
          <w:lang w:eastAsia="pt-BR"/>
        </w:rPr>
        <w:t xml:space="preserve"> </w:t>
      </w:r>
      <w:proofErr w:type="spellStart"/>
      <w:r w:rsidRPr="00BE2D95">
        <w:rPr>
          <w:rFonts w:ascii="Arial" w:eastAsia="Times New Roman" w:hAnsi="Arial" w:cs="Arial"/>
          <w:bCs/>
          <w:iCs/>
          <w:color w:val="000000"/>
          <w:sz w:val="22"/>
          <w:szCs w:val="22"/>
          <w:bdr w:val="none" w:sz="0" w:space="0" w:color="auto"/>
          <w:lang w:eastAsia="pt-BR"/>
        </w:rPr>
        <w:t>Poor’s</w:t>
      </w:r>
      <w:proofErr w:type="spellEnd"/>
      <w:r w:rsidRPr="00BE2D95">
        <w:rPr>
          <w:rFonts w:ascii="Arial" w:eastAsia="Times New Roman" w:hAnsi="Arial" w:cs="Arial"/>
          <w:bCs/>
          <w:iCs/>
          <w:color w:val="000000"/>
          <w:sz w:val="22"/>
          <w:szCs w:val="22"/>
          <w:bdr w:val="none" w:sz="0" w:space="0" w:color="auto"/>
          <w:lang w:eastAsia="pt-BR"/>
        </w:rPr>
        <w:t xml:space="preserve">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36"/>
    </w:p>
    <w:p w14:paraId="081F5F3C" w14:textId="77777777" w:rsidR="001052BD" w:rsidRPr="00BE2D95" w:rsidRDefault="001052BD" w:rsidP="003808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115B879C"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Cláusula</w:t>
      </w:r>
      <w:r w:rsidR="00990382">
        <w:rPr>
          <w:rFonts w:ascii="Arial" w:eastAsia="Times New Roman" w:hAnsi="Arial" w:cs="Arial"/>
          <w:bCs/>
          <w:iCs/>
          <w:color w:val="000000"/>
          <w:sz w:val="22"/>
          <w:szCs w:val="22"/>
          <w:u w:val="single"/>
          <w:bdr w:val="none" w:sz="0" w:space="0" w:color="auto"/>
          <w:lang w:eastAsia="pt-BR"/>
        </w:rPr>
        <w:t xml:space="preserve"> 4.8.1</w:t>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3ADB74F4"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37" w:name="_DV_M184"/>
      <w:bookmarkStart w:id="38" w:name="_DV_M115"/>
      <w:bookmarkStart w:id="39" w:name="_DV_M186"/>
      <w:bookmarkEnd w:id="37"/>
      <w:bookmarkEnd w:id="38"/>
      <w:bookmarkEnd w:id="39"/>
      <w:r w:rsidRPr="00BE2D95">
        <w:rPr>
          <w:rFonts w:ascii="Arial" w:eastAsia="Times New Roman" w:hAnsi="Arial" w:cs="Arial"/>
          <w:b/>
          <w:color w:val="000000"/>
          <w:w w:val="0"/>
          <w:sz w:val="22"/>
          <w:szCs w:val="22"/>
          <w:bdr w:val="none" w:sz="0" w:space="0" w:color="auto"/>
          <w:lang w:eastAsia="pt-BR"/>
        </w:rPr>
        <w:t>DA OFERTA DE RESGATE ANTECIPADO, DA AQUISIÇÃO FACULTATIVA E DO VENCIMENTO ANTECIPADO</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0"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forma de manifestação à Emissora e aos Debenturistas que optarem pela adesão à Oferta de Resgate Antecipado;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valor do prêmio de resgate, caso exista, o qual não poderá ser negativo;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w:t>
      </w:r>
      <w:r w:rsidRPr="00BE2D95">
        <w:rPr>
          <w:rFonts w:ascii="Arial" w:eastAsia="Times New Roman" w:hAnsi="Arial" w:cs="Arial"/>
          <w:color w:val="000000"/>
          <w:sz w:val="22"/>
          <w:szCs w:val="22"/>
          <w:bdr w:val="none" w:sz="0" w:space="0" w:color="auto"/>
          <w:lang w:eastAsia="pt-BR"/>
        </w:rPr>
        <w:lastRenderedPageBreak/>
        <w:t xml:space="preserve">Resgate Antecipado, confirmar ao Agente Fiduciário a respectiva data do resgate antecipado; e (b) comunicar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os procedimentos adotados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para as Debêntures que não estiverem custodiadas eletronicamente na B3.</w:t>
      </w:r>
    </w:p>
    <w:bookmarkEnd w:id="40"/>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permanecer em tesouraria, ou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ser novamente colocadas no mercado. As Debêntures adquiridas pela Emissora para permanência em tesouraria, se e quando recolocadas no mercado, farão jus à mesma remuneração das demais Debêntures.</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bookmarkStart w:id="41" w:name="_Hlk73464501"/>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2" w:name="_Ref71290374"/>
      <w:bookmarkEnd w:id="41"/>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2"/>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533A7DC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Cláusula</w:t>
      </w:r>
      <w:r w:rsidR="00377609">
        <w:rPr>
          <w:rFonts w:ascii="Arial" w:hAnsi="Arial" w:cs="Arial"/>
          <w:color w:val="000000"/>
          <w:w w:val="0"/>
          <w:sz w:val="22"/>
          <w:szCs w:val="22"/>
          <w:u w:val="single"/>
          <w:bdr w:val="none" w:sz="0" w:space="0" w:color="auto"/>
          <w:lang w:eastAsia="pt-BR"/>
        </w:rPr>
        <w:t xml:space="preserve"> 5.3</w:t>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00377609">
        <w:rPr>
          <w:rFonts w:ascii="Arial" w:hAnsi="Arial" w:cs="Arial"/>
          <w:color w:val="000000"/>
          <w:w w:val="0"/>
          <w:sz w:val="22"/>
          <w:szCs w:val="22"/>
          <w:u w:val="single"/>
          <w:bdr w:val="none" w:sz="0" w:space="0" w:color="auto"/>
          <w:lang w:eastAsia="pt-BR"/>
        </w:rPr>
        <w:t>5.3.1.</w:t>
      </w:r>
      <w:r w:rsidR="00377609" w:rsidRPr="00A2093A">
        <w:rPr>
          <w:rFonts w:ascii="Arial" w:hAnsi="Arial" w:cs="Arial"/>
          <w:color w:val="000000"/>
          <w:w w:val="0"/>
          <w:sz w:val="22"/>
          <w:szCs w:val="22"/>
          <w:u w:val="single"/>
          <w:bdr w:val="none" w:sz="0" w:space="0" w:color="auto"/>
          <w:lang w:eastAsia="pt-BR"/>
        </w:rPr>
        <w:t>2</w:t>
      </w:r>
      <w:r w:rsidRPr="00A2093A">
        <w:rPr>
          <w:rFonts w:ascii="Arial" w:hAnsi="Arial" w:cs="Arial"/>
          <w:color w:val="000000"/>
          <w:w w:val="0"/>
          <w:sz w:val="22"/>
          <w:szCs w:val="22"/>
          <w:u w:val="single"/>
          <w:bdr w:val="none" w:sz="0" w:space="0" w:color="auto"/>
          <w:lang w:eastAsia="pt-BR"/>
        </w:rPr>
        <w:t xml:space="preserve"> e </w:t>
      </w:r>
      <w:r w:rsidR="00377609" w:rsidRPr="00A2093A">
        <w:rPr>
          <w:rFonts w:ascii="Arial" w:hAnsi="Arial" w:cs="Arial"/>
          <w:color w:val="000000"/>
          <w:w w:val="0"/>
          <w:sz w:val="22"/>
          <w:szCs w:val="22"/>
          <w:u w:val="single"/>
          <w:bdr w:val="none" w:sz="0" w:space="0" w:color="auto"/>
          <w:lang w:eastAsia="pt-BR"/>
        </w:rPr>
        <w:t>5.3.1.4</w:t>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2B2E5648"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3" w:name="_Ref71290386"/>
      <w:r w:rsidRPr="00BE2D95">
        <w:rPr>
          <w:rFonts w:ascii="Arial" w:hAnsi="Arial" w:cs="Arial"/>
          <w:color w:val="000000"/>
          <w:w w:val="0"/>
          <w:sz w:val="22"/>
          <w:szCs w:val="22"/>
          <w:bdr w:val="none" w:sz="0" w:space="0" w:color="auto"/>
          <w:lang w:eastAsia="pt-BR"/>
        </w:rPr>
        <w:lastRenderedPageBreak/>
        <w:t xml:space="preserve">Constituem Hipóteses de Vencimento Antecipado que acarretam o vencimento 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00E412E3">
        <w:rPr>
          <w:rFonts w:ascii="Arial" w:hAnsi="Arial" w:cs="Arial"/>
          <w:color w:val="000000"/>
          <w:w w:val="0"/>
          <w:sz w:val="22"/>
          <w:szCs w:val="22"/>
          <w:u w:val="single"/>
          <w:bdr w:val="none" w:sz="0" w:space="0" w:color="auto"/>
          <w:lang w:eastAsia="pt-BR"/>
        </w:rPr>
        <w:t>5.3.1.3</w:t>
      </w:r>
      <w:r w:rsidRPr="00BE2D95">
        <w:rPr>
          <w:rFonts w:ascii="Arial" w:hAnsi="Arial" w:cs="Arial"/>
          <w:color w:val="000000"/>
          <w:w w:val="0"/>
          <w:sz w:val="22"/>
          <w:szCs w:val="22"/>
          <w:bdr w:val="none" w:sz="0" w:space="0" w:color="auto"/>
          <w:lang w:eastAsia="pt-BR"/>
        </w:rPr>
        <w:t xml:space="preserve"> abaixo:</w:t>
      </w:r>
      <w:bookmarkEnd w:id="43"/>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4" w:name="_DV_M34"/>
      <w:bookmarkEnd w:id="44"/>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7F033B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w:t>
      </w:r>
      <w:r w:rsidR="002001BA">
        <w:rPr>
          <w:rFonts w:ascii="Arial" w:hAnsi="Arial" w:cs="Arial"/>
          <w:color w:val="000000"/>
          <w:w w:val="0"/>
          <w:sz w:val="22"/>
          <w:szCs w:val="22"/>
          <w:u w:val="single"/>
          <w:bdr w:val="none" w:sz="0" w:space="0" w:color="auto"/>
          <w:lang w:eastAsia="x-none"/>
        </w:rPr>
        <w:t xml:space="preserve"> 3.7.1</w:t>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cessão, promessa de cessão ou qualquer forma de transferência ou promessa de transferência a terceiros, no todo ou em parte, pela Emissora, de quaisquer de suas obrigações </w:t>
      </w:r>
      <w:r w:rsidRPr="00BE2D95">
        <w:rPr>
          <w:rFonts w:ascii="Arial" w:eastAsia="Times New Roman" w:hAnsi="Arial" w:cs="Arial"/>
          <w:color w:val="000000"/>
          <w:sz w:val="22"/>
          <w:szCs w:val="22"/>
          <w:bdr w:val="none" w:sz="0" w:space="0" w:color="auto"/>
          <w:lang w:val="x-none" w:eastAsia="x-none"/>
        </w:rPr>
        <w:lastRenderedPageBreak/>
        <w:t>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4B0441F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5"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Cláusula</w:t>
      </w:r>
      <w:r w:rsidR="002001BA">
        <w:rPr>
          <w:rFonts w:ascii="Arial" w:eastAsia="Times New Roman" w:hAnsi="Arial" w:cs="Arial"/>
          <w:color w:val="000000"/>
          <w:sz w:val="22"/>
          <w:szCs w:val="22"/>
          <w:u w:val="single"/>
          <w:bdr w:val="none" w:sz="0" w:space="0" w:color="auto"/>
          <w:lang w:eastAsia="pt-BR"/>
        </w:rPr>
        <w:t xml:space="preserve"> 5.3.1.2</w:t>
      </w:r>
      <w:r w:rsidR="002001BA" w:rsidRPr="00E412E3">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45"/>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2FE0C7A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6"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Cláusula</w:t>
      </w:r>
      <w:r w:rsidR="002001BA">
        <w:rPr>
          <w:rFonts w:ascii="Arial" w:eastAsia="Times New Roman" w:hAnsi="Arial" w:cs="Arial"/>
          <w:color w:val="000000"/>
          <w:sz w:val="22"/>
          <w:szCs w:val="22"/>
          <w:u w:val="single"/>
          <w:bdr w:val="none" w:sz="0" w:space="0" w:color="auto"/>
          <w:lang w:eastAsia="pt-BR"/>
        </w:rPr>
        <w:t xml:space="preserve"> 5.3.1.5</w:t>
      </w:r>
      <w:r w:rsidR="002001BA" w:rsidRPr="00E412E3">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abaixo, qualquer dos eventos previstos em lei e/ou qualquer das seguintes Hipóteses de Vencimento Antecipado:</w:t>
      </w:r>
      <w:bookmarkEnd w:id="46"/>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 xml:space="preserve">U.S. </w:t>
      </w:r>
      <w:proofErr w:type="spellStart"/>
      <w:r w:rsidRPr="00BE2D95">
        <w:rPr>
          <w:rFonts w:ascii="Arial" w:eastAsia="Times New Roman" w:hAnsi="Arial" w:cs="Arial"/>
          <w:i/>
          <w:color w:val="000000"/>
          <w:kern w:val="16"/>
          <w:sz w:val="22"/>
          <w:szCs w:val="22"/>
          <w:bdr w:val="none" w:sz="0" w:space="0" w:color="auto"/>
          <w:lang w:val="x-none" w:eastAsia="x-none"/>
        </w:rPr>
        <w:t>Foreign</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Corrupt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Practices</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of</w:t>
      </w:r>
      <w:proofErr w:type="spellEnd"/>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 xml:space="preserve">UK </w:t>
      </w:r>
      <w:proofErr w:type="spellStart"/>
      <w:r w:rsidRPr="00BE2D95">
        <w:rPr>
          <w:rFonts w:ascii="Arial" w:eastAsia="Times New Roman" w:hAnsi="Arial" w:cs="Arial"/>
          <w:i/>
          <w:color w:val="000000"/>
          <w:kern w:val="16"/>
          <w:sz w:val="22"/>
          <w:szCs w:val="22"/>
          <w:bdr w:val="none" w:sz="0" w:space="0" w:color="auto"/>
          <w:lang w:val="x-none" w:eastAsia="x-none"/>
        </w:rPr>
        <w:t>Bribery</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3854EA77" w14:textId="00ED1E38" w:rsidR="008841A2" w:rsidRPr="008841A2" w:rsidRDefault="008841A2" w:rsidP="008841A2">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762DDE">
        <w:rPr>
          <w:rFonts w:ascii="Arial" w:hAnsi="Arial" w:cs="Arial"/>
          <w:color w:val="000000"/>
          <w:sz w:val="22"/>
          <w:szCs w:val="22"/>
        </w:rPr>
        <w:t xml:space="preserve">alteração, transferência, cessão ou alienação do controle acionário da Emissora de modo que a </w:t>
      </w:r>
      <w:r w:rsidRPr="008841A2">
        <w:rPr>
          <w:rFonts w:ascii="Arial" w:hAnsi="Arial" w:cs="Arial"/>
          <w:sz w:val="22"/>
          <w:szCs w:val="22"/>
        </w:rPr>
        <w:t xml:space="preserve">Volkswagen Financial Services </w:t>
      </w:r>
      <w:proofErr w:type="spellStart"/>
      <w:r w:rsidRPr="008841A2">
        <w:rPr>
          <w:rFonts w:ascii="Arial" w:hAnsi="Arial" w:cs="Arial"/>
          <w:sz w:val="22"/>
          <w:szCs w:val="22"/>
        </w:rPr>
        <w:t>Aktiengesellschaft</w:t>
      </w:r>
      <w:proofErr w:type="spellEnd"/>
      <w:r w:rsidRPr="008841A2">
        <w:rPr>
          <w:rFonts w:ascii="Arial" w:hAnsi="Arial" w:cs="Arial"/>
          <w:sz w:val="22"/>
          <w:szCs w:val="22"/>
          <w:shd w:val="clear" w:color="auto" w:fill="FFFFFF"/>
        </w:rPr>
        <w:t xml:space="preserve"> (“</w:t>
      </w:r>
      <w:r w:rsidRPr="008841A2">
        <w:rPr>
          <w:rFonts w:ascii="Arial" w:hAnsi="Arial" w:cs="Arial"/>
          <w:sz w:val="22"/>
          <w:szCs w:val="22"/>
          <w:u w:val="single"/>
          <w:shd w:val="clear" w:color="auto" w:fill="FFFFFF"/>
        </w:rPr>
        <w:t>VW Financial Services AG</w:t>
      </w:r>
      <w:r w:rsidRPr="008841A2">
        <w:rPr>
          <w:rFonts w:ascii="Arial" w:hAnsi="Arial" w:cs="Arial"/>
          <w:sz w:val="22"/>
          <w:szCs w:val="22"/>
          <w:shd w:val="clear" w:color="auto" w:fill="FFFFFF"/>
        </w:rPr>
        <w:t xml:space="preserve">”) </w:t>
      </w:r>
      <w:r w:rsidRPr="00762DDE">
        <w:rPr>
          <w:rFonts w:ascii="Arial" w:hAnsi="Arial" w:cs="Arial"/>
          <w:color w:val="000000"/>
          <w:sz w:val="22"/>
          <w:szCs w:val="22"/>
        </w:rPr>
        <w:t>deix</w:t>
      </w:r>
      <w:r w:rsidRPr="008841A2">
        <w:rPr>
          <w:rFonts w:ascii="Arial" w:hAnsi="Arial" w:cs="Arial"/>
          <w:color w:val="000000"/>
          <w:sz w:val="22"/>
          <w:szCs w:val="22"/>
        </w:rPr>
        <w:t>e</w:t>
      </w:r>
      <w:r w:rsidRPr="00762DDE">
        <w:rPr>
          <w:rFonts w:ascii="Arial" w:hAnsi="Arial" w:cs="Arial"/>
          <w:color w:val="000000"/>
          <w:sz w:val="22"/>
          <w:szCs w:val="22"/>
        </w:rPr>
        <w:t xml:space="preserve"> de controlar direta ou indiretamente pelo menos 50% (cinquenta por</w:t>
      </w:r>
      <w:r w:rsidR="001650B9">
        <w:rPr>
          <w:rFonts w:ascii="Arial" w:hAnsi="Arial" w:cs="Arial"/>
          <w:color w:val="000000"/>
          <w:sz w:val="22"/>
          <w:szCs w:val="22"/>
        </w:rPr>
        <w:t xml:space="preserve"> </w:t>
      </w:r>
      <w:r w:rsidRPr="00762DDE">
        <w:rPr>
          <w:rFonts w:ascii="Arial" w:hAnsi="Arial" w:cs="Arial"/>
          <w:color w:val="000000"/>
          <w:sz w:val="22"/>
          <w:szCs w:val="22"/>
        </w:rPr>
        <w:t>cento) mais 1 (uma) ação do capital social da Emissora, exceto quando houver autorização prévia dos Debenturistas</w:t>
      </w:r>
      <w:r w:rsidRPr="008841A2">
        <w:rPr>
          <w:rFonts w:ascii="Arial" w:hAnsi="Arial" w:cs="Arial"/>
          <w:color w:val="000000"/>
          <w:sz w:val="22"/>
          <w:szCs w:val="22"/>
        </w:rPr>
        <w:t>;</w:t>
      </w:r>
    </w:p>
    <w:p w14:paraId="1D3AFCF0" w14:textId="77777777" w:rsidR="008841A2" w:rsidRPr="00BE2D95" w:rsidRDefault="008841A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w:t>
      </w:r>
      <w:r w:rsidRPr="00BE2D95">
        <w:rPr>
          <w:rFonts w:ascii="Arial" w:eastAsia="Times New Roman" w:hAnsi="Arial" w:cs="Arial"/>
          <w:color w:val="000000"/>
          <w:sz w:val="22"/>
          <w:szCs w:val="22"/>
          <w:bdr w:val="none" w:sz="0" w:space="0" w:color="auto"/>
          <w:lang w:val="x-none" w:eastAsia="x-none"/>
        </w:rPr>
        <w:lastRenderedPageBreak/>
        <w:t>lo, desde que observados os respectivos prazos de cura de referidas obrigações pecuniárias 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47"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47"/>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6B2FF06D"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48"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00990382">
        <w:rPr>
          <w:rFonts w:ascii="Arial" w:eastAsia="MS Mincho" w:hAnsi="Arial" w:cs="Arial"/>
          <w:color w:val="000000"/>
          <w:sz w:val="22"/>
          <w:szCs w:val="22"/>
          <w:u w:val="single"/>
          <w:bdr w:val="none" w:sz="0" w:space="0" w:color="auto"/>
          <w:lang w:eastAsia="pt-BR"/>
        </w:rPr>
        <w:lastRenderedPageBreak/>
        <w:t>5.3.1.4</w:t>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48"/>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345CB45E"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00E412E3">
        <w:rPr>
          <w:rFonts w:ascii="Arial" w:hAnsi="Arial" w:cs="Arial"/>
          <w:color w:val="000000"/>
          <w:sz w:val="22"/>
          <w:szCs w:val="22"/>
          <w:u w:val="single"/>
          <w:bdr w:val="none" w:sz="0" w:space="0" w:color="auto"/>
          <w:lang w:eastAsia="pt-BR"/>
        </w:rPr>
        <w:t>5.3.1.7</w:t>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49" w:name="_Ref73472346"/>
      <w:bookmarkStart w:id="50" w:name="_Hlk73466072"/>
      <w:r w:rsidRPr="00BE2D95">
        <w:rPr>
          <w:rFonts w:ascii="Arial" w:eastAsia="Times New Roman" w:hAnsi="Arial" w:cs="Arial"/>
          <w:color w:val="000000"/>
          <w:sz w:val="22"/>
          <w:szCs w:val="22"/>
          <w:bdr w:val="none" w:sz="0" w:space="0" w:color="auto"/>
          <w:lang w:eastAsia="pt-BR"/>
        </w:rPr>
        <w:t xml:space="preserve">Uma vez vencidas antecipadamente as Debêntures, o Agente Fiduciário deverá comunicar, imediatamente, a Emissora, com cópia para a B3, para 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49"/>
    </w:p>
    <w:bookmarkEnd w:id="50"/>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2B0D350"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Cláusula</w:t>
      </w:r>
      <w:r w:rsidR="002001BA">
        <w:rPr>
          <w:rFonts w:ascii="Arial" w:hAnsi="Arial" w:cs="Arial"/>
          <w:color w:val="000000"/>
          <w:sz w:val="22"/>
          <w:szCs w:val="22"/>
          <w:u w:val="single"/>
          <w:bdr w:val="none" w:sz="0" w:space="0" w:color="auto"/>
          <w:lang w:eastAsia="pt-BR"/>
        </w:rPr>
        <w:t xml:space="preserve"> 5.3.1.7 </w:t>
      </w:r>
      <w:r w:rsidRPr="00BE2D95">
        <w:rPr>
          <w:rFonts w:ascii="Arial" w:hAnsi="Arial" w:cs="Arial"/>
          <w:color w:val="000000"/>
          <w:sz w:val="22"/>
          <w:szCs w:val="22"/>
          <w:bdr w:val="none" w:sz="0" w:space="0" w:color="auto"/>
          <w:lang w:eastAsia="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1" w:name="_DV_M188"/>
      <w:bookmarkStart w:id="52" w:name="_Ref71290847"/>
      <w:bookmarkEnd w:id="51"/>
      <w:r w:rsidRPr="00BE2D95">
        <w:rPr>
          <w:rFonts w:ascii="Arial" w:hAnsi="Arial" w:cs="Arial"/>
          <w:color w:val="000000"/>
          <w:w w:val="0"/>
          <w:sz w:val="22"/>
          <w:szCs w:val="22"/>
          <w:bdr w:val="none" w:sz="0" w:space="0" w:color="auto"/>
          <w:lang w:eastAsia="pt-BR"/>
        </w:rPr>
        <w:t xml:space="preserve">Sem prejuízo das demais obrigações previstas nesta Escritura e de outras obrigações expressamente previstas na regulamentação em vigor, a Emissora se obriga, conforme </w:t>
      </w:r>
      <w:r w:rsidRPr="00BE2D95">
        <w:rPr>
          <w:rFonts w:ascii="Arial" w:hAnsi="Arial" w:cs="Arial"/>
          <w:color w:val="000000"/>
          <w:w w:val="0"/>
          <w:sz w:val="22"/>
          <w:szCs w:val="22"/>
          <w:bdr w:val="none" w:sz="0" w:space="0" w:color="auto"/>
          <w:lang w:eastAsia="pt-BR"/>
        </w:rPr>
        <w:lastRenderedPageBreak/>
        <w:t>aplicável, até que a liquidação integral das Debêntures seja totalmente realizada, a:</w:t>
      </w:r>
      <w:bookmarkEnd w:id="52"/>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fornecer</w:t>
      </w:r>
      <w:proofErr w:type="spellEnd"/>
      <w:r w:rsidRPr="00BE2D95">
        <w:rPr>
          <w:rFonts w:ascii="Arial" w:eastAsia="Times New Roman" w:hAnsi="Arial" w:cs="Arial"/>
          <w:color w:val="000000"/>
          <w:sz w:val="22"/>
          <w:szCs w:val="22"/>
          <w:bdr w:val="none" w:sz="0" w:space="0" w:color="auto"/>
          <w:lang w:eastAsia="pt-BR"/>
        </w:rPr>
        <w:t xml:space="preserve">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3" w:name="_DV_M74"/>
      <w:bookmarkEnd w:id="53"/>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em sua página na rede mundial de computadores, o relatório anual do Agente Fiduciário e demais comunicações enviadas pelo Agente Fiduciário na mesma </w:t>
      </w:r>
      <w:r w:rsidRPr="00BE2D95">
        <w:rPr>
          <w:rFonts w:ascii="Arial" w:hAnsi="Arial" w:cs="Arial"/>
          <w:color w:val="000000"/>
          <w:w w:val="0"/>
          <w:sz w:val="22"/>
          <w:szCs w:val="22"/>
          <w:bdr w:val="none" w:sz="0" w:space="0" w:color="auto"/>
          <w:lang w:eastAsia="pt-BR"/>
        </w:rPr>
        <w:lastRenderedPageBreak/>
        <w:t>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4" w:name="_DV_M91"/>
      <w:bookmarkEnd w:id="54"/>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1C1868" w14:textId="77777777" w:rsidR="00007554" w:rsidRPr="00BF2CA3" w:rsidRDefault="001052BD"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w:t>
      </w:r>
      <w:r w:rsidRPr="00BF2CA3">
        <w:rPr>
          <w:rFonts w:ascii="Arial" w:eastAsia="Times New Roman" w:hAnsi="Arial" w:cs="Arial"/>
          <w:sz w:val="22"/>
          <w:szCs w:val="22"/>
          <w:bdr w:val="none" w:sz="0" w:space="0" w:color="auto"/>
          <w:lang w:eastAsia="pt-BR"/>
        </w:rPr>
        <w:t xml:space="preserve">para a realização do </w:t>
      </w:r>
      <w:r w:rsidRPr="00BF2CA3">
        <w:rPr>
          <w:rFonts w:ascii="Arial" w:hAnsi="Arial" w:cs="Arial"/>
          <w:w w:val="0"/>
          <w:sz w:val="22"/>
          <w:szCs w:val="22"/>
          <w:bdr w:val="none" w:sz="0" w:space="0" w:color="auto"/>
          <w:lang w:eastAsia="pt-BR"/>
        </w:rPr>
        <w:t xml:space="preserve">relatório destinado aos </w:t>
      </w:r>
      <w:r w:rsidRPr="00BF2CA3">
        <w:rPr>
          <w:rFonts w:ascii="Arial" w:eastAsia="Times New Roman" w:hAnsi="Arial" w:cs="Arial"/>
          <w:w w:val="0"/>
          <w:sz w:val="22"/>
          <w:szCs w:val="22"/>
          <w:bdr w:val="none" w:sz="0" w:space="0" w:color="auto"/>
          <w:lang w:eastAsia="pt-BR"/>
        </w:rPr>
        <w:t>D</w:t>
      </w:r>
      <w:r w:rsidRPr="00BF2CA3">
        <w:rPr>
          <w:rFonts w:ascii="Arial" w:eastAsia="Times New Roman" w:hAnsi="Arial" w:cs="Arial"/>
          <w:sz w:val="22"/>
          <w:szCs w:val="22"/>
          <w:bdr w:val="none" w:sz="0" w:space="0" w:color="auto"/>
          <w:lang w:eastAsia="pt-BR"/>
        </w:rPr>
        <w:t>ebenturistas</w:t>
      </w:r>
      <w:r w:rsidRPr="00BF2CA3">
        <w:rPr>
          <w:rFonts w:ascii="Arial" w:hAnsi="Arial" w:cs="Arial"/>
          <w:w w:val="0"/>
          <w:sz w:val="22"/>
          <w:szCs w:val="22"/>
          <w:bdr w:val="none" w:sz="0" w:space="0" w:color="auto"/>
          <w:lang w:eastAsia="pt-BR"/>
        </w:rPr>
        <w:t xml:space="preserve">, nos termos do artigo 68, parágrafo 1º, alínea b, da Lei das Sociedades por Ações e nos termos do artigo 15 da Resolução CVM </w:t>
      </w:r>
      <w:r w:rsidRPr="00BF2CA3">
        <w:rPr>
          <w:rFonts w:ascii="Arial" w:eastAsia="Times New Roman" w:hAnsi="Arial" w:cs="Arial"/>
          <w:sz w:val="22"/>
          <w:szCs w:val="22"/>
          <w:bdr w:val="none" w:sz="0" w:space="0" w:color="auto"/>
          <w:lang w:eastAsia="pt-BR"/>
        </w:rPr>
        <w:t>nº 17, de 9 de fevereiro de 2021 (“</w:t>
      </w:r>
      <w:r w:rsidRPr="00BF2CA3">
        <w:rPr>
          <w:rFonts w:ascii="Arial" w:eastAsia="Times New Roman" w:hAnsi="Arial" w:cs="Arial"/>
          <w:sz w:val="22"/>
          <w:szCs w:val="22"/>
          <w:u w:val="single"/>
          <w:bdr w:val="none" w:sz="0" w:space="0" w:color="auto"/>
          <w:lang w:eastAsia="pt-BR"/>
        </w:rPr>
        <w:t>Resolução CVM 17</w:t>
      </w:r>
      <w:r w:rsidRPr="00BF2CA3">
        <w:rPr>
          <w:rFonts w:ascii="Arial" w:eastAsia="Times New Roman" w:hAnsi="Arial" w:cs="Arial"/>
          <w:sz w:val="22"/>
          <w:szCs w:val="22"/>
          <w:bdr w:val="none" w:sz="0" w:space="0" w:color="auto"/>
          <w:lang w:eastAsia="pt-BR"/>
        </w:rPr>
        <w:t>”), conforme solicitado pelo Agente Fiduciário anualmente;</w:t>
      </w:r>
    </w:p>
    <w:p w14:paraId="03E12407" w14:textId="77777777" w:rsidR="00007554" w:rsidRPr="00BF2CA3" w:rsidRDefault="00007554" w:rsidP="00007554">
      <w:pPr>
        <w:pStyle w:val="PargrafodaLista"/>
        <w:rPr>
          <w:rFonts w:ascii="Calibri" w:eastAsiaTheme="minorHAnsi" w:hAnsi="Calibri" w:cs="Calibri"/>
          <w:color w:val="auto"/>
          <w:bdr w:val="none" w:sz="0" w:space="0" w:color="auto"/>
        </w:rPr>
      </w:pPr>
    </w:p>
    <w:p w14:paraId="04CADC1D" w14:textId="472DBDD3" w:rsidR="00007554" w:rsidRPr="00007554" w:rsidRDefault="00007554"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w w:val="0"/>
          <w:sz w:val="22"/>
          <w:szCs w:val="22"/>
          <w:bdr w:val="none" w:sz="0" w:space="0" w:color="auto"/>
          <w:lang w:eastAsia="pt-BR"/>
        </w:rPr>
      </w:pPr>
      <w:r w:rsidRPr="00BF2CA3">
        <w:rPr>
          <w:rFonts w:ascii="Arial" w:hAnsi="Arial" w:cs="Arial"/>
          <w:w w:val="0"/>
          <w:sz w:val="22"/>
          <w:szCs w:val="22"/>
          <w:bdr w:val="none" w:sz="0" w:space="0" w:color="auto"/>
          <w:lang w:eastAsia="pt-BR"/>
        </w:rPr>
        <w:t xml:space="preserve">cumprir </w:t>
      </w:r>
      <w:r w:rsidRPr="00007554">
        <w:rPr>
          <w:rFonts w:ascii="Arial" w:hAnsi="Arial" w:cs="Arial"/>
          <w:color w:val="000000"/>
          <w:w w:val="0"/>
          <w:sz w:val="22"/>
          <w:szCs w:val="22"/>
          <w:bdr w:val="none" w:sz="0" w:space="0" w:color="auto"/>
          <w:lang w:eastAsia="pt-BR"/>
        </w:rPr>
        <w:t xml:space="preserve">todas as obrigações assumidas nos termos desta Escritura, inclusive no que tange à destinação dos recursos obtidos por meio da emissão das Debêntures, comprovando sua efetiva utilização nos termos da Cláusula 3.7.1 acima,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w:t>
      </w:r>
      <w:r w:rsidRPr="00007554">
        <w:rPr>
          <w:rFonts w:ascii="Arial" w:hAnsi="Arial" w:cs="Arial"/>
          <w:color w:val="000000"/>
          <w:w w:val="0"/>
          <w:sz w:val="22"/>
          <w:szCs w:val="22"/>
          <w:bdr w:val="none" w:sz="0" w:space="0" w:color="auto"/>
          <w:lang w:eastAsia="pt-BR"/>
        </w:rPr>
        <w:lastRenderedPageBreak/>
        <w:t>representante legal, incluindo a demonstração de fluxo de caixa;</w:t>
      </w:r>
    </w:p>
    <w:p w14:paraId="655A79D4" w14:textId="0217615C" w:rsidR="00007554" w:rsidRPr="00BE2D95" w:rsidRDefault="00007554"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 xml:space="preserve">os prestadores de serviços inerentes às obrigações previstas nesta Escritura, incluindo o Agente Fiduciário,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Emissora constitui e nomeia a </w:t>
      </w: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 xml:space="preserve">ou, em caso de alteração, a que vier a </w:t>
      </w:r>
      <w:proofErr w:type="gramStart"/>
      <w:r w:rsidRPr="00BE2D95">
        <w:rPr>
          <w:rFonts w:ascii="Arial" w:eastAsia="Times New Roman" w:hAnsi="Arial" w:cs="Arial"/>
          <w:color w:val="000000"/>
          <w:sz w:val="22"/>
          <w:szCs w:val="22"/>
          <w:bdr w:val="none" w:sz="0" w:space="0" w:color="auto"/>
          <w:lang w:eastAsia="pt-BR"/>
        </w:rPr>
        <w:t>substituí-la</w:t>
      </w:r>
      <w:proofErr w:type="gramEnd"/>
      <w:r w:rsidRPr="00BE2D95">
        <w:rPr>
          <w:rFonts w:ascii="Arial" w:eastAsia="Times New Roman" w:hAnsi="Arial" w:cs="Arial"/>
          <w:color w:val="000000"/>
          <w:sz w:val="22"/>
          <w:szCs w:val="22"/>
          <w:bdr w:val="none" w:sz="0" w:space="0" w:color="auto"/>
          <w:lang w:eastAsia="pt-BR"/>
        </w:rPr>
        <w:t>,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55" w:name="_DV_C424"/>
      <w:r w:rsidRPr="00BE2D95">
        <w:rPr>
          <w:rFonts w:ascii="Arial" w:hAnsi="Arial" w:cs="Arial"/>
          <w:color w:val="000000"/>
          <w:sz w:val="22"/>
          <w:szCs w:val="22"/>
          <w:bdr w:val="none" w:sz="0" w:space="0" w:color="auto"/>
          <w:lang w:eastAsia="pt-BR"/>
        </w:rPr>
        <w:t xml:space="preserve">que </w:t>
      </w:r>
      <w:bookmarkStart w:id="56" w:name="_DV_X465"/>
      <w:bookmarkStart w:id="57" w:name="_DV_C425"/>
      <w:bookmarkEnd w:id="55"/>
      <w:r w:rsidRPr="00BE2D95">
        <w:rPr>
          <w:rFonts w:ascii="Arial" w:hAnsi="Arial" w:cs="Arial"/>
          <w:color w:val="000000"/>
          <w:sz w:val="22"/>
          <w:szCs w:val="22"/>
          <w:bdr w:val="none" w:sz="0" w:space="0" w:color="auto"/>
          <w:lang w:eastAsia="pt-BR"/>
        </w:rPr>
        <w:t>esta Escritura constitui uma obrigação legal, válida</w:t>
      </w:r>
      <w:bookmarkStart w:id="58" w:name="_DV_C426"/>
      <w:bookmarkEnd w:id="56"/>
      <w:bookmarkEnd w:id="57"/>
      <w:r w:rsidRPr="00BE2D95">
        <w:rPr>
          <w:rFonts w:ascii="Arial" w:hAnsi="Arial" w:cs="Arial"/>
          <w:color w:val="000000"/>
          <w:sz w:val="22"/>
          <w:szCs w:val="22"/>
          <w:bdr w:val="none" w:sz="0" w:space="0" w:color="auto"/>
          <w:lang w:eastAsia="pt-BR"/>
        </w:rPr>
        <w:t>, vinculativa e eficaz</w:t>
      </w:r>
      <w:bookmarkStart w:id="59" w:name="_DV_X467"/>
      <w:bookmarkStart w:id="60" w:name="_DV_C427"/>
      <w:bookmarkEnd w:id="58"/>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59"/>
      <w:bookmarkEnd w:id="60"/>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0999DAA1"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Cláusula</w:t>
      </w:r>
      <w:r w:rsidR="00E412E3">
        <w:rPr>
          <w:rFonts w:ascii="Arial" w:eastAsia="Times New Roman" w:hAnsi="Arial" w:cs="Arial"/>
          <w:color w:val="000000"/>
          <w:sz w:val="22"/>
          <w:szCs w:val="22"/>
          <w:u w:val="single"/>
          <w:bdr w:val="none" w:sz="0" w:space="0" w:color="auto"/>
          <w:lang w:eastAsia="pt-BR"/>
        </w:rPr>
        <w:t xml:space="preserve"> 5.3</w:t>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a celebração desta Escritura e o cumprimento de suas obrigações nela previstas não </w:t>
      </w:r>
      <w:r w:rsidRPr="00BE2D95">
        <w:rPr>
          <w:rFonts w:ascii="Arial" w:eastAsia="Times New Roman" w:hAnsi="Arial" w:cs="Arial"/>
          <w:color w:val="000000"/>
          <w:sz w:val="22"/>
          <w:szCs w:val="22"/>
          <w:bdr w:val="none" w:sz="0" w:space="0" w:color="auto"/>
          <w:lang w:eastAsia="pt-BR"/>
        </w:rPr>
        <w:lastRenderedPageBreak/>
        <w:t>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 xml:space="preserve">verificou, no momento de aceitar a função, a veracidade das informações contidas </w:t>
      </w:r>
      <w:proofErr w:type="spellStart"/>
      <w:r w:rsidRPr="00BE2D95">
        <w:rPr>
          <w:rFonts w:ascii="Arial" w:hAnsi="Arial" w:cs="Arial"/>
          <w:color w:val="000000"/>
          <w:sz w:val="22"/>
          <w:szCs w:val="22"/>
          <w:bdr w:val="none" w:sz="0" w:space="0" w:color="auto"/>
          <w:lang w:eastAsia="pt-BR"/>
        </w:rPr>
        <w:t>nesta</w:t>
      </w:r>
      <w:proofErr w:type="spellEnd"/>
      <w:r w:rsidRPr="00BE2D95">
        <w:rPr>
          <w:rFonts w:ascii="Arial" w:hAnsi="Arial" w:cs="Arial"/>
          <w:color w:val="000000"/>
          <w:sz w:val="22"/>
          <w:szCs w:val="22"/>
          <w:bdr w:val="none" w:sz="0" w:space="0" w:color="auto"/>
          <w:lang w:eastAsia="pt-BR"/>
        </w:rPr>
        <w:t xml:space="preserve">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54A4353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lastRenderedPageBreak/>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77777777" w:rsidR="001052BD" w:rsidRPr="00BE2D95" w:rsidRDefault="001052BD" w:rsidP="00876FB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 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31089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Aval</w:t>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w:t>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por sua vez, declara não ter qualquer ligação com o Agente Fiduciário que </w:t>
      </w:r>
      <w:r w:rsidRPr="00BE2D95">
        <w:rPr>
          <w:rFonts w:ascii="Arial" w:hAnsi="Arial" w:cs="Arial"/>
          <w:color w:val="000000"/>
          <w:w w:val="0"/>
          <w:sz w:val="22"/>
          <w:szCs w:val="22"/>
          <w:bdr w:val="none" w:sz="0" w:space="0" w:color="auto"/>
          <w:lang w:eastAsia="pt-BR"/>
        </w:rPr>
        <w:lastRenderedPageBreak/>
        <w:t>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1"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61"/>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Aplicam-se às hipóteses de substituição do Agente Fiduciário as normas e preceitos da </w:t>
      </w:r>
      <w:r w:rsidRPr="00BE2D95">
        <w:rPr>
          <w:rFonts w:ascii="Arial" w:hAnsi="Arial" w:cs="Arial"/>
          <w:color w:val="000000"/>
          <w:w w:val="0"/>
          <w:sz w:val="22"/>
          <w:szCs w:val="22"/>
          <w:bdr w:val="none" w:sz="0" w:space="0" w:color="auto"/>
          <w:lang w:eastAsia="pt-BR"/>
        </w:rPr>
        <w:lastRenderedPageBreak/>
        <w:t>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2"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62"/>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verificar, no momento de aceitar a função, a consistência das informações contidas </w:t>
      </w:r>
      <w:proofErr w:type="spellStart"/>
      <w:r w:rsidRPr="00BE2D95">
        <w:rPr>
          <w:rFonts w:ascii="Arial" w:hAnsi="Arial" w:cs="Arial"/>
          <w:color w:val="000000"/>
          <w:w w:val="0"/>
          <w:sz w:val="22"/>
          <w:szCs w:val="22"/>
          <w:bdr w:val="none" w:sz="0" w:space="0" w:color="auto"/>
          <w:lang w:eastAsia="pt-BR"/>
        </w:rPr>
        <w:t>nesta</w:t>
      </w:r>
      <w:proofErr w:type="spellEnd"/>
      <w:r w:rsidRPr="00BE2D95">
        <w:rPr>
          <w:rFonts w:ascii="Arial" w:hAnsi="Arial" w:cs="Arial"/>
          <w:color w:val="000000"/>
          <w:w w:val="0"/>
          <w:sz w:val="22"/>
          <w:szCs w:val="22"/>
          <w:bdr w:val="none" w:sz="0" w:space="0" w:color="auto"/>
          <w:lang w:eastAsia="pt-BR"/>
        </w:rPr>
        <w:t xml:space="preserve">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63"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63"/>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w:t>
      </w:r>
      <w:proofErr w:type="spellStart"/>
      <w:r w:rsidRPr="00BE2D95">
        <w:rPr>
          <w:rFonts w:ascii="Arial" w:eastAsia="Times New Roman" w:hAnsi="Arial" w:cs="Arial"/>
          <w:color w:val="000000"/>
          <w:sz w:val="22"/>
          <w:szCs w:val="22"/>
          <w:bdr w:val="none" w:sz="0" w:space="0" w:color="auto"/>
          <w:lang w:eastAsia="pt-BR"/>
        </w:rPr>
        <w:t>xiv</w:t>
      </w:r>
      <w:proofErr w:type="spellEnd"/>
      <w:r w:rsidRPr="00BE2D95">
        <w:rPr>
          <w:rFonts w:ascii="Arial" w:eastAsia="Times New Roman" w:hAnsi="Arial" w:cs="Arial"/>
          <w:color w:val="000000"/>
          <w:sz w:val="22"/>
          <w:szCs w:val="22"/>
          <w:bdr w:val="none" w:sz="0" w:space="0" w:color="auto"/>
          <w:lang w:eastAsia="pt-BR"/>
        </w:rPr>
        <w:t>)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 xml:space="preserve">em que tenha atuado como agente fiduciário no período, bem como os seguintes dados sobre tais emissões, (1) </w:t>
      </w:r>
      <w:r w:rsidRPr="00BE2D95">
        <w:rPr>
          <w:rFonts w:ascii="Arial" w:hAnsi="Arial" w:cs="Arial"/>
          <w:color w:val="000000"/>
          <w:sz w:val="22"/>
          <w:szCs w:val="22"/>
          <w:bdr w:val="none" w:sz="0" w:space="0" w:color="auto"/>
          <w:lang w:eastAsia="pt-BR"/>
        </w:rPr>
        <w:lastRenderedPageBreak/>
        <w:t>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colocar o relatório de que trata o item (</w:t>
      </w:r>
      <w:proofErr w:type="spellStart"/>
      <w:r w:rsidRPr="00BE2D95">
        <w:rPr>
          <w:rFonts w:ascii="Arial" w:hAnsi="Arial" w:cs="Arial"/>
          <w:color w:val="000000"/>
          <w:sz w:val="22"/>
          <w:szCs w:val="22"/>
          <w:bdr w:val="none" w:sz="0" w:space="0" w:color="auto"/>
          <w:lang w:eastAsia="pt-BR"/>
        </w:rPr>
        <w:t>xiv</w:t>
      </w:r>
      <w:proofErr w:type="spellEnd"/>
      <w:r w:rsidRPr="00BE2D95">
        <w:rPr>
          <w:rFonts w:ascii="Arial" w:hAnsi="Arial" w:cs="Arial"/>
          <w:color w:val="000000"/>
          <w:sz w:val="22"/>
          <w:szCs w:val="22"/>
          <w:bdr w:val="none" w:sz="0" w:space="0" w:color="auto"/>
          <w:lang w:eastAsia="pt-BR"/>
        </w:rPr>
        <w:t xml:space="preserve">)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 xml:space="preserve">e seus endereços, mediante, inclusive, gestões junto à Emissora, ao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4"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64"/>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assim o autorizar por deliberação de Debenturistas representando no </w:t>
      </w:r>
      <w:r w:rsidRPr="00BE2D95">
        <w:rPr>
          <w:rFonts w:ascii="Arial" w:hAnsi="Arial" w:cs="Arial"/>
          <w:color w:val="000000"/>
          <w:w w:val="0"/>
          <w:sz w:val="22"/>
          <w:szCs w:val="22"/>
          <w:bdr w:val="none" w:sz="0" w:space="0" w:color="auto"/>
          <w:lang w:eastAsia="pt-BR"/>
        </w:rPr>
        <w:lastRenderedPageBreak/>
        <w:t xml:space="preserve">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w:t>
      </w:r>
      <w:proofErr w:type="spellStart"/>
      <w:r w:rsidRPr="00BE2D95">
        <w:rPr>
          <w:rFonts w:ascii="Arial" w:hAnsi="Arial" w:cs="Arial"/>
          <w:color w:val="000000"/>
          <w:w w:val="0"/>
          <w:sz w:val="22"/>
          <w:szCs w:val="22"/>
          <w:u w:val="single"/>
          <w:bdr w:val="none" w:sz="0" w:space="0" w:color="auto"/>
          <w:lang w:eastAsia="pt-BR"/>
        </w:rPr>
        <w:t>iii</w:t>
      </w:r>
      <w:proofErr w:type="spellEnd"/>
      <w:r w:rsidRPr="00BE2D95">
        <w:rPr>
          <w:rFonts w:ascii="Arial" w:hAnsi="Arial" w:cs="Arial"/>
          <w:color w:val="000000"/>
          <w:w w:val="0"/>
          <w:sz w:val="22"/>
          <w:szCs w:val="22"/>
          <w:u w:val="single"/>
          <w:bdr w:val="none" w:sz="0" w:space="0" w:color="auto"/>
          <w:lang w:eastAsia="pt-BR"/>
        </w:rPr>
        <w:t>)</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5"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65"/>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6"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66"/>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7"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comparecimento em reuniões formais ou conferências telefônicas com a Emissora, os Debenturistas ou demais partes da Emissão, inclusive respectivas assembleias; (</w:t>
      </w:r>
      <w:proofErr w:type="spellStart"/>
      <w:r w:rsidRPr="00BE2D95">
        <w:rPr>
          <w:rFonts w:ascii="Arial" w:hAnsi="Arial" w:cs="Arial"/>
          <w:color w:val="000000"/>
          <w:w w:val="0"/>
          <w:sz w:val="22"/>
          <w:szCs w:val="22"/>
          <w:bdr w:val="none" w:sz="0" w:space="0" w:color="auto"/>
          <w:lang w:eastAsia="pt-BR"/>
        </w:rPr>
        <w:t>i</w:t>
      </w:r>
      <w:r w:rsidR="00EA5D30"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análise a eventuais aditamentos aos Documentos da Operação e (</w:t>
      </w:r>
      <w:proofErr w:type="spellStart"/>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w:t>
      </w:r>
      <w:proofErr w:type="spellEnd"/>
      <w:r w:rsidRPr="00BE2D95">
        <w:rPr>
          <w:rFonts w:ascii="Arial" w:hAnsi="Arial" w:cs="Arial"/>
          <w:color w:val="000000"/>
          <w:w w:val="0"/>
          <w:sz w:val="22"/>
          <w:szCs w:val="22"/>
          <w:bdr w:val="none" w:sz="0" w:space="0" w:color="auto"/>
          <w:lang w:eastAsia="pt-BR"/>
        </w:rPr>
        <w:t xml:space="preserve">) implementação das consequentes </w:t>
      </w:r>
      <w:r w:rsidRPr="00BE2D95">
        <w:rPr>
          <w:rFonts w:ascii="Arial" w:hAnsi="Arial" w:cs="Arial"/>
          <w:color w:val="000000"/>
          <w:w w:val="0"/>
          <w:sz w:val="22"/>
          <w:szCs w:val="22"/>
          <w:bdr w:val="none" w:sz="0" w:space="0" w:color="auto"/>
          <w:lang w:eastAsia="pt-BR"/>
        </w:rPr>
        <w:lastRenderedPageBreak/>
        <w:t xml:space="preserve">decisões tomadas em tais eventos, remuneração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 ser paga no prazo de 5 (cinco) dias após a conferência e aprovação pela Emissora do respectivo “Relatório de Horas”.</w:t>
      </w:r>
      <w:bookmarkEnd w:id="67"/>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68" w:name="_Ref340059128"/>
      <w:r w:rsidRPr="00BE2D95">
        <w:rPr>
          <w:rFonts w:ascii="Arial" w:hAnsi="Arial" w:cs="Arial"/>
          <w:color w:val="000000"/>
          <w:w w:val="0"/>
          <w:sz w:val="22"/>
          <w:szCs w:val="22"/>
          <w:bdr w:val="none" w:sz="0" w:space="0" w:color="auto"/>
          <w:lang w:eastAsia="pt-BR"/>
        </w:rPr>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68"/>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990382">
        <w:rPr>
          <w:rFonts w:ascii="Arial" w:hAnsi="Arial" w:cs="Arial"/>
          <w:color w:val="000000"/>
          <w:w w:val="0"/>
          <w:sz w:val="22"/>
          <w:szCs w:val="22"/>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9" w:name="_Ref71291181"/>
      <w:r w:rsidRPr="00BE2D95">
        <w:rPr>
          <w:rFonts w:ascii="Arial" w:hAnsi="Arial" w:cs="Arial"/>
          <w:b/>
          <w:color w:val="000000"/>
          <w:w w:val="0"/>
          <w:sz w:val="22"/>
          <w:szCs w:val="22"/>
          <w:bdr w:val="none" w:sz="0" w:space="0" w:color="auto"/>
          <w:lang w:eastAsia="pt-BR"/>
        </w:rPr>
        <w:t>Despesas</w:t>
      </w:r>
      <w:bookmarkEnd w:id="69"/>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w:t>
      </w:r>
      <w:r w:rsidRPr="00BE2D95">
        <w:rPr>
          <w:rFonts w:ascii="Arial" w:eastAsia="Times New Roman" w:hAnsi="Arial" w:cs="Arial"/>
          <w:color w:val="000000"/>
          <w:sz w:val="22"/>
          <w:szCs w:val="22"/>
          <w:bdr w:val="none" w:sz="0" w:space="0" w:color="auto"/>
          <w:lang w:eastAsia="pt-BR"/>
        </w:rPr>
        <w:lastRenderedPageBreak/>
        <w:t>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extração de certidões;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eventuais levantamentos adicionais e especiais ou periciais que vierem a ser imprescindíveis, se ocorrerem omissões e/ou obscuridades nas informações pertinentes aos estritos interesses dos Debenturistas;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xml:space="preserve">) </w:t>
      </w:r>
      <w:bookmarkStart w:id="70"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70"/>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71" w:name="_DV_M265"/>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5"/>
      <w:bookmarkStart w:id="84" w:name="_DV_M286"/>
      <w:bookmarkStart w:id="85" w:name="_DV_M287"/>
      <w:bookmarkStart w:id="86" w:name="_DV_M288"/>
      <w:bookmarkStart w:id="87" w:name="_DV_M289"/>
      <w:bookmarkStart w:id="88" w:name="_DV_M291"/>
      <w:bookmarkStart w:id="89" w:name="_DV_M293"/>
      <w:bookmarkStart w:id="90" w:name="_DV_M295"/>
      <w:bookmarkStart w:id="91" w:name="_DV_M296"/>
      <w:bookmarkStart w:id="92" w:name="_DV_M298"/>
      <w:bookmarkStart w:id="93" w:name="_DV_M300"/>
      <w:bookmarkStart w:id="94" w:name="_DV_M302"/>
      <w:bookmarkStart w:id="95" w:name="_DV_M304"/>
      <w:bookmarkStart w:id="96" w:name="_DV_M315"/>
      <w:bookmarkStart w:id="97" w:name="_DV_M317"/>
      <w:bookmarkStart w:id="98" w:name="_DV_M318"/>
      <w:bookmarkStart w:id="99" w:name="_DV_M319"/>
      <w:bookmarkStart w:id="100" w:name="_DV_M320"/>
      <w:bookmarkStart w:id="101" w:name="_DV_M323"/>
      <w:bookmarkStart w:id="102" w:name="_DV_M324"/>
      <w:bookmarkStart w:id="103" w:name="_DV_M325"/>
      <w:bookmarkStart w:id="104" w:name="_DV_M326"/>
      <w:bookmarkStart w:id="105" w:name="_DV_M331"/>
      <w:bookmarkStart w:id="106" w:name="_DV_M343"/>
      <w:bookmarkStart w:id="107" w:name="_DV_M345"/>
      <w:bookmarkStart w:id="108" w:name="_DV_M346"/>
      <w:bookmarkStart w:id="109" w:name="_DV_M347"/>
      <w:bookmarkStart w:id="110" w:name="_DV_M348"/>
      <w:bookmarkStart w:id="111" w:name="_DV_M349"/>
      <w:bookmarkStart w:id="112" w:name="_Ref7129077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E2D95">
        <w:rPr>
          <w:rFonts w:ascii="Arial" w:eastAsia="Times New Roman" w:hAnsi="Arial" w:cs="Arial"/>
          <w:b/>
          <w:iCs/>
          <w:color w:val="000000"/>
          <w:w w:val="0"/>
          <w:sz w:val="22"/>
          <w:szCs w:val="22"/>
          <w:bdr w:val="none" w:sz="0" w:space="0" w:color="auto"/>
          <w:lang w:eastAsia="pt-BR"/>
        </w:rPr>
        <w:t>DA ASSEMBLEIA GERAL DE DEBENTURISTAS</w:t>
      </w:r>
      <w:bookmarkEnd w:id="112"/>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13"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4" w:name="_Hlk73466162"/>
      <w:bookmarkStart w:id="115"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14"/>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16"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pela Emissora;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por Debenturistas que representem 10% (dez por cento), no mínimo, das Debêntures em Circulação; ou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pela CVM.</w:t>
      </w:r>
      <w:bookmarkStart w:id="117" w:name="_DV_C608"/>
    </w:p>
    <w:bookmarkEnd w:id="116"/>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8"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17"/>
      <w:bookmarkEnd w:id="118"/>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19"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19"/>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Assembleia Geral de Debenturistas se instalará, em primeira convocação, com a 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0"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Data de Pagamento de Juros Remuneratórios ou quaisquer valores previstos nesta Escritura, incluindo </w:t>
      </w:r>
      <w:r w:rsidRPr="00BE2D95">
        <w:rPr>
          <w:rFonts w:ascii="Arial" w:eastAsia="Times New Roman" w:hAnsi="Arial" w:cs="Arial"/>
          <w:color w:val="000000"/>
          <w:sz w:val="22"/>
          <w:szCs w:val="22"/>
          <w:bdr w:val="none" w:sz="0" w:space="0" w:color="auto"/>
          <w:lang w:eastAsia="pt-BR"/>
        </w:rPr>
        <w:lastRenderedPageBreak/>
        <w:t>condições de amortização e resgate;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Data de Vencimento ou prazo de vigência das Debêntures;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valores, montantes e Datas de Amortização; (v) alteração dos quóruns de 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xml:space="preserve">)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3A9A5DEA"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20"/>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13"/>
    <w:bookmarkEnd w:id="115"/>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1"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21"/>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proofErr w:type="spellStart"/>
      <w:r w:rsidRPr="00BE2D95">
        <w:rPr>
          <w:rFonts w:ascii="Arial" w:eastAsia="Times New Roman" w:hAnsi="Arial" w:cs="Arial"/>
          <w:color w:val="000000"/>
          <w:kern w:val="16"/>
          <w:sz w:val="22"/>
          <w:szCs w:val="22"/>
          <w:bdr w:val="none" w:sz="0" w:space="0" w:color="auto"/>
          <w:lang w:eastAsia="pt-BR"/>
        </w:rPr>
        <w:t>é</w:t>
      </w:r>
      <w:proofErr w:type="spellEnd"/>
      <w:r w:rsidRPr="00BE2D95">
        <w:rPr>
          <w:rFonts w:ascii="Arial" w:eastAsia="Times New Roman" w:hAnsi="Arial" w:cs="Arial"/>
          <w:color w:val="000000"/>
          <w:kern w:val="16"/>
          <w:sz w:val="22"/>
          <w:szCs w:val="22"/>
          <w:bdr w:val="none" w:sz="0" w:space="0" w:color="auto"/>
          <w:lang w:eastAsia="pt-BR"/>
        </w:rPr>
        <w:t xml:space="preserve">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está devidamente autorizada a celebrar esta Escritura,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representantes legais que assinam esta Escritura e o Contrato de Colocação têm poderes estatutários e/ou delegados para assumir, em seu nome, as obrigações ora estabelecidas e, sendo mandatários, tiveram os poderes legitimamente outorgados, estando os 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22"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22"/>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w:t>
      </w:r>
      <w:r w:rsidRPr="00BE2D95">
        <w:rPr>
          <w:rFonts w:ascii="Arial" w:eastAsia="Times New Roman" w:hAnsi="Arial" w:cs="Arial"/>
          <w:color w:val="000000"/>
          <w:kern w:val="16"/>
          <w:sz w:val="22"/>
          <w:szCs w:val="22"/>
          <w:bdr w:val="none" w:sz="0" w:space="0" w:color="auto"/>
          <w:lang w:eastAsia="pt-BR"/>
        </w:rPr>
        <w:lastRenderedPageBreak/>
        <w:t xml:space="preserve">legais ou administrativos apropriados e de boa-fé, </w:t>
      </w:r>
      <w:r w:rsidRPr="00BE2D95">
        <w:rPr>
          <w:rFonts w:ascii="Arial" w:eastAsia="Times New Roman" w:hAnsi="Arial" w:cs="Arial"/>
          <w:color w:val="000000"/>
          <w:sz w:val="22"/>
          <w:szCs w:val="22"/>
          <w:bdr w:val="none" w:sz="0" w:space="0" w:color="auto"/>
          <w:lang w:eastAsia="pt-BR"/>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w:t>
      </w:r>
      <w:r w:rsidRPr="00BE2D95">
        <w:rPr>
          <w:rFonts w:ascii="Arial" w:eastAsia="Times New Roman" w:hAnsi="Arial" w:cs="Arial"/>
          <w:color w:val="000000"/>
          <w:sz w:val="22"/>
          <w:szCs w:val="22"/>
          <w:bdr w:val="none" w:sz="0" w:space="0" w:color="auto"/>
          <w:lang w:eastAsia="pt-BR"/>
        </w:rPr>
        <w:lastRenderedPageBreak/>
        <w:t>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documentos e informações fornecidos ao Agente Fiduciário e/ou aos Debenturistas são </w:t>
      </w:r>
      <w:r w:rsidRPr="00BE2D95">
        <w:rPr>
          <w:rFonts w:ascii="Arial" w:eastAsia="Times New Roman" w:hAnsi="Arial" w:cs="Arial"/>
          <w:color w:val="000000"/>
          <w:sz w:val="22"/>
          <w:szCs w:val="22"/>
          <w:bdr w:val="none" w:sz="0" w:space="0" w:color="auto"/>
          <w:lang w:eastAsia="pt-BR"/>
        </w:rPr>
        <w:lastRenderedPageBreak/>
        <w:t>verdadeiros, consistentes, precisos, completos, corretos e suficientes, estão atualizados até a data em que foram fornecidos e incluem os documentos e informações relevantes para a 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w:t>
      </w:r>
      <w:r w:rsidRPr="00BE2D95">
        <w:rPr>
          <w:rFonts w:ascii="Arial" w:eastAsia="Times New Roman" w:hAnsi="Arial" w:cs="Arial"/>
          <w:color w:val="000000"/>
          <w:sz w:val="22"/>
          <w:szCs w:val="22"/>
          <w:bdr w:val="none" w:sz="0" w:space="0" w:color="auto"/>
          <w:lang w:eastAsia="pt-BR"/>
        </w:rPr>
        <w:lastRenderedPageBreak/>
        <w:t xml:space="preserve">(incluindo custas judiciais e honorários advocatícios) incorridos e comprovados pelos 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28" w:name="_DV_C551"/>
      <w:r w:rsidRPr="00BE2D95">
        <w:rPr>
          <w:rFonts w:ascii="Arial" w:hAnsi="Arial" w:cs="Arial"/>
          <w:color w:val="000000"/>
          <w:w w:val="0"/>
          <w:sz w:val="22"/>
          <w:szCs w:val="22"/>
          <w:bdr w:val="none" w:sz="0" w:space="0" w:color="auto"/>
          <w:lang w:eastAsia="pt-BR"/>
        </w:rPr>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proofErr w:type="spellStart"/>
      <w:r w:rsidRPr="00BE2D95">
        <w:rPr>
          <w:rFonts w:ascii="Arial" w:hAnsi="Arial" w:cs="Arial"/>
          <w:color w:val="000000"/>
          <w:w w:val="0"/>
          <w:sz w:val="22"/>
          <w:szCs w:val="22"/>
          <w:bdr w:val="none" w:sz="0" w:space="0" w:color="auto"/>
          <w:lang w:eastAsia="pt-BR"/>
        </w:rPr>
        <w:t>Cliveraldo</w:t>
      </w:r>
      <w:proofErr w:type="spellEnd"/>
      <w:r w:rsidRPr="00BE2D95">
        <w:rPr>
          <w:rFonts w:ascii="Arial" w:hAnsi="Arial" w:cs="Arial"/>
          <w:color w:val="000000"/>
          <w:w w:val="0"/>
          <w:sz w:val="22"/>
          <w:szCs w:val="22"/>
          <w:bdr w:val="none" w:sz="0" w:space="0" w:color="auto"/>
          <w:lang w:eastAsia="pt-BR"/>
        </w:rPr>
        <w:t xml:space="preserve">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6341602F"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r w:rsidRPr="00EF080C">
        <w:rPr>
          <w:rFonts w:ascii="Arial" w:hAnsi="Arial" w:cs="Arial"/>
          <w:color w:val="000000"/>
          <w:w w:val="0"/>
          <w:sz w:val="22"/>
          <w:szCs w:val="22"/>
          <w:bdr w:val="none" w:sz="0" w:space="0" w:color="auto"/>
          <w:lang w:eastAsia="pt-BR"/>
        </w:rPr>
        <w:t>cliveraldo.bastos@grupolm.com.br; financeiro@grupolm.com.br; marcio.targa@grupolm.com.br; katia.nozela@grupolm.com.br</w:t>
      </w:r>
      <w:r w:rsidRPr="00BE2D95">
        <w:rPr>
          <w:rFonts w:ascii="Arial" w:hAnsi="Arial" w:cs="Arial"/>
          <w:color w:val="000000"/>
          <w:w w:val="0"/>
          <w:sz w:val="22"/>
          <w:szCs w:val="22"/>
          <w:bdr w:val="none" w:sz="0" w:space="0" w:color="auto"/>
          <w:lang w:eastAsia="pt-BR"/>
        </w:rPr>
        <w:t>; reveca@grupolm.com.br</w:t>
      </w:r>
      <w:bookmarkStart w:id="129" w:name="_DV_M468"/>
      <w:bookmarkStart w:id="130" w:name="_DV_M469"/>
      <w:bookmarkStart w:id="131" w:name="_DV_M470"/>
      <w:bookmarkStart w:id="132" w:name="_DV_M471"/>
      <w:bookmarkEnd w:id="128"/>
      <w:bookmarkEnd w:id="129"/>
      <w:bookmarkEnd w:id="130"/>
      <w:bookmarkEnd w:id="131"/>
      <w:bookmarkEnd w:id="132"/>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3"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3"/>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4" w:name="_Hlk73468524"/>
      <w:r w:rsidRPr="00BE2D95">
        <w:rPr>
          <w:rFonts w:ascii="Arial" w:hAnsi="Arial" w:cs="Arial"/>
          <w:color w:val="000000"/>
          <w:w w:val="0"/>
          <w:sz w:val="22"/>
          <w:szCs w:val="22"/>
          <w:bdr w:val="none" w:sz="0" w:space="0" w:color="auto"/>
          <w:lang w:eastAsia="pt-BR"/>
        </w:rPr>
        <w:t xml:space="preserve">Esta Escritura e as Debêntures constituem títulos executivos extrajudiciais nos termos dos incisos I e III do artigo 784 do Código de Processo Civil, reconhecendo as Partes desde já </w:t>
      </w:r>
      <w:r w:rsidRPr="00BE2D95">
        <w:rPr>
          <w:rFonts w:ascii="Arial" w:hAnsi="Arial" w:cs="Arial"/>
          <w:color w:val="000000"/>
          <w:w w:val="0"/>
          <w:sz w:val="22"/>
          <w:szCs w:val="22"/>
          <w:bdr w:val="none" w:sz="0" w:space="0" w:color="auto"/>
          <w:lang w:eastAsia="pt-BR"/>
        </w:rPr>
        <w:lastRenderedPageBreak/>
        <w:t>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134"/>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5"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35"/>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6"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6"/>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7"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37"/>
      <w:r w:rsidRPr="00BE2D95">
        <w:rPr>
          <w:rFonts w:ascii="Arial" w:hAnsi="Arial" w:cs="Arial"/>
          <w:color w:val="000000"/>
          <w:w w:val="0"/>
          <w:sz w:val="22"/>
          <w:szCs w:val="22"/>
          <w:bdr w:val="none" w:sz="0" w:space="0" w:color="auto"/>
          <w:lang w:eastAsia="pt-BR"/>
        </w:rPr>
        <w:t xml:space="preserve">. </w:t>
      </w:r>
    </w:p>
    <w:bookmarkEnd w:id="4"/>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D97086">
      <w:headerReference w:type="even" r:id="rId16"/>
      <w:headerReference w:type="default" r:id="rId17"/>
      <w:footerReference w:type="even" r:id="rId18"/>
      <w:footerReference w:type="default" r:id="rId19"/>
      <w:headerReference w:type="first" r:id="rId20"/>
      <w:footerReference w:type="first" r:id="rId21"/>
      <w:pgSz w:w="11907" w:h="16839" w:code="9"/>
      <w:pgMar w:top="1843" w:right="1134" w:bottom="1134" w:left="1560"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05DF" w14:textId="77777777" w:rsidR="00E42281" w:rsidRDefault="00350D15">
      <w:r>
        <w:separator/>
      </w:r>
    </w:p>
  </w:endnote>
  <w:endnote w:type="continuationSeparator" w:id="0">
    <w:p w14:paraId="03696016" w14:textId="77777777" w:rsidR="00E42281" w:rsidRDefault="00350D15">
      <w:r>
        <w:continuationSeparator/>
      </w:r>
    </w:p>
  </w:endnote>
  <w:endnote w:type="continuationNotice" w:id="1">
    <w:p w14:paraId="695950C8" w14:textId="77777777" w:rsidR="00E42281" w:rsidRDefault="00E4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844" w14:textId="77777777" w:rsidR="008A044D" w:rsidRDefault="008A04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048219E6" w:rsidR="00E42281" w:rsidRDefault="00350D15">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sidR="007D364B">
      <w:rPr>
        <w:rStyle w:val="NenhumA"/>
        <w:rFonts w:ascii="Verdana" w:eastAsia="Garamond" w:hAnsi="Verdana" w:cs="Garamond"/>
        <w:color w:val="FFFFFF" w:themeColor="background1"/>
        <w:sz w:val="14"/>
      </w:rPr>
      <w:t>JUR_SP - 43799740v10 - 12070002.494280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Pr>
        <w:rStyle w:val="NenhumA"/>
        <w:rFonts w:ascii="Tahoma" w:eastAsia="Garamond" w:hAnsi="Tahoma" w:cs="Tahoma"/>
        <w:noProof/>
        <w:sz w:val="18"/>
        <w:szCs w:val="18"/>
      </w:rPr>
      <w:t>8</w:t>
    </w:r>
    <w:r>
      <w:rPr>
        <w:rStyle w:val="NenhumA"/>
        <w:rFonts w:ascii="Tahoma" w:eastAsia="Garamond" w:hAnsi="Tahoma" w:cs="Tahoma"/>
        <w:sz w:val="18"/>
        <w:szCs w:val="18"/>
      </w:rPr>
      <w:fldChar w:fldCharType="end"/>
    </w:r>
  </w:p>
  <w:p w14:paraId="2CFC1A29" w14:textId="77777777" w:rsidR="00E42281" w:rsidRDefault="00E42281">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AFE" w14:textId="77777777" w:rsidR="008A044D" w:rsidRDefault="008A04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7E69" w14:textId="77777777" w:rsidR="00E42281" w:rsidRDefault="00350D15">
      <w:r>
        <w:separator/>
      </w:r>
    </w:p>
  </w:footnote>
  <w:footnote w:type="continuationSeparator" w:id="0">
    <w:p w14:paraId="7202DB5A" w14:textId="77777777" w:rsidR="00E42281" w:rsidRDefault="00350D15">
      <w:r>
        <w:continuationSeparator/>
      </w:r>
    </w:p>
  </w:footnote>
  <w:footnote w:type="continuationNotice" w:id="1">
    <w:p w14:paraId="64C1E3B7" w14:textId="77777777" w:rsidR="00E42281" w:rsidRDefault="00E4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354" w14:textId="77777777" w:rsidR="008A044D" w:rsidRDefault="008A04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0916" w14:textId="070FDBFB" w:rsidR="00E42281" w:rsidRDefault="00350D15" w:rsidP="00D97086">
    <w:pPr>
      <w:pStyle w:val="Cabealho"/>
      <w:jc w:val="right"/>
      <w:rPr>
        <w:rFonts w:ascii="Arial" w:hAnsi="Arial" w:cs="Arial"/>
        <w:b/>
        <w:bCs/>
        <w:sz w:val="22"/>
        <w:szCs w:val="22"/>
      </w:rPr>
    </w:pPr>
    <w:r>
      <w:rPr>
        <w:rFonts w:ascii="Arial" w:hAnsi="Arial" w:cs="Arial"/>
        <w:noProof/>
        <w:lang w:val="pt-BR"/>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95C72" w14:textId="77777777" w:rsidR="00E42281" w:rsidRDefault="00E42281">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E42281" w:rsidRDefault="00350D15">
    <w:pPr>
      <w:pStyle w:val="Cabealho"/>
      <w:jc w:val="right"/>
      <w:rPr>
        <w:i/>
        <w:iCs/>
        <w:lang w:val="pt-PT"/>
      </w:rPr>
    </w:pPr>
    <w:r>
      <w:rPr>
        <w:noProof/>
        <w:lang w:val="pt-BR"/>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502CA"/>
    <w:multiLevelType w:val="hybridMultilevel"/>
    <w:tmpl w:val="96F018F6"/>
    <w:numStyleLink w:val="EstiloImportado3"/>
  </w:abstractNum>
  <w:abstractNum w:abstractNumId="1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0"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8153D5"/>
    <w:multiLevelType w:val="hybridMultilevel"/>
    <w:tmpl w:val="A89CE81C"/>
    <w:numStyleLink w:val="EstiloImportado4"/>
  </w:abstractNum>
  <w:abstractNum w:abstractNumId="46"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1804928144">
    <w:abstractNumId w:val="8"/>
  </w:num>
  <w:num w:numId="2" w16cid:durableId="1369142996">
    <w:abstractNumId w:val="5"/>
  </w:num>
  <w:num w:numId="3" w16cid:durableId="1592350090">
    <w:abstractNumId w:val="30"/>
  </w:num>
  <w:num w:numId="4" w16cid:durableId="1640262937">
    <w:abstractNumId w:val="26"/>
  </w:num>
  <w:num w:numId="5" w16cid:durableId="2100131870">
    <w:abstractNumId w:val="17"/>
    <w:lvlOverride w:ilvl="0">
      <w:lvl w:ilvl="0" w:tplc="DBA4D12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087339320">
    <w:abstractNumId w:val="31"/>
  </w:num>
  <w:num w:numId="7" w16cid:durableId="32003665">
    <w:abstractNumId w:val="45"/>
  </w:num>
  <w:num w:numId="8" w16cid:durableId="407773039">
    <w:abstractNumId w:val="35"/>
  </w:num>
  <w:num w:numId="9" w16cid:durableId="562570365">
    <w:abstractNumId w:val="39"/>
  </w:num>
  <w:num w:numId="10" w16cid:durableId="1621568385">
    <w:abstractNumId w:val="54"/>
  </w:num>
  <w:num w:numId="11" w16cid:durableId="1309938512">
    <w:abstractNumId w:val="53"/>
  </w:num>
  <w:num w:numId="12" w16cid:durableId="1454666110">
    <w:abstractNumId w:val="48"/>
  </w:num>
  <w:num w:numId="13" w16cid:durableId="1114783838">
    <w:abstractNumId w:val="13"/>
  </w:num>
  <w:num w:numId="14" w16cid:durableId="1183278205">
    <w:abstractNumId w:val="49"/>
  </w:num>
  <w:num w:numId="15" w16cid:durableId="1259363406">
    <w:abstractNumId w:val="33"/>
  </w:num>
  <w:num w:numId="16" w16cid:durableId="1811094041">
    <w:abstractNumId w:val="11"/>
  </w:num>
  <w:num w:numId="17" w16cid:durableId="1733380637">
    <w:abstractNumId w:val="43"/>
  </w:num>
  <w:num w:numId="18" w16cid:durableId="299653474">
    <w:abstractNumId w:val="25"/>
  </w:num>
  <w:num w:numId="19" w16cid:durableId="1327587096">
    <w:abstractNumId w:val="47"/>
  </w:num>
  <w:num w:numId="20" w16cid:durableId="199973089">
    <w:abstractNumId w:val="56"/>
  </w:num>
  <w:num w:numId="21" w16cid:durableId="1927810836">
    <w:abstractNumId w:val="7"/>
  </w:num>
  <w:num w:numId="22" w16cid:durableId="184370870">
    <w:abstractNumId w:val="10"/>
  </w:num>
  <w:num w:numId="23" w16cid:durableId="1956012388">
    <w:abstractNumId w:val="22"/>
  </w:num>
  <w:num w:numId="24" w16cid:durableId="2081831418">
    <w:abstractNumId w:val="55"/>
  </w:num>
  <w:num w:numId="25" w16cid:durableId="889223846">
    <w:abstractNumId w:val="50"/>
  </w:num>
  <w:num w:numId="26" w16cid:durableId="2090038589">
    <w:abstractNumId w:val="50"/>
  </w:num>
  <w:num w:numId="27" w16cid:durableId="717316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811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9206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8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62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7716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3745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007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908331">
    <w:abstractNumId w:val="55"/>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708476">
    <w:abstractNumId w:val="50"/>
  </w:num>
  <w:num w:numId="37" w16cid:durableId="184829219">
    <w:abstractNumId w:val="50"/>
  </w:num>
  <w:num w:numId="38" w16cid:durableId="1700274600">
    <w:abstractNumId w:val="50"/>
  </w:num>
  <w:num w:numId="39" w16cid:durableId="659430952">
    <w:abstractNumId w:val="50"/>
  </w:num>
  <w:num w:numId="40" w16cid:durableId="1324894035">
    <w:abstractNumId w:val="55"/>
  </w:num>
  <w:num w:numId="41" w16cid:durableId="1376464375">
    <w:abstractNumId w:val="12"/>
  </w:num>
  <w:num w:numId="42" w16cid:durableId="392234784">
    <w:abstractNumId w:val="50"/>
  </w:num>
  <w:num w:numId="43" w16cid:durableId="456224520">
    <w:abstractNumId w:val="3"/>
  </w:num>
  <w:num w:numId="44" w16cid:durableId="606961085">
    <w:abstractNumId w:val="32"/>
  </w:num>
  <w:num w:numId="45" w16cid:durableId="174538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063395">
    <w:abstractNumId w:val="21"/>
  </w:num>
  <w:num w:numId="47" w16cid:durableId="1679699248">
    <w:abstractNumId w:val="40"/>
  </w:num>
  <w:num w:numId="48" w16cid:durableId="2041783836">
    <w:abstractNumId w:val="34"/>
  </w:num>
  <w:num w:numId="49" w16cid:durableId="1358119321">
    <w:abstractNumId w:val="44"/>
  </w:num>
  <w:num w:numId="50" w16cid:durableId="1267037314">
    <w:abstractNumId w:val="1"/>
  </w:num>
  <w:num w:numId="51" w16cid:durableId="1642927088">
    <w:abstractNumId w:val="4"/>
  </w:num>
  <w:num w:numId="52" w16cid:durableId="539778277">
    <w:abstractNumId w:val="24"/>
  </w:num>
  <w:num w:numId="53" w16cid:durableId="1497110163">
    <w:abstractNumId w:val="27"/>
  </w:num>
  <w:num w:numId="54" w16cid:durableId="1040395496">
    <w:abstractNumId w:val="42"/>
  </w:num>
  <w:num w:numId="55" w16cid:durableId="8345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5922528">
    <w:abstractNumId w:val="52"/>
  </w:num>
  <w:num w:numId="57" w16cid:durableId="894698643">
    <w:abstractNumId w:val="2"/>
  </w:num>
  <w:num w:numId="58" w16cid:durableId="112868909">
    <w:abstractNumId w:val="19"/>
  </w:num>
  <w:num w:numId="59" w16cid:durableId="1216503399">
    <w:abstractNumId w:val="51"/>
  </w:num>
  <w:num w:numId="60" w16cid:durableId="942345803">
    <w:abstractNumId w:val="15"/>
  </w:num>
  <w:num w:numId="61" w16cid:durableId="1700085523">
    <w:abstractNumId w:val="36"/>
  </w:num>
  <w:num w:numId="62" w16cid:durableId="1515536231">
    <w:abstractNumId w:val="58"/>
  </w:num>
  <w:num w:numId="63" w16cid:durableId="1260140896">
    <w:abstractNumId w:val="38"/>
  </w:num>
  <w:num w:numId="64" w16cid:durableId="316955246">
    <w:abstractNumId w:val="14"/>
  </w:num>
  <w:num w:numId="65" w16cid:durableId="937371134">
    <w:abstractNumId w:val="16"/>
  </w:num>
  <w:num w:numId="66" w16cid:durableId="1691905730">
    <w:abstractNumId w:val="23"/>
  </w:num>
  <w:num w:numId="67" w16cid:durableId="1784378731">
    <w:abstractNumId w:val="59"/>
  </w:num>
  <w:num w:numId="68" w16cid:durableId="58984582">
    <w:abstractNumId w:val="18"/>
  </w:num>
  <w:num w:numId="69" w16cid:durableId="1693266096">
    <w:abstractNumId w:val="57"/>
  </w:num>
  <w:num w:numId="70" w16cid:durableId="1354041147">
    <w:abstractNumId w:val="46"/>
  </w:num>
  <w:num w:numId="71" w16cid:durableId="1441531978">
    <w:abstractNumId w:val="20"/>
  </w:num>
  <w:num w:numId="72" w16cid:durableId="427627397">
    <w:abstractNumId w:val="9"/>
  </w:num>
  <w:num w:numId="73" w16cid:durableId="1349137666">
    <w:abstractNumId w:val="29"/>
  </w:num>
  <w:num w:numId="74" w16cid:durableId="1656227356">
    <w:abstractNumId w:val="6"/>
  </w:num>
  <w:num w:numId="75" w16cid:durableId="996496844">
    <w:abstractNumId w:val="41"/>
  </w:num>
  <w:num w:numId="76" w16cid:durableId="926888085">
    <w:abstractNumId w:val="0"/>
  </w:num>
  <w:num w:numId="77" w16cid:durableId="14320928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03001"/>
    <w:rsid w:val="00007554"/>
    <w:rsid w:val="0002544F"/>
    <w:rsid w:val="00095F2E"/>
    <w:rsid w:val="000B17E7"/>
    <w:rsid w:val="000B5FEE"/>
    <w:rsid w:val="000E6BD2"/>
    <w:rsid w:val="000E7BD7"/>
    <w:rsid w:val="001052BD"/>
    <w:rsid w:val="001650B9"/>
    <w:rsid w:val="00180A9E"/>
    <w:rsid w:val="001E1C3D"/>
    <w:rsid w:val="001E62B7"/>
    <w:rsid w:val="001F507E"/>
    <w:rsid w:val="002001BA"/>
    <w:rsid w:val="002259B4"/>
    <w:rsid w:val="00233903"/>
    <w:rsid w:val="002447F2"/>
    <w:rsid w:val="002965DA"/>
    <w:rsid w:val="00297851"/>
    <w:rsid w:val="002B75AA"/>
    <w:rsid w:val="003061C1"/>
    <w:rsid w:val="00343C65"/>
    <w:rsid w:val="00350D15"/>
    <w:rsid w:val="003731BB"/>
    <w:rsid w:val="00377609"/>
    <w:rsid w:val="00380896"/>
    <w:rsid w:val="003A61D8"/>
    <w:rsid w:val="00410BE3"/>
    <w:rsid w:val="004160C0"/>
    <w:rsid w:val="00457A7E"/>
    <w:rsid w:val="00461FA7"/>
    <w:rsid w:val="00465026"/>
    <w:rsid w:val="004651A2"/>
    <w:rsid w:val="00495565"/>
    <w:rsid w:val="004956E7"/>
    <w:rsid w:val="004A41F0"/>
    <w:rsid w:val="004D1F5F"/>
    <w:rsid w:val="004D3518"/>
    <w:rsid w:val="004F0B65"/>
    <w:rsid w:val="005130F7"/>
    <w:rsid w:val="00532FBB"/>
    <w:rsid w:val="0053730C"/>
    <w:rsid w:val="00587EE2"/>
    <w:rsid w:val="005B1C25"/>
    <w:rsid w:val="006903CC"/>
    <w:rsid w:val="006C1B6F"/>
    <w:rsid w:val="006C300D"/>
    <w:rsid w:val="006D55F0"/>
    <w:rsid w:val="006E1E33"/>
    <w:rsid w:val="006E3EC1"/>
    <w:rsid w:val="007042E6"/>
    <w:rsid w:val="0073562C"/>
    <w:rsid w:val="00761306"/>
    <w:rsid w:val="007D364B"/>
    <w:rsid w:val="0080667D"/>
    <w:rsid w:val="008268B0"/>
    <w:rsid w:val="00876B73"/>
    <w:rsid w:val="00876FB6"/>
    <w:rsid w:val="008841A2"/>
    <w:rsid w:val="008A044D"/>
    <w:rsid w:val="008D28BE"/>
    <w:rsid w:val="008D4058"/>
    <w:rsid w:val="0096569B"/>
    <w:rsid w:val="00967187"/>
    <w:rsid w:val="00990382"/>
    <w:rsid w:val="009D6CBD"/>
    <w:rsid w:val="00A01350"/>
    <w:rsid w:val="00A2093A"/>
    <w:rsid w:val="00A457C5"/>
    <w:rsid w:val="00AF24B1"/>
    <w:rsid w:val="00B01178"/>
    <w:rsid w:val="00B02C96"/>
    <w:rsid w:val="00B1159E"/>
    <w:rsid w:val="00B176FB"/>
    <w:rsid w:val="00B76E4C"/>
    <w:rsid w:val="00BD05EA"/>
    <w:rsid w:val="00BD22A9"/>
    <w:rsid w:val="00BE2D95"/>
    <w:rsid w:val="00BF2CA3"/>
    <w:rsid w:val="00C07B74"/>
    <w:rsid w:val="00C7372C"/>
    <w:rsid w:val="00C8135D"/>
    <w:rsid w:val="00C94932"/>
    <w:rsid w:val="00CD4D4B"/>
    <w:rsid w:val="00CF6F88"/>
    <w:rsid w:val="00D17A5E"/>
    <w:rsid w:val="00D3423C"/>
    <w:rsid w:val="00D7640B"/>
    <w:rsid w:val="00D97086"/>
    <w:rsid w:val="00DE2D8E"/>
    <w:rsid w:val="00E32963"/>
    <w:rsid w:val="00E412E3"/>
    <w:rsid w:val="00E42281"/>
    <w:rsid w:val="00E52D7F"/>
    <w:rsid w:val="00E830AF"/>
    <w:rsid w:val="00EA5D30"/>
    <w:rsid w:val="00EA72E5"/>
    <w:rsid w:val="00EE6FCB"/>
    <w:rsid w:val="00EF080C"/>
    <w:rsid w:val="00F06F02"/>
    <w:rsid w:val="00F537B4"/>
    <w:rsid w:val="00F60DD1"/>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955646451">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288971133">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857381252">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AE77F-3763-4B96-8A9D-280F47E5F51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74497f0-9ac7-43e2-ae4c-5e1d7dac090e"/>
    <ds:schemaRef ds:uri="a3e139c3-4be7-4a80-be61-7bc70bb770a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267F50A1-10CB-44A6-BBD4-B9CA09F4ABEF}">
  <ds:schemaRefs>
    <ds:schemaRef ds:uri="http://schemas.openxmlformats.org/officeDocument/2006/bibliography"/>
  </ds:schemaRefs>
</ds:datastoreItem>
</file>

<file path=customXml/itemProps5.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19010</Words>
  <Characters>108998</Characters>
  <Application>Microsoft Office Word</Application>
  <DocSecurity>0</DocSecurity>
  <PresentationFormat>15|.DOCX</PresentationFormat>
  <Lines>9908</Lines>
  <Paragraphs>9143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Pinheiro Neto Advogados</cp:lastModifiedBy>
  <cp:revision>14</cp:revision>
  <cp:lastPrinted>2021-03-26T04:34:00Z</cp:lastPrinted>
  <dcterms:created xsi:type="dcterms:W3CDTF">2022-06-08T12:35:00Z</dcterms:created>
  <dcterms:modified xsi:type="dcterms:W3CDTF">2022-06-08T17:36:00Z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- 43799740v10 - 12070002.494280</vt:lpwstr>
  </property>
</Properties>
</file>