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E251E4">
      <w:pPr>
        <w:tabs>
          <w:tab w:val="left" w:pos="294"/>
          <w:tab w:val="left" w:pos="362"/>
        </w:tabs>
        <w:suppressAutoHyphens/>
        <w:spacing w:after="0" w:line="360" w:lineRule="auto"/>
        <w:ind w:right="23"/>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6F5C5A23"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A38CF">
        <w:rPr>
          <w:rFonts w:ascii="Verdana" w:hAnsi="Verdana"/>
          <w:b/>
          <w:snapToGrid w:val="0"/>
          <w:sz w:val="20"/>
          <w:szCs w:val="20"/>
          <w:lang w:val="pt-BR" w:eastAsia="pt-BR"/>
        </w:rPr>
        <w:t xml:space="preserve">DOS TITULARES DAS DEBÊNTURES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5DE814ED"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3B5666">
        <w:rPr>
          <w:rFonts w:ascii="Verdana" w:hAnsi="Verdana"/>
          <w:b/>
          <w:snapToGrid w:val="0"/>
          <w:sz w:val="20"/>
          <w:szCs w:val="20"/>
          <w:lang w:val="pt-BR" w:eastAsia="pt-BR"/>
        </w:rPr>
        <w:t xml:space="preserve">13 </w:t>
      </w:r>
      <w:r w:rsidR="00265666">
        <w:rPr>
          <w:rFonts w:ascii="Verdana" w:hAnsi="Verdana"/>
          <w:b/>
          <w:snapToGrid w:val="0"/>
          <w:sz w:val="20"/>
          <w:szCs w:val="20"/>
          <w:lang w:val="pt-BR" w:eastAsia="pt-BR"/>
        </w:rPr>
        <w:t xml:space="preserve">DE </w:t>
      </w:r>
      <w:r w:rsidR="003B5666">
        <w:rPr>
          <w:rFonts w:ascii="Verdana" w:hAnsi="Verdana"/>
          <w:b/>
          <w:snapToGrid w:val="0"/>
          <w:sz w:val="20"/>
          <w:szCs w:val="20"/>
          <w:lang w:val="pt-BR" w:eastAsia="pt-BR"/>
        </w:rPr>
        <w:t>SETEMBRO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1C6B9832" w:rsidR="00CB04A4" w:rsidRPr="00A945CB" w:rsidRDefault="00E806C7" w:rsidP="00E251E4">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16</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13</w:t>
      </w:r>
      <w:r w:rsidR="00265666">
        <w:rPr>
          <w:rFonts w:ascii="Verdana" w:hAnsi="Verdana"/>
          <w:sz w:val="20"/>
          <w:szCs w:val="20"/>
          <w:lang w:val="pt-BR"/>
        </w:rPr>
        <w:t xml:space="preserve"> de </w:t>
      </w:r>
      <w:r w:rsidR="003B5666">
        <w:rPr>
          <w:rFonts w:ascii="Verdana" w:hAnsi="Verdana"/>
          <w:sz w:val="20"/>
          <w:szCs w:val="20"/>
          <w:lang w:val="pt-BR"/>
        </w:rPr>
        <w:t>setembro</w:t>
      </w:r>
      <w:r w:rsidR="0006760E">
        <w:rPr>
          <w:rFonts w:ascii="Verdana" w:hAnsi="Verdana"/>
          <w:sz w:val="20"/>
          <w:szCs w:val="20"/>
          <w:lang w:val="pt-BR"/>
        </w:rPr>
        <w:t xml:space="preserve"> </w:t>
      </w:r>
      <w:r w:rsidR="00265666">
        <w:rPr>
          <w:rFonts w:ascii="Verdana" w:hAnsi="Verdana"/>
          <w:sz w:val="20"/>
          <w:szCs w:val="20"/>
          <w:lang w:val="pt-BR"/>
        </w:rPr>
        <w:t>de 2021</w:t>
      </w:r>
      <w:r w:rsidR="00C82F87" w:rsidRPr="00A945CB">
        <w:rPr>
          <w:rFonts w:ascii="Verdana" w:hAnsi="Verdana"/>
          <w:sz w:val="20"/>
          <w:szCs w:val="20"/>
          <w:lang w:val="pt-BR"/>
        </w:rPr>
        <w:t xml:space="preserve">, </w:t>
      </w:r>
      <w:r w:rsidR="004F1F26">
        <w:rPr>
          <w:rFonts w:ascii="Verdana" w:hAnsi="Verdana"/>
          <w:sz w:val="20"/>
          <w:szCs w:val="20"/>
          <w:lang w:val="pt-BR"/>
        </w:rPr>
        <w:t>de forma exclusivamente digital e remota, coordenada pela</w:t>
      </w:r>
      <w:r w:rsidR="00C82F87" w:rsidRPr="00A945CB">
        <w:rPr>
          <w:rFonts w:ascii="Verdana" w:hAnsi="Verdana"/>
          <w:sz w:val="20"/>
          <w:szCs w:val="20"/>
          <w:lang w:val="pt-BR"/>
        </w:rPr>
        <w:t xml:space="preserve"> </w:t>
      </w:r>
      <w:r w:rsidR="00DA38CF" w:rsidRPr="00DA38CF">
        <w:rPr>
          <w:rFonts w:ascii="Verdana" w:hAnsi="Verdana"/>
          <w:b/>
          <w:bCs/>
          <w:sz w:val="20"/>
          <w:szCs w:val="20"/>
          <w:lang w:val="pt-BR"/>
        </w:rPr>
        <w:t>LUMINAE S.A.</w:t>
      </w:r>
      <w:r w:rsidR="00C82F87" w:rsidRPr="00A945CB">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A945CB">
        <w:rPr>
          <w:rFonts w:ascii="Verdana" w:hAnsi="Verdana"/>
          <w:sz w:val="20"/>
          <w:szCs w:val="20"/>
          <w:lang w:val="pt-BR"/>
        </w:rPr>
        <w:t>Cadastro Nacional da Pessoa Jurídica do Ministério da Economia (“</w:t>
      </w:r>
      <w:r w:rsidR="00D15918" w:rsidRPr="00A945CB">
        <w:rPr>
          <w:rFonts w:ascii="Verdana" w:hAnsi="Verdana"/>
          <w:sz w:val="20"/>
          <w:szCs w:val="20"/>
          <w:u w:val="single"/>
          <w:lang w:val="pt-BR"/>
        </w:rPr>
        <w:t>CNPJ/ME</w:t>
      </w:r>
      <w:r w:rsidR="00D15918" w:rsidRPr="00A945CB">
        <w:rPr>
          <w:rFonts w:ascii="Verdana" w:hAnsi="Verdana"/>
          <w:sz w:val="20"/>
          <w:szCs w:val="20"/>
          <w:lang w:val="pt-BR"/>
        </w:rPr>
        <w:t xml:space="preserve">”) </w:t>
      </w:r>
      <w:r w:rsidR="00C82F87" w:rsidRPr="00A945CB">
        <w:rPr>
          <w:rFonts w:ascii="Verdana" w:hAnsi="Verdana"/>
          <w:sz w:val="20"/>
          <w:szCs w:val="20"/>
          <w:lang w:val="pt-BR"/>
        </w:rPr>
        <w:t xml:space="preserve">sob o nº 09.584.001/0002-86, </w:t>
      </w:r>
      <w:r w:rsidR="001202BE">
        <w:rPr>
          <w:rFonts w:ascii="Verdana" w:hAnsi="Verdana"/>
          <w:sz w:val="20"/>
          <w:szCs w:val="20"/>
          <w:lang w:val="pt-BR"/>
        </w:rPr>
        <w:t xml:space="preserve">com sede </w:t>
      </w:r>
      <w:r w:rsidR="00C82F87" w:rsidRPr="00A945CB">
        <w:rPr>
          <w:rFonts w:ascii="Verdana" w:hAnsi="Verdana"/>
          <w:sz w:val="20"/>
          <w:szCs w:val="20"/>
          <w:lang w:val="pt-BR"/>
        </w:rPr>
        <w:t xml:space="preserve">na cidade de Osasco, estado de São Paulo, na </w:t>
      </w:r>
      <w:r w:rsidR="00C82F87" w:rsidRPr="00A945CB">
        <w:rPr>
          <w:rFonts w:ascii="Verdana" w:hAnsi="Verdana"/>
          <w:bCs/>
          <w:sz w:val="20"/>
          <w:szCs w:val="20"/>
          <w:lang w:val="pt-BR"/>
        </w:rPr>
        <w:t>Rua Vicente Rodrigues da Silva, nº 757, CEP 06.230-096</w:t>
      </w:r>
      <w:r w:rsidR="00C82F87" w:rsidRPr="00A945CB">
        <w:rPr>
          <w:rFonts w:ascii="Verdana" w:hAnsi="Verdana"/>
          <w:sz w:val="20"/>
          <w:szCs w:val="20"/>
          <w:lang w:val="pt-BR"/>
        </w:rPr>
        <w:t xml:space="preserve"> (“</w:t>
      </w:r>
      <w:r w:rsidR="00C82F87" w:rsidRPr="00A945CB">
        <w:rPr>
          <w:rFonts w:ascii="Verdana" w:hAnsi="Verdana"/>
          <w:sz w:val="20"/>
          <w:szCs w:val="20"/>
          <w:u w:val="single"/>
          <w:lang w:val="pt-BR"/>
        </w:rPr>
        <w:t>Companhia</w:t>
      </w:r>
      <w:r w:rsidR="00C82F87" w:rsidRPr="00A945CB">
        <w:rPr>
          <w:rFonts w:ascii="Verdana" w:hAnsi="Verdana"/>
          <w:sz w:val="20"/>
          <w:szCs w:val="20"/>
          <w:lang w:val="pt-BR"/>
        </w:rPr>
        <w:t>” ou “</w:t>
      </w:r>
      <w:r w:rsidR="00C82F87" w:rsidRPr="00A945CB">
        <w:rPr>
          <w:rFonts w:ascii="Verdana" w:hAnsi="Verdana"/>
          <w:sz w:val="20"/>
          <w:szCs w:val="20"/>
          <w:u w:val="single"/>
          <w:lang w:val="pt-BR"/>
        </w:rPr>
        <w:t>Emissora</w:t>
      </w:r>
      <w:r w:rsidR="00C82F87" w:rsidRPr="00A945CB">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5A530B22"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8D17F8">
        <w:rPr>
          <w:rFonts w:ascii="Verdana" w:hAnsi="Verdana"/>
          <w:sz w:val="20"/>
          <w:szCs w:val="20"/>
          <w:lang w:val="pt-BR"/>
        </w:rPr>
        <w:t>o</w:t>
      </w:r>
      <w:r w:rsidRPr="00A945CB">
        <w:rPr>
          <w:rFonts w:ascii="Verdana" w:hAnsi="Verdana"/>
          <w:sz w:val="20"/>
          <w:szCs w:val="20"/>
          <w:lang w:val="pt-BR"/>
        </w:rPr>
        <w:t xml:space="preserve"> </w:t>
      </w:r>
      <w:commentRangeStart w:id="4"/>
      <w:r w:rsidR="0013313C" w:rsidRPr="00D47FA5">
        <w:rPr>
          <w:rFonts w:ascii="Verdana" w:hAnsi="Verdana"/>
          <w:sz w:val="20"/>
          <w:szCs w:val="20"/>
          <w:lang w:val="pt-BR"/>
        </w:rPr>
        <w:t>Sr</w:t>
      </w:r>
      <w:commentRangeEnd w:id="4"/>
      <w:r w:rsidR="003B5666">
        <w:rPr>
          <w:rStyle w:val="Refdecomentrio"/>
        </w:rPr>
        <w:commentReference w:id="4"/>
      </w:r>
      <w:r w:rsidR="00816D10">
        <w:rPr>
          <w:rFonts w:ascii="Verdana" w:hAnsi="Verdana"/>
          <w:sz w:val="20"/>
          <w:szCs w:val="20"/>
          <w:lang w:val="pt-BR"/>
        </w:rPr>
        <w:t xml:space="preserve">. </w:t>
      </w:r>
      <w:r w:rsidR="00D23D45">
        <w:rPr>
          <w:rFonts w:ascii="Verdana" w:hAnsi="Verdana"/>
          <w:sz w:val="20"/>
          <w:szCs w:val="20"/>
          <w:lang w:val="pt-BR"/>
        </w:rPr>
        <w:t xml:space="preserve"> </w:t>
      </w:r>
      <w:r w:rsidR="008D17F8" w:rsidRPr="003B5666">
        <w:rPr>
          <w:rFonts w:ascii="Verdana" w:hAnsi="Verdana"/>
          <w:sz w:val="20"/>
          <w:szCs w:val="20"/>
          <w:highlight w:val="yellow"/>
          <w:lang w:val="pt-BR"/>
        </w:rPr>
        <w:t>[.]</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3B5666">
        <w:rPr>
          <w:rFonts w:ascii="Verdana" w:eastAsia="MS Mincho" w:hAnsi="Verdana"/>
          <w:bCs/>
          <w:sz w:val="20"/>
          <w:szCs w:val="20"/>
          <w:lang w:val="pt-BR" w:eastAsia="pt-BR"/>
        </w:rPr>
        <w:t>Pedro Paulo Farme D’</w:t>
      </w:r>
      <w:proofErr w:type="spellStart"/>
      <w:r w:rsidR="003B5666">
        <w:rPr>
          <w:rFonts w:ascii="Verdana" w:eastAsia="MS Mincho" w:hAnsi="Verdana"/>
          <w:bCs/>
          <w:sz w:val="20"/>
          <w:szCs w:val="20"/>
          <w:lang w:val="pt-BR" w:eastAsia="pt-BR"/>
        </w:rPr>
        <w:t>Amoed</w:t>
      </w:r>
      <w:proofErr w:type="spellEnd"/>
      <w:r w:rsidR="003B5666">
        <w:rPr>
          <w:rFonts w:ascii="Verdana" w:eastAsia="MS Mincho" w:hAnsi="Verdana"/>
          <w:bCs/>
          <w:sz w:val="20"/>
          <w:szCs w:val="20"/>
          <w:lang w:val="pt-BR" w:eastAsia="pt-BR"/>
        </w:rPr>
        <w:t xml:space="preserve"> </w:t>
      </w:r>
      <w:r w:rsidR="006A2CEE">
        <w:rPr>
          <w:rFonts w:ascii="Verdana" w:eastAsia="MS Mincho" w:hAnsi="Verdana"/>
          <w:bCs/>
          <w:sz w:val="20"/>
          <w:szCs w:val="20"/>
          <w:lang w:val="pt-BR" w:eastAsia="pt-BR"/>
        </w:rPr>
        <w:t xml:space="preserve">Fernandes </w:t>
      </w:r>
      <w:r w:rsidR="003B5666">
        <w:rPr>
          <w:rFonts w:ascii="Verdana" w:eastAsia="MS Mincho" w:hAnsi="Verdana"/>
          <w:bCs/>
          <w:sz w:val="20"/>
          <w:szCs w:val="20"/>
          <w:lang w:val="pt-BR" w:eastAsia="pt-BR"/>
        </w:rPr>
        <w:t>de Oliveira</w:t>
      </w:r>
      <w:r w:rsidRPr="00A945CB">
        <w:rPr>
          <w:rFonts w:ascii="Verdana" w:hAnsi="Verdana"/>
          <w:sz w:val="20"/>
          <w:szCs w:val="20"/>
          <w:lang w:val="pt-BR"/>
        </w:rPr>
        <w:t>, 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7DC46443" w14:textId="4C45F15A" w:rsidR="00265666" w:rsidRPr="00265666" w:rsidRDefault="00E806C7" w:rsidP="00265666">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265666" w:rsidRPr="00265666">
        <w:rPr>
          <w:rFonts w:ascii="Verdana" w:hAnsi="Verdana"/>
          <w:bCs/>
          <w:sz w:val="20"/>
          <w:szCs w:val="20"/>
          <w:lang w:val="pt-BR"/>
        </w:rPr>
        <w:t>Deliberar sobre a seguinte ordem do dia:</w:t>
      </w:r>
    </w:p>
    <w:p w14:paraId="3381F498" w14:textId="77777777" w:rsidR="00265666" w:rsidRDefault="00265666" w:rsidP="00265666">
      <w:pPr>
        <w:suppressAutoHyphens/>
        <w:spacing w:after="0" w:line="360" w:lineRule="auto"/>
        <w:rPr>
          <w:rFonts w:ascii="Verdana" w:hAnsi="Verdana"/>
          <w:b/>
          <w:sz w:val="20"/>
          <w:szCs w:val="20"/>
          <w:lang w:val="pt-BR"/>
        </w:rPr>
      </w:pPr>
    </w:p>
    <w:p w14:paraId="04CD3A31" w14:textId="4A6EA20C" w:rsidR="006B3ECF" w:rsidRDefault="00265666" w:rsidP="00265666">
      <w:pPr>
        <w:suppressAutoHyphens/>
        <w:spacing w:after="0" w:line="360" w:lineRule="auto"/>
        <w:rPr>
          <w:rFonts w:ascii="Verdana" w:hAnsi="Verdana"/>
          <w:bCs/>
          <w:sz w:val="20"/>
          <w:szCs w:val="20"/>
          <w:lang w:val="pt-BR"/>
        </w:rPr>
      </w:pPr>
      <w:r w:rsidRPr="00265666">
        <w:rPr>
          <w:rFonts w:ascii="Verdana" w:hAnsi="Verdana"/>
          <w:bCs/>
          <w:sz w:val="20"/>
          <w:szCs w:val="20"/>
          <w:lang w:val="pt-BR"/>
        </w:rPr>
        <w:t>(i)</w:t>
      </w:r>
      <w:r w:rsidRPr="00265666">
        <w:rPr>
          <w:rFonts w:ascii="Verdana" w:hAnsi="Verdana"/>
          <w:bCs/>
          <w:sz w:val="20"/>
          <w:szCs w:val="20"/>
          <w:lang w:val="pt-BR"/>
        </w:rPr>
        <w:tab/>
      </w:r>
      <w:r w:rsidR="006B3ECF" w:rsidRPr="00265666">
        <w:rPr>
          <w:rFonts w:ascii="Verdana" w:hAnsi="Verdana"/>
          <w:bCs/>
          <w:sz w:val="20"/>
          <w:szCs w:val="20"/>
          <w:lang w:val="pt-BR"/>
        </w:rPr>
        <w:t xml:space="preserve">discutir e deliberar sobre a </w:t>
      </w:r>
      <w:r w:rsidR="006B3ECF">
        <w:rPr>
          <w:rFonts w:ascii="Verdana" w:hAnsi="Verdana"/>
          <w:bCs/>
          <w:sz w:val="20"/>
          <w:szCs w:val="20"/>
          <w:lang w:val="pt-BR"/>
        </w:rPr>
        <w:t>não decretação de vencimento antecipado das Debêntures em razão do descumprimento 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“(i)” da cláusula 5.4.1.2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r w:rsidR="006B3ECF">
        <w:rPr>
          <w:rFonts w:ascii="Verdana" w:hAnsi="Verdana"/>
          <w:bCs/>
          <w:sz w:val="20"/>
          <w:szCs w:val="20"/>
          <w:lang w:val="pt-BR"/>
        </w:rPr>
        <w:t>;</w:t>
      </w:r>
    </w:p>
    <w:p w14:paraId="7A187CE9" w14:textId="77777777" w:rsidR="006B3ECF" w:rsidRDefault="006B3ECF" w:rsidP="00265666">
      <w:pPr>
        <w:suppressAutoHyphens/>
        <w:spacing w:after="0" w:line="360" w:lineRule="auto"/>
        <w:rPr>
          <w:rFonts w:ascii="Verdana" w:hAnsi="Verdana"/>
          <w:bCs/>
          <w:sz w:val="20"/>
          <w:szCs w:val="20"/>
          <w:lang w:val="pt-BR"/>
        </w:rPr>
      </w:pPr>
    </w:p>
    <w:p w14:paraId="6F9C0E28" w14:textId="4874B8F6" w:rsidR="00D176D6" w:rsidRDefault="006B3ECF" w:rsidP="00265666">
      <w:pPr>
        <w:suppressAutoHyphens/>
        <w:spacing w:after="0" w:line="360" w:lineRule="auto"/>
        <w:rPr>
          <w:rFonts w:ascii="Verdana" w:hAnsi="Verdana"/>
          <w:bCs/>
          <w:sz w:val="20"/>
          <w:szCs w:val="20"/>
          <w:lang w:val="pt-BR"/>
        </w:rPr>
      </w:pPr>
      <w:r>
        <w:rPr>
          <w:rFonts w:ascii="Verdana" w:hAnsi="Verdana"/>
          <w:bCs/>
          <w:sz w:val="20"/>
          <w:szCs w:val="20"/>
          <w:lang w:val="pt-BR"/>
        </w:rPr>
        <w:t>(</w:t>
      </w:r>
      <w:proofErr w:type="spellStart"/>
      <w:r>
        <w:rPr>
          <w:rFonts w:ascii="Verdana" w:hAnsi="Verdana"/>
          <w:bCs/>
          <w:sz w:val="20"/>
          <w:szCs w:val="20"/>
          <w:lang w:val="pt-BR"/>
        </w:rPr>
        <w:t>ii</w:t>
      </w:r>
      <w:proofErr w:type="spellEnd"/>
      <w:r>
        <w:rPr>
          <w:rFonts w:ascii="Verdana" w:hAnsi="Verdana"/>
          <w:bCs/>
          <w:sz w:val="20"/>
          <w:szCs w:val="20"/>
          <w:lang w:val="pt-BR"/>
        </w:rPr>
        <w:t>)</w:t>
      </w:r>
      <w:r>
        <w:rPr>
          <w:rFonts w:ascii="Verdana" w:hAnsi="Verdana"/>
          <w:bCs/>
          <w:sz w:val="20"/>
          <w:szCs w:val="20"/>
          <w:lang w:val="pt-BR"/>
        </w:rPr>
        <w:tab/>
      </w:r>
      <w:r w:rsidR="00265666" w:rsidRPr="00265666">
        <w:rPr>
          <w:rFonts w:ascii="Verdana" w:hAnsi="Verdana"/>
          <w:bCs/>
          <w:sz w:val="20"/>
          <w:szCs w:val="20"/>
          <w:lang w:val="pt-BR"/>
        </w:rPr>
        <w:t xml:space="preserve">discutir e deliberar sobre a </w:t>
      </w:r>
      <w:r w:rsidR="00983620">
        <w:rPr>
          <w:rFonts w:ascii="Verdana" w:hAnsi="Verdana"/>
          <w:bCs/>
          <w:sz w:val="20"/>
          <w:szCs w:val="20"/>
          <w:lang w:val="pt-BR"/>
        </w:rPr>
        <w:t xml:space="preserve">não decretação de vencimento antecipado das Debêntures em razão do inadimplemento de obrigações não pecuniárias, conforme prevista na </w:t>
      </w:r>
      <w:r w:rsidR="00265666" w:rsidRPr="00265666">
        <w:rPr>
          <w:rFonts w:ascii="Verdana" w:hAnsi="Verdana"/>
          <w:bCs/>
          <w:sz w:val="20"/>
          <w:szCs w:val="20"/>
          <w:lang w:val="pt-BR"/>
        </w:rPr>
        <w:t>alínea</w:t>
      </w:r>
      <w:r w:rsidR="00265666">
        <w:rPr>
          <w:rFonts w:ascii="Verdana" w:hAnsi="Verdana"/>
          <w:bCs/>
          <w:sz w:val="20"/>
          <w:szCs w:val="20"/>
          <w:lang w:val="pt-BR"/>
        </w:rPr>
        <w:t xml:space="preserve"> “(a)” da cláusula 6.1 </w:t>
      </w:r>
      <w:r w:rsidR="00265666" w:rsidRPr="00265666">
        <w:rPr>
          <w:rFonts w:ascii="Verdana" w:hAnsi="Verdana"/>
          <w:bCs/>
          <w:sz w:val="20"/>
          <w:szCs w:val="20"/>
          <w:lang w:val="pt-BR"/>
        </w:rPr>
        <w:t xml:space="preserve">da Escritura da </w:t>
      </w:r>
      <w:r w:rsidR="00265666">
        <w:rPr>
          <w:rFonts w:ascii="Verdana" w:hAnsi="Verdana"/>
          <w:bCs/>
          <w:sz w:val="20"/>
          <w:szCs w:val="20"/>
          <w:lang w:val="pt-BR"/>
        </w:rPr>
        <w:t>1</w:t>
      </w:r>
      <w:r w:rsidR="00265666" w:rsidRPr="00265666">
        <w:rPr>
          <w:rFonts w:ascii="Verdana" w:hAnsi="Verdana"/>
          <w:bCs/>
          <w:sz w:val="20"/>
          <w:szCs w:val="20"/>
          <w:lang w:val="pt-BR"/>
        </w:rPr>
        <w:t xml:space="preserve">ª Emissão, em razão: (i) </w:t>
      </w:r>
      <w:r w:rsidR="00D564E6" w:rsidRPr="00265666">
        <w:rPr>
          <w:rFonts w:ascii="Verdana" w:hAnsi="Verdana"/>
          <w:bCs/>
          <w:sz w:val="20"/>
          <w:szCs w:val="20"/>
          <w:lang w:val="pt-BR"/>
        </w:rPr>
        <w:t xml:space="preserve">da não divulgação das demonstrações financeiras </w:t>
      </w:r>
      <w:r w:rsidR="00D564E6">
        <w:rPr>
          <w:rFonts w:ascii="Verdana" w:hAnsi="Verdana"/>
          <w:bCs/>
          <w:sz w:val="20"/>
          <w:szCs w:val="20"/>
          <w:lang w:val="pt-BR"/>
        </w:rPr>
        <w:t xml:space="preserve">consolidadas e </w:t>
      </w:r>
      <w:r w:rsidR="00D564E6" w:rsidRPr="00265666">
        <w:rPr>
          <w:rFonts w:ascii="Verdana" w:hAnsi="Verdana"/>
          <w:bCs/>
          <w:sz w:val="20"/>
          <w:szCs w:val="20"/>
          <w:lang w:val="pt-BR"/>
        </w:rPr>
        <w:t xml:space="preserve">auditadas da Emissora, dentro </w:t>
      </w:r>
      <w:r w:rsidR="00D564E6">
        <w:rPr>
          <w:rFonts w:ascii="Verdana" w:hAnsi="Verdana"/>
          <w:bCs/>
          <w:sz w:val="20"/>
          <w:szCs w:val="20"/>
          <w:lang w:val="pt-BR"/>
        </w:rPr>
        <w:t xml:space="preserve">do prazo máximo </w:t>
      </w:r>
      <w:r w:rsidR="00D564E6" w:rsidRPr="00265666">
        <w:rPr>
          <w:rFonts w:ascii="Verdana" w:hAnsi="Verdana"/>
          <w:bCs/>
          <w:sz w:val="20"/>
          <w:szCs w:val="20"/>
          <w:lang w:val="pt-BR"/>
        </w:rPr>
        <w:t xml:space="preserve">de </w:t>
      </w:r>
      <w:r w:rsidR="00D564E6">
        <w:rPr>
          <w:rFonts w:ascii="Verdana" w:hAnsi="Verdana"/>
          <w:bCs/>
          <w:sz w:val="20"/>
          <w:szCs w:val="20"/>
          <w:lang w:val="pt-BR"/>
        </w:rPr>
        <w:t>90</w:t>
      </w:r>
      <w:r w:rsidR="00D564E6" w:rsidRPr="00265666">
        <w:rPr>
          <w:rFonts w:ascii="Verdana" w:hAnsi="Verdana"/>
          <w:bCs/>
          <w:sz w:val="20"/>
          <w:szCs w:val="20"/>
          <w:lang w:val="pt-BR"/>
        </w:rPr>
        <w:t xml:space="preserve"> (</w:t>
      </w:r>
      <w:r w:rsidR="00D564E6">
        <w:rPr>
          <w:rFonts w:ascii="Verdana" w:hAnsi="Verdana"/>
          <w:bCs/>
          <w:sz w:val="20"/>
          <w:szCs w:val="20"/>
          <w:lang w:val="pt-BR"/>
        </w:rPr>
        <w:t>noventa</w:t>
      </w:r>
      <w:r w:rsidR="00D564E6" w:rsidRPr="00265666">
        <w:rPr>
          <w:rFonts w:ascii="Verdana" w:hAnsi="Verdana"/>
          <w:bCs/>
          <w:sz w:val="20"/>
          <w:szCs w:val="20"/>
          <w:lang w:val="pt-BR"/>
        </w:rPr>
        <w:t xml:space="preserve">) </w:t>
      </w:r>
      <w:r w:rsidR="00D564E6">
        <w:rPr>
          <w:rFonts w:ascii="Verdana" w:hAnsi="Verdana"/>
          <w:bCs/>
          <w:sz w:val="20"/>
          <w:szCs w:val="20"/>
          <w:lang w:val="pt-BR"/>
        </w:rPr>
        <w:t>dias corridos</w:t>
      </w:r>
      <w:r w:rsidR="00D564E6" w:rsidRPr="00265666">
        <w:rPr>
          <w:rFonts w:ascii="Verdana" w:hAnsi="Verdana"/>
          <w:bCs/>
          <w:sz w:val="20"/>
          <w:szCs w:val="20"/>
          <w:lang w:val="pt-BR"/>
        </w:rPr>
        <w:t xml:space="preserve"> contados do encerramento de seu exercício social referente ao ano de 2020 (“Demonstrações Financeiras”)</w:t>
      </w:r>
      <w:r w:rsidR="00983620">
        <w:rPr>
          <w:rFonts w:ascii="Verdana" w:hAnsi="Verdana"/>
          <w:bCs/>
          <w:sz w:val="20"/>
          <w:szCs w:val="20"/>
          <w:lang w:val="pt-BR"/>
        </w:rPr>
        <w:t>;</w:t>
      </w:r>
      <w:r w:rsidR="00265666" w:rsidRPr="00265666">
        <w:rPr>
          <w:rFonts w:ascii="Verdana" w:hAnsi="Verdana"/>
          <w:bCs/>
          <w:sz w:val="20"/>
          <w:szCs w:val="20"/>
          <w:lang w:val="pt-BR"/>
        </w:rPr>
        <w:t xml:space="preserve"> e (</w:t>
      </w:r>
      <w:proofErr w:type="spellStart"/>
      <w:r w:rsidR="00265666" w:rsidRPr="00265666">
        <w:rPr>
          <w:rFonts w:ascii="Verdana" w:hAnsi="Verdana"/>
          <w:bCs/>
          <w:sz w:val="20"/>
          <w:szCs w:val="20"/>
          <w:lang w:val="pt-BR"/>
        </w:rPr>
        <w:t>ii</w:t>
      </w:r>
      <w:proofErr w:type="spellEnd"/>
      <w:r w:rsidR="00265666" w:rsidRPr="00265666">
        <w:rPr>
          <w:rFonts w:ascii="Verdana" w:hAnsi="Verdana"/>
          <w:bCs/>
          <w:sz w:val="20"/>
          <w:szCs w:val="20"/>
          <w:lang w:val="pt-BR"/>
        </w:rPr>
        <w:t xml:space="preserve">) </w:t>
      </w:r>
      <w:r w:rsidR="00D564E6" w:rsidRPr="00265666">
        <w:rPr>
          <w:rFonts w:ascii="Verdana" w:hAnsi="Verdana"/>
          <w:bCs/>
          <w:sz w:val="20"/>
          <w:szCs w:val="20"/>
          <w:lang w:val="pt-BR"/>
        </w:rPr>
        <w:t xml:space="preserve">do não envio, ao Agente Fiduciário, das Demonstrações Financeiras, juntamente com o relatório da administração e do parecer dos auditores independentes contendo as rubricas necessárias </w:t>
      </w:r>
      <w:r w:rsidR="00D564E6" w:rsidRPr="00265666">
        <w:rPr>
          <w:rFonts w:ascii="Verdana" w:hAnsi="Verdana"/>
          <w:bCs/>
          <w:sz w:val="20"/>
          <w:szCs w:val="20"/>
          <w:lang w:val="pt-BR"/>
        </w:rPr>
        <w:lastRenderedPageBreak/>
        <w:t xml:space="preserve">para a demonstração </w:t>
      </w:r>
      <w:r w:rsidR="00D564E6">
        <w:rPr>
          <w:rFonts w:ascii="Verdana" w:hAnsi="Verdana"/>
          <w:bCs/>
          <w:sz w:val="20"/>
          <w:szCs w:val="20"/>
          <w:lang w:val="pt-BR"/>
        </w:rPr>
        <w:t>do cumprimento dos</w:t>
      </w:r>
      <w:r w:rsidR="00D564E6" w:rsidRPr="00265666">
        <w:rPr>
          <w:rFonts w:ascii="Verdana" w:hAnsi="Verdana"/>
          <w:bCs/>
          <w:sz w:val="20"/>
          <w:szCs w:val="20"/>
          <w:lang w:val="pt-BR"/>
        </w:rPr>
        <w:t xml:space="preserve"> </w:t>
      </w:r>
      <w:r w:rsidR="00D564E6">
        <w:rPr>
          <w:rFonts w:ascii="Verdana" w:hAnsi="Verdana"/>
          <w:bCs/>
          <w:sz w:val="20"/>
          <w:szCs w:val="20"/>
          <w:lang w:val="pt-BR"/>
        </w:rPr>
        <w:t>í</w:t>
      </w:r>
      <w:r w:rsidR="00D564E6" w:rsidRPr="00265666">
        <w:rPr>
          <w:rFonts w:ascii="Verdana" w:hAnsi="Verdana"/>
          <w:bCs/>
          <w:sz w:val="20"/>
          <w:szCs w:val="20"/>
          <w:lang w:val="pt-BR"/>
        </w:rPr>
        <w:t xml:space="preserve">ndices </w:t>
      </w:r>
      <w:r w:rsidR="00D564E6">
        <w:rPr>
          <w:rFonts w:ascii="Verdana" w:hAnsi="Verdana"/>
          <w:bCs/>
          <w:sz w:val="20"/>
          <w:szCs w:val="20"/>
          <w:lang w:val="pt-BR"/>
        </w:rPr>
        <w:t>f</w:t>
      </w:r>
      <w:r w:rsidR="00D564E6" w:rsidRPr="00265666">
        <w:rPr>
          <w:rFonts w:ascii="Verdana" w:hAnsi="Verdana"/>
          <w:bCs/>
          <w:sz w:val="20"/>
          <w:szCs w:val="20"/>
          <w:lang w:val="pt-BR"/>
        </w:rPr>
        <w:t>inanceiros</w:t>
      </w:r>
      <w:r w:rsidR="00D564E6">
        <w:rPr>
          <w:rFonts w:ascii="Verdana" w:hAnsi="Verdana"/>
          <w:bCs/>
          <w:sz w:val="20"/>
          <w:szCs w:val="20"/>
          <w:lang w:val="pt-BR"/>
        </w:rPr>
        <w:t xml:space="preserve"> </w:t>
      </w:r>
      <w:r w:rsidR="00D564E6" w:rsidRPr="00265666">
        <w:rPr>
          <w:rFonts w:ascii="Verdana" w:hAnsi="Verdana"/>
          <w:bCs/>
          <w:sz w:val="20"/>
          <w:szCs w:val="20"/>
          <w:lang w:val="pt-BR"/>
        </w:rPr>
        <w:t>(“</w:t>
      </w:r>
      <w:r w:rsidR="00D564E6">
        <w:rPr>
          <w:rFonts w:ascii="Verdana" w:hAnsi="Verdana"/>
          <w:bCs/>
          <w:sz w:val="20"/>
          <w:szCs w:val="20"/>
          <w:lang w:val="pt-BR"/>
        </w:rPr>
        <w:t>Í</w:t>
      </w:r>
      <w:r w:rsidR="00D564E6" w:rsidRPr="00265666">
        <w:rPr>
          <w:rFonts w:ascii="Verdana" w:hAnsi="Verdana"/>
          <w:bCs/>
          <w:sz w:val="20"/>
          <w:szCs w:val="20"/>
          <w:lang w:val="pt-BR"/>
        </w:rPr>
        <w:t xml:space="preserve">ndices </w:t>
      </w:r>
      <w:r w:rsidR="00D564E6">
        <w:rPr>
          <w:rFonts w:ascii="Verdana" w:hAnsi="Verdana"/>
          <w:bCs/>
          <w:sz w:val="20"/>
          <w:szCs w:val="20"/>
          <w:lang w:val="pt-BR"/>
        </w:rPr>
        <w:t>F</w:t>
      </w:r>
      <w:r w:rsidR="00D564E6" w:rsidRPr="00265666">
        <w:rPr>
          <w:rFonts w:ascii="Verdana" w:hAnsi="Verdana"/>
          <w:bCs/>
          <w:sz w:val="20"/>
          <w:szCs w:val="20"/>
          <w:lang w:val="pt-BR"/>
        </w:rPr>
        <w:t>inanceiros”)</w:t>
      </w:r>
      <w:r w:rsidR="001556C6">
        <w:rPr>
          <w:rFonts w:ascii="Verdana" w:hAnsi="Verdana"/>
          <w:bCs/>
          <w:sz w:val="20"/>
          <w:szCs w:val="20"/>
          <w:lang w:val="pt-BR"/>
        </w:rPr>
        <w:t xml:space="preserve"> </w:t>
      </w:r>
      <w:r w:rsidR="001556C6" w:rsidRPr="006B3ECF">
        <w:rPr>
          <w:rFonts w:ascii="Verdana" w:hAnsi="Verdana"/>
          <w:bCs/>
          <w:sz w:val="20"/>
          <w:szCs w:val="20"/>
          <w:lang w:val="pt-BR"/>
        </w:rPr>
        <w:t xml:space="preserve">no </w:t>
      </w:r>
      <w:r w:rsidR="001556C6" w:rsidRPr="006B3ECF">
        <w:rPr>
          <w:rFonts w:ascii="Verdana" w:hAnsi="Verdana"/>
          <w:sz w:val="20"/>
          <w:szCs w:val="20"/>
          <w:lang w:val="pt-BR"/>
        </w:rPr>
        <w:t>período de dezembro de 2020 e de junho de 2021</w:t>
      </w:r>
      <w:r w:rsidR="00D564E6" w:rsidRPr="00265666">
        <w:rPr>
          <w:rFonts w:ascii="Verdana" w:hAnsi="Verdana"/>
          <w:bCs/>
          <w:sz w:val="20"/>
          <w:szCs w:val="20"/>
          <w:lang w:val="pt-BR"/>
        </w:rPr>
        <w:t xml:space="preserve">, conforme o disposto na Escritura da </w:t>
      </w:r>
      <w:r w:rsidR="00D564E6">
        <w:rPr>
          <w:rFonts w:ascii="Verdana" w:hAnsi="Verdana"/>
          <w:bCs/>
          <w:sz w:val="20"/>
          <w:szCs w:val="20"/>
          <w:lang w:val="pt-BR"/>
        </w:rPr>
        <w:t>1</w:t>
      </w:r>
      <w:r w:rsidR="00D564E6" w:rsidRPr="00265666">
        <w:rPr>
          <w:rFonts w:ascii="Verdana" w:hAnsi="Verdana"/>
          <w:bCs/>
          <w:sz w:val="20"/>
          <w:szCs w:val="20"/>
          <w:lang w:val="pt-BR"/>
        </w:rPr>
        <w:t>ª Emissão</w:t>
      </w:r>
      <w:r w:rsidR="00D564E6">
        <w:rPr>
          <w:rFonts w:ascii="Verdana" w:hAnsi="Verdana"/>
          <w:bCs/>
          <w:sz w:val="20"/>
          <w:szCs w:val="20"/>
          <w:lang w:val="pt-BR"/>
        </w:rPr>
        <w:t xml:space="preserve"> </w:t>
      </w:r>
      <w:r w:rsidR="00D564E6" w:rsidRPr="00265666">
        <w:rPr>
          <w:rFonts w:ascii="Verdana" w:hAnsi="Verdana"/>
          <w:bCs/>
          <w:sz w:val="20"/>
          <w:szCs w:val="20"/>
          <w:lang w:val="pt-BR"/>
        </w:rPr>
        <w:t>(itens “i” e “</w:t>
      </w:r>
      <w:proofErr w:type="spellStart"/>
      <w:r w:rsidR="00D564E6" w:rsidRPr="00265666">
        <w:rPr>
          <w:rFonts w:ascii="Verdana" w:hAnsi="Verdana"/>
          <w:bCs/>
          <w:sz w:val="20"/>
          <w:szCs w:val="20"/>
          <w:lang w:val="pt-BR"/>
        </w:rPr>
        <w:t>ii</w:t>
      </w:r>
      <w:proofErr w:type="spellEnd"/>
      <w:r w:rsidR="00D564E6" w:rsidRPr="00265666">
        <w:rPr>
          <w:rFonts w:ascii="Verdana" w:hAnsi="Verdana"/>
          <w:bCs/>
          <w:sz w:val="20"/>
          <w:szCs w:val="20"/>
          <w:lang w:val="pt-BR"/>
        </w:rPr>
        <w:t>” em conjunto, “Obrigações Relacionadas às Demonstrações Financeiras”)</w:t>
      </w:r>
      <w:r w:rsidR="00983620">
        <w:rPr>
          <w:rFonts w:ascii="Verdana" w:hAnsi="Verdana"/>
          <w:bCs/>
          <w:sz w:val="20"/>
          <w:szCs w:val="20"/>
          <w:lang w:val="pt-BR"/>
        </w:rPr>
        <w:t xml:space="preserve">; </w:t>
      </w:r>
    </w:p>
    <w:p w14:paraId="11C148AB" w14:textId="2E4A381B" w:rsidR="00265666" w:rsidRPr="00265666" w:rsidRDefault="00265666" w:rsidP="00265666">
      <w:pPr>
        <w:suppressAutoHyphens/>
        <w:spacing w:after="0" w:line="360" w:lineRule="auto"/>
        <w:rPr>
          <w:rFonts w:ascii="Verdana" w:hAnsi="Verdana"/>
          <w:bCs/>
          <w:sz w:val="20"/>
          <w:szCs w:val="20"/>
          <w:lang w:val="pt-BR"/>
        </w:rPr>
      </w:pPr>
    </w:p>
    <w:p w14:paraId="69C72F00" w14:textId="013F1E90" w:rsidR="003802E7" w:rsidRDefault="00265666" w:rsidP="00D564E6">
      <w:pPr>
        <w:suppressAutoHyphens/>
        <w:spacing w:after="0" w:line="360" w:lineRule="auto"/>
        <w:rPr>
          <w:rFonts w:ascii="Verdana" w:hAnsi="Verdana"/>
          <w:bCs/>
          <w:sz w:val="20"/>
          <w:szCs w:val="20"/>
          <w:lang w:val="pt-BR"/>
        </w:rPr>
      </w:pPr>
      <w:r w:rsidRPr="00265666">
        <w:rPr>
          <w:rFonts w:ascii="Verdana" w:hAnsi="Verdana"/>
          <w:bCs/>
          <w:sz w:val="20"/>
          <w:szCs w:val="20"/>
          <w:lang w:val="pt-BR"/>
        </w:rPr>
        <w:t>(</w:t>
      </w:r>
      <w:proofErr w:type="spellStart"/>
      <w:r w:rsidRPr="00265666">
        <w:rPr>
          <w:rFonts w:ascii="Verdana" w:hAnsi="Verdana"/>
          <w:bCs/>
          <w:sz w:val="20"/>
          <w:szCs w:val="20"/>
          <w:lang w:val="pt-BR"/>
        </w:rPr>
        <w:t>ii</w:t>
      </w:r>
      <w:r w:rsidR="006B3ECF">
        <w:rPr>
          <w:rFonts w:ascii="Verdana" w:hAnsi="Verdana"/>
          <w:bCs/>
          <w:sz w:val="20"/>
          <w:szCs w:val="20"/>
          <w:lang w:val="pt-BR"/>
        </w:rPr>
        <w:t>i</w:t>
      </w:r>
      <w:proofErr w:type="spellEnd"/>
      <w:r w:rsidRPr="00265666">
        <w:rPr>
          <w:rFonts w:ascii="Verdana" w:hAnsi="Verdana"/>
          <w:bCs/>
          <w:sz w:val="20"/>
          <w:szCs w:val="20"/>
          <w:lang w:val="pt-BR"/>
        </w:rPr>
        <w:t>)</w:t>
      </w:r>
      <w:r w:rsidRPr="00265666">
        <w:rPr>
          <w:rFonts w:ascii="Verdana" w:hAnsi="Verdana"/>
          <w:bCs/>
          <w:sz w:val="20"/>
          <w:szCs w:val="20"/>
          <w:lang w:val="pt-BR"/>
        </w:rPr>
        <w:tab/>
      </w:r>
      <w:r w:rsidR="003802E7">
        <w:rPr>
          <w:rFonts w:ascii="Verdana" w:hAnsi="Verdana"/>
          <w:bCs/>
          <w:sz w:val="20"/>
          <w:szCs w:val="20"/>
          <w:lang w:val="pt-BR"/>
        </w:rPr>
        <w:t xml:space="preserve">discutir e deliberar sobre a </w:t>
      </w:r>
      <w:r w:rsidR="00983620">
        <w:rPr>
          <w:rFonts w:ascii="Verdana" w:hAnsi="Verdana"/>
          <w:bCs/>
          <w:sz w:val="20"/>
          <w:szCs w:val="20"/>
          <w:lang w:val="pt-BR"/>
        </w:rPr>
        <w:t>inclusão</w:t>
      </w:r>
      <w:r w:rsidR="00D564E6" w:rsidRPr="00526AD1">
        <w:rPr>
          <w:lang w:val="pt-BR"/>
        </w:rPr>
        <w:t xml:space="preserve"> </w:t>
      </w:r>
      <w:r w:rsidR="00D564E6">
        <w:rPr>
          <w:lang w:val="pt-BR"/>
        </w:rPr>
        <w:t xml:space="preserve">no </w:t>
      </w:r>
      <w:r w:rsidR="00D564E6" w:rsidRPr="00D564E6">
        <w:rPr>
          <w:rFonts w:ascii="Verdana" w:hAnsi="Verdana"/>
          <w:bCs/>
          <w:sz w:val="20"/>
          <w:szCs w:val="20"/>
          <w:lang w:val="pt-BR"/>
        </w:rPr>
        <w:t>Contrato de Cessão Fiduciária de Direitos Creditórios em Garantia,</w:t>
      </w:r>
      <w:r w:rsidR="00D564E6">
        <w:rPr>
          <w:rFonts w:ascii="Verdana" w:hAnsi="Verdana"/>
          <w:bCs/>
          <w:sz w:val="20"/>
          <w:szCs w:val="20"/>
          <w:lang w:val="pt-BR"/>
        </w:rPr>
        <w:t xml:space="preserve"> </w:t>
      </w:r>
      <w:r w:rsidR="00D564E6" w:rsidRPr="00D564E6">
        <w:rPr>
          <w:rFonts w:ascii="Verdana" w:hAnsi="Verdana"/>
          <w:bCs/>
          <w:sz w:val="20"/>
          <w:szCs w:val="20"/>
          <w:lang w:val="pt-BR"/>
        </w:rPr>
        <w:t xml:space="preserve">celebrado em 31 de outubro de 2019, entre a Emissora, a </w:t>
      </w:r>
      <w:proofErr w:type="spellStart"/>
      <w:r w:rsidR="00D564E6" w:rsidRPr="00D564E6">
        <w:rPr>
          <w:rFonts w:ascii="Verdana" w:hAnsi="Verdana"/>
          <w:bCs/>
          <w:sz w:val="20"/>
          <w:szCs w:val="20"/>
          <w:lang w:val="pt-BR"/>
        </w:rPr>
        <w:t>Luminae</w:t>
      </w:r>
      <w:proofErr w:type="spellEnd"/>
      <w:r w:rsidR="00D564E6" w:rsidRPr="00D564E6">
        <w:rPr>
          <w:rFonts w:ascii="Verdana" w:hAnsi="Verdana"/>
          <w:bCs/>
          <w:sz w:val="20"/>
          <w:szCs w:val="20"/>
          <w:lang w:val="pt-BR"/>
        </w:rPr>
        <w:t xml:space="preserve"> Serviços e o Agente</w:t>
      </w:r>
      <w:r w:rsidR="00D564E6">
        <w:rPr>
          <w:rFonts w:ascii="Verdana" w:hAnsi="Verdana"/>
          <w:bCs/>
          <w:sz w:val="20"/>
          <w:szCs w:val="20"/>
          <w:lang w:val="pt-BR"/>
        </w:rPr>
        <w:t xml:space="preserve"> </w:t>
      </w:r>
      <w:r w:rsidR="00D564E6" w:rsidRPr="00D564E6">
        <w:rPr>
          <w:rFonts w:ascii="Verdana" w:hAnsi="Verdana"/>
          <w:bCs/>
          <w:sz w:val="20"/>
          <w:szCs w:val="20"/>
          <w:lang w:val="pt-BR"/>
        </w:rPr>
        <w:t>Fiduciário, conforme aditado (“Contrato de Cessão Fiduciária”)</w:t>
      </w:r>
      <w:r w:rsidR="00D564E6">
        <w:rPr>
          <w:rFonts w:ascii="Verdana" w:hAnsi="Verdana"/>
          <w:bCs/>
          <w:sz w:val="20"/>
          <w:szCs w:val="20"/>
          <w:lang w:val="pt-BR"/>
        </w:rPr>
        <w:t>,</w:t>
      </w:r>
      <w:r w:rsidR="00983620">
        <w:rPr>
          <w:rFonts w:ascii="Verdana" w:hAnsi="Verdana"/>
          <w:bCs/>
          <w:sz w:val="20"/>
          <w:szCs w:val="20"/>
          <w:lang w:val="pt-BR"/>
        </w:rPr>
        <w:t xml:space="preserve"> de um Limite Mínimo de Trânsito em Conta Vinculada</w:t>
      </w:r>
      <w:r w:rsidR="00823695">
        <w:rPr>
          <w:rFonts w:ascii="Verdana" w:hAnsi="Verdana"/>
          <w:bCs/>
          <w:sz w:val="20"/>
          <w:szCs w:val="20"/>
          <w:lang w:val="pt-BR"/>
        </w:rPr>
        <w:t xml:space="preserve">, </w:t>
      </w:r>
      <w:r w:rsidR="00983620">
        <w:rPr>
          <w:rFonts w:ascii="Verdana" w:hAnsi="Verdana"/>
          <w:bCs/>
          <w:sz w:val="20"/>
          <w:szCs w:val="20"/>
          <w:lang w:val="pt-BR"/>
        </w:rPr>
        <w:t>equivalente a 70% das Duplicatas Vencidas no período de 30 dias imediatamente anterior à Data de Verificação, sendo</w:t>
      </w:r>
      <w:r w:rsidR="00757C2F">
        <w:rPr>
          <w:rFonts w:ascii="Verdana" w:hAnsi="Verdana"/>
          <w:bCs/>
          <w:sz w:val="20"/>
          <w:szCs w:val="20"/>
          <w:lang w:val="pt-BR"/>
        </w:rPr>
        <w:t xml:space="preserve"> certo</w:t>
      </w:r>
      <w:r w:rsidR="00983620">
        <w:rPr>
          <w:rFonts w:ascii="Verdana" w:hAnsi="Verdana"/>
          <w:bCs/>
          <w:sz w:val="20"/>
          <w:szCs w:val="20"/>
          <w:lang w:val="pt-BR"/>
        </w:rPr>
        <w:t xml:space="preserve"> que </w:t>
      </w:r>
      <w:r w:rsidR="00757C2F">
        <w:rPr>
          <w:rFonts w:ascii="Verdana" w:hAnsi="Verdana"/>
          <w:bCs/>
          <w:sz w:val="20"/>
          <w:szCs w:val="20"/>
          <w:lang w:val="pt-BR"/>
        </w:rPr>
        <w:t>os depósitos realizados pela Companhia não</w:t>
      </w:r>
      <w:r w:rsidR="00791493">
        <w:rPr>
          <w:rFonts w:ascii="Verdana" w:hAnsi="Verdana"/>
          <w:bCs/>
          <w:sz w:val="20"/>
          <w:szCs w:val="20"/>
          <w:lang w:val="pt-BR"/>
        </w:rPr>
        <w:t xml:space="preserve"> </w:t>
      </w:r>
      <w:r w:rsidR="00983620">
        <w:rPr>
          <w:rFonts w:ascii="Verdana" w:hAnsi="Verdana"/>
          <w:bCs/>
          <w:sz w:val="20"/>
          <w:szCs w:val="20"/>
          <w:lang w:val="pt-BR"/>
        </w:rPr>
        <w:t xml:space="preserve">serão considerados </w:t>
      </w:r>
      <w:r w:rsidR="00757C2F">
        <w:rPr>
          <w:rFonts w:ascii="Verdana" w:hAnsi="Verdana"/>
          <w:bCs/>
          <w:sz w:val="20"/>
          <w:szCs w:val="20"/>
          <w:lang w:val="pt-BR"/>
        </w:rPr>
        <w:t>para fins do Limite Mínimo de Trânsito em Conta Vinculada</w:t>
      </w:r>
      <w:r w:rsidR="00C367FB">
        <w:rPr>
          <w:rFonts w:ascii="Verdana" w:hAnsi="Verdana"/>
          <w:bCs/>
          <w:sz w:val="20"/>
          <w:szCs w:val="20"/>
          <w:lang w:val="pt-BR"/>
        </w:rPr>
        <w:t>; e</w:t>
      </w:r>
    </w:p>
    <w:p w14:paraId="06E7BA75" w14:textId="77777777" w:rsidR="003802E7" w:rsidRDefault="003802E7" w:rsidP="00265666">
      <w:pPr>
        <w:suppressAutoHyphens/>
        <w:spacing w:after="0" w:line="360" w:lineRule="auto"/>
        <w:rPr>
          <w:rFonts w:ascii="Verdana" w:hAnsi="Verdana"/>
          <w:bCs/>
          <w:sz w:val="20"/>
          <w:szCs w:val="20"/>
          <w:lang w:val="pt-BR"/>
        </w:rPr>
      </w:pPr>
    </w:p>
    <w:p w14:paraId="4111023C" w14:textId="40E892A7" w:rsidR="00CB04A4" w:rsidRDefault="003802E7" w:rsidP="00B93892">
      <w:pPr>
        <w:suppressAutoHyphens/>
        <w:spacing w:after="0" w:line="360" w:lineRule="auto"/>
        <w:rPr>
          <w:rFonts w:ascii="Verdana" w:hAnsi="Verdana"/>
          <w:sz w:val="20"/>
          <w:szCs w:val="20"/>
          <w:lang w:val="pt-BR"/>
        </w:rPr>
      </w:pPr>
      <w:r>
        <w:rPr>
          <w:rFonts w:ascii="Verdana" w:hAnsi="Verdana"/>
          <w:bCs/>
          <w:sz w:val="20"/>
          <w:szCs w:val="20"/>
          <w:lang w:val="pt-BR"/>
        </w:rPr>
        <w:t>(</w:t>
      </w:r>
      <w:proofErr w:type="spellStart"/>
      <w:r>
        <w:rPr>
          <w:rFonts w:ascii="Verdana" w:hAnsi="Verdana"/>
          <w:bCs/>
          <w:sz w:val="20"/>
          <w:szCs w:val="20"/>
          <w:lang w:val="pt-BR"/>
        </w:rPr>
        <w:t>iii</w:t>
      </w:r>
      <w:proofErr w:type="spellEnd"/>
      <w:r>
        <w:rPr>
          <w:rFonts w:ascii="Verdana" w:hAnsi="Verdana"/>
          <w:bCs/>
          <w:sz w:val="20"/>
          <w:szCs w:val="20"/>
          <w:lang w:val="pt-BR"/>
        </w:rPr>
        <w:t xml:space="preserve">) </w:t>
      </w:r>
      <w:r w:rsidR="00265666" w:rsidRPr="00265666">
        <w:rPr>
          <w:rFonts w:ascii="Verdana" w:hAnsi="Verdana"/>
          <w:bCs/>
          <w:sz w:val="20"/>
          <w:szCs w:val="20"/>
          <w:lang w:val="pt-BR"/>
        </w:rPr>
        <w:t>discutir e deliberar a respeito da autorização para que o Agente Fiduciário pratique, em conjunto com a Emissora, todos os atos necessários para refletir a</w:t>
      </w:r>
      <w:r w:rsidR="00C367FB">
        <w:rPr>
          <w:rFonts w:ascii="Verdana" w:hAnsi="Verdana"/>
          <w:bCs/>
          <w:sz w:val="20"/>
          <w:szCs w:val="20"/>
          <w:lang w:val="pt-BR"/>
        </w:rPr>
        <w:t>s</w:t>
      </w:r>
      <w:r w:rsidR="00265666" w:rsidRPr="00265666">
        <w:rPr>
          <w:rFonts w:ascii="Verdana" w:hAnsi="Verdana"/>
          <w:bCs/>
          <w:sz w:val="20"/>
          <w:szCs w:val="20"/>
          <w:lang w:val="pt-BR"/>
        </w:rPr>
        <w:t xml:space="preserve"> deliberaç</w:t>
      </w:r>
      <w:r w:rsidR="00C367FB">
        <w:rPr>
          <w:rFonts w:ascii="Verdana" w:hAnsi="Verdana"/>
          <w:bCs/>
          <w:sz w:val="20"/>
          <w:szCs w:val="20"/>
          <w:lang w:val="pt-BR"/>
        </w:rPr>
        <w:t>ões</w:t>
      </w:r>
      <w:r w:rsidR="00265666" w:rsidRPr="00265666">
        <w:rPr>
          <w:rFonts w:ascii="Verdana" w:hAnsi="Verdana"/>
          <w:bCs/>
          <w:sz w:val="20"/>
          <w:szCs w:val="20"/>
          <w:lang w:val="pt-BR"/>
        </w:rPr>
        <w:t xml:space="preserve"> do</w:t>
      </w:r>
      <w:r w:rsidR="0087399A">
        <w:rPr>
          <w:rFonts w:ascii="Verdana" w:hAnsi="Verdana"/>
          <w:bCs/>
          <w:sz w:val="20"/>
          <w:szCs w:val="20"/>
          <w:lang w:val="pt-BR"/>
        </w:rPr>
        <w:t>s</w:t>
      </w:r>
      <w:r w:rsidR="00265666" w:rsidRPr="00265666">
        <w:rPr>
          <w:rFonts w:ascii="Verdana" w:hAnsi="Verdana"/>
          <w:bCs/>
          <w:sz w:val="20"/>
          <w:szCs w:val="20"/>
          <w:lang w:val="pt-BR"/>
        </w:rPr>
        <w:t xml:space="preserve"> ite</w:t>
      </w:r>
      <w:r w:rsidR="00C367FB">
        <w:rPr>
          <w:rFonts w:ascii="Verdana" w:hAnsi="Verdana"/>
          <w:bCs/>
          <w:sz w:val="20"/>
          <w:szCs w:val="20"/>
          <w:lang w:val="pt-BR"/>
        </w:rPr>
        <w:t>ns</w:t>
      </w:r>
      <w:r w:rsidR="00265666" w:rsidRPr="00265666">
        <w:rPr>
          <w:rFonts w:ascii="Verdana" w:hAnsi="Verdana"/>
          <w:bCs/>
          <w:sz w:val="20"/>
          <w:szCs w:val="20"/>
          <w:lang w:val="pt-BR"/>
        </w:rPr>
        <w:t xml:space="preserve"> acima, </w:t>
      </w:r>
      <w:r w:rsidR="00B93892" w:rsidRPr="00B93892">
        <w:rPr>
          <w:rFonts w:ascii="Verdana" w:hAnsi="Verdana"/>
          <w:bCs/>
          <w:sz w:val="20"/>
          <w:szCs w:val="20"/>
          <w:lang w:val="pt-BR"/>
        </w:rPr>
        <w:t>inclusive</w:t>
      </w:r>
      <w:r w:rsidR="00B93892">
        <w:rPr>
          <w:rFonts w:ascii="Verdana" w:hAnsi="Verdana"/>
          <w:bCs/>
          <w:sz w:val="20"/>
          <w:szCs w:val="20"/>
          <w:lang w:val="pt-BR"/>
        </w:rPr>
        <w:t xml:space="preserve"> </w:t>
      </w:r>
      <w:r w:rsidR="00B93892" w:rsidRPr="00B93892">
        <w:rPr>
          <w:rFonts w:ascii="Verdana" w:hAnsi="Verdana"/>
          <w:bCs/>
          <w:sz w:val="20"/>
          <w:szCs w:val="20"/>
          <w:lang w:val="pt-BR"/>
        </w:rPr>
        <w:t>a celebração de aditamento ao Contrato de Cessão Fiduciária</w:t>
      </w:r>
      <w:r w:rsidR="00B93892">
        <w:rPr>
          <w:rFonts w:ascii="Verdana" w:hAnsi="Verdana"/>
          <w:bCs/>
          <w:sz w:val="20"/>
          <w:szCs w:val="20"/>
          <w:lang w:val="pt-BR"/>
        </w:rPr>
        <w:t>,</w:t>
      </w:r>
      <w:r w:rsidR="00B93892" w:rsidRPr="00B93892">
        <w:rPr>
          <w:rFonts w:ascii="Verdana" w:hAnsi="Verdana"/>
          <w:bCs/>
          <w:sz w:val="20"/>
          <w:szCs w:val="20"/>
          <w:lang w:val="pt-BR"/>
        </w:rPr>
        <w:t xml:space="preserve"> </w:t>
      </w:r>
      <w:r w:rsidR="00265666" w:rsidRPr="00265666">
        <w:rPr>
          <w:rFonts w:ascii="Verdana" w:hAnsi="Verdana"/>
          <w:bCs/>
          <w:sz w:val="20"/>
          <w:szCs w:val="20"/>
          <w:lang w:val="pt-BR"/>
        </w:rPr>
        <w:t>conforme aplicável.</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7777777"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 Presidente, foi iniciada a discussão e votação a respeito do item da Ordem do Dia, havendo a totalidade dos Debenturistas, sem qualquer restrição e/ou ressalvas, por:</w:t>
      </w:r>
    </w:p>
    <w:p w14:paraId="798471B7" w14:textId="77777777" w:rsidR="00265666" w:rsidRPr="00265666" w:rsidRDefault="00265666" w:rsidP="00265666">
      <w:pPr>
        <w:suppressAutoHyphens/>
        <w:spacing w:after="0" w:line="360" w:lineRule="auto"/>
        <w:rPr>
          <w:rFonts w:ascii="Verdana" w:hAnsi="Verdana"/>
          <w:sz w:val="20"/>
          <w:szCs w:val="20"/>
          <w:lang w:val="pt-BR"/>
        </w:rPr>
      </w:pPr>
    </w:p>
    <w:p w14:paraId="6C680869" w14:textId="40CB72F7" w:rsidR="006B3ECF" w:rsidRDefault="00265666" w:rsidP="00265666">
      <w:pPr>
        <w:suppressAutoHyphens/>
        <w:spacing w:after="0" w:line="360" w:lineRule="auto"/>
        <w:rPr>
          <w:rFonts w:ascii="Verdana" w:hAnsi="Verdana"/>
          <w:sz w:val="20"/>
          <w:szCs w:val="20"/>
          <w:lang w:val="pt-BR"/>
        </w:rPr>
      </w:pPr>
      <w:r w:rsidRPr="00265666">
        <w:rPr>
          <w:rFonts w:ascii="Verdana" w:hAnsi="Verdana"/>
          <w:sz w:val="20"/>
          <w:szCs w:val="20"/>
          <w:lang w:val="pt-BR"/>
        </w:rPr>
        <w:t>6.1.</w:t>
      </w:r>
      <w:r w:rsidRPr="00265666">
        <w:rPr>
          <w:rFonts w:ascii="Verdana" w:hAnsi="Verdana"/>
          <w:sz w:val="20"/>
          <w:szCs w:val="20"/>
          <w:lang w:val="pt-BR"/>
        </w:rPr>
        <w:tab/>
      </w:r>
      <w:r w:rsidR="0047523D">
        <w:rPr>
          <w:rFonts w:ascii="Verdana" w:hAnsi="Verdana"/>
          <w:sz w:val="20"/>
          <w:szCs w:val="20"/>
          <w:lang w:val="pt-BR"/>
        </w:rPr>
        <w:t>Aprovar</w:t>
      </w:r>
      <w:r w:rsidR="006B3ECF" w:rsidRPr="00265666">
        <w:rPr>
          <w:rFonts w:ascii="Verdana" w:hAnsi="Verdana"/>
          <w:sz w:val="20"/>
          <w:szCs w:val="20"/>
          <w:lang w:val="pt-BR"/>
        </w:rPr>
        <w:t xml:space="preserve"> a</w:t>
      </w:r>
      <w:r w:rsidR="006B3ECF" w:rsidRPr="00265666">
        <w:rPr>
          <w:rFonts w:ascii="Verdana" w:hAnsi="Verdana"/>
          <w:bCs/>
          <w:sz w:val="20"/>
          <w:szCs w:val="20"/>
          <w:lang w:val="pt-BR"/>
        </w:rPr>
        <w:t xml:space="preserve"> </w:t>
      </w:r>
      <w:r w:rsidR="006B3ECF">
        <w:rPr>
          <w:rFonts w:ascii="Verdana" w:hAnsi="Verdana"/>
          <w:bCs/>
          <w:sz w:val="20"/>
          <w:szCs w:val="20"/>
          <w:lang w:val="pt-BR"/>
        </w:rPr>
        <w:t>não decretação de vencimento antecipado das Debêntures em razão do descumprimento dos</w:t>
      </w:r>
      <w:r w:rsidR="006B3ECF" w:rsidRPr="00265666">
        <w:rPr>
          <w:rFonts w:ascii="Verdana" w:hAnsi="Verdana"/>
          <w:bCs/>
          <w:sz w:val="20"/>
          <w:szCs w:val="20"/>
          <w:lang w:val="pt-BR"/>
        </w:rPr>
        <w:t xml:space="preserve"> </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265666">
        <w:rPr>
          <w:rFonts w:ascii="Verdana" w:hAnsi="Verdana"/>
          <w:bCs/>
          <w:sz w:val="20"/>
          <w:szCs w:val="20"/>
          <w:lang w:val="pt-BR"/>
        </w:rPr>
        <w:t>(“</w:t>
      </w:r>
      <w:r w:rsidR="006B3ECF">
        <w:rPr>
          <w:rFonts w:ascii="Verdana" w:hAnsi="Verdana"/>
          <w:bCs/>
          <w:sz w:val="20"/>
          <w:szCs w:val="20"/>
          <w:lang w:val="pt-BR"/>
        </w:rPr>
        <w:t>Í</w:t>
      </w:r>
      <w:r w:rsidR="006B3ECF" w:rsidRPr="00265666">
        <w:rPr>
          <w:rFonts w:ascii="Verdana" w:hAnsi="Verdana"/>
          <w:bCs/>
          <w:sz w:val="20"/>
          <w:szCs w:val="20"/>
          <w:lang w:val="pt-BR"/>
        </w:rPr>
        <w:t xml:space="preserve">ndices </w:t>
      </w:r>
      <w:r w:rsidR="006B3ECF">
        <w:rPr>
          <w:rFonts w:ascii="Verdana" w:hAnsi="Verdana"/>
          <w:bCs/>
          <w:sz w:val="20"/>
          <w:szCs w:val="20"/>
          <w:lang w:val="pt-BR"/>
        </w:rPr>
        <w:t>F</w:t>
      </w:r>
      <w:r w:rsidR="006B3ECF" w:rsidRPr="00265666">
        <w:rPr>
          <w:rFonts w:ascii="Verdana" w:hAnsi="Verdana"/>
          <w:bCs/>
          <w:sz w:val="20"/>
          <w:szCs w:val="20"/>
          <w:lang w:val="pt-BR"/>
        </w:rPr>
        <w:t>inanceiros”)</w:t>
      </w:r>
      <w:r w:rsidR="006B3ECF">
        <w:rPr>
          <w:rFonts w:ascii="Verdana" w:hAnsi="Verdana"/>
          <w:bCs/>
          <w:sz w:val="20"/>
          <w:szCs w:val="20"/>
          <w:lang w:val="pt-BR"/>
        </w:rPr>
        <w:t xml:space="preserve"> </w:t>
      </w:r>
      <w:r w:rsidR="006B3ECF" w:rsidRPr="006B3ECF">
        <w:rPr>
          <w:rFonts w:ascii="Verdana" w:hAnsi="Verdana"/>
          <w:bCs/>
          <w:sz w:val="20"/>
          <w:szCs w:val="20"/>
          <w:lang w:val="pt-BR"/>
        </w:rPr>
        <w:t xml:space="preserve">no </w:t>
      </w:r>
      <w:r w:rsidR="006B3ECF" w:rsidRPr="006B3ECF">
        <w:rPr>
          <w:rFonts w:ascii="Verdana" w:hAnsi="Verdana"/>
          <w:sz w:val="20"/>
          <w:szCs w:val="20"/>
          <w:lang w:val="pt-BR"/>
        </w:rPr>
        <w:t>período de dezembro de 2020 e de junho de 2021</w:t>
      </w:r>
      <w:r w:rsidR="006B3ECF">
        <w:rPr>
          <w:rFonts w:ascii="Verdana" w:hAnsi="Verdana"/>
          <w:sz w:val="20"/>
          <w:szCs w:val="20"/>
          <w:lang w:val="pt-BR"/>
        </w:rPr>
        <w:t xml:space="preserve">, conforme </w:t>
      </w:r>
      <w:r w:rsidR="006B3ECF">
        <w:rPr>
          <w:rFonts w:ascii="Verdana" w:hAnsi="Verdana"/>
          <w:bCs/>
          <w:sz w:val="20"/>
          <w:szCs w:val="20"/>
          <w:lang w:val="pt-BR"/>
        </w:rPr>
        <w:t xml:space="preserve">prevista na </w:t>
      </w:r>
      <w:r w:rsidR="006B3ECF" w:rsidRPr="00265666">
        <w:rPr>
          <w:rFonts w:ascii="Verdana" w:hAnsi="Verdana"/>
          <w:bCs/>
          <w:sz w:val="20"/>
          <w:szCs w:val="20"/>
          <w:lang w:val="pt-BR"/>
        </w:rPr>
        <w:t>alínea</w:t>
      </w:r>
      <w:r w:rsidR="006B3ECF">
        <w:rPr>
          <w:rFonts w:ascii="Verdana" w:hAnsi="Verdana"/>
          <w:bCs/>
          <w:sz w:val="20"/>
          <w:szCs w:val="20"/>
          <w:lang w:val="pt-BR"/>
        </w:rPr>
        <w:t xml:space="preserve"> “(i)” da cláusula 5.4.1.2 </w:t>
      </w:r>
      <w:r w:rsidR="006B3ECF" w:rsidRPr="00265666">
        <w:rPr>
          <w:rFonts w:ascii="Verdana" w:hAnsi="Verdana"/>
          <w:bCs/>
          <w:sz w:val="20"/>
          <w:szCs w:val="20"/>
          <w:lang w:val="pt-BR"/>
        </w:rPr>
        <w:t xml:space="preserve">da Escritura da </w:t>
      </w:r>
      <w:r w:rsidR="006B3ECF">
        <w:rPr>
          <w:rFonts w:ascii="Verdana" w:hAnsi="Verdana"/>
          <w:bCs/>
          <w:sz w:val="20"/>
          <w:szCs w:val="20"/>
          <w:lang w:val="pt-BR"/>
        </w:rPr>
        <w:t>1</w:t>
      </w:r>
      <w:r w:rsidR="006B3ECF" w:rsidRPr="00265666">
        <w:rPr>
          <w:rFonts w:ascii="Verdana" w:hAnsi="Verdana"/>
          <w:bCs/>
          <w:sz w:val="20"/>
          <w:szCs w:val="20"/>
          <w:lang w:val="pt-BR"/>
        </w:rPr>
        <w:t>ª Emissão</w:t>
      </w:r>
      <w:r w:rsidR="006B3ECF">
        <w:rPr>
          <w:rFonts w:ascii="Verdana" w:hAnsi="Verdana"/>
          <w:bCs/>
          <w:sz w:val="20"/>
          <w:szCs w:val="20"/>
          <w:lang w:val="pt-BR"/>
        </w:rPr>
        <w:t>;</w:t>
      </w:r>
    </w:p>
    <w:p w14:paraId="188DA42C" w14:textId="77777777" w:rsidR="006B3ECF" w:rsidRDefault="006B3ECF" w:rsidP="00265666">
      <w:pPr>
        <w:suppressAutoHyphens/>
        <w:spacing w:after="0" w:line="360" w:lineRule="auto"/>
        <w:rPr>
          <w:rFonts w:ascii="Verdana" w:hAnsi="Verdana"/>
          <w:sz w:val="20"/>
          <w:szCs w:val="20"/>
          <w:lang w:val="pt-BR"/>
        </w:rPr>
      </w:pPr>
    </w:p>
    <w:p w14:paraId="690B6560" w14:textId="76E396F9" w:rsidR="00265666" w:rsidRDefault="006B3ECF" w:rsidP="00265666">
      <w:pPr>
        <w:suppressAutoHyphens/>
        <w:spacing w:after="0" w:line="360" w:lineRule="auto"/>
        <w:rPr>
          <w:rFonts w:ascii="Verdana" w:hAnsi="Verdana"/>
          <w:sz w:val="20"/>
          <w:szCs w:val="20"/>
          <w:lang w:val="pt-BR"/>
        </w:rPr>
      </w:pPr>
      <w:r>
        <w:rPr>
          <w:rFonts w:ascii="Verdana" w:hAnsi="Verdana"/>
          <w:sz w:val="20"/>
          <w:szCs w:val="20"/>
          <w:lang w:val="pt-BR"/>
        </w:rPr>
        <w:t xml:space="preserve">6.2. </w:t>
      </w:r>
      <w:r>
        <w:rPr>
          <w:rFonts w:ascii="Verdana" w:hAnsi="Verdana"/>
          <w:sz w:val="20"/>
          <w:szCs w:val="20"/>
          <w:lang w:val="pt-BR"/>
        </w:rPr>
        <w:tab/>
        <w:t xml:space="preserve"> </w:t>
      </w:r>
      <w:r w:rsidR="00265666" w:rsidRPr="00265666">
        <w:rPr>
          <w:rFonts w:ascii="Verdana" w:hAnsi="Verdana"/>
          <w:sz w:val="20"/>
          <w:szCs w:val="20"/>
          <w:lang w:val="pt-BR"/>
        </w:rPr>
        <w:t>Aprovar a concessão de autorização temporária (</w:t>
      </w:r>
      <w:proofErr w:type="spellStart"/>
      <w:r w:rsidR="00265666" w:rsidRPr="00D23D45">
        <w:rPr>
          <w:rFonts w:ascii="Verdana" w:hAnsi="Verdana"/>
          <w:i/>
          <w:iCs/>
          <w:sz w:val="20"/>
          <w:szCs w:val="20"/>
          <w:lang w:val="pt-BR"/>
        </w:rPr>
        <w:t>waiver</w:t>
      </w:r>
      <w:proofErr w:type="spellEnd"/>
      <w:r w:rsidR="00265666" w:rsidRPr="00265666">
        <w:rPr>
          <w:rFonts w:ascii="Verdana" w:hAnsi="Verdana"/>
          <w:sz w:val="20"/>
          <w:szCs w:val="20"/>
          <w:lang w:val="pt-BR"/>
        </w:rPr>
        <w:t>)</w:t>
      </w:r>
      <w:r w:rsidR="00957C01">
        <w:rPr>
          <w:rFonts w:ascii="Verdana" w:hAnsi="Verdana"/>
          <w:sz w:val="20"/>
          <w:szCs w:val="20"/>
          <w:lang w:val="pt-BR"/>
        </w:rPr>
        <w:t xml:space="preserve"> </w:t>
      </w:r>
      <w:r w:rsidR="00265666" w:rsidRPr="00265666">
        <w:rPr>
          <w:rFonts w:ascii="Verdana" w:hAnsi="Verdana"/>
          <w:sz w:val="20"/>
          <w:szCs w:val="20"/>
          <w:lang w:val="pt-BR"/>
        </w:rPr>
        <w:t xml:space="preserve">para a não decretação de vencimento antecipado das Debêntures em razão do inadimplemento de obrigações não pecuniárias, conforme prevista </w:t>
      </w:r>
      <w:r w:rsidR="000762ED">
        <w:rPr>
          <w:rFonts w:ascii="Verdana" w:hAnsi="Verdana"/>
          <w:sz w:val="20"/>
          <w:szCs w:val="20"/>
          <w:lang w:val="pt-BR"/>
        </w:rPr>
        <w:t xml:space="preserve">na </w:t>
      </w:r>
      <w:r w:rsidR="00906D96">
        <w:rPr>
          <w:rFonts w:ascii="Verdana" w:hAnsi="Verdana"/>
          <w:bCs/>
          <w:sz w:val="20"/>
          <w:szCs w:val="20"/>
          <w:lang w:val="pt-BR"/>
        </w:rPr>
        <w:t xml:space="preserve">alínea “(a)” da cláusula 6.1 </w:t>
      </w:r>
      <w:r w:rsidR="00906D96" w:rsidRPr="00265666">
        <w:rPr>
          <w:rFonts w:ascii="Verdana" w:hAnsi="Verdana"/>
          <w:bCs/>
          <w:sz w:val="20"/>
          <w:szCs w:val="20"/>
          <w:lang w:val="pt-BR"/>
        </w:rPr>
        <w:t xml:space="preserve">da Escritura da </w:t>
      </w:r>
      <w:r w:rsidR="00906D96">
        <w:rPr>
          <w:rFonts w:ascii="Verdana" w:hAnsi="Verdana"/>
          <w:bCs/>
          <w:sz w:val="20"/>
          <w:szCs w:val="20"/>
          <w:lang w:val="pt-BR"/>
        </w:rPr>
        <w:t>1</w:t>
      </w:r>
      <w:r w:rsidR="00906D96" w:rsidRPr="00265666">
        <w:rPr>
          <w:rFonts w:ascii="Verdana" w:hAnsi="Verdana"/>
          <w:bCs/>
          <w:sz w:val="20"/>
          <w:szCs w:val="20"/>
          <w:lang w:val="pt-BR"/>
        </w:rPr>
        <w:t>ª Emissão</w:t>
      </w:r>
      <w:r w:rsidR="00265666" w:rsidRPr="00265666">
        <w:rPr>
          <w:rFonts w:ascii="Verdana" w:hAnsi="Verdana"/>
          <w:sz w:val="20"/>
          <w:szCs w:val="20"/>
          <w:lang w:val="pt-BR"/>
        </w:rPr>
        <w:t>, em razão da inobservância pela Emissora das Obrigações Relacionadas às Demonstrações Financeiras</w:t>
      </w:r>
      <w:r w:rsidR="00906D96">
        <w:rPr>
          <w:rFonts w:ascii="Verdana" w:hAnsi="Verdana"/>
          <w:sz w:val="20"/>
          <w:szCs w:val="20"/>
          <w:lang w:val="pt-BR"/>
        </w:rPr>
        <w:t xml:space="preserve"> e os Índices Financeiros</w:t>
      </w:r>
      <w:r w:rsidR="00BF0FD8">
        <w:rPr>
          <w:rFonts w:ascii="Verdana" w:hAnsi="Verdana"/>
          <w:sz w:val="20"/>
          <w:szCs w:val="20"/>
          <w:lang w:val="pt-BR"/>
        </w:rPr>
        <w:t xml:space="preserve"> do período de dezembro de 2020 e de junho de 2021</w:t>
      </w:r>
      <w:r w:rsidR="00C367FB">
        <w:rPr>
          <w:rFonts w:ascii="Verdana" w:hAnsi="Verdana"/>
          <w:sz w:val="20"/>
          <w:szCs w:val="20"/>
          <w:lang w:val="pt-BR"/>
        </w:rPr>
        <w:t>;</w:t>
      </w:r>
    </w:p>
    <w:p w14:paraId="352B7E1C" w14:textId="6091C80B" w:rsidR="003802E7" w:rsidRDefault="003802E7" w:rsidP="00265666">
      <w:pPr>
        <w:suppressAutoHyphens/>
        <w:spacing w:after="0" w:line="360" w:lineRule="auto"/>
        <w:rPr>
          <w:rFonts w:ascii="Verdana" w:hAnsi="Verdana"/>
          <w:sz w:val="20"/>
          <w:szCs w:val="20"/>
          <w:lang w:val="pt-BR"/>
        </w:rPr>
      </w:pPr>
    </w:p>
    <w:p w14:paraId="6D7D8C1A" w14:textId="798A6827" w:rsidR="00C06B4E" w:rsidRDefault="003802E7" w:rsidP="00DA605D">
      <w:pPr>
        <w:suppressAutoHyphens/>
        <w:spacing w:after="0" w:line="360" w:lineRule="auto"/>
        <w:rPr>
          <w:rFonts w:ascii="Verdana" w:hAnsi="Verdana"/>
          <w:bCs/>
          <w:sz w:val="20"/>
          <w:szCs w:val="20"/>
          <w:lang w:val="pt-BR"/>
        </w:rPr>
      </w:pPr>
      <w:r>
        <w:rPr>
          <w:rFonts w:ascii="Verdana" w:hAnsi="Verdana"/>
          <w:sz w:val="20"/>
          <w:szCs w:val="20"/>
          <w:lang w:val="pt-BR"/>
        </w:rPr>
        <w:lastRenderedPageBreak/>
        <w:t>6.</w:t>
      </w:r>
      <w:r w:rsidR="006B3ECF">
        <w:rPr>
          <w:rFonts w:ascii="Verdana" w:hAnsi="Verdana"/>
          <w:sz w:val="20"/>
          <w:szCs w:val="20"/>
          <w:lang w:val="pt-BR"/>
        </w:rPr>
        <w:t>3</w:t>
      </w:r>
      <w:r>
        <w:rPr>
          <w:rFonts w:ascii="Verdana" w:hAnsi="Verdana"/>
          <w:sz w:val="20"/>
          <w:szCs w:val="20"/>
          <w:lang w:val="pt-BR"/>
        </w:rPr>
        <w:t>.</w:t>
      </w:r>
      <w:r w:rsidR="00C367FB">
        <w:rPr>
          <w:rFonts w:ascii="Verdana" w:hAnsi="Verdana"/>
          <w:sz w:val="20"/>
          <w:szCs w:val="20"/>
          <w:lang w:val="pt-BR"/>
        </w:rPr>
        <w:t xml:space="preserve"> </w:t>
      </w:r>
      <w:r w:rsidR="00C367FB">
        <w:rPr>
          <w:rFonts w:ascii="Verdana" w:hAnsi="Verdana"/>
          <w:sz w:val="20"/>
          <w:szCs w:val="20"/>
          <w:lang w:val="pt-BR"/>
        </w:rPr>
        <w:tab/>
      </w:r>
      <w:r w:rsidR="00C367FB" w:rsidRPr="00265666">
        <w:rPr>
          <w:rFonts w:ascii="Verdana" w:hAnsi="Verdana"/>
          <w:sz w:val="20"/>
          <w:szCs w:val="20"/>
          <w:lang w:val="pt-BR"/>
        </w:rPr>
        <w:t>Aprovar</w:t>
      </w:r>
      <w:r w:rsidR="0047523D">
        <w:rPr>
          <w:rFonts w:ascii="Verdana" w:hAnsi="Verdana"/>
          <w:sz w:val="20"/>
          <w:szCs w:val="20"/>
          <w:lang w:val="pt-BR"/>
        </w:rPr>
        <w:t xml:space="preserve"> </w:t>
      </w:r>
      <w:r w:rsidR="00C367FB">
        <w:rPr>
          <w:rFonts w:ascii="Verdana" w:hAnsi="Verdana"/>
          <w:bCs/>
          <w:sz w:val="20"/>
          <w:szCs w:val="20"/>
          <w:lang w:val="pt-BR"/>
        </w:rPr>
        <w:t>a inclusão de um Limite Mínimo de Trânsito em Conta Vinculada, equivalente a 70% das Duplicatas Vencidas no período de 30 dias imediatamente anterior à Data de Verificação</w:t>
      </w:r>
      <w:r w:rsidR="00817558">
        <w:rPr>
          <w:rFonts w:ascii="Verdana" w:hAnsi="Verdana"/>
          <w:bCs/>
          <w:sz w:val="20"/>
          <w:szCs w:val="20"/>
          <w:lang w:val="pt-BR"/>
        </w:rPr>
        <w:t>, com a consequente inclusão da Cláusula 5.7</w:t>
      </w:r>
      <w:r w:rsidR="00C06B4E">
        <w:rPr>
          <w:rFonts w:ascii="Verdana" w:hAnsi="Verdana"/>
          <w:bCs/>
          <w:sz w:val="20"/>
          <w:szCs w:val="20"/>
          <w:lang w:val="pt-BR"/>
        </w:rPr>
        <w:t xml:space="preserve"> </w:t>
      </w:r>
      <w:r w:rsidR="00D564E6">
        <w:rPr>
          <w:rFonts w:ascii="Verdana" w:hAnsi="Verdana"/>
          <w:bCs/>
          <w:sz w:val="20"/>
          <w:szCs w:val="20"/>
          <w:lang w:val="pt-BR"/>
        </w:rPr>
        <w:t xml:space="preserve">no </w:t>
      </w:r>
      <w:r w:rsidR="00D564E6" w:rsidRPr="00D564E6">
        <w:rPr>
          <w:rFonts w:ascii="Verdana" w:hAnsi="Verdana"/>
          <w:bCs/>
          <w:sz w:val="20"/>
          <w:szCs w:val="20"/>
          <w:lang w:val="pt-BR"/>
        </w:rPr>
        <w:t>Contrato de Cessão Fiduciária</w:t>
      </w:r>
      <w:r w:rsidR="00D564E6">
        <w:rPr>
          <w:rFonts w:ascii="Verdana" w:hAnsi="Verdana"/>
          <w:bCs/>
          <w:sz w:val="20"/>
          <w:szCs w:val="20"/>
          <w:lang w:val="pt-BR"/>
        </w:rPr>
        <w:t xml:space="preserve">, </w:t>
      </w:r>
      <w:r w:rsidR="00C06B4E">
        <w:rPr>
          <w:rFonts w:ascii="Verdana" w:hAnsi="Verdana"/>
          <w:bCs/>
          <w:sz w:val="20"/>
          <w:szCs w:val="20"/>
          <w:lang w:val="pt-BR"/>
        </w:rPr>
        <w:t xml:space="preserve">que passará a vigorar com a seguinte redação: </w:t>
      </w:r>
    </w:p>
    <w:p w14:paraId="0D109C3F" w14:textId="77777777" w:rsidR="00C06B4E" w:rsidRDefault="00C06B4E" w:rsidP="00DA605D">
      <w:pPr>
        <w:suppressAutoHyphens/>
        <w:spacing w:after="0" w:line="360" w:lineRule="auto"/>
        <w:rPr>
          <w:rFonts w:ascii="Verdana" w:hAnsi="Verdana"/>
          <w:bCs/>
          <w:sz w:val="20"/>
          <w:szCs w:val="20"/>
          <w:lang w:val="pt-BR"/>
        </w:rPr>
      </w:pPr>
    </w:p>
    <w:p w14:paraId="2111BF7A" w14:textId="66BA831D" w:rsidR="00DA605D" w:rsidRDefault="00C06B4E" w:rsidP="00BF0FD8">
      <w:pPr>
        <w:pStyle w:val="Default"/>
        <w:spacing w:line="360" w:lineRule="auto"/>
        <w:ind w:left="720"/>
        <w:jc w:val="both"/>
        <w:rPr>
          <w:rFonts w:ascii="Verdana" w:hAnsi="Verdana"/>
          <w:bCs/>
          <w:i/>
          <w:iCs/>
          <w:color w:val="auto"/>
          <w:sz w:val="20"/>
          <w:szCs w:val="20"/>
          <w:lang w:eastAsia="en-US"/>
        </w:rPr>
      </w:pPr>
      <w:r w:rsidRPr="00DA605D">
        <w:rPr>
          <w:rFonts w:ascii="Verdana" w:hAnsi="Verdana"/>
          <w:bCs/>
          <w:i/>
          <w:iCs/>
          <w:color w:val="auto"/>
          <w:sz w:val="20"/>
          <w:szCs w:val="20"/>
          <w:lang w:eastAsia="en-US"/>
        </w:rPr>
        <w:t>“</w:t>
      </w:r>
      <w:r w:rsidR="00DA605D">
        <w:rPr>
          <w:rFonts w:ascii="Verdana" w:hAnsi="Verdana"/>
          <w:bCs/>
          <w:i/>
          <w:iCs/>
          <w:color w:val="auto"/>
          <w:sz w:val="20"/>
          <w:szCs w:val="20"/>
          <w:lang w:eastAsia="en-US"/>
        </w:rPr>
        <w:t xml:space="preserve"> </w:t>
      </w:r>
      <w:r w:rsidRPr="00DA605D">
        <w:rPr>
          <w:rFonts w:ascii="Verdana" w:hAnsi="Verdana"/>
          <w:bCs/>
          <w:i/>
          <w:iCs/>
          <w:color w:val="auto"/>
          <w:sz w:val="20"/>
          <w:szCs w:val="20"/>
          <w:lang w:eastAsia="en-US"/>
        </w:rPr>
        <w:t>5.7</w:t>
      </w:r>
      <w:r w:rsidR="00DA605D" w:rsidRPr="00DA605D">
        <w:rPr>
          <w:rFonts w:ascii="Verdana" w:hAnsi="Verdana"/>
          <w:bCs/>
          <w:i/>
          <w:iCs/>
          <w:color w:val="auto"/>
          <w:sz w:val="20"/>
          <w:szCs w:val="20"/>
          <w:lang w:eastAsia="en-US"/>
        </w:rPr>
        <w:t xml:space="preserve">. </w:t>
      </w:r>
      <w:r w:rsidR="00DA605D">
        <w:rPr>
          <w:rFonts w:ascii="Verdana" w:hAnsi="Verdana"/>
          <w:bCs/>
          <w:i/>
          <w:iCs/>
          <w:color w:val="auto"/>
          <w:sz w:val="20"/>
          <w:szCs w:val="20"/>
          <w:lang w:eastAsia="en-US"/>
        </w:rPr>
        <w:t xml:space="preserve">As Cedentes obrigam-se a partir de 15 de </w:t>
      </w:r>
      <w:r w:rsidR="00526AD1">
        <w:rPr>
          <w:rFonts w:ascii="Verdana" w:hAnsi="Verdana"/>
          <w:bCs/>
          <w:i/>
          <w:iCs/>
          <w:color w:val="auto"/>
          <w:sz w:val="20"/>
          <w:szCs w:val="20"/>
          <w:lang w:eastAsia="en-US"/>
        </w:rPr>
        <w:t>Novembro</w:t>
      </w:r>
      <w:r w:rsidR="00DA605D">
        <w:rPr>
          <w:rFonts w:ascii="Verdana" w:hAnsi="Verdana"/>
          <w:bCs/>
          <w:i/>
          <w:iCs/>
          <w:color w:val="auto"/>
          <w:sz w:val="20"/>
          <w:szCs w:val="20"/>
          <w:lang w:eastAsia="en-US"/>
        </w:rPr>
        <w:t xml:space="preserve"> de 2021, até a quitação integral das Obrigações Garantidas, a garantir que transite </w:t>
      </w:r>
      <w:r w:rsidR="001E2B19">
        <w:rPr>
          <w:rFonts w:ascii="Verdana" w:hAnsi="Verdana"/>
          <w:bCs/>
          <w:i/>
          <w:iCs/>
          <w:color w:val="auto"/>
          <w:sz w:val="20"/>
          <w:szCs w:val="20"/>
          <w:lang w:eastAsia="en-US"/>
        </w:rPr>
        <w:t xml:space="preserve">mensalmente na Conta Vinculada, no mínimo, 70% do </w:t>
      </w:r>
      <w:r w:rsidR="000D2DD7">
        <w:rPr>
          <w:rFonts w:ascii="Verdana" w:hAnsi="Verdana"/>
          <w:bCs/>
          <w:i/>
          <w:iCs/>
          <w:color w:val="auto"/>
          <w:sz w:val="20"/>
          <w:szCs w:val="20"/>
          <w:lang w:eastAsia="en-US"/>
        </w:rPr>
        <w:t>valor referente ao somatório das duplicatas vencidas (“</w:t>
      </w:r>
      <w:r w:rsidR="001E2B19" w:rsidRPr="00BF0FD8">
        <w:rPr>
          <w:rFonts w:ascii="Verdana" w:hAnsi="Verdana"/>
          <w:bCs/>
          <w:i/>
          <w:iCs/>
          <w:color w:val="auto"/>
          <w:sz w:val="20"/>
          <w:szCs w:val="20"/>
          <w:u w:val="single"/>
          <w:lang w:eastAsia="en-US"/>
        </w:rPr>
        <w:t>Saldo de Duplicatas Vencidas</w:t>
      </w:r>
      <w:r w:rsidR="000D2DD7">
        <w:rPr>
          <w:rFonts w:ascii="Verdana" w:hAnsi="Verdana"/>
          <w:bCs/>
          <w:i/>
          <w:iCs/>
          <w:color w:val="auto"/>
          <w:sz w:val="20"/>
          <w:szCs w:val="20"/>
          <w:lang w:eastAsia="en-US"/>
        </w:rPr>
        <w:t xml:space="preserve">”, </w:t>
      </w:r>
      <w:r w:rsidR="00C202EC">
        <w:rPr>
          <w:rFonts w:ascii="Verdana" w:hAnsi="Verdana"/>
          <w:bCs/>
          <w:i/>
          <w:iCs/>
          <w:color w:val="auto"/>
          <w:sz w:val="20"/>
          <w:szCs w:val="20"/>
          <w:lang w:eastAsia="en-US"/>
        </w:rPr>
        <w:t>“</w:t>
      </w:r>
      <w:r w:rsidR="00C202EC" w:rsidRPr="001E2B19">
        <w:rPr>
          <w:rFonts w:ascii="Verdana" w:hAnsi="Verdana"/>
          <w:bCs/>
          <w:i/>
          <w:iCs/>
          <w:color w:val="auto"/>
          <w:sz w:val="20"/>
          <w:szCs w:val="20"/>
          <w:u w:val="single"/>
          <w:lang w:eastAsia="en-US"/>
        </w:rPr>
        <w:t>Limite Mínimo de Trânsito em Conta Vinculada</w:t>
      </w:r>
      <w:r w:rsidR="00C202EC">
        <w:rPr>
          <w:rFonts w:ascii="Verdana" w:hAnsi="Verdana"/>
          <w:bCs/>
          <w:i/>
          <w:iCs/>
          <w:color w:val="auto"/>
          <w:sz w:val="20"/>
          <w:szCs w:val="20"/>
          <w:lang w:eastAsia="en-US"/>
        </w:rPr>
        <w:t xml:space="preserve">”), </w:t>
      </w:r>
      <w:r w:rsidR="001E2B19">
        <w:rPr>
          <w:rFonts w:ascii="Verdana" w:hAnsi="Verdana"/>
          <w:bCs/>
          <w:i/>
          <w:iCs/>
          <w:color w:val="auto"/>
          <w:sz w:val="20"/>
          <w:szCs w:val="20"/>
          <w:lang w:eastAsia="en-US"/>
        </w:rPr>
        <w:t xml:space="preserve"> no período de 30 dias imediatamente anterior à Data de Verificação</w:t>
      </w:r>
      <w:r w:rsidR="00C202EC">
        <w:rPr>
          <w:rFonts w:ascii="Verdana" w:hAnsi="Verdana"/>
          <w:bCs/>
          <w:i/>
          <w:iCs/>
          <w:color w:val="auto"/>
          <w:sz w:val="20"/>
          <w:szCs w:val="20"/>
          <w:lang w:eastAsia="en-US"/>
        </w:rPr>
        <w:t xml:space="preserve"> (“</w:t>
      </w:r>
      <w:r w:rsidR="00C202EC" w:rsidRPr="00C202EC">
        <w:rPr>
          <w:rFonts w:ascii="Verdana" w:hAnsi="Verdana"/>
          <w:bCs/>
          <w:i/>
          <w:iCs/>
          <w:color w:val="auto"/>
          <w:sz w:val="20"/>
          <w:szCs w:val="20"/>
          <w:u w:val="single"/>
          <w:lang w:eastAsia="en-US"/>
        </w:rPr>
        <w:t>Período de Verificação</w:t>
      </w:r>
      <w:r w:rsidR="00C202EC">
        <w:rPr>
          <w:rFonts w:ascii="Verdana" w:hAnsi="Verdana"/>
          <w:bCs/>
          <w:i/>
          <w:iCs/>
          <w:color w:val="auto"/>
          <w:sz w:val="20"/>
          <w:szCs w:val="20"/>
          <w:lang w:eastAsia="en-US"/>
        </w:rPr>
        <w:t>”),</w:t>
      </w:r>
      <w:r w:rsidR="001E2B19">
        <w:rPr>
          <w:rFonts w:ascii="Verdana" w:hAnsi="Verdana"/>
          <w:bCs/>
          <w:i/>
          <w:iCs/>
          <w:color w:val="auto"/>
          <w:sz w:val="20"/>
          <w:szCs w:val="20"/>
          <w:lang w:eastAsia="en-US"/>
        </w:rPr>
        <w:t xml:space="preserve"> sendo que </w:t>
      </w:r>
      <w:r w:rsidR="00BF0FD8">
        <w:rPr>
          <w:rFonts w:ascii="Verdana" w:hAnsi="Verdana"/>
          <w:bCs/>
          <w:sz w:val="20"/>
          <w:szCs w:val="20"/>
        </w:rPr>
        <w:t>depósitos realizados pela Companhia não serão considerados para fins do Limite Mínimo de Trânsito em Conta Vinculada.</w:t>
      </w:r>
      <w:r w:rsidR="00C202EC">
        <w:rPr>
          <w:rFonts w:ascii="Verdana" w:hAnsi="Verdana"/>
          <w:bCs/>
          <w:i/>
          <w:iCs/>
          <w:color w:val="auto"/>
          <w:sz w:val="20"/>
          <w:szCs w:val="20"/>
          <w:lang w:eastAsia="en-US"/>
        </w:rPr>
        <w:t xml:space="preserve">. </w:t>
      </w:r>
    </w:p>
    <w:p w14:paraId="6F92B1D9" w14:textId="69BDCD16" w:rsidR="00C202EC" w:rsidRDefault="00C202EC" w:rsidP="00DA605D">
      <w:pPr>
        <w:pStyle w:val="Default"/>
        <w:spacing w:line="360" w:lineRule="auto"/>
        <w:ind w:firstLine="720"/>
        <w:jc w:val="both"/>
        <w:rPr>
          <w:rFonts w:ascii="Verdana" w:hAnsi="Verdana"/>
          <w:bCs/>
          <w:i/>
          <w:iCs/>
          <w:color w:val="auto"/>
          <w:sz w:val="20"/>
          <w:szCs w:val="20"/>
          <w:lang w:eastAsia="en-US"/>
        </w:rPr>
      </w:pPr>
    </w:p>
    <w:p w14:paraId="341CA807" w14:textId="1C44DE48" w:rsidR="00CA715C" w:rsidRDefault="00C202E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5.7.1. </w:t>
      </w:r>
      <w:r w:rsidR="00CA715C" w:rsidRPr="00DA605D">
        <w:rPr>
          <w:rFonts w:ascii="Verdana" w:hAnsi="Verdana"/>
          <w:bCs/>
          <w:i/>
          <w:iCs/>
          <w:color w:val="auto"/>
          <w:sz w:val="20"/>
          <w:szCs w:val="20"/>
          <w:lang w:eastAsia="en-US"/>
        </w:rPr>
        <w:t xml:space="preserve">O Agente Fiduciário verificará, mensalmente, o cumprimento do Limite Mínimo de Trânsito em Conta Vinculada, com base nos extratos, os quais poderão </w:t>
      </w:r>
      <w:r w:rsidR="00CA715C">
        <w:rPr>
          <w:rFonts w:ascii="Verdana" w:hAnsi="Verdana"/>
          <w:bCs/>
          <w:i/>
          <w:iCs/>
          <w:color w:val="auto"/>
          <w:sz w:val="20"/>
          <w:szCs w:val="20"/>
          <w:lang w:eastAsia="en-US"/>
        </w:rPr>
        <w:t xml:space="preserve">ser acessados, dentre outros, por meio do sistema </w:t>
      </w:r>
      <w:proofErr w:type="spellStart"/>
      <w:r w:rsidR="00CA715C">
        <w:rPr>
          <w:rFonts w:ascii="Verdana" w:hAnsi="Verdana"/>
          <w:bCs/>
          <w:i/>
          <w:iCs/>
          <w:color w:val="auto"/>
          <w:sz w:val="20"/>
          <w:szCs w:val="20"/>
          <w:lang w:eastAsia="en-US"/>
        </w:rPr>
        <w:t>bankline</w:t>
      </w:r>
      <w:proofErr w:type="spellEnd"/>
      <w:r w:rsidR="00CA715C">
        <w:rPr>
          <w:rFonts w:ascii="Verdana" w:hAnsi="Verdana"/>
          <w:bCs/>
          <w:i/>
          <w:iCs/>
          <w:color w:val="auto"/>
          <w:sz w:val="20"/>
          <w:szCs w:val="20"/>
          <w:lang w:eastAsia="en-US"/>
        </w:rPr>
        <w:t xml:space="preserve"> do Banco Depositário nos termos do Contrato de Depositário (“</w:t>
      </w:r>
      <w:proofErr w:type="spellStart"/>
      <w:r w:rsidR="00CA715C" w:rsidRPr="001E2B19">
        <w:rPr>
          <w:rFonts w:ascii="Verdana" w:hAnsi="Verdana"/>
          <w:bCs/>
          <w:i/>
          <w:iCs/>
          <w:color w:val="auto"/>
          <w:sz w:val="20"/>
          <w:szCs w:val="20"/>
          <w:u w:val="single"/>
          <w:lang w:eastAsia="en-US"/>
        </w:rPr>
        <w:t>Bankline</w:t>
      </w:r>
      <w:proofErr w:type="spellEnd"/>
      <w:r w:rsidR="00CA715C">
        <w:rPr>
          <w:rFonts w:ascii="Verdana" w:hAnsi="Verdana"/>
          <w:bCs/>
          <w:i/>
          <w:iCs/>
          <w:color w:val="auto"/>
          <w:sz w:val="20"/>
          <w:szCs w:val="20"/>
          <w:lang w:eastAsia="en-US"/>
        </w:rPr>
        <w:t xml:space="preserve">”), sempre no dia 15 (quinze) de cada mês, sendo certo que a primeira Data de Verificação será no dia 15 de </w:t>
      </w:r>
      <w:proofErr w:type="gramStart"/>
      <w:r w:rsidR="00734F10">
        <w:rPr>
          <w:rFonts w:ascii="Verdana" w:hAnsi="Verdana"/>
          <w:bCs/>
          <w:i/>
          <w:iCs/>
          <w:color w:val="auto"/>
          <w:sz w:val="20"/>
          <w:szCs w:val="20"/>
          <w:lang w:eastAsia="en-US"/>
        </w:rPr>
        <w:t>Novembro</w:t>
      </w:r>
      <w:proofErr w:type="gramEnd"/>
      <w:r w:rsidR="00734F10">
        <w:rPr>
          <w:rFonts w:ascii="Verdana" w:hAnsi="Verdana"/>
          <w:bCs/>
          <w:i/>
          <w:iCs/>
          <w:color w:val="auto"/>
          <w:sz w:val="20"/>
          <w:szCs w:val="20"/>
          <w:lang w:eastAsia="en-US"/>
        </w:rPr>
        <w:t xml:space="preserve"> </w:t>
      </w:r>
      <w:r w:rsidR="00CA715C">
        <w:rPr>
          <w:rFonts w:ascii="Verdana" w:hAnsi="Verdana"/>
          <w:bCs/>
          <w:i/>
          <w:iCs/>
          <w:color w:val="auto"/>
          <w:sz w:val="20"/>
          <w:szCs w:val="20"/>
          <w:lang w:eastAsia="en-US"/>
        </w:rPr>
        <w:t>de 2021 (as “</w:t>
      </w:r>
      <w:r w:rsidR="00CA715C" w:rsidRPr="001E2B19">
        <w:rPr>
          <w:rFonts w:ascii="Verdana" w:hAnsi="Verdana"/>
          <w:bCs/>
          <w:i/>
          <w:iCs/>
          <w:color w:val="auto"/>
          <w:sz w:val="20"/>
          <w:szCs w:val="20"/>
          <w:u w:val="single"/>
          <w:lang w:eastAsia="en-US"/>
        </w:rPr>
        <w:t>Datas de Verificação</w:t>
      </w:r>
      <w:r w:rsidR="00CA715C">
        <w:rPr>
          <w:rFonts w:ascii="Verdana" w:hAnsi="Verdana"/>
          <w:bCs/>
          <w:i/>
          <w:iCs/>
          <w:color w:val="auto"/>
          <w:sz w:val="20"/>
          <w:szCs w:val="20"/>
          <w:lang w:eastAsia="en-US"/>
        </w:rPr>
        <w:t>” e, cada uma, uma “</w:t>
      </w:r>
      <w:r w:rsidR="00CA715C" w:rsidRPr="001E2B19">
        <w:rPr>
          <w:rFonts w:ascii="Verdana" w:hAnsi="Verdana"/>
          <w:bCs/>
          <w:i/>
          <w:iCs/>
          <w:color w:val="auto"/>
          <w:sz w:val="20"/>
          <w:szCs w:val="20"/>
          <w:u w:val="single"/>
          <w:lang w:eastAsia="en-US"/>
        </w:rPr>
        <w:t>Data de Verificação</w:t>
      </w:r>
      <w:r w:rsidR="00CA715C">
        <w:rPr>
          <w:rFonts w:ascii="Verdana" w:hAnsi="Verdana"/>
          <w:bCs/>
          <w:i/>
          <w:iCs/>
          <w:color w:val="auto"/>
          <w:sz w:val="20"/>
          <w:szCs w:val="20"/>
          <w:lang w:eastAsia="en-US"/>
        </w:rPr>
        <w:t xml:space="preserve">”). </w:t>
      </w:r>
    </w:p>
    <w:p w14:paraId="3171BD8E" w14:textId="07A6FB29" w:rsidR="00C202EC" w:rsidRDefault="00CA715C"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 xml:space="preserve">5.7.2. </w:t>
      </w:r>
      <w:r w:rsidR="00C202EC">
        <w:rPr>
          <w:rFonts w:ascii="Verdana" w:hAnsi="Verdana"/>
          <w:bCs/>
          <w:i/>
          <w:iCs/>
          <w:color w:val="auto"/>
          <w:sz w:val="20"/>
          <w:szCs w:val="20"/>
          <w:lang w:eastAsia="en-US"/>
        </w:rPr>
        <w:t>Para os fins da Cláusula 5.7 acima, o Agente Fiduciário deverá informar, em cada Data de Verificação, o Limite Mínimo de Trânsito em Conta Vinculada que deverá ser observado na Data de Verificação imediatamente posterior.</w:t>
      </w:r>
    </w:p>
    <w:p w14:paraId="0E10BDAC" w14:textId="33492F2D" w:rsidR="00307B8B" w:rsidRDefault="00307B8B" w:rsidP="00DA605D">
      <w:pPr>
        <w:pStyle w:val="Default"/>
        <w:spacing w:line="360" w:lineRule="auto"/>
        <w:ind w:firstLine="720"/>
        <w:jc w:val="both"/>
        <w:rPr>
          <w:rFonts w:ascii="Verdana" w:hAnsi="Verdana"/>
          <w:bCs/>
          <w:i/>
          <w:iCs/>
          <w:color w:val="auto"/>
          <w:sz w:val="20"/>
          <w:szCs w:val="20"/>
          <w:lang w:eastAsia="en-US"/>
        </w:rPr>
      </w:pPr>
    </w:p>
    <w:p w14:paraId="2D9F631D" w14:textId="3A62168C" w:rsidR="00BF0FD8" w:rsidRDefault="00307B8B" w:rsidP="00BF0FD8">
      <w:pPr>
        <w:pStyle w:val="Default"/>
        <w:spacing w:line="360" w:lineRule="auto"/>
        <w:ind w:left="720"/>
        <w:jc w:val="both"/>
        <w:rPr>
          <w:rFonts w:ascii="Verdana" w:hAnsi="Verdana"/>
          <w:bCs/>
          <w:i/>
          <w:iCs/>
          <w:color w:val="auto"/>
          <w:sz w:val="20"/>
          <w:szCs w:val="20"/>
          <w:lang w:eastAsia="en-US"/>
        </w:rPr>
      </w:pPr>
      <w:r>
        <w:rPr>
          <w:rFonts w:ascii="Verdana" w:hAnsi="Verdana"/>
          <w:bCs/>
          <w:i/>
          <w:iCs/>
          <w:color w:val="auto"/>
          <w:sz w:val="20"/>
          <w:szCs w:val="20"/>
          <w:lang w:eastAsia="en-US"/>
        </w:rPr>
        <w:t>5.7.</w:t>
      </w:r>
      <w:r w:rsidR="00CA715C">
        <w:rPr>
          <w:rFonts w:ascii="Verdana" w:hAnsi="Verdana"/>
          <w:bCs/>
          <w:i/>
          <w:iCs/>
          <w:color w:val="auto"/>
          <w:sz w:val="20"/>
          <w:szCs w:val="20"/>
          <w:lang w:eastAsia="en-US"/>
        </w:rPr>
        <w:t>3</w:t>
      </w:r>
      <w:r>
        <w:rPr>
          <w:rFonts w:ascii="Verdana" w:hAnsi="Verdana"/>
          <w:bCs/>
          <w:i/>
          <w:iCs/>
          <w:color w:val="auto"/>
          <w:sz w:val="20"/>
          <w:szCs w:val="20"/>
          <w:lang w:eastAsia="en-US"/>
        </w:rPr>
        <w:t xml:space="preserve">. </w:t>
      </w:r>
      <w:r w:rsidR="00CA715C" w:rsidRPr="00CA715C">
        <w:rPr>
          <w:rFonts w:ascii="Verdana" w:hAnsi="Verdana"/>
          <w:bCs/>
          <w:i/>
          <w:iCs/>
          <w:color w:val="auto"/>
          <w:sz w:val="20"/>
          <w:szCs w:val="20"/>
          <w:lang w:eastAsia="en-US"/>
        </w:rPr>
        <w:t xml:space="preserve">Caso, por qualquer razão, durante a vigência deste Contrato, em qualquer Data de Verificação, o Agente Fiduciário verifique que o </w:t>
      </w:r>
      <w:r w:rsidR="00CA715C">
        <w:rPr>
          <w:rFonts w:ascii="Verdana" w:hAnsi="Verdana"/>
          <w:bCs/>
          <w:i/>
          <w:iCs/>
          <w:color w:val="auto"/>
          <w:sz w:val="20"/>
          <w:szCs w:val="20"/>
          <w:lang w:eastAsia="en-US"/>
        </w:rPr>
        <w:t>Limite</w:t>
      </w:r>
      <w:r w:rsidR="00CA715C" w:rsidRPr="00CA715C">
        <w:rPr>
          <w:rFonts w:ascii="Verdana" w:hAnsi="Verdana"/>
          <w:bCs/>
          <w:i/>
          <w:iCs/>
          <w:color w:val="auto"/>
          <w:sz w:val="20"/>
          <w:szCs w:val="20"/>
          <w:lang w:eastAsia="en-US"/>
        </w:rPr>
        <w:t xml:space="preserve"> Mínimo</w:t>
      </w:r>
      <w:r w:rsidR="00CA715C">
        <w:rPr>
          <w:rFonts w:ascii="Verdana" w:hAnsi="Verdana"/>
          <w:bCs/>
          <w:i/>
          <w:iCs/>
          <w:color w:val="auto"/>
          <w:sz w:val="20"/>
          <w:szCs w:val="20"/>
          <w:lang w:eastAsia="en-US"/>
        </w:rPr>
        <w:t xml:space="preserve"> de Trânsito em Conta Vinculada</w:t>
      </w:r>
      <w:r w:rsidR="00CA715C" w:rsidRPr="00CA715C">
        <w:rPr>
          <w:rFonts w:ascii="Verdana" w:hAnsi="Verdana"/>
          <w:bCs/>
          <w:i/>
          <w:iCs/>
          <w:color w:val="auto"/>
          <w:sz w:val="20"/>
          <w:szCs w:val="20"/>
          <w:lang w:eastAsia="en-US"/>
        </w:rPr>
        <w:t xml:space="preserve"> deixou de ser atendido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 o Agente Fiduciário deverá enviar notificação ao Banco Depositário, com cópia às Cedentes, na respectiva Data de Verificação, contendo instruções para que o Banco Depositário bloqueie as Contas Vinculadas e passe a reter os valores que nela transitarem, nos termos previstos na Cláusula 5.4.1 acima (“</w:t>
      </w:r>
      <w:r w:rsidR="00CA715C" w:rsidRPr="00CA715C">
        <w:rPr>
          <w:rFonts w:ascii="Verdana" w:hAnsi="Verdana"/>
          <w:bCs/>
          <w:i/>
          <w:iCs/>
          <w:color w:val="auto"/>
          <w:sz w:val="20"/>
          <w:szCs w:val="20"/>
          <w:u w:val="single"/>
          <w:lang w:eastAsia="en-US"/>
        </w:rPr>
        <w:t>Notificação de</w:t>
      </w:r>
      <w:r w:rsidR="00CA715C">
        <w:rPr>
          <w:rFonts w:ascii="Verdana" w:hAnsi="Verdana"/>
          <w:bCs/>
          <w:i/>
          <w:iCs/>
          <w:color w:val="auto"/>
          <w:sz w:val="20"/>
          <w:szCs w:val="20"/>
          <w:u w:val="single"/>
          <w:lang w:eastAsia="en-US"/>
        </w:rPr>
        <w:t xml:space="preserve"> </w:t>
      </w:r>
      <w:r w:rsidR="00CA715C" w:rsidRPr="00CA715C">
        <w:rPr>
          <w:rFonts w:ascii="Verdana" w:hAnsi="Verdana"/>
          <w:bCs/>
          <w:i/>
          <w:iCs/>
          <w:color w:val="auto"/>
          <w:sz w:val="20"/>
          <w:szCs w:val="20"/>
          <w:u w:val="single"/>
          <w:lang w:eastAsia="en-US"/>
        </w:rPr>
        <w:t xml:space="preserve">Descumprimento do </w:t>
      </w:r>
      <w:r w:rsidR="00CA715C">
        <w:rPr>
          <w:rFonts w:ascii="Verdana" w:hAnsi="Verdana"/>
          <w:bCs/>
          <w:i/>
          <w:iCs/>
          <w:color w:val="auto"/>
          <w:sz w:val="20"/>
          <w:szCs w:val="20"/>
          <w:u w:val="single"/>
          <w:lang w:eastAsia="en-US"/>
        </w:rPr>
        <w:t>Limite</w:t>
      </w:r>
      <w:r w:rsidR="00CA715C" w:rsidRPr="00CA715C">
        <w:rPr>
          <w:rFonts w:ascii="Verdana" w:hAnsi="Verdana"/>
          <w:bCs/>
          <w:i/>
          <w:iCs/>
          <w:color w:val="auto"/>
          <w:sz w:val="20"/>
          <w:szCs w:val="20"/>
          <w:u w:val="single"/>
          <w:lang w:eastAsia="en-US"/>
        </w:rPr>
        <w:t xml:space="preserve"> Mínimo</w:t>
      </w:r>
      <w:r w:rsidR="00CA715C">
        <w:rPr>
          <w:rFonts w:ascii="Verdana" w:hAnsi="Verdana"/>
          <w:bCs/>
          <w:i/>
          <w:iCs/>
          <w:color w:val="auto"/>
          <w:sz w:val="20"/>
          <w:szCs w:val="20"/>
          <w:u w:val="single"/>
          <w:lang w:eastAsia="en-US"/>
        </w:rPr>
        <w:t xml:space="preserve"> de Trânsito em Conta Vinculada</w:t>
      </w:r>
      <w:r w:rsidR="00CA715C" w:rsidRPr="00CA715C">
        <w:rPr>
          <w:rFonts w:ascii="Verdana" w:hAnsi="Verdana"/>
          <w:bCs/>
          <w:i/>
          <w:iCs/>
          <w:color w:val="auto"/>
          <w:sz w:val="20"/>
          <w:szCs w:val="20"/>
          <w:lang w:eastAsia="en-US"/>
        </w:rPr>
        <w:t>”).</w:t>
      </w:r>
      <w:r w:rsidR="00CA715C">
        <w:rPr>
          <w:rFonts w:ascii="Verdana" w:hAnsi="Verdana"/>
          <w:bCs/>
          <w:i/>
          <w:iCs/>
          <w:color w:val="auto"/>
          <w:sz w:val="20"/>
          <w:szCs w:val="20"/>
          <w:lang w:eastAsia="en-US"/>
        </w:rPr>
        <w:t>“</w:t>
      </w:r>
    </w:p>
    <w:p w14:paraId="64478F5D" w14:textId="77777777" w:rsidR="00DA605D" w:rsidRPr="00DA605D" w:rsidRDefault="00DA605D" w:rsidP="00DA605D">
      <w:pPr>
        <w:pStyle w:val="Default"/>
        <w:spacing w:line="360" w:lineRule="auto"/>
        <w:ind w:firstLine="720"/>
        <w:jc w:val="both"/>
        <w:rPr>
          <w:rFonts w:ascii="Verdana" w:hAnsi="Verdana"/>
          <w:bCs/>
          <w:i/>
          <w:iCs/>
          <w:color w:val="auto"/>
          <w:sz w:val="20"/>
          <w:szCs w:val="20"/>
          <w:lang w:eastAsia="en-US"/>
        </w:rPr>
      </w:pPr>
    </w:p>
    <w:p w14:paraId="4F7CAED4" w14:textId="37279B87" w:rsidR="00B93892" w:rsidRPr="00B93892" w:rsidRDefault="00265666" w:rsidP="00B93892">
      <w:pPr>
        <w:suppressAutoHyphens/>
        <w:spacing w:after="0" w:line="360" w:lineRule="auto"/>
        <w:rPr>
          <w:rFonts w:ascii="Verdana" w:hAnsi="Verdana"/>
          <w:sz w:val="20"/>
          <w:szCs w:val="20"/>
          <w:lang w:val="pt-BR"/>
        </w:rPr>
      </w:pPr>
      <w:r w:rsidRPr="00265666">
        <w:rPr>
          <w:rFonts w:ascii="Verdana" w:hAnsi="Verdana"/>
          <w:sz w:val="20"/>
          <w:szCs w:val="20"/>
          <w:lang w:val="pt-BR"/>
        </w:rPr>
        <w:lastRenderedPageBreak/>
        <w:t>6.</w:t>
      </w:r>
      <w:r w:rsidR="006B3ECF">
        <w:rPr>
          <w:rFonts w:ascii="Verdana" w:hAnsi="Verdana"/>
          <w:sz w:val="20"/>
          <w:szCs w:val="20"/>
          <w:lang w:val="pt-BR"/>
        </w:rPr>
        <w:t>4</w:t>
      </w:r>
      <w:r w:rsidRPr="00265666">
        <w:rPr>
          <w:rFonts w:ascii="Verdana" w:hAnsi="Verdana"/>
          <w:sz w:val="20"/>
          <w:szCs w:val="20"/>
          <w:lang w:val="pt-BR"/>
        </w:rPr>
        <w:t>.</w:t>
      </w:r>
      <w:r w:rsidRPr="00265666">
        <w:rPr>
          <w:rFonts w:ascii="Verdana" w:hAnsi="Verdana"/>
          <w:sz w:val="20"/>
          <w:szCs w:val="20"/>
          <w:lang w:val="pt-BR"/>
        </w:rPr>
        <w:tab/>
        <w:t>Autorizar o Agente Fiduciário a praticar, em conjunto com a Emissora, todos os atos necessários para refletir as deliberações do</w:t>
      </w:r>
      <w:r w:rsidR="00CA715C">
        <w:rPr>
          <w:rFonts w:ascii="Verdana" w:hAnsi="Verdana"/>
          <w:sz w:val="20"/>
          <w:szCs w:val="20"/>
          <w:lang w:val="pt-BR"/>
        </w:rPr>
        <w:t>s</w:t>
      </w:r>
      <w:r w:rsidRPr="00265666">
        <w:rPr>
          <w:rFonts w:ascii="Verdana" w:hAnsi="Verdana"/>
          <w:sz w:val="20"/>
          <w:szCs w:val="20"/>
          <w:lang w:val="pt-BR"/>
        </w:rPr>
        <w:t xml:space="preserve"> ite</w:t>
      </w:r>
      <w:r w:rsidR="00CA715C">
        <w:rPr>
          <w:rFonts w:ascii="Verdana" w:hAnsi="Verdana"/>
          <w:sz w:val="20"/>
          <w:szCs w:val="20"/>
          <w:lang w:val="pt-BR"/>
        </w:rPr>
        <w:t>ns</w:t>
      </w:r>
      <w:r w:rsidRPr="00265666">
        <w:rPr>
          <w:rFonts w:ascii="Verdana" w:hAnsi="Verdana"/>
          <w:sz w:val="20"/>
          <w:szCs w:val="20"/>
          <w:lang w:val="pt-BR"/>
        </w:rPr>
        <w:t xml:space="preserve"> 6.1</w:t>
      </w:r>
      <w:r w:rsidR="006B3ECF">
        <w:rPr>
          <w:rFonts w:ascii="Verdana" w:hAnsi="Verdana"/>
          <w:sz w:val="20"/>
          <w:szCs w:val="20"/>
          <w:lang w:val="pt-BR"/>
        </w:rPr>
        <w:t>,</w:t>
      </w:r>
      <w:r w:rsidR="00CA715C">
        <w:rPr>
          <w:rFonts w:ascii="Verdana" w:hAnsi="Verdana"/>
          <w:sz w:val="20"/>
          <w:szCs w:val="20"/>
          <w:lang w:val="pt-BR"/>
        </w:rPr>
        <w:t xml:space="preserve"> 6.2.</w:t>
      </w:r>
      <w:r w:rsidR="006B3ECF">
        <w:rPr>
          <w:rFonts w:ascii="Verdana" w:hAnsi="Verdana"/>
          <w:sz w:val="20"/>
          <w:szCs w:val="20"/>
          <w:lang w:val="pt-BR"/>
        </w:rPr>
        <w:t xml:space="preserve"> e 6.3</w:t>
      </w:r>
      <w:r w:rsidR="00CA715C">
        <w:rPr>
          <w:rFonts w:ascii="Verdana" w:hAnsi="Verdana"/>
          <w:sz w:val="20"/>
          <w:szCs w:val="20"/>
          <w:lang w:val="pt-BR"/>
        </w:rPr>
        <w:t xml:space="preserve"> </w:t>
      </w:r>
      <w:r w:rsidRPr="00265666">
        <w:rPr>
          <w:rFonts w:ascii="Verdana" w:hAnsi="Verdana"/>
          <w:sz w:val="20"/>
          <w:szCs w:val="20"/>
          <w:lang w:val="pt-BR"/>
        </w:rPr>
        <w:t>acima</w:t>
      </w:r>
      <w:r w:rsidR="00B93892">
        <w:rPr>
          <w:rFonts w:ascii="Verdana" w:hAnsi="Verdana"/>
          <w:sz w:val="20"/>
          <w:szCs w:val="20"/>
          <w:lang w:val="pt-BR"/>
        </w:rPr>
        <w:t>,</w:t>
      </w:r>
      <w:r w:rsidR="00B93892" w:rsidRPr="00526AD1">
        <w:rPr>
          <w:lang w:val="pt-BR"/>
        </w:rPr>
        <w:t xml:space="preserve"> </w:t>
      </w:r>
      <w:r w:rsidR="00B93892" w:rsidRPr="00B93892">
        <w:rPr>
          <w:rFonts w:ascii="Verdana" w:hAnsi="Verdana"/>
          <w:sz w:val="20"/>
          <w:szCs w:val="20"/>
          <w:lang w:val="pt-BR"/>
        </w:rPr>
        <w:t>inclusive</w:t>
      </w:r>
    </w:p>
    <w:p w14:paraId="7EC42B2C" w14:textId="7D4BE15D" w:rsidR="009B2C01" w:rsidRDefault="00B93892" w:rsidP="00B93892">
      <w:pPr>
        <w:suppressAutoHyphens/>
        <w:spacing w:after="0" w:line="360" w:lineRule="auto"/>
        <w:rPr>
          <w:rFonts w:ascii="Verdana" w:hAnsi="Verdana"/>
          <w:sz w:val="20"/>
          <w:szCs w:val="20"/>
          <w:lang w:val="pt-BR"/>
        </w:rPr>
      </w:pPr>
      <w:r w:rsidRPr="00B93892">
        <w:rPr>
          <w:rFonts w:ascii="Verdana" w:hAnsi="Verdana"/>
          <w:sz w:val="20"/>
          <w:szCs w:val="20"/>
          <w:lang w:val="pt-BR"/>
        </w:rPr>
        <w:t>a celebração de aditamento ao Contrato de Cessão Fiduciária</w:t>
      </w:r>
      <w:r w:rsidR="00265666" w:rsidRPr="00265666">
        <w:rPr>
          <w:rFonts w:ascii="Verdana" w:hAnsi="Verdana"/>
          <w:sz w:val="20"/>
          <w:szCs w:val="20"/>
          <w:lang w:val="pt-BR"/>
        </w:rPr>
        <w:t>.</w:t>
      </w:r>
    </w:p>
    <w:p w14:paraId="09C47BC0" w14:textId="51CC1831" w:rsidR="00BF0FD8" w:rsidRDefault="00BF0FD8" w:rsidP="00265666">
      <w:pPr>
        <w:suppressAutoHyphens/>
        <w:spacing w:after="0" w:line="360" w:lineRule="auto"/>
        <w:rPr>
          <w:rFonts w:ascii="Verdana" w:hAnsi="Verdana"/>
          <w:sz w:val="20"/>
          <w:szCs w:val="20"/>
          <w:lang w:val="pt-BR"/>
        </w:rPr>
      </w:pPr>
    </w:p>
    <w:p w14:paraId="6EAB7B37" w14:textId="3323930C" w:rsidR="00906D96" w:rsidRPr="009B2C01" w:rsidRDefault="00BF0FD8" w:rsidP="00546C7C">
      <w:pPr>
        <w:autoSpaceDE w:val="0"/>
        <w:autoSpaceDN w:val="0"/>
        <w:adjustRightInd w:val="0"/>
        <w:spacing w:line="360" w:lineRule="auto"/>
        <w:rPr>
          <w:rFonts w:ascii="Verdana" w:hAnsi="Verdana"/>
          <w:sz w:val="20"/>
          <w:szCs w:val="20"/>
          <w:lang w:val="pt-BR"/>
        </w:rPr>
      </w:pPr>
      <w:r w:rsidRPr="00546C7C">
        <w:rPr>
          <w:rFonts w:ascii="Verdana" w:hAnsi="Verdana"/>
          <w:sz w:val="20"/>
          <w:szCs w:val="20"/>
          <w:lang w:val="pt-BR"/>
        </w:rPr>
        <w:t>Em decorrência da aprovação do item 6.1.</w:t>
      </w:r>
      <w:r w:rsidR="006B3ECF">
        <w:rPr>
          <w:rFonts w:ascii="Verdana" w:hAnsi="Verdana"/>
          <w:sz w:val="20"/>
          <w:szCs w:val="20"/>
          <w:lang w:val="pt-BR"/>
        </w:rPr>
        <w:t xml:space="preserve"> e 6.2</w:t>
      </w:r>
      <w:r w:rsidRPr="00546C7C">
        <w:rPr>
          <w:rFonts w:ascii="Verdana" w:hAnsi="Verdana"/>
          <w:sz w:val="20"/>
          <w:szCs w:val="20"/>
          <w:lang w:val="pt-BR"/>
        </w:rPr>
        <w:t xml:space="preserve"> acima, os Debenturistas condicionam a referida aprovação ao pagamento, pela Emissora, de prêmio equivalente a 0,75% (setenta e cinco décimos por cento), incidente sobre o Valor Nominal Unitário das Debêntures acrescido da Remuneração devida (conforme definido na Escritura de Emissão), apurado na data desta Assembleia (“</w:t>
      </w:r>
      <w:proofErr w:type="spellStart"/>
      <w:r w:rsidRPr="00546C7C">
        <w:rPr>
          <w:rFonts w:ascii="Verdana" w:hAnsi="Verdana"/>
          <w:sz w:val="20"/>
          <w:szCs w:val="20"/>
          <w:lang w:val="pt-BR"/>
        </w:rPr>
        <w:t>Waiver</w:t>
      </w:r>
      <w:proofErr w:type="spellEnd"/>
      <w:r w:rsidRPr="00546C7C">
        <w:rPr>
          <w:rFonts w:ascii="Verdana" w:hAnsi="Verdana"/>
          <w:sz w:val="20"/>
          <w:szCs w:val="20"/>
          <w:lang w:val="pt-BR"/>
        </w:rPr>
        <w:t> </w:t>
      </w:r>
      <w:proofErr w:type="spellStart"/>
      <w:r w:rsidRPr="00546C7C">
        <w:rPr>
          <w:rFonts w:ascii="Verdana" w:hAnsi="Verdana"/>
          <w:sz w:val="20"/>
          <w:szCs w:val="20"/>
          <w:lang w:val="pt-BR"/>
        </w:rPr>
        <w:t>Fee</w:t>
      </w:r>
      <w:proofErr w:type="spellEnd"/>
      <w:r w:rsidRPr="00546C7C">
        <w:rPr>
          <w:rFonts w:ascii="Verdana" w:hAnsi="Verdana"/>
          <w:sz w:val="20"/>
          <w:szCs w:val="20"/>
          <w:lang w:val="pt-BR"/>
        </w:rPr>
        <w:t xml:space="preserve">”). </w:t>
      </w:r>
      <w:r w:rsidR="00546C7C" w:rsidRPr="00546C7C">
        <w:rPr>
          <w:rFonts w:ascii="Verdana" w:hAnsi="Verdana"/>
          <w:sz w:val="20"/>
          <w:szCs w:val="20"/>
          <w:lang w:val="pt-BR"/>
        </w:rPr>
        <w:t xml:space="preserve">O pagamento do </w:t>
      </w:r>
      <w:proofErr w:type="spellStart"/>
      <w:r w:rsidR="00546C7C" w:rsidRPr="00546C7C">
        <w:rPr>
          <w:rFonts w:ascii="Verdana" w:hAnsi="Verdana"/>
          <w:sz w:val="20"/>
          <w:szCs w:val="20"/>
          <w:lang w:val="pt-BR"/>
        </w:rPr>
        <w:t>Waiver</w:t>
      </w:r>
      <w:proofErr w:type="spellEnd"/>
      <w:r w:rsidR="00546C7C" w:rsidRPr="00546C7C">
        <w:rPr>
          <w:rFonts w:ascii="Verdana" w:hAnsi="Verdana"/>
          <w:sz w:val="20"/>
          <w:szCs w:val="20"/>
          <w:lang w:val="pt-BR"/>
        </w:rPr>
        <w:t xml:space="preserve"> </w:t>
      </w:r>
      <w:proofErr w:type="spellStart"/>
      <w:r w:rsidR="00546C7C" w:rsidRPr="00546C7C">
        <w:rPr>
          <w:rFonts w:ascii="Verdana" w:hAnsi="Verdana"/>
          <w:sz w:val="20"/>
          <w:szCs w:val="20"/>
          <w:lang w:val="pt-BR"/>
        </w:rPr>
        <w:t>Fee</w:t>
      </w:r>
      <w:proofErr w:type="spellEnd"/>
      <w:r w:rsidR="00546C7C" w:rsidRPr="00546C7C">
        <w:rPr>
          <w:rFonts w:ascii="Verdana" w:hAnsi="Verdana"/>
          <w:sz w:val="20"/>
          <w:szCs w:val="20"/>
          <w:lang w:val="pt-BR"/>
        </w:rPr>
        <w:t xml:space="preserve"> será feito de acordo com as normas e procedimentos da B3, em 3 (três) parcelas mensais consecutivas e em montantes iguais, em moeda corrente nacional, sendo a primeira parcela devida em </w:t>
      </w:r>
      <w:r w:rsidR="00526AD1">
        <w:rPr>
          <w:rFonts w:ascii="Verdana" w:hAnsi="Verdana"/>
          <w:sz w:val="20"/>
          <w:szCs w:val="20"/>
          <w:lang w:val="pt-BR"/>
        </w:rPr>
        <w:t xml:space="preserve">25 de </w:t>
      </w:r>
      <w:proofErr w:type="gramStart"/>
      <w:r w:rsidR="00526AD1">
        <w:rPr>
          <w:rFonts w:ascii="Verdana" w:hAnsi="Verdana"/>
          <w:sz w:val="20"/>
          <w:szCs w:val="20"/>
          <w:lang w:val="pt-BR"/>
        </w:rPr>
        <w:t>Outubro</w:t>
      </w:r>
      <w:proofErr w:type="gramEnd"/>
      <w:r w:rsidR="00526AD1">
        <w:rPr>
          <w:rFonts w:ascii="Verdana" w:hAnsi="Verdana"/>
          <w:sz w:val="20"/>
          <w:szCs w:val="20"/>
          <w:lang w:val="pt-BR"/>
        </w:rPr>
        <w:t xml:space="preserve"> de 2021</w:t>
      </w:r>
      <w:r w:rsidR="00546C7C" w:rsidRPr="00546C7C">
        <w:rPr>
          <w:rFonts w:ascii="Verdana" w:hAnsi="Verdana"/>
          <w:sz w:val="20"/>
          <w:szCs w:val="20"/>
          <w:lang w:val="pt-BR"/>
        </w:rPr>
        <w:t xml:space="preserve">, a segunda parcela devida em </w:t>
      </w:r>
      <w:r w:rsidR="00526AD1">
        <w:rPr>
          <w:rFonts w:ascii="Verdana" w:hAnsi="Verdana"/>
          <w:sz w:val="20"/>
          <w:szCs w:val="20"/>
          <w:lang w:val="pt-BR"/>
        </w:rPr>
        <w:t>25 Novembro de 2021</w:t>
      </w:r>
      <w:r w:rsidR="00546C7C" w:rsidRPr="00546C7C">
        <w:rPr>
          <w:rFonts w:ascii="Verdana" w:hAnsi="Verdana"/>
          <w:sz w:val="20"/>
          <w:szCs w:val="20"/>
          <w:lang w:val="pt-BR"/>
        </w:rPr>
        <w:t xml:space="preserve"> e a terceira parcela devida em </w:t>
      </w:r>
      <w:r w:rsidR="00526AD1">
        <w:rPr>
          <w:rFonts w:ascii="Verdana" w:hAnsi="Verdana"/>
          <w:sz w:val="20"/>
          <w:szCs w:val="20"/>
          <w:lang w:val="pt-BR"/>
        </w:rPr>
        <w:t>25 de Dezembro de 2021</w:t>
      </w:r>
      <w:r w:rsidR="00546C7C">
        <w:rPr>
          <w:rFonts w:ascii="Verdana" w:hAnsi="Verdana"/>
          <w:sz w:val="20"/>
          <w:szCs w:val="20"/>
          <w:lang w:val="pt-BR"/>
        </w:rPr>
        <w:t>.</w:t>
      </w:r>
    </w:p>
    <w:p w14:paraId="5DEAEE9B" w14:textId="60ED7768"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02D9C252" w:rsidR="006B5AAD" w:rsidRP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w:t>
      </w:r>
      <w:r w:rsidR="006B5AAD" w:rsidRPr="006B5AAD">
        <w:rPr>
          <w:rFonts w:ascii="Verdana" w:hAnsi="Verdana"/>
          <w:sz w:val="20"/>
          <w:szCs w:val="20"/>
          <w:lang w:val="pt-BR"/>
        </w:rPr>
        <w:lastRenderedPageBreak/>
        <w:t>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5"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6" w:name="_Hlk18506704"/>
      <w:bookmarkEnd w:id="5"/>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6"/>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193C65FB"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3B5666">
        <w:rPr>
          <w:rFonts w:ascii="Verdana" w:hAnsi="Verdana"/>
          <w:sz w:val="20"/>
          <w:szCs w:val="20"/>
          <w:lang w:val="pt-BR"/>
        </w:rPr>
        <w:t xml:space="preserve">13 </w:t>
      </w:r>
      <w:r w:rsidR="00265666">
        <w:rPr>
          <w:rFonts w:ascii="Verdana" w:hAnsi="Verdana"/>
          <w:sz w:val="20"/>
          <w:szCs w:val="20"/>
          <w:lang w:val="pt-BR"/>
        </w:rPr>
        <w:t xml:space="preserve">de </w:t>
      </w:r>
      <w:r w:rsidR="003B5666">
        <w:rPr>
          <w:rFonts w:ascii="Verdana" w:hAnsi="Verdana"/>
          <w:sz w:val="20"/>
          <w:szCs w:val="20"/>
          <w:lang w:val="pt-BR"/>
        </w:rPr>
        <w:t>setembro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47523D" w14:paraId="4767162E" w14:textId="77777777" w:rsidTr="00BF5B85">
        <w:trPr>
          <w:jc w:val="center"/>
        </w:trPr>
        <w:tc>
          <w:tcPr>
            <w:tcW w:w="4584" w:type="dxa"/>
          </w:tcPr>
          <w:p w14:paraId="24972170" w14:textId="3EF4566A" w:rsidR="00CB04A4" w:rsidRPr="00A945CB" w:rsidRDefault="00814C3F"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w:t>
            </w:r>
          </w:p>
        </w:tc>
        <w:tc>
          <w:tcPr>
            <w:tcW w:w="4585" w:type="dxa"/>
          </w:tcPr>
          <w:p w14:paraId="54EA9BC7" w14:textId="387AFF09" w:rsidR="00CB04A4" w:rsidRPr="00A945CB" w:rsidRDefault="006A2CEE" w:rsidP="008D40FE">
            <w:pPr>
              <w:tabs>
                <w:tab w:val="left" w:pos="0"/>
              </w:tabs>
              <w:suppressAutoHyphens/>
              <w:spacing w:after="0" w:line="360" w:lineRule="auto"/>
              <w:jc w:val="center"/>
              <w:rPr>
                <w:rFonts w:ascii="Verdana" w:hAnsi="Verdana"/>
                <w:b/>
                <w:sz w:val="20"/>
                <w:szCs w:val="20"/>
                <w:lang w:val="pt-BR"/>
              </w:rPr>
            </w:pPr>
            <w:r>
              <w:rPr>
                <w:rFonts w:ascii="Verdana" w:eastAsia="MS Mincho" w:hAnsi="Verdana"/>
                <w:bCs/>
                <w:sz w:val="20"/>
                <w:szCs w:val="20"/>
                <w:lang w:val="pt-BR" w:eastAsia="pt-BR"/>
              </w:rPr>
              <w:t>Pedro Paulo Farme D’</w:t>
            </w:r>
            <w:proofErr w:type="spellStart"/>
            <w:r>
              <w:rPr>
                <w:rFonts w:ascii="Verdana" w:eastAsia="MS Mincho" w:hAnsi="Verdana"/>
                <w:bCs/>
                <w:sz w:val="20"/>
                <w:szCs w:val="20"/>
                <w:lang w:val="pt-BR" w:eastAsia="pt-BR"/>
              </w:rPr>
              <w:t>Amoed</w:t>
            </w:r>
            <w:proofErr w:type="spellEnd"/>
            <w:r>
              <w:rPr>
                <w:rFonts w:ascii="Verdana" w:eastAsia="MS Mincho" w:hAnsi="Verdana"/>
                <w:bCs/>
                <w:sz w:val="20"/>
                <w:szCs w:val="20"/>
                <w:lang w:val="pt-BR" w:eastAsia="pt-BR"/>
              </w:rPr>
              <w:t xml:space="preserve"> Fernandes de Oliveira</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3CAF39B9"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REALIZADA EM </w:t>
      </w:r>
      <w:r w:rsidR="003B5666">
        <w:rPr>
          <w:rFonts w:ascii="Verdana" w:eastAsia="SimSun" w:hAnsi="Verdana"/>
          <w:b/>
          <w:bCs/>
          <w:i/>
          <w:sz w:val="20"/>
          <w:szCs w:val="20"/>
          <w:lang w:val="pt-BR"/>
        </w:rPr>
        <w:t>13</w:t>
      </w:r>
      <w:r w:rsidR="00906D96">
        <w:rPr>
          <w:rFonts w:ascii="Verdana" w:eastAsia="SimSun" w:hAnsi="Verdana"/>
          <w:b/>
          <w:bCs/>
          <w:i/>
          <w:sz w:val="20"/>
          <w:szCs w:val="20"/>
          <w:lang w:val="pt-BR"/>
        </w:rPr>
        <w:t xml:space="preserve"> DE </w:t>
      </w:r>
      <w:r w:rsidR="003B5666">
        <w:rPr>
          <w:rFonts w:ascii="Verdana" w:eastAsia="SimSun" w:hAnsi="Verdana"/>
          <w:b/>
          <w:bCs/>
          <w:i/>
          <w:sz w:val="20"/>
          <w:szCs w:val="20"/>
          <w:lang w:val="pt-BR"/>
        </w:rPr>
        <w:t>SETEMBRO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7A1C04B7" w14:textId="125B290F" w:rsidR="00546C7C" w:rsidRDefault="00432DAA"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3B5666">
        <w:rPr>
          <w:rFonts w:ascii="Verdana" w:eastAsia="SimSun" w:hAnsi="Verdana"/>
          <w:b/>
          <w:bCs/>
          <w:i/>
          <w:sz w:val="20"/>
          <w:szCs w:val="20"/>
          <w:lang w:val="pt-BR"/>
        </w:rPr>
        <w:t>13</w:t>
      </w:r>
      <w:r w:rsidR="00546C7C">
        <w:rPr>
          <w:rFonts w:ascii="Verdana" w:eastAsia="SimSun" w:hAnsi="Verdana"/>
          <w:b/>
          <w:bCs/>
          <w:i/>
          <w:sz w:val="20"/>
          <w:szCs w:val="20"/>
          <w:lang w:val="pt-BR"/>
        </w:rPr>
        <w:t xml:space="preserve"> DE </w:t>
      </w:r>
      <w:r w:rsidR="003B5666">
        <w:rPr>
          <w:rFonts w:ascii="Verdana" w:eastAsia="SimSun" w:hAnsi="Verdana"/>
          <w:b/>
          <w:bCs/>
          <w:i/>
          <w:sz w:val="20"/>
          <w:szCs w:val="20"/>
          <w:lang w:val="pt-BR"/>
        </w:rPr>
        <w:t>SETEMBRO</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2FEF6AF7" w14:textId="1FEDECE6"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4AE75532" w14:textId="073D3A0B" w:rsidR="00546C7C" w:rsidRDefault="00F053C1"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3B5666">
        <w:rPr>
          <w:rFonts w:ascii="Verdana" w:eastAsia="SimSun" w:hAnsi="Verdana"/>
          <w:b/>
          <w:bCs/>
          <w:i/>
          <w:sz w:val="20"/>
          <w:szCs w:val="20"/>
          <w:lang w:val="pt-BR"/>
        </w:rPr>
        <w:t>13</w:t>
      </w:r>
      <w:r w:rsidR="00546C7C">
        <w:rPr>
          <w:rFonts w:ascii="Verdana" w:eastAsia="SimSun" w:hAnsi="Verdana"/>
          <w:b/>
          <w:bCs/>
          <w:i/>
          <w:sz w:val="20"/>
          <w:szCs w:val="20"/>
          <w:lang w:val="pt-BR"/>
        </w:rPr>
        <w:t xml:space="preserve"> DE </w:t>
      </w:r>
      <w:r w:rsidR="003B5666">
        <w:rPr>
          <w:rFonts w:ascii="Verdana" w:eastAsia="SimSun" w:hAnsi="Verdana"/>
          <w:b/>
          <w:bCs/>
          <w:i/>
          <w:sz w:val="20"/>
          <w:szCs w:val="20"/>
          <w:lang w:val="pt-BR"/>
        </w:rPr>
        <w:t>SETEMBRO</w:t>
      </w:r>
      <w:r w:rsidR="00546C7C" w:rsidRPr="00EC2A5B">
        <w:rPr>
          <w:rFonts w:ascii="Verdana" w:eastAsia="SimSun" w:hAnsi="Verdana"/>
          <w:b/>
          <w:bCs/>
          <w:i/>
          <w:sz w:val="20"/>
          <w:szCs w:val="20"/>
          <w:lang w:val="pt-BR"/>
        </w:rPr>
        <w:t xml:space="preserve"> DE 202</w:t>
      </w:r>
      <w:r w:rsidR="00546C7C">
        <w:rPr>
          <w:rFonts w:ascii="Verdana" w:eastAsia="SimSun" w:hAnsi="Verdana"/>
          <w:b/>
          <w:bCs/>
          <w:i/>
          <w:sz w:val="20"/>
          <w:szCs w:val="20"/>
          <w:lang w:val="pt-BR"/>
        </w:rPr>
        <w:t>1</w:t>
      </w:r>
    </w:p>
    <w:p w14:paraId="6CB8B86A" w14:textId="27BC3BDA"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F352F38" w14:textId="77777777" w:rsidR="003B5666" w:rsidRDefault="00432DAA"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3B5666">
        <w:rPr>
          <w:rFonts w:ascii="Verdana" w:eastAsia="SimSun" w:hAnsi="Verdana"/>
          <w:b/>
          <w:bCs/>
          <w:i/>
          <w:sz w:val="20"/>
          <w:szCs w:val="20"/>
          <w:lang w:val="pt-BR"/>
        </w:rPr>
        <w:t xml:space="preserve">13 DE SETEMBRO </w:t>
      </w:r>
      <w:r w:rsidR="003B5666" w:rsidRPr="00EC2A5B">
        <w:rPr>
          <w:rFonts w:ascii="Verdana" w:eastAsia="SimSun" w:hAnsi="Verdana"/>
          <w:b/>
          <w:bCs/>
          <w:i/>
          <w:sz w:val="20"/>
          <w:szCs w:val="20"/>
          <w:lang w:val="pt-BR"/>
        </w:rPr>
        <w:t>DE 202</w:t>
      </w:r>
      <w:r w:rsidR="003B5666">
        <w:rPr>
          <w:rFonts w:ascii="Verdana" w:eastAsia="SimSun" w:hAnsi="Verdana"/>
          <w:b/>
          <w:bCs/>
          <w:i/>
          <w:sz w:val="20"/>
          <w:szCs w:val="20"/>
          <w:lang w:val="pt-BR"/>
        </w:rPr>
        <w:t>1</w:t>
      </w:r>
    </w:p>
    <w:p w14:paraId="0B85367F" w14:textId="26615036"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3EC0BF0A" w14:textId="77777777" w:rsidR="00546C7C" w:rsidRPr="00887EA4" w:rsidRDefault="00432DAA"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sidR="00546C7C">
        <w:rPr>
          <w:rFonts w:ascii="Verdana" w:eastAsia="SimSun" w:hAnsi="Verdana"/>
          <w:iCs/>
          <w:sz w:val="20"/>
          <w:szCs w:val="20"/>
          <w:lang w:val="pt-BR"/>
        </w:rPr>
        <w:t>[.]</w:t>
      </w:r>
      <w:r w:rsidR="00546C7C" w:rsidRPr="00887EA4">
        <w:rPr>
          <w:rFonts w:ascii="Verdana" w:eastAsia="SimSun" w:hAnsi="Verdana"/>
          <w:i/>
          <w:sz w:val="20"/>
          <w:szCs w:val="20"/>
          <w:lang w:val="pt-BR"/>
        </w:rPr>
        <w:t xml:space="preserve"> DE </w:t>
      </w:r>
      <w:r w:rsidR="00546C7C">
        <w:rPr>
          <w:rFonts w:ascii="Verdana" w:eastAsia="SimSun" w:hAnsi="Verdana"/>
          <w:i/>
          <w:sz w:val="20"/>
          <w:szCs w:val="20"/>
          <w:lang w:val="pt-BR"/>
        </w:rPr>
        <w:t>[.]</w:t>
      </w:r>
      <w:r w:rsidR="00546C7C" w:rsidRPr="00887EA4">
        <w:rPr>
          <w:rFonts w:ascii="Verdana" w:eastAsia="SimSun" w:hAnsi="Verdana"/>
          <w:i/>
          <w:sz w:val="20"/>
          <w:szCs w:val="20"/>
          <w:lang w:val="pt-BR"/>
        </w:rPr>
        <w:t xml:space="preserve"> DE 2021</w:t>
      </w:r>
    </w:p>
    <w:p w14:paraId="7EDACE25" w14:textId="036DAF83" w:rsidR="00546C7C" w:rsidRPr="00906D96" w:rsidRDefault="00546C7C"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111EE9F7" w14:textId="7A2A714F" w:rsidR="003B5666" w:rsidRDefault="00546C7C"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3B5666">
        <w:rPr>
          <w:rFonts w:ascii="Verdana" w:eastAsia="SimSun" w:hAnsi="Verdana"/>
          <w:b/>
          <w:bCs/>
          <w:i/>
          <w:sz w:val="20"/>
          <w:szCs w:val="20"/>
          <w:lang w:val="pt-BR"/>
        </w:rPr>
        <w:t xml:space="preserve">13 DE SETEMBRO </w:t>
      </w:r>
      <w:r w:rsidR="003B5666" w:rsidRPr="00EC2A5B">
        <w:rPr>
          <w:rFonts w:ascii="Verdana" w:eastAsia="SimSun" w:hAnsi="Verdana"/>
          <w:b/>
          <w:bCs/>
          <w:i/>
          <w:sz w:val="20"/>
          <w:szCs w:val="20"/>
          <w:lang w:val="pt-BR"/>
        </w:rPr>
        <w:t>DE 202</w:t>
      </w:r>
      <w:r w:rsidR="003B5666">
        <w:rPr>
          <w:rFonts w:ascii="Verdana" w:eastAsia="SimSun" w:hAnsi="Verdana"/>
          <w:b/>
          <w:bCs/>
          <w:i/>
          <w:sz w:val="20"/>
          <w:szCs w:val="20"/>
          <w:lang w:val="pt-BR"/>
        </w:rPr>
        <w:t>1</w:t>
      </w:r>
    </w:p>
    <w:p w14:paraId="2E4FBF4C" w14:textId="6A026D5D"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F25EDF4" w14:textId="77777777"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 xml:space="preserve">1ª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39831BA3" w14:textId="5D267B89"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06D36DFA"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ATA DA ASSEMBLEIA GERAL DOS TITULARES DAS DEBÊNTURES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sidR="003B5666">
        <w:rPr>
          <w:rFonts w:ascii="Verdana" w:eastAsia="SimSun" w:hAnsi="Verdana"/>
          <w:b/>
          <w:bCs/>
          <w:i/>
          <w:sz w:val="20"/>
          <w:szCs w:val="20"/>
          <w:lang w:val="pt-BR"/>
        </w:rPr>
        <w:t>13</w:t>
      </w:r>
      <w:r>
        <w:rPr>
          <w:rFonts w:ascii="Verdana" w:eastAsia="SimSun" w:hAnsi="Verdana"/>
          <w:b/>
          <w:bCs/>
          <w:i/>
          <w:sz w:val="20"/>
          <w:szCs w:val="20"/>
          <w:lang w:val="pt-BR"/>
        </w:rPr>
        <w:t xml:space="preserve"> DE </w:t>
      </w:r>
      <w:r w:rsidR="003B5666">
        <w:rPr>
          <w:rFonts w:ascii="Verdana" w:eastAsia="SimSun" w:hAnsi="Verdana"/>
          <w:b/>
          <w:bCs/>
          <w:i/>
          <w:sz w:val="20"/>
          <w:szCs w:val="20"/>
          <w:lang w:val="pt-BR"/>
        </w:rPr>
        <w:t xml:space="preserve">SETEMBRO </w:t>
      </w:r>
      <w:r w:rsidRPr="00EC2A5B">
        <w:rPr>
          <w:rFonts w:ascii="Verdana" w:eastAsia="SimSun" w:hAnsi="Verdana"/>
          <w:b/>
          <w:bCs/>
          <w:i/>
          <w:sz w:val="20"/>
          <w:szCs w:val="20"/>
          <w:lang w:val="pt-BR"/>
        </w:rPr>
        <w:t>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43EE0F78"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 xml:space="preserve">ª Série DA PRIMEIRA EMISSÃO DE DEBÊNTURES SIMPLES, NÃO CONVERSÍVEIS EM AÇÕES, DA ESPÉCIE COM GARANTIA REAL, COM GARANTIA ADICIONAL FIDEJUSSÓRIA, EM ATÉ DUAS SÉRIES, PARA DISTRIBUIÇÃO PÚBLICA COM ESFORÇOS RESTRITOS, DA LUMINAE S.A., </w:t>
      </w:r>
      <w:r>
        <w:rPr>
          <w:rFonts w:ascii="Verdana" w:eastAsia="SimSun" w:hAnsi="Verdana"/>
          <w:iCs/>
          <w:sz w:val="20"/>
          <w:szCs w:val="20"/>
          <w:lang w:val="pt-BR"/>
        </w:rPr>
        <w:t>[.]</w:t>
      </w:r>
      <w:r w:rsidRPr="00887EA4">
        <w:rPr>
          <w:rFonts w:ascii="Verdana" w:eastAsia="SimSun" w:hAnsi="Verdana"/>
          <w:i/>
          <w:sz w:val="20"/>
          <w:szCs w:val="20"/>
          <w:lang w:val="pt-BR"/>
        </w:rPr>
        <w:t xml:space="preserve"> DE </w:t>
      </w:r>
      <w:r>
        <w:rPr>
          <w:rFonts w:ascii="Verdana" w:eastAsia="SimSun" w:hAnsi="Verdana"/>
          <w:i/>
          <w:sz w:val="20"/>
          <w:szCs w:val="20"/>
          <w:lang w:val="pt-BR"/>
        </w:rPr>
        <w:t>[.]</w:t>
      </w:r>
      <w:r w:rsidRPr="00887EA4">
        <w:rPr>
          <w:rFonts w:ascii="Verdana" w:eastAsia="SimSun" w:hAnsi="Verdana"/>
          <w:i/>
          <w:sz w:val="20"/>
          <w:szCs w:val="20"/>
          <w:lang w:val="pt-BR"/>
        </w:rPr>
        <w:t xml:space="preserve"> DE 2021</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7"/>
      <w:footerReference w:type="even" r:id="rId18"/>
      <w:footerReference w:type="default" r:id="rId19"/>
      <w:footerReference w:type="first" r:id="rId20"/>
      <w:pgSz w:w="11909" w:h="16834" w:code="9"/>
      <w:pgMar w:top="28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Giselle Gomes" w:date="2021-09-13T10:33:00Z" w:initials="GG">
    <w:p w14:paraId="0BD81871" w14:textId="0F423117" w:rsidR="003B5666" w:rsidRPr="003B5666" w:rsidRDefault="003B5666">
      <w:pPr>
        <w:pStyle w:val="Textodecomentrio"/>
        <w:rPr>
          <w:lang w:val="pt-BR"/>
        </w:rPr>
      </w:pPr>
      <w:r>
        <w:rPr>
          <w:rStyle w:val="Refdecomentrio"/>
        </w:rPr>
        <w:annotationRef/>
      </w:r>
      <w:r w:rsidRPr="003B5666">
        <w:rPr>
          <w:lang w:val="pt-BR"/>
        </w:rPr>
        <w:t>Favor indicar um representante dos d</w:t>
      </w:r>
      <w:r>
        <w:rPr>
          <w:lang w:val="pt-BR"/>
        </w:rPr>
        <w:t>ebenturistas para presidência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818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A767" w16cex:dateUtc="2021-09-13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81871" w16cid:durableId="24E9A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AD75" w14:textId="77777777" w:rsidR="00A57DF1" w:rsidRDefault="00A57DF1">
      <w:pPr>
        <w:spacing w:after="0"/>
      </w:pPr>
      <w:r>
        <w:separator/>
      </w:r>
    </w:p>
  </w:endnote>
  <w:endnote w:type="continuationSeparator" w:id="0">
    <w:p w14:paraId="14FA4C52" w14:textId="77777777" w:rsidR="00A57DF1" w:rsidRDefault="00A57DF1">
      <w:pPr>
        <w:spacing w:after="0"/>
      </w:pPr>
      <w:r>
        <w:continuationSeparator/>
      </w:r>
    </w:p>
  </w:endnote>
  <w:endnote w:type="continuationNotice" w:id="1">
    <w:p w14:paraId="1F3818EE" w14:textId="77777777" w:rsidR="00A57DF1" w:rsidRDefault="00A57D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47523D">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AD86" w14:textId="77777777" w:rsidR="00A57DF1" w:rsidRDefault="00A57DF1">
      <w:pPr>
        <w:spacing w:after="0"/>
      </w:pPr>
      <w:r>
        <w:separator/>
      </w:r>
    </w:p>
  </w:footnote>
  <w:footnote w:type="continuationSeparator" w:id="0">
    <w:p w14:paraId="19AE57DA" w14:textId="77777777" w:rsidR="00A57DF1" w:rsidRDefault="00A57DF1">
      <w:pPr>
        <w:spacing w:after="0"/>
      </w:pPr>
      <w:r>
        <w:continuationSeparator/>
      </w:r>
    </w:p>
  </w:footnote>
  <w:footnote w:type="continuationNotice" w:id="1">
    <w:p w14:paraId="03538363" w14:textId="77777777" w:rsidR="00A57DF1" w:rsidRDefault="00A57D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3"/>
  </w:num>
  <w:num w:numId="15">
    <w:abstractNumId w:val="29"/>
  </w:num>
  <w:num w:numId="16">
    <w:abstractNumId w:val="25"/>
  </w:num>
  <w:num w:numId="17">
    <w:abstractNumId w:val="16"/>
  </w:num>
  <w:num w:numId="18">
    <w:abstractNumId w:val="11"/>
  </w:num>
  <w:num w:numId="19">
    <w:abstractNumId w:val="15"/>
  </w:num>
  <w:num w:numId="20">
    <w:abstractNumId w:val="31"/>
  </w:num>
  <w:num w:numId="21">
    <w:abstractNumId w:val="21"/>
  </w:num>
  <w:num w:numId="22">
    <w:abstractNumId w:val="13"/>
  </w:num>
  <w:num w:numId="23">
    <w:abstractNumId w:val="22"/>
  </w:num>
  <w:num w:numId="24">
    <w:abstractNumId w:val="10"/>
  </w:num>
  <w:num w:numId="25">
    <w:abstractNumId w:val="30"/>
  </w:num>
  <w:num w:numId="26">
    <w:abstractNumId w:val="28"/>
  </w:num>
  <w:num w:numId="27">
    <w:abstractNumId w:val="17"/>
  </w:num>
  <w:num w:numId="28">
    <w:abstractNumId w:val="27"/>
  </w:num>
  <w:num w:numId="29">
    <w:abstractNumId w:val="12"/>
  </w:num>
  <w:num w:numId="30">
    <w:abstractNumId w:val="19"/>
  </w:num>
  <w:num w:numId="31">
    <w:abstractNumId w:val="26"/>
  </w:num>
  <w:num w:numId="32">
    <w:abstractNumId w:val="20"/>
  </w:num>
  <w:num w:numId="33">
    <w:abstractNumId w:val="14"/>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le Gomes">
    <w15:presenceInfo w15:providerId="AD" w15:userId="S::giselle.gomes@simplificpavarini.com.br::ae98925b-4faf-4416-9532-83add89189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313C"/>
    <w:rsid w:val="001475AD"/>
    <w:rsid w:val="001478E6"/>
    <w:rsid w:val="001556C6"/>
    <w:rsid w:val="00192A80"/>
    <w:rsid w:val="001A0983"/>
    <w:rsid w:val="001A5AE9"/>
    <w:rsid w:val="001C287A"/>
    <w:rsid w:val="001C617C"/>
    <w:rsid w:val="001C69E2"/>
    <w:rsid w:val="001E2B19"/>
    <w:rsid w:val="001E7D3B"/>
    <w:rsid w:val="00216482"/>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6161A"/>
    <w:rsid w:val="004723A5"/>
    <w:rsid w:val="0047385B"/>
    <w:rsid w:val="0047523D"/>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F12AB"/>
    <w:rsid w:val="004F1F26"/>
    <w:rsid w:val="004F1FF5"/>
    <w:rsid w:val="004F4B4E"/>
    <w:rsid w:val="004F5259"/>
    <w:rsid w:val="004F5B97"/>
    <w:rsid w:val="005019B8"/>
    <w:rsid w:val="00510FC6"/>
    <w:rsid w:val="0051149B"/>
    <w:rsid w:val="00515DB3"/>
    <w:rsid w:val="005209D8"/>
    <w:rsid w:val="00526A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55597"/>
    <w:rsid w:val="0066248F"/>
    <w:rsid w:val="0066273D"/>
    <w:rsid w:val="006675F1"/>
    <w:rsid w:val="00673AB4"/>
    <w:rsid w:val="00681346"/>
    <w:rsid w:val="006906FC"/>
    <w:rsid w:val="00694198"/>
    <w:rsid w:val="00695583"/>
    <w:rsid w:val="006A2CEE"/>
    <w:rsid w:val="006B0E6C"/>
    <w:rsid w:val="006B3A90"/>
    <w:rsid w:val="006B3ECF"/>
    <w:rsid w:val="006B5AAD"/>
    <w:rsid w:val="006D15AF"/>
    <w:rsid w:val="006E6068"/>
    <w:rsid w:val="006F50AE"/>
    <w:rsid w:val="007004BD"/>
    <w:rsid w:val="00700945"/>
    <w:rsid w:val="0072788F"/>
    <w:rsid w:val="00734F10"/>
    <w:rsid w:val="00745AB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41BC0"/>
    <w:rsid w:val="00956DFE"/>
    <w:rsid w:val="00957A1B"/>
    <w:rsid w:val="00957C01"/>
    <w:rsid w:val="00967D8A"/>
    <w:rsid w:val="00972516"/>
    <w:rsid w:val="009766FA"/>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A20128"/>
    <w:rsid w:val="00A272C3"/>
    <w:rsid w:val="00A3242F"/>
    <w:rsid w:val="00A428A5"/>
    <w:rsid w:val="00A42C97"/>
    <w:rsid w:val="00A551F3"/>
    <w:rsid w:val="00A57DF1"/>
    <w:rsid w:val="00A67EEF"/>
    <w:rsid w:val="00A7073C"/>
    <w:rsid w:val="00A71E3F"/>
    <w:rsid w:val="00A945CB"/>
    <w:rsid w:val="00AB057C"/>
    <w:rsid w:val="00AB509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7AD"/>
    <w:rsid w:val="00B721F4"/>
    <w:rsid w:val="00B74B52"/>
    <w:rsid w:val="00B74D09"/>
    <w:rsid w:val="00B825F2"/>
    <w:rsid w:val="00B83867"/>
    <w:rsid w:val="00B85E80"/>
    <w:rsid w:val="00B93731"/>
    <w:rsid w:val="00B93892"/>
    <w:rsid w:val="00BB512E"/>
    <w:rsid w:val="00BB5578"/>
    <w:rsid w:val="00BB7A8D"/>
    <w:rsid w:val="00BD6479"/>
    <w:rsid w:val="00BE46EE"/>
    <w:rsid w:val="00BF0FD8"/>
    <w:rsid w:val="00BF1FB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76BC"/>
    <w:rsid w:val="00D27AD9"/>
    <w:rsid w:val="00D47FA5"/>
    <w:rsid w:val="00D521A3"/>
    <w:rsid w:val="00D564E6"/>
    <w:rsid w:val="00D813C2"/>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742C"/>
    <w:rsid w:val="00EC25AD"/>
    <w:rsid w:val="00EC2805"/>
    <w:rsid w:val="00EC2A5B"/>
    <w:rsid w:val="00ED0D70"/>
    <w:rsid w:val="00ED35C8"/>
    <w:rsid w:val="00EE1FED"/>
    <w:rsid w:val="00EE47A7"/>
    <w:rsid w:val="00EE5AD0"/>
    <w:rsid w:val="00EE67C9"/>
    <w:rsid w:val="00EE6B6F"/>
    <w:rsid w:val="00F046E8"/>
    <w:rsid w:val="00F053C1"/>
    <w:rsid w:val="00F1532E"/>
    <w:rsid w:val="00F22D34"/>
    <w:rsid w:val="00F4096A"/>
    <w:rsid w:val="00F520B2"/>
    <w:rsid w:val="00F54A15"/>
    <w:rsid w:val="00F62EC1"/>
    <w:rsid w:val="00F63476"/>
    <w:rsid w:val="00F669FA"/>
    <w:rsid w:val="00F6793B"/>
    <w:rsid w:val="00F80D18"/>
    <w:rsid w:val="00F813D6"/>
    <w:rsid w:val="00F84DD3"/>
    <w:rsid w:val="00F94847"/>
    <w:rsid w:val="00FA0BB5"/>
    <w:rsid w:val="00FA4CB7"/>
    <w:rsid w:val="00FA6B94"/>
    <w:rsid w:val="00FA71CF"/>
    <w:rsid w:val="00FB1F4C"/>
    <w:rsid w:val="00FB3F7D"/>
    <w:rsid w:val="00FD131B"/>
    <w:rsid w:val="00FE2B20"/>
    <w:rsid w:val="00FE59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45"/>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4.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473CB163-21A7-4CD6-BD4C-1A4C80BDEF9F}">
  <ds:schemaRefs>
    <ds:schemaRef ds:uri="http://www.imanage.com/work/xmlschema"/>
  </ds:schemaRefs>
</ds:datastoreItem>
</file>

<file path=customXml/itemProps5.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6.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2562</Words>
  <Characters>13839</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Giselle Gomes</cp:lastModifiedBy>
  <cp:revision>4</cp:revision>
  <cp:lastPrinted>2020-05-15T19:35:00Z</cp:lastPrinted>
  <dcterms:created xsi:type="dcterms:W3CDTF">2021-09-13T13:28:00Z</dcterms:created>
  <dcterms:modified xsi:type="dcterms:W3CDTF">2021-09-13T13:54:00Z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2021-08-25T22:47:10Z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86a52206-0253-431f-9ae8-6c6fbf63d05b</vt:lpwstr>
  </property>
  <property fmtid="{D5CDD505-2E9C-101B-9397-08002B2CF9AE}" pid="18" name="MSIP_Label_4fc996bf-6aee-415c-aa4c-e35ad0009c67_ContentBits">
    <vt:lpwstr>2</vt:lpwstr>
  </property>
</Properties>
</file>