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746C37F0"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7675C2">
        <w:rPr>
          <w:rFonts w:ascii="Verdana" w:hAnsi="Verdana"/>
          <w:b/>
          <w:snapToGrid w:val="0"/>
          <w:sz w:val="20"/>
          <w:szCs w:val="20"/>
          <w:lang w:val="pt-BR" w:eastAsia="pt-BR"/>
        </w:rPr>
        <w:t>21</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7675C2">
        <w:rPr>
          <w:rFonts w:ascii="Verdana" w:hAnsi="Verdana"/>
          <w:b/>
          <w:snapToGrid w:val="0"/>
          <w:sz w:val="20"/>
          <w:szCs w:val="20"/>
          <w:lang w:val="pt-BR" w:eastAsia="pt-BR"/>
        </w:rPr>
        <w:t>JANEIRO</w:t>
      </w:r>
      <w:r w:rsidR="00265666">
        <w:rPr>
          <w:rFonts w:ascii="Verdana" w:hAnsi="Verdana"/>
          <w:b/>
          <w:snapToGrid w:val="0"/>
          <w:sz w:val="20"/>
          <w:szCs w:val="20"/>
          <w:lang w:val="pt-BR" w:eastAsia="pt-BR"/>
        </w:rPr>
        <w:t xml:space="preserve"> DE 202</w:t>
      </w:r>
      <w:r w:rsidR="007675C2">
        <w:rPr>
          <w:rFonts w:ascii="Verdana" w:hAnsi="Verdana"/>
          <w:b/>
          <w:snapToGrid w:val="0"/>
          <w:sz w:val="20"/>
          <w:szCs w:val="20"/>
          <w:lang w:val="pt-BR" w:eastAsia="pt-BR"/>
        </w:rPr>
        <w:t>2</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B542472"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F76388">
        <w:rPr>
          <w:rFonts w:ascii="Verdana" w:hAnsi="Verdana"/>
          <w:sz w:val="20"/>
          <w:szCs w:val="20"/>
          <w:lang w:val="pt-BR"/>
        </w:rPr>
        <w:t>1</w:t>
      </w:r>
      <w:r w:rsidR="00265666">
        <w:rPr>
          <w:rFonts w:ascii="Verdana" w:hAnsi="Verdana"/>
          <w:sz w:val="20"/>
          <w:szCs w:val="20"/>
          <w:lang w:val="pt-BR"/>
        </w:rPr>
        <w:t xml:space="preserve"> de </w:t>
      </w:r>
      <w:r w:rsidR="00F76388">
        <w:rPr>
          <w:rFonts w:ascii="Verdana" w:hAnsi="Verdana"/>
          <w:sz w:val="20"/>
          <w:szCs w:val="20"/>
          <w:lang w:val="pt-BR"/>
        </w:rPr>
        <w:t>janeiro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w:t>
      </w:r>
      <w:r w:rsidR="00F76388">
        <w:rPr>
          <w:rFonts w:ascii="Verdana" w:hAnsi="Verdana"/>
          <w:sz w:val="20"/>
          <w:szCs w:val="20"/>
          <w:lang w:val="pt-BR"/>
        </w:rPr>
        <w:t>2</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8F9547E"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proofErr w:type="gramStart"/>
      <w:r w:rsidR="007675C2" w:rsidRPr="007675C2">
        <w:rPr>
          <w:rFonts w:ascii="Verdana" w:hAnsi="Verdana"/>
          <w:sz w:val="20"/>
          <w:szCs w:val="20"/>
          <w:highlight w:val="yellow"/>
          <w:lang w:val="pt-BR"/>
        </w:rPr>
        <w:t>[.]</w:t>
      </w:r>
      <w:r w:rsidR="007675C2">
        <w:rPr>
          <w:rFonts w:ascii="Verdana" w:hAnsi="Verdana"/>
          <w:sz w:val="20"/>
          <w:szCs w:val="20"/>
          <w:lang w:val="pt-BR"/>
        </w:rPr>
        <w:t xml:space="preserve"> </w:t>
      </w:r>
      <w:r w:rsidR="0013313C" w:rsidRPr="0016610F">
        <w:rPr>
          <w:rFonts w:ascii="Verdana" w:hAnsi="Verdana"/>
          <w:sz w:val="20"/>
          <w:szCs w:val="20"/>
          <w:lang w:val="pt-BR"/>
        </w:rPr>
        <w:t xml:space="preserve"> </w:t>
      </w:r>
      <w:r w:rsidRPr="0016610F">
        <w:rPr>
          <w:rFonts w:ascii="Verdana" w:hAnsi="Verdana"/>
          <w:sz w:val="20"/>
          <w:szCs w:val="20"/>
          <w:lang w:val="pt-BR"/>
        </w:rPr>
        <w:t>e</w:t>
      </w:r>
      <w:proofErr w:type="gramEnd"/>
      <w:r w:rsidR="00247D6B" w:rsidRPr="0016610F">
        <w:rPr>
          <w:rFonts w:ascii="Verdana" w:hAnsi="Verdana"/>
          <w:sz w:val="20"/>
          <w:szCs w:val="20"/>
          <w:lang w:val="pt-BR"/>
        </w:rPr>
        <w:t xml:space="preserve"> </w:t>
      </w:r>
      <w:r w:rsidR="00DA38CF" w:rsidRPr="0016610F">
        <w:rPr>
          <w:rFonts w:ascii="Verdana" w:hAnsi="Verdana"/>
          <w:sz w:val="20"/>
          <w:szCs w:val="20"/>
          <w:lang w:val="pt-BR"/>
        </w:rPr>
        <w:t xml:space="preserve">o </w:t>
      </w:r>
      <w:r w:rsidR="00DA38CF" w:rsidRPr="0016610F">
        <w:rPr>
          <w:rFonts w:ascii="Verdana" w:eastAsia="MS Mincho" w:hAnsi="Verdana"/>
          <w:bCs/>
          <w:sz w:val="20"/>
          <w:szCs w:val="20"/>
          <w:lang w:val="pt-BR" w:eastAsia="pt-BR"/>
        </w:rPr>
        <w:t>Sr</w:t>
      </w:r>
      <w:r w:rsidR="00816D10" w:rsidRPr="0016610F">
        <w:rPr>
          <w:rFonts w:ascii="Verdana" w:eastAsia="MS Mincho" w:hAnsi="Verdana"/>
          <w:bCs/>
          <w:sz w:val="20"/>
          <w:szCs w:val="20"/>
          <w:lang w:val="pt-BR" w:eastAsia="pt-BR"/>
        </w:rPr>
        <w:t>.</w:t>
      </w:r>
      <w:r w:rsidR="00D23D45" w:rsidRPr="0016610F">
        <w:rPr>
          <w:rFonts w:ascii="Verdana" w:eastAsia="MS Mincho" w:hAnsi="Verdana"/>
          <w:bCs/>
          <w:sz w:val="20"/>
          <w:szCs w:val="20"/>
          <w:lang w:val="pt-BR" w:eastAsia="pt-BR"/>
        </w:rPr>
        <w:t xml:space="preserve"> </w:t>
      </w:r>
      <w:r w:rsidR="007675C2" w:rsidRPr="007675C2">
        <w:rPr>
          <w:rFonts w:ascii="Verdana" w:eastAsia="MS Mincho" w:hAnsi="Verdana"/>
          <w:bCs/>
          <w:sz w:val="20"/>
          <w:szCs w:val="20"/>
          <w:highlight w:val="yellow"/>
          <w:lang w:val="pt-BR" w:eastAsia="pt-BR"/>
        </w:rPr>
        <w:t>[.]</w:t>
      </w:r>
      <w:r w:rsidR="00BF16BF" w:rsidRPr="0016610F">
        <w:rPr>
          <w:rFonts w:ascii="Verdana" w:eastAsia="MS Mincho" w:hAnsi="Verdana"/>
          <w:bCs/>
          <w:sz w:val="20"/>
          <w:szCs w:val="20"/>
          <w:lang w:val="pt-BR" w:eastAsia="pt-BR"/>
        </w:rPr>
        <w:t xml:space="preserve"> </w:t>
      </w:r>
      <w:r w:rsidRPr="0016610F">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2D876B2A"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7675C2" w:rsidRPr="002F18C4">
        <w:rPr>
          <w:rFonts w:ascii="Verdana" w:hAnsi="Verdana"/>
          <w:bCs/>
          <w:sz w:val="20"/>
          <w:szCs w:val="20"/>
          <w:lang w:val="pt-BR"/>
        </w:rPr>
        <w:t xml:space="preserve">Discutir e deliberar sobre a postergação </w:t>
      </w:r>
      <w:r w:rsidR="007675C2" w:rsidRPr="00455971">
        <w:rPr>
          <w:rFonts w:ascii="Verdana" w:hAnsi="Verdana"/>
          <w:bCs/>
          <w:sz w:val="20"/>
          <w:szCs w:val="20"/>
          <w:lang w:val="pt-BR"/>
        </w:rPr>
        <w:t>do pagamento d</w:t>
      </w:r>
      <w:r w:rsidR="007675C2">
        <w:rPr>
          <w:rFonts w:ascii="Verdana" w:hAnsi="Verdana"/>
          <w:bCs/>
          <w:sz w:val="20"/>
          <w:szCs w:val="20"/>
          <w:lang w:val="pt-BR"/>
        </w:rPr>
        <w:t>a</w:t>
      </w:r>
      <w:r w:rsidR="007675C2" w:rsidRPr="00455971">
        <w:rPr>
          <w:rFonts w:ascii="Verdana" w:hAnsi="Verdana"/>
          <w:bCs/>
          <w:sz w:val="20"/>
          <w:szCs w:val="20"/>
          <w:lang w:val="pt-BR"/>
        </w:rPr>
        <w:t xml:space="preserve"> </w:t>
      </w:r>
      <w:r w:rsidR="007675C2">
        <w:rPr>
          <w:rFonts w:ascii="Verdana" w:hAnsi="Verdana"/>
          <w:bCs/>
          <w:sz w:val="20"/>
          <w:szCs w:val="20"/>
          <w:lang w:val="pt-BR"/>
        </w:rPr>
        <w:t xml:space="preserve">parcela de </w:t>
      </w:r>
      <w:r w:rsidR="007675C2" w:rsidRPr="00455971">
        <w:rPr>
          <w:rFonts w:ascii="Verdana" w:hAnsi="Verdana"/>
          <w:bCs/>
          <w:sz w:val="20"/>
          <w:szCs w:val="20"/>
          <w:lang w:val="pt-BR"/>
        </w:rPr>
        <w:t>amortizaç</w:t>
      </w:r>
      <w:r w:rsidR="007675C2">
        <w:rPr>
          <w:rFonts w:ascii="Verdana" w:hAnsi="Verdana"/>
          <w:bCs/>
          <w:sz w:val="20"/>
          <w:szCs w:val="20"/>
          <w:lang w:val="pt-BR"/>
        </w:rPr>
        <w:t>ão da 1ª série e da 2ª série,</w:t>
      </w:r>
      <w:r w:rsidR="007675C2" w:rsidRPr="00455971">
        <w:rPr>
          <w:rFonts w:ascii="Verdana" w:hAnsi="Verdana"/>
          <w:bCs/>
          <w:sz w:val="20"/>
          <w:szCs w:val="20"/>
          <w:lang w:val="pt-BR"/>
        </w:rPr>
        <w:t xml:space="preserve"> </w:t>
      </w:r>
      <w:r w:rsidR="007675C2">
        <w:rPr>
          <w:rFonts w:ascii="Verdana" w:hAnsi="Verdana"/>
          <w:bCs/>
          <w:sz w:val="20"/>
          <w:szCs w:val="20"/>
          <w:lang w:val="pt-BR"/>
        </w:rPr>
        <w:t xml:space="preserve">referente à data de 25 de janeiro de 2022 </w:t>
      </w:r>
      <w:r w:rsidR="007675C2" w:rsidRPr="00455971">
        <w:rPr>
          <w:rFonts w:ascii="Verdana" w:hAnsi="Verdana"/>
          <w:bCs/>
          <w:sz w:val="20"/>
          <w:szCs w:val="20"/>
          <w:lang w:val="pt-BR"/>
        </w:rPr>
        <w:t>para</w:t>
      </w:r>
      <w:r w:rsidR="007675C2">
        <w:rPr>
          <w:rFonts w:ascii="Verdana" w:hAnsi="Verdana"/>
          <w:bCs/>
          <w:sz w:val="20"/>
          <w:szCs w:val="20"/>
          <w:lang w:val="pt-BR"/>
        </w:rPr>
        <w:t xml:space="preserve"> 25 de fevereiro de 2022, conforme atualmente definidas nas cláusulas 4.6.1 e 4.6.2 da Escritura de Emissão;</w:t>
      </w:r>
    </w:p>
    <w:p w14:paraId="3F26E364" w14:textId="51EE4D34" w:rsidR="007675C2" w:rsidRDefault="007675C2" w:rsidP="002F18C4">
      <w:pPr>
        <w:suppressAutoHyphens/>
        <w:spacing w:after="0" w:line="360" w:lineRule="auto"/>
        <w:rPr>
          <w:rFonts w:ascii="Verdana" w:hAnsi="Verdana"/>
          <w:bCs/>
          <w:sz w:val="20"/>
          <w:szCs w:val="20"/>
          <w:lang w:val="pt-BR"/>
        </w:rPr>
      </w:pPr>
    </w:p>
    <w:p w14:paraId="3E14AC31" w14:textId="49B350F6"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r>
      <w:r w:rsidRPr="002F18C4">
        <w:rPr>
          <w:rFonts w:ascii="Verdana" w:hAnsi="Verdana"/>
          <w:bCs/>
          <w:sz w:val="20"/>
          <w:szCs w:val="20"/>
          <w:lang w:val="pt-BR"/>
        </w:rPr>
        <w:t xml:space="preserve">Discutir e deliberar sobre a </w:t>
      </w:r>
      <w:r>
        <w:rPr>
          <w:rFonts w:ascii="Verdana" w:hAnsi="Verdana"/>
          <w:bCs/>
          <w:sz w:val="20"/>
          <w:szCs w:val="20"/>
          <w:lang w:val="pt-BR"/>
        </w:rPr>
        <w:t xml:space="preserve">autorização da utilização do saldo retido em Conta Vinculada para </w:t>
      </w:r>
      <w:r w:rsidRPr="002F18C4">
        <w:rPr>
          <w:rFonts w:ascii="Verdana" w:hAnsi="Verdana"/>
          <w:bCs/>
          <w:sz w:val="20"/>
          <w:szCs w:val="20"/>
          <w:lang w:val="pt-BR"/>
        </w:rPr>
        <w:t>pagamento d</w:t>
      </w:r>
      <w:r>
        <w:rPr>
          <w:rFonts w:ascii="Verdana" w:hAnsi="Verdana"/>
          <w:bCs/>
          <w:sz w:val="20"/>
          <w:szCs w:val="20"/>
          <w:lang w:val="pt-BR"/>
        </w:rPr>
        <w:t>os</w:t>
      </w:r>
      <w:r w:rsidRPr="002F18C4">
        <w:rPr>
          <w:rFonts w:ascii="Verdana" w:hAnsi="Verdana"/>
          <w:bCs/>
          <w:sz w:val="20"/>
          <w:szCs w:val="20"/>
          <w:lang w:val="pt-BR"/>
        </w:rPr>
        <w:t xml:space="preserve"> </w:t>
      </w:r>
      <w:r>
        <w:rPr>
          <w:rFonts w:ascii="Verdana" w:hAnsi="Verdana"/>
          <w:bCs/>
          <w:sz w:val="20"/>
          <w:szCs w:val="20"/>
          <w:lang w:val="pt-BR"/>
        </w:rPr>
        <w:t>J</w:t>
      </w:r>
      <w:r w:rsidRPr="002F18C4">
        <w:rPr>
          <w:rFonts w:ascii="Verdana" w:hAnsi="Verdana"/>
          <w:bCs/>
          <w:sz w:val="20"/>
          <w:szCs w:val="20"/>
          <w:lang w:val="pt-BR"/>
        </w:rPr>
        <w:t xml:space="preserve">uros </w:t>
      </w:r>
      <w:r>
        <w:rPr>
          <w:rFonts w:ascii="Verdana" w:hAnsi="Verdana"/>
          <w:bCs/>
          <w:sz w:val="20"/>
          <w:szCs w:val="20"/>
          <w:lang w:val="pt-BR"/>
        </w:rPr>
        <w:t xml:space="preserve">Remuneratórios da 1ª série e da 2ª série devidos em </w:t>
      </w:r>
      <w:r w:rsidRPr="002F18C4">
        <w:rPr>
          <w:rFonts w:ascii="Verdana" w:hAnsi="Verdana"/>
          <w:bCs/>
          <w:sz w:val="20"/>
          <w:szCs w:val="20"/>
          <w:lang w:val="pt-BR"/>
        </w:rPr>
        <w:t>25</w:t>
      </w:r>
      <w:r>
        <w:rPr>
          <w:rFonts w:ascii="Verdana" w:hAnsi="Verdana"/>
          <w:bCs/>
          <w:sz w:val="20"/>
          <w:szCs w:val="20"/>
          <w:lang w:val="pt-BR"/>
        </w:rPr>
        <w:t xml:space="preserve"> de janeiro de </w:t>
      </w:r>
      <w:r w:rsidRPr="002F18C4">
        <w:rPr>
          <w:rFonts w:ascii="Verdana" w:hAnsi="Verdana"/>
          <w:bCs/>
          <w:sz w:val="20"/>
          <w:szCs w:val="20"/>
          <w:lang w:val="pt-BR"/>
        </w:rPr>
        <w:t>202</w:t>
      </w:r>
      <w:r>
        <w:rPr>
          <w:rFonts w:ascii="Verdana" w:hAnsi="Verdana"/>
          <w:bCs/>
          <w:sz w:val="20"/>
          <w:szCs w:val="20"/>
          <w:lang w:val="pt-BR"/>
        </w:rPr>
        <w:t>2</w:t>
      </w:r>
      <w:r w:rsidR="005F6041">
        <w:rPr>
          <w:rFonts w:ascii="Verdana" w:hAnsi="Verdana"/>
          <w:bCs/>
          <w:sz w:val="20"/>
          <w:szCs w:val="20"/>
          <w:lang w:val="pt-BR"/>
        </w:rPr>
        <w:t>;</w:t>
      </w:r>
    </w:p>
    <w:p w14:paraId="3723FE03" w14:textId="7AD488BC" w:rsidR="007675C2" w:rsidRDefault="007675C2" w:rsidP="002F18C4">
      <w:pPr>
        <w:suppressAutoHyphens/>
        <w:spacing w:after="0" w:line="360" w:lineRule="auto"/>
        <w:rPr>
          <w:rFonts w:ascii="Verdana" w:hAnsi="Verdana"/>
          <w:bCs/>
          <w:sz w:val="20"/>
          <w:szCs w:val="20"/>
          <w:lang w:val="pt-BR"/>
        </w:rPr>
      </w:pPr>
    </w:p>
    <w:p w14:paraId="468E97B9" w14:textId="0E9F8C90"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5.3</w:t>
      </w:r>
      <w:r>
        <w:rPr>
          <w:rFonts w:ascii="Verdana" w:hAnsi="Verdana"/>
          <w:bCs/>
          <w:sz w:val="20"/>
          <w:szCs w:val="20"/>
          <w:lang w:val="pt-BR"/>
        </w:rPr>
        <w:tab/>
        <w:t>D</w:t>
      </w:r>
      <w:r w:rsidRPr="00265666">
        <w:rPr>
          <w:rFonts w:ascii="Verdana" w:hAnsi="Verdana"/>
          <w:bCs/>
          <w:sz w:val="20"/>
          <w:szCs w:val="20"/>
          <w:lang w:val="pt-BR"/>
        </w:rPr>
        <w:t xml:space="preserve">iscutir e deliberar sobre a </w:t>
      </w:r>
      <w:r>
        <w:rPr>
          <w:rFonts w:ascii="Verdana" w:hAnsi="Verdana"/>
          <w:bCs/>
          <w:sz w:val="20"/>
          <w:szCs w:val="20"/>
          <w:lang w:val="pt-BR"/>
        </w:rPr>
        <w:t>não decretação de vencimento antecipado das Debêntures em razão do descumprimento</w:t>
      </w:r>
      <w:r w:rsidR="005F6041">
        <w:rPr>
          <w:rFonts w:ascii="Verdana" w:hAnsi="Verdana"/>
          <w:bCs/>
          <w:sz w:val="20"/>
          <w:szCs w:val="20"/>
          <w:lang w:val="pt-BR"/>
        </w:rPr>
        <w:t xml:space="preserve"> do Reforço de Garantia, previsto na alínea “(</w:t>
      </w:r>
      <w:proofErr w:type="spellStart"/>
      <w:r w:rsidR="005F6041">
        <w:rPr>
          <w:rFonts w:ascii="Verdana" w:hAnsi="Verdana"/>
          <w:bCs/>
          <w:sz w:val="20"/>
          <w:szCs w:val="20"/>
          <w:lang w:val="pt-BR"/>
        </w:rPr>
        <w:t>ii</w:t>
      </w:r>
      <w:proofErr w:type="spellEnd"/>
      <w:r w:rsidR="005F6041">
        <w:rPr>
          <w:rFonts w:ascii="Verdana" w:hAnsi="Verdana"/>
          <w:bCs/>
          <w:sz w:val="20"/>
          <w:szCs w:val="20"/>
          <w:lang w:val="pt-BR"/>
        </w:rPr>
        <w:t>)” da cláusula 5.6 do Contrato de Cessão Fiduciária, decorrente do descumprimento</w:t>
      </w:r>
      <w:r>
        <w:rPr>
          <w:rFonts w:ascii="Verdana" w:hAnsi="Verdana"/>
          <w:bCs/>
          <w:sz w:val="20"/>
          <w:szCs w:val="20"/>
          <w:lang w:val="pt-BR"/>
        </w:rPr>
        <w:t xml:space="preserve"> </w:t>
      </w:r>
      <w:r w:rsidR="003C242A">
        <w:rPr>
          <w:rFonts w:ascii="Verdana" w:hAnsi="Verdana"/>
          <w:bCs/>
          <w:sz w:val="20"/>
          <w:szCs w:val="20"/>
          <w:lang w:val="pt-BR"/>
        </w:rPr>
        <w:t>do Montante Mínimo de Duplicatas Virtuais cedidas fiduciariamente</w:t>
      </w:r>
      <w:r>
        <w:rPr>
          <w:rFonts w:ascii="Verdana" w:hAnsi="Verdana"/>
          <w:bCs/>
          <w:sz w:val="20"/>
          <w:szCs w:val="20"/>
          <w:lang w:val="pt-BR"/>
        </w:rPr>
        <w:t xml:space="preserve"> </w:t>
      </w:r>
      <w:r w:rsidRPr="00265666">
        <w:rPr>
          <w:rFonts w:ascii="Verdana" w:hAnsi="Verdana"/>
          <w:bCs/>
          <w:sz w:val="20"/>
          <w:szCs w:val="20"/>
          <w:lang w:val="pt-BR"/>
        </w:rPr>
        <w:t>(“</w:t>
      </w:r>
      <w:r w:rsidR="003C242A">
        <w:rPr>
          <w:rFonts w:ascii="Verdana" w:hAnsi="Verdana"/>
          <w:bCs/>
          <w:sz w:val="20"/>
          <w:szCs w:val="20"/>
          <w:lang w:val="pt-BR"/>
        </w:rPr>
        <w:t>Montante Mínimo</w:t>
      </w:r>
      <w:r w:rsidRPr="00265666">
        <w:rPr>
          <w:rFonts w:ascii="Verdana" w:hAnsi="Verdana"/>
          <w:bCs/>
          <w:sz w:val="20"/>
          <w:szCs w:val="20"/>
          <w:lang w:val="pt-BR"/>
        </w:rPr>
        <w:t>”)</w:t>
      </w:r>
      <w:r>
        <w:rPr>
          <w:rFonts w:ascii="Verdana" w:hAnsi="Verdana"/>
          <w:bCs/>
          <w:sz w:val="20"/>
          <w:szCs w:val="20"/>
          <w:lang w:val="pt-BR"/>
        </w:rPr>
        <w:t xml:space="preserve"> </w:t>
      </w:r>
      <w:r w:rsidRPr="006B3ECF">
        <w:rPr>
          <w:rFonts w:ascii="Verdana" w:hAnsi="Verdana"/>
          <w:bCs/>
          <w:sz w:val="20"/>
          <w:szCs w:val="20"/>
          <w:lang w:val="pt-BR"/>
        </w:rPr>
        <w:t>n</w:t>
      </w:r>
      <w:r w:rsidR="003C242A">
        <w:rPr>
          <w:rFonts w:ascii="Verdana" w:hAnsi="Verdana"/>
          <w:bCs/>
          <w:sz w:val="20"/>
          <w:szCs w:val="20"/>
          <w:lang w:val="pt-BR"/>
        </w:rPr>
        <w:t xml:space="preserve">a data de verificação de </w:t>
      </w:r>
      <w:proofErr w:type="gramStart"/>
      <w:r w:rsidR="00F76388">
        <w:rPr>
          <w:rFonts w:ascii="Verdana" w:hAnsi="Verdana"/>
          <w:sz w:val="20"/>
          <w:szCs w:val="20"/>
          <w:lang w:val="pt-BR"/>
        </w:rPr>
        <w:t>J</w:t>
      </w:r>
      <w:r w:rsidR="003C242A">
        <w:rPr>
          <w:rFonts w:ascii="Verdana" w:hAnsi="Verdana"/>
          <w:sz w:val="20"/>
          <w:szCs w:val="20"/>
          <w:lang w:val="pt-BR"/>
        </w:rPr>
        <w:t>aneiro</w:t>
      </w:r>
      <w:proofErr w:type="gramEnd"/>
      <w:r w:rsidRPr="006B3ECF">
        <w:rPr>
          <w:rFonts w:ascii="Verdana" w:hAnsi="Verdana"/>
          <w:sz w:val="20"/>
          <w:szCs w:val="20"/>
          <w:lang w:val="pt-BR"/>
        </w:rPr>
        <w:t xml:space="preserve"> de 202</w:t>
      </w:r>
      <w:r w:rsidR="003C242A">
        <w:rPr>
          <w:rFonts w:ascii="Verdana" w:hAnsi="Verdana"/>
          <w:sz w:val="20"/>
          <w:szCs w:val="20"/>
          <w:lang w:val="pt-BR"/>
        </w:rPr>
        <w:t>2</w:t>
      </w:r>
      <w:r w:rsidR="005F6041">
        <w:rPr>
          <w:rFonts w:ascii="Verdana" w:hAnsi="Verdana"/>
          <w:sz w:val="20"/>
          <w:szCs w:val="20"/>
          <w:lang w:val="pt-BR"/>
        </w:rPr>
        <w:t>;</w:t>
      </w:r>
    </w:p>
    <w:p w14:paraId="6B5A0BBC" w14:textId="0BF9FA26" w:rsidR="00363852" w:rsidRDefault="00363852" w:rsidP="002F18C4">
      <w:pPr>
        <w:suppressAutoHyphens/>
        <w:spacing w:after="0" w:line="360" w:lineRule="auto"/>
        <w:rPr>
          <w:rFonts w:ascii="Verdana" w:hAnsi="Verdana"/>
          <w:bCs/>
          <w:sz w:val="20"/>
          <w:szCs w:val="20"/>
          <w:lang w:val="pt-BR"/>
        </w:rPr>
      </w:pPr>
    </w:p>
    <w:p w14:paraId="0FFE33B0" w14:textId="09D85B39" w:rsidR="00363852" w:rsidRDefault="00363852" w:rsidP="002F18C4">
      <w:pPr>
        <w:suppressAutoHyphens/>
        <w:spacing w:after="0" w:line="360" w:lineRule="auto"/>
        <w:rPr>
          <w:rFonts w:ascii="Verdana" w:hAnsi="Verdana"/>
          <w:bCs/>
          <w:sz w:val="20"/>
          <w:szCs w:val="20"/>
          <w:lang w:val="pt-BR"/>
        </w:rPr>
      </w:pPr>
      <w:r>
        <w:rPr>
          <w:rFonts w:ascii="Verdana" w:hAnsi="Verdana"/>
          <w:bCs/>
          <w:sz w:val="20"/>
          <w:szCs w:val="20"/>
          <w:lang w:val="pt-BR"/>
        </w:rPr>
        <w:lastRenderedPageBreak/>
        <w:t>5.</w:t>
      </w:r>
      <w:r w:rsidR="007675C2">
        <w:rPr>
          <w:rFonts w:ascii="Verdana" w:hAnsi="Verdana"/>
          <w:bCs/>
          <w:sz w:val="20"/>
          <w:szCs w:val="20"/>
          <w:lang w:val="pt-BR"/>
        </w:rPr>
        <w:t>4</w:t>
      </w:r>
      <w:r>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66953A2" w14:textId="4AA5C2EA" w:rsidR="005F6041" w:rsidRDefault="00B33566" w:rsidP="005F6041">
      <w:pPr>
        <w:suppressAutoHyphens/>
        <w:spacing w:after="0" w:line="360" w:lineRule="auto"/>
        <w:rPr>
          <w:rFonts w:ascii="Verdana" w:hAnsi="Verdana"/>
          <w:bCs/>
          <w:sz w:val="20"/>
          <w:szCs w:val="20"/>
          <w:lang w:val="pt-BR"/>
        </w:rPr>
      </w:pPr>
      <w:r>
        <w:rPr>
          <w:rFonts w:ascii="Verdana" w:hAnsi="Verdana"/>
          <w:bCs/>
          <w:sz w:val="20"/>
          <w:szCs w:val="20"/>
          <w:lang w:val="pt-BR"/>
        </w:rPr>
        <w:t>6.1</w:t>
      </w:r>
      <w:r w:rsidR="00D63645">
        <w:rPr>
          <w:rFonts w:ascii="Verdana" w:hAnsi="Verdana"/>
          <w:bCs/>
          <w:sz w:val="20"/>
          <w:szCs w:val="20"/>
          <w:lang w:val="pt-BR"/>
        </w:rPr>
        <w:t>.</w:t>
      </w:r>
      <w:r w:rsidR="00CA54E1">
        <w:rPr>
          <w:rFonts w:ascii="Verdana" w:hAnsi="Verdana"/>
          <w:bCs/>
          <w:sz w:val="20"/>
          <w:szCs w:val="20"/>
          <w:lang w:val="pt-BR"/>
        </w:rPr>
        <w:tab/>
      </w:r>
      <w:r w:rsidR="005F6041" w:rsidRPr="00734B7E">
        <w:rPr>
          <w:rFonts w:ascii="Verdana" w:hAnsi="Verdana"/>
          <w:sz w:val="20"/>
          <w:szCs w:val="20"/>
          <w:lang w:val="pt-BR"/>
        </w:rPr>
        <w:t>Aprovar</w:t>
      </w:r>
      <w:r w:rsidR="005F6041" w:rsidRPr="00265666">
        <w:rPr>
          <w:rFonts w:ascii="Verdana" w:hAnsi="Verdana"/>
          <w:sz w:val="20"/>
          <w:szCs w:val="20"/>
          <w:lang w:val="pt-BR"/>
        </w:rPr>
        <w:t xml:space="preserve"> a</w:t>
      </w:r>
      <w:r w:rsidR="005F6041" w:rsidRPr="00265666">
        <w:rPr>
          <w:rFonts w:ascii="Verdana" w:hAnsi="Verdana"/>
          <w:bCs/>
          <w:sz w:val="20"/>
          <w:szCs w:val="20"/>
          <w:lang w:val="pt-BR"/>
        </w:rPr>
        <w:t xml:space="preserve"> </w:t>
      </w:r>
      <w:r w:rsidR="005F6041">
        <w:rPr>
          <w:rFonts w:ascii="Verdana" w:hAnsi="Verdana"/>
          <w:bCs/>
          <w:sz w:val="20"/>
          <w:szCs w:val="20"/>
          <w:lang w:val="pt-BR"/>
        </w:rPr>
        <w:t xml:space="preserve">postergação </w:t>
      </w:r>
      <w:r w:rsidR="005F6041" w:rsidRPr="00455971">
        <w:rPr>
          <w:rFonts w:ascii="Verdana" w:hAnsi="Verdana"/>
          <w:bCs/>
          <w:sz w:val="20"/>
          <w:szCs w:val="20"/>
          <w:lang w:val="pt-BR"/>
        </w:rPr>
        <w:t>do pagamento d</w:t>
      </w:r>
      <w:r w:rsidR="005F6041">
        <w:rPr>
          <w:rFonts w:ascii="Verdana" w:hAnsi="Verdana"/>
          <w:bCs/>
          <w:sz w:val="20"/>
          <w:szCs w:val="20"/>
          <w:lang w:val="pt-BR"/>
        </w:rPr>
        <w:t>a</w:t>
      </w:r>
      <w:r w:rsidR="005F6041" w:rsidRPr="00455971">
        <w:rPr>
          <w:rFonts w:ascii="Verdana" w:hAnsi="Verdana"/>
          <w:bCs/>
          <w:sz w:val="20"/>
          <w:szCs w:val="20"/>
          <w:lang w:val="pt-BR"/>
        </w:rPr>
        <w:t xml:space="preserve"> amortizaç</w:t>
      </w:r>
      <w:r w:rsidR="005F6041">
        <w:rPr>
          <w:rFonts w:ascii="Verdana" w:hAnsi="Verdana"/>
          <w:bCs/>
          <w:sz w:val="20"/>
          <w:szCs w:val="20"/>
          <w:lang w:val="pt-BR"/>
        </w:rPr>
        <w:t>ão</w:t>
      </w:r>
      <w:r w:rsidR="005F6041" w:rsidRPr="00455971">
        <w:rPr>
          <w:rFonts w:ascii="Verdana" w:hAnsi="Verdana"/>
          <w:bCs/>
          <w:sz w:val="20"/>
          <w:szCs w:val="20"/>
          <w:lang w:val="pt-BR"/>
        </w:rPr>
        <w:t xml:space="preserve"> </w:t>
      </w:r>
      <w:r w:rsidR="005F6041">
        <w:rPr>
          <w:rFonts w:ascii="Verdana" w:hAnsi="Verdana"/>
          <w:bCs/>
          <w:sz w:val="20"/>
          <w:szCs w:val="20"/>
          <w:lang w:val="pt-BR"/>
        </w:rPr>
        <w:t xml:space="preserve">da 1ª série referente à data de 25 de janeiro de 2022, em valores unitários de </w:t>
      </w:r>
      <w:r w:rsidR="005F6041" w:rsidRPr="00D25A2E">
        <w:rPr>
          <w:rFonts w:ascii="Verdana" w:hAnsi="Verdana"/>
          <w:bCs/>
          <w:sz w:val="20"/>
          <w:szCs w:val="20"/>
          <w:lang w:val="pt-BR"/>
        </w:rPr>
        <w:t>R$</w:t>
      </w:r>
      <w:r w:rsidR="005F6041" w:rsidRPr="005F6041">
        <w:rPr>
          <w:lang w:val="pt-BR"/>
        </w:rPr>
        <w:t xml:space="preserve"> </w:t>
      </w:r>
      <w:r w:rsidR="005F6041" w:rsidRPr="002B73BB">
        <w:rPr>
          <w:rFonts w:ascii="Verdana" w:hAnsi="Verdana"/>
          <w:bCs/>
          <w:sz w:val="20"/>
          <w:szCs w:val="20"/>
          <w:lang w:val="pt-BR"/>
        </w:rPr>
        <w:t>71,42881976</w:t>
      </w:r>
      <w:r w:rsidR="005F6041">
        <w:rPr>
          <w:rFonts w:ascii="Verdana" w:hAnsi="Verdana"/>
          <w:bCs/>
          <w:sz w:val="20"/>
          <w:szCs w:val="20"/>
          <w:lang w:val="pt-BR"/>
        </w:rPr>
        <w:t xml:space="preserve">, para 25 de fevereiro de 2022, de forma que o valor unitário da amortização devida em 25 de fevereiro de 2022 seja de </w:t>
      </w:r>
      <w:r w:rsidR="005F6041" w:rsidRPr="00D25A2E">
        <w:rPr>
          <w:rFonts w:ascii="Verdana" w:hAnsi="Verdana"/>
          <w:bCs/>
          <w:sz w:val="20"/>
          <w:szCs w:val="20"/>
          <w:lang w:val="pt-BR"/>
        </w:rPr>
        <w:t>R$</w:t>
      </w:r>
      <w:r w:rsidR="005F6041" w:rsidRPr="005F6041">
        <w:rPr>
          <w:lang w:val="pt-BR"/>
        </w:rPr>
        <w:t xml:space="preserve"> </w:t>
      </w:r>
      <w:r w:rsidR="005F6041" w:rsidRPr="002B73BB">
        <w:rPr>
          <w:rFonts w:ascii="Verdana" w:hAnsi="Verdana"/>
          <w:bCs/>
          <w:sz w:val="20"/>
          <w:szCs w:val="20"/>
          <w:lang w:val="pt-BR"/>
        </w:rPr>
        <w:t>95,23829753</w:t>
      </w:r>
      <w:r w:rsidR="005F6041">
        <w:rPr>
          <w:rFonts w:ascii="Verdana" w:hAnsi="Verdana"/>
          <w:bCs/>
          <w:sz w:val="20"/>
          <w:szCs w:val="20"/>
          <w:lang w:val="pt-BR"/>
        </w:rPr>
        <w:t>, correspondente a 16,6667% do saldo do Valor Nominal Unitário da 1ª série. Desta forma o cronograma de Amortizações da 1ª Série constante da Cláusula 4.6.1 da Escritura de Emissão passa a ser o seguinte:</w:t>
      </w:r>
    </w:p>
    <w:p w14:paraId="51BA55A0" w14:textId="77777777" w:rsidR="005F6041" w:rsidRDefault="005F6041" w:rsidP="005F6041">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5F6041" w:rsidRPr="0060673E" w14:paraId="03C067B6" w14:textId="77777777" w:rsidTr="00727BFF">
        <w:trPr>
          <w:tblHeader/>
        </w:trPr>
        <w:tc>
          <w:tcPr>
            <w:tcW w:w="3969" w:type="dxa"/>
          </w:tcPr>
          <w:p w14:paraId="7473CAEA" w14:textId="77777777" w:rsidR="005F6041" w:rsidRPr="00D25A2E" w:rsidRDefault="005F6041" w:rsidP="00727BFF">
            <w:pPr>
              <w:suppressAutoHyphens/>
              <w:spacing w:before="100" w:beforeAutospacing="1" w:after="100" w:afterAutospacing="1" w:line="320" w:lineRule="exact"/>
              <w:jc w:val="center"/>
              <w:rPr>
                <w:rFonts w:eastAsia="Arial Unicode MS"/>
                <w:b/>
                <w:i/>
                <w:iCs/>
                <w:lang w:val="pt-BR"/>
              </w:rPr>
            </w:pPr>
          </w:p>
          <w:p w14:paraId="193C7383" w14:textId="77777777" w:rsidR="005F6041" w:rsidRPr="00D25A2E" w:rsidRDefault="005F6041" w:rsidP="00727BFF">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3F282FD9" w14:textId="77777777" w:rsidR="005F6041" w:rsidRPr="00D25A2E" w:rsidRDefault="005F6041" w:rsidP="00727BFF">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5F6041" w:rsidRPr="006E69D9" w:rsidDel="00F57070" w14:paraId="4BDC28FE" w14:textId="77777777" w:rsidTr="00727BFF">
        <w:tc>
          <w:tcPr>
            <w:tcW w:w="3969" w:type="dxa"/>
          </w:tcPr>
          <w:p w14:paraId="0757565C" w14:textId="77777777" w:rsidR="005F6041" w:rsidRPr="00D25A2E" w:rsidRDefault="005F6041" w:rsidP="00727BFF">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3C98C577" w14:textId="77777777" w:rsidR="005F6041" w:rsidRPr="00D25A2E" w:rsidDel="00F57070" w:rsidRDefault="005F6041" w:rsidP="00727BFF">
            <w:pPr>
              <w:suppressAutoHyphens/>
              <w:spacing w:before="100" w:beforeAutospacing="1" w:after="100" w:afterAutospacing="1" w:line="320" w:lineRule="exact"/>
              <w:jc w:val="center"/>
              <w:rPr>
                <w:i/>
                <w:iCs/>
              </w:rPr>
            </w:pPr>
            <w:r w:rsidRPr="00D25A2E">
              <w:rPr>
                <w:i/>
                <w:iCs/>
              </w:rPr>
              <w:t>2,3810%</w:t>
            </w:r>
          </w:p>
        </w:tc>
      </w:tr>
      <w:tr w:rsidR="005F6041" w:rsidRPr="006E69D9" w14:paraId="128E0D81" w14:textId="77777777" w:rsidTr="00727BFF">
        <w:tc>
          <w:tcPr>
            <w:tcW w:w="3969" w:type="dxa"/>
          </w:tcPr>
          <w:p w14:paraId="581D6C0B" w14:textId="77777777" w:rsidR="005F6041" w:rsidRPr="00D25A2E" w:rsidRDefault="005F6041" w:rsidP="00727BFF">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7BC6BEA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2,4390%</w:t>
            </w:r>
          </w:p>
        </w:tc>
      </w:tr>
      <w:tr w:rsidR="005F6041" w:rsidRPr="006E69D9" w14:paraId="14C6BA95" w14:textId="77777777" w:rsidTr="00727BFF">
        <w:tc>
          <w:tcPr>
            <w:tcW w:w="3969" w:type="dxa"/>
          </w:tcPr>
          <w:p w14:paraId="6EA8BDB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5A83FE7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2,5000%</w:t>
            </w:r>
          </w:p>
        </w:tc>
      </w:tr>
      <w:tr w:rsidR="005F6041" w:rsidRPr="006E69D9" w14:paraId="3120EB72" w14:textId="77777777" w:rsidTr="00727BFF">
        <w:tc>
          <w:tcPr>
            <w:tcW w:w="3969" w:type="dxa"/>
          </w:tcPr>
          <w:p w14:paraId="26F0B04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7AA899C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2,5641%</w:t>
            </w:r>
          </w:p>
        </w:tc>
      </w:tr>
      <w:tr w:rsidR="005F6041" w:rsidRPr="006E69D9" w14:paraId="0E4B2E28" w14:textId="77777777" w:rsidTr="00727BFF">
        <w:tc>
          <w:tcPr>
            <w:tcW w:w="3969" w:type="dxa"/>
          </w:tcPr>
          <w:p w14:paraId="56F5411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19CDFC0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2,6316%</w:t>
            </w:r>
          </w:p>
        </w:tc>
      </w:tr>
      <w:tr w:rsidR="005F6041" w:rsidRPr="006E69D9" w14:paraId="6ECD23B8" w14:textId="77777777" w:rsidTr="00727BFF">
        <w:tc>
          <w:tcPr>
            <w:tcW w:w="3969" w:type="dxa"/>
          </w:tcPr>
          <w:p w14:paraId="7536672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432147D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2,7027%</w:t>
            </w:r>
          </w:p>
        </w:tc>
      </w:tr>
      <w:tr w:rsidR="005F6041" w:rsidRPr="006E69D9" w14:paraId="6F64E6D4" w14:textId="77777777" w:rsidTr="00727BFF">
        <w:tc>
          <w:tcPr>
            <w:tcW w:w="3969" w:type="dxa"/>
          </w:tcPr>
          <w:p w14:paraId="4EE0414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0C352F5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2,7778%</w:t>
            </w:r>
          </w:p>
        </w:tc>
      </w:tr>
      <w:tr w:rsidR="005F6041" w:rsidRPr="006E69D9" w:rsidDel="00A609C5" w14:paraId="70114CAB" w14:textId="77777777" w:rsidTr="00727BFF">
        <w:tc>
          <w:tcPr>
            <w:tcW w:w="3969" w:type="dxa"/>
          </w:tcPr>
          <w:p w14:paraId="0CF839E5" w14:textId="77777777" w:rsidR="005F6041" w:rsidRPr="00D25A2E" w:rsidDel="00A609C5"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29D1C8CE" w14:textId="77777777" w:rsidR="005F6041" w:rsidRPr="00D25A2E" w:rsidDel="00A609C5" w:rsidRDefault="005F6041" w:rsidP="00727BFF">
            <w:pPr>
              <w:suppressAutoHyphens/>
              <w:spacing w:before="100" w:beforeAutospacing="1" w:after="100" w:afterAutospacing="1" w:line="320" w:lineRule="exact"/>
              <w:jc w:val="center"/>
              <w:rPr>
                <w:i/>
                <w:iCs/>
              </w:rPr>
            </w:pPr>
            <w:r w:rsidRPr="00D25A2E">
              <w:rPr>
                <w:i/>
                <w:iCs/>
              </w:rPr>
              <w:t>2,8571%</w:t>
            </w:r>
          </w:p>
        </w:tc>
      </w:tr>
      <w:tr w:rsidR="005F6041" w:rsidRPr="006E69D9" w14:paraId="740D80B5" w14:textId="77777777" w:rsidTr="00727BFF">
        <w:tc>
          <w:tcPr>
            <w:tcW w:w="3969" w:type="dxa"/>
          </w:tcPr>
          <w:p w14:paraId="62B7210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67BBCF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2,9412%</w:t>
            </w:r>
          </w:p>
        </w:tc>
      </w:tr>
      <w:tr w:rsidR="005F6041" w:rsidRPr="006E69D9" w14:paraId="79F25723" w14:textId="77777777" w:rsidTr="00727BFF">
        <w:tc>
          <w:tcPr>
            <w:tcW w:w="3969" w:type="dxa"/>
          </w:tcPr>
          <w:p w14:paraId="450FA14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03AC096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3,0303%</w:t>
            </w:r>
          </w:p>
        </w:tc>
      </w:tr>
      <w:tr w:rsidR="005F6041" w:rsidRPr="006E69D9" w14:paraId="51A56260" w14:textId="77777777" w:rsidTr="00727BFF">
        <w:tc>
          <w:tcPr>
            <w:tcW w:w="3969" w:type="dxa"/>
          </w:tcPr>
          <w:p w14:paraId="6105D0E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372CEDA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3,1250%</w:t>
            </w:r>
          </w:p>
        </w:tc>
      </w:tr>
      <w:tr w:rsidR="005F6041" w:rsidRPr="006E69D9" w14:paraId="5B3AC228" w14:textId="77777777" w:rsidTr="00727BFF">
        <w:tc>
          <w:tcPr>
            <w:tcW w:w="3969" w:type="dxa"/>
          </w:tcPr>
          <w:p w14:paraId="50BBE6B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5390207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3,2258%</w:t>
            </w:r>
          </w:p>
        </w:tc>
      </w:tr>
      <w:tr w:rsidR="005F6041" w:rsidRPr="006E69D9" w14:paraId="79CE0E79" w14:textId="77777777" w:rsidTr="00727BFF">
        <w:tc>
          <w:tcPr>
            <w:tcW w:w="3969" w:type="dxa"/>
          </w:tcPr>
          <w:p w14:paraId="7837709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01E6441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3,3333%</w:t>
            </w:r>
          </w:p>
        </w:tc>
      </w:tr>
      <w:tr w:rsidR="005F6041" w:rsidRPr="006E69D9" w14:paraId="645FF6B1" w14:textId="77777777" w:rsidTr="00727BFF">
        <w:tc>
          <w:tcPr>
            <w:tcW w:w="3969" w:type="dxa"/>
          </w:tcPr>
          <w:p w14:paraId="710E310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487C51E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3,4483%</w:t>
            </w:r>
          </w:p>
        </w:tc>
      </w:tr>
      <w:tr w:rsidR="005F6041" w:rsidRPr="006E69D9" w14:paraId="2C7EA8B4" w14:textId="77777777" w:rsidTr="00727BFF">
        <w:tc>
          <w:tcPr>
            <w:tcW w:w="3969" w:type="dxa"/>
          </w:tcPr>
          <w:p w14:paraId="5087DF55"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2021</w:t>
            </w:r>
          </w:p>
        </w:tc>
        <w:tc>
          <w:tcPr>
            <w:tcW w:w="3828" w:type="dxa"/>
          </w:tcPr>
          <w:p w14:paraId="078FA37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3,5714%</w:t>
            </w:r>
          </w:p>
        </w:tc>
      </w:tr>
      <w:tr w:rsidR="005F6041" w:rsidRPr="006E69D9" w14:paraId="441733E3" w14:textId="77777777" w:rsidTr="00727BFF">
        <w:tc>
          <w:tcPr>
            <w:tcW w:w="3969" w:type="dxa"/>
          </w:tcPr>
          <w:p w14:paraId="121ADC2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2B7BB68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3,7037%</w:t>
            </w:r>
          </w:p>
        </w:tc>
      </w:tr>
      <w:tr w:rsidR="005F6041" w:rsidRPr="006E69D9" w14:paraId="3B1D6181" w14:textId="77777777" w:rsidTr="00727BFF">
        <w:tc>
          <w:tcPr>
            <w:tcW w:w="3969" w:type="dxa"/>
          </w:tcPr>
          <w:p w14:paraId="492E5E2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2021</w:t>
            </w:r>
          </w:p>
        </w:tc>
        <w:tc>
          <w:tcPr>
            <w:tcW w:w="3828" w:type="dxa"/>
          </w:tcPr>
          <w:p w14:paraId="12E01F4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3,8462%</w:t>
            </w:r>
          </w:p>
        </w:tc>
      </w:tr>
      <w:tr w:rsidR="005F6041" w:rsidRPr="006E69D9" w14:paraId="7AC6321A" w14:textId="77777777" w:rsidTr="00727BFF">
        <w:tc>
          <w:tcPr>
            <w:tcW w:w="3969" w:type="dxa"/>
          </w:tcPr>
          <w:p w14:paraId="713262D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outubro</w:t>
            </w:r>
            <w:proofErr w:type="spellEnd"/>
            <w:r w:rsidRPr="00D25A2E">
              <w:rPr>
                <w:i/>
                <w:iCs/>
              </w:rPr>
              <w:t xml:space="preserve"> de 2021</w:t>
            </w:r>
          </w:p>
        </w:tc>
        <w:tc>
          <w:tcPr>
            <w:tcW w:w="3828" w:type="dxa"/>
          </w:tcPr>
          <w:p w14:paraId="3507795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4,0000%</w:t>
            </w:r>
          </w:p>
        </w:tc>
      </w:tr>
      <w:tr w:rsidR="005F6041" w:rsidRPr="006E69D9" w14:paraId="395CC36D" w14:textId="77777777" w:rsidTr="00727BFF">
        <w:tc>
          <w:tcPr>
            <w:tcW w:w="3969" w:type="dxa"/>
          </w:tcPr>
          <w:p w14:paraId="207CFE3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2022</w:t>
            </w:r>
          </w:p>
        </w:tc>
        <w:tc>
          <w:tcPr>
            <w:tcW w:w="3828" w:type="dxa"/>
          </w:tcPr>
          <w:p w14:paraId="76306342" w14:textId="77777777" w:rsidR="005F6041" w:rsidRPr="00D25A2E" w:rsidRDefault="005F6041" w:rsidP="00727BFF">
            <w:pPr>
              <w:suppressAutoHyphens/>
              <w:spacing w:before="100" w:beforeAutospacing="1" w:after="100" w:afterAutospacing="1" w:line="320" w:lineRule="exact"/>
              <w:jc w:val="center"/>
              <w:rPr>
                <w:i/>
                <w:iCs/>
              </w:rPr>
            </w:pPr>
            <w:r>
              <w:rPr>
                <w:i/>
                <w:iCs/>
                <w:highlight w:val="yellow"/>
              </w:rPr>
              <w:t>16,6667</w:t>
            </w:r>
            <w:r>
              <w:rPr>
                <w:i/>
                <w:iCs/>
              </w:rPr>
              <w:t>%</w:t>
            </w:r>
          </w:p>
        </w:tc>
      </w:tr>
      <w:tr w:rsidR="005F6041" w:rsidRPr="006E69D9" w14:paraId="1630F701" w14:textId="77777777" w:rsidTr="00727BFF">
        <w:tc>
          <w:tcPr>
            <w:tcW w:w="3969" w:type="dxa"/>
          </w:tcPr>
          <w:p w14:paraId="36C20E8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4DB43A6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5,0000%</w:t>
            </w:r>
          </w:p>
        </w:tc>
      </w:tr>
      <w:tr w:rsidR="005F6041" w:rsidRPr="006E69D9" w14:paraId="66FA64A9" w14:textId="77777777" w:rsidTr="00727BFF">
        <w:tc>
          <w:tcPr>
            <w:tcW w:w="3969" w:type="dxa"/>
          </w:tcPr>
          <w:p w14:paraId="6F80B1A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2022</w:t>
            </w:r>
          </w:p>
        </w:tc>
        <w:tc>
          <w:tcPr>
            <w:tcW w:w="3828" w:type="dxa"/>
          </w:tcPr>
          <w:p w14:paraId="372D7BF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5,2632%</w:t>
            </w:r>
          </w:p>
        </w:tc>
      </w:tr>
      <w:tr w:rsidR="005F6041" w:rsidRPr="006E69D9" w14:paraId="2AEC933B" w14:textId="77777777" w:rsidTr="00727BFF">
        <w:tc>
          <w:tcPr>
            <w:tcW w:w="3969" w:type="dxa"/>
          </w:tcPr>
          <w:p w14:paraId="2EF499B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78BAA22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5,5556%</w:t>
            </w:r>
          </w:p>
        </w:tc>
      </w:tr>
      <w:tr w:rsidR="005F6041" w:rsidRPr="006E69D9" w14:paraId="72071FF4" w14:textId="77777777" w:rsidTr="00727BFF">
        <w:tc>
          <w:tcPr>
            <w:tcW w:w="3969" w:type="dxa"/>
          </w:tcPr>
          <w:p w14:paraId="50D9141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32E40E5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5,8824%</w:t>
            </w:r>
          </w:p>
        </w:tc>
      </w:tr>
      <w:tr w:rsidR="005F6041" w:rsidRPr="006E69D9" w14:paraId="1360330D" w14:textId="77777777" w:rsidTr="00727BFF">
        <w:tc>
          <w:tcPr>
            <w:tcW w:w="3969" w:type="dxa"/>
          </w:tcPr>
          <w:p w14:paraId="1661D99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2022</w:t>
            </w:r>
          </w:p>
        </w:tc>
        <w:tc>
          <w:tcPr>
            <w:tcW w:w="3828" w:type="dxa"/>
          </w:tcPr>
          <w:p w14:paraId="42E62D2F"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6,2500%</w:t>
            </w:r>
          </w:p>
        </w:tc>
      </w:tr>
      <w:tr w:rsidR="005F6041" w:rsidRPr="006E69D9" w14:paraId="0911D3C6" w14:textId="77777777" w:rsidTr="00727BFF">
        <w:tc>
          <w:tcPr>
            <w:tcW w:w="3969" w:type="dxa"/>
          </w:tcPr>
          <w:p w14:paraId="6C933E6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67CEF17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6,6667%</w:t>
            </w:r>
          </w:p>
        </w:tc>
      </w:tr>
      <w:tr w:rsidR="005F6041" w:rsidRPr="006E69D9" w14:paraId="2E585DB4" w14:textId="77777777" w:rsidTr="00727BFF">
        <w:tc>
          <w:tcPr>
            <w:tcW w:w="3969" w:type="dxa"/>
          </w:tcPr>
          <w:p w14:paraId="0BF6043C"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780D3933"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7,1429%</w:t>
            </w:r>
          </w:p>
        </w:tc>
      </w:tr>
      <w:tr w:rsidR="005F6041" w:rsidRPr="006E69D9" w14:paraId="2BEEAF00" w14:textId="77777777" w:rsidTr="00727BFF">
        <w:tc>
          <w:tcPr>
            <w:tcW w:w="3969" w:type="dxa"/>
          </w:tcPr>
          <w:p w14:paraId="0F0F85C1"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618AFBE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7,6923%</w:t>
            </w:r>
          </w:p>
        </w:tc>
      </w:tr>
      <w:tr w:rsidR="005F6041" w:rsidRPr="006E69D9" w14:paraId="18CE83C5" w14:textId="77777777" w:rsidTr="00727BFF">
        <w:tc>
          <w:tcPr>
            <w:tcW w:w="3969" w:type="dxa"/>
          </w:tcPr>
          <w:p w14:paraId="7EBC63E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C52352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8,3333%</w:t>
            </w:r>
          </w:p>
        </w:tc>
      </w:tr>
      <w:tr w:rsidR="005F6041" w:rsidRPr="006E69D9" w14:paraId="7E9FD261" w14:textId="77777777" w:rsidTr="00727BFF">
        <w:tc>
          <w:tcPr>
            <w:tcW w:w="3969" w:type="dxa"/>
          </w:tcPr>
          <w:p w14:paraId="45A1EB8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6FD5F834"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9,0909%</w:t>
            </w:r>
          </w:p>
        </w:tc>
      </w:tr>
      <w:tr w:rsidR="005F6041" w:rsidRPr="006E69D9" w14:paraId="26086DB9" w14:textId="77777777" w:rsidTr="00727BFF">
        <w:tc>
          <w:tcPr>
            <w:tcW w:w="3969" w:type="dxa"/>
          </w:tcPr>
          <w:p w14:paraId="5456DE3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2398552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10,0000%</w:t>
            </w:r>
          </w:p>
        </w:tc>
      </w:tr>
      <w:tr w:rsidR="005F6041" w:rsidRPr="006E69D9" w14:paraId="5CF92A83" w14:textId="77777777" w:rsidTr="00727BFF">
        <w:tc>
          <w:tcPr>
            <w:tcW w:w="3969" w:type="dxa"/>
          </w:tcPr>
          <w:p w14:paraId="2C662BE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6AEDA4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11,1111%</w:t>
            </w:r>
          </w:p>
        </w:tc>
      </w:tr>
      <w:tr w:rsidR="005F6041" w:rsidRPr="006E69D9" w14:paraId="6BA7064C" w14:textId="77777777" w:rsidTr="00727BFF">
        <w:tc>
          <w:tcPr>
            <w:tcW w:w="3969" w:type="dxa"/>
          </w:tcPr>
          <w:p w14:paraId="5DE0D76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15B569C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12,5000%</w:t>
            </w:r>
          </w:p>
        </w:tc>
      </w:tr>
      <w:tr w:rsidR="005F6041" w:rsidRPr="006E69D9" w14:paraId="22EBAC40" w14:textId="77777777" w:rsidTr="00727BFF">
        <w:tc>
          <w:tcPr>
            <w:tcW w:w="3969" w:type="dxa"/>
          </w:tcPr>
          <w:p w14:paraId="01A9951D" w14:textId="77777777" w:rsidR="005F6041" w:rsidRPr="00D25A2E" w:rsidRDefault="005F6041" w:rsidP="00727BFF">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61CA249E"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14,2857%</w:t>
            </w:r>
          </w:p>
        </w:tc>
      </w:tr>
      <w:tr w:rsidR="005F6041" w:rsidRPr="006E69D9" w14:paraId="3A165317" w14:textId="77777777" w:rsidTr="00727BFF">
        <w:tc>
          <w:tcPr>
            <w:tcW w:w="3969" w:type="dxa"/>
          </w:tcPr>
          <w:p w14:paraId="463BD2F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00182A2B"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16,6667%</w:t>
            </w:r>
          </w:p>
        </w:tc>
      </w:tr>
      <w:tr w:rsidR="005F6041" w:rsidRPr="006E69D9" w14:paraId="3037496A" w14:textId="77777777" w:rsidTr="00727BFF">
        <w:tc>
          <w:tcPr>
            <w:tcW w:w="3969" w:type="dxa"/>
          </w:tcPr>
          <w:p w14:paraId="057E7E4A"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60BF9155"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20,0000%</w:t>
            </w:r>
          </w:p>
        </w:tc>
      </w:tr>
      <w:tr w:rsidR="005F6041" w:rsidRPr="006E69D9" w14:paraId="5F791D9A" w14:textId="77777777" w:rsidTr="00727BFF">
        <w:tc>
          <w:tcPr>
            <w:tcW w:w="3969" w:type="dxa"/>
          </w:tcPr>
          <w:p w14:paraId="540831B0"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59670008"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25,0000%</w:t>
            </w:r>
          </w:p>
        </w:tc>
      </w:tr>
      <w:tr w:rsidR="005F6041" w:rsidRPr="006E69D9" w14:paraId="20FF30F5" w14:textId="77777777" w:rsidTr="00727BFF">
        <w:tc>
          <w:tcPr>
            <w:tcW w:w="3969" w:type="dxa"/>
          </w:tcPr>
          <w:p w14:paraId="44718FF6"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53ACA33D"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33,3333%</w:t>
            </w:r>
          </w:p>
        </w:tc>
      </w:tr>
      <w:tr w:rsidR="005F6041" w:rsidRPr="006E69D9" w14:paraId="597859B9" w14:textId="77777777" w:rsidTr="00727BFF">
        <w:tc>
          <w:tcPr>
            <w:tcW w:w="3969" w:type="dxa"/>
          </w:tcPr>
          <w:p w14:paraId="7905D9A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707BD3C7"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50,0000%</w:t>
            </w:r>
          </w:p>
        </w:tc>
      </w:tr>
      <w:tr w:rsidR="005F6041" w:rsidRPr="006E69D9" w14:paraId="44016726" w14:textId="77777777" w:rsidTr="00727BFF">
        <w:tc>
          <w:tcPr>
            <w:tcW w:w="3969" w:type="dxa"/>
          </w:tcPr>
          <w:p w14:paraId="791705B7" w14:textId="77777777" w:rsidR="005F6041" w:rsidRPr="00B33566" w:rsidRDefault="005F6041" w:rsidP="00727BFF">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034332D2" w14:textId="77777777" w:rsidR="005F6041" w:rsidRPr="00D25A2E" w:rsidRDefault="005F6041" w:rsidP="00727BFF">
            <w:pPr>
              <w:suppressAutoHyphens/>
              <w:spacing w:before="100" w:beforeAutospacing="1" w:after="100" w:afterAutospacing="1" w:line="320" w:lineRule="exact"/>
              <w:jc w:val="center"/>
              <w:rPr>
                <w:i/>
                <w:iCs/>
              </w:rPr>
            </w:pPr>
            <w:r w:rsidRPr="00D25A2E">
              <w:rPr>
                <w:i/>
                <w:iCs/>
              </w:rPr>
              <w:t>100,0000%</w:t>
            </w:r>
          </w:p>
        </w:tc>
      </w:tr>
    </w:tbl>
    <w:p w14:paraId="411E9CBB" w14:textId="45EE1B4C" w:rsidR="00363852" w:rsidRDefault="00363852" w:rsidP="005F6041">
      <w:pPr>
        <w:suppressAutoHyphens/>
        <w:spacing w:after="0" w:line="360" w:lineRule="auto"/>
        <w:rPr>
          <w:rFonts w:ascii="Verdana" w:hAnsi="Verdana"/>
          <w:sz w:val="20"/>
          <w:szCs w:val="20"/>
          <w:lang w:val="pt-BR"/>
        </w:rPr>
      </w:pPr>
    </w:p>
    <w:p w14:paraId="30FF87D1" w14:textId="6D600666" w:rsidR="00D63645" w:rsidRDefault="00D63645" w:rsidP="00D63645">
      <w:pPr>
        <w:suppressAutoHyphens/>
        <w:spacing w:after="0" w:line="360" w:lineRule="auto"/>
        <w:rPr>
          <w:rFonts w:ascii="Verdana" w:hAnsi="Verdana"/>
          <w:bCs/>
          <w:sz w:val="20"/>
          <w:szCs w:val="20"/>
          <w:lang w:val="pt-BR"/>
        </w:rPr>
      </w:pPr>
      <w:r>
        <w:rPr>
          <w:rFonts w:ascii="Verdana" w:hAnsi="Verdana"/>
          <w:sz w:val="20"/>
          <w:szCs w:val="20"/>
          <w:lang w:val="pt-BR"/>
        </w:rPr>
        <w:t>6.1.1</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 xml:space="preserve">da 2ª série referente à data de 25 de janeiro de 2022, em valores unitários de </w:t>
      </w:r>
      <w:r w:rsidRPr="000827CB">
        <w:rPr>
          <w:rFonts w:ascii="Verdana" w:hAnsi="Verdana"/>
          <w:bCs/>
          <w:sz w:val="20"/>
          <w:szCs w:val="20"/>
          <w:lang w:val="pt-BR"/>
        </w:rPr>
        <w:t>R$</w:t>
      </w:r>
      <w:r w:rsidRPr="0060673E">
        <w:rPr>
          <w:rFonts w:ascii="Verdana" w:hAnsi="Verdana"/>
          <w:sz w:val="20"/>
          <w:szCs w:val="20"/>
          <w:lang w:val="pt-BR"/>
        </w:rPr>
        <w:t xml:space="preserve"> 149,99946880</w:t>
      </w:r>
      <w:r>
        <w:rPr>
          <w:rFonts w:ascii="Verdana" w:hAnsi="Verdana"/>
          <w:bCs/>
          <w:sz w:val="20"/>
          <w:szCs w:val="20"/>
          <w:lang w:val="pt-BR"/>
        </w:rPr>
        <w:t xml:space="preserve">, para 25 de fevereiro de 2022, de forma que o valor unitário da amortização devida em 25 de fevereiro de 2022 seja de </w:t>
      </w:r>
      <w:r w:rsidRPr="00D25A2E">
        <w:rPr>
          <w:rFonts w:ascii="Verdana" w:hAnsi="Verdana"/>
          <w:bCs/>
          <w:sz w:val="20"/>
          <w:szCs w:val="20"/>
          <w:lang w:val="pt-BR"/>
        </w:rPr>
        <w:t>R$</w:t>
      </w:r>
      <w:r w:rsidRPr="0060673E">
        <w:rPr>
          <w:lang w:val="pt-BR"/>
        </w:rPr>
        <w:t xml:space="preserve"> </w:t>
      </w:r>
      <w:r w:rsidRPr="00D63645">
        <w:rPr>
          <w:rFonts w:ascii="Verdana" w:hAnsi="Verdana"/>
          <w:bCs/>
          <w:sz w:val="20"/>
          <w:szCs w:val="20"/>
          <w:lang w:val="pt-BR"/>
        </w:rPr>
        <w:t>199,99933446</w:t>
      </w:r>
      <w:r>
        <w:rPr>
          <w:rFonts w:ascii="Verdana" w:hAnsi="Verdana"/>
          <w:bCs/>
          <w:sz w:val="20"/>
          <w:szCs w:val="20"/>
          <w:lang w:val="pt-BR"/>
        </w:rPr>
        <w:t xml:space="preserve">, correspondente a </w:t>
      </w:r>
      <w:r w:rsidR="004D4EBE">
        <w:rPr>
          <w:rFonts w:ascii="Verdana" w:hAnsi="Verdana"/>
          <w:bCs/>
          <w:sz w:val="20"/>
          <w:szCs w:val="20"/>
          <w:lang w:val="pt-BR"/>
        </w:rPr>
        <w:t>33,3333</w:t>
      </w:r>
      <w:r>
        <w:rPr>
          <w:rFonts w:ascii="Verdana" w:hAnsi="Verdana"/>
          <w:bCs/>
          <w:sz w:val="20"/>
          <w:szCs w:val="20"/>
          <w:lang w:val="pt-BR"/>
        </w:rPr>
        <w:t xml:space="preserve">% do saldo do Valor Nominal Unitário da 2ª série. Desta forma o cronograma de Amortizações da 2ª Série constante da Cláusula </w:t>
      </w:r>
      <w:r w:rsidRPr="000827CB">
        <w:rPr>
          <w:rFonts w:ascii="Verdana" w:hAnsi="Verdana"/>
          <w:bCs/>
          <w:sz w:val="20"/>
          <w:szCs w:val="20"/>
          <w:lang w:val="pt-BR"/>
        </w:rPr>
        <w:t>4.6.</w:t>
      </w:r>
      <w:r w:rsidR="000827CB" w:rsidRPr="0060673E">
        <w:rPr>
          <w:rFonts w:ascii="Verdana" w:hAnsi="Verdana"/>
          <w:bCs/>
          <w:sz w:val="20"/>
          <w:szCs w:val="20"/>
          <w:lang w:val="pt-BR"/>
        </w:rPr>
        <w:t>2</w:t>
      </w:r>
      <w:r>
        <w:rPr>
          <w:rFonts w:ascii="Verdana" w:hAnsi="Verdana"/>
          <w:bCs/>
          <w:sz w:val="20"/>
          <w:szCs w:val="20"/>
          <w:lang w:val="pt-BR"/>
        </w:rPr>
        <w:t xml:space="preserve"> da Escritura de Emissão passa a ser o seguinte:</w:t>
      </w:r>
    </w:p>
    <w:p w14:paraId="17E25DB6" w14:textId="77777777" w:rsidR="000827CB" w:rsidRDefault="000827CB" w:rsidP="00D63645">
      <w:pPr>
        <w:suppressAutoHyphens/>
        <w:spacing w:after="0" w:line="360" w:lineRule="auto"/>
        <w:rPr>
          <w:rFonts w:ascii="Verdana" w:hAnsi="Verdana"/>
          <w:bCs/>
          <w:sz w:val="20"/>
          <w:szCs w:val="20"/>
          <w:lang w:val="pt-BR"/>
        </w:rPr>
      </w:pPr>
    </w:p>
    <w:p w14:paraId="584A7916" w14:textId="4BBCBEDE" w:rsidR="000827CB" w:rsidRDefault="000827CB" w:rsidP="00D63645">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0827CB" w:rsidRPr="0060673E" w14:paraId="73D8AC8E" w14:textId="77777777" w:rsidTr="000827CB">
        <w:tc>
          <w:tcPr>
            <w:tcW w:w="3402" w:type="dxa"/>
            <w:tcBorders>
              <w:top w:val="single" w:sz="4" w:space="0" w:color="auto"/>
              <w:left w:val="single" w:sz="4" w:space="0" w:color="auto"/>
              <w:bottom w:val="single" w:sz="4" w:space="0" w:color="auto"/>
              <w:right w:val="single" w:sz="4" w:space="0" w:color="auto"/>
            </w:tcBorders>
          </w:tcPr>
          <w:p w14:paraId="1218EDFD" w14:textId="77777777" w:rsidR="000827CB" w:rsidRPr="0060673E" w:rsidRDefault="000827CB">
            <w:pPr>
              <w:suppressAutoHyphens/>
              <w:spacing w:after="100" w:afterAutospacing="1" w:line="320" w:lineRule="exact"/>
              <w:rPr>
                <w:rFonts w:eastAsia="Arial Unicode MS"/>
                <w:b/>
                <w:i/>
                <w:iCs/>
                <w:lang w:val="pt-BR"/>
              </w:rPr>
            </w:pPr>
          </w:p>
          <w:p w14:paraId="616EB45C" w14:textId="77777777" w:rsidR="000827CB" w:rsidRDefault="000827CB">
            <w:pPr>
              <w:suppressAutoHyphens/>
              <w:spacing w:after="100" w:afterAutospacing="1" w:line="320" w:lineRule="exact"/>
              <w:jc w:val="center"/>
              <w:rPr>
                <w:rFonts w:eastAsia="Arial Unicode MS"/>
                <w:i/>
                <w:iCs/>
                <w:lang w:val="pt-BR"/>
              </w:rPr>
            </w:pPr>
            <w:r>
              <w:rPr>
                <w:rFonts w:eastAsia="Arial Unicode MS"/>
                <w:b/>
                <w:i/>
                <w:iCs/>
                <w:lang w:val="pt-BR"/>
              </w:rPr>
              <w:t>Data de Amortização das Debêntures da Segunda Série</w:t>
            </w:r>
          </w:p>
        </w:tc>
        <w:tc>
          <w:tcPr>
            <w:tcW w:w="2835" w:type="dxa"/>
            <w:tcBorders>
              <w:top w:val="single" w:sz="4" w:space="0" w:color="auto"/>
              <w:left w:val="single" w:sz="4" w:space="0" w:color="auto"/>
              <w:bottom w:val="single" w:sz="4" w:space="0" w:color="auto"/>
              <w:right w:val="single" w:sz="4" w:space="0" w:color="auto"/>
            </w:tcBorders>
            <w:hideMark/>
          </w:tcPr>
          <w:p w14:paraId="6F0A2920" w14:textId="77777777" w:rsidR="000827CB" w:rsidRDefault="000827CB">
            <w:pPr>
              <w:suppressAutoHyphens/>
              <w:spacing w:after="100" w:afterAutospacing="1" w:line="320" w:lineRule="exact"/>
              <w:jc w:val="center"/>
              <w:rPr>
                <w:rFonts w:eastAsia="Arial Unicode MS"/>
                <w:i/>
                <w:iCs/>
                <w:lang w:val="pt-BR"/>
              </w:rPr>
            </w:pPr>
            <w:r>
              <w:rPr>
                <w:rFonts w:eastAsia="Arial Unicode MS"/>
                <w:b/>
                <w:i/>
                <w:iCs/>
                <w:lang w:val="pt-BR"/>
              </w:rPr>
              <w:t xml:space="preserve">Percentual do saldo do Valor Nominal Unitário das Debêntures da Segunda Série a </w:t>
            </w:r>
            <w:proofErr w:type="gramStart"/>
            <w:r>
              <w:rPr>
                <w:rFonts w:eastAsia="Arial Unicode MS"/>
                <w:b/>
                <w:i/>
                <w:iCs/>
                <w:lang w:val="pt-BR"/>
              </w:rPr>
              <w:t>ser Amortizado</w:t>
            </w:r>
            <w:proofErr w:type="gramEnd"/>
          </w:p>
        </w:tc>
      </w:tr>
      <w:tr w:rsidR="000827CB" w14:paraId="32DC27D6"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A60AE3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março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4A081360" w14:textId="77777777" w:rsidR="000827CB" w:rsidRDefault="000827CB">
            <w:pPr>
              <w:suppressAutoHyphens/>
              <w:spacing w:after="100" w:afterAutospacing="1" w:line="320" w:lineRule="exact"/>
              <w:jc w:val="center"/>
              <w:rPr>
                <w:rFonts w:eastAsia="Arial Unicode MS"/>
                <w:i/>
                <w:iCs/>
              </w:rPr>
            </w:pPr>
            <w:r>
              <w:rPr>
                <w:i/>
                <w:iCs/>
              </w:rPr>
              <w:t>5,0000%</w:t>
            </w:r>
          </w:p>
        </w:tc>
      </w:tr>
      <w:tr w:rsidR="000827CB" w14:paraId="099B2155"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2F10E0A"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abril</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34B4728B" w14:textId="77777777" w:rsidR="000827CB" w:rsidRDefault="000827CB">
            <w:pPr>
              <w:suppressAutoHyphens/>
              <w:spacing w:after="100" w:afterAutospacing="1" w:line="320" w:lineRule="exact"/>
              <w:jc w:val="center"/>
              <w:rPr>
                <w:rFonts w:eastAsia="Arial Unicode MS"/>
                <w:i/>
                <w:iCs/>
              </w:rPr>
            </w:pPr>
            <w:r>
              <w:rPr>
                <w:i/>
                <w:iCs/>
              </w:rPr>
              <w:t>5,2632%</w:t>
            </w:r>
          </w:p>
        </w:tc>
      </w:tr>
      <w:tr w:rsidR="000827CB" w14:paraId="53DF7D9C"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F5A5D66"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maio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68BDC946" w14:textId="77777777" w:rsidR="000827CB" w:rsidRDefault="000827CB">
            <w:pPr>
              <w:suppressAutoHyphens/>
              <w:spacing w:after="100" w:afterAutospacing="1" w:line="320" w:lineRule="exact"/>
              <w:jc w:val="center"/>
              <w:rPr>
                <w:rFonts w:eastAsia="Arial Unicode MS"/>
                <w:i/>
                <w:iCs/>
              </w:rPr>
            </w:pPr>
            <w:r>
              <w:rPr>
                <w:i/>
                <w:iCs/>
              </w:rPr>
              <w:t>5,5556%</w:t>
            </w:r>
          </w:p>
        </w:tc>
      </w:tr>
      <w:tr w:rsidR="000827CB" w14:paraId="7E265B2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3FE2BB3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junho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78340164" w14:textId="77777777" w:rsidR="000827CB" w:rsidRDefault="000827CB">
            <w:pPr>
              <w:suppressAutoHyphens/>
              <w:spacing w:after="100" w:afterAutospacing="1" w:line="320" w:lineRule="exact"/>
              <w:jc w:val="center"/>
              <w:rPr>
                <w:rFonts w:eastAsia="Arial Unicode MS"/>
                <w:i/>
                <w:iCs/>
              </w:rPr>
            </w:pPr>
            <w:r>
              <w:rPr>
                <w:i/>
                <w:iCs/>
              </w:rPr>
              <w:t>5,8824%</w:t>
            </w:r>
          </w:p>
        </w:tc>
      </w:tr>
      <w:tr w:rsidR="000827CB" w14:paraId="24CF697B"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2084C54F"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julho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20923A33" w14:textId="77777777" w:rsidR="000827CB" w:rsidRDefault="000827CB">
            <w:pPr>
              <w:suppressAutoHyphens/>
              <w:spacing w:after="100" w:afterAutospacing="1" w:line="320" w:lineRule="exact"/>
              <w:jc w:val="center"/>
              <w:rPr>
                <w:rFonts w:eastAsia="Arial Unicode MS"/>
                <w:i/>
                <w:iCs/>
              </w:rPr>
            </w:pPr>
            <w:r>
              <w:rPr>
                <w:i/>
                <w:iCs/>
              </w:rPr>
              <w:t>6,2500%</w:t>
            </w:r>
          </w:p>
        </w:tc>
      </w:tr>
      <w:tr w:rsidR="000827CB" w14:paraId="6CC7E433"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40E5AF1"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agosto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75C39F6C" w14:textId="77777777" w:rsidR="000827CB" w:rsidRDefault="000827CB">
            <w:pPr>
              <w:suppressAutoHyphens/>
              <w:spacing w:after="100" w:afterAutospacing="1" w:line="320" w:lineRule="exact"/>
              <w:jc w:val="center"/>
              <w:rPr>
                <w:rFonts w:eastAsia="Arial Unicode MS"/>
                <w:i/>
                <w:iCs/>
              </w:rPr>
            </w:pPr>
            <w:r>
              <w:rPr>
                <w:i/>
                <w:iCs/>
              </w:rPr>
              <w:t>6,6667%</w:t>
            </w:r>
          </w:p>
        </w:tc>
      </w:tr>
      <w:tr w:rsidR="000827CB" w14:paraId="39723B06"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B8A5D01"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setembro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161EDF89" w14:textId="77777777" w:rsidR="000827CB" w:rsidRDefault="000827CB">
            <w:pPr>
              <w:suppressAutoHyphens/>
              <w:spacing w:after="100" w:afterAutospacing="1" w:line="320" w:lineRule="exact"/>
              <w:jc w:val="center"/>
              <w:rPr>
                <w:rFonts w:eastAsia="Arial Unicode MS"/>
                <w:i/>
                <w:iCs/>
              </w:rPr>
            </w:pPr>
            <w:r>
              <w:rPr>
                <w:i/>
                <w:iCs/>
              </w:rPr>
              <w:t>7,1429%</w:t>
            </w:r>
          </w:p>
        </w:tc>
      </w:tr>
      <w:tr w:rsidR="000827CB" w14:paraId="6A253242"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6E4F2E1E"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outubro</w:t>
            </w:r>
            <w:proofErr w:type="spellEnd"/>
            <w:r>
              <w:rPr>
                <w:rFonts w:eastAsia="Arial Unicode MS"/>
                <w:i/>
                <w:iCs/>
              </w:rPr>
              <w:t xml:space="preserve"> de 2021</w:t>
            </w:r>
          </w:p>
        </w:tc>
        <w:tc>
          <w:tcPr>
            <w:tcW w:w="2835" w:type="dxa"/>
            <w:tcBorders>
              <w:top w:val="single" w:sz="4" w:space="0" w:color="auto"/>
              <w:left w:val="single" w:sz="4" w:space="0" w:color="auto"/>
              <w:bottom w:val="single" w:sz="4" w:space="0" w:color="auto"/>
              <w:right w:val="single" w:sz="4" w:space="0" w:color="auto"/>
            </w:tcBorders>
            <w:hideMark/>
          </w:tcPr>
          <w:p w14:paraId="6EA9260A" w14:textId="77777777" w:rsidR="000827CB" w:rsidRDefault="000827CB">
            <w:pPr>
              <w:suppressAutoHyphens/>
              <w:spacing w:after="100" w:afterAutospacing="1" w:line="320" w:lineRule="exact"/>
              <w:jc w:val="center"/>
              <w:rPr>
                <w:rFonts w:eastAsia="Arial Unicode MS"/>
                <w:i/>
                <w:iCs/>
              </w:rPr>
            </w:pPr>
            <w:r>
              <w:rPr>
                <w:i/>
                <w:iCs/>
              </w:rPr>
              <w:t>7,6923%</w:t>
            </w:r>
          </w:p>
        </w:tc>
      </w:tr>
      <w:tr w:rsidR="000827CB" w14:paraId="19BED60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CF0ACE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fevereiro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3825B5DE" w14:textId="38399A79" w:rsidR="000827CB" w:rsidRDefault="000827CB">
            <w:pPr>
              <w:suppressAutoHyphens/>
              <w:spacing w:after="100" w:afterAutospacing="1" w:line="320" w:lineRule="exact"/>
              <w:jc w:val="center"/>
              <w:rPr>
                <w:rFonts w:eastAsia="Arial Unicode MS"/>
                <w:i/>
                <w:iCs/>
              </w:rPr>
            </w:pPr>
            <w:r w:rsidRPr="0060673E">
              <w:rPr>
                <w:i/>
                <w:iCs/>
                <w:highlight w:val="yellow"/>
              </w:rPr>
              <w:t>33,3333%</w:t>
            </w:r>
          </w:p>
        </w:tc>
      </w:tr>
      <w:tr w:rsidR="000827CB" w14:paraId="65F8C77E"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4926606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março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04C30CB" w14:textId="77777777" w:rsidR="000827CB" w:rsidRDefault="000827CB">
            <w:pPr>
              <w:suppressAutoHyphens/>
              <w:spacing w:after="100" w:afterAutospacing="1" w:line="320" w:lineRule="exact"/>
              <w:jc w:val="center"/>
              <w:rPr>
                <w:rFonts w:eastAsia="Arial Unicode MS"/>
                <w:i/>
                <w:iCs/>
              </w:rPr>
            </w:pPr>
            <w:r>
              <w:rPr>
                <w:i/>
                <w:iCs/>
              </w:rPr>
              <w:t>12,5000%</w:t>
            </w:r>
          </w:p>
        </w:tc>
      </w:tr>
      <w:tr w:rsidR="000827CB" w14:paraId="68C6D7F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40A0E42"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abril</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0D1B984" w14:textId="77777777" w:rsidR="000827CB" w:rsidRDefault="000827CB">
            <w:pPr>
              <w:suppressAutoHyphens/>
              <w:spacing w:after="100" w:afterAutospacing="1" w:line="320" w:lineRule="exact"/>
              <w:jc w:val="center"/>
              <w:rPr>
                <w:rFonts w:eastAsia="Arial Unicode MS"/>
                <w:i/>
                <w:iCs/>
              </w:rPr>
            </w:pPr>
            <w:r>
              <w:rPr>
                <w:i/>
                <w:iCs/>
              </w:rPr>
              <w:t>14,2857%</w:t>
            </w:r>
          </w:p>
        </w:tc>
      </w:tr>
      <w:tr w:rsidR="000827CB" w14:paraId="7BF408CE"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2F58F95A"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maio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0362AF84" w14:textId="77777777" w:rsidR="000827CB" w:rsidRDefault="000827CB">
            <w:pPr>
              <w:suppressAutoHyphens/>
              <w:spacing w:after="100" w:afterAutospacing="1" w:line="320" w:lineRule="exact"/>
              <w:jc w:val="center"/>
              <w:rPr>
                <w:rFonts w:eastAsia="Arial Unicode MS"/>
                <w:i/>
                <w:iCs/>
              </w:rPr>
            </w:pPr>
            <w:r>
              <w:rPr>
                <w:i/>
                <w:iCs/>
              </w:rPr>
              <w:t>16,6667%</w:t>
            </w:r>
          </w:p>
        </w:tc>
      </w:tr>
      <w:tr w:rsidR="000827CB" w14:paraId="0288D46A"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C02CD55"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junho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728C1183" w14:textId="77777777" w:rsidR="000827CB" w:rsidRDefault="000827CB">
            <w:pPr>
              <w:suppressAutoHyphens/>
              <w:spacing w:after="100" w:afterAutospacing="1" w:line="320" w:lineRule="exact"/>
              <w:jc w:val="center"/>
              <w:rPr>
                <w:rFonts w:eastAsia="Arial Unicode MS"/>
                <w:i/>
                <w:iCs/>
              </w:rPr>
            </w:pPr>
            <w:r>
              <w:rPr>
                <w:i/>
                <w:iCs/>
              </w:rPr>
              <w:t>20,0000%</w:t>
            </w:r>
          </w:p>
        </w:tc>
      </w:tr>
      <w:tr w:rsidR="000827CB" w14:paraId="0DA1478F"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5649A9DE"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julho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63068ECD" w14:textId="77777777" w:rsidR="000827CB" w:rsidRDefault="000827CB">
            <w:pPr>
              <w:suppressAutoHyphens/>
              <w:spacing w:after="100" w:afterAutospacing="1" w:line="320" w:lineRule="exact"/>
              <w:jc w:val="center"/>
              <w:rPr>
                <w:rFonts w:eastAsia="Arial Unicode MS"/>
                <w:i/>
                <w:iCs/>
              </w:rPr>
            </w:pPr>
            <w:r>
              <w:rPr>
                <w:i/>
                <w:iCs/>
              </w:rPr>
              <w:t>25,0000%</w:t>
            </w:r>
          </w:p>
        </w:tc>
      </w:tr>
      <w:tr w:rsidR="000827CB" w14:paraId="5B1029DD"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F4300CD"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agosto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4882C018" w14:textId="77777777" w:rsidR="000827CB" w:rsidRDefault="000827CB">
            <w:pPr>
              <w:suppressAutoHyphens/>
              <w:spacing w:after="100" w:afterAutospacing="1" w:line="320" w:lineRule="exact"/>
              <w:jc w:val="center"/>
              <w:rPr>
                <w:rFonts w:eastAsia="Arial Unicode MS"/>
                <w:i/>
                <w:iCs/>
              </w:rPr>
            </w:pPr>
            <w:r>
              <w:rPr>
                <w:i/>
                <w:iCs/>
              </w:rPr>
              <w:t>33,3333%</w:t>
            </w:r>
          </w:p>
        </w:tc>
      </w:tr>
      <w:tr w:rsidR="000827CB" w14:paraId="264698E0"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1622F8A0" w14:textId="77777777" w:rsidR="000827CB" w:rsidRDefault="000827CB">
            <w:pPr>
              <w:suppressAutoHyphens/>
              <w:spacing w:after="100" w:afterAutospacing="1" w:line="320" w:lineRule="exact"/>
              <w:jc w:val="center"/>
              <w:rPr>
                <w:rFonts w:eastAsia="Arial Unicode MS"/>
                <w:i/>
                <w:iCs/>
              </w:rPr>
            </w:pPr>
            <w:r>
              <w:rPr>
                <w:rFonts w:eastAsia="Arial Unicode MS"/>
                <w:i/>
                <w:iCs/>
              </w:rPr>
              <w:t xml:space="preserve">25 de </w:t>
            </w:r>
            <w:proofErr w:type="spellStart"/>
            <w:r>
              <w:rPr>
                <w:rFonts w:eastAsia="Arial Unicode MS"/>
                <w:i/>
                <w:iCs/>
              </w:rPr>
              <w:t>setembro</w:t>
            </w:r>
            <w:proofErr w:type="spellEnd"/>
            <w:r>
              <w:rPr>
                <w:rFonts w:eastAsia="Arial Unicode MS"/>
                <w:i/>
                <w:iCs/>
              </w:rPr>
              <w:t xml:space="preserve"> de 2022</w:t>
            </w:r>
          </w:p>
        </w:tc>
        <w:tc>
          <w:tcPr>
            <w:tcW w:w="2835" w:type="dxa"/>
            <w:tcBorders>
              <w:top w:val="single" w:sz="4" w:space="0" w:color="auto"/>
              <w:left w:val="single" w:sz="4" w:space="0" w:color="auto"/>
              <w:bottom w:val="single" w:sz="4" w:space="0" w:color="auto"/>
              <w:right w:val="single" w:sz="4" w:space="0" w:color="auto"/>
            </w:tcBorders>
            <w:hideMark/>
          </w:tcPr>
          <w:p w14:paraId="56A8D6D5" w14:textId="77777777" w:rsidR="000827CB" w:rsidRDefault="000827CB">
            <w:pPr>
              <w:suppressAutoHyphens/>
              <w:spacing w:after="100" w:afterAutospacing="1" w:line="320" w:lineRule="exact"/>
              <w:jc w:val="center"/>
              <w:rPr>
                <w:rFonts w:eastAsia="Arial Unicode MS"/>
                <w:i/>
                <w:iCs/>
              </w:rPr>
            </w:pPr>
            <w:r>
              <w:rPr>
                <w:i/>
                <w:iCs/>
              </w:rPr>
              <w:t>50,0000%</w:t>
            </w:r>
          </w:p>
        </w:tc>
      </w:tr>
      <w:tr w:rsidR="000827CB" w14:paraId="2C601672" w14:textId="77777777" w:rsidTr="000827CB">
        <w:tc>
          <w:tcPr>
            <w:tcW w:w="3402" w:type="dxa"/>
            <w:tcBorders>
              <w:top w:val="single" w:sz="4" w:space="0" w:color="auto"/>
              <w:left w:val="single" w:sz="4" w:space="0" w:color="auto"/>
              <w:bottom w:val="single" w:sz="4" w:space="0" w:color="auto"/>
              <w:right w:val="single" w:sz="4" w:space="0" w:color="auto"/>
            </w:tcBorders>
            <w:hideMark/>
          </w:tcPr>
          <w:p w14:paraId="7D6387A3" w14:textId="77777777" w:rsidR="000827CB" w:rsidRDefault="000827CB">
            <w:pPr>
              <w:suppressAutoHyphens/>
              <w:spacing w:after="100" w:afterAutospacing="1" w:line="320" w:lineRule="exact"/>
              <w:jc w:val="center"/>
              <w:rPr>
                <w:rFonts w:eastAsia="Arial Unicode MS"/>
                <w:i/>
                <w:iCs/>
                <w:lang w:val="pt-BR"/>
              </w:rPr>
            </w:pPr>
            <w:r>
              <w:rPr>
                <w:rFonts w:eastAsia="Arial Unicode MS"/>
                <w:i/>
                <w:iCs/>
                <w:lang w:val="pt-BR"/>
              </w:rPr>
              <w:t>Data de Vencimento das Debêntures da Segunda Série</w:t>
            </w:r>
          </w:p>
        </w:tc>
        <w:tc>
          <w:tcPr>
            <w:tcW w:w="2835" w:type="dxa"/>
            <w:tcBorders>
              <w:top w:val="single" w:sz="4" w:space="0" w:color="auto"/>
              <w:left w:val="single" w:sz="4" w:space="0" w:color="auto"/>
              <w:bottom w:val="single" w:sz="4" w:space="0" w:color="auto"/>
              <w:right w:val="single" w:sz="4" w:space="0" w:color="auto"/>
            </w:tcBorders>
            <w:hideMark/>
          </w:tcPr>
          <w:p w14:paraId="6E57763E" w14:textId="77777777" w:rsidR="000827CB" w:rsidRDefault="000827CB">
            <w:pPr>
              <w:suppressAutoHyphens/>
              <w:spacing w:after="100" w:afterAutospacing="1" w:line="320" w:lineRule="exact"/>
              <w:jc w:val="center"/>
              <w:rPr>
                <w:rFonts w:eastAsia="Arial Unicode MS"/>
                <w:i/>
                <w:iCs/>
              </w:rPr>
            </w:pPr>
            <w:r>
              <w:rPr>
                <w:rFonts w:eastAsia="Arial Unicode MS"/>
                <w:i/>
                <w:iCs/>
              </w:rPr>
              <w:t>100,0000%</w:t>
            </w:r>
          </w:p>
        </w:tc>
      </w:tr>
    </w:tbl>
    <w:p w14:paraId="22F31D85" w14:textId="77777777" w:rsidR="000827CB" w:rsidRDefault="000827CB" w:rsidP="00D63645">
      <w:pPr>
        <w:suppressAutoHyphens/>
        <w:spacing w:after="0" w:line="360" w:lineRule="auto"/>
        <w:rPr>
          <w:rFonts w:ascii="Verdana" w:hAnsi="Verdana"/>
          <w:bCs/>
          <w:sz w:val="20"/>
          <w:szCs w:val="20"/>
          <w:lang w:val="pt-BR"/>
        </w:rPr>
      </w:pPr>
    </w:p>
    <w:p w14:paraId="5A9A1E0E" w14:textId="77777777" w:rsidR="00D63645" w:rsidRDefault="00D63645" w:rsidP="005F6041">
      <w:pPr>
        <w:suppressAutoHyphens/>
        <w:spacing w:after="0" w:line="360" w:lineRule="auto"/>
        <w:rPr>
          <w:rFonts w:ascii="Verdana" w:hAnsi="Verdana"/>
          <w:sz w:val="20"/>
          <w:szCs w:val="20"/>
          <w:lang w:val="pt-BR"/>
        </w:rPr>
      </w:pPr>
    </w:p>
    <w:p w14:paraId="188936DA" w14:textId="77777777" w:rsidR="005F6041" w:rsidRDefault="005F6041" w:rsidP="005F6041">
      <w:pPr>
        <w:suppressAutoHyphens/>
        <w:spacing w:after="0" w:line="360" w:lineRule="auto"/>
        <w:rPr>
          <w:rFonts w:ascii="Verdana" w:hAnsi="Verdana"/>
          <w:sz w:val="20"/>
          <w:szCs w:val="20"/>
          <w:lang w:val="pt-BR"/>
        </w:rPr>
      </w:pPr>
    </w:p>
    <w:p w14:paraId="27C7612F" w14:textId="040CDEDE" w:rsidR="005F6041" w:rsidRDefault="00363852" w:rsidP="00363852">
      <w:pPr>
        <w:autoSpaceDE w:val="0"/>
        <w:autoSpaceDN w:val="0"/>
        <w:adjustRightInd w:val="0"/>
        <w:spacing w:after="0" w:line="300" w:lineRule="exact"/>
        <w:contextualSpacing/>
        <w:rPr>
          <w:rFonts w:ascii="Verdana" w:hAnsi="Verdana"/>
          <w:bCs/>
          <w:sz w:val="20"/>
          <w:szCs w:val="20"/>
          <w:lang w:val="pt-BR"/>
        </w:rPr>
      </w:pPr>
      <w:r w:rsidRPr="00363852">
        <w:rPr>
          <w:rFonts w:ascii="Verdana" w:hAnsi="Verdana"/>
          <w:sz w:val="20"/>
          <w:szCs w:val="20"/>
          <w:lang w:val="pt-BR"/>
        </w:rPr>
        <w:t>6.</w:t>
      </w:r>
      <w:r w:rsidR="00713D2E">
        <w:rPr>
          <w:rFonts w:ascii="Verdana" w:hAnsi="Verdana"/>
          <w:sz w:val="20"/>
          <w:szCs w:val="20"/>
          <w:lang w:val="pt-BR"/>
        </w:rPr>
        <w:t>2</w:t>
      </w:r>
      <w:r w:rsidR="00F6000F">
        <w:rPr>
          <w:rFonts w:ascii="Verdana" w:hAnsi="Verdana"/>
          <w:sz w:val="20"/>
          <w:szCs w:val="20"/>
          <w:lang w:val="pt-BR"/>
        </w:rPr>
        <w:t xml:space="preserve"> </w:t>
      </w:r>
      <w:r w:rsidRPr="00363852">
        <w:rPr>
          <w:rFonts w:ascii="Verdana" w:hAnsi="Verdana"/>
          <w:sz w:val="20"/>
          <w:szCs w:val="20"/>
          <w:lang w:val="pt-BR"/>
        </w:rPr>
        <w:tab/>
      </w:r>
      <w:r w:rsidR="005F6041">
        <w:rPr>
          <w:rFonts w:ascii="Verdana" w:hAnsi="Verdana"/>
          <w:sz w:val="20"/>
          <w:szCs w:val="20"/>
          <w:lang w:val="pt-BR"/>
        </w:rPr>
        <w:t xml:space="preserve">Aprovar a </w:t>
      </w:r>
      <w:r w:rsidR="005F6041">
        <w:rPr>
          <w:rFonts w:ascii="Verdana" w:hAnsi="Verdana"/>
          <w:bCs/>
          <w:sz w:val="20"/>
          <w:szCs w:val="20"/>
          <w:lang w:val="pt-BR"/>
        </w:rPr>
        <w:t xml:space="preserve">utilização do saldo retido em Conta Vinculada para </w:t>
      </w:r>
      <w:r w:rsidR="005F6041" w:rsidRPr="002F18C4">
        <w:rPr>
          <w:rFonts w:ascii="Verdana" w:hAnsi="Verdana"/>
          <w:bCs/>
          <w:sz w:val="20"/>
          <w:szCs w:val="20"/>
          <w:lang w:val="pt-BR"/>
        </w:rPr>
        <w:t>pagamento d</w:t>
      </w:r>
      <w:r w:rsidR="005F6041">
        <w:rPr>
          <w:rFonts w:ascii="Verdana" w:hAnsi="Verdana"/>
          <w:bCs/>
          <w:sz w:val="20"/>
          <w:szCs w:val="20"/>
          <w:lang w:val="pt-BR"/>
        </w:rPr>
        <w:t>os</w:t>
      </w:r>
      <w:r w:rsidR="005F6041" w:rsidRPr="002F18C4">
        <w:rPr>
          <w:rFonts w:ascii="Verdana" w:hAnsi="Verdana"/>
          <w:bCs/>
          <w:sz w:val="20"/>
          <w:szCs w:val="20"/>
          <w:lang w:val="pt-BR"/>
        </w:rPr>
        <w:t xml:space="preserve"> </w:t>
      </w:r>
      <w:r w:rsidR="005F6041">
        <w:rPr>
          <w:rFonts w:ascii="Verdana" w:hAnsi="Verdana"/>
          <w:bCs/>
          <w:sz w:val="20"/>
          <w:szCs w:val="20"/>
          <w:lang w:val="pt-BR"/>
        </w:rPr>
        <w:t>J</w:t>
      </w:r>
      <w:r w:rsidR="005F6041" w:rsidRPr="002F18C4">
        <w:rPr>
          <w:rFonts w:ascii="Verdana" w:hAnsi="Verdana"/>
          <w:bCs/>
          <w:sz w:val="20"/>
          <w:szCs w:val="20"/>
          <w:lang w:val="pt-BR"/>
        </w:rPr>
        <w:t xml:space="preserve">uros </w:t>
      </w:r>
      <w:r w:rsidR="005F6041">
        <w:rPr>
          <w:rFonts w:ascii="Verdana" w:hAnsi="Verdana"/>
          <w:bCs/>
          <w:sz w:val="20"/>
          <w:szCs w:val="20"/>
          <w:lang w:val="pt-BR"/>
        </w:rPr>
        <w:t xml:space="preserve">Remuneratórios da 1ª série e da 2ª série devidos em </w:t>
      </w:r>
      <w:r w:rsidR="005F6041" w:rsidRPr="002F18C4">
        <w:rPr>
          <w:rFonts w:ascii="Verdana" w:hAnsi="Verdana"/>
          <w:bCs/>
          <w:sz w:val="20"/>
          <w:szCs w:val="20"/>
          <w:lang w:val="pt-BR"/>
        </w:rPr>
        <w:t>25</w:t>
      </w:r>
      <w:r w:rsidR="005F6041">
        <w:rPr>
          <w:rFonts w:ascii="Verdana" w:hAnsi="Verdana"/>
          <w:bCs/>
          <w:sz w:val="20"/>
          <w:szCs w:val="20"/>
          <w:lang w:val="pt-BR"/>
        </w:rPr>
        <w:t xml:space="preserve"> de janeiro de </w:t>
      </w:r>
      <w:r w:rsidR="005F6041" w:rsidRPr="002F18C4">
        <w:rPr>
          <w:rFonts w:ascii="Verdana" w:hAnsi="Verdana"/>
          <w:bCs/>
          <w:sz w:val="20"/>
          <w:szCs w:val="20"/>
          <w:lang w:val="pt-BR"/>
        </w:rPr>
        <w:t>202</w:t>
      </w:r>
      <w:r w:rsidR="005F6041">
        <w:rPr>
          <w:rFonts w:ascii="Verdana" w:hAnsi="Verdana"/>
          <w:bCs/>
          <w:sz w:val="20"/>
          <w:szCs w:val="20"/>
          <w:lang w:val="pt-BR"/>
        </w:rPr>
        <w:t>2;</w:t>
      </w:r>
    </w:p>
    <w:p w14:paraId="7CCE92F5" w14:textId="1BE8B692" w:rsidR="005F6041" w:rsidRDefault="005F6041" w:rsidP="00363852">
      <w:pPr>
        <w:autoSpaceDE w:val="0"/>
        <w:autoSpaceDN w:val="0"/>
        <w:adjustRightInd w:val="0"/>
        <w:spacing w:after="0" w:line="300" w:lineRule="exact"/>
        <w:contextualSpacing/>
        <w:rPr>
          <w:rFonts w:ascii="Verdana" w:hAnsi="Verdana"/>
          <w:bCs/>
          <w:sz w:val="20"/>
          <w:szCs w:val="20"/>
          <w:lang w:val="pt-BR"/>
        </w:rPr>
      </w:pPr>
    </w:p>
    <w:p w14:paraId="0BC61E46" w14:textId="3CC0BB20" w:rsidR="00B37C39" w:rsidRDefault="005F6041" w:rsidP="00363852">
      <w:pPr>
        <w:autoSpaceDE w:val="0"/>
        <w:autoSpaceDN w:val="0"/>
        <w:adjustRightInd w:val="0"/>
        <w:spacing w:after="0" w:line="300" w:lineRule="exact"/>
        <w:contextualSpacing/>
        <w:rPr>
          <w:rFonts w:ascii="Verdana" w:hAnsi="Verdana"/>
          <w:sz w:val="20"/>
          <w:szCs w:val="20"/>
          <w:lang w:val="pt-BR"/>
        </w:rPr>
      </w:pPr>
      <w:r>
        <w:rPr>
          <w:rFonts w:ascii="Verdana" w:hAnsi="Verdana"/>
          <w:bCs/>
          <w:sz w:val="20"/>
          <w:szCs w:val="20"/>
          <w:lang w:val="pt-BR"/>
        </w:rPr>
        <w:t>6.3</w:t>
      </w:r>
      <w:r>
        <w:rPr>
          <w:rFonts w:ascii="Verdana" w:hAnsi="Verdana"/>
          <w:bCs/>
          <w:sz w:val="20"/>
          <w:szCs w:val="20"/>
          <w:lang w:val="pt-BR"/>
        </w:rPr>
        <w:tab/>
      </w:r>
      <w:r w:rsidR="00B37C39">
        <w:rPr>
          <w:rFonts w:ascii="Verdana" w:hAnsi="Verdana"/>
          <w:bCs/>
          <w:sz w:val="20"/>
          <w:szCs w:val="20"/>
          <w:lang w:val="pt-BR"/>
        </w:rPr>
        <w:t xml:space="preserve">Aprovar </w:t>
      </w:r>
      <w:r w:rsidR="00B37C39" w:rsidRPr="00265666">
        <w:rPr>
          <w:rFonts w:ascii="Verdana" w:hAnsi="Verdana"/>
          <w:bCs/>
          <w:sz w:val="20"/>
          <w:szCs w:val="20"/>
          <w:lang w:val="pt-BR"/>
        </w:rPr>
        <w:t xml:space="preserve">a </w:t>
      </w:r>
      <w:r w:rsidR="00B37C39">
        <w:rPr>
          <w:rFonts w:ascii="Verdana" w:hAnsi="Verdana"/>
          <w:bCs/>
          <w:sz w:val="20"/>
          <w:szCs w:val="20"/>
          <w:lang w:val="pt-BR"/>
        </w:rPr>
        <w:t>não decretação de vencimento antecipado das Debêntures em razão do descumprimento do Reforço de Garantia, previsto na alínea “(</w:t>
      </w:r>
      <w:proofErr w:type="spellStart"/>
      <w:r w:rsidR="00B37C39">
        <w:rPr>
          <w:rFonts w:ascii="Verdana" w:hAnsi="Verdana"/>
          <w:bCs/>
          <w:sz w:val="20"/>
          <w:szCs w:val="20"/>
          <w:lang w:val="pt-BR"/>
        </w:rPr>
        <w:t>ii</w:t>
      </w:r>
      <w:proofErr w:type="spellEnd"/>
      <w:r w:rsidR="00B37C39">
        <w:rPr>
          <w:rFonts w:ascii="Verdana" w:hAnsi="Verdana"/>
          <w:bCs/>
          <w:sz w:val="20"/>
          <w:szCs w:val="20"/>
          <w:lang w:val="pt-BR"/>
        </w:rPr>
        <w:t xml:space="preserve">)” da cláusula 5.6 do Contrato de Cessão Fiduciária, decorrente do descumprimento do Montante Mínimo de Duplicatas Virtuais cedidas fiduciariamente </w:t>
      </w:r>
      <w:r w:rsidR="00B37C39" w:rsidRPr="00265666">
        <w:rPr>
          <w:rFonts w:ascii="Verdana" w:hAnsi="Verdana"/>
          <w:bCs/>
          <w:sz w:val="20"/>
          <w:szCs w:val="20"/>
          <w:lang w:val="pt-BR"/>
        </w:rPr>
        <w:t>(“</w:t>
      </w:r>
      <w:r w:rsidR="00B37C39">
        <w:rPr>
          <w:rFonts w:ascii="Verdana" w:hAnsi="Verdana"/>
          <w:bCs/>
          <w:sz w:val="20"/>
          <w:szCs w:val="20"/>
          <w:lang w:val="pt-BR"/>
        </w:rPr>
        <w:t>Montante Mínimo</w:t>
      </w:r>
      <w:r w:rsidR="00B37C39" w:rsidRPr="00265666">
        <w:rPr>
          <w:rFonts w:ascii="Verdana" w:hAnsi="Verdana"/>
          <w:bCs/>
          <w:sz w:val="20"/>
          <w:szCs w:val="20"/>
          <w:lang w:val="pt-BR"/>
        </w:rPr>
        <w:t>”)</w:t>
      </w:r>
      <w:r w:rsidR="00B37C39">
        <w:rPr>
          <w:rFonts w:ascii="Verdana" w:hAnsi="Verdana"/>
          <w:bCs/>
          <w:sz w:val="20"/>
          <w:szCs w:val="20"/>
          <w:lang w:val="pt-BR"/>
        </w:rPr>
        <w:t xml:space="preserve"> </w:t>
      </w:r>
      <w:r w:rsidR="00B37C39" w:rsidRPr="006B3ECF">
        <w:rPr>
          <w:rFonts w:ascii="Verdana" w:hAnsi="Verdana"/>
          <w:bCs/>
          <w:sz w:val="20"/>
          <w:szCs w:val="20"/>
          <w:lang w:val="pt-BR"/>
        </w:rPr>
        <w:t>n</w:t>
      </w:r>
      <w:r w:rsidR="00B37C39">
        <w:rPr>
          <w:rFonts w:ascii="Verdana" w:hAnsi="Verdana"/>
          <w:bCs/>
          <w:sz w:val="20"/>
          <w:szCs w:val="20"/>
          <w:lang w:val="pt-BR"/>
        </w:rPr>
        <w:t xml:space="preserve">a data de verificação de </w:t>
      </w:r>
      <w:r w:rsidR="00B37C39">
        <w:rPr>
          <w:rFonts w:ascii="Verdana" w:hAnsi="Verdana"/>
          <w:sz w:val="20"/>
          <w:szCs w:val="20"/>
          <w:lang w:val="pt-BR"/>
        </w:rPr>
        <w:t>janeiro</w:t>
      </w:r>
      <w:r w:rsidR="00B37C39" w:rsidRPr="006B3ECF">
        <w:rPr>
          <w:rFonts w:ascii="Verdana" w:hAnsi="Verdana"/>
          <w:sz w:val="20"/>
          <w:szCs w:val="20"/>
          <w:lang w:val="pt-BR"/>
        </w:rPr>
        <w:t xml:space="preserve"> de 202</w:t>
      </w:r>
      <w:r w:rsidR="00B37C39">
        <w:rPr>
          <w:rFonts w:ascii="Verdana" w:hAnsi="Verdana"/>
          <w:sz w:val="20"/>
          <w:szCs w:val="20"/>
          <w:lang w:val="pt-BR"/>
        </w:rPr>
        <w:t>2;</w:t>
      </w:r>
    </w:p>
    <w:p w14:paraId="48D783AE" w14:textId="77777777" w:rsidR="00EF6AF3" w:rsidRDefault="00EF6AF3" w:rsidP="00363852">
      <w:pPr>
        <w:autoSpaceDE w:val="0"/>
        <w:autoSpaceDN w:val="0"/>
        <w:adjustRightInd w:val="0"/>
        <w:spacing w:after="0" w:line="300" w:lineRule="exact"/>
        <w:contextualSpacing/>
        <w:rPr>
          <w:rFonts w:ascii="Verdana" w:hAnsi="Verdana"/>
          <w:sz w:val="20"/>
          <w:szCs w:val="20"/>
          <w:lang w:val="pt-BR"/>
        </w:rPr>
      </w:pPr>
    </w:p>
    <w:p w14:paraId="4AD01998" w14:textId="681EC8DB" w:rsidR="00363852" w:rsidRDefault="00B37C39" w:rsidP="00363852">
      <w:pPr>
        <w:autoSpaceDE w:val="0"/>
        <w:autoSpaceDN w:val="0"/>
        <w:adjustRightInd w:val="0"/>
        <w:spacing w:after="0" w:line="300" w:lineRule="exact"/>
        <w:contextualSpacing/>
        <w:rPr>
          <w:rFonts w:ascii="Verdana" w:hAnsi="Verdana"/>
          <w:sz w:val="20"/>
          <w:szCs w:val="20"/>
          <w:lang w:val="pt-BR"/>
        </w:rPr>
      </w:pPr>
      <w:r>
        <w:rPr>
          <w:rFonts w:ascii="Verdana" w:hAnsi="Verdana"/>
          <w:sz w:val="20"/>
          <w:szCs w:val="20"/>
          <w:lang w:val="pt-BR"/>
        </w:rPr>
        <w:t>6.4</w:t>
      </w:r>
      <w:r>
        <w:rPr>
          <w:rFonts w:ascii="Verdana" w:hAnsi="Verdana"/>
          <w:sz w:val="20"/>
          <w:szCs w:val="20"/>
          <w:lang w:val="pt-BR"/>
        </w:rPr>
        <w:tab/>
      </w:r>
      <w:r w:rsidR="00363852" w:rsidRPr="00363852">
        <w:rPr>
          <w:rFonts w:ascii="Verdana" w:hAnsi="Verdana"/>
          <w:sz w:val="20"/>
          <w:szCs w:val="20"/>
          <w:lang w:val="pt-BR"/>
        </w:rPr>
        <w:t>Aprovar</w:t>
      </w:r>
      <w:r w:rsidR="00363852">
        <w:rPr>
          <w:rFonts w:ascii="Verdana" w:hAnsi="Verdana"/>
          <w:sz w:val="20"/>
          <w:szCs w:val="20"/>
          <w:lang w:val="pt-BR"/>
        </w:rPr>
        <w:t xml:space="preserve"> a au</w:t>
      </w:r>
      <w:r w:rsidR="00363852" w:rsidRPr="00363852">
        <w:rPr>
          <w:rFonts w:ascii="Verdana" w:hAnsi="Verdana"/>
          <w:sz w:val="20"/>
          <w:szCs w:val="20"/>
          <w:lang w:val="pt-BR"/>
        </w:rPr>
        <w:t>torização à Emissora</w:t>
      </w:r>
      <w:r w:rsidR="00363852">
        <w:rPr>
          <w:rFonts w:ascii="Verdana" w:hAnsi="Verdana"/>
          <w:sz w:val="20"/>
          <w:szCs w:val="20"/>
          <w:lang w:val="pt-BR"/>
        </w:rPr>
        <w:t xml:space="preserve"> e a</w:t>
      </w:r>
      <w:r w:rsidR="00363852" w:rsidRPr="00363852">
        <w:rPr>
          <w:rFonts w:ascii="Verdana" w:hAnsi="Verdana"/>
          <w:sz w:val="20"/>
          <w:szCs w:val="20"/>
          <w:lang w:val="pt-BR"/>
        </w:rPr>
        <w:t>o Agente Fiduciário a procederem com todos os atos necessários para refletir os itens deliberados na presente assembleia nos documentos da operação.</w:t>
      </w:r>
    </w:p>
    <w:p w14:paraId="4E64F254" w14:textId="7A49A32B" w:rsidR="00363852" w:rsidRDefault="00363852" w:rsidP="00363852">
      <w:pPr>
        <w:autoSpaceDE w:val="0"/>
        <w:autoSpaceDN w:val="0"/>
        <w:adjustRightInd w:val="0"/>
        <w:spacing w:line="300" w:lineRule="exact"/>
        <w:rPr>
          <w:rFonts w:ascii="Verdana" w:hAnsi="Verdana"/>
          <w:sz w:val="20"/>
          <w:szCs w:val="20"/>
          <w:lang w:val="pt-BR"/>
        </w:rPr>
      </w:pPr>
      <w:r w:rsidRPr="00363852">
        <w:rPr>
          <w:rFonts w:ascii="Verdana" w:hAnsi="Verdana"/>
          <w:sz w:val="20"/>
          <w:szCs w:val="20"/>
          <w:lang w:val="pt-BR"/>
        </w:rPr>
        <w:lastRenderedPageBreak/>
        <w:t xml:space="preserve">Em decorrência da aprovação dos itens acima, os Debenturistas condicionam a referida aprovação </w:t>
      </w:r>
      <w:r>
        <w:rPr>
          <w:rFonts w:ascii="Verdana" w:hAnsi="Verdana"/>
          <w:sz w:val="20"/>
          <w:szCs w:val="20"/>
          <w:lang w:val="pt-BR"/>
        </w:rPr>
        <w:t>à:</w:t>
      </w:r>
    </w:p>
    <w:p w14:paraId="76059DE2" w14:textId="77777777" w:rsidR="000B0F81" w:rsidRPr="00363852" w:rsidRDefault="000B0F81" w:rsidP="00363852">
      <w:pPr>
        <w:autoSpaceDE w:val="0"/>
        <w:autoSpaceDN w:val="0"/>
        <w:adjustRightInd w:val="0"/>
        <w:spacing w:line="300" w:lineRule="exact"/>
        <w:rPr>
          <w:rFonts w:ascii="Verdana" w:hAnsi="Verdana"/>
          <w:sz w:val="20"/>
          <w:szCs w:val="20"/>
          <w:lang w:val="pt-BR"/>
        </w:rPr>
      </w:pPr>
    </w:p>
    <w:p w14:paraId="11B1685F" w14:textId="08E877BF" w:rsidR="00363852" w:rsidRPr="00363852" w:rsidRDefault="00363852" w:rsidP="000B0F81">
      <w:pPr>
        <w:pStyle w:val="PargrafodaLista"/>
        <w:numPr>
          <w:ilvl w:val="0"/>
          <w:numId w:val="34"/>
        </w:numPr>
        <w:suppressAutoHyphens/>
        <w:autoSpaceDE w:val="0"/>
        <w:autoSpaceDN w:val="0"/>
        <w:adjustRightInd w:val="0"/>
        <w:spacing w:after="0" w:line="360" w:lineRule="auto"/>
        <w:contextualSpacing/>
        <w:rPr>
          <w:rFonts w:ascii="Verdana" w:hAnsi="Verdana"/>
          <w:sz w:val="20"/>
          <w:szCs w:val="20"/>
          <w:lang w:val="pt-BR"/>
        </w:rPr>
      </w:pPr>
      <w:r>
        <w:rPr>
          <w:rFonts w:ascii="Verdana" w:hAnsi="Verdana"/>
          <w:sz w:val="20"/>
          <w:szCs w:val="20"/>
          <w:lang w:val="pt-BR"/>
        </w:rPr>
        <w:t>Formalização</w:t>
      </w:r>
      <w:r w:rsidRPr="00363852">
        <w:rPr>
          <w:rFonts w:ascii="Verdana" w:hAnsi="Verdana"/>
          <w:sz w:val="20"/>
          <w:szCs w:val="20"/>
          <w:lang w:val="pt-BR"/>
        </w:rPr>
        <w:t xml:space="preserve"> do aditamento à Escritura de Emissão para refletir as alterações previstas nesta ata, bem como registro na Junta Comercial competente e demais formalidades que sejam necessárias, os quais deverão ser apresentados ao Agente Fiduciário no prazo de </w:t>
      </w:r>
      <w:r w:rsidR="000B0F81">
        <w:rPr>
          <w:rFonts w:ascii="Verdana" w:hAnsi="Verdana"/>
          <w:sz w:val="20"/>
          <w:szCs w:val="20"/>
          <w:lang w:val="pt-BR"/>
        </w:rPr>
        <w:t>2</w:t>
      </w:r>
      <w:r w:rsidRPr="00363852">
        <w:rPr>
          <w:rFonts w:ascii="Verdana" w:hAnsi="Verdana"/>
          <w:sz w:val="20"/>
          <w:szCs w:val="20"/>
          <w:lang w:val="pt-BR"/>
        </w:rPr>
        <w:t>0 (</w:t>
      </w:r>
      <w:r w:rsidR="000B0F81">
        <w:rPr>
          <w:rFonts w:ascii="Verdana" w:hAnsi="Verdana"/>
          <w:sz w:val="20"/>
          <w:szCs w:val="20"/>
          <w:lang w:val="pt-BR"/>
        </w:rPr>
        <w:t>vinte</w:t>
      </w:r>
      <w:r w:rsidRPr="00363852">
        <w:rPr>
          <w:rFonts w:ascii="Verdana" w:hAnsi="Verdana"/>
          <w:sz w:val="20"/>
          <w:szCs w:val="20"/>
          <w:lang w:val="pt-BR"/>
        </w:rPr>
        <w:t>) dias contados desta data; e</w:t>
      </w:r>
    </w:p>
    <w:p w14:paraId="681E06E0" w14:textId="77777777" w:rsidR="00363852" w:rsidRPr="00363852" w:rsidRDefault="00363852" w:rsidP="00363852">
      <w:pPr>
        <w:pStyle w:val="PargrafodaLista"/>
        <w:ind w:left="1080"/>
        <w:rPr>
          <w:rFonts w:ascii="Verdana" w:hAnsi="Verdana"/>
          <w:sz w:val="20"/>
          <w:szCs w:val="20"/>
          <w:lang w:val="pt-BR"/>
        </w:rPr>
      </w:pPr>
    </w:p>
    <w:p w14:paraId="5623C743" w14:textId="3B87CA8A" w:rsidR="00363852" w:rsidRPr="000B0F81" w:rsidRDefault="000B0F81" w:rsidP="00ED295B">
      <w:pPr>
        <w:pStyle w:val="PargrafodaLista"/>
        <w:numPr>
          <w:ilvl w:val="0"/>
          <w:numId w:val="34"/>
        </w:numPr>
        <w:suppressAutoHyphens/>
        <w:autoSpaceDE w:val="0"/>
        <w:autoSpaceDN w:val="0"/>
        <w:adjustRightInd w:val="0"/>
        <w:spacing w:after="0" w:line="360" w:lineRule="auto"/>
        <w:contextualSpacing/>
        <w:jc w:val="left"/>
        <w:rPr>
          <w:rFonts w:ascii="Verdana" w:hAnsi="Verdana"/>
          <w:sz w:val="20"/>
          <w:szCs w:val="20"/>
          <w:lang w:val="pt-BR"/>
        </w:rPr>
      </w:pPr>
      <w:r w:rsidRPr="000B0F81">
        <w:rPr>
          <w:rFonts w:ascii="Verdana" w:hAnsi="Verdana"/>
          <w:sz w:val="20"/>
          <w:szCs w:val="20"/>
          <w:lang w:val="pt-BR"/>
        </w:rPr>
        <w:t>F</w:t>
      </w:r>
      <w:r w:rsidR="00363852" w:rsidRPr="000B0F81">
        <w:rPr>
          <w:rFonts w:ascii="Verdana" w:hAnsi="Verdana"/>
          <w:sz w:val="20"/>
          <w:szCs w:val="20"/>
          <w:lang w:val="pt-BR"/>
        </w:rPr>
        <w:t xml:space="preserve">ormalização do aditamento ao Contrato de Cessão Fiduciária (conforme definido na Escritura de Emissão) para refletir as alterações previstas nesta ata, bem como registro nos cartórios de registro de títulos e documentos competentes e demais formalidades que sejam necessárias, os quais deverão ser apresentados ao Agente Fiduciário no prazo de </w:t>
      </w:r>
      <w:r w:rsidRPr="000B0F81">
        <w:rPr>
          <w:rFonts w:ascii="Verdana" w:hAnsi="Verdana"/>
          <w:sz w:val="20"/>
          <w:szCs w:val="20"/>
          <w:lang w:val="pt-BR"/>
        </w:rPr>
        <w:t>2</w:t>
      </w:r>
      <w:r w:rsidR="00363852" w:rsidRPr="000B0F81">
        <w:rPr>
          <w:rFonts w:ascii="Verdana" w:hAnsi="Verdana"/>
          <w:sz w:val="20"/>
          <w:szCs w:val="20"/>
          <w:lang w:val="pt-BR"/>
        </w:rPr>
        <w:t>0 (</w:t>
      </w:r>
      <w:r w:rsidRPr="000B0F81">
        <w:rPr>
          <w:rFonts w:ascii="Verdana" w:hAnsi="Verdana"/>
          <w:sz w:val="20"/>
          <w:szCs w:val="20"/>
          <w:lang w:val="pt-BR"/>
        </w:rPr>
        <w:t>vinte</w:t>
      </w:r>
      <w:r w:rsidR="00363852" w:rsidRPr="000B0F81">
        <w:rPr>
          <w:rFonts w:ascii="Verdana" w:hAnsi="Verdana"/>
          <w:sz w:val="20"/>
          <w:szCs w:val="20"/>
          <w:lang w:val="pt-BR"/>
        </w:rPr>
        <w:t>) dias contados desta data</w:t>
      </w:r>
      <w:r w:rsidRPr="000B0F81">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w:t>
      </w:r>
      <w:r w:rsidR="006B5AAD" w:rsidRPr="006B5AAD">
        <w:rPr>
          <w:rFonts w:ascii="Verdana" w:hAnsi="Verdana"/>
          <w:sz w:val="20"/>
          <w:szCs w:val="20"/>
          <w:lang w:val="pt-BR"/>
        </w:rPr>
        <w:lastRenderedPageBreak/>
        <w:t>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08E50470"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B37C39">
        <w:rPr>
          <w:rFonts w:ascii="Verdana" w:hAnsi="Verdana"/>
          <w:sz w:val="20"/>
          <w:szCs w:val="20"/>
          <w:lang w:val="pt-BR"/>
        </w:rPr>
        <w:t>21</w:t>
      </w:r>
      <w:r w:rsidR="00FB4F53">
        <w:rPr>
          <w:rFonts w:ascii="Verdana" w:hAnsi="Verdana"/>
          <w:sz w:val="20"/>
          <w:szCs w:val="20"/>
          <w:lang w:val="pt-BR"/>
        </w:rPr>
        <w:t xml:space="preserve"> de </w:t>
      </w:r>
      <w:r w:rsidR="00B37C39">
        <w:rPr>
          <w:rFonts w:ascii="Verdana" w:hAnsi="Verdana"/>
          <w:sz w:val="20"/>
          <w:szCs w:val="20"/>
          <w:lang w:val="pt-BR"/>
        </w:rPr>
        <w:t>janeiro</w:t>
      </w:r>
      <w:r w:rsidR="00265666">
        <w:rPr>
          <w:rFonts w:ascii="Verdana" w:hAnsi="Verdana"/>
          <w:sz w:val="20"/>
          <w:szCs w:val="20"/>
          <w:lang w:val="pt-BR"/>
        </w:rPr>
        <w:t xml:space="preserve"> de 202</w:t>
      </w:r>
      <w:r w:rsidR="00B37C39">
        <w:rPr>
          <w:rFonts w:ascii="Verdana" w:hAnsi="Verdana"/>
          <w:sz w:val="20"/>
          <w:szCs w:val="20"/>
          <w:lang w:val="pt-BR"/>
        </w:rPr>
        <w:t>2</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5F153923" w:rsidR="00CB04A4" w:rsidRPr="00A945CB" w:rsidRDefault="00B37C39"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215969CA" w:rsidR="00CB04A4" w:rsidRPr="000B30F8" w:rsidRDefault="00B37C39"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2E6C4E4F"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 xml:space="preserve">CPF: </w:t>
            </w:r>
            <w:r w:rsidR="00B37C39">
              <w:rPr>
                <w:rFonts w:ascii="Verdana" w:hAnsi="Verdana" w:cstheme="minorHAnsi"/>
                <w:sz w:val="20"/>
                <w:szCs w:val="20"/>
              </w:rPr>
              <w:t>[.]</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164E7DB1"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sidR="00B37C39">
              <w:rPr>
                <w:rFonts w:ascii="Verdana" w:hAnsi="Verdana" w:cs="Segoe UI"/>
                <w:color w:val="242424"/>
                <w:sz w:val="20"/>
                <w:szCs w:val="20"/>
                <w:shd w:val="clear" w:color="auto" w:fill="FFFFFF"/>
              </w:rPr>
              <w:t>[.]</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91BCCD8"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B37C39">
        <w:rPr>
          <w:rFonts w:ascii="Verdana" w:eastAsia="SimSun" w:hAnsi="Verdana"/>
          <w:b/>
          <w:bCs/>
          <w:i/>
          <w:sz w:val="20"/>
          <w:szCs w:val="20"/>
          <w:lang w:val="pt-BR"/>
        </w:rPr>
        <w:t>21</w:t>
      </w:r>
      <w:r w:rsidR="00906D96">
        <w:rPr>
          <w:rFonts w:ascii="Verdana" w:eastAsia="SimSun" w:hAnsi="Verdana"/>
          <w:b/>
          <w:bCs/>
          <w:i/>
          <w:sz w:val="20"/>
          <w:szCs w:val="20"/>
          <w:lang w:val="pt-BR"/>
        </w:rPr>
        <w:t xml:space="preserve"> DE </w:t>
      </w:r>
      <w:r w:rsidR="00B37C39">
        <w:rPr>
          <w:rFonts w:ascii="Verdana" w:eastAsia="SimSun" w:hAnsi="Verdana"/>
          <w:b/>
          <w:bCs/>
          <w:i/>
          <w:sz w:val="20"/>
          <w:szCs w:val="20"/>
          <w:lang w:val="pt-BR"/>
        </w:rPr>
        <w:t>JANEIRO</w:t>
      </w:r>
      <w:r w:rsidR="0038016A"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77777777"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2FEF6AF7" w14:textId="0503E778"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53CB790A"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Alvin</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D7CD9B4" w14:textId="77777777" w:rsidR="00B37C39" w:rsidRDefault="00F053C1"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6CB8B86A" w14:textId="29B8A3F6"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0" w:type="auto"/>
              <w:jc w:val="center"/>
              <w:tblLook w:val="04A0" w:firstRow="1" w:lastRow="0" w:firstColumn="1" w:lastColumn="0" w:noHBand="0" w:noVBand="1"/>
            </w:tblPr>
            <w:tblGrid>
              <w:gridCol w:w="4368"/>
            </w:tblGrid>
            <w:tr w:rsidR="00D51A51" w:rsidRPr="00A945CB" w14:paraId="3A54FCF8" w14:textId="77777777" w:rsidTr="002D3D59">
              <w:trPr>
                <w:jc w:val="center"/>
              </w:trPr>
              <w:tc>
                <w:tcPr>
                  <w:tcW w:w="4584" w:type="dxa"/>
                </w:tcPr>
                <w:p w14:paraId="344E490B" w14:textId="6826B90B" w:rsidR="00D51A51" w:rsidRPr="00A945CB" w:rsidRDefault="00B37C39"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D51A51" w:rsidRPr="00A945CB" w14:paraId="75EFE860" w14:textId="77777777" w:rsidTr="002D3D59">
              <w:trPr>
                <w:jc w:val="center"/>
              </w:trPr>
              <w:tc>
                <w:tcPr>
                  <w:tcW w:w="4584" w:type="dxa"/>
                </w:tcPr>
                <w:p w14:paraId="697984FE" w14:textId="04B0A625"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sidR="00B37C39">
                    <w:rPr>
                      <w:rFonts w:ascii="Verdana" w:hAnsi="Verdana" w:cstheme="minorHAnsi"/>
                      <w:sz w:val="20"/>
                      <w:szCs w:val="20"/>
                    </w:rPr>
                    <w:t>[.]</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CCE16BB" w14:textId="77777777"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0B85367F" w14:textId="594ABDA1"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4584"/>
      </w:tblGrid>
      <w:tr w:rsidR="008C10FD" w:rsidRPr="0016610F" w14:paraId="3393B75A" w14:textId="77777777" w:rsidTr="002D3D59">
        <w:trPr>
          <w:jc w:val="center"/>
        </w:trPr>
        <w:tc>
          <w:tcPr>
            <w:tcW w:w="4584" w:type="dxa"/>
          </w:tcPr>
          <w:tbl>
            <w:tblPr>
              <w:tblW w:w="0" w:type="auto"/>
              <w:jc w:val="center"/>
              <w:tblLook w:val="04A0" w:firstRow="1" w:lastRow="0" w:firstColumn="1" w:lastColumn="0" w:noHBand="0" w:noVBand="1"/>
            </w:tblPr>
            <w:tblGrid>
              <w:gridCol w:w="4368"/>
            </w:tblGrid>
            <w:tr w:rsidR="008C10FD" w:rsidRPr="00A945CB" w14:paraId="0056581A" w14:textId="77777777" w:rsidTr="002D3D59">
              <w:trPr>
                <w:jc w:val="center"/>
              </w:trPr>
              <w:tc>
                <w:tcPr>
                  <w:tcW w:w="4584" w:type="dxa"/>
                </w:tcPr>
                <w:p w14:paraId="78EB923E" w14:textId="07E28EDE"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5101FF" w14:textId="77777777" w:rsidTr="002D3D59">
              <w:trPr>
                <w:jc w:val="center"/>
              </w:trPr>
              <w:tc>
                <w:tcPr>
                  <w:tcW w:w="4584" w:type="dxa"/>
                </w:tcPr>
                <w:p w14:paraId="0B7E8F6D" w14:textId="198FA1AF"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tbl>
      <w:tblPr>
        <w:tblW w:w="0" w:type="auto"/>
        <w:jc w:val="center"/>
        <w:tblLook w:val="04A0" w:firstRow="1" w:lastRow="0" w:firstColumn="1" w:lastColumn="0" w:noHBand="0" w:noVBand="1"/>
      </w:tblPr>
      <w:tblGrid>
        <w:gridCol w:w="4584"/>
      </w:tblGrid>
      <w:tr w:rsidR="008C10FD" w:rsidRPr="00A945CB" w14:paraId="75B34F84" w14:textId="77777777" w:rsidTr="002D3D59">
        <w:trPr>
          <w:jc w:val="center"/>
        </w:trPr>
        <w:tc>
          <w:tcPr>
            <w:tcW w:w="4584" w:type="dxa"/>
          </w:tcPr>
          <w:p w14:paraId="2AED8926" w14:textId="56B1CA34"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0237B25" w14:textId="77777777" w:rsidTr="002D3D59">
        <w:trPr>
          <w:jc w:val="center"/>
        </w:trPr>
        <w:tc>
          <w:tcPr>
            <w:tcW w:w="4584" w:type="dxa"/>
          </w:tcPr>
          <w:p w14:paraId="7AFE7D8D" w14:textId="7DA71F27"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0014FF42" w14:textId="2EE72E58"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0" w:type="auto"/>
        <w:jc w:val="center"/>
        <w:tblLook w:val="04A0" w:firstRow="1" w:lastRow="0" w:firstColumn="1" w:lastColumn="0" w:noHBand="0" w:noVBand="1"/>
      </w:tblPr>
      <w:tblGrid>
        <w:gridCol w:w="4584"/>
      </w:tblGrid>
      <w:tr w:rsidR="008C10FD" w:rsidRPr="00A945CB" w14:paraId="472833A2" w14:textId="77777777" w:rsidTr="002D3D59">
        <w:trPr>
          <w:jc w:val="center"/>
        </w:trPr>
        <w:tc>
          <w:tcPr>
            <w:tcW w:w="4584" w:type="dxa"/>
          </w:tcPr>
          <w:p w14:paraId="3C37E3BA" w14:textId="1A41B7A1"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4ADD9E" w14:textId="77777777" w:rsidTr="002D3D59">
        <w:trPr>
          <w:jc w:val="center"/>
        </w:trPr>
        <w:tc>
          <w:tcPr>
            <w:tcW w:w="4584" w:type="dxa"/>
          </w:tcPr>
          <w:p w14:paraId="6C519841" w14:textId="662E52DC"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77777777" w:rsidR="00B37C39" w:rsidRDefault="008C10FD"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5E1A9C9A" w14:textId="766B8E51"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0024AE60"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tbl>
      <w:tblPr>
        <w:tblW w:w="0" w:type="auto"/>
        <w:jc w:val="center"/>
        <w:tblLook w:val="04A0" w:firstRow="1" w:lastRow="0" w:firstColumn="1" w:lastColumn="0" w:noHBand="0" w:noVBand="1"/>
      </w:tblPr>
      <w:tblGrid>
        <w:gridCol w:w="4584"/>
      </w:tblGrid>
      <w:tr w:rsidR="008C10FD" w:rsidRPr="00A945CB" w14:paraId="451E6782" w14:textId="77777777" w:rsidTr="002D3D59">
        <w:trPr>
          <w:jc w:val="center"/>
        </w:trPr>
        <w:tc>
          <w:tcPr>
            <w:tcW w:w="4584" w:type="dxa"/>
          </w:tcPr>
          <w:p w14:paraId="7AA91F30" w14:textId="0F631B73"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5386D023" w14:textId="77777777" w:rsidTr="002D3D59">
        <w:trPr>
          <w:jc w:val="center"/>
        </w:trPr>
        <w:tc>
          <w:tcPr>
            <w:tcW w:w="4584" w:type="dxa"/>
          </w:tcPr>
          <w:p w14:paraId="3A75C802" w14:textId="6820BD0D"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7777777"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4B01975B" w:rsidR="0016610F" w:rsidRPr="000B30F8" w:rsidRDefault="0016610F" w:rsidP="0016610F">
            <w:pPr>
              <w:tabs>
                <w:tab w:val="left" w:pos="0"/>
              </w:tabs>
              <w:suppressAutoHyphens/>
              <w:spacing w:after="0" w:line="360" w:lineRule="auto"/>
              <w:jc w:val="center"/>
              <w:rPr>
                <w:rFonts w:ascii="Verdana" w:hAnsi="Verdana"/>
                <w:bCs/>
                <w:sz w:val="20"/>
                <w:szCs w:val="20"/>
                <w:lang w:val="pt-BR"/>
              </w:rPr>
            </w:pPr>
          </w:p>
        </w:tc>
        <w:tc>
          <w:tcPr>
            <w:tcW w:w="4585" w:type="dxa"/>
          </w:tcPr>
          <w:p w14:paraId="1A2683F4" w14:textId="1A2DA4AE" w:rsidR="0016610F" w:rsidRDefault="0016610F" w:rsidP="0016610F">
            <w:pPr>
              <w:tabs>
                <w:tab w:val="left" w:pos="0"/>
              </w:tabs>
              <w:suppressAutoHyphens/>
              <w:spacing w:after="0" w:line="360" w:lineRule="auto"/>
              <w:jc w:val="center"/>
              <w:rPr>
                <w:rFonts w:ascii="Verdana" w:eastAsia="MS Mincho" w:hAnsi="Verdana"/>
                <w:bCs/>
                <w:sz w:val="20"/>
                <w:szCs w:val="20"/>
                <w:lang w:val="pt-BR" w:eastAsia="pt-BR"/>
              </w:rPr>
            </w:pPr>
          </w:p>
        </w:tc>
      </w:tr>
      <w:tr w:rsidR="0016610F" w:rsidRPr="00574BB9" w14:paraId="58CBBF48" w14:textId="52A0ED53" w:rsidTr="0016610F">
        <w:tc>
          <w:tcPr>
            <w:tcW w:w="4585" w:type="dxa"/>
          </w:tcPr>
          <w:p w14:paraId="38921F69" w14:textId="17184CA9" w:rsidR="0016610F" w:rsidRPr="00574BB9" w:rsidRDefault="0016610F" w:rsidP="0016610F">
            <w:pPr>
              <w:tabs>
                <w:tab w:val="left" w:pos="0"/>
              </w:tabs>
              <w:suppressAutoHyphens/>
              <w:spacing w:after="0" w:line="360" w:lineRule="auto"/>
              <w:jc w:val="center"/>
              <w:rPr>
                <w:rFonts w:ascii="Verdana" w:hAnsi="Verdana"/>
                <w:sz w:val="20"/>
                <w:szCs w:val="20"/>
                <w:lang w:val="pt-BR"/>
              </w:rPr>
            </w:pPr>
          </w:p>
        </w:tc>
        <w:tc>
          <w:tcPr>
            <w:tcW w:w="4585" w:type="dxa"/>
          </w:tcPr>
          <w:p w14:paraId="02BD6026" w14:textId="64136A1F" w:rsidR="0016610F" w:rsidRPr="00574BB9" w:rsidRDefault="0016610F" w:rsidP="0016610F">
            <w:pPr>
              <w:tabs>
                <w:tab w:val="left" w:pos="0"/>
              </w:tabs>
              <w:suppressAutoHyphens/>
              <w:spacing w:after="0" w:line="360" w:lineRule="auto"/>
              <w:jc w:val="center"/>
              <w:rPr>
                <w:rFonts w:ascii="Verdana" w:hAnsi="Verdana" w:cs="Segoe UI"/>
                <w:color w:val="242424"/>
                <w:sz w:val="20"/>
                <w:szCs w:val="20"/>
                <w:shd w:val="clear" w:color="auto" w:fill="FFFFFF"/>
              </w:rPr>
            </w:pP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16836C2" w14:textId="77777777" w:rsidR="00B37C39" w:rsidRDefault="00546C7C"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B37C39">
        <w:rPr>
          <w:rFonts w:ascii="Verdana" w:eastAsia="SimSun" w:hAnsi="Verdana"/>
          <w:b/>
          <w:bCs/>
          <w:i/>
          <w:sz w:val="20"/>
          <w:szCs w:val="20"/>
          <w:lang w:val="pt-BR"/>
        </w:rPr>
        <w:t>21 DE JANEIRO</w:t>
      </w:r>
      <w:r w:rsidR="00B37C39"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43920990" w14:textId="77777777" w:rsidR="00B37C39"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0B30F8" w14:paraId="05F308FB" w14:textId="77777777" w:rsidTr="002D3D59">
        <w:trPr>
          <w:jc w:val="center"/>
        </w:trPr>
        <w:tc>
          <w:tcPr>
            <w:tcW w:w="4585" w:type="dxa"/>
          </w:tcPr>
          <w:p w14:paraId="5BE1F14D" w14:textId="57DB08F8" w:rsidR="0016610F" w:rsidRPr="000B30F8" w:rsidRDefault="0016610F" w:rsidP="002D3D59">
            <w:pPr>
              <w:tabs>
                <w:tab w:val="left" w:pos="0"/>
              </w:tabs>
              <w:suppressAutoHyphens/>
              <w:spacing w:after="0" w:line="360" w:lineRule="auto"/>
              <w:jc w:val="center"/>
              <w:rPr>
                <w:rFonts w:ascii="Verdana" w:hAnsi="Verdana"/>
                <w:bCs/>
                <w:sz w:val="20"/>
                <w:szCs w:val="20"/>
                <w:lang w:val="pt-BR"/>
              </w:rPr>
            </w:pPr>
          </w:p>
        </w:tc>
      </w:tr>
      <w:tr w:rsidR="0016610F" w:rsidRPr="00574BB9" w14:paraId="2BFE441C" w14:textId="77777777" w:rsidTr="002D3D59">
        <w:trPr>
          <w:jc w:val="center"/>
        </w:trPr>
        <w:tc>
          <w:tcPr>
            <w:tcW w:w="4585" w:type="dxa"/>
          </w:tcPr>
          <w:p w14:paraId="044025FE" w14:textId="08F3E68B" w:rsidR="0016610F" w:rsidRPr="00574BB9" w:rsidRDefault="0016610F" w:rsidP="002D3D59">
            <w:pPr>
              <w:tabs>
                <w:tab w:val="left" w:pos="0"/>
              </w:tabs>
              <w:suppressAutoHyphens/>
              <w:spacing w:after="0" w:line="360" w:lineRule="auto"/>
              <w:jc w:val="center"/>
              <w:rPr>
                <w:rFonts w:ascii="Verdana" w:hAnsi="Verdana"/>
                <w:sz w:val="20"/>
                <w:szCs w:val="20"/>
                <w:lang w:val="pt-BR"/>
              </w:rPr>
            </w:pPr>
          </w:p>
        </w:tc>
      </w:tr>
    </w:tbl>
    <w:p w14:paraId="550D7979" w14:textId="77777777" w:rsidR="0016610F"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60673E">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827CB"/>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242A"/>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4EBE"/>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6041"/>
    <w:rsid w:val="005F7404"/>
    <w:rsid w:val="00600BDE"/>
    <w:rsid w:val="0060673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675C2"/>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37C39"/>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76581"/>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63645"/>
    <w:rsid w:val="00D813C2"/>
    <w:rsid w:val="00D8241B"/>
    <w:rsid w:val="00D92F6B"/>
    <w:rsid w:val="00D94A37"/>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EF6AF3"/>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2610</Words>
  <Characters>14100</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2</cp:revision>
  <cp:lastPrinted>2020-05-15T19:35:00Z</cp:lastPrinted>
  <dcterms:created xsi:type="dcterms:W3CDTF">2022-01-21T16:17:00Z</dcterms:created>
  <dcterms:modified xsi:type="dcterms:W3CDTF">2022-01-21T16:17:00Z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