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B1" w:rsidRPr="00A6023D" w:rsidRDefault="008B16A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sidRPr="00A6023D">
        <w:rPr>
          <w:rFonts w:cs="Tahoma"/>
          <w:b/>
          <w:color w:val="000000"/>
          <w:szCs w:val="22"/>
        </w:rPr>
        <w:t>TERCEIRO ADITAMENTO AO INSTRUMENTO PARTICULAR DE ESCRITURA DA PRIMEIRA EMISSÃO DE DEBÊNTURES SIMPLES, NÃO CONVERSÍVEIS EM AÇÕ</w:t>
      </w:r>
      <w:bookmarkStart w:id="0" w:name="_GoBack"/>
      <w:bookmarkEnd w:id="0"/>
      <w:r w:rsidRPr="00A6023D">
        <w:rPr>
          <w:rFonts w:cs="Tahoma"/>
          <w:b/>
          <w:color w:val="000000"/>
          <w:szCs w:val="22"/>
        </w:rPr>
        <w:t>ES, DA ESPÉCIE QUIROGRAFÁRIA, COM GARANTIA FIDEJUSSÓRIA ADICIONAL, EM 2 (DUAS) SÉRIES, PARA DISTRIBUIÇÃO PÚBLICA COM ESFORÇOS RESTRITOS DE DISTRIBUIÇÃO, DA MILANO COMÉRCIO VAREJISTA DE ALIMENTOS S.A.</w:t>
      </w:r>
    </w:p>
    <w:p w:rsidR="001C0FA4" w:rsidRPr="001C0FA4" w:rsidRDefault="001C0FA4" w:rsidP="001C0FA4">
      <w:pPr>
        <w:suppressAutoHyphens/>
        <w:spacing w:after="240" w:line="320" w:lineRule="exact"/>
        <w:rPr>
          <w:rFonts w:cs="Tahoma"/>
          <w:szCs w:val="22"/>
        </w:rPr>
      </w:pPr>
      <w:bookmarkStart w:id="1" w:name="_DV_M7"/>
      <w:bookmarkEnd w:id="1"/>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xml:space="preserve">, sociedade por ações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 xml:space="preserve">20 </w:t>
      </w:r>
      <w:r w:rsidR="006E6016">
        <w:rPr>
          <w:rFonts w:cs="Tahoma"/>
          <w:szCs w:val="22"/>
        </w:rPr>
        <w:t xml:space="preserve">e 23 </w:t>
      </w:r>
      <w:r w:rsidRPr="00A6023D">
        <w:rPr>
          <w:rFonts w:cs="Tahoma"/>
          <w:szCs w:val="22"/>
        </w:rPr>
        <w:t>de agosto de 2018</w:t>
      </w:r>
      <w:r w:rsidR="00210B49">
        <w:rPr>
          <w:rFonts w:cs="Tahoma"/>
          <w:szCs w:val="22"/>
        </w:rPr>
        <w:t xml:space="preserve"> </w:t>
      </w:r>
      <w:r w:rsidRPr="00A6023D">
        <w:rPr>
          <w:rFonts w:cs="Tahoma"/>
          <w:szCs w:val="22"/>
        </w:rPr>
        <w:t>(“</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bem como</w:t>
      </w:r>
      <w:r w:rsidR="006E6016" w:rsidRPr="00A6023D">
        <w:rPr>
          <w:rFonts w:cs="Tahoma"/>
          <w:spacing w:val="-2"/>
          <w:szCs w:val="22"/>
        </w:rPr>
        <w:t xml:space="preserve"> Assembleia Geral Extraordinária da Emissora</w:t>
      </w:r>
      <w:r w:rsidR="006E6016">
        <w:rPr>
          <w:rFonts w:cs="Tahoma"/>
          <w:spacing w:val="-2"/>
          <w:szCs w:val="22"/>
        </w:rPr>
        <w:t xml:space="preserve">, ambas </w:t>
      </w:r>
      <w:r w:rsidR="006E6016" w:rsidRPr="00A6023D">
        <w:rPr>
          <w:rFonts w:cs="Tahoma"/>
          <w:spacing w:val="-2"/>
          <w:szCs w:val="22"/>
        </w:rPr>
        <w:t>realizada</w:t>
      </w:r>
      <w:r w:rsidR="006E6016">
        <w:rPr>
          <w:rFonts w:cs="Tahoma"/>
          <w:spacing w:val="-2"/>
          <w:szCs w:val="22"/>
        </w:rPr>
        <w:t>s</w:t>
      </w:r>
      <w:r w:rsidR="006E6016" w:rsidRPr="00A6023D">
        <w:rPr>
          <w:rFonts w:cs="Tahoma"/>
          <w:spacing w:val="-2"/>
          <w:szCs w:val="22"/>
        </w:rPr>
        <w:t xml:space="preserve"> em 17 de abril de 2020 (“</w:t>
      </w:r>
      <w:r w:rsidR="006E6016" w:rsidRPr="00A6023D">
        <w:rPr>
          <w:rFonts w:cs="Tahoma"/>
          <w:spacing w:val="-2"/>
          <w:szCs w:val="22"/>
          <w:u w:val="single"/>
        </w:rPr>
        <w:t>AGE</w:t>
      </w:r>
      <w:r w:rsidR="006E6016" w:rsidRPr="00A6023D">
        <w:rPr>
          <w:rFonts w:cs="Tahoma"/>
          <w:spacing w:val="-2"/>
          <w:szCs w:val="22"/>
        </w:rPr>
        <w:t>” e, em conjunto com a AGD, “</w:t>
      </w:r>
      <w:r w:rsidR="006E6016" w:rsidRPr="00A6023D">
        <w:rPr>
          <w:rFonts w:cs="Tahoma"/>
          <w:spacing w:val="-2"/>
          <w:szCs w:val="22"/>
          <w:u w:val="single"/>
        </w:rPr>
        <w:t>Atos Societários</w:t>
      </w:r>
      <w:r w:rsidR="006E6016" w:rsidRPr="00A6023D">
        <w:rPr>
          <w:rFonts w:cs="Tahoma"/>
          <w:spacing w:val="-2"/>
          <w:szCs w:val="22"/>
        </w:rPr>
        <w:t>”)</w:t>
      </w:r>
      <w:r w:rsidRPr="00A6023D">
        <w:rPr>
          <w:rFonts w:cs="Tahoma"/>
          <w:bCs/>
          <w:szCs w:val="22"/>
        </w:rPr>
        <w:t>.</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Pr="00A6023D">
        <w:rPr>
          <w:rFonts w:cs="Tahoma"/>
          <w:i/>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2"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dos Atos Societários</w:t>
      </w:r>
      <w:r w:rsidR="006E6016">
        <w:rPr>
          <w:rFonts w:ascii="Tahoma" w:hAnsi="Tahoma" w:cs="Tahoma"/>
        </w:rPr>
        <w:t>.</w:t>
      </w:r>
    </w:p>
    <w:p w:rsidR="00DC6CC8" w:rsidRPr="00A6023D" w:rsidRDefault="006E6016"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Observado o disposto na Medida Provisória nº 931, de 30 de março de 2020</w:t>
      </w:r>
      <w:r>
        <w:rPr>
          <w:rFonts w:ascii="Tahoma" w:hAnsi="Tahoma" w:cs="Tahoma"/>
        </w:rPr>
        <w:t xml:space="preserve"> (“</w:t>
      </w:r>
      <w:r w:rsidRPr="0082217C">
        <w:rPr>
          <w:rFonts w:ascii="Tahoma" w:hAnsi="Tahoma" w:cs="Tahoma"/>
          <w:u w:val="single"/>
        </w:rPr>
        <w:t>MP nº 931</w:t>
      </w:r>
      <w:r>
        <w:rPr>
          <w:rFonts w:ascii="Tahoma" w:hAnsi="Tahoma" w:cs="Tahoma"/>
        </w:rPr>
        <w:t xml:space="preserve">”), a ata da AGE deverá ser registrada </w:t>
      </w:r>
      <w:r w:rsidR="00DC6CC8" w:rsidRPr="00A6023D">
        <w:rPr>
          <w:rFonts w:ascii="Tahoma" w:hAnsi="Tahoma" w:cs="Tahoma"/>
        </w:rPr>
        <w:t xml:space="preserve">na JUCESP e </w:t>
      </w:r>
      <w:r w:rsidRPr="00A6023D">
        <w:rPr>
          <w:rFonts w:ascii="Tahoma" w:hAnsi="Tahoma" w:cs="Tahoma"/>
        </w:rPr>
        <w:t>publicad</w:t>
      </w:r>
      <w:r>
        <w:rPr>
          <w:rFonts w:ascii="Tahoma" w:hAnsi="Tahoma" w:cs="Tahoma"/>
        </w:rPr>
        <w:t>a</w:t>
      </w:r>
      <w:r w:rsidRPr="00A6023D">
        <w:rPr>
          <w:rFonts w:ascii="Tahoma" w:hAnsi="Tahoma" w:cs="Tahoma"/>
        </w:rPr>
        <w:t xml:space="preserve"> </w:t>
      </w:r>
      <w:r w:rsidR="00DC6CC8" w:rsidRPr="00A6023D">
        <w:rPr>
          <w:rFonts w:ascii="Tahoma" w:hAnsi="Tahoma" w:cs="Tahoma"/>
        </w:rPr>
        <w:t xml:space="preserve">no Diário Oficial do Estado de São Paulo e no jornal “Diário de Notícias”, nos termos do artigo 62, inciso I e artigo 289 da Lei das Sociedades por Ações, sendo certo que a Emissora compromete-se a enviar ao Agente Fiduciário 1 (uma) cópia simples </w:t>
      </w:r>
      <w:r>
        <w:rPr>
          <w:rFonts w:ascii="Tahoma" w:hAnsi="Tahoma" w:cs="Tahoma"/>
        </w:rPr>
        <w:t>da ata da AGE</w:t>
      </w:r>
      <w:r w:rsidR="00DC6CC8" w:rsidRPr="00A6023D">
        <w:rPr>
          <w:rFonts w:ascii="Tahoma" w:hAnsi="Tahoma" w:cs="Tahoma"/>
        </w:rPr>
        <w:t>, devidamente registrad</w:t>
      </w:r>
      <w:r>
        <w:rPr>
          <w:rFonts w:ascii="Tahoma" w:hAnsi="Tahoma" w:cs="Tahoma"/>
        </w:rPr>
        <w:t>a</w:t>
      </w:r>
      <w:r w:rsidR="00A6023D" w:rsidRPr="00A6023D">
        <w:rPr>
          <w:rFonts w:ascii="Tahoma" w:hAnsi="Tahoma" w:cs="Tahoma"/>
        </w:rPr>
        <w:t xml:space="preserve"> </w:t>
      </w:r>
      <w:r w:rsidR="00DC6CC8" w:rsidRPr="00A6023D">
        <w:rPr>
          <w:rFonts w:ascii="Tahoma" w:hAnsi="Tahoma" w:cs="Tahoma"/>
        </w:rPr>
        <w:t>na JUCESP em até 5 (cinco) Dias Úteis contados da data de obtenção do referido registro.</w:t>
      </w:r>
      <w:bookmarkEnd w:id="2"/>
      <w:r w:rsidR="00DC6CC8"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3" w:name="_Ref522137597"/>
      <w:r w:rsidRPr="00A6023D">
        <w:rPr>
          <w:rFonts w:ascii="Tahoma" w:hAnsi="Tahoma" w:cs="Tahoma"/>
        </w:rPr>
        <w:lastRenderedPageBreak/>
        <w:t>Este Aditamento deverá ser protocolado para registro na JUCESP</w:t>
      </w:r>
      <w:r w:rsidR="00201AE6" w:rsidRPr="00201AE6">
        <w:rPr>
          <w:rFonts w:ascii="Tahoma" w:eastAsia="Times New Roman" w:hAnsi="Tahoma" w:cs="Tahoma"/>
          <w:szCs w:val="24"/>
        </w:rPr>
        <w:t xml:space="preserve"> </w:t>
      </w:r>
      <w:r w:rsidR="00201AE6" w:rsidRPr="00201AE6">
        <w:rPr>
          <w:rFonts w:ascii="Tahoma" w:hAnsi="Tahoma" w:cs="Tahoma"/>
        </w:rPr>
        <w:t xml:space="preserve">em até </w:t>
      </w:r>
      <w:r w:rsidR="00201AE6">
        <w:rPr>
          <w:rFonts w:ascii="Tahoma" w:hAnsi="Tahoma" w:cs="Tahoma"/>
        </w:rPr>
        <w:t>2</w:t>
      </w:r>
      <w:r w:rsidR="00201AE6" w:rsidRPr="00201AE6">
        <w:rPr>
          <w:rFonts w:ascii="Tahoma" w:hAnsi="Tahoma" w:cs="Tahoma"/>
        </w:rPr>
        <w:t xml:space="preserve"> (</w:t>
      </w:r>
      <w:r w:rsidR="00201AE6">
        <w:rPr>
          <w:rFonts w:ascii="Tahoma" w:hAnsi="Tahoma" w:cs="Tahoma"/>
        </w:rPr>
        <w:t>dois</w:t>
      </w:r>
      <w:r w:rsidR="00201AE6" w:rsidRPr="00201AE6">
        <w:rPr>
          <w:rFonts w:ascii="Tahoma" w:hAnsi="Tahoma" w:cs="Tahoma"/>
        </w:rPr>
        <w:t xml:space="preserve">) Dias Úteis contados da data </w:t>
      </w:r>
      <w:r w:rsidR="00201AE6">
        <w:rPr>
          <w:rFonts w:ascii="Tahoma" w:hAnsi="Tahoma" w:cs="Tahoma"/>
        </w:rPr>
        <w:t>de reabertura da JUCESP</w:t>
      </w:r>
      <w:r w:rsidRPr="00A6023D">
        <w:rPr>
          <w:rFonts w:ascii="Tahoma" w:hAnsi="Tahoma" w:cs="Tahoma"/>
        </w:rPr>
        <w:t>,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3"/>
      <w:r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Em virtude da Fiança, o presente Aditamento será protocolado para registro </w:t>
      </w:r>
      <w:r w:rsidR="00201AE6" w:rsidRPr="00A6023D">
        <w:rPr>
          <w:rFonts w:ascii="Tahoma" w:hAnsi="Tahoma" w:cs="Tahoma"/>
        </w:rPr>
        <w:t xml:space="preserve">no competente Cartório de Registro de Títulos e Documentos da </w:t>
      </w:r>
      <w:r w:rsidR="00201AE6">
        <w:rPr>
          <w:rFonts w:ascii="Tahoma" w:hAnsi="Tahoma" w:cs="Tahoma"/>
        </w:rPr>
        <w:t>C</w:t>
      </w:r>
      <w:r w:rsidR="00201AE6" w:rsidRPr="00A6023D">
        <w:rPr>
          <w:rFonts w:ascii="Tahoma" w:hAnsi="Tahoma" w:cs="Tahoma"/>
        </w:rPr>
        <w:t>idade de São Paulo, Estado de São Paulo (“</w:t>
      </w:r>
      <w:r w:rsidR="00201AE6" w:rsidRPr="00A6023D">
        <w:rPr>
          <w:rFonts w:ascii="Tahoma" w:hAnsi="Tahoma" w:cs="Tahoma"/>
          <w:u w:val="single"/>
        </w:rPr>
        <w:t>Cartório</w:t>
      </w:r>
      <w:r w:rsidR="00201AE6" w:rsidRPr="00A6023D">
        <w:rPr>
          <w:rFonts w:ascii="Tahoma" w:hAnsi="Tahoma" w:cs="Tahoma"/>
        </w:rPr>
        <w:t>”)</w:t>
      </w:r>
      <w:r w:rsidR="00201AE6">
        <w:rPr>
          <w:rFonts w:ascii="Tahoma" w:hAnsi="Tahoma" w:cs="Tahoma"/>
        </w:rPr>
        <w:t xml:space="preserve"> </w:t>
      </w:r>
      <w:r w:rsidRPr="00A6023D">
        <w:rPr>
          <w:rFonts w:ascii="Tahoma" w:hAnsi="Tahoma" w:cs="Tahoma"/>
        </w:rPr>
        <w:t>em até 5 (cinco) Dias Úteis contados da data de sua assinatura</w:t>
      </w:r>
      <w:r w:rsidR="00201AE6">
        <w:rPr>
          <w:rFonts w:ascii="Tahoma" w:hAnsi="Tahoma" w:cs="Tahoma"/>
        </w:rPr>
        <w:t>, ou em até 2 (dois) Dias Úteis contados da data de reabertura do Cartório, conforme aplicável</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DC6CC8" w:rsidRPr="00A6023D" w:rsidRDefault="00DC6CC8" w:rsidP="00A6023D">
      <w:pPr>
        <w:pStyle w:val="PargrafodaLista"/>
        <w:numPr>
          <w:ilvl w:val="2"/>
          <w:numId w:val="11"/>
        </w:numPr>
        <w:suppressAutoHyphens/>
        <w:spacing w:after="240" w:line="320" w:lineRule="exact"/>
        <w:ind w:left="0" w:firstLine="0"/>
        <w:jc w:val="both"/>
        <w:rPr>
          <w:rFonts w:ascii="Tahoma" w:hAnsi="Tahoma" w:cs="Tahoma"/>
        </w:rPr>
      </w:pPr>
      <w:r w:rsidRPr="00A6023D">
        <w:rPr>
          <w:rFonts w:ascii="Tahoma" w:hAnsi="Tahoma" w:cs="Tahoma"/>
        </w:rPr>
        <w:t>Alterar a</w:t>
      </w:r>
      <w:r w:rsidR="005A3CC9">
        <w:rPr>
          <w:rFonts w:ascii="Tahoma" w:hAnsi="Tahoma" w:cs="Tahoma"/>
        </w:rPr>
        <w:t>s</w:t>
      </w:r>
      <w:r w:rsidRPr="00A6023D">
        <w:rPr>
          <w:rFonts w:ascii="Tahoma" w:hAnsi="Tahoma" w:cs="Tahoma"/>
        </w:rPr>
        <w:t xml:space="preserve"> Cláusula</w:t>
      </w:r>
      <w:r w:rsidR="005A3CC9">
        <w:rPr>
          <w:rFonts w:ascii="Tahoma" w:hAnsi="Tahoma" w:cs="Tahoma"/>
        </w:rPr>
        <w:t>s</w:t>
      </w:r>
      <w:r w:rsidRPr="00A6023D">
        <w:rPr>
          <w:rFonts w:ascii="Tahoma" w:hAnsi="Tahoma" w:cs="Tahoma"/>
        </w:rPr>
        <w:t xml:space="preserve"> </w:t>
      </w:r>
      <w:r w:rsidR="005A3CC9">
        <w:rPr>
          <w:rFonts w:ascii="Tahoma" w:hAnsi="Tahoma" w:cs="Tahoma"/>
        </w:rPr>
        <w:t>4.4.1 e 4.4.1.1 d</w:t>
      </w:r>
      <w:r w:rsidRPr="00A6023D">
        <w:rPr>
          <w:rFonts w:ascii="Tahoma" w:hAnsi="Tahoma" w:cs="Tahoma"/>
        </w:rPr>
        <w:t>a Escritura</w:t>
      </w:r>
      <w:r w:rsidR="005A3CC9">
        <w:rPr>
          <w:rFonts w:ascii="Tahoma" w:hAnsi="Tahoma" w:cs="Tahoma"/>
        </w:rPr>
        <w:t xml:space="preserve"> de Emissão</w:t>
      </w:r>
      <w:r w:rsidRPr="00A6023D">
        <w:rPr>
          <w:rFonts w:ascii="Tahoma" w:hAnsi="Tahoma" w:cs="Tahoma"/>
        </w:rPr>
        <w:t xml:space="preserve">, </w:t>
      </w:r>
      <w:r w:rsidR="005A3CC9">
        <w:rPr>
          <w:rFonts w:ascii="Tahoma" w:hAnsi="Tahoma" w:cs="Tahoma"/>
        </w:rPr>
        <w:t>as quais passarão</w:t>
      </w:r>
      <w:r w:rsidRPr="00A6023D">
        <w:rPr>
          <w:rFonts w:ascii="Tahoma" w:hAnsi="Tahoma" w:cs="Tahoma"/>
        </w:rPr>
        <w:t xml:space="preserve"> a vigorar com a</w:t>
      </w:r>
      <w:r w:rsidR="005A3CC9">
        <w:rPr>
          <w:rFonts w:ascii="Tahoma" w:hAnsi="Tahoma" w:cs="Tahoma"/>
        </w:rPr>
        <w:t>s</w:t>
      </w:r>
      <w:r w:rsidRPr="00A6023D">
        <w:rPr>
          <w:rFonts w:ascii="Tahoma" w:hAnsi="Tahoma" w:cs="Tahoma"/>
        </w:rPr>
        <w:t xml:space="preserve"> seguinte</w:t>
      </w:r>
      <w:r w:rsidR="005A3CC9">
        <w:rPr>
          <w:rFonts w:ascii="Tahoma" w:hAnsi="Tahoma" w:cs="Tahoma"/>
        </w:rPr>
        <w:t>s</w:t>
      </w:r>
      <w:r w:rsidRPr="00A6023D">
        <w:rPr>
          <w:rFonts w:ascii="Tahoma" w:hAnsi="Tahoma" w:cs="Tahoma"/>
        </w:rPr>
        <w:t xml:space="preserve"> redaç</w:t>
      </w:r>
      <w:r w:rsidR="005A3CC9">
        <w:rPr>
          <w:rFonts w:ascii="Tahoma" w:hAnsi="Tahoma" w:cs="Tahoma"/>
        </w:rPr>
        <w:t>ões</w:t>
      </w:r>
      <w:r w:rsidRPr="00A6023D">
        <w:rPr>
          <w:rFonts w:ascii="Tahoma" w:hAnsi="Tahoma" w:cs="Tahoma"/>
        </w:rPr>
        <w:t xml:space="preserve">: </w:t>
      </w:r>
    </w:p>
    <w:p w:rsidR="005A3CC9" w:rsidRPr="005A3CC9" w:rsidRDefault="00DC6CC8" w:rsidP="005A3CC9">
      <w:pPr>
        <w:pStyle w:val="PargrafodaLista"/>
        <w:suppressAutoHyphens/>
        <w:spacing w:after="240" w:line="320" w:lineRule="exact"/>
        <w:rPr>
          <w:rFonts w:ascii="Tahoma" w:hAnsi="Tahoma" w:cs="Tahoma"/>
          <w:b/>
          <w:i/>
        </w:rPr>
      </w:pPr>
      <w:r w:rsidRPr="00A6023D">
        <w:rPr>
          <w:rFonts w:ascii="Tahoma" w:hAnsi="Tahoma" w:cs="Tahoma"/>
          <w:i/>
        </w:rPr>
        <w:t>“</w:t>
      </w:r>
      <w:r w:rsidR="005A3CC9">
        <w:rPr>
          <w:rFonts w:ascii="Tahoma" w:hAnsi="Tahoma" w:cs="Tahoma"/>
          <w:i/>
        </w:rPr>
        <w:t>4.4.</w:t>
      </w:r>
      <w:r w:rsidR="005A3CC9" w:rsidRPr="005A3CC9">
        <w:rPr>
          <w:rFonts w:ascii="Tahoma" w:hAnsi="Tahoma" w:cs="Tahoma"/>
          <w:i/>
        </w:rPr>
        <w:tab/>
      </w:r>
      <w:r w:rsidR="005A3CC9" w:rsidRPr="005A3CC9">
        <w:rPr>
          <w:rFonts w:ascii="Tahoma" w:hAnsi="Tahoma" w:cs="Tahoma"/>
          <w:b/>
          <w:i/>
        </w:rPr>
        <w:t>Remuneração</w:t>
      </w:r>
    </w:p>
    <w:p w:rsidR="005A3CC9" w:rsidRPr="005A3CC9" w:rsidRDefault="005A3CC9" w:rsidP="005A3CC9">
      <w:pPr>
        <w:pStyle w:val="PargrafodaLista"/>
        <w:suppressAutoHyphens/>
        <w:spacing w:after="240" w:line="320" w:lineRule="exact"/>
        <w:jc w:val="both"/>
        <w:rPr>
          <w:rFonts w:ascii="Tahoma" w:hAnsi="Tahoma" w:cs="Tahoma"/>
          <w:i/>
        </w:rPr>
      </w:pPr>
      <w:r>
        <w:rPr>
          <w:rFonts w:ascii="Tahoma" w:hAnsi="Tahoma" w:cs="Tahoma"/>
          <w:i/>
        </w:rPr>
        <w:t>4.4.1.</w:t>
      </w:r>
      <w:r w:rsidRPr="005A3CC9">
        <w:rPr>
          <w:rFonts w:ascii="Tahoma" w:hAnsi="Tahoma" w:cs="Tahoma"/>
          <w:i/>
        </w:rPr>
        <w:tab/>
      </w:r>
      <w:r w:rsidRPr="005A3CC9">
        <w:rPr>
          <w:rFonts w:ascii="Tahoma" w:hAnsi="Tahoma" w:cs="Tahoma"/>
          <w:b/>
          <w:i/>
        </w:rPr>
        <w:t>Remuneração das Debêntures</w:t>
      </w:r>
      <w:r w:rsidRPr="005A3CC9">
        <w:rPr>
          <w:rFonts w:ascii="Tahoma" w:hAnsi="Tahoma" w:cs="Tahoma"/>
          <w:i/>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Pr="005A3CC9">
        <w:rPr>
          <w:rFonts w:ascii="Tahoma" w:hAnsi="Tahoma" w:cs="Tahoma"/>
          <w:i/>
        </w:rPr>
        <w:t>extra-grupo</w:t>
      </w:r>
      <w:proofErr w:type="spellEnd"/>
      <w:r w:rsidRPr="005A3CC9">
        <w:rPr>
          <w:rFonts w:ascii="Tahoma" w:hAnsi="Tahoma" w:cs="Tahoma"/>
          <w:i/>
        </w:rPr>
        <w:t>”, expressa na forma percentual ao ano, base 252 (duzentos e cinquenta e dois) Dias Úteis, calculada e divulgada diariamente pela B3 no informativo diário disponível em sua página da Internet (http://www.cetip.com.br) (“</w:t>
      </w:r>
      <w:r w:rsidRPr="005A3CC9">
        <w:rPr>
          <w:rFonts w:ascii="Tahoma" w:hAnsi="Tahoma" w:cs="Tahoma"/>
          <w:i/>
          <w:u w:val="single"/>
        </w:rPr>
        <w:t>Taxa DI</w:t>
      </w:r>
      <w:r w:rsidRPr="005A3CC9">
        <w:rPr>
          <w:rFonts w:ascii="Tahoma" w:hAnsi="Tahoma" w:cs="Tahoma"/>
          <w:i/>
        </w:rPr>
        <w:t xml:space="preserve">”), acrescida de sobretaxa de </w:t>
      </w:r>
      <w:r w:rsidRPr="005A3CC9">
        <w:rPr>
          <w:rFonts w:ascii="Tahoma" w:hAnsi="Tahoma" w:cs="Tahoma"/>
          <w:b/>
          <w:i/>
        </w:rPr>
        <w:t>(i)</w:t>
      </w:r>
      <w:r>
        <w:rPr>
          <w:rFonts w:ascii="Tahoma" w:hAnsi="Tahoma" w:cs="Tahoma"/>
          <w:i/>
        </w:rPr>
        <w:t xml:space="preserve"> </w:t>
      </w:r>
      <w:r w:rsidRPr="005A3CC9">
        <w:rPr>
          <w:rFonts w:ascii="Tahoma" w:hAnsi="Tahoma" w:cs="Tahoma"/>
          <w:i/>
        </w:rPr>
        <w:t>3,00% (três inteiros por cento) ao ano, base 252 (duzentos e cinquenta e dois) Dias Úteis</w:t>
      </w:r>
      <w:r>
        <w:rPr>
          <w:rFonts w:ascii="Tahoma" w:hAnsi="Tahoma" w:cs="Tahoma"/>
          <w:i/>
        </w:rPr>
        <w:t xml:space="preserve">,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w:t>
      </w:r>
      <w:proofErr w:type="spellStart"/>
      <w:r w:rsidRPr="005A3CC9">
        <w:rPr>
          <w:rFonts w:ascii="Tahoma" w:hAnsi="Tahoma" w:cs="Tahoma"/>
          <w:b/>
          <w:i/>
        </w:rPr>
        <w:t>ii</w:t>
      </w:r>
      <w:proofErr w:type="spellEnd"/>
      <w:r w:rsidRPr="005A3CC9">
        <w:rPr>
          <w:rFonts w:ascii="Tahoma" w:hAnsi="Tahoma" w:cs="Tahoma"/>
          <w:b/>
          <w:i/>
        </w:rPr>
        <w:t>)</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 (</w:t>
      </w:r>
      <w:r>
        <w:rPr>
          <w:rFonts w:ascii="Tahoma" w:hAnsi="Tahoma" w:cs="Tahoma"/>
          <w:i/>
        </w:rPr>
        <w:t>quatro</w:t>
      </w:r>
      <w:r w:rsidRPr="005A3CC9">
        <w:rPr>
          <w:rFonts w:ascii="Tahoma" w:hAnsi="Tahoma" w:cs="Tahoma"/>
          <w:i/>
        </w:rPr>
        <w:t xml:space="preserve"> inteiros </w:t>
      </w:r>
      <w:r>
        <w:rPr>
          <w:rFonts w:ascii="Tahoma" w:hAnsi="Tahoma" w:cs="Tahoma"/>
          <w:i/>
        </w:rPr>
        <w:t xml:space="preserve">e </w:t>
      </w:r>
      <w:r w:rsidR="009A46FA">
        <w:rPr>
          <w:rFonts w:ascii="Tahoma" w:hAnsi="Tahoma" w:cs="Tahoma"/>
          <w:i/>
        </w:rPr>
        <w:t>noventa</w:t>
      </w:r>
      <w:r>
        <w:rPr>
          <w:rFonts w:ascii="Tahoma" w:hAnsi="Tahoma" w:cs="Tahoma"/>
          <w:i/>
        </w:rPr>
        <w:t xml:space="preserve"> centésimos </w:t>
      </w:r>
      <w:r w:rsidRPr="005A3CC9">
        <w:rPr>
          <w:rFonts w:ascii="Tahoma" w:hAnsi="Tahoma" w:cs="Tahoma"/>
          <w:i/>
        </w:rPr>
        <w:t xml:space="preserve">por cento) ao ano, base </w:t>
      </w:r>
      <w:r w:rsidRPr="005A3CC9">
        <w:rPr>
          <w:rFonts w:ascii="Tahoma" w:hAnsi="Tahoma" w:cs="Tahoma"/>
          <w:i/>
        </w:rPr>
        <w:lastRenderedPageBreak/>
        <w:t>252 (duzentos e cinquenta e dois) Dias Úteis</w:t>
      </w:r>
      <w:r>
        <w:rPr>
          <w:rFonts w:ascii="Tahoma" w:hAnsi="Tahoma" w:cs="Tahoma"/>
          <w:i/>
        </w:rPr>
        <w:t>, a partir de 20 de abril de 2020 (inclusive)</w:t>
      </w:r>
      <w:r w:rsidRPr="005A3CC9">
        <w:rPr>
          <w:rFonts w:ascii="Tahoma" w:hAnsi="Tahoma" w:cs="Tahoma"/>
          <w:i/>
        </w:rPr>
        <w:t xml:space="preserve"> </w:t>
      </w:r>
      <w:r w:rsidR="009A46FA">
        <w:rPr>
          <w:rFonts w:ascii="Tahoma" w:hAnsi="Tahoma" w:cs="Tahoma"/>
          <w:i/>
        </w:rPr>
        <w:t xml:space="preserve">até a Data de Vencimento (inclusive) </w:t>
      </w:r>
      <w:r w:rsidRPr="005A3CC9">
        <w:rPr>
          <w:rFonts w:ascii="Tahoma" w:hAnsi="Tahoma" w:cs="Tahoma"/>
          <w:i/>
        </w:rPr>
        <w:t>(“</w:t>
      </w:r>
      <w:r w:rsidRPr="005A3CC9">
        <w:rPr>
          <w:rFonts w:ascii="Tahoma" w:hAnsi="Tahoma" w:cs="Tahoma"/>
          <w:i/>
          <w:u w:val="single"/>
        </w:rPr>
        <w:t>Sobretaxa</w:t>
      </w:r>
      <w:r w:rsidRPr="005A3CC9">
        <w:rPr>
          <w:rFonts w:ascii="Tahoma" w:hAnsi="Tahoma" w:cs="Tahoma"/>
          <w:i/>
        </w:rPr>
        <w:t>” e, em conjunto com a Taxa DI, “</w:t>
      </w:r>
      <w:r w:rsidRPr="005A3CC9">
        <w:rPr>
          <w:rFonts w:ascii="Tahoma" w:hAnsi="Tahoma" w:cs="Tahoma"/>
          <w:i/>
          <w:u w:val="single"/>
        </w:rPr>
        <w:t>Remuneração</w:t>
      </w:r>
      <w:r w:rsidRPr="005A3CC9">
        <w:rPr>
          <w:rFonts w:ascii="Tahoma" w:hAnsi="Tahoma" w:cs="Tahoma"/>
          <w:i/>
        </w:rPr>
        <w:t xml:space="preserve">”), calculados de forma exponencial e cumulativa, pro rata </w:t>
      </w:r>
      <w:proofErr w:type="spellStart"/>
      <w:r w:rsidRPr="005A3CC9">
        <w:rPr>
          <w:rFonts w:ascii="Tahoma" w:hAnsi="Tahoma" w:cs="Tahoma"/>
          <w:i/>
        </w:rPr>
        <w:t>temporis</w:t>
      </w:r>
      <w:proofErr w:type="spellEnd"/>
      <w:r w:rsidRPr="005A3CC9">
        <w:rPr>
          <w:rFonts w:ascii="Tahoma" w:hAnsi="Tahoma" w:cs="Tahoma"/>
          <w:i/>
        </w:rPr>
        <w:t xml:space="preserve">, por Dias Úteis decorridos, incidentes sobre o Valor Nominal Unitário ou sobre o saldo do Valor Nominal Unitário, conforme o caso, desde a primeira Data de Integralização, ou da última Data de Pagamento da Remuneração (conforme abaixo definida), </w:t>
      </w:r>
      <w:r>
        <w:rPr>
          <w:rFonts w:ascii="Tahoma" w:hAnsi="Tahoma" w:cs="Tahoma"/>
          <w:i/>
        </w:rPr>
        <w:t>conforme o caso,</w:t>
      </w:r>
      <w:r w:rsidRPr="005A3CC9">
        <w:rPr>
          <w:rFonts w:ascii="Tahoma" w:hAnsi="Tahoma" w:cs="Tahoma"/>
          <w:i/>
        </w:rPr>
        <w:t xml:space="preserve"> até a data do efetivo pagamento, e pagos ao final de cada Período de Capitalização das Debêntures ou na data do efetivo pagamento das Debêntures, conforme aplicável.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 xml:space="preserve">4.4.1.1. A Remuneração será calculada de acordo com a seguinte fórmula: </w:t>
      </w:r>
    </w:p>
    <w:p w:rsidR="005A3CC9" w:rsidRPr="005A3CC9" w:rsidRDefault="005A3CC9" w:rsidP="005A3CC9">
      <w:pPr>
        <w:pStyle w:val="PargrafodaLista"/>
        <w:suppressAutoHyphens/>
        <w:spacing w:after="240" w:line="320" w:lineRule="exact"/>
        <w:jc w:val="center"/>
        <w:rPr>
          <w:rFonts w:ascii="Tahoma" w:hAnsi="Tahoma" w:cs="Tahoma"/>
          <w:b/>
          <w:i/>
        </w:rPr>
      </w:pPr>
      <w:r w:rsidRPr="005A3CC9">
        <w:rPr>
          <w:rFonts w:ascii="Tahoma" w:hAnsi="Tahoma" w:cs="Tahoma"/>
          <w:b/>
          <w:i/>
        </w:rPr>
        <w:t xml:space="preserve">J = </w:t>
      </w:r>
      <w:proofErr w:type="spellStart"/>
      <w:r w:rsidRPr="005A3CC9">
        <w:rPr>
          <w:rFonts w:ascii="Tahoma" w:hAnsi="Tahoma" w:cs="Tahoma"/>
          <w:b/>
          <w:i/>
        </w:rPr>
        <w:t>VNe</w:t>
      </w:r>
      <w:proofErr w:type="spellEnd"/>
      <w:r w:rsidRPr="005A3CC9">
        <w:rPr>
          <w:rFonts w:ascii="Tahoma" w:hAnsi="Tahoma" w:cs="Tahoma"/>
          <w:b/>
          <w:i/>
        </w:rPr>
        <w:t xml:space="preserve"> x (</w:t>
      </w:r>
      <w:proofErr w:type="spellStart"/>
      <w:r w:rsidRPr="005A3CC9">
        <w:rPr>
          <w:rFonts w:ascii="Tahoma" w:hAnsi="Tahoma" w:cs="Tahoma"/>
          <w:b/>
          <w:i/>
        </w:rPr>
        <w:t>FatorJuros</w:t>
      </w:r>
      <w:proofErr w:type="spellEnd"/>
      <w:r w:rsidRPr="005A3CC9">
        <w:rPr>
          <w:rFonts w:ascii="Tahoma" w:hAnsi="Tahoma" w:cs="Tahoma"/>
          <w:b/>
          <w:i/>
        </w:rPr>
        <w:t>– 1)</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J</w:t>
      </w:r>
      <w:r w:rsidRPr="005A3CC9">
        <w:rPr>
          <w:rFonts w:ascii="Tahoma" w:hAnsi="Tahoma" w:cs="Tahoma"/>
          <w:i/>
        </w:rPr>
        <w:tab/>
        <w:t>valor unitário da Remuneração devida no final de cada Período de Capitalização, 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VNe</w:t>
      </w:r>
      <w:proofErr w:type="spellEnd"/>
      <w:r w:rsidRPr="005A3CC9">
        <w:rPr>
          <w:rFonts w:ascii="Tahoma" w:hAnsi="Tahoma" w:cs="Tahoma"/>
          <w:i/>
        </w:rPr>
        <w:tab/>
        <w:t>Valor Nominal Unitário ou saldo do Valor Nominal Unitário das Debêntures, conforme o caso, no início de cada Período de Capitalização, informado/calculado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FatorJuros</w:t>
      </w:r>
      <w:proofErr w:type="spellEnd"/>
      <w:r w:rsidRPr="005A3CC9">
        <w:rPr>
          <w:rFonts w:ascii="Tahoma" w:hAnsi="Tahoma" w:cs="Tahoma"/>
          <w:i/>
        </w:rPr>
        <w:tab/>
        <w:t>fator de juros composto pelo parâmetro de flutuação acrescido de spread (Sobretaxa), calculado com 9 (nove) casas decimais, com arredondamento, apurado da seguinte forma:</w:t>
      </w:r>
    </w:p>
    <w:p w:rsidR="005A3CC9" w:rsidRDefault="005A3CC9" w:rsidP="005A3CC9">
      <w:pPr>
        <w:pStyle w:val="PargrafodaLista"/>
        <w:suppressAutoHyphens/>
        <w:spacing w:after="240" w:line="320" w:lineRule="exact"/>
        <w:jc w:val="center"/>
        <w:rPr>
          <w:rFonts w:ascii="Tahoma" w:hAnsi="Tahoma" w:cs="Tahoma"/>
          <w:i/>
        </w:rPr>
      </w:pPr>
      <w:r w:rsidRPr="00386E49">
        <w:rPr>
          <w:rFonts w:ascii="Tahoma" w:hAnsi="Tahoma" w:cs="Tahoma"/>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25pt" o:ole="" fillcolor="window">
            <v:imagedata r:id="rId8" o:title=""/>
          </v:shape>
          <o:OLEObject Type="Embed" ProgID="Equation.3" ShapeID="_x0000_i1025" DrawAspect="Content" ObjectID="_1649614199" r:id="rId9"/>
        </w:objec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FatorDI</w:t>
      </w:r>
      <w:r w:rsidRPr="005A3CC9">
        <w:rPr>
          <w:rFonts w:ascii="Tahoma" w:hAnsi="Tahoma" w:cs="Tahoma"/>
          <w:i/>
        </w:rPr>
        <w:tab/>
        <w:t>produtório das Taxas DI, com uso de percentual aplicado a partir da data de início de cada Período de Capitalização (inclusive), até o final de cada Período de Capitalização das Debêntures (exclusive), calculado com 8 (oito) casas decimais, com arredondamento, apurado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58240" behindDoc="1" locked="0" layoutInCell="1" allowOverlap="1" wp14:anchorId="3DA59190">
            <wp:simplePos x="0" y="0"/>
            <wp:positionH relativeFrom="column">
              <wp:posOffset>2009775</wp:posOffset>
            </wp:positionH>
            <wp:positionV relativeFrom="paragraph">
              <wp:posOffset>12700</wp:posOffset>
            </wp:positionV>
            <wp:extent cx="2468245" cy="499745"/>
            <wp:effectExtent l="0" t="0" r="8255" b="0"/>
            <wp:wrapTight wrapText="bothSides">
              <wp:wrapPolygon edited="0">
                <wp:start x="0" y="0"/>
                <wp:lineTo x="0" y="20584"/>
                <wp:lineTo x="21506" y="20584"/>
                <wp:lineTo x="21506" y="0"/>
                <wp:lineTo x="0" y="0"/>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499745"/>
                    </a:xfrm>
                    <a:prstGeom prst="rect">
                      <a:avLst/>
                    </a:prstGeom>
                    <a:noFill/>
                    <a:ln>
                      <a:noFill/>
                    </a:ln>
                  </pic:spPr>
                </pic:pic>
              </a:graphicData>
            </a:graphic>
          </wp:anchor>
        </w:drawing>
      </w:r>
      <w:r w:rsidRPr="005A3CC9">
        <w:rPr>
          <w:rFonts w:ascii="Tahoma" w:hAnsi="Tahoma" w:cs="Tahoma"/>
          <w:i/>
        </w:rPr>
        <w:t xml:space="preserve"> </w:t>
      </w:r>
    </w:p>
    <w:p w:rsid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nDI</w:t>
      </w:r>
      <w:r w:rsidRPr="005A3CC9">
        <w:rPr>
          <w:rFonts w:ascii="Tahoma" w:hAnsi="Tahoma" w:cs="Tahoma"/>
          <w:i/>
        </w:rPr>
        <w:tab/>
        <w:t>número total de Taxas DI consideradas em cada Período de Capitalização, sendo “n”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k</w:t>
      </w:r>
      <w:r w:rsidRPr="005A3CC9">
        <w:rPr>
          <w:rFonts w:ascii="Tahoma" w:hAnsi="Tahoma" w:cs="Tahoma"/>
          <w:i/>
        </w:rPr>
        <w:tab/>
        <w:t>número de ordem das Taxas DI, variando de 1 até n;</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lastRenderedPageBreak/>
        <w:t xml:space="preserve">TDIk </w:t>
      </w:r>
      <w:r w:rsidRPr="005A3CC9">
        <w:rPr>
          <w:rFonts w:ascii="Tahoma" w:hAnsi="Tahoma" w:cs="Tahoma"/>
          <w:i/>
        </w:rPr>
        <w:tab/>
        <w:t>Taxa DI, de ordem k, expressa ao dia, calculada com 8 (oito) casas decimais com arredondamento, apurada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60288" behindDoc="0" locked="0" layoutInCell="1" allowOverlap="1" wp14:anchorId="07358EB5" wp14:editId="2CB07705">
            <wp:simplePos x="0" y="0"/>
            <wp:positionH relativeFrom="margin">
              <wp:align>center</wp:align>
            </wp:positionH>
            <wp:positionV relativeFrom="paragraph">
              <wp:posOffset>135890</wp:posOffset>
            </wp:positionV>
            <wp:extent cx="1493520" cy="5181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DIk</w:t>
      </w:r>
      <w:r w:rsidRPr="005A3CC9">
        <w:rPr>
          <w:rFonts w:ascii="Tahoma" w:hAnsi="Tahoma" w:cs="Tahoma"/>
          <w:i/>
        </w:rPr>
        <w:tab/>
        <w:t xml:space="preserve">Taxa DI divulgada pela B3, utilizada com 2 (duas) casas decimais;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FatorSpread</w:t>
      </w:r>
      <w:r w:rsidRPr="005A3CC9">
        <w:rPr>
          <w:rFonts w:ascii="Tahoma" w:hAnsi="Tahoma" w:cs="Tahoma"/>
          <w:i/>
        </w:rPr>
        <w:tab/>
        <w:t>Fator de juros devido à sobretaxa de juros fixos calculada com 9 (nove) casas decimais, com arredondamento, conforme fórmula abaixo:</w:t>
      </w:r>
    </w:p>
    <w:p w:rsidR="005A3CC9" w:rsidRPr="005A3CC9" w:rsidRDefault="005A3CC9" w:rsidP="005A3CC9">
      <w:pPr>
        <w:suppressAutoHyphens/>
        <w:spacing w:after="240" w:line="320" w:lineRule="exact"/>
        <w:rPr>
          <w:rFonts w:cs="Tahoma"/>
          <w:i/>
        </w:rPr>
      </w:pPr>
    </w:p>
    <w:p w:rsidR="00210B49" w:rsidRPr="00047F64" w:rsidRDefault="00210B49" w:rsidP="00210B49">
      <w:pPr>
        <w:ind w:left="709"/>
        <w:rPr>
          <w:rFonts w:ascii="Georgia" w:eastAsia="SimSun" w:hAnsi="Georgia"/>
          <w:i/>
          <w:iCs/>
          <w:color w:val="000000"/>
          <w:sz w:val="24"/>
          <w:lang w:eastAsia="zh-CN"/>
        </w:rPr>
      </w:pPr>
      <m:oMathPara>
        <m:oMath>
          <m:r>
            <w:rPr>
              <w:rFonts w:ascii="Cambria Math" w:eastAsia="SimSun" w:hAnsi="Cambria Math"/>
              <w:color w:val="000000"/>
              <w:sz w:val="24"/>
              <w:lang w:eastAsia="zh-CN"/>
            </w:rPr>
            <m:t>FatorSpread=</m:t>
          </m:r>
          <m:sSup>
            <m:sSupPr>
              <m:ctrlPr>
                <w:rPr>
                  <w:rFonts w:ascii="Cambria Math" w:eastAsia="SimSun" w:hAnsi="Cambria Math"/>
                  <w:i/>
                  <w:iCs/>
                  <w:color w:val="000000"/>
                  <w:sz w:val="24"/>
                  <w:lang w:eastAsia="zh-CN"/>
                </w:rPr>
              </m:ctrlPr>
            </m:sSupPr>
            <m:e>
              <m:d>
                <m:dPr>
                  <m:ctrlPr>
                    <w:rPr>
                      <w:rFonts w:ascii="Cambria Math" w:eastAsia="SimSun" w:hAnsi="Cambria Math"/>
                      <w:i/>
                      <w:iCs/>
                      <w:color w:val="000000"/>
                      <w:sz w:val="24"/>
                      <w:lang w:eastAsia="zh-CN"/>
                    </w:rPr>
                  </m:ctrlPr>
                </m:dPr>
                <m:e>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Spread1</m:t>
                      </m:r>
                    </m:num>
                    <m:den>
                      <m:r>
                        <w:rPr>
                          <w:rFonts w:ascii="Cambria Math" w:eastAsia="SimSun" w:hAnsi="Cambria Math"/>
                          <w:color w:val="000000"/>
                          <w:sz w:val="24"/>
                          <w:lang w:eastAsia="zh-CN"/>
                        </w:rPr>
                        <m:t>100</m:t>
                      </m:r>
                    </m:den>
                  </m:f>
                  <m:r>
                    <w:rPr>
                      <w:rFonts w:ascii="Cambria Math" w:eastAsia="SimSun" w:hAnsi="Cambria Math"/>
                      <w:color w:val="000000"/>
                      <w:sz w:val="24"/>
                      <w:lang w:eastAsia="zh-CN"/>
                    </w:rPr>
                    <m:t>+1</m:t>
                  </m:r>
                </m:e>
              </m:d>
            </m:e>
            <m:sup>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DP1</m:t>
                  </m:r>
                </m:num>
                <m:den>
                  <m:r>
                    <w:rPr>
                      <w:rFonts w:ascii="Cambria Math" w:eastAsia="SimSun" w:hAnsi="Cambria Math"/>
                      <w:color w:val="000000"/>
                      <w:sz w:val="24"/>
                      <w:lang w:eastAsia="zh-CN"/>
                    </w:rPr>
                    <m:t>252</m:t>
                  </m:r>
                </m:den>
              </m:f>
            </m:sup>
          </m:sSup>
          <m:r>
            <w:rPr>
              <w:rFonts w:ascii="Cambria Math" w:eastAsia="SimSun" w:hAnsi="Cambria Math"/>
              <w:color w:val="000000"/>
              <w:sz w:val="24"/>
              <w:lang w:eastAsia="zh-CN"/>
            </w:rPr>
            <m:t>×</m:t>
          </m:r>
          <m:sSup>
            <m:sSupPr>
              <m:ctrlPr>
                <w:rPr>
                  <w:rFonts w:ascii="Cambria Math" w:eastAsia="SimSun" w:hAnsi="Cambria Math"/>
                  <w:i/>
                  <w:iCs/>
                  <w:color w:val="000000"/>
                  <w:sz w:val="24"/>
                  <w:lang w:eastAsia="zh-CN"/>
                </w:rPr>
              </m:ctrlPr>
            </m:sSupPr>
            <m:e>
              <m:d>
                <m:dPr>
                  <m:ctrlPr>
                    <w:rPr>
                      <w:rFonts w:ascii="Cambria Math" w:eastAsia="SimSun" w:hAnsi="Cambria Math"/>
                      <w:i/>
                      <w:iCs/>
                      <w:color w:val="000000"/>
                      <w:sz w:val="24"/>
                      <w:lang w:eastAsia="zh-CN"/>
                    </w:rPr>
                  </m:ctrlPr>
                </m:dPr>
                <m:e>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Spread2</m:t>
                      </m:r>
                    </m:num>
                    <m:den>
                      <m:r>
                        <w:rPr>
                          <w:rFonts w:ascii="Cambria Math" w:eastAsia="SimSun" w:hAnsi="Cambria Math"/>
                          <w:color w:val="000000"/>
                          <w:sz w:val="24"/>
                          <w:lang w:eastAsia="zh-CN"/>
                        </w:rPr>
                        <m:t>100</m:t>
                      </m:r>
                    </m:den>
                  </m:f>
                  <m:r>
                    <w:rPr>
                      <w:rFonts w:ascii="Cambria Math" w:eastAsia="SimSun" w:hAnsi="Cambria Math"/>
                      <w:color w:val="000000"/>
                      <w:sz w:val="24"/>
                      <w:lang w:eastAsia="zh-CN"/>
                    </w:rPr>
                    <m:t>+1</m:t>
                  </m:r>
                </m:e>
              </m:d>
            </m:e>
            <m:sup>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DP2</m:t>
                  </m:r>
                </m:num>
                <m:den>
                  <m:r>
                    <w:rPr>
                      <w:rFonts w:ascii="Cambria Math" w:eastAsia="SimSun" w:hAnsi="Cambria Math"/>
                      <w:color w:val="000000"/>
                      <w:sz w:val="24"/>
                      <w:lang w:eastAsia="zh-CN"/>
                    </w:rPr>
                    <m:t>252</m:t>
                  </m:r>
                </m:den>
              </m:f>
            </m:sup>
          </m:sSup>
        </m:oMath>
      </m:oMathPara>
    </w:p>
    <w:p w:rsidR="00210B49" w:rsidRPr="005A3CC9" w:rsidRDefault="00210B49" w:rsidP="00210B49">
      <w:pPr>
        <w:pStyle w:val="PargrafodaLista"/>
        <w:suppressAutoHyphens/>
        <w:spacing w:after="240" w:line="320" w:lineRule="exact"/>
        <w:rPr>
          <w:rFonts w:ascii="Tahoma" w:hAnsi="Tahoma" w:cs="Tahoma"/>
          <w:i/>
        </w:rPr>
      </w:pPr>
      <w:r w:rsidRPr="005A3CC9">
        <w:rPr>
          <w:rFonts w:ascii="Tahoma" w:hAnsi="Tahoma" w:cs="Tahoma"/>
          <w:i/>
        </w:rPr>
        <w:t>onde:</w:t>
      </w:r>
    </w:p>
    <w:p w:rsidR="00210B49" w:rsidRDefault="00210B49" w:rsidP="00210B49">
      <w:pPr>
        <w:pStyle w:val="PargrafodaLista"/>
        <w:suppressAutoHyphens/>
        <w:spacing w:after="240" w:line="320" w:lineRule="exact"/>
        <w:ind w:left="2124" w:hanging="1404"/>
        <w:rPr>
          <w:rFonts w:ascii="Tahoma" w:hAnsi="Tahoma" w:cs="Tahoma"/>
          <w:i/>
        </w:rPr>
      </w:pPr>
      <w:r>
        <w:rPr>
          <w:rFonts w:ascii="Tahoma" w:hAnsi="Tahoma" w:cs="Tahoma"/>
          <w:i/>
        </w:rPr>
        <w:t>S</w:t>
      </w:r>
      <w:r w:rsidRPr="005A3CC9">
        <w:rPr>
          <w:rFonts w:ascii="Tahoma" w:hAnsi="Tahoma" w:cs="Tahoma"/>
          <w:i/>
        </w:rPr>
        <w:t>pread</w:t>
      </w:r>
      <w:r>
        <w:rPr>
          <w:rFonts w:ascii="Tahoma" w:hAnsi="Tahoma" w:cs="Tahoma"/>
          <w:i/>
        </w:rPr>
        <w:t>1</w:t>
      </w:r>
      <w:r w:rsidRPr="005A3CC9">
        <w:rPr>
          <w:rFonts w:ascii="Tahoma" w:hAnsi="Tahoma" w:cs="Tahoma"/>
          <w:i/>
        </w:rPr>
        <w:tab/>
        <w:t>3,00</w:t>
      </w:r>
      <w:r>
        <w:rPr>
          <w:rFonts w:ascii="Tahoma" w:hAnsi="Tahoma" w:cs="Tahoma"/>
          <w:i/>
        </w:rPr>
        <w:t xml:space="preserve">00, </w:t>
      </w:r>
      <w:r w:rsidRPr="005A3CC9">
        <w:rPr>
          <w:rFonts w:ascii="Tahoma" w:hAnsi="Tahoma" w:cs="Tahoma"/>
          <w:i/>
        </w:rPr>
        <w:t>desde a primeira Data de Integralização</w:t>
      </w:r>
      <w:r>
        <w:rPr>
          <w:rFonts w:ascii="Tahoma" w:hAnsi="Tahoma" w:cs="Tahoma"/>
          <w:i/>
        </w:rPr>
        <w:t xml:space="preserve"> (inclusive) até 20 de abril de 2020 (exclusive); e </w:t>
      </w:r>
    </w:p>
    <w:p w:rsidR="00210B49" w:rsidRPr="005A3CC9" w:rsidRDefault="00210B49" w:rsidP="00210B49">
      <w:pPr>
        <w:pStyle w:val="PargrafodaLista"/>
        <w:suppressAutoHyphens/>
        <w:spacing w:after="240" w:line="320" w:lineRule="exact"/>
        <w:rPr>
          <w:rFonts w:ascii="Tahoma" w:hAnsi="Tahoma" w:cs="Tahoma"/>
          <w:i/>
        </w:rPr>
      </w:pPr>
      <w:r>
        <w:rPr>
          <w:rFonts w:ascii="Tahoma" w:hAnsi="Tahoma" w:cs="Tahoma"/>
          <w:i/>
        </w:rPr>
        <w:t>Spread2</w:t>
      </w:r>
      <w:r>
        <w:rPr>
          <w:rFonts w:ascii="Tahoma" w:hAnsi="Tahoma" w:cs="Tahoma"/>
          <w:i/>
        </w:rPr>
        <w:tab/>
        <w:t>4</w:t>
      </w:r>
      <w:r w:rsidRPr="005A3CC9">
        <w:rPr>
          <w:rFonts w:ascii="Tahoma" w:hAnsi="Tahoma" w:cs="Tahoma"/>
          <w:i/>
        </w:rPr>
        <w:t>,</w:t>
      </w:r>
      <w:r>
        <w:rPr>
          <w:rFonts w:ascii="Tahoma" w:hAnsi="Tahoma" w:cs="Tahoma"/>
          <w:i/>
        </w:rPr>
        <w:t>9</w:t>
      </w:r>
      <w:r w:rsidRPr="005A3CC9">
        <w:rPr>
          <w:rFonts w:ascii="Tahoma" w:hAnsi="Tahoma" w:cs="Tahoma"/>
          <w:i/>
        </w:rPr>
        <w:t>0</w:t>
      </w:r>
      <w:r>
        <w:rPr>
          <w:rFonts w:ascii="Tahoma" w:hAnsi="Tahoma" w:cs="Tahoma"/>
          <w:i/>
        </w:rPr>
        <w:t>00, a partir de 20 de abril de 2020 (inclusive).</w:t>
      </w:r>
    </w:p>
    <w:p w:rsidR="00210B49" w:rsidRDefault="00210B49" w:rsidP="00210B49">
      <w:pPr>
        <w:pStyle w:val="PargrafodaLista"/>
        <w:suppressAutoHyphens/>
        <w:spacing w:after="240" w:line="320" w:lineRule="exact"/>
        <w:jc w:val="both"/>
        <w:rPr>
          <w:rFonts w:ascii="Tahoma" w:hAnsi="Tahoma" w:cs="Tahoma"/>
          <w:i/>
        </w:rPr>
      </w:pPr>
      <w:r w:rsidRPr="005A3CC9">
        <w:rPr>
          <w:rFonts w:ascii="Tahoma" w:hAnsi="Tahoma" w:cs="Tahoma"/>
          <w:i/>
        </w:rPr>
        <w:t>DP</w:t>
      </w:r>
      <w:r>
        <w:rPr>
          <w:rFonts w:ascii="Tahoma" w:hAnsi="Tahoma" w:cs="Tahoma"/>
          <w:i/>
        </w:rPr>
        <w:t>1</w:t>
      </w:r>
      <w:r w:rsidRPr="005A3CC9">
        <w:rPr>
          <w:rFonts w:ascii="Tahoma" w:hAnsi="Tahoma" w:cs="Tahoma"/>
          <w:i/>
        </w:rPr>
        <w:tab/>
        <w:t xml:space="preserve">número de Dias Úteis entre a primeira Data de Integralização ou a </w:t>
      </w:r>
      <w:r>
        <w:rPr>
          <w:rFonts w:ascii="Tahoma" w:hAnsi="Tahoma" w:cs="Tahoma"/>
          <w:i/>
        </w:rPr>
        <w:t>D</w:t>
      </w:r>
      <w:r w:rsidRPr="005A3CC9">
        <w:rPr>
          <w:rFonts w:ascii="Tahoma" w:hAnsi="Tahoma" w:cs="Tahoma"/>
          <w:i/>
        </w:rPr>
        <w:t xml:space="preserve">ata de </w:t>
      </w:r>
      <w:r>
        <w:rPr>
          <w:rFonts w:ascii="Tahoma" w:hAnsi="Tahoma" w:cs="Tahoma"/>
          <w:i/>
        </w:rPr>
        <w:t>P</w:t>
      </w:r>
      <w:r w:rsidRPr="005A3CC9">
        <w:rPr>
          <w:rFonts w:ascii="Tahoma" w:hAnsi="Tahoma" w:cs="Tahoma"/>
          <w:i/>
        </w:rPr>
        <w:t xml:space="preserve">agamento de Remuneração imediatamente anterior, conforme o caso, e a data de cálculo, </w:t>
      </w:r>
      <w:r>
        <w:rPr>
          <w:rFonts w:ascii="Tahoma" w:hAnsi="Tahoma" w:cs="Tahoma"/>
          <w:i/>
        </w:rPr>
        <w:t xml:space="preserve">sendo a data de cálculo limitada a 19 de abril de 2020, conforme o caso, </w:t>
      </w:r>
      <w:r w:rsidRPr="005A3CC9">
        <w:rPr>
          <w:rFonts w:ascii="Tahoma" w:hAnsi="Tahoma" w:cs="Tahoma"/>
          <w:i/>
        </w:rPr>
        <w:t>sendo "</w:t>
      </w:r>
      <w:r>
        <w:rPr>
          <w:rFonts w:ascii="Tahoma" w:hAnsi="Tahoma" w:cs="Tahoma"/>
          <w:i/>
        </w:rPr>
        <w:t>DP1</w:t>
      </w:r>
      <w:r w:rsidRPr="005A3CC9">
        <w:rPr>
          <w:rFonts w:ascii="Tahoma" w:hAnsi="Tahoma" w:cs="Tahoma"/>
          <w:i/>
        </w:rPr>
        <w:t>" um número inteiro.</w:t>
      </w:r>
      <w:r>
        <w:rPr>
          <w:rFonts w:ascii="Tahoma" w:hAnsi="Tahoma" w:cs="Tahoma"/>
          <w:i/>
        </w:rPr>
        <w:t xml:space="preserve"> Após a Data de Pagamento da Remuneração em 20 de outubro de 2020, DP1 será igual a zero.</w:t>
      </w:r>
    </w:p>
    <w:p w:rsidR="00210B49" w:rsidRPr="005A3CC9" w:rsidRDefault="00210B49" w:rsidP="00210B49">
      <w:pPr>
        <w:pStyle w:val="PargrafodaLista"/>
        <w:suppressAutoHyphens/>
        <w:spacing w:after="240" w:line="320" w:lineRule="exact"/>
        <w:jc w:val="both"/>
        <w:rPr>
          <w:rFonts w:ascii="Tahoma" w:hAnsi="Tahoma" w:cs="Tahoma"/>
          <w:i/>
        </w:rPr>
      </w:pPr>
      <w:r w:rsidRPr="00484A45">
        <w:rPr>
          <w:rFonts w:ascii="Tahoma" w:hAnsi="Tahoma" w:cs="Tahoma"/>
          <w:i/>
        </w:rPr>
        <w:t>DP2</w:t>
      </w:r>
      <w:r w:rsidRPr="00484A45">
        <w:rPr>
          <w:rFonts w:ascii="Tahoma" w:hAnsi="Tahoma" w:cs="Tahoma"/>
          <w:i/>
        </w:rPr>
        <w:tab/>
        <w:t xml:space="preserve">é número de Dias Úteis entre </w:t>
      </w:r>
      <w:r>
        <w:rPr>
          <w:rFonts w:ascii="Tahoma" w:hAnsi="Tahoma" w:cs="Tahoma"/>
          <w:i/>
        </w:rPr>
        <w:t>20</w:t>
      </w:r>
      <w:r w:rsidRPr="00484A45">
        <w:rPr>
          <w:rFonts w:ascii="Tahoma" w:hAnsi="Tahoma" w:cs="Tahoma"/>
          <w:i/>
        </w:rPr>
        <w:t xml:space="preserve"> de abril de 2020, ou </w:t>
      </w:r>
      <w:r>
        <w:rPr>
          <w:rFonts w:ascii="Tahoma" w:hAnsi="Tahoma" w:cs="Tahoma"/>
          <w:i/>
        </w:rPr>
        <w:t>Data de Pagamento da Remuneração</w:t>
      </w:r>
      <w:r w:rsidRPr="00484A45">
        <w:rPr>
          <w:rFonts w:ascii="Tahoma" w:hAnsi="Tahoma" w:cs="Tahoma"/>
          <w:i/>
        </w:rPr>
        <w:t xml:space="preserve"> imediatamente anterior, conforme o caso, e a data atual, sendo “DP2”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Observações:</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w:t>
      </w:r>
      <w:r w:rsidRPr="005A3CC9">
        <w:rPr>
          <w:rFonts w:ascii="Tahoma" w:hAnsi="Tahoma" w:cs="Tahoma"/>
          <w:i/>
        </w:rPr>
        <w:tab/>
        <w:t>O fator resultante da expressão (1 + TDIk) é considerado com 16 (dezesseis)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lastRenderedPageBreak/>
        <w:t>(ii)</w:t>
      </w:r>
      <w:r w:rsidRPr="005A3CC9">
        <w:rPr>
          <w:rFonts w:ascii="Tahoma" w:hAnsi="Tahoma" w:cs="Tahoma"/>
          <w:i/>
        </w:rPr>
        <w:tab/>
        <w:t>Efetua-se o produtório dos fatores (1 + TDIk) sendo que a cada fator acumulado, trunca-se o resultado com 16 (dezesseis) casas decimais, aplicando-se o próximo fator diário, e assim por diante até o último considerado; e</w:t>
      </w:r>
    </w:p>
    <w:p w:rsidR="00DC6CC8"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(iii)</w:t>
      </w:r>
      <w:r w:rsidRPr="005A3CC9">
        <w:rPr>
          <w:rFonts w:ascii="Tahoma" w:hAnsi="Tahoma" w:cs="Tahoma"/>
          <w:i/>
        </w:rPr>
        <w:tab/>
        <w:t>a Taxa DI deverá ser utilizada considerando idêntico número de casas decimais divulgado pela entidade responsável pelo seu cálculo, salvo quando expressamente indicado de outra forma.</w:t>
      </w:r>
      <w:r w:rsidR="00DC6CC8" w:rsidRPr="005A3CC9">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PargrafodaLista"/>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PargrafodaLista"/>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00210B49" w:rsidRPr="009A46FA">
        <w:rPr>
          <w:rFonts w:ascii="Tahoma" w:hAnsi="Tahoma" w:cs="Tahoma"/>
          <w:i/>
        </w:rPr>
        <w:t xml:space="preserve">A </w:t>
      </w:r>
      <w:r w:rsidR="00210B49">
        <w:rPr>
          <w:rFonts w:ascii="Tahoma" w:hAnsi="Tahoma" w:cs="Tahoma"/>
          <w:i/>
        </w:rPr>
        <w:tab/>
      </w:r>
      <w:r w:rsidR="00210B49" w:rsidRPr="009A46FA">
        <w:rPr>
          <w:rFonts w:ascii="Tahoma" w:hAnsi="Tahoma" w:cs="Tahoma"/>
          <w:i/>
        </w:rPr>
        <w:t>Remuneração das Debêntures será paga mensalmente em parcelas consecutivas, todo dia 20 de cada mês a partir da Data de Emissão</w:t>
      </w:r>
      <w:r w:rsidR="00210B49">
        <w:rPr>
          <w:rFonts w:ascii="Tahoma" w:hAnsi="Tahoma" w:cs="Tahoma"/>
          <w:i/>
        </w:rPr>
        <w:t xml:space="preserve"> (</w:t>
      </w:r>
      <w:r w:rsidR="00210B49" w:rsidRPr="009A46FA">
        <w:rPr>
          <w:rFonts w:ascii="Tahoma" w:hAnsi="Tahoma" w:cs="Tahoma"/>
          <w:i/>
        </w:rPr>
        <w:t>sendo o primeiro pagamento devido em 20 de agosto de 2018 e o último pagamento devido na Data de Vencimento</w:t>
      </w:r>
      <w:r w:rsidR="00210B49">
        <w:rPr>
          <w:rFonts w:ascii="Tahoma" w:hAnsi="Tahoma" w:cs="Tahoma"/>
          <w:i/>
        </w:rPr>
        <w:t>)</w:t>
      </w:r>
      <w:r w:rsidR="00210B49" w:rsidRPr="009A46FA">
        <w:rPr>
          <w:rFonts w:ascii="Tahoma" w:hAnsi="Tahoma" w:cs="Tahoma"/>
          <w:i/>
        </w:rPr>
        <w:t xml:space="preserve">, </w:t>
      </w:r>
      <w:r w:rsidR="00210B49">
        <w:rPr>
          <w:rFonts w:ascii="Tahoma" w:hAnsi="Tahoma" w:cs="Tahoma"/>
          <w:i/>
        </w:rPr>
        <w:t xml:space="preserve">exceto nos meses </w:t>
      </w:r>
      <w:r w:rsidR="00210B49" w:rsidRPr="009A46FA">
        <w:rPr>
          <w:rFonts w:ascii="Tahoma" w:hAnsi="Tahoma" w:cs="Tahoma"/>
          <w:i/>
        </w:rPr>
        <w:t>de abril</w:t>
      </w:r>
      <w:r w:rsidR="00210B49">
        <w:rPr>
          <w:rFonts w:ascii="Tahoma" w:hAnsi="Tahoma" w:cs="Tahoma"/>
          <w:i/>
        </w:rPr>
        <w:t xml:space="preserve"> a</w:t>
      </w:r>
      <w:r w:rsidR="00210B49" w:rsidRPr="009A46FA">
        <w:rPr>
          <w:rFonts w:ascii="Tahoma" w:hAnsi="Tahoma" w:cs="Tahoma"/>
          <w:i/>
        </w:rPr>
        <w:t xml:space="preserve"> setembro do ano de 2020</w:t>
      </w:r>
      <w:r w:rsidR="00210B49">
        <w:rPr>
          <w:rFonts w:ascii="Tahoma" w:hAnsi="Tahoma" w:cs="Tahoma"/>
          <w:i/>
        </w:rPr>
        <w:t>, sendo que a Remuneração das Debêntures incidente</w:t>
      </w:r>
      <w:r w:rsidR="00210B49" w:rsidRPr="00123800">
        <w:rPr>
          <w:rFonts w:ascii="Tahoma" w:hAnsi="Tahoma" w:cs="Tahoma"/>
          <w:i/>
        </w:rPr>
        <w:t xml:space="preserve"> sobre o saldo do Valor Nominal Unitário desde </w:t>
      </w:r>
      <w:r w:rsidR="00210B49">
        <w:rPr>
          <w:rFonts w:ascii="Tahoma" w:hAnsi="Tahoma" w:cs="Tahoma"/>
          <w:i/>
        </w:rPr>
        <w:t xml:space="preserve">20 de março de 2020 </w:t>
      </w:r>
      <w:r w:rsidR="00210B49" w:rsidRPr="00123800">
        <w:rPr>
          <w:rFonts w:ascii="Tahoma" w:hAnsi="Tahoma" w:cs="Tahoma"/>
          <w:i/>
        </w:rPr>
        <w:t xml:space="preserve"> até </w:t>
      </w:r>
      <w:r w:rsidR="00210B49">
        <w:rPr>
          <w:rFonts w:ascii="Tahoma" w:hAnsi="Tahoma" w:cs="Tahoma"/>
          <w:i/>
        </w:rPr>
        <w:t>20 de outubro de 2020 deverá ser paga pela Emissora em 20 de outubro de 2020</w:t>
      </w:r>
      <w:r w:rsidR="00210B49" w:rsidRPr="009A46FA">
        <w:rPr>
          <w:rFonts w:ascii="Tahoma" w:hAnsi="Tahoma" w:cs="Tahoma"/>
          <w:i/>
        </w:rPr>
        <w:t xml:space="preserve"> (cada </w:t>
      </w:r>
      <w:r w:rsidR="00210B49">
        <w:rPr>
          <w:rFonts w:ascii="Tahoma" w:hAnsi="Tahoma" w:cs="Tahoma"/>
          <w:i/>
        </w:rPr>
        <w:t>data em que seja devido o pagamento da Remuneração</w:t>
      </w:r>
      <w:r w:rsidR="00210B49" w:rsidRPr="009A46FA">
        <w:rPr>
          <w:rFonts w:ascii="Tahoma" w:hAnsi="Tahoma" w:cs="Tahoma"/>
          <w:i/>
        </w:rPr>
        <w:t>, uma “</w:t>
      </w:r>
      <w:r w:rsidR="00210B49" w:rsidRPr="009A46FA">
        <w:rPr>
          <w:rFonts w:ascii="Tahoma" w:hAnsi="Tahoma" w:cs="Tahoma"/>
          <w:i/>
          <w:u w:val="single"/>
        </w:rPr>
        <w:t>Data de Pagamento da Remuneração</w:t>
      </w:r>
      <w:r w:rsidR="00210B49" w:rsidRPr="009A46FA">
        <w:rPr>
          <w:rFonts w:ascii="Tahoma" w:hAnsi="Tahoma" w:cs="Tahoma"/>
          <w:i/>
        </w:rPr>
        <w:t>”)</w:t>
      </w:r>
      <w:r w:rsidR="00210B49">
        <w:rPr>
          <w:rFonts w:ascii="Tahoma" w:hAnsi="Tahoma" w:cs="Tahoma"/>
          <w:i/>
        </w:rPr>
        <w:t>, observado, ainda</w:t>
      </w:r>
      <w:r w:rsidR="00210B49" w:rsidRPr="009A46FA">
        <w:rPr>
          <w:rFonts w:ascii="Tahoma" w:hAnsi="Tahoma" w:cs="Tahoma"/>
          <w:i/>
        </w:rPr>
        <w:t xml:space="preserve"> </w:t>
      </w:r>
      <w:r w:rsidR="00210B49">
        <w:rPr>
          <w:rFonts w:ascii="Tahoma" w:hAnsi="Tahoma" w:cs="Tahoma"/>
          <w:i/>
        </w:rPr>
        <w:t>a possibilidade</w:t>
      </w:r>
      <w:r w:rsidR="00210B49" w:rsidRPr="009A46FA">
        <w:rPr>
          <w:rFonts w:ascii="Tahoma" w:hAnsi="Tahoma" w:cs="Tahoma"/>
          <w:i/>
        </w:rPr>
        <w:t xml:space="preserve"> </w:t>
      </w:r>
      <w:r w:rsidR="00210B49" w:rsidRPr="00B504DD">
        <w:rPr>
          <w:rFonts w:ascii="Tahoma" w:hAnsi="Tahoma" w:cs="Tahoma"/>
          <w:i/>
        </w:rPr>
        <w:t>de declaração de vencimento antecipado, amortização extraordinária e/ou de resgate antecipado das Debêntures</w:t>
      </w:r>
      <w:r w:rsidRPr="009A46FA">
        <w:rPr>
          <w:rFonts w:ascii="Tahoma" w:hAnsi="Tahoma" w:cs="Tahoma"/>
          <w:i/>
        </w:rPr>
        <w:t>.</w:t>
      </w:r>
      <w:r>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PargrafodaLista"/>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PargrafodaLista"/>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não serão devidos pagamentos </w:t>
      </w:r>
      <w:r w:rsidR="00894F18">
        <w:rPr>
          <w:rFonts w:ascii="Tahoma" w:hAnsi="Tahoma" w:cs="Tahoma"/>
          <w:i/>
        </w:rPr>
        <w:t>do Valor Nominal Unitário das Debêntures</w:t>
      </w:r>
      <w:r w:rsidR="0094132D">
        <w:rPr>
          <w:rFonts w:ascii="Tahoma" w:hAnsi="Tahoma" w:cs="Tahoma"/>
          <w:i/>
        </w:rPr>
        <w:t>,</w:t>
      </w:r>
      <w:r w:rsidR="00B504DD" w:rsidRPr="00B504DD">
        <w:rPr>
          <w:rFonts w:ascii="Tahoma" w:hAnsi="Tahoma" w:cs="Tahoma"/>
          <w:i/>
        </w:rPr>
        <w:t xml:space="preserve"> </w:t>
      </w:r>
      <w:r w:rsidR="00894F18">
        <w:rPr>
          <w:rFonts w:ascii="Tahoma" w:hAnsi="Tahoma" w:cs="Tahoma"/>
          <w:i/>
        </w:rPr>
        <w:t>observado ainda a possibilidade de</w:t>
      </w:r>
      <w:r w:rsidRPr="00B504DD">
        <w:rPr>
          <w:rFonts w:ascii="Tahoma" w:hAnsi="Tahoma" w:cs="Tahoma"/>
          <w:i/>
        </w:rPr>
        <w:t xml:space="preserve"> declaração de vencimento antecipado, amortização extraordinária e/ou de resgate antecipado das Debêntures:</w:t>
      </w:r>
    </w:p>
    <w:tbl>
      <w:tblPr>
        <w:tblStyle w:val="Tabelacomgrade"/>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lastRenderedPageBreak/>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PargrafodaLista"/>
        <w:suppressAutoHyphens/>
        <w:spacing w:after="240" w:line="320" w:lineRule="exact"/>
        <w:rPr>
          <w:rFonts w:ascii="Tahoma" w:hAnsi="Tahoma" w:cs="Tahoma"/>
          <w:i/>
        </w:rPr>
      </w:pPr>
    </w:p>
    <w:p w:rsidR="009A46FA" w:rsidRPr="00B504DD" w:rsidRDefault="009A46FA" w:rsidP="009A46FA">
      <w:pPr>
        <w:pStyle w:val="PargrafodaLista"/>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janeiro e 20 de outubro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Data de Amortização das </w:t>
            </w:r>
            <w:r w:rsidRPr="00386E49">
              <w:rPr>
                <w:rFonts w:eastAsia="Arial Unicode MS" w:cs="Tahoma"/>
                <w:b/>
                <w:szCs w:val="22"/>
              </w:rPr>
              <w:lastRenderedPageBreak/>
              <w:t>Debêntures da Segunda 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lastRenderedPageBreak/>
              <w:t xml:space="preserve">Percentual Semestral </w:t>
            </w:r>
            <w:r w:rsidRPr="00386E49">
              <w:rPr>
                <w:rFonts w:eastAsia="Arial Unicode MS" w:cs="Tahoma"/>
                <w:b/>
                <w:szCs w:val="22"/>
              </w:rPr>
              <w:lastRenderedPageBreak/>
              <w:t xml:space="preserve">Amortizado do Valor 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lastRenderedPageBreak/>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F770FE" w:rsidRPr="0094013D" w:rsidTr="00391F84">
        <w:trPr>
          <w:jc w:val="center"/>
        </w:trPr>
        <w:tc>
          <w:tcPr>
            <w:tcW w:w="3352" w:type="dxa"/>
            <w:shd w:val="clear" w:color="auto" w:fill="auto"/>
          </w:tcPr>
          <w:p w:rsidR="00F770FE" w:rsidRPr="00386E49" w:rsidRDefault="00F770FE" w:rsidP="00391F84">
            <w:pPr>
              <w:jc w:val="center"/>
              <w:rPr>
                <w:rFonts w:cs="Tahoma"/>
                <w:color w:val="000000" w:themeColor="text1"/>
                <w:szCs w:val="22"/>
              </w:rPr>
            </w:pPr>
            <w:r>
              <w:rPr>
                <w:rFonts w:cs="Tahoma"/>
                <w:color w:val="000000" w:themeColor="text1"/>
                <w:szCs w:val="22"/>
              </w:rPr>
              <w:t>20 de julho de 2020</w:t>
            </w:r>
          </w:p>
        </w:tc>
        <w:tc>
          <w:tcPr>
            <w:tcW w:w="2830" w:type="dxa"/>
            <w:shd w:val="clear" w:color="auto" w:fill="auto"/>
            <w:vAlign w:val="center"/>
          </w:tcPr>
          <w:p w:rsidR="00F770FE" w:rsidRPr="00386E49" w:rsidRDefault="00F770FE" w:rsidP="00391F84">
            <w:pPr>
              <w:widowControl w:val="0"/>
              <w:tabs>
                <w:tab w:val="left" w:pos="709"/>
              </w:tabs>
              <w:spacing w:line="320" w:lineRule="exact"/>
              <w:jc w:val="center"/>
              <w:rPr>
                <w:rFonts w:cs="Tahoma"/>
                <w:color w:val="000000"/>
                <w:szCs w:val="22"/>
              </w:rPr>
            </w:pPr>
            <w:r>
              <w:rPr>
                <w:rFonts w:cs="Tahoma"/>
                <w:color w:val="000000"/>
                <w:szCs w:val="22"/>
              </w:rPr>
              <w:t>-</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20 de </w:t>
            </w:r>
            <w:r w:rsidR="00B504DD">
              <w:rPr>
                <w:rFonts w:cs="Tahoma"/>
                <w:color w:val="000000" w:themeColor="text1"/>
                <w:szCs w:val="22"/>
              </w:rPr>
              <w:t>outubro</w:t>
            </w:r>
            <w:r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PargrafodaLista"/>
        <w:suppressAutoHyphens/>
        <w:spacing w:after="240" w:line="320" w:lineRule="exact"/>
        <w:rPr>
          <w:rFonts w:ascii="Tahoma" w:hAnsi="Tahoma" w:cs="Tahoma"/>
          <w:i/>
        </w:rPr>
      </w:pPr>
    </w:p>
    <w:p w:rsidR="00DC6CC8" w:rsidRPr="00A6023D" w:rsidRDefault="00634DC9" w:rsidP="00A6023D">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as alíneas (t) e (u) n</w:t>
      </w:r>
      <w:r w:rsidR="00DC6CC8" w:rsidRPr="00A6023D">
        <w:rPr>
          <w:rFonts w:ascii="Tahoma" w:hAnsi="Tahoma" w:cs="Tahoma"/>
        </w:rPr>
        <w:t xml:space="preserve">a Cláusula </w:t>
      </w:r>
      <w:r w:rsidR="009A46FA" w:rsidRPr="009A46FA">
        <w:rPr>
          <w:rFonts w:ascii="Tahoma" w:hAnsi="Tahoma" w:cs="Tahoma"/>
        </w:rPr>
        <w:t xml:space="preserve">5.4.1.2. </w:t>
      </w:r>
      <w:r w:rsidR="00DC6CC8" w:rsidRPr="00A6023D">
        <w:rPr>
          <w:rFonts w:ascii="Tahoma" w:hAnsi="Tahoma" w:cs="Tahoma"/>
        </w:rPr>
        <w:t>da Escritura</w:t>
      </w:r>
      <w:r w:rsidR="001C0FA4">
        <w:rPr>
          <w:rFonts w:ascii="Tahoma" w:hAnsi="Tahoma" w:cs="Tahoma"/>
        </w:rPr>
        <w:t xml:space="preserve"> de Emissão</w:t>
      </w:r>
      <w:r w:rsidR="00DC6CC8" w:rsidRPr="00A6023D">
        <w:rPr>
          <w:rFonts w:ascii="Tahoma" w:hAnsi="Tahoma" w:cs="Tahoma"/>
        </w:rPr>
        <w:t xml:space="preserve">, </w:t>
      </w:r>
      <w:r>
        <w:rPr>
          <w:rFonts w:ascii="Tahoma" w:hAnsi="Tahoma" w:cs="Tahoma"/>
        </w:rPr>
        <w:t>as quais</w:t>
      </w:r>
      <w:r w:rsidR="00DC6CC8" w:rsidRPr="00A6023D">
        <w:rPr>
          <w:rFonts w:ascii="Tahoma" w:hAnsi="Tahoma" w:cs="Tahoma"/>
        </w:rPr>
        <w:t xml:space="preserve"> passar</w:t>
      </w:r>
      <w:r>
        <w:rPr>
          <w:rFonts w:ascii="Tahoma" w:hAnsi="Tahoma" w:cs="Tahoma"/>
        </w:rPr>
        <w:t>ão</w:t>
      </w:r>
      <w:r w:rsidR="00DC6CC8" w:rsidRPr="00A6023D">
        <w:rPr>
          <w:rFonts w:ascii="Tahoma" w:hAnsi="Tahoma" w:cs="Tahoma"/>
        </w:rPr>
        <w:t xml:space="preserve"> a vigorar com a</w:t>
      </w:r>
      <w:r>
        <w:rPr>
          <w:rFonts w:ascii="Tahoma" w:hAnsi="Tahoma" w:cs="Tahoma"/>
        </w:rPr>
        <w:t>s</w:t>
      </w:r>
      <w:r w:rsidR="00DC6CC8" w:rsidRPr="00A6023D">
        <w:rPr>
          <w:rFonts w:ascii="Tahoma" w:hAnsi="Tahoma" w:cs="Tahoma"/>
        </w:rPr>
        <w:t xml:space="preserve"> seguinte</w:t>
      </w:r>
      <w:r>
        <w:rPr>
          <w:rFonts w:ascii="Tahoma" w:hAnsi="Tahoma" w:cs="Tahoma"/>
        </w:rPr>
        <w:t>s</w:t>
      </w:r>
      <w:r w:rsidR="00DC6CC8" w:rsidRPr="00A6023D">
        <w:rPr>
          <w:rFonts w:ascii="Tahoma" w:hAnsi="Tahoma" w:cs="Tahoma"/>
        </w:rPr>
        <w:t xml:space="preserve"> redaç</w:t>
      </w:r>
      <w:r>
        <w:rPr>
          <w:rFonts w:ascii="Tahoma" w:hAnsi="Tahoma" w:cs="Tahoma"/>
        </w:rPr>
        <w:t>ões</w:t>
      </w:r>
      <w:r w:rsidR="00DC6CC8" w:rsidRPr="00A6023D">
        <w:rPr>
          <w:rFonts w:ascii="Tahoma" w:hAnsi="Tahoma" w:cs="Tahoma"/>
        </w:rPr>
        <w:t xml:space="preserve">: </w:t>
      </w:r>
    </w:p>
    <w:p w:rsidR="00634DC9" w:rsidRDefault="00DC6CC8" w:rsidP="00634DC9">
      <w:pPr>
        <w:pStyle w:val="PargrafodaLista"/>
        <w:suppressAutoHyphens/>
        <w:spacing w:after="240" w:line="320" w:lineRule="exact"/>
        <w:jc w:val="both"/>
        <w:rPr>
          <w:rFonts w:ascii="Tahoma" w:hAnsi="Tahoma" w:cs="Tahoma"/>
          <w:i/>
        </w:rPr>
      </w:pPr>
      <w:r w:rsidRPr="00A6023D">
        <w:rPr>
          <w:rFonts w:ascii="Tahoma" w:hAnsi="Tahoma" w:cs="Tahoma"/>
          <w:i/>
        </w:rPr>
        <w:t>“</w:t>
      </w:r>
      <w:r w:rsidR="00634DC9">
        <w:rPr>
          <w:rFonts w:ascii="Tahoma" w:hAnsi="Tahoma" w:cs="Tahoma"/>
          <w:i/>
        </w:rPr>
        <w:t>5.4.1.2.</w:t>
      </w:r>
      <w:r w:rsidR="00634DC9">
        <w:rPr>
          <w:rFonts w:ascii="Tahoma" w:hAnsi="Tahoma" w:cs="Tahoma"/>
          <w:i/>
        </w:rPr>
        <w:tab/>
      </w:r>
      <w:r w:rsidR="00634DC9" w:rsidRPr="00634DC9">
        <w:rPr>
          <w:rFonts w:ascii="Tahoma" w:hAnsi="Tahoma" w:cs="Tahoma"/>
          <w:i/>
        </w:rPr>
        <w:t>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(t) </w:t>
      </w:r>
      <w:r>
        <w:rPr>
          <w:rFonts w:ascii="Tahoma" w:hAnsi="Tahoma" w:cs="Tahoma"/>
          <w:i/>
        </w:rPr>
        <w:tab/>
      </w:r>
      <w:r w:rsidR="00142818" w:rsidRPr="0082217C">
        <w:rPr>
          <w:rFonts w:ascii="Tahoma" w:hAnsi="Tahoma" w:cs="Tahoma"/>
          <w:i/>
        </w:rPr>
        <w:t>caso a Emissora incorra em custos com</w:t>
      </w:r>
      <w:r w:rsidRPr="00142818">
        <w:rPr>
          <w:rFonts w:ascii="Tahoma" w:hAnsi="Tahoma" w:cs="Tahoma"/>
          <w:i/>
        </w:rPr>
        <w:t xml:space="preserve"> CAPEX (</w:t>
      </w:r>
      <w:r w:rsidR="00894F18" w:rsidRPr="00142818">
        <w:rPr>
          <w:rFonts w:ascii="Tahoma" w:hAnsi="Tahoma" w:cs="Tahoma"/>
          <w:i/>
        </w:rPr>
        <w:t>assim considerad</w:t>
      </w:r>
      <w:r w:rsidR="00142818" w:rsidRPr="0082217C">
        <w:rPr>
          <w:rFonts w:ascii="Tahoma" w:hAnsi="Tahoma" w:cs="Tahoma"/>
          <w:i/>
        </w:rPr>
        <w:t>o</w:t>
      </w:r>
      <w:r w:rsidR="00894F18" w:rsidRPr="00142818">
        <w:rPr>
          <w:rFonts w:ascii="Tahoma" w:hAnsi="Tahoma" w:cs="Tahoma"/>
          <w:i/>
        </w:rPr>
        <w:t xml:space="preserve">s </w:t>
      </w:r>
      <w:r w:rsidR="00142818" w:rsidRPr="0082217C">
        <w:rPr>
          <w:rFonts w:ascii="Tahoma" w:hAnsi="Tahoma" w:cs="Tahoma"/>
          <w:i/>
        </w:rPr>
        <w:t xml:space="preserve">custos e </w:t>
      </w:r>
      <w:r w:rsidR="00894F18" w:rsidRPr="00142818">
        <w:rPr>
          <w:rFonts w:ascii="Tahoma" w:hAnsi="Tahoma" w:cs="Tahoma"/>
          <w:i/>
        </w:rPr>
        <w:t>d</w:t>
      </w:r>
      <w:r w:rsidR="00894F18" w:rsidRPr="0082217C">
        <w:rPr>
          <w:rFonts w:ascii="Arial" w:hAnsi="Arial" w:cs="Arial"/>
          <w:i/>
          <w:color w:val="222222"/>
          <w:shd w:val="clear" w:color="auto" w:fill="FFFFFF"/>
        </w:rPr>
        <w:t xml:space="preserve">espesas de capital </w:t>
      </w:r>
      <w:r w:rsidR="00142818" w:rsidRPr="0082217C">
        <w:rPr>
          <w:rFonts w:ascii="Arial" w:hAnsi="Arial" w:cs="Arial"/>
          <w:i/>
          <w:color w:val="222222"/>
          <w:shd w:val="clear" w:color="auto" w:fill="FFFFFF"/>
        </w:rPr>
        <w:t>e/</w:t>
      </w:r>
      <w:r w:rsidR="00894F18" w:rsidRPr="0082217C">
        <w:rPr>
          <w:rFonts w:ascii="Arial" w:hAnsi="Arial" w:cs="Arial"/>
          <w:i/>
          <w:color w:val="222222"/>
          <w:shd w:val="clear" w:color="auto" w:fill="FFFFFF"/>
        </w:rPr>
        <w:t>ou investimento</w:t>
      </w:r>
      <w:r w:rsidR="00142818" w:rsidRPr="0082217C">
        <w:rPr>
          <w:rFonts w:ascii="Arial" w:hAnsi="Arial" w:cs="Arial"/>
          <w:i/>
          <w:color w:val="222222"/>
          <w:shd w:val="clear" w:color="auto" w:fill="FFFFFF"/>
        </w:rPr>
        <w:t>s</w:t>
      </w:r>
      <w:r w:rsidR="00894F18" w:rsidRPr="0082217C">
        <w:rPr>
          <w:rFonts w:ascii="Arial" w:hAnsi="Arial" w:cs="Arial"/>
          <w:i/>
          <w:color w:val="222222"/>
          <w:shd w:val="clear" w:color="auto" w:fill="FFFFFF"/>
        </w:rPr>
        <w:t xml:space="preserve"> </w:t>
      </w:r>
      <w:r w:rsidR="00142818" w:rsidRPr="0082217C">
        <w:rPr>
          <w:rFonts w:ascii="Arial" w:hAnsi="Arial" w:cs="Arial"/>
          <w:i/>
          <w:color w:val="222222"/>
          <w:shd w:val="clear" w:color="auto" w:fill="FFFFFF"/>
        </w:rPr>
        <w:t xml:space="preserve">realizados </w:t>
      </w:r>
      <w:r w:rsidR="00894F18" w:rsidRPr="0082217C">
        <w:rPr>
          <w:rFonts w:ascii="Arial" w:hAnsi="Arial" w:cs="Arial"/>
          <w:i/>
          <w:color w:val="222222"/>
          <w:shd w:val="clear" w:color="auto" w:fill="FFFFFF"/>
        </w:rPr>
        <w:t>em bens de capital</w:t>
      </w:r>
      <w:r w:rsidRPr="00142818">
        <w:rPr>
          <w:rFonts w:ascii="Tahoma" w:hAnsi="Tahoma" w:cs="Tahoma"/>
          <w:i/>
        </w:rPr>
        <w:t xml:space="preserve">) em montante superior a R$ 22.000.000,00 (vinte e dois milhões de reais) </w:t>
      </w:r>
      <w:r w:rsidR="00210B49">
        <w:rPr>
          <w:rFonts w:ascii="Tahoma" w:hAnsi="Tahoma" w:cs="Tahoma"/>
          <w:i/>
        </w:rPr>
        <w:t xml:space="preserve">durante o exercício social </w:t>
      </w:r>
      <w:r w:rsidR="00210B49" w:rsidRPr="00142818">
        <w:rPr>
          <w:rFonts w:ascii="Tahoma" w:hAnsi="Tahoma" w:cs="Tahoma"/>
          <w:i/>
        </w:rPr>
        <w:t xml:space="preserve"> </w:t>
      </w:r>
      <w:r w:rsidR="00210B49">
        <w:rPr>
          <w:rFonts w:ascii="Tahoma" w:hAnsi="Tahoma" w:cs="Tahoma"/>
          <w:i/>
        </w:rPr>
        <w:t xml:space="preserve">de </w:t>
      </w:r>
      <w:r w:rsidRPr="00634DC9">
        <w:rPr>
          <w:rFonts w:ascii="Tahoma" w:hAnsi="Tahoma" w:cs="Tahoma"/>
          <w:i/>
        </w:rPr>
        <w:t xml:space="preserve">2020; e </w:t>
      </w:r>
    </w:p>
    <w:p w:rsidR="00DC6CC8"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(u) </w:t>
      </w:r>
      <w:r>
        <w:rPr>
          <w:rFonts w:ascii="Tahoma" w:hAnsi="Tahoma" w:cs="Tahoma"/>
          <w:i/>
        </w:rPr>
        <w:tab/>
      </w:r>
      <w:r w:rsidR="00201AE6" w:rsidRPr="00201AE6">
        <w:rPr>
          <w:rFonts w:ascii="Tahoma" w:hAnsi="Tahoma" w:cs="Tahoma"/>
          <w:i/>
        </w:rPr>
        <w:t>abertura de novas lojas durante o exercício social de 2020, exceto pela abertura de 10 (dez) novas lojas, sendo 3 (três) lojas já abertas e 7 (sete) lojas em fase de obras</w:t>
      </w:r>
      <w:r w:rsidRPr="0082217C">
        <w:rPr>
          <w:rFonts w:ascii="Tahoma" w:hAnsi="Tahoma" w:cs="Tahoma"/>
          <w:i/>
        </w:rPr>
        <w:t>.</w:t>
      </w:r>
      <w:r w:rsidR="00DC6CC8" w:rsidRPr="0082217C">
        <w:rPr>
          <w:rFonts w:ascii="Tahoma" w:hAnsi="Tahoma" w:cs="Tahoma"/>
          <w:i/>
        </w:rPr>
        <w:t>”</w:t>
      </w:r>
    </w:p>
    <w:p w:rsidR="001C0FA4" w:rsidRPr="00A6023D" w:rsidRDefault="001C0FA4" w:rsidP="001C0FA4">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o inciso (xxiv) n</w:t>
      </w:r>
      <w:r w:rsidRPr="00A6023D">
        <w:rPr>
          <w:rFonts w:ascii="Tahoma" w:hAnsi="Tahoma" w:cs="Tahoma"/>
        </w:rPr>
        <w:t xml:space="preserve">a Cláusula </w:t>
      </w:r>
      <w:r>
        <w:rPr>
          <w:rFonts w:ascii="Tahoma" w:hAnsi="Tahoma" w:cs="Tahoma"/>
        </w:rPr>
        <w:t>9.1</w:t>
      </w:r>
      <w:r w:rsidRPr="009A46FA">
        <w:rPr>
          <w:rFonts w:ascii="Tahoma" w:hAnsi="Tahoma" w:cs="Tahoma"/>
        </w:rPr>
        <w:t xml:space="preserve">. </w:t>
      </w:r>
      <w:r w:rsidRPr="00A6023D">
        <w:rPr>
          <w:rFonts w:ascii="Tahoma" w:hAnsi="Tahoma" w:cs="Tahoma"/>
        </w:rPr>
        <w:t>da Escritura</w:t>
      </w:r>
      <w:r>
        <w:rPr>
          <w:rFonts w:ascii="Tahoma" w:hAnsi="Tahoma" w:cs="Tahoma"/>
        </w:rPr>
        <w:t xml:space="preserve"> de Emissão</w:t>
      </w:r>
      <w:r w:rsidRPr="00A6023D">
        <w:rPr>
          <w:rFonts w:ascii="Tahoma" w:hAnsi="Tahoma" w:cs="Tahoma"/>
        </w:rPr>
        <w:t xml:space="preserve">, </w:t>
      </w:r>
      <w:r>
        <w:rPr>
          <w:rFonts w:ascii="Tahoma" w:hAnsi="Tahoma" w:cs="Tahoma"/>
        </w:rPr>
        <w:t>as quais</w:t>
      </w:r>
      <w:r w:rsidRPr="00A6023D">
        <w:rPr>
          <w:rFonts w:ascii="Tahoma" w:hAnsi="Tahoma" w:cs="Tahoma"/>
        </w:rPr>
        <w:t xml:space="preserve"> passar</w:t>
      </w:r>
      <w:r>
        <w:rPr>
          <w:rFonts w:ascii="Tahoma" w:hAnsi="Tahoma" w:cs="Tahoma"/>
        </w:rPr>
        <w:t>ão</w:t>
      </w:r>
      <w:r w:rsidRPr="00A6023D">
        <w:rPr>
          <w:rFonts w:ascii="Tahoma" w:hAnsi="Tahoma" w:cs="Tahoma"/>
        </w:rPr>
        <w:t xml:space="preserve"> a vigorar com a</w:t>
      </w:r>
      <w:r>
        <w:rPr>
          <w:rFonts w:ascii="Tahoma" w:hAnsi="Tahoma" w:cs="Tahoma"/>
        </w:rPr>
        <w:t>s</w:t>
      </w:r>
      <w:r w:rsidRPr="00A6023D">
        <w:rPr>
          <w:rFonts w:ascii="Tahoma" w:hAnsi="Tahoma" w:cs="Tahoma"/>
        </w:rPr>
        <w:t xml:space="preserve"> seguinte</w:t>
      </w:r>
      <w:r>
        <w:rPr>
          <w:rFonts w:ascii="Tahoma" w:hAnsi="Tahoma" w:cs="Tahoma"/>
        </w:rPr>
        <w:t>s</w:t>
      </w:r>
      <w:r w:rsidRPr="00A6023D">
        <w:rPr>
          <w:rFonts w:ascii="Tahoma" w:hAnsi="Tahoma" w:cs="Tahoma"/>
        </w:rPr>
        <w:t xml:space="preserve"> redaç</w:t>
      </w:r>
      <w:r>
        <w:rPr>
          <w:rFonts w:ascii="Tahoma" w:hAnsi="Tahoma" w:cs="Tahoma"/>
        </w:rPr>
        <w:t>ões</w:t>
      </w:r>
      <w:r w:rsidRPr="00A6023D">
        <w:rPr>
          <w:rFonts w:ascii="Tahoma" w:hAnsi="Tahoma" w:cs="Tahoma"/>
        </w:rPr>
        <w:t xml:space="preserve">: </w:t>
      </w:r>
    </w:p>
    <w:p w:rsidR="001C0FA4" w:rsidRPr="001C0FA4" w:rsidRDefault="001C0FA4" w:rsidP="001C0FA4">
      <w:pPr>
        <w:pStyle w:val="PargrafodaLista"/>
        <w:suppressAutoHyphens/>
        <w:spacing w:after="240" w:line="320" w:lineRule="exact"/>
        <w:jc w:val="both"/>
        <w:rPr>
          <w:rFonts w:ascii="Tahoma" w:hAnsi="Tahoma" w:cs="Tahoma"/>
          <w:i/>
        </w:rPr>
      </w:pPr>
      <w:r>
        <w:rPr>
          <w:rFonts w:ascii="Tahoma" w:hAnsi="Tahoma" w:cs="Tahoma"/>
          <w:i/>
        </w:rPr>
        <w:t>“</w:t>
      </w:r>
      <w:r w:rsidRPr="001C0FA4">
        <w:rPr>
          <w:rFonts w:ascii="Tahoma" w:hAnsi="Tahoma" w:cs="Tahoma"/>
          <w:i/>
        </w:rPr>
        <w:t xml:space="preserve">9.1. </w:t>
      </w:r>
      <w:r w:rsidRPr="001C0FA4">
        <w:rPr>
          <w:rFonts w:ascii="Tahoma" w:hAnsi="Tahoma" w:cs="Tahoma"/>
          <w:i/>
        </w:rPr>
        <w:tab/>
        <w:t>A Emissora declara e garante, nesta data e na Data de Integralização, que:</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lastRenderedPageBreak/>
        <w:t>(</w:t>
      </w:r>
      <w:r w:rsidR="00343991">
        <w:rPr>
          <w:rFonts w:ascii="Tahoma" w:hAnsi="Tahoma" w:cs="Tahoma"/>
          <w:i/>
        </w:rPr>
        <w:t>x</w:t>
      </w:r>
      <w:r w:rsidRPr="001C0FA4">
        <w:rPr>
          <w:rFonts w:ascii="Tahoma" w:hAnsi="Tahoma" w:cs="Tahoma"/>
          <w:i/>
        </w:rPr>
        <w:t xml:space="preserve">xiv) </w:t>
      </w:r>
      <w:r w:rsidRPr="001C0FA4">
        <w:rPr>
          <w:rFonts w:ascii="Tahoma" w:hAnsi="Tahoma" w:cs="Tahoma"/>
          <w:i/>
        </w:rPr>
        <w:tab/>
        <w:t xml:space="preserve">para todos os fins de direito e observando-se a alocação de riscos descrita no artigo 421-A do Código Civil, de forma irrevogável e irretratável, que os bens dados em garantia no âmbito da Emissão, conforme descritos na Escritura e nos Contratos de Garantia, não constituem bens de capital e/ou bens essenciais à sua atividade empresarial, inclusive para os efeitos da Lei nº 11.101, de 9 de fevereiro de 2005, conforme alterada,  bem como renuncia </w:t>
      </w:r>
      <w:r w:rsidR="00D42C97">
        <w:rPr>
          <w:rFonts w:ascii="Tahoma" w:hAnsi="Tahoma" w:cs="Tahoma"/>
          <w:i/>
        </w:rPr>
        <w:t xml:space="preserve">a </w:t>
      </w:r>
      <w:r w:rsidRPr="001C0FA4">
        <w:rPr>
          <w:rFonts w:ascii="Tahoma" w:hAnsi="Tahoma" w:cs="Tahoma"/>
          <w:i/>
        </w:rPr>
        <w:t>qualquer prerrogativa, atual ou futura de pleitear ou de qualquer outra forma discutir, em juízo ou fora dele, o reconhecimento da essencialidade ou de qualquer outro argumento correlato que venha a impedir/obstar a excussão das garantias</w:t>
      </w:r>
      <w:r>
        <w:rPr>
          <w:rFonts w:ascii="Tahoma" w:hAnsi="Tahoma" w:cs="Tahoma"/>
          <w:i/>
        </w:rPr>
        <w:t>.”</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QUINTA – DISPOSIÇÕES GERAIS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w:t>
      </w:r>
      <w:r w:rsidRPr="00A6023D">
        <w:rPr>
          <w:rFonts w:ascii="Tahoma" w:hAnsi="Tahoma" w:cs="Tahoma"/>
        </w:rPr>
        <w:lastRenderedPageBreak/>
        <w:t xml:space="preserve">comprometendo-se as Partes, em boa-fé, a substituírem as disposições afetadas por outra que, na medida do possível, produza o mesmo efeito.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regido pelas Leis da República Federativa do Brasil.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 xml:space="preserve">São Paulo, </w:t>
      </w:r>
      <w:r w:rsidR="006072BF">
        <w:rPr>
          <w:rFonts w:cs="Tahoma"/>
          <w:szCs w:val="22"/>
        </w:rPr>
        <w:t>28</w:t>
      </w:r>
      <w:r w:rsidRPr="00A6023D">
        <w:rPr>
          <w:rFonts w:cs="Tahoma"/>
          <w:szCs w:val="22"/>
        </w:rPr>
        <w:t xml:space="preserve"> de abril</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headerReference w:type="default" r:id="rId12"/>
      <w:footerReference w:type="default" r:id="rId13"/>
      <w:headerReference w:type="first" r:id="rId14"/>
      <w:footerReference w:type="first" r:id="rId15"/>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8D" w:rsidRPr="00FF668D" w:rsidRDefault="00506BC2">
    <w:pPr>
      <w:pStyle w:val="Rodap"/>
      <w:jc w:val="right"/>
      <w:rPr>
        <w:sz w:val="20"/>
        <w:szCs w:val="20"/>
      </w:rPr>
    </w:pPr>
    <w:sdt>
      <w:sdtPr>
        <w:id w:val="447050488"/>
        <w:docPartObj>
          <w:docPartGallery w:val="Page Numbers (Bottom of Page)"/>
          <w:docPartUnique/>
        </w:docPartObj>
      </w:sdtPr>
      <w:sdtEndPr>
        <w:rPr>
          <w:sz w:val="20"/>
          <w:szCs w:val="20"/>
        </w:rPr>
      </w:sdtEndPr>
      <w:sdtContent>
        <w:r w:rsidR="00FF668D" w:rsidRPr="00FF668D">
          <w:rPr>
            <w:sz w:val="20"/>
            <w:szCs w:val="20"/>
          </w:rPr>
          <w:fldChar w:fldCharType="begin"/>
        </w:r>
        <w:r w:rsidR="00FF668D" w:rsidRPr="00FF668D">
          <w:rPr>
            <w:sz w:val="20"/>
            <w:szCs w:val="20"/>
          </w:rPr>
          <w:instrText>PAGE   \* MERGEFORMAT</w:instrText>
        </w:r>
        <w:r w:rsidR="00FF668D" w:rsidRPr="00FF668D">
          <w:rPr>
            <w:sz w:val="20"/>
            <w:szCs w:val="20"/>
          </w:rPr>
          <w:fldChar w:fldCharType="separate"/>
        </w:r>
        <w:r w:rsidR="00474895">
          <w:rPr>
            <w:noProof/>
            <w:sz w:val="20"/>
            <w:szCs w:val="20"/>
          </w:rPr>
          <w:t>4</w:t>
        </w:r>
        <w:r w:rsidR="00FF668D" w:rsidRPr="00FF668D">
          <w:rPr>
            <w:sz w:val="20"/>
            <w:szCs w:val="20"/>
          </w:rPr>
          <w:fldChar w:fldCharType="end"/>
        </w:r>
      </w:sdtContent>
    </w:sdt>
  </w:p>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116074" w:rsidP="004247B2">
    <w:pPr>
      <w:pStyle w:val="Rodap"/>
      <w:jc w:val="right"/>
      <w:rPr>
        <w:szCs w:val="18"/>
      </w:rPr>
    </w:pPr>
  </w:p>
  <w:sdt>
    <w:sdtPr>
      <w:id w:val="-908302178"/>
      <w:docPartObj>
        <w:docPartGallery w:val="Page Numbers (Bottom of Page)"/>
        <w:docPartUnique/>
      </w:docPartObj>
    </w:sdtPr>
    <w:sdtEndPr>
      <w:rPr>
        <w:szCs w:val="18"/>
      </w:rPr>
    </w:sdtEndPr>
    <w:sdtContent>
      <w:p w:rsidR="00116074" w:rsidRPr="004247B2" w:rsidRDefault="00506BC2"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AE" w:rsidRDefault="00CC6CAE">
      <w:r>
        <w:separator/>
      </w:r>
    </w:p>
  </w:footnote>
  <w:footnote w:type="continuationSeparator" w:id="0">
    <w:p w:rsidR="00CC6CAE" w:rsidRDefault="00CC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6E" w:rsidRDefault="00D60E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6E" w:rsidRDefault="00D60E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1AE6"/>
    <w:rsid w:val="00205F48"/>
    <w:rsid w:val="00210B49"/>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3991"/>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4895"/>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06BC2"/>
    <w:rsid w:val="00512D76"/>
    <w:rsid w:val="00521CD3"/>
    <w:rsid w:val="00526FFB"/>
    <w:rsid w:val="005370B4"/>
    <w:rsid w:val="00542F9B"/>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072BF"/>
    <w:rsid w:val="006174A0"/>
    <w:rsid w:val="00621341"/>
    <w:rsid w:val="00634509"/>
    <w:rsid w:val="00634DC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CF314D"/>
    <w:rsid w:val="00D022B7"/>
    <w:rsid w:val="00D046EA"/>
    <w:rsid w:val="00D05597"/>
    <w:rsid w:val="00D07B81"/>
    <w:rsid w:val="00D352DF"/>
    <w:rsid w:val="00D42C97"/>
    <w:rsid w:val="00D4342E"/>
    <w:rsid w:val="00D47017"/>
    <w:rsid w:val="00D60E6E"/>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B2CFD"/>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70FE"/>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
    <w:name w:val="Body Text"/>
    <w:aliases w:val="b"/>
    <w:basedOn w:val="Normal"/>
    <w:link w:val="CorpodetextoChar"/>
    <w:uiPriority w:val="99"/>
    <w:semiHidden/>
    <w:rsid w:val="009131C5"/>
    <w:pPr>
      <w:spacing w:after="120" w:line="240" w:lineRule="auto"/>
      <w:jc w:val="left"/>
    </w:pPr>
    <w:rPr>
      <w:rFonts w:ascii="Times New Roman" w:hAnsi="Times New Roman"/>
      <w:sz w:val="24"/>
    </w:rPr>
  </w:style>
  <w:style w:type="character" w:customStyle="1" w:styleId="CorpodetextoChar">
    <w:name w:val="Corpo de texto Char"/>
    <w:aliases w:val="b Char"/>
    <w:basedOn w:val="Fontepargpadro"/>
    <w:link w:val="Corpodetexto"/>
    <w:uiPriority w:val="99"/>
    <w:semiHidden/>
    <w:rsid w:val="009131C5"/>
    <w:rPr>
      <w:sz w:val="24"/>
      <w:szCs w:val="24"/>
    </w:rPr>
  </w:style>
  <w:style w:type="character" w:styleId="Refdecomentrio">
    <w:name w:val="annotation reference"/>
    <w:basedOn w:val="Fontepargpadro"/>
    <w:uiPriority w:val="99"/>
    <w:semiHidden/>
    <w:unhideWhenUsed/>
    <w:rsid w:val="00FF668D"/>
    <w:rPr>
      <w:sz w:val="16"/>
      <w:szCs w:val="16"/>
    </w:rPr>
  </w:style>
  <w:style w:type="paragraph" w:styleId="Textodecomentrio">
    <w:name w:val="annotation text"/>
    <w:basedOn w:val="Normal"/>
    <w:link w:val="Textodecomentrio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F668D"/>
    <w:rPr>
      <w:rFonts w:asciiTheme="minorHAnsi" w:eastAsiaTheme="minorHAnsi" w:hAnsiTheme="minorHAnsi" w:cstheme="minorBidi"/>
      <w:lang w:eastAsia="en-US"/>
    </w:rPr>
  </w:style>
  <w:style w:type="character" w:styleId="Nmerodepgina">
    <w:name w:val="page number"/>
    <w:basedOn w:val="Fontepargpadro"/>
    <w:rsid w:val="00DC6CC8"/>
  </w:style>
  <w:style w:type="paragraph" w:styleId="PargrafodaLista">
    <w:name w:val="List Paragraph"/>
    <w:basedOn w:val="Normal"/>
    <w:link w:val="PargrafodaListaChar"/>
    <w:uiPriority w:val="99"/>
    <w:qFormat/>
    <w:rsid w:val="00DC6CC8"/>
    <w:pPr>
      <w:spacing w:line="240" w:lineRule="auto"/>
      <w:ind w:left="720"/>
      <w:jc w:val="left"/>
    </w:pPr>
    <w:rPr>
      <w:rFonts w:ascii="Calibri" w:eastAsia="Calibri" w:hAnsi="Calibri"/>
      <w:szCs w:val="22"/>
    </w:rPr>
  </w:style>
  <w:style w:type="character" w:customStyle="1" w:styleId="PargrafodaListaChar">
    <w:name w:val="Parágrafo da Lista Char"/>
    <w:link w:val="PargrafodaLista"/>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A02-7386-43F0-9F31-20CEC20E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3425</Words>
  <Characters>18495</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Juliana Roshi Muto Soares</cp:lastModifiedBy>
  <cp:revision>4</cp:revision>
  <cp:lastPrinted>2014-10-09T17:03:00Z</cp:lastPrinted>
  <dcterms:created xsi:type="dcterms:W3CDTF">2020-04-28T01:40:00Z</dcterms:created>
  <dcterms:modified xsi:type="dcterms:W3CDTF">2020-04-29T00:24:00Z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2020-04-27T21:25:03.5236305Z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6fcd9bc6-69f6-48ba-81ca-b35c162220eb</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2020-04-27T21:25:03.5236305Z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6fcd9bc6-69f6-48ba-81ca-b35c162220eb</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MSIP_Label_4fc996bf-6aee-415c-aa4c-e35ad0009c67_Enabled">
    <vt:lpwstr>True</vt:lpwstr>
  </property>
  <property fmtid="{D5CDD505-2E9C-101B-9397-08002B2CF9AE}" pid="20" name="MSIP_Label_4fc996bf-6aee-415c-aa4c-e35ad0009c67_SiteId">
    <vt:lpwstr>591669a0-183f-49a5-98f4-9aa0d0b63d81</vt:lpwstr>
  </property>
  <property fmtid="{D5CDD505-2E9C-101B-9397-08002B2CF9AE}" pid="21" name="MSIP_Label_4fc996bf-6aee-415c-aa4c-e35ad0009c67_Owner">
    <vt:lpwstr>thais.dias@itaubba.com</vt:lpwstr>
  </property>
  <property fmtid="{D5CDD505-2E9C-101B-9397-08002B2CF9AE}" pid="22" name="MSIP_Label_4fc996bf-6aee-415c-aa4c-e35ad0009c67_SetDate">
    <vt:lpwstr>2020-04-20T19:18:58.8642256Z</vt:lpwstr>
  </property>
  <property fmtid="{D5CDD505-2E9C-101B-9397-08002B2CF9AE}" pid="23" name="MSIP_Label_4fc996bf-6aee-415c-aa4c-e35ad0009c67_Name">
    <vt:lpwstr>Compartilhamento Interno</vt:lpwstr>
  </property>
  <property fmtid="{D5CDD505-2E9C-101B-9397-08002B2CF9AE}" pid="24" name="MSIP_Label_4fc996bf-6aee-415c-aa4c-e35ad0009c67_Application">
    <vt:lpwstr>Microsoft Azure Information Protection</vt:lpwstr>
  </property>
  <property fmtid="{D5CDD505-2E9C-101B-9397-08002B2CF9AE}" pid="25" name="MSIP_Label_4fc996bf-6aee-415c-aa4c-e35ad0009c67_ActionId">
    <vt:lpwstr>9db046ff-e14d-4237-9c21-6740ddf1370d</vt:lpwstr>
  </property>
  <property fmtid="{D5CDD505-2E9C-101B-9397-08002B2CF9AE}" pid="26" name="MSIP_Label_4fc996bf-6aee-415c-aa4c-e35ad0009c67_Extended_MSFT_Method">
    <vt:lpwstr>Automatic</vt:lpwstr>
  </property>
  <property fmtid="{D5CDD505-2E9C-101B-9397-08002B2CF9AE}" pid="27" name="MSIP_Label_7bc6e253-7033-4299-b83e-6575a0ec40c3_Enabled">
    <vt:lpwstr>True</vt:lpwstr>
  </property>
  <property fmtid="{D5CDD505-2E9C-101B-9397-08002B2CF9AE}" pid="28" name="MSIP_Label_7bc6e253-7033-4299-b83e-6575a0ec40c3_SiteId">
    <vt:lpwstr>591669a0-183f-49a5-98f4-9aa0d0b63d81</vt:lpwstr>
  </property>
  <property fmtid="{D5CDD505-2E9C-101B-9397-08002B2CF9AE}" pid="29" name="MSIP_Label_7bc6e253-7033-4299-b83e-6575a0ec40c3_Owner">
    <vt:lpwstr>thais.dias@itaubba.com</vt:lpwstr>
  </property>
  <property fmtid="{D5CDD505-2E9C-101B-9397-08002B2CF9AE}" pid="30" name="MSIP_Label_7bc6e253-7033-4299-b83e-6575a0ec40c3_SetDate">
    <vt:lpwstr>2020-04-20T19:18:58.8642256Z</vt:lpwstr>
  </property>
  <property fmtid="{D5CDD505-2E9C-101B-9397-08002B2CF9AE}" pid="31" name="MSIP_Label_7bc6e253-7033-4299-b83e-6575a0ec40c3_Name">
    <vt:lpwstr>Corporativo</vt:lpwstr>
  </property>
  <property fmtid="{D5CDD505-2E9C-101B-9397-08002B2CF9AE}" pid="32" name="MSIP_Label_7bc6e253-7033-4299-b83e-6575a0ec40c3_Application">
    <vt:lpwstr>Microsoft Azure Information Protection</vt:lpwstr>
  </property>
  <property fmtid="{D5CDD505-2E9C-101B-9397-08002B2CF9AE}" pid="33" name="MSIP_Label_7bc6e253-7033-4299-b83e-6575a0ec40c3_ActionId">
    <vt:lpwstr>9db046ff-e14d-4237-9c21-6740ddf1370d</vt:lpwstr>
  </property>
  <property fmtid="{D5CDD505-2E9C-101B-9397-08002B2CF9AE}" pid="34" name="MSIP_Label_7bc6e253-7033-4299-b83e-6575a0ec40c3_Extended_MSFT_Method">
    <vt:lpwstr>Automatic</vt:lpwstr>
  </property>
  <property fmtid="{D5CDD505-2E9C-101B-9397-08002B2CF9AE}" pid="35" name="Sensitivity">
    <vt:lpwstr>#Público Sem marca d´água Compartilhamento Interno Corporativo</vt:lpwstr>
  </property>
</Properties>
</file>