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rsidR="002B4081" w:rsidRDefault="002B4081" w:rsidP="002B4081">
      <w:pPr>
        <w:pStyle w:val="Texto-MattosFilho"/>
      </w:pPr>
    </w:p>
    <w:p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w:t>
      </w:r>
      <w:bookmarkStart w:id="0" w:name="_GoBack"/>
      <w:bookmarkEnd w:id="0"/>
      <w:r>
        <w:t>lebrado entre:</w:t>
      </w:r>
    </w:p>
    <w:p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primeira emissão de debêntures simples, não conversíveis em ações, da espécie quirografária, , com garantia adicional fidejussória,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rsidR="002B4081" w:rsidRP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rsidR="002B4081" w:rsidRDefault="002B4081" w:rsidP="002B4081">
      <w:pPr>
        <w:pStyle w:val="ContratoTexto"/>
        <w:suppressAutoHyphens/>
        <w:spacing w:before="0" w:after="0" w:line="320" w:lineRule="exact"/>
        <w:rPr>
          <w:rFonts w:ascii="Tahoma" w:hAnsi="Tahoma" w:cs="Tahoma"/>
          <w:sz w:val="22"/>
          <w:szCs w:val="22"/>
        </w:rPr>
      </w:pPr>
    </w:p>
    <w:p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rsidR="002B4081" w:rsidRDefault="002B4081" w:rsidP="002B4081">
      <w:pPr>
        <w:pStyle w:val="ContratoTexto"/>
        <w:suppressAutoHyphens/>
        <w:spacing w:before="0" w:after="0" w:line="320" w:lineRule="exact"/>
        <w:rPr>
          <w:rFonts w:ascii="Tahoma" w:hAnsi="Tahoma" w:cs="Tahoma"/>
          <w:b/>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w:t>
      </w:r>
      <w:r>
        <w:rPr>
          <w:rFonts w:ascii="Tahoma" w:hAnsi="Tahoma" w:cs="Tahoma"/>
          <w:sz w:val="22"/>
          <w:szCs w:val="22"/>
        </w:rPr>
        <w:lastRenderedPageBreak/>
        <w:t xml:space="preserve">Agente Fiduciário, na qualidade de agente fiduciário, representante dos Debenturistas, 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rsidR="002B4081" w:rsidRDefault="002B4081" w:rsidP="002B4081">
      <w:pPr>
        <w:pStyle w:val="ContratoTexto"/>
        <w:suppressAutoHyphens/>
        <w:spacing w:before="0" w:after="0" w:line="320" w:lineRule="exact"/>
        <w:rPr>
          <w:rFonts w:ascii="Tahoma" w:hAnsi="Tahoma" w:cs="Tahoma"/>
          <w:sz w:val="22"/>
          <w:szCs w:val="22"/>
        </w:rPr>
      </w:pPr>
    </w:p>
    <w:p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rsidR="00D44911" w:rsidRDefault="00D44911" w:rsidP="00D44911">
      <w:pPr>
        <w:pStyle w:val="PargrafodaLista"/>
        <w:rPr>
          <w:rFonts w:cs="Tahoma"/>
          <w:szCs w:val="22"/>
        </w:rPr>
      </w:pPr>
    </w:p>
    <w:p w:rsidR="00D44911" w:rsidRDefault="00D4491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 de dezembro de 2020, foi celebrado o “</w:t>
      </w:r>
      <w:r>
        <w:rPr>
          <w:rFonts w:ascii="Tahoma" w:hAnsi="Tahoma" w:cs="Tahoma"/>
          <w:i/>
          <w:sz w:val="22"/>
          <w:szCs w:val="22"/>
        </w:rPr>
        <w:t xml:space="preserve">4º (Quarto) Aditamento ao Instrumento Particular de Escritura da 1º (Primeira) Emissão de Debêntures Simples, Não Conversíveis em Ações, da Espécie Quirografária, com Garantia Fidejussória Adicional, em 2 (Duas) Séries, para Distribuição Pública, com Esforços Restritos de Distribuição, da Milano Comércio Varejista de Alimentos S.A.” </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na AGD (“</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p>
    <w:p w:rsidR="002B4081" w:rsidRDefault="002B4081" w:rsidP="002B4081">
      <w:pPr>
        <w:pStyle w:val="ContratoTexto"/>
        <w:suppressAutoHyphens/>
        <w:spacing w:before="0" w:after="0" w:line="320" w:lineRule="exact"/>
        <w:ind w:left="1080"/>
        <w:rPr>
          <w:rFonts w:ascii="Tahoma" w:hAnsi="Tahoma" w:cs="Tahoma"/>
          <w:sz w:val="22"/>
          <w:szCs w:val="22"/>
        </w:rPr>
      </w:pPr>
    </w:p>
    <w:p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as Partes </w:t>
      </w:r>
      <w:r w:rsidR="00F2535F">
        <w:rPr>
          <w:rFonts w:ascii="Tahoma" w:hAnsi="Tahoma" w:cs="Tahoma"/>
          <w:sz w:val="22"/>
          <w:szCs w:val="22"/>
        </w:rPr>
        <w:t>desejam aditar o Contrato de modo a refletir</w:t>
      </w:r>
      <w:r w:rsidR="006E1850">
        <w:rPr>
          <w:rFonts w:ascii="Tahoma" w:hAnsi="Tahoma" w:cs="Tahoma"/>
          <w:sz w:val="22"/>
          <w:szCs w:val="22"/>
        </w:rPr>
        <w:t xml:space="preserve">, </w:t>
      </w:r>
      <w:r w:rsidR="00D44911">
        <w:rPr>
          <w:rFonts w:ascii="Tahoma" w:hAnsi="Tahoma" w:cs="Tahoma"/>
          <w:sz w:val="22"/>
          <w:szCs w:val="22"/>
        </w:rPr>
        <w:t>na descrição das Obrigações Garantidas (conforme definido no Contrato), as alterações dispostas no 4º Aditamento</w:t>
      </w:r>
      <w:r w:rsidR="00FB4BF0">
        <w:rPr>
          <w:rFonts w:ascii="Tahoma" w:hAnsi="Tahoma" w:cs="Tahoma"/>
          <w:sz w:val="22"/>
          <w:szCs w:val="22"/>
        </w:rPr>
        <w:t xml:space="preserve"> à Escritura de Emissão</w:t>
      </w:r>
      <w:r w:rsidR="00D44911">
        <w:rPr>
          <w:rFonts w:ascii="Tahoma" w:hAnsi="Tahoma" w:cs="Tahoma"/>
          <w:sz w:val="22"/>
          <w:szCs w:val="22"/>
        </w:rPr>
        <w:t>.</w:t>
      </w:r>
    </w:p>
    <w:p w:rsidR="00D44911" w:rsidRDefault="00D44911" w:rsidP="00D44911">
      <w:pPr>
        <w:pStyle w:val="PargrafodaLista"/>
        <w:rPr>
          <w:rFonts w:cs="Tahoma"/>
          <w:szCs w:val="22"/>
        </w:rPr>
      </w:pPr>
    </w:p>
    <w:p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rsidR="00D44911" w:rsidRDefault="00D44911" w:rsidP="00D44911">
      <w:pPr>
        <w:pStyle w:val="ContratoTexto"/>
        <w:suppressAutoHyphens/>
        <w:spacing w:before="0" w:after="0" w:line="320" w:lineRule="exact"/>
        <w:rPr>
          <w:rFonts w:ascii="Tahoma" w:hAnsi="Tahoma" w:cs="Tahoma"/>
          <w:sz w:val="22"/>
          <w:szCs w:val="22"/>
        </w:rPr>
      </w:pPr>
    </w:p>
    <w:p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rsidR="00D44911" w:rsidRDefault="00D44911" w:rsidP="00D44911">
      <w:pPr>
        <w:pStyle w:val="ContratoTexto"/>
        <w:suppressAutoHyphens/>
        <w:spacing w:before="0" w:after="0" w:line="320" w:lineRule="exact"/>
        <w:jc w:val="center"/>
        <w:rPr>
          <w:rFonts w:ascii="Tahoma" w:hAnsi="Tahoma" w:cs="Tahoma"/>
          <w:b/>
          <w:sz w:val="22"/>
          <w:szCs w:val="22"/>
        </w:rPr>
      </w:pPr>
    </w:p>
    <w:p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O presente Aditamento é celebrado com base nas deliberações d</w:t>
      </w:r>
      <w:r w:rsidR="005853E7">
        <w:rPr>
          <w:rFonts w:ascii="Tahoma" w:hAnsi="Tahoma" w:cs="Tahoma"/>
          <w:sz w:val="22"/>
          <w:szCs w:val="22"/>
        </w:rPr>
        <w:t xml:space="preserve">a </w:t>
      </w:r>
      <w:r w:rsidR="001F3EEC">
        <w:rPr>
          <w:rFonts w:ascii="Tahoma" w:hAnsi="Tahoma" w:cs="Tahoma"/>
          <w:sz w:val="22"/>
          <w:szCs w:val="22"/>
        </w:rPr>
        <w:t xml:space="preserve">[(i) da </w:t>
      </w:r>
      <w:r w:rsidR="009D0CE6">
        <w:rPr>
          <w:rFonts w:ascii="Tahoma" w:hAnsi="Tahoma" w:cs="Tahoma"/>
          <w:sz w:val="22"/>
          <w:szCs w:val="22"/>
        </w:rPr>
        <w:t>Assembleia Geral Extraordinária No. 03/2018 da Emissora realizada em 19 de julho de 2018 (“</w:t>
      </w:r>
      <w:r w:rsidR="009D0CE6">
        <w:rPr>
          <w:rFonts w:ascii="Tahoma" w:hAnsi="Tahoma" w:cs="Tahoma"/>
          <w:sz w:val="22"/>
          <w:szCs w:val="22"/>
          <w:u w:val="single"/>
        </w:rPr>
        <w:t>AGE</w:t>
      </w:r>
      <w:r w:rsidR="001F3EEC">
        <w:rPr>
          <w:rFonts w:ascii="Tahoma" w:hAnsi="Tahoma" w:cs="Tahoma"/>
          <w:sz w:val="22"/>
          <w:szCs w:val="22"/>
          <w:u w:val="single"/>
        </w:rPr>
        <w:t xml:space="preserve"> Emissora</w:t>
      </w:r>
      <w:r w:rsidR="001F3EEC">
        <w:rPr>
          <w:rFonts w:ascii="Tahoma" w:hAnsi="Tahoma" w:cs="Tahoma"/>
          <w:sz w:val="22"/>
          <w:szCs w:val="22"/>
        </w:rPr>
        <w:t xml:space="preserve">”), cuja ata foi registrada na JUCESP em </w:t>
      </w:r>
      <w:r w:rsidR="009D0CE6">
        <w:rPr>
          <w:rFonts w:ascii="Tahoma" w:hAnsi="Tahoma" w:cs="Tahoma"/>
          <w:sz w:val="22"/>
          <w:szCs w:val="22"/>
        </w:rPr>
        <w:t>02 de agosto de</w:t>
      </w:r>
      <w:r w:rsidR="001F3EEC">
        <w:rPr>
          <w:rFonts w:ascii="Tahoma" w:hAnsi="Tahoma" w:cs="Tahoma"/>
          <w:sz w:val="22"/>
          <w:szCs w:val="22"/>
        </w:rPr>
        <w:t xml:space="preserve"> 2018, sob o nº </w:t>
      </w:r>
      <w:r w:rsidR="009D0CE6">
        <w:rPr>
          <w:rFonts w:ascii="Tahoma" w:hAnsi="Tahoma" w:cs="Tahoma"/>
          <w:sz w:val="22"/>
          <w:szCs w:val="22"/>
        </w:rPr>
        <w:t>359.671/18-4</w:t>
      </w:r>
      <w:r w:rsidR="001F3EEC">
        <w:rPr>
          <w:rFonts w:ascii="Tahoma" w:hAnsi="Tahoma" w:cs="Tahoma"/>
          <w:sz w:val="22"/>
          <w:szCs w:val="22"/>
        </w:rPr>
        <w:t xml:space="preserve"> e publicada no Diário Oficial do Estado de São Paulo (“</w:t>
      </w:r>
      <w:r w:rsidR="001F3EEC" w:rsidRPr="001F3EEC">
        <w:rPr>
          <w:rFonts w:ascii="Tahoma" w:hAnsi="Tahoma" w:cs="Tahoma"/>
          <w:sz w:val="22"/>
          <w:szCs w:val="22"/>
          <w:u w:val="single"/>
        </w:rPr>
        <w:t>DOESP</w:t>
      </w:r>
      <w:r w:rsidR="001F3EEC">
        <w:rPr>
          <w:rFonts w:ascii="Tahoma" w:hAnsi="Tahoma" w:cs="Tahoma"/>
          <w:sz w:val="22"/>
          <w:szCs w:val="22"/>
        </w:rPr>
        <w:t>”) e no jornal “Diário de Notícias” em [•] de [•] de 2018; e (ii) da Reunião do Conselho de Administração da Emissora realizada em [•] de dezembro de 2020 (“</w:t>
      </w:r>
      <w:r w:rsidR="001F3EEC">
        <w:rPr>
          <w:rFonts w:ascii="Tahoma" w:hAnsi="Tahoma" w:cs="Tahoma"/>
          <w:sz w:val="22"/>
          <w:szCs w:val="22"/>
          <w:u w:val="single"/>
        </w:rPr>
        <w:t>RCA Emissora</w:t>
      </w:r>
      <w:r w:rsidR="001F3EEC">
        <w:rPr>
          <w:rFonts w:ascii="Tahoma" w:hAnsi="Tahoma" w:cs="Tahoma"/>
          <w:sz w:val="22"/>
          <w:szCs w:val="22"/>
        </w:rPr>
        <w:t>”)</w:t>
      </w:r>
      <w:r w:rsidR="008E405F">
        <w:rPr>
          <w:rFonts w:ascii="Tahoma" w:hAnsi="Tahoma" w:cs="Tahoma"/>
          <w:sz w:val="22"/>
          <w:szCs w:val="22"/>
        </w:rPr>
        <w:t>]</w:t>
      </w:r>
      <w:r w:rsidR="005853E7">
        <w:rPr>
          <w:rFonts w:ascii="Tahoma" w:hAnsi="Tahoma" w:cs="Tahoma"/>
          <w:sz w:val="22"/>
          <w:szCs w:val="22"/>
        </w:rPr>
        <w:t>, cuja ata dever</w:t>
      </w:r>
      <w:r w:rsidR="001F3EEC">
        <w:rPr>
          <w:rFonts w:ascii="Tahoma" w:hAnsi="Tahoma" w:cs="Tahoma"/>
          <w:sz w:val="22"/>
          <w:szCs w:val="22"/>
        </w:rPr>
        <w:t>á</w:t>
      </w:r>
      <w:r w:rsidR="005853E7">
        <w:rPr>
          <w:rFonts w:ascii="Tahoma" w:hAnsi="Tahoma" w:cs="Tahoma"/>
          <w:sz w:val="22"/>
          <w:szCs w:val="22"/>
        </w:rPr>
        <w:t xml:space="preserve"> ser registrada na JUCESP </w:t>
      </w:r>
      <w:r w:rsidR="005853E7">
        <w:rPr>
          <w:rFonts w:ascii="Tahoma" w:hAnsi="Tahoma" w:cs="Tahoma"/>
          <w:sz w:val="22"/>
          <w:szCs w:val="22"/>
        </w:rPr>
        <w:lastRenderedPageBreak/>
        <w:t xml:space="preserve">e publicada no </w:t>
      </w:r>
      <w:r w:rsidR="001F3EEC">
        <w:rPr>
          <w:rFonts w:ascii="Tahoma" w:hAnsi="Tahoma" w:cs="Tahoma"/>
          <w:sz w:val="22"/>
          <w:szCs w:val="22"/>
        </w:rPr>
        <w:t>DOESP</w:t>
      </w:r>
      <w:r w:rsidR="005853E7">
        <w:rPr>
          <w:rFonts w:ascii="Tahoma" w:hAnsi="Tahoma" w:cs="Tahoma"/>
          <w:sz w:val="22"/>
          <w:szCs w:val="22"/>
        </w:rPr>
        <w:t xml:space="preserve"> e no jornal “Diário de Notícias”, nos termos do artigo 62, inciso I e artigo 289 da Lei das Sociedades por Ações, sendo certo que a Emissora compromete-se a enviar ao Agente Fiduciário 1 (uma) cópia simples da RCA Emissora</w:t>
      </w:r>
      <w:r w:rsidR="001F3EEC">
        <w:rPr>
          <w:rFonts w:ascii="Tahoma" w:hAnsi="Tahoma" w:cs="Tahoma"/>
          <w:sz w:val="22"/>
          <w:szCs w:val="22"/>
        </w:rPr>
        <w:t xml:space="preserve"> </w:t>
      </w:r>
      <w:r w:rsidR="005853E7">
        <w:rPr>
          <w:rFonts w:ascii="Tahoma" w:hAnsi="Tahoma" w:cs="Tahoma"/>
          <w:sz w:val="22"/>
          <w:szCs w:val="22"/>
        </w:rPr>
        <w:t xml:space="preserve">devidamente registrada na JUCESP, em até 5 (cinco) Dias Úteis contados da data de obtenção do referido registro.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rsidR="00FB4BF0" w:rsidRPr="00FB4BF0" w:rsidRDefault="00FB4BF0" w:rsidP="00FB4BF0">
      <w:pPr>
        <w:pStyle w:val="Texto-MattosFilho"/>
        <w:numPr>
          <w:ilvl w:val="1"/>
          <w:numId w:val="7"/>
        </w:numPr>
        <w:ind w:left="567" w:hanging="567"/>
        <w:rPr>
          <w:rFonts w:cs="Tahoma"/>
        </w:rPr>
      </w:pPr>
      <w:r>
        <w:rPr>
          <w:rFonts w:cs="Tahoma"/>
        </w:rPr>
        <w:t>Nos termos do 4º Aditamento à Escritura de Emissão, as Partes concordaram em prever a constituição, pela Emissora</w:t>
      </w:r>
      <w:r w:rsidR="007672F7">
        <w:rPr>
          <w:rFonts w:cs="Tahoma"/>
        </w:rPr>
        <w:t>,</w:t>
      </w:r>
      <w:r>
        <w:rPr>
          <w:rFonts w:cs="Tahoma"/>
        </w:rPr>
        <w:t xml:space="preserve"> em favor dos Debenturistas, representados pelo Agente Fiduciário, da alienação fiduciária sobre a marca “Bacio di Latte” de titularidade da </w:t>
      </w:r>
      <w:r w:rsidR="007672F7">
        <w:rPr>
          <w:rFonts w:cs="Tahoma"/>
        </w:rPr>
        <w:t>Emissora</w:t>
      </w:r>
      <w:r>
        <w:rPr>
          <w:rFonts w:cs="Tahoma"/>
        </w:rPr>
        <w:t xml:space="preserve"> (“</w:t>
      </w:r>
      <w:r>
        <w:rPr>
          <w:rFonts w:cs="Tahoma"/>
          <w:u w:val="single"/>
        </w:rPr>
        <w:t>Alienação Fiduciária de Marca</w:t>
      </w:r>
      <w:r>
        <w:rPr>
          <w:rFonts w:cs="Tahoma"/>
        </w:rPr>
        <w:t>”), a qual será formalizada por meio da celebração de instrumento próprio (“</w:t>
      </w:r>
      <w:r>
        <w:rPr>
          <w:rFonts w:cs="Tahoma"/>
          <w:u w:val="single"/>
        </w:rPr>
        <w:t>Contrato de Alienação Fiduciária de Marca</w:t>
      </w:r>
      <w:r>
        <w:rPr>
          <w:rFonts w:cs="Tahoma"/>
        </w:rPr>
        <w:t xml:space="preserve">”), de modo que toda e qualquer menção a “Garantias” e a “Contratos de Garantia” </w:t>
      </w:r>
      <w:r w:rsidR="007672F7">
        <w:rPr>
          <w:rFonts w:cs="Tahoma"/>
        </w:rPr>
        <w:t>que seja realizada no</w:t>
      </w:r>
      <w:r>
        <w:rPr>
          <w:rFonts w:cs="Tahoma"/>
        </w:rPr>
        <w:t xml:space="preserve"> âmbito do Contrato deverá ser entendida</w:t>
      </w:r>
      <w:r w:rsidR="007672F7">
        <w:rPr>
          <w:rFonts w:cs="Tahoma"/>
        </w:rPr>
        <w:t xml:space="preserve"> </w:t>
      </w:r>
      <w:r>
        <w:rPr>
          <w:rFonts w:cs="Tahoma"/>
        </w:rPr>
        <w:t xml:space="preserve">como uma referência </w:t>
      </w:r>
      <w:r w:rsidR="007672F7">
        <w:rPr>
          <w:rFonts w:cs="Tahoma"/>
        </w:rPr>
        <w:t>a, respectivamente,</w:t>
      </w:r>
      <w:r>
        <w:rPr>
          <w:rFonts w:cs="Tahoma"/>
        </w:rPr>
        <w:t xml:space="preserve"> (i) </w:t>
      </w:r>
      <w:r w:rsidR="00AF4B2C">
        <w:rPr>
          <w:rFonts w:cs="Tahoma"/>
        </w:rPr>
        <w:t>a Alienação Fiduciária, a</w:t>
      </w:r>
      <w:r>
        <w:rPr>
          <w:rFonts w:cs="Tahoma"/>
        </w:rPr>
        <w:t xml:space="preserve"> Cessão Fiduciária</w:t>
      </w:r>
      <w:r w:rsidR="00AF4B2C">
        <w:rPr>
          <w:rFonts w:cs="Tahoma"/>
        </w:rPr>
        <w:t xml:space="preserve"> de Direitos Creditórios (conforme definido no Contrato) </w:t>
      </w:r>
      <w:r>
        <w:rPr>
          <w:rFonts w:cs="Tahoma"/>
        </w:rPr>
        <w:t>e a Alienação Fiduciária de Marca</w:t>
      </w:r>
      <w:r w:rsidR="007672F7">
        <w:rPr>
          <w:rFonts w:cs="Tahoma"/>
        </w:rPr>
        <w:t>, em conjunto</w:t>
      </w:r>
      <w:r>
        <w:rPr>
          <w:rFonts w:cs="Tahoma"/>
        </w:rPr>
        <w:t xml:space="preserve">; e (ii) o Contrato, o Contrato de </w:t>
      </w:r>
      <w:r w:rsidR="00AF4B2C">
        <w:rPr>
          <w:rFonts w:cs="Tahoma"/>
        </w:rPr>
        <w:t>Cessão Fiduciária de Direitos Creditórios</w:t>
      </w:r>
      <w:r>
        <w:rPr>
          <w:rFonts w:cs="Tahoma"/>
        </w:rPr>
        <w:t xml:space="preserve"> (conforme definido no Contrato) e o Contrato de Alienação Fiduciária de Marca</w:t>
      </w:r>
      <w:r w:rsidR="007672F7">
        <w:rPr>
          <w:rFonts w:cs="Tahoma"/>
        </w:rPr>
        <w:t>, em conjunto</w:t>
      </w:r>
      <w:r>
        <w:rPr>
          <w:rFonts w:cs="Tahoma"/>
        </w:rPr>
        <w:t>.</w:t>
      </w:r>
    </w:p>
    <w:p w:rsidR="00FB4BF0" w:rsidRDefault="00FB4BF0" w:rsidP="00FB4BF0">
      <w:pPr>
        <w:pStyle w:val="Texto-MattosFilho"/>
        <w:ind w:left="567"/>
        <w:rPr>
          <w:rFonts w:cs="Tahoma"/>
        </w:rPr>
      </w:pPr>
    </w:p>
    <w:p w:rsidR="000D000E" w:rsidRDefault="000D000E" w:rsidP="008E405F">
      <w:pPr>
        <w:pStyle w:val="Texto-MattosFilho"/>
        <w:numPr>
          <w:ilvl w:val="1"/>
          <w:numId w:val="7"/>
        </w:numPr>
        <w:ind w:left="567" w:hanging="567"/>
        <w:rPr>
          <w:rFonts w:cs="Tahoma"/>
        </w:rPr>
      </w:pPr>
      <w:r>
        <w:rPr>
          <w:rFonts w:cs="Tahoma"/>
        </w:rPr>
        <w:lastRenderedPageBreak/>
        <w:t>Todas as demais cláusulas e d</w:t>
      </w:r>
      <w:r w:rsidR="00A1547E">
        <w:rPr>
          <w:rFonts w:cs="Tahoma"/>
        </w:rPr>
        <w:t xml:space="preserve">isposições do Contrato não expressamente modificadas pelo presente Aditamento permanecerão em pleno vigor e efeito e serão aplicadas </w:t>
      </w:r>
      <w:r w:rsidR="00A1547E">
        <w:rPr>
          <w:rFonts w:cs="Tahoma"/>
          <w:i/>
        </w:rPr>
        <w:t xml:space="preserve">mutatis mutandis </w:t>
      </w:r>
      <w:r w:rsidR="00A1547E">
        <w:rPr>
          <w:rFonts w:cs="Tahoma"/>
        </w:rPr>
        <w:t xml:space="preserve">ao presente Aditamento como se aqui constassem na íntegra.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w:t>
      </w:r>
      <w:r w:rsidR="00AF4B2C">
        <w:rPr>
          <w:rFonts w:cs="Tahoma"/>
        </w:rPr>
        <w:t>Fiduciante</w:t>
      </w:r>
      <w:r>
        <w:rPr>
          <w:rFonts w:cs="Tahoma"/>
        </w:rPr>
        <w:t xml:space="preserve">, no presente Aditamento, ratifica e confirma, em benefício dos  Debenturistas e do Agente Fiduciário, todas as obrigações, declarações e garantias previstas no Contrato. </w:t>
      </w:r>
    </w:p>
    <w:p w:rsidR="00A1547E" w:rsidRDefault="00A1547E" w:rsidP="008E405F">
      <w:pPr>
        <w:pStyle w:val="PargrafodaLista"/>
        <w:ind w:left="567" w:hanging="567"/>
        <w:rPr>
          <w:rFonts w:cs="Tahoma"/>
        </w:rPr>
      </w:pPr>
    </w:p>
    <w:p w:rsidR="00A1547E" w:rsidRDefault="00A1547E" w:rsidP="008E405F">
      <w:pPr>
        <w:pStyle w:val="Texto-MattosFilho"/>
        <w:numPr>
          <w:ilvl w:val="1"/>
          <w:numId w:val="7"/>
        </w:numPr>
        <w:ind w:left="567" w:hanging="567"/>
        <w:rPr>
          <w:rFonts w:cs="Tahoma"/>
        </w:rPr>
      </w:pPr>
      <w:r>
        <w:rPr>
          <w:rFonts w:cs="Tahoma"/>
        </w:rPr>
        <w:t xml:space="preserve">A </w:t>
      </w:r>
      <w:r w:rsidR="00AF4B2C">
        <w:rPr>
          <w:rFonts w:cs="Tahoma"/>
        </w:rPr>
        <w:t>Fiduciante</w:t>
      </w:r>
      <w:r>
        <w:rPr>
          <w:rFonts w:cs="Tahoma"/>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rsidR="00A1547E" w:rsidRDefault="00A1547E" w:rsidP="00A1547E">
      <w:pPr>
        <w:pStyle w:val="PargrafodaLista"/>
        <w:rPr>
          <w:rFonts w:cs="Tahoma"/>
        </w:rPr>
      </w:pPr>
    </w:p>
    <w:p w:rsidR="00A1547E" w:rsidRDefault="008E405F" w:rsidP="00A1547E">
      <w:pPr>
        <w:pStyle w:val="Texto-MattosFilho"/>
        <w:numPr>
          <w:ilvl w:val="0"/>
          <w:numId w:val="7"/>
        </w:numPr>
        <w:jc w:val="center"/>
        <w:rPr>
          <w:rFonts w:cs="Tahoma"/>
          <w:b/>
        </w:rPr>
      </w:pPr>
      <w:r>
        <w:rPr>
          <w:rFonts w:cs="Tahoma"/>
          <w:b/>
        </w:rPr>
        <w:t xml:space="preserve">CLÁUSULA TERCEIRA - </w:t>
      </w:r>
      <w:r w:rsidR="00A1547E" w:rsidRPr="00A1547E">
        <w:rPr>
          <w:rFonts w:cs="Tahoma"/>
          <w:b/>
        </w:rPr>
        <w:t>DISPOSIÇÕES GERAIS</w:t>
      </w:r>
    </w:p>
    <w:p w:rsidR="00A1547E" w:rsidRPr="00A1547E" w:rsidRDefault="00A1547E" w:rsidP="008E405F">
      <w:pPr>
        <w:pStyle w:val="Texto-MattosFilho"/>
        <w:numPr>
          <w:ilvl w:val="1"/>
          <w:numId w:val="7"/>
        </w:numPr>
        <w:spacing w:before="240"/>
        <w:ind w:left="567" w:hanging="567"/>
        <w:rPr>
          <w:rFonts w:cs="Tahoma"/>
          <w:b/>
        </w:rPr>
      </w:pPr>
      <w:r>
        <w:rPr>
          <w:rFonts w:cs="Tahoma"/>
        </w:rPr>
        <w:t>Os termos e expressões iniciados em letra maiúscula utilizados no presente Aditamento e não expressame</w:t>
      </w:r>
      <w:r w:rsidRPr="00A1547E">
        <w:rPr>
          <w:rFonts w:cs="Tahoma"/>
        </w:rPr>
        <w:t>nte definidos neste Aditamento terão o significado a eles atribuídos no Contrato</w:t>
      </w:r>
      <w:r>
        <w:rPr>
          <w:rFonts w:cs="Tahoma"/>
        </w:rPr>
        <w:t xml:space="preserve">.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Em caso de conflito entre o disposto neste Aditamento e no Contrato, o disposto neste Aditamento deverá prevalecer.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Aplicam-se a esse Aditamento todas as obrigações previstas no Contrato, incluindo a obrigação de registro assumida pela </w:t>
      </w:r>
      <w:r w:rsidR="00660385">
        <w:rPr>
          <w:rFonts w:cs="Tahoma"/>
        </w:rPr>
        <w:t>Fiduciante</w:t>
      </w:r>
      <w:r>
        <w:rPr>
          <w:rFonts w:cs="Tahoma"/>
        </w:rPr>
        <w:t xml:space="preserve"> na Cláusula Quarta do Contrato.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rsidR="00A1547E" w:rsidRPr="00A1547E" w:rsidRDefault="00A1547E" w:rsidP="008E405F">
      <w:pPr>
        <w:pStyle w:val="Texto-MattosFilho"/>
        <w:numPr>
          <w:ilvl w:val="1"/>
          <w:numId w:val="7"/>
        </w:numPr>
        <w:spacing w:before="240"/>
        <w:ind w:left="567" w:hanging="567"/>
        <w:rPr>
          <w:rFonts w:cs="Tahoma"/>
          <w:b/>
        </w:rPr>
      </w:pPr>
      <w:r>
        <w:rPr>
          <w:rFonts w:cs="Tahoma"/>
        </w:rPr>
        <w:lastRenderedPageBreak/>
        <w:t>O presente Aditamento é firmado em caráter irrevogável e irretratável e obriga tanto as Partes quanto seus sucessores e cessionários, a qualquer título.</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Este Aditamento é regido pelas Leis da República Federativa do Brasil. </w:t>
      </w:r>
    </w:p>
    <w:p w:rsidR="00A1547E" w:rsidRPr="00A1547E" w:rsidRDefault="00A1547E" w:rsidP="008E405F">
      <w:pPr>
        <w:pStyle w:val="Texto-MattosFilho"/>
        <w:numPr>
          <w:ilvl w:val="1"/>
          <w:numId w:val="7"/>
        </w:numPr>
        <w:spacing w:before="240"/>
        <w:ind w:left="567" w:hanging="567"/>
        <w:rPr>
          <w:rFonts w:cs="Tahoma"/>
          <w:b/>
        </w:rPr>
      </w:pPr>
      <w:r>
        <w:rPr>
          <w:rFonts w:cs="Tahoma"/>
        </w:rPr>
        <w:t xml:space="preserve">Fica eleito o Foro da comarca de São Paulo, Estado de São Paulo, para dirimir as questões oriundas do presente Aditamento, com exclusão de qualquer outro, por mais privilegiado que seja. </w:t>
      </w:r>
    </w:p>
    <w:p w:rsidR="00A1547E" w:rsidRDefault="00A1547E" w:rsidP="00A1547E">
      <w:pPr>
        <w:pStyle w:val="Texto-MattosFilho"/>
        <w:spacing w:before="240"/>
        <w:rPr>
          <w:rFonts w:cs="Tahoma"/>
        </w:rPr>
      </w:pPr>
      <w:r>
        <w:rPr>
          <w:rFonts w:cs="Tahoma"/>
        </w:rPr>
        <w:t xml:space="preserve">E, por estarem assim justas e contratadas, as Partes assinam o presente Aditamento em 4 (quatro) vias de igual teor e conteúdo, na data indicada abaixo, tudo na presença de 2 (duas) testemunhas abaixo assinadas. </w:t>
      </w:r>
    </w:p>
    <w:p w:rsidR="00A1547E" w:rsidRDefault="00A1547E" w:rsidP="00A1547E">
      <w:pPr>
        <w:pStyle w:val="Texto-MattosFilho"/>
        <w:spacing w:before="240"/>
        <w:rPr>
          <w:rFonts w:cs="Tahoma"/>
        </w:rPr>
      </w:pPr>
    </w:p>
    <w:p w:rsidR="00A1547E" w:rsidRDefault="00A1547E" w:rsidP="00A1547E">
      <w:pPr>
        <w:pStyle w:val="Texto-MattosFilho"/>
        <w:spacing w:before="240"/>
        <w:jc w:val="center"/>
        <w:rPr>
          <w:rFonts w:cs="Tahoma"/>
        </w:rPr>
      </w:pPr>
      <w:r>
        <w:rPr>
          <w:rFonts w:cs="Tahoma"/>
        </w:rPr>
        <w:t>São Paulo, [•] de dezembro de 2020.</w:t>
      </w:r>
    </w:p>
    <w:p w:rsidR="00A1547E" w:rsidRDefault="00A1547E" w:rsidP="00A1547E">
      <w:pPr>
        <w:pStyle w:val="Texto-MattosFilho"/>
        <w:spacing w:before="240"/>
        <w:jc w:val="center"/>
        <w:rPr>
          <w:rFonts w:cs="Tahoma"/>
        </w:rPr>
      </w:pPr>
    </w:p>
    <w:p w:rsidR="00A1547E" w:rsidRPr="00A1547E" w:rsidRDefault="00A1547E" w:rsidP="00B96AAA">
      <w:pPr>
        <w:pStyle w:val="Texto-MattosFilho"/>
        <w:jc w:val="center"/>
        <w:rPr>
          <w:rFonts w:cs="Tahoma"/>
          <w:i/>
        </w:rPr>
      </w:pPr>
      <w:r w:rsidRPr="00A1547E">
        <w:rPr>
          <w:rFonts w:cs="Tahoma"/>
          <w:i/>
        </w:rPr>
        <w:t>(Restante da página deixado intencionalmente em branco.)</w:t>
      </w:r>
    </w:p>
    <w:p w:rsidR="00A1547E" w:rsidRDefault="00A1547E" w:rsidP="00B96AAA">
      <w:pPr>
        <w:pStyle w:val="Texto-MattosFilho"/>
        <w:jc w:val="center"/>
        <w:rPr>
          <w:rFonts w:cs="Tahoma"/>
          <w:i/>
        </w:rPr>
      </w:pPr>
      <w:r w:rsidRPr="00A1547E">
        <w:rPr>
          <w:rFonts w:cs="Tahoma"/>
          <w:i/>
        </w:rPr>
        <w:t>(Assinaturas seguem nas páginas seguintes.)</w:t>
      </w:r>
    </w:p>
    <w:p w:rsidR="00A1547E" w:rsidRDefault="00A1547E" w:rsidP="00A1547E">
      <w:pPr>
        <w:pStyle w:val="Texto-MattosFilho"/>
      </w:pPr>
      <w:r>
        <w:br w:type="page"/>
      </w:r>
    </w:p>
    <w:p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F4569F">
        <w:rPr>
          <w:bCs/>
          <w:i/>
          <w:szCs w:val="22"/>
        </w:rPr>
        <w:t>[•] de dezembro de 2020</w:t>
      </w:r>
      <w:r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rsidTr="00FB4BF0">
        <w:trPr>
          <w:cantSplit/>
        </w:trPr>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rsidR="00A1547E" w:rsidRPr="00647FCD" w:rsidRDefault="00A1547E" w:rsidP="00FB4BF0">
            <w:pPr>
              <w:suppressAutoHyphens/>
              <w:spacing w:line="320" w:lineRule="exact"/>
              <w:rPr>
                <w:szCs w:val="22"/>
              </w:rPr>
            </w:pPr>
          </w:p>
        </w:tc>
        <w:tc>
          <w:tcPr>
            <w:tcW w:w="4253"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AF4B2C">
        <w:rPr>
          <w:bCs/>
          <w:i/>
          <w:szCs w:val="22"/>
        </w:rPr>
        <w:t>[•] de dezembro de 2020</w:t>
      </w:r>
      <w:r w:rsidR="00AF4B2C" w:rsidRPr="00647FCD">
        <w:rPr>
          <w:bCs/>
          <w:i/>
          <w:szCs w:val="22"/>
        </w:rPr>
        <w:t>)</w:t>
      </w: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bCs/>
          <w:i/>
          <w:szCs w:val="22"/>
        </w:rPr>
      </w:pPr>
    </w:p>
    <w:p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rsidTr="00660385">
        <w:trPr>
          <w:cantSplit/>
          <w:jc w:val="center"/>
        </w:trPr>
        <w:tc>
          <w:tcPr>
            <w:tcW w:w="4466" w:type="dxa"/>
            <w:tcBorders>
              <w:top w:val="single" w:sz="6" w:space="0" w:color="auto"/>
            </w:tcBorders>
          </w:tcPr>
          <w:p w:rsidR="00A1547E" w:rsidRPr="00647FCD" w:rsidRDefault="00A1547E" w:rsidP="00FB4BF0">
            <w:pPr>
              <w:suppressAutoHyphens/>
              <w:spacing w:line="320" w:lineRule="exact"/>
              <w:rPr>
                <w:szCs w:val="22"/>
              </w:rPr>
            </w:pPr>
            <w:r w:rsidRPr="00647FCD">
              <w:rPr>
                <w:szCs w:val="22"/>
              </w:rPr>
              <w:t>Nome:</w:t>
            </w:r>
          </w:p>
          <w:p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rsidR="00A1547E" w:rsidRPr="00647FCD" w:rsidRDefault="00A1547E" w:rsidP="00FB4BF0">
            <w:pPr>
              <w:suppressAutoHyphens/>
              <w:spacing w:line="320" w:lineRule="exact"/>
              <w:rPr>
                <w:szCs w:val="22"/>
              </w:rPr>
            </w:pPr>
          </w:p>
        </w:tc>
      </w:tr>
    </w:tbl>
    <w:p w:rsidR="00AF4B2C" w:rsidRPr="00647FCD" w:rsidRDefault="00A1547E" w:rsidP="00AF4B2C">
      <w:pPr>
        <w:suppressAutoHyphens/>
        <w:spacing w:line="320" w:lineRule="exact"/>
        <w:rPr>
          <w:bCs/>
          <w:i/>
          <w:szCs w:val="22"/>
        </w:rPr>
      </w:pPr>
      <w:bookmarkStart w:id="1" w:name="_DV_M524"/>
      <w:bookmarkEnd w:id="1"/>
      <w:r w:rsidRPr="00647FCD">
        <w:rPr>
          <w:szCs w:val="22"/>
        </w:rPr>
        <w:br w:type="page"/>
      </w:r>
      <w:r w:rsidR="00AF4B2C" w:rsidRPr="00647FCD">
        <w:rPr>
          <w:bCs/>
          <w:i/>
          <w:szCs w:val="22"/>
        </w:rPr>
        <w:lastRenderedPageBreak/>
        <w:t xml:space="preserve"> </w:t>
      </w:r>
    </w:p>
    <w:p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AF4B2C">
        <w:rPr>
          <w:bCs/>
          <w:i/>
          <w:szCs w:val="22"/>
        </w:rPr>
        <w:t>[•] de dezembro de 2020</w:t>
      </w:r>
      <w:r w:rsidR="00AF4B2C" w:rsidRPr="00647FCD">
        <w:rPr>
          <w:bCs/>
          <w:i/>
          <w:szCs w:val="22"/>
        </w:rPr>
        <w:t>)</w:t>
      </w:r>
    </w:p>
    <w:p w:rsidR="00A1547E" w:rsidRPr="00647FCD" w:rsidRDefault="00A1547E" w:rsidP="00A1547E">
      <w:pPr>
        <w:suppressAutoHyphens/>
        <w:spacing w:line="320" w:lineRule="exact"/>
        <w:rPr>
          <w:rFonts w:eastAsia="Arial Unicode MS"/>
          <w:b/>
          <w:szCs w:val="22"/>
        </w:rPr>
      </w:pPr>
    </w:p>
    <w:p w:rsidR="00A1547E" w:rsidRPr="00647FCD" w:rsidRDefault="00A1547E" w:rsidP="00A1547E">
      <w:pPr>
        <w:suppressAutoHyphens/>
        <w:spacing w:line="320" w:lineRule="exact"/>
        <w:rPr>
          <w:b/>
          <w:szCs w:val="22"/>
        </w:rPr>
      </w:pPr>
      <w:r w:rsidRPr="00647FCD">
        <w:rPr>
          <w:b/>
          <w:szCs w:val="22"/>
        </w:rPr>
        <w:t>TESTEMUNHAS:</w:t>
      </w:r>
    </w:p>
    <w:p w:rsidR="00A1547E" w:rsidRPr="00647FCD" w:rsidRDefault="00A1547E" w:rsidP="00A1547E">
      <w:pPr>
        <w:suppressAutoHyphens/>
        <w:spacing w:line="320" w:lineRule="exact"/>
        <w:rPr>
          <w:szCs w:val="22"/>
        </w:rPr>
      </w:pPr>
    </w:p>
    <w:p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Nome:</w:t>
            </w:r>
          </w:p>
        </w:tc>
        <w:tc>
          <w:tcPr>
            <w:tcW w:w="4323" w:type="dxa"/>
          </w:tcPr>
          <w:p w:rsidR="00A1547E" w:rsidRPr="00647FCD" w:rsidRDefault="00A1547E" w:rsidP="00FB4BF0">
            <w:pPr>
              <w:suppressAutoHyphens/>
              <w:spacing w:line="320" w:lineRule="exact"/>
              <w:rPr>
                <w:szCs w:val="22"/>
              </w:rPr>
            </w:pPr>
            <w:r w:rsidRPr="00647FCD">
              <w:rPr>
                <w:szCs w:val="22"/>
              </w:rPr>
              <w:t>Nome:</w:t>
            </w:r>
          </w:p>
        </w:tc>
      </w:tr>
      <w:tr w:rsidR="00A1547E" w:rsidRPr="00647FCD" w:rsidTr="00FB4BF0">
        <w:tc>
          <w:tcPr>
            <w:tcW w:w="4322"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c>
          <w:tcPr>
            <w:tcW w:w="4323" w:type="dxa"/>
          </w:tcPr>
          <w:p w:rsidR="00A1547E" w:rsidRPr="00647FCD" w:rsidRDefault="00A1547E" w:rsidP="00FB4BF0">
            <w:pPr>
              <w:suppressAutoHyphens/>
              <w:spacing w:line="320" w:lineRule="exact"/>
              <w:rPr>
                <w:szCs w:val="22"/>
              </w:rPr>
            </w:pPr>
            <w:r w:rsidRPr="00647FCD">
              <w:rPr>
                <w:szCs w:val="22"/>
              </w:rPr>
              <w:t>RG:</w:t>
            </w:r>
          </w:p>
          <w:p w:rsidR="00A1547E" w:rsidRPr="00647FCD" w:rsidRDefault="00A1547E" w:rsidP="00FB4BF0">
            <w:pPr>
              <w:suppressAutoHyphens/>
              <w:spacing w:line="320" w:lineRule="exact"/>
              <w:rPr>
                <w:szCs w:val="22"/>
              </w:rPr>
            </w:pPr>
            <w:r w:rsidRPr="00647FCD">
              <w:rPr>
                <w:szCs w:val="22"/>
              </w:rPr>
              <w:t>CPF:</w:t>
            </w:r>
          </w:p>
        </w:tc>
      </w:tr>
    </w:tbl>
    <w:p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rsidR="00F4569F" w:rsidRPr="00647FCD" w:rsidRDefault="00F4569F" w:rsidP="00F4569F">
      <w:pPr>
        <w:suppressAutoHyphens/>
        <w:spacing w:line="320" w:lineRule="exact"/>
        <w:jc w:val="center"/>
        <w:rPr>
          <w:b/>
          <w:szCs w:val="22"/>
        </w:rPr>
      </w:pPr>
    </w:p>
    <w:p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r w:rsidR="00FB4BF0" w:rsidRPr="00FB4BF0">
        <w:rPr>
          <w:rFonts w:ascii="Tahoma" w:hAnsi="Tahoma" w:cs="Tahoma"/>
          <w:b/>
          <w:spacing w:val="-3"/>
          <w:sz w:val="22"/>
          <w:szCs w:val="22"/>
          <w:highlight w:val="yellow"/>
        </w:rPr>
        <w:t>Nota Mattos Filho</w:t>
      </w:r>
      <w:r w:rsidR="00FB4BF0" w:rsidRPr="00FB4BF0">
        <w:rPr>
          <w:rFonts w:ascii="Tahoma" w:hAnsi="Tahoma" w:cs="Tahoma"/>
          <w:spacing w:val="-3"/>
          <w:sz w:val="22"/>
          <w:szCs w:val="22"/>
          <w:highlight w:val="yellow"/>
        </w:rPr>
        <w:t xml:space="preserve">: Anexo sujeito a ajustes </w:t>
      </w:r>
      <w:r w:rsidR="00FB4BF0">
        <w:rPr>
          <w:rFonts w:ascii="Tahoma" w:hAnsi="Tahoma" w:cs="Tahoma"/>
          <w:spacing w:val="-3"/>
          <w:sz w:val="22"/>
          <w:szCs w:val="22"/>
          <w:highlight w:val="yellow"/>
        </w:rPr>
        <w:t>de</w:t>
      </w:r>
      <w:r w:rsidR="00FB4BF0" w:rsidRPr="00FB4BF0">
        <w:rPr>
          <w:rFonts w:ascii="Tahoma" w:hAnsi="Tahoma" w:cs="Tahoma"/>
          <w:spacing w:val="-3"/>
          <w:sz w:val="22"/>
          <w:szCs w:val="22"/>
          <w:highlight w:val="yellow"/>
        </w:rPr>
        <w:t xml:space="preserve"> conformidade com o 4º Aditamento à Escritura de Emissão</w:t>
      </w:r>
      <w:r w:rsidR="00FB4BF0">
        <w:rPr>
          <w:rFonts w:ascii="Tahoma" w:hAnsi="Tahoma" w:cs="Tahoma"/>
          <w:spacing w:val="-3"/>
          <w:sz w:val="22"/>
          <w:szCs w:val="22"/>
        </w:rPr>
        <w:t>]</w:t>
      </w:r>
    </w:p>
    <w:p w:rsidR="00F4569F" w:rsidRPr="00647FCD" w:rsidRDefault="00F4569F" w:rsidP="00F4569F">
      <w:pPr>
        <w:pStyle w:val="BNDES"/>
        <w:suppressAutoHyphens/>
        <w:spacing w:line="320" w:lineRule="exact"/>
        <w:rPr>
          <w:rFonts w:ascii="Times New Roman" w:hAnsi="Times New Roman"/>
          <w:b/>
          <w:sz w:val="22"/>
          <w:szCs w:val="22"/>
        </w:rPr>
      </w:pPr>
    </w:p>
    <w:p w:rsidR="00F4569F" w:rsidRPr="00647FCD" w:rsidRDefault="00F4569F" w:rsidP="00F4569F">
      <w:pPr>
        <w:suppressAutoHyphens/>
        <w:spacing w:line="320" w:lineRule="exact"/>
        <w:rPr>
          <w:b/>
          <w:szCs w:val="22"/>
        </w:rPr>
      </w:pPr>
      <w:r w:rsidRPr="00647FCD">
        <w:rPr>
          <w:b/>
          <w:szCs w:val="22"/>
        </w:rPr>
        <w:t xml:space="preserve">1. Valor Total da Emissão: </w:t>
      </w:r>
      <w:r w:rsidRPr="00647FCD">
        <w:rPr>
          <w:szCs w:val="22"/>
        </w:rPr>
        <w:t xml:space="preserve">O valor total da emissão será de R$ 65.000.000,00 (sessenta e cinco milhões de reais), na Data de Emissão (conforme abaixo definida) </w:t>
      </w:r>
      <w:r w:rsidRPr="00647FCD">
        <w:rPr>
          <w:rFonts w:eastAsia="TimesNewRoman"/>
          <w:szCs w:val="22"/>
        </w:rPr>
        <w:t>(“</w:t>
      </w:r>
      <w:r w:rsidRPr="00647FCD">
        <w:rPr>
          <w:rFonts w:eastAsia="TimesNewRoman"/>
          <w:szCs w:val="22"/>
          <w:u w:val="single"/>
        </w:rPr>
        <w:t>Valor Total da Emissão</w:t>
      </w:r>
      <w:r w:rsidRPr="00647FCD">
        <w:rPr>
          <w:rFonts w:eastAsia="TimesNewRoman"/>
          <w:szCs w:val="22"/>
        </w:rPr>
        <w:t>”)</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2. Valor Nominal Unitário: </w:t>
      </w:r>
      <w:r w:rsidRPr="00647FCD">
        <w:rPr>
          <w:szCs w:val="22"/>
        </w:rPr>
        <w:t>O valor nominal unitário das Debêntures será de R$ 1.000,00 (mil reais), na Data de Emissão (conforme abaixo definida) (“</w:t>
      </w:r>
      <w:r w:rsidRPr="00647FCD">
        <w:rPr>
          <w:szCs w:val="22"/>
          <w:u w:val="single"/>
        </w:rPr>
        <w:t>Valor Nominal Unitário</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b/>
          <w:szCs w:val="22"/>
        </w:rPr>
      </w:pPr>
      <w:r w:rsidRPr="00647FCD">
        <w:rPr>
          <w:b/>
          <w:szCs w:val="22"/>
        </w:rPr>
        <w:t xml:space="preserve">3. Quantidade de Debêntures: </w:t>
      </w:r>
      <w:r w:rsidRPr="00647FCD">
        <w:rPr>
          <w:szCs w:val="22"/>
        </w:rPr>
        <w:t>Serão emitidas 65.000 (sessenta e cinco mil) Debêntures, sendo 32.500 (trinta e duas mil e quinhentas) Debêntures da primeira série (“</w:t>
      </w:r>
      <w:r w:rsidRPr="00647FCD">
        <w:rPr>
          <w:szCs w:val="22"/>
          <w:u w:val="single"/>
        </w:rPr>
        <w:t>Debêntures da Primeira Série</w:t>
      </w:r>
      <w:r w:rsidRPr="00647FCD">
        <w:rPr>
          <w:szCs w:val="22"/>
        </w:rPr>
        <w:t>”); e 32.500 (trinta e duas mil e quinhentas) Debêntures da segunda série (“</w:t>
      </w:r>
      <w:r w:rsidRPr="00647FCD">
        <w:rPr>
          <w:szCs w:val="22"/>
          <w:u w:val="single"/>
        </w:rPr>
        <w:t>Debêntures da Segunda Série</w:t>
      </w:r>
      <w:r w:rsidRPr="00647FCD">
        <w:rPr>
          <w:szCs w:val="22"/>
        </w:rPr>
        <w:t>” e, em conjunto com as Debêntures da Primeira Série, as “</w:t>
      </w:r>
      <w:r w:rsidRPr="00647FCD">
        <w:rPr>
          <w:szCs w:val="22"/>
          <w:u w:val="single"/>
        </w:rPr>
        <w:t>Debêntures</w:t>
      </w:r>
      <w:r w:rsidRPr="00647FCD">
        <w:rPr>
          <w:szCs w:val="22"/>
        </w:rPr>
        <w:t>”).</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4. Número de Séries: </w:t>
      </w:r>
      <w:r w:rsidRPr="00647FCD">
        <w:rPr>
          <w:szCs w:val="22"/>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p>
    <w:p w:rsidR="00F4569F" w:rsidRPr="00647FCD" w:rsidRDefault="00F4569F" w:rsidP="00F4569F">
      <w:pPr>
        <w:suppressAutoHyphens/>
        <w:spacing w:line="320" w:lineRule="exact"/>
        <w:rPr>
          <w:szCs w:val="22"/>
        </w:rPr>
      </w:pPr>
    </w:p>
    <w:p w:rsidR="00F4569F" w:rsidRPr="00647FCD" w:rsidRDefault="00F4569F" w:rsidP="00F4569F">
      <w:pPr>
        <w:suppressAutoHyphens/>
        <w:spacing w:line="320" w:lineRule="exact"/>
        <w:rPr>
          <w:b/>
          <w:szCs w:val="22"/>
        </w:rPr>
      </w:pPr>
      <w:r w:rsidRPr="00647FCD">
        <w:rPr>
          <w:b/>
          <w:szCs w:val="22"/>
        </w:rPr>
        <w:t xml:space="preserve">5. Data de Emissão: </w:t>
      </w:r>
      <w:r w:rsidRPr="00647FCD">
        <w:rPr>
          <w:szCs w:val="22"/>
        </w:rPr>
        <w:t>Para todos os fins e efeitos legais, a data de emissão das Debêntures será 20 de julho de 2018 (“</w:t>
      </w:r>
      <w:r w:rsidRPr="00647FCD">
        <w:rPr>
          <w:szCs w:val="22"/>
          <w:u w:val="single"/>
        </w:rPr>
        <w:t>Data de Emissão</w:t>
      </w:r>
      <w:r w:rsidRPr="00647FCD">
        <w:rPr>
          <w:szCs w:val="22"/>
        </w:rPr>
        <w:t xml:space="preserve">”). </w:t>
      </w:r>
    </w:p>
    <w:p w:rsidR="00F4569F" w:rsidRPr="00647FCD" w:rsidRDefault="00F4569F" w:rsidP="00F4569F">
      <w:pPr>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6. Prazo e Data de Vencimento: </w:t>
      </w:r>
      <w:r w:rsidRPr="00647FCD">
        <w:rPr>
          <w:szCs w:val="22"/>
        </w:rPr>
        <w:t>O vencimento final das Debêntures ocorrerá ao término do prazo de</w:t>
      </w:r>
      <w:r>
        <w:rPr>
          <w:szCs w:val="22"/>
        </w:rPr>
        <w:t xml:space="preserve"> 7 (sete) anos e 3 (três) meses</w:t>
      </w:r>
      <w:r w:rsidRPr="00647FCD">
        <w:rPr>
          <w:szCs w:val="22"/>
        </w:rPr>
        <w:t xml:space="preserve"> contados da Data de Emissão, vencendo-se, portanto, em </w:t>
      </w:r>
      <w:r>
        <w:rPr>
          <w:szCs w:val="22"/>
        </w:rPr>
        <w:t>20 de outubro de 2025</w:t>
      </w:r>
      <w:r w:rsidRPr="00647FCD">
        <w:rPr>
          <w:szCs w:val="22"/>
        </w:rPr>
        <w:t xml:space="preserve"> (“</w:t>
      </w:r>
      <w:r w:rsidRPr="00647FCD">
        <w:rPr>
          <w:szCs w:val="22"/>
          <w:u w:val="single"/>
        </w:rPr>
        <w:t>Data de Vencimento</w:t>
      </w:r>
      <w:r w:rsidRPr="00647FCD">
        <w:rPr>
          <w:szCs w:val="22"/>
        </w:rPr>
        <w:t>”), ressalvadas as hipóteses de declaração de vencimento antecipado e/ou de resgate antecipado das Debêntures, conforme previsto na Escritura.</w:t>
      </w:r>
    </w:p>
    <w:p w:rsidR="00F4569F" w:rsidRPr="00647FCD" w:rsidRDefault="00F4569F" w:rsidP="00F4569F">
      <w:pPr>
        <w:suppressAutoHyphens/>
        <w:spacing w:line="320" w:lineRule="exact"/>
        <w:rPr>
          <w:szCs w:val="22"/>
        </w:rPr>
      </w:pPr>
    </w:p>
    <w:p w:rsidR="00F4569F" w:rsidRPr="00647FCD" w:rsidRDefault="00F4569F" w:rsidP="00F4569F">
      <w:pPr>
        <w:tabs>
          <w:tab w:val="left" w:pos="0"/>
        </w:tabs>
        <w:suppressAutoHyphens/>
        <w:spacing w:line="320" w:lineRule="exact"/>
        <w:rPr>
          <w:b/>
          <w:szCs w:val="22"/>
        </w:rPr>
      </w:pPr>
      <w:r w:rsidRPr="00647FCD">
        <w:rPr>
          <w:b/>
          <w:szCs w:val="22"/>
        </w:rPr>
        <w:t xml:space="preserve">7. Atualização Monetária do Valor Nominal Unitário: </w:t>
      </w:r>
      <w:r w:rsidRPr="00647FCD">
        <w:rPr>
          <w:szCs w:val="22"/>
        </w:rPr>
        <w:t>Não haverá atualização monetária do Valor Nominal Unitário.</w:t>
      </w:r>
      <w:bookmarkStart w:id="2" w:name="_Ref264223392"/>
      <w:r w:rsidRPr="00647FCD">
        <w:rPr>
          <w:szCs w:val="22"/>
        </w:rPr>
        <w:t xml:space="preserve"> </w:t>
      </w:r>
      <w:bookmarkStart w:id="3" w:name="_Ref264374209"/>
      <w:bookmarkEnd w:id="2"/>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szCs w:val="22"/>
        </w:rPr>
      </w:pPr>
      <w:r w:rsidRPr="00647FCD">
        <w:rPr>
          <w:b/>
          <w:szCs w:val="22"/>
        </w:rPr>
        <w:t>8. Remuneração</w:t>
      </w:r>
      <w:bookmarkEnd w:id="3"/>
      <w:r w:rsidRPr="00647FCD">
        <w:rPr>
          <w:b/>
          <w:szCs w:val="22"/>
        </w:rPr>
        <w:t xml:space="preserve"> das Debêntures. </w:t>
      </w:r>
      <w:r w:rsidRPr="00647FCD">
        <w:rPr>
          <w:szCs w:val="22"/>
        </w:rPr>
        <w:t xml:space="preserve">As Debêntures farão jus a juros remuneratórios estabelecidos com base na variação acumulada de 100% (cem por cento) das taxas médias diárias dos depósitos interfinanceiros de 1 (um) dia, denominadas “Taxa DI </w:t>
      </w:r>
      <w:r w:rsidRPr="00647FCD">
        <w:rPr>
          <w:i/>
          <w:szCs w:val="22"/>
        </w:rPr>
        <w:t>over</w:t>
      </w:r>
      <w:r w:rsidRPr="00647FCD">
        <w:rPr>
          <w:szCs w:val="22"/>
        </w:rPr>
        <w:t xml:space="preserve"> </w:t>
      </w:r>
      <w:r w:rsidRPr="00647FCD">
        <w:rPr>
          <w:i/>
          <w:szCs w:val="22"/>
        </w:rPr>
        <w:t>extra-grupo</w:t>
      </w:r>
      <w:r w:rsidRPr="00647FCD">
        <w:rPr>
          <w:szCs w:val="22"/>
        </w:rPr>
        <w:t xml:space="preserve">”, expressa na forma percentual ao ano, base 252 (duzentos e cinquenta e dois) Dias Úteis, calculada e divulgada diariamente pela B3 no informativo diário disponível em sua página da </w:t>
      </w:r>
      <w:r w:rsidRPr="00647FCD">
        <w:rPr>
          <w:szCs w:val="22"/>
        </w:rPr>
        <w:lastRenderedPageBreak/>
        <w:t>Internet (</w:t>
      </w:r>
      <w:hyperlink r:id="rId8" w:history="1">
        <w:r w:rsidRPr="00647FCD">
          <w:rPr>
            <w:rStyle w:val="Hyperlink"/>
            <w:szCs w:val="22"/>
          </w:rPr>
          <w:t>http://www.cetip.com.br</w:t>
        </w:r>
      </w:hyperlink>
      <w:r w:rsidRPr="00647FCD">
        <w:rPr>
          <w:szCs w:val="22"/>
        </w:rPr>
        <w:t>) (“</w:t>
      </w:r>
      <w:r w:rsidRPr="00647FCD">
        <w:rPr>
          <w:szCs w:val="22"/>
          <w:u w:val="single"/>
        </w:rPr>
        <w:t>Taxa DI</w:t>
      </w:r>
      <w:r w:rsidRPr="00647FCD">
        <w:rPr>
          <w:szCs w:val="22"/>
        </w:rPr>
        <w:t>”), acrescida de sobretaxa de</w:t>
      </w:r>
      <w:r w:rsidR="008E405F">
        <w:rPr>
          <w:szCs w:val="22"/>
        </w:rPr>
        <w:t xml:space="preserve"> (i)</w:t>
      </w:r>
      <w:r w:rsidRPr="00647FCD">
        <w:rPr>
          <w:szCs w:val="22"/>
        </w:rPr>
        <w:t xml:space="preserve"> 3,00% (três inteiros por cento) ao ano, base 252 (duzentos e cinquenta e dois) Dias Úteis</w:t>
      </w:r>
      <w:r w:rsidR="008E405F">
        <w:rPr>
          <w:szCs w:val="22"/>
        </w:rPr>
        <w:t>, desde a primeira Data de Integralização (inclusive) até 20 de abril de 2020 (exclusive); e (ii) 4,90</w:t>
      </w:r>
      <w:r w:rsidR="008E405F" w:rsidRPr="00647FCD">
        <w:rPr>
          <w:szCs w:val="22"/>
        </w:rPr>
        <w:t>% (</w:t>
      </w:r>
      <w:r w:rsidR="008E405F">
        <w:rPr>
          <w:szCs w:val="22"/>
        </w:rPr>
        <w:t>quatro</w:t>
      </w:r>
      <w:r w:rsidR="008E405F" w:rsidRPr="00647FCD">
        <w:rPr>
          <w:szCs w:val="22"/>
        </w:rPr>
        <w:t xml:space="preserve"> inteiros </w:t>
      </w:r>
      <w:r w:rsidR="008E405F">
        <w:rPr>
          <w:szCs w:val="22"/>
        </w:rPr>
        <w:t xml:space="preserve">e noventa centésimos </w:t>
      </w:r>
      <w:r w:rsidR="008E405F" w:rsidRPr="00647FCD">
        <w:rPr>
          <w:szCs w:val="22"/>
        </w:rPr>
        <w:t>por cento) ao ano, base 252 (duzentos e cinquenta e dois) Dias Úteis</w:t>
      </w:r>
      <w:r w:rsidR="008E405F">
        <w:rPr>
          <w:szCs w:val="22"/>
        </w:rPr>
        <w:t xml:space="preserve">, a partir de 20 de abril de 2020 (inclusive) até a Data de Vencimento (inclusive) </w:t>
      </w:r>
      <w:r w:rsidRPr="00647FCD">
        <w:rPr>
          <w:szCs w:val="22"/>
        </w:rPr>
        <w:t>(“</w:t>
      </w:r>
      <w:r w:rsidRPr="00647FCD">
        <w:rPr>
          <w:szCs w:val="22"/>
          <w:u w:val="single"/>
        </w:rPr>
        <w:t>Sobretaxa</w:t>
      </w:r>
      <w:r w:rsidRPr="00647FCD">
        <w:rPr>
          <w:szCs w:val="22"/>
        </w:rPr>
        <w:t>” e, em conjunto com a Taxa DI, “</w:t>
      </w:r>
      <w:r w:rsidRPr="00647FCD">
        <w:rPr>
          <w:szCs w:val="22"/>
          <w:u w:val="single"/>
        </w:rPr>
        <w:t>Remuneração</w:t>
      </w:r>
      <w:r w:rsidRPr="00647FCD">
        <w:rPr>
          <w:szCs w:val="22"/>
        </w:rPr>
        <w:t xml:space="preserve">”), calculados de forma exponencial e cumulativa, </w:t>
      </w:r>
      <w:r w:rsidRPr="00647FCD">
        <w:rPr>
          <w:i/>
          <w:szCs w:val="22"/>
        </w:rPr>
        <w:t>pro rata temporis</w:t>
      </w:r>
      <w:r w:rsidRPr="00647FCD">
        <w:rPr>
          <w:szCs w:val="22"/>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w:t>
      </w:r>
      <w:r w:rsidRPr="00647FCD">
        <w:rPr>
          <w:rFonts w:eastAsia="TimesNewRoman"/>
          <w:szCs w:val="22"/>
        </w:rPr>
        <w:t xml:space="preserve">e pagos ao final de </w:t>
      </w:r>
      <w:r w:rsidRPr="00647FCD">
        <w:rPr>
          <w:szCs w:val="22"/>
        </w:rPr>
        <w:t>cada Período de Capitalização das Debêntures ou na data do efetivo pagamento das Debêntures, conforme aplicável. A Remuneração será calculada de acordo com a fórmula contida na Escritura.</w:t>
      </w:r>
    </w:p>
    <w:p w:rsidR="00F4569F" w:rsidRPr="00647FCD" w:rsidRDefault="00F4569F" w:rsidP="00F4569F">
      <w:pPr>
        <w:tabs>
          <w:tab w:val="left" w:pos="0"/>
        </w:tabs>
        <w:suppressAutoHyphens/>
        <w:spacing w:line="320" w:lineRule="exact"/>
        <w:rPr>
          <w:b/>
          <w:szCs w:val="22"/>
        </w:rPr>
      </w:pPr>
    </w:p>
    <w:p w:rsidR="00F4569F" w:rsidRPr="00F4569F" w:rsidRDefault="00F4569F" w:rsidP="00F4569F">
      <w:pPr>
        <w:tabs>
          <w:tab w:val="left" w:pos="0"/>
        </w:tabs>
        <w:suppressAutoHyphens/>
        <w:spacing w:line="320" w:lineRule="exact"/>
        <w:rPr>
          <w:szCs w:val="22"/>
        </w:rPr>
      </w:pPr>
      <w:r w:rsidRPr="00647FCD">
        <w:rPr>
          <w:b/>
          <w:szCs w:val="22"/>
        </w:rPr>
        <w:t xml:space="preserve">9. Pagamento da Remuneração: </w:t>
      </w:r>
      <w:r w:rsidRPr="00647FCD">
        <w:rPr>
          <w:szCs w:val="22"/>
        </w:rPr>
        <w:t xml:space="preserve">A Remuneração das Debêntures será paga </w:t>
      </w:r>
      <w:r>
        <w:rPr>
          <w:szCs w:val="22"/>
        </w:rPr>
        <w:t xml:space="preserve">(i) </w:t>
      </w:r>
      <w:r w:rsidRPr="00647FCD">
        <w:rPr>
          <w:szCs w:val="22"/>
        </w:rPr>
        <w:t>mensalmente em parcelas consecutivas, a partir da Data de Emissão,</w:t>
      </w:r>
      <w:r>
        <w:rPr>
          <w:szCs w:val="22"/>
        </w:rPr>
        <w:t xml:space="preserve"> até 20 de outubro de 2020,</w:t>
      </w:r>
      <w:r w:rsidRPr="00647FCD">
        <w:rPr>
          <w:szCs w:val="22"/>
        </w:rPr>
        <w:t xml:space="preserve"> sem carência, todo dia 20 de cada mês,</w:t>
      </w:r>
      <w:r>
        <w:rPr>
          <w:szCs w:val="22"/>
        </w:rPr>
        <w:t xml:space="preserve"> exceto nos meses de abril a outubro de 2020, nos quais não serão devidos pagamentos da Remuneração das Debêntures; (ii) em 09 de novembro de 2020, ocasião na qual a Emissora deverá pagar 50% (cinquenta por cento) do montante devido a título de Remuneração das Debêntures incidente sobre o saldo do Valor Nominal Unitário desde 20 de março de 2020 até 20 de outubro de 2020, correspondente ao valor de </w:t>
      </w:r>
      <w:r w:rsidRPr="00F4569F">
        <w:rPr>
          <w:szCs w:val="22"/>
        </w:rPr>
        <w:t>(1.a) R$ 587.904,76 em relação às Debêntures da Primeira Série e (1.b) R$</w:t>
      </w:r>
      <w:r>
        <w:rPr>
          <w:szCs w:val="22"/>
        </w:rPr>
        <w:t xml:space="preserve"> </w:t>
      </w:r>
      <w:r w:rsidRPr="00F4569F">
        <w:rPr>
          <w:szCs w:val="22"/>
        </w:rPr>
        <w:t>597.782,88 em relação às Debêntures da Segunda Séria, totalizando o valor</w:t>
      </w:r>
      <w:r>
        <w:rPr>
          <w:szCs w:val="22"/>
        </w:rPr>
        <w:t xml:space="preserve"> </w:t>
      </w:r>
      <w:r w:rsidRPr="00F4569F">
        <w:rPr>
          <w:szCs w:val="22"/>
        </w:rPr>
        <w:t>de R$ 1.185.687,64, sendo que</w:t>
      </w:r>
      <w:r w:rsidRPr="00647FCD">
        <w:rPr>
          <w:szCs w:val="22"/>
        </w:rPr>
        <w:t xml:space="preserve"> </w:t>
      </w:r>
      <w:r w:rsidRPr="00F4569F">
        <w:rPr>
          <w:szCs w:val="22"/>
        </w:rPr>
        <w:t>o valor correspondente aos 50%</w:t>
      </w:r>
      <w:r>
        <w:rPr>
          <w:szCs w:val="22"/>
        </w:rPr>
        <w:t xml:space="preserve"> </w:t>
      </w:r>
      <w:r w:rsidRPr="00F4569F">
        <w:rPr>
          <w:szCs w:val="22"/>
        </w:rPr>
        <w:t>remanescentes (“</w:t>
      </w:r>
      <w:r w:rsidRPr="00F4569F">
        <w:rPr>
          <w:szCs w:val="22"/>
          <w:u w:val="single"/>
        </w:rPr>
        <w:t>Saldo Remanescente da Remuneração</w:t>
      </w:r>
      <w:r w:rsidRPr="00F4569F">
        <w:rPr>
          <w:szCs w:val="22"/>
        </w:rPr>
        <w:t>”) será incorporado</w:t>
      </w:r>
      <w:r>
        <w:rPr>
          <w:szCs w:val="22"/>
        </w:rPr>
        <w:t xml:space="preserve"> </w:t>
      </w:r>
      <w:r w:rsidRPr="00F4569F">
        <w:rPr>
          <w:szCs w:val="22"/>
        </w:rPr>
        <w:t>ao saldo do Valor Nominal Unitário das Debêntures em 09 de novembro de</w:t>
      </w:r>
      <w:r>
        <w:rPr>
          <w:szCs w:val="22"/>
        </w:rPr>
        <w:t xml:space="preserve"> </w:t>
      </w:r>
      <w:r w:rsidRPr="00F4569F">
        <w:rPr>
          <w:szCs w:val="22"/>
        </w:rPr>
        <w:t>2020 (“</w:t>
      </w:r>
      <w:r w:rsidRPr="00F4569F">
        <w:rPr>
          <w:szCs w:val="22"/>
          <w:u w:val="single"/>
        </w:rPr>
        <w:t>Novo Saldo do Valor Nominal Unitário das Debêntures</w:t>
      </w:r>
      <w:r w:rsidRPr="00F4569F">
        <w:rPr>
          <w:szCs w:val="22"/>
        </w:rPr>
        <w:t>”); e (iii) a</w:t>
      </w:r>
      <w:r>
        <w:rPr>
          <w:szCs w:val="22"/>
        </w:rPr>
        <w:t xml:space="preserve"> </w:t>
      </w:r>
      <w:r w:rsidRPr="00F4569F">
        <w:rPr>
          <w:szCs w:val="22"/>
        </w:rPr>
        <w:t>partir de 20 de outubro de 2020, (inclusive), em parcelas trimestrais,</w:t>
      </w:r>
      <w:r>
        <w:rPr>
          <w:szCs w:val="22"/>
        </w:rPr>
        <w:t xml:space="preserve"> </w:t>
      </w:r>
      <w:r w:rsidRPr="00F4569F">
        <w:rPr>
          <w:szCs w:val="22"/>
        </w:rPr>
        <w:t>sempre no dia 20 dos meses de janeiro, abril, julho e outubro de cada ano,</w:t>
      </w:r>
    </w:p>
    <w:p w:rsidR="00F4569F" w:rsidRPr="00F4569F" w:rsidRDefault="00F4569F" w:rsidP="00F4569F">
      <w:pPr>
        <w:tabs>
          <w:tab w:val="left" w:pos="0"/>
        </w:tabs>
        <w:suppressAutoHyphens/>
        <w:spacing w:line="320" w:lineRule="exact"/>
        <w:rPr>
          <w:szCs w:val="22"/>
        </w:rPr>
      </w:pPr>
      <w:r w:rsidRPr="00F4569F">
        <w:rPr>
          <w:szCs w:val="22"/>
        </w:rPr>
        <w:t>sendo o 1º (primeiro) pagamento trimestral da Remuneração das</w:t>
      </w:r>
      <w:r>
        <w:rPr>
          <w:szCs w:val="22"/>
        </w:rPr>
        <w:t xml:space="preserve"> </w:t>
      </w:r>
      <w:r w:rsidRPr="00F4569F">
        <w:rPr>
          <w:szCs w:val="22"/>
        </w:rPr>
        <w:t>Debêntures devido em 20 de janeiro de 2021, o qual contemplará,</w:t>
      </w:r>
      <w:r>
        <w:rPr>
          <w:szCs w:val="22"/>
        </w:rPr>
        <w:t xml:space="preserve"> </w:t>
      </w:r>
      <w:r w:rsidRPr="00F4569F">
        <w:rPr>
          <w:szCs w:val="22"/>
        </w:rPr>
        <w:t>adicionalmente, o valor devido e não pago a título de Remuneração incidente</w:t>
      </w:r>
      <w:r>
        <w:rPr>
          <w:szCs w:val="22"/>
        </w:rPr>
        <w:t xml:space="preserve"> </w:t>
      </w:r>
      <w:r w:rsidRPr="00F4569F">
        <w:rPr>
          <w:szCs w:val="22"/>
        </w:rPr>
        <w:t>no período de 20 de outubro de 2020 (inclusive) até 09 de novembro de</w:t>
      </w:r>
    </w:p>
    <w:p w:rsidR="00F4569F" w:rsidRPr="00647FCD" w:rsidRDefault="00F4569F" w:rsidP="00F4569F">
      <w:pPr>
        <w:tabs>
          <w:tab w:val="left" w:pos="0"/>
        </w:tabs>
        <w:suppressAutoHyphens/>
        <w:spacing w:line="320" w:lineRule="exact"/>
        <w:rPr>
          <w:rFonts w:eastAsia="Calibri"/>
          <w:szCs w:val="22"/>
        </w:rPr>
      </w:pPr>
      <w:r w:rsidRPr="00F4569F">
        <w:rPr>
          <w:szCs w:val="22"/>
        </w:rPr>
        <w:t>2020, e o último pagamento na Data de Vencimento (ou no Dia Útil</w:t>
      </w:r>
      <w:r>
        <w:rPr>
          <w:szCs w:val="22"/>
        </w:rPr>
        <w:t xml:space="preserve"> </w:t>
      </w:r>
      <w:r w:rsidRPr="00F4569F">
        <w:rPr>
          <w:szCs w:val="22"/>
        </w:rPr>
        <w:t>imediatamente subsequente, se tais datas não forem Dias Úteis), observada,</w:t>
      </w:r>
      <w:r>
        <w:rPr>
          <w:szCs w:val="22"/>
        </w:rPr>
        <w:t xml:space="preserve"> </w:t>
      </w:r>
      <w:r w:rsidRPr="00F4569F">
        <w:rPr>
          <w:szCs w:val="22"/>
        </w:rPr>
        <w:t>ainda, a possibilidade de declaração de vencimento antecipado, amortização</w:t>
      </w:r>
      <w:r>
        <w:rPr>
          <w:szCs w:val="22"/>
        </w:rPr>
        <w:t xml:space="preserve"> </w:t>
      </w:r>
      <w:r w:rsidRPr="00F4569F">
        <w:rPr>
          <w:szCs w:val="22"/>
        </w:rPr>
        <w:t>extraordinária e/ou de resgate antecipado das Debêntures</w:t>
      </w:r>
      <w:r w:rsidRPr="00647FCD">
        <w:rPr>
          <w:rFonts w:eastAsia="Arial Unicode MS"/>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0"/>
        </w:tabs>
        <w:suppressAutoHyphens/>
        <w:spacing w:line="320" w:lineRule="exact"/>
        <w:rPr>
          <w:b/>
          <w:szCs w:val="22"/>
        </w:rPr>
      </w:pPr>
      <w:r w:rsidRPr="00647FCD">
        <w:rPr>
          <w:b/>
          <w:szCs w:val="22"/>
        </w:rPr>
        <w:t>10. Pagamento do Valor Nominal Unitário</w:t>
      </w:r>
      <w:r w:rsidRPr="00647FCD">
        <w:rPr>
          <w:szCs w:val="22"/>
        </w:rPr>
        <w:t xml:space="preserve">: Exceto nas hipóteses de declaração de vencimento antecipado, amortização extraordinária e/ou de resgate antecipado das Debêntures </w:t>
      </w:r>
      <w:r w:rsidRPr="00F4569F">
        <w:rPr>
          <w:szCs w:val="22"/>
        </w:rPr>
        <w:t>(</w:t>
      </w:r>
      <w:r>
        <w:rPr>
          <w:szCs w:val="22"/>
        </w:rPr>
        <w:t>i</w:t>
      </w:r>
      <w:r w:rsidRPr="00F4569F">
        <w:rPr>
          <w:szCs w:val="22"/>
        </w:rPr>
        <w:t xml:space="preserve">) o Valor Nominal Unitário das Debêntures da Primeira Série será pago (a) em parcelas mensais, todo dia 20 de cada mês, a partir da Data de Emissão até 20 de março de 2020 (inclusive); e (b) após a incorporação do Saldo Remanescente da Remuneração ao saldo do Valor Nominal Unitário das Debêntures da Primeira Série a ser realizada em 09 de novembro de 2020, em parcelas trimestrais, todo dia 20 dos meses de janeiro, abril, julho e outubro de cada ano, sendo o 1ª </w:t>
      </w:r>
      <w:r w:rsidRPr="00F4569F">
        <w:rPr>
          <w:szCs w:val="22"/>
        </w:rPr>
        <w:lastRenderedPageBreak/>
        <w:t xml:space="preserve">(primeiro) pagamento trimestral devido em 20 de janeiro de 2022 e o último pagamento na Data de Vencimento  (ou no Dia Útil imediatamente subsequente, se tais datas não forem Dias Úteis), observados os percentuais determinados no cronograma de amortização </w:t>
      </w:r>
      <w:r w:rsidRPr="00647FCD">
        <w:rPr>
          <w:szCs w:val="22"/>
        </w:rPr>
        <w:t>previsto na Escritura, sendo o primeiro pagamento em 20 de julho de 2019 e o último na Data de Vencimento; e (</w:t>
      </w:r>
      <w:r w:rsidR="008E405F" w:rsidRPr="008E405F">
        <w:rPr>
          <w:szCs w:val="22"/>
        </w:rPr>
        <w:t xml:space="preserve">ii) </w:t>
      </w:r>
      <w:r w:rsidR="008E405F" w:rsidRPr="008E405F">
        <w:rPr>
          <w:rFonts w:eastAsia="Arial Unicode MS"/>
          <w:szCs w:val="22"/>
        </w:rPr>
        <w:t>o Valor Nominal Unitário das Debêntures da Segunda Série será pago (</w:t>
      </w:r>
      <w:r w:rsidR="008E405F">
        <w:rPr>
          <w:rFonts w:eastAsia="Arial Unicode MS"/>
          <w:szCs w:val="22"/>
        </w:rPr>
        <w:t>a</w:t>
      </w:r>
      <w:r w:rsidR="008E405F" w:rsidRPr="008E405F">
        <w:rPr>
          <w:rFonts w:eastAsia="Arial Unicode MS"/>
          <w:szCs w:val="22"/>
        </w:rPr>
        <w:t>) em relação à 1ª (primeira) parcela, em 20 de janeiro de 2020 e (</w:t>
      </w:r>
      <w:r w:rsidR="008E405F">
        <w:rPr>
          <w:rFonts w:eastAsia="Arial Unicode MS"/>
          <w:szCs w:val="22"/>
        </w:rPr>
        <w:t>b</w:t>
      </w:r>
      <w:r w:rsidR="008E405F" w:rsidRPr="008E405F">
        <w:rPr>
          <w:rFonts w:eastAsia="Arial Unicode MS"/>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observados os percentuais determinados no cronograma de amortização </w:t>
      </w:r>
      <w:r w:rsidR="008E405F">
        <w:rPr>
          <w:rFonts w:eastAsia="Arial Unicode MS"/>
          <w:szCs w:val="22"/>
        </w:rPr>
        <w:t>previsto na Escritura</w:t>
      </w:r>
      <w:r w:rsidRPr="008E405F">
        <w:rPr>
          <w:szCs w:val="22"/>
        </w:rPr>
        <w:t>.</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suppressAutoHyphens/>
        <w:spacing w:line="320" w:lineRule="exact"/>
        <w:rPr>
          <w:szCs w:val="22"/>
        </w:rPr>
      </w:pPr>
      <w:r w:rsidRPr="00647FCD">
        <w:rPr>
          <w:b/>
          <w:szCs w:val="22"/>
        </w:rPr>
        <w:t xml:space="preserve">11. Amortização Extraordinária: </w:t>
      </w:r>
      <w:r w:rsidRPr="00647FCD">
        <w:rPr>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647FCD">
        <w:rPr>
          <w:szCs w:val="22"/>
          <w:u w:val="single"/>
        </w:rPr>
        <w:t>Amortização Extraordinária Facultativa</w:t>
      </w:r>
      <w:r w:rsidRPr="00647FCD">
        <w:rPr>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647FCD">
        <w:rPr>
          <w:szCs w:val="22"/>
          <w:u w:val="single"/>
        </w:rPr>
        <w:t>Valor de Amortização Extraordinária Facultativa</w:t>
      </w:r>
      <w:r w:rsidRPr="00647FCD">
        <w:rPr>
          <w:szCs w:val="22"/>
        </w:rPr>
        <w:t>”), acrescido de prêmio calculado da seguinte forma:</w:t>
      </w:r>
    </w:p>
    <w:p w:rsidR="00F4569F" w:rsidRPr="00647FCD" w:rsidRDefault="00F4569F" w:rsidP="00F4569F">
      <w:pPr>
        <w:suppressAutoHyphens/>
        <w:spacing w:line="320" w:lineRule="exact"/>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2020 (exclusive) e 20 de julho de 2021 (inclusive): 2,00% (dois por cento) </w:t>
      </w:r>
      <w:r w:rsidRPr="00647FCD">
        <w:rPr>
          <w:i/>
          <w:szCs w:val="22"/>
        </w:rPr>
        <w:t>flat</w:t>
      </w:r>
      <w:r w:rsidRPr="00647FCD">
        <w:rPr>
          <w:szCs w:val="22"/>
        </w:rPr>
        <w:t xml:space="preserve"> sobre o Valor de Amortização Extraordinária Facultativa</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2021 (exclusive) e 20 de julho de 2022 (inclusive): 1,00% (um por cento) </w:t>
      </w:r>
      <w:r w:rsidRPr="00647FCD">
        <w:rPr>
          <w:i/>
          <w:szCs w:val="22"/>
        </w:rPr>
        <w:t>flat</w:t>
      </w:r>
      <w:r w:rsidRPr="00647FCD">
        <w:rPr>
          <w:szCs w:val="22"/>
        </w:rPr>
        <w:t xml:space="preserve"> sobre o Valor de Amortização Extraordinária Facultativa; ou</w:t>
      </w:r>
    </w:p>
    <w:p w:rsidR="00F4569F" w:rsidRPr="00647FCD" w:rsidRDefault="00F4569F" w:rsidP="00F4569F">
      <w:pPr>
        <w:pStyle w:val="PargrafodaLista"/>
        <w:suppressAutoHyphens/>
        <w:spacing w:line="320" w:lineRule="exact"/>
        <w:ind w:left="567" w:hanging="567"/>
        <w:rPr>
          <w:szCs w:val="22"/>
        </w:rPr>
      </w:pPr>
    </w:p>
    <w:p w:rsidR="00F4569F" w:rsidRPr="00647FCD" w:rsidRDefault="00F4569F" w:rsidP="00F4569F">
      <w:pPr>
        <w:pStyle w:val="PargrafodaLista"/>
        <w:numPr>
          <w:ilvl w:val="0"/>
          <w:numId w:val="9"/>
        </w:numPr>
        <w:suppressAutoHyphens/>
        <w:spacing w:line="320" w:lineRule="exact"/>
        <w:ind w:left="567" w:hanging="567"/>
        <w:rPr>
          <w:szCs w:val="22"/>
        </w:rPr>
      </w:pPr>
      <w:r w:rsidRPr="00647FCD">
        <w:rPr>
          <w:szCs w:val="22"/>
        </w:rPr>
        <w:t xml:space="preserve">caso a Amortização Extraordinária Facultativa ocorra entre 20 de julho de 2022 (exclusive) e a Data de Vencimento (exclusive): 0,50% (cinquenta centésimos por cento) </w:t>
      </w:r>
      <w:r w:rsidRPr="00647FCD">
        <w:rPr>
          <w:i/>
          <w:szCs w:val="22"/>
        </w:rPr>
        <w:t>flat</w:t>
      </w:r>
      <w:r w:rsidRPr="00647FCD">
        <w:rPr>
          <w:szCs w:val="22"/>
        </w:rPr>
        <w:t xml:space="preserve"> sobre Valor de Amortização Extraordinária Facultativa.</w:t>
      </w:r>
    </w:p>
    <w:p w:rsidR="00F4569F" w:rsidRPr="00647FCD" w:rsidRDefault="00F4569F" w:rsidP="00F4569F">
      <w:pPr>
        <w:tabs>
          <w:tab w:val="left" w:pos="0"/>
        </w:tabs>
        <w:suppressAutoHyphens/>
        <w:spacing w:line="320" w:lineRule="exact"/>
        <w:rPr>
          <w:b/>
          <w:szCs w:val="22"/>
        </w:rPr>
      </w:pPr>
    </w:p>
    <w:p w:rsidR="00F4569F" w:rsidRPr="00647FCD" w:rsidRDefault="00F4569F" w:rsidP="00F4569F">
      <w:pPr>
        <w:tabs>
          <w:tab w:val="left" w:pos="709"/>
        </w:tabs>
        <w:suppressAutoHyphens/>
        <w:spacing w:line="320" w:lineRule="exact"/>
        <w:rPr>
          <w:szCs w:val="22"/>
        </w:rPr>
      </w:pPr>
      <w:r w:rsidRPr="00647FCD">
        <w:rPr>
          <w:b/>
          <w:szCs w:val="22"/>
        </w:rPr>
        <w:t xml:space="preserve">12. Resgate Antecipado Facultativo Total: </w:t>
      </w:r>
      <w:r w:rsidRPr="00647FCD">
        <w:rPr>
          <w:szCs w:val="22"/>
        </w:rPr>
        <w:t xml:space="preserve">A partir do dia 20 de julho de 2020, inclusive, a Emissora poderá, ao seu exclusivo critério e independentemente da anuência dos Debenturistas, realizar o resgate antecipado da totalidade das Debêntures, mediante o envio de Comunicação </w:t>
      </w:r>
      <w:r w:rsidRPr="00647FCD">
        <w:rPr>
          <w:szCs w:val="22"/>
        </w:rPr>
        <w:lastRenderedPageBreak/>
        <w:t>de Resgate Antecipado Facultativo Total (“</w:t>
      </w:r>
      <w:r w:rsidRPr="00647FCD">
        <w:rPr>
          <w:szCs w:val="22"/>
          <w:u w:val="single"/>
        </w:rPr>
        <w:t>Resgate Antecipado Facultativo Total</w:t>
      </w:r>
      <w:r w:rsidRPr="00647FCD">
        <w:rPr>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647FCD">
        <w:rPr>
          <w:i/>
          <w:szCs w:val="22"/>
        </w:rPr>
        <w:t>pro rata temporis</w:t>
      </w:r>
      <w:r w:rsidRPr="00647FCD">
        <w:rPr>
          <w:szCs w:val="22"/>
        </w:rPr>
        <w:t xml:space="preserve"> desde a primeira Data de Integralização (ou desde a última Data de Pagamento da Remuneração, conforme o caso) até a data do efetivo Resgate Antecipado Facultativo Total, e (iii) de eventuais Encargos Moratórios (se houver) (“</w:t>
      </w:r>
      <w:r w:rsidRPr="00647FCD">
        <w:rPr>
          <w:szCs w:val="22"/>
          <w:u w:val="single"/>
        </w:rPr>
        <w:t>Valor de Resgate Antecipado Facultativo Total</w:t>
      </w:r>
      <w:r w:rsidRPr="00647FCD">
        <w:rPr>
          <w:szCs w:val="22"/>
        </w:rPr>
        <w:t>”), acrescido de prêmio calculado da seguinte forma:</w:t>
      </w:r>
    </w:p>
    <w:p w:rsidR="00F4569F" w:rsidRPr="00647FCD" w:rsidRDefault="00F4569F" w:rsidP="00F4569F">
      <w:pPr>
        <w:tabs>
          <w:tab w:val="left" w:pos="709"/>
        </w:tabs>
        <w:suppressAutoHyphens/>
        <w:spacing w:line="320" w:lineRule="exact"/>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2020 (exclusive) e 20 de julho de 2021 (inclusive): 2,00% (dois por cento) </w:t>
      </w:r>
      <w:r w:rsidRPr="00647FCD">
        <w:rPr>
          <w:i/>
          <w:szCs w:val="22"/>
        </w:rPr>
        <w:t>flat</w:t>
      </w:r>
      <w:r w:rsidRPr="00647FCD">
        <w:rPr>
          <w:szCs w:val="22"/>
        </w:rPr>
        <w:t xml:space="preserve"> sobre o Valor de Resgate Antecipado Facultativo Total</w:t>
      </w:r>
    </w:p>
    <w:p w:rsidR="00F4569F" w:rsidRPr="00647FCD" w:rsidRDefault="00F4569F" w:rsidP="00F4569F">
      <w:pPr>
        <w:pStyle w:val="PargrafodaLista"/>
        <w:suppressAutoHyphens/>
        <w:spacing w:line="320" w:lineRule="exact"/>
        <w:ind w:left="567"/>
        <w:rPr>
          <w:szCs w:val="22"/>
        </w:rPr>
      </w:pPr>
    </w:p>
    <w:p w:rsidR="00F4569F" w:rsidRPr="00647FCD"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2021 (exclusive) e 20 de julho de 2022 (inclusive): 1,00% (um por cento) </w:t>
      </w:r>
      <w:r w:rsidRPr="00647FCD">
        <w:rPr>
          <w:i/>
          <w:szCs w:val="22"/>
        </w:rPr>
        <w:t>flat</w:t>
      </w:r>
      <w:r w:rsidRPr="00647FCD">
        <w:rPr>
          <w:szCs w:val="22"/>
        </w:rPr>
        <w:t xml:space="preserve"> sobre o Valor de Resgate Antecipado Facultativo Total; ou</w:t>
      </w:r>
    </w:p>
    <w:p w:rsidR="00F4569F" w:rsidRPr="00647FCD" w:rsidRDefault="00F4569F" w:rsidP="00F4569F">
      <w:pPr>
        <w:pStyle w:val="PargrafodaLista"/>
        <w:suppressAutoHyphens/>
        <w:spacing w:line="320" w:lineRule="exact"/>
        <w:ind w:left="567" w:hanging="567"/>
        <w:rPr>
          <w:szCs w:val="22"/>
        </w:rPr>
      </w:pPr>
    </w:p>
    <w:p w:rsidR="00F4569F" w:rsidRPr="008E405F" w:rsidRDefault="00F4569F" w:rsidP="00F4569F">
      <w:pPr>
        <w:pStyle w:val="PargrafodaLista"/>
        <w:numPr>
          <w:ilvl w:val="0"/>
          <w:numId w:val="10"/>
        </w:numPr>
        <w:suppressAutoHyphens/>
        <w:spacing w:line="320" w:lineRule="exact"/>
        <w:ind w:left="567" w:hanging="567"/>
        <w:rPr>
          <w:szCs w:val="22"/>
        </w:rPr>
      </w:pPr>
      <w:r w:rsidRPr="00647FCD">
        <w:rPr>
          <w:szCs w:val="22"/>
        </w:rPr>
        <w:t xml:space="preserve">caso o Resgate Antecipado Facultativo Total ocorra entre 20 de julho de 2022 (exclusive) e a Data de Vencimento (exclusive): 0,50% (cinquenta centésimos por cento) </w:t>
      </w:r>
      <w:r w:rsidRPr="00647FCD">
        <w:rPr>
          <w:i/>
          <w:szCs w:val="22"/>
        </w:rPr>
        <w:t>flat</w:t>
      </w:r>
      <w:r w:rsidRPr="00647FCD">
        <w:rPr>
          <w:szCs w:val="22"/>
        </w:rPr>
        <w:t xml:space="preserve"> sobre Valor de Resgate Antecipado Facultativo Total.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13.</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Local de Pagamento</w:t>
      </w:r>
      <w:r w:rsidRPr="008E405F">
        <w:rPr>
          <w:rFonts w:ascii="Tahoma" w:eastAsia="Times New Roman" w:hAnsi="Tahoma" w:cs="Times New Roman"/>
          <w:sz w:val="22"/>
          <w:szCs w:val="22"/>
        </w:rPr>
        <w:t>: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r w:rsidRPr="008E405F">
        <w:rPr>
          <w:rFonts w:ascii="Tahoma" w:eastAsia="Times New Roman" w:hAnsi="Tahoma" w:cs="Times New Roman"/>
          <w:b/>
          <w:sz w:val="22"/>
          <w:szCs w:val="22"/>
        </w:rPr>
        <w:t>14.</w:t>
      </w:r>
      <w:r w:rsidRPr="008E405F">
        <w:rPr>
          <w:rFonts w:ascii="Tahoma" w:eastAsia="Times New Roman" w:hAnsi="Tahoma" w:cs="Times New Roman"/>
          <w:sz w:val="22"/>
          <w:szCs w:val="22"/>
        </w:rPr>
        <w:t xml:space="preserve"> </w:t>
      </w:r>
      <w:r w:rsidRPr="008E405F">
        <w:rPr>
          <w:rFonts w:ascii="Tahoma" w:eastAsia="Times New Roman" w:hAnsi="Tahoma" w:cs="Times New Roman"/>
          <w:b/>
          <w:sz w:val="22"/>
          <w:szCs w:val="22"/>
        </w:rPr>
        <w:t>Encargos Moratórios</w:t>
      </w:r>
      <w:r w:rsidRPr="008E405F">
        <w:rPr>
          <w:rFonts w:ascii="Tahoma" w:eastAsia="Times New Roman" w:hAnsi="Tahoma" w:cs="Times New Roman"/>
          <w:sz w:val="22"/>
          <w:szCs w:val="22"/>
        </w:rPr>
        <w:t>: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F4569F" w:rsidRPr="008E405F" w:rsidRDefault="00F4569F" w:rsidP="00F4569F">
      <w:pPr>
        <w:pStyle w:val="NormalWeb"/>
        <w:suppressAutoHyphens/>
        <w:spacing w:before="0" w:beforeAutospacing="0" w:after="0" w:afterAutospacing="0" w:line="320" w:lineRule="exact"/>
        <w:jc w:val="both"/>
        <w:rPr>
          <w:rFonts w:ascii="Tahoma" w:eastAsia="Times New Roman" w:hAnsi="Tahoma" w:cs="Times New Roman"/>
          <w:sz w:val="22"/>
          <w:szCs w:val="22"/>
        </w:rPr>
      </w:pPr>
    </w:p>
    <w:p w:rsidR="00F4569F" w:rsidRPr="008E405F" w:rsidRDefault="00F4569F" w:rsidP="00F4569F">
      <w:pPr>
        <w:pStyle w:val="BNDES"/>
        <w:suppressAutoHyphens/>
        <w:spacing w:line="320" w:lineRule="exact"/>
        <w:rPr>
          <w:rFonts w:ascii="Tahoma" w:hAnsi="Tahoma"/>
          <w:sz w:val="22"/>
          <w:szCs w:val="22"/>
        </w:rPr>
      </w:pPr>
      <w:r w:rsidRPr="008E405F">
        <w:rPr>
          <w:rFonts w:ascii="Tahoma" w:hAnsi="Tahoma"/>
          <w:sz w:val="22"/>
          <w:szCs w:val="22"/>
        </w:rPr>
        <w:t>As demais características das Debêntures e, consequentemente, das Obrigações Garantidas, estão descritas na Escritura, cujas cláusulas, termos e condições as partes declaram expressamente conhecer e concordar.</w:t>
      </w:r>
    </w:p>
    <w:p w:rsidR="00F4569F" w:rsidRPr="008E405F" w:rsidRDefault="00F4569F" w:rsidP="00F4569F">
      <w:pPr>
        <w:pStyle w:val="BNDES"/>
        <w:suppressAutoHyphens/>
        <w:spacing w:line="320" w:lineRule="exact"/>
        <w:rPr>
          <w:rFonts w:ascii="Tahoma" w:hAnsi="Tahoma"/>
          <w:sz w:val="22"/>
          <w:szCs w:val="22"/>
        </w:rPr>
      </w:pPr>
    </w:p>
    <w:p w:rsidR="00F4569F" w:rsidRDefault="00F4569F" w:rsidP="00F4569F">
      <w:pPr>
        <w:pStyle w:val="Corpodetexto"/>
        <w:tabs>
          <w:tab w:val="left" w:pos="1418"/>
        </w:tabs>
        <w:suppressAutoHyphens/>
        <w:spacing w:before="0" w:line="320" w:lineRule="exact"/>
        <w:rPr>
          <w:rFonts w:ascii="Tahoma" w:hAnsi="Tahoma"/>
          <w:sz w:val="22"/>
          <w:szCs w:val="22"/>
          <w:lang w:val="pt-BR" w:eastAsia="pt-BR"/>
        </w:rPr>
      </w:pPr>
      <w:r w:rsidRPr="008E405F">
        <w:rPr>
          <w:rFonts w:ascii="Tahoma" w:hAnsi="Tahoma"/>
          <w:sz w:val="22"/>
          <w:szCs w:val="22"/>
          <w:lang w:val="pt-BR" w:eastAsia="pt-BR"/>
        </w:rPr>
        <w:t>Todos os termos iniciados em letras maiúsculas, mas não definidos neste anexo, terão o mesmo significado a eles atribuído na Escritura, a menos que de outra forma definido neste instrumento.</w:t>
      </w:r>
    </w:p>
    <w:p w:rsidR="00A1547E" w:rsidRPr="00F4569F" w:rsidRDefault="008E405F" w:rsidP="008E405F">
      <w:pPr>
        <w:pStyle w:val="Corpodetexto"/>
        <w:tabs>
          <w:tab w:val="left" w:pos="1418"/>
        </w:tabs>
        <w:suppressAutoHyphens/>
        <w:spacing w:before="0" w:line="320" w:lineRule="exact"/>
        <w:jc w:val="center"/>
        <w:rPr>
          <w:sz w:val="22"/>
          <w:szCs w:val="22"/>
        </w:rPr>
      </w:pPr>
      <w:r>
        <w:rPr>
          <w:rFonts w:ascii="Tahoma" w:hAnsi="Tahoma"/>
          <w:sz w:val="22"/>
          <w:szCs w:val="22"/>
          <w:lang w:val="pt-BR" w:eastAsia="pt-BR"/>
        </w:rPr>
        <w:lastRenderedPageBreak/>
        <w:t>***</w:t>
      </w:r>
      <w:bookmarkStart w:id="4" w:name="_DV_M117"/>
      <w:bookmarkStart w:id="5" w:name="_DV_M118"/>
      <w:bookmarkStart w:id="6" w:name="_DV_M119"/>
      <w:bookmarkEnd w:id="4"/>
      <w:bookmarkEnd w:id="5"/>
      <w:bookmarkEnd w:id="6"/>
    </w:p>
    <w:sectPr w:rsidR="00A1547E" w:rsidRPr="00F4569F" w:rsidSect="00D046EA">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C1" w:rsidRDefault="00A55DC1">
      <w:r>
        <w:separator/>
      </w:r>
    </w:p>
  </w:endnote>
  <w:endnote w:type="continuationSeparator" w:id="0">
    <w:p w:rsidR="00A55DC1" w:rsidRDefault="00A5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FB4BF0" w:rsidRPr="004247B2" w:rsidRDefault="00A55DC1"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C1" w:rsidRDefault="00A55DC1">
      <w:r>
        <w:separator/>
      </w:r>
    </w:p>
  </w:footnote>
  <w:footnote w:type="continuationSeparator" w:id="0">
    <w:p w:rsidR="00A55DC1" w:rsidRDefault="00A5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EC" w:rsidRPr="001F3EEC" w:rsidRDefault="001F3EEC" w:rsidP="001F3EEC">
    <w:pPr>
      <w:pStyle w:val="Cabealho"/>
      <w:ind w:left="7371"/>
      <w:jc w:val="left"/>
      <w:rPr>
        <w:u w:val="single"/>
      </w:rPr>
    </w:pPr>
    <w:r w:rsidRPr="001F3EEC">
      <w:rPr>
        <w:u w:val="single"/>
      </w:rPr>
      <w:t>Minuta Mattos Filho</w:t>
    </w:r>
  </w:p>
  <w:p w:rsidR="001F3EEC" w:rsidRPr="001F3EEC" w:rsidRDefault="00D6758B" w:rsidP="001F3EEC">
    <w:pPr>
      <w:pStyle w:val="Cabealho"/>
      <w:ind w:left="7371"/>
      <w:jc w:val="left"/>
      <w:rPr>
        <w:u w:val="single"/>
      </w:rPr>
    </w:pPr>
    <w:r>
      <w:rPr>
        <w:u w:val="single"/>
      </w:rPr>
      <w:t>10</w:t>
    </w:r>
    <w:r w:rsidR="001F3EEC" w:rsidRPr="001F3EEC">
      <w:rPr>
        <w:u w:val="single"/>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67B"/>
    <w:rsid w:val="00413D25"/>
    <w:rsid w:val="004219C2"/>
    <w:rsid w:val="004247B2"/>
    <w:rsid w:val="00430E0F"/>
    <w:rsid w:val="00441D86"/>
    <w:rsid w:val="00443580"/>
    <w:rsid w:val="00451CC7"/>
    <w:rsid w:val="004546D4"/>
    <w:rsid w:val="00457304"/>
    <w:rsid w:val="0047271B"/>
    <w:rsid w:val="0047718B"/>
    <w:rsid w:val="00482231"/>
    <w:rsid w:val="00484115"/>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0385"/>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05F"/>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36BD2"/>
    <w:rsid w:val="00D4342E"/>
    <w:rsid w:val="00D44911"/>
    <w:rsid w:val="00D47017"/>
    <w:rsid w:val="00D635A8"/>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0A215"/>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CCC5-C948-408C-9027-B52A0686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19641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Call Celeo</cp:lastModifiedBy>
  <cp:revision>2</cp:revision>
  <cp:lastPrinted>2014-10-09T17:03:00Z</cp:lastPrinted>
  <dcterms:created xsi:type="dcterms:W3CDTF">2020-12-10T15:17:00Z</dcterms:created>
  <dcterms:modified xsi:type="dcterms:W3CDTF">2020-12-10T15:17:00Z</dcterms:modified>
</cp:coreProperties>
</file>