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1D94" w14:textId="77777777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66824FF2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D14985">
        <w:rPr>
          <w:rFonts w:ascii="Tahoma" w:hAnsi="Tahoma" w:cs="Tahoma"/>
          <w:b/>
          <w:bCs/>
          <w:sz w:val="22"/>
          <w:szCs w:val="22"/>
        </w:rPr>
        <w:t>[</w:t>
      </w:r>
      <w:r w:rsidR="00D14985" w:rsidRPr="008C5FD3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b/>
          <w:bCs/>
          <w:sz w:val="22"/>
          <w:szCs w:val="22"/>
        </w:rPr>
        <w:t>] DE DEZEMBRO DE 2020</w:t>
      </w:r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228439C7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•]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D14985">
        <w:rPr>
          <w:rFonts w:ascii="Tahoma" w:hAnsi="Tahoma" w:cs="Tahoma"/>
          <w:sz w:val="22"/>
          <w:szCs w:val="22"/>
        </w:rPr>
        <w:t>dezembro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2020</w:t>
      </w:r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194E345A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6F385A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[</w:t>
      </w:r>
      <w:r w:rsidR="00D14985" w:rsidRPr="00D14985">
        <w:rPr>
          <w:rFonts w:ascii="Tahoma" w:hAnsi="Tahoma" w:cs="Tahoma"/>
          <w:b/>
          <w:sz w:val="22"/>
          <w:szCs w:val="22"/>
          <w:highlight w:val="yellow"/>
        </w:rPr>
        <w:t>Nota MF</w:t>
      </w:r>
      <w:r w:rsidR="00D14985" w:rsidRPr="00D14985">
        <w:rPr>
          <w:rFonts w:ascii="Tahoma" w:hAnsi="Tahoma" w:cs="Tahoma"/>
          <w:sz w:val="22"/>
          <w:szCs w:val="22"/>
          <w:highlight w:val="yellow"/>
        </w:rPr>
        <w:t xml:space="preserve">: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Favor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indicar a 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 xml:space="preserve">composição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da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mesa, observado que a 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>cláusula 8.8 da Escritura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 dispõe que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 xml:space="preserve"> a presidência da AGD caberá à pessoa eleita pelos debenturistas ou àquele que for designada pela CVM</w:t>
      </w:r>
      <w:r w:rsidR="00D14985">
        <w:rPr>
          <w:rFonts w:ascii="Tahoma" w:hAnsi="Tahoma" w:cs="Tahoma"/>
          <w:sz w:val="22"/>
          <w:szCs w:val="22"/>
          <w:highlight w:val="yellow"/>
        </w:rPr>
        <w:t>.</w:t>
      </w:r>
      <w:r w:rsidR="00D14985">
        <w:rPr>
          <w:rFonts w:ascii="Tahoma" w:hAnsi="Tahoma" w:cs="Tahoma"/>
          <w:sz w:val="22"/>
          <w:szCs w:val="22"/>
        </w:rPr>
        <w:t>]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3F470AAE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 xml:space="preserve">de acordo com a </w:t>
      </w:r>
      <w:r w:rsidR="00215259">
        <w:rPr>
          <w:rFonts w:ascii="Tahoma" w:hAnsi="Tahoma" w:cs="Tahoma"/>
          <w:sz w:val="22"/>
          <w:szCs w:val="22"/>
        </w:rPr>
        <w:t>proposta</w:t>
      </w:r>
      <w:r w:rsidR="003F0FD3">
        <w:rPr>
          <w:rFonts w:ascii="Tahoma" w:hAnsi="Tahoma" w:cs="Tahoma"/>
          <w:sz w:val="22"/>
          <w:szCs w:val="22"/>
        </w:rPr>
        <w:t xml:space="preserve"> da </w:t>
      </w:r>
      <w:r w:rsidR="00411536">
        <w:rPr>
          <w:rFonts w:ascii="Tahoma" w:hAnsi="Tahoma" w:cs="Tahoma"/>
          <w:sz w:val="22"/>
          <w:szCs w:val="22"/>
        </w:rPr>
        <w:t>Emissora</w:t>
      </w:r>
      <w:r w:rsidR="003F0FD3">
        <w:rPr>
          <w:rFonts w:ascii="Tahoma" w:hAnsi="Tahoma" w:cs="Tahoma"/>
          <w:sz w:val="22"/>
          <w:szCs w:val="22"/>
        </w:rPr>
        <w:t xml:space="preserve">,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65363E">
        <w:rPr>
          <w:rFonts w:ascii="Tahoma" w:hAnsi="Tahoma" w:cs="Tahoma"/>
          <w:sz w:val="22"/>
          <w:szCs w:val="22"/>
        </w:rPr>
        <w:t xml:space="preserve"> </w:t>
      </w:r>
      <w:r w:rsidR="00B07187" w:rsidRPr="0065363E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>Assembleia Geral de Debenturistas realizada em 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 xml:space="preserve">(ii)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 xml:space="preserve">autorização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CA5907" w14:textId="691AB215" w:rsidR="007C0902" w:rsidRDefault="003C3A0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postergação, em 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([</w:t>
      </w:r>
      <w:r w:rsidR="00411536" w:rsidRPr="00411536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]) 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>] de [</w:t>
      </w:r>
      <w:r w:rsidR="00411536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411536">
        <w:rPr>
          <w:rFonts w:ascii="Tahoma" w:hAnsi="Tahoma" w:cs="Tahoma"/>
          <w:sz w:val="22"/>
          <w:szCs w:val="22"/>
        </w:rPr>
        <w:t xml:space="preserve">] de 2021; e </w:t>
      </w:r>
    </w:p>
    <w:p w14:paraId="79DB2039" w14:textId="77777777" w:rsidR="00411536" w:rsidRPr="00D42DAD" w:rsidRDefault="00411536" w:rsidP="008C5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77777777" w:rsidR="005B7267" w:rsidRPr="00D42DAD" w:rsidRDefault="00EE2559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  <w:bookmarkStart w:id="0" w:name="_GoBack"/>
      <w:bookmarkEnd w:id="0"/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0C051D04" w14:textId="6447CD54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8C5FD3">
        <w:rPr>
          <w:rFonts w:ascii="Tahoma" w:hAnsi="Tahoma" w:cs="Tahoma"/>
          <w:sz w:val="22"/>
          <w:szCs w:val="22"/>
        </w:rPr>
        <w:t>[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8C5FD3">
        <w:rPr>
          <w:rFonts w:ascii="Tahoma" w:hAnsi="Tahoma" w:cs="Tahoma"/>
          <w:sz w:val="22"/>
          <w:szCs w:val="22"/>
        </w:rPr>
        <w:t>] de dezembro de 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04F4F158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44947F8C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01D72AB3" w:rsidR="003C3A09" w:rsidRPr="00D42DAD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B9DD" w14:textId="77777777" w:rsidR="00ED0D52" w:rsidRPr="004C2A67" w:rsidRDefault="00304C49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2F42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E2"/>
    <w:rsid w:val="00864FD3"/>
    <w:rsid w:val="0086660E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4C0002-D404-4428-AC93-2750E03A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Mattos Filho</cp:lastModifiedBy>
  <cp:revision>2</cp:revision>
  <cp:lastPrinted>2019-12-05T18:14:00Z</cp:lastPrinted>
  <dcterms:created xsi:type="dcterms:W3CDTF">2020-12-22T21:45:00Z</dcterms:created>
  <dcterms:modified xsi:type="dcterms:W3CDTF">2020-12-22T21:45:00Z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