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bookmarkStart w:id="0" w:name="_GoBack"/>
      <w:bookmarkEnd w:id="0"/>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1" w:name="_DV_M2"/>
      <w:bookmarkEnd w:id="1"/>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2"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2"/>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3"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3"/>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4" w:name="_Hlk50740106"/>
      <w:r w:rsidR="00C83823" w:rsidRPr="005A1E47">
        <w:rPr>
          <w:sz w:val="24"/>
          <w:szCs w:val="24"/>
        </w:rPr>
        <w:t xml:space="preserve">Associação Brasileira das Entidades dos Mercados Financeiro e de Capitais </w:t>
      </w:r>
      <w:bookmarkEnd w:id="4"/>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5"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5"/>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6"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6"/>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7"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7"/>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8" w:name="_Hlk63180188"/>
      <w:r w:rsidRPr="005A1E47">
        <w:rPr>
          <w:sz w:val="24"/>
          <w:szCs w:val="24"/>
        </w:rPr>
        <w:t>, acompanhada dos comprovantes dos gastos realizados</w:t>
      </w:r>
      <w:bookmarkEnd w:id="8"/>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9782AE9"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9" w:name="_DV_M62"/>
      <w:bookmarkEnd w:id="9"/>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0" w:name="_Hlk50740232"/>
      <w:r w:rsidR="00DC0A43" w:rsidRPr="005A1E47">
        <w:rPr>
          <w:sz w:val="24"/>
          <w:szCs w:val="24"/>
        </w:rPr>
        <w:t>para a totalidade das Debêntures</w:t>
      </w:r>
      <w:bookmarkEnd w:id="10"/>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69BDCF88"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w:t>
      </w:r>
      <w:r w:rsidR="00656700">
        <w:rPr>
          <w:sz w:val="24"/>
          <w:szCs w:val="24"/>
        </w:rPr>
        <w:t>9</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1"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1"/>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2"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3"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3"/>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2"/>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0037DC5F"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437066" w:rsidRPr="00FD0DE9">
        <w:rPr>
          <w:sz w:val="24"/>
          <w:szCs w:val="24"/>
        </w:rPr>
        <w:t>abaixo</w:t>
      </w:r>
      <w:r w:rsidR="00B72BBD" w:rsidRPr="00FD0DE9">
        <w:rPr>
          <w:sz w:val="24"/>
          <w:szCs w:val="24"/>
        </w:rPr>
        <w:fldChar w:fldCharType="end"/>
      </w:r>
      <w:r w:rsidR="00A37DD9" w:rsidRPr="00FD0DE9">
        <w:rPr>
          <w:sz w:val="24"/>
          <w:szCs w:val="24"/>
        </w:rPr>
        <w:t xml:space="preserve">, </w:t>
      </w:r>
      <w:r w:rsidR="00A37DD9" w:rsidRPr="00D451CF">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1</w:t>
      </w:r>
      <w:r w:rsidR="00656700">
        <w:rPr>
          <w:sz w:val="24"/>
          <w:szCs w:val="24"/>
        </w:rPr>
        <w:t>9</w:t>
      </w:r>
      <w:r w:rsidR="00105220">
        <w:rPr>
          <w:sz w:val="24"/>
          <w:szCs w:val="24"/>
        </w:rPr>
        <w:t xml:space="preserve">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1</w:t>
      </w:r>
      <w:r w:rsidR="00656700">
        <w:rPr>
          <w:sz w:val="24"/>
          <w:szCs w:val="24"/>
        </w:rPr>
        <w:t>9</w:t>
      </w:r>
      <w:r w:rsidR="00105220">
        <w:rPr>
          <w:sz w:val="24"/>
          <w:szCs w:val="24"/>
        </w:rPr>
        <w:t xml:space="preserve">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4"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4"/>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5"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5"/>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6"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6"/>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7" w:name="_DV_C96"/>
      <w:bookmarkStart w:id="18"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9" w:name="_DV_M272"/>
      <w:bookmarkEnd w:id="17"/>
      <w:bookmarkEnd w:id="19"/>
      <w:r w:rsidRPr="005A1E47">
        <w:rPr>
          <w:snapToGrid w:val="0"/>
          <w:sz w:val="24"/>
          <w:szCs w:val="24"/>
        </w:rPr>
        <w:t xml:space="preserve">O </w:t>
      </w:r>
      <w:bookmarkStart w:id="20" w:name="_Hlk50470880"/>
      <w:r w:rsidRPr="005A1E47">
        <w:rPr>
          <w:snapToGrid w:val="0"/>
          <w:sz w:val="24"/>
          <w:szCs w:val="24"/>
        </w:rPr>
        <w:t>Valor Nominal Unitário das Debêntures não será atualizado monetariamente</w:t>
      </w:r>
      <w:bookmarkEnd w:id="20"/>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1"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1"/>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2"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2"/>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3" w:name="_DV_C230"/>
      <w:r w:rsidRPr="005A1E47">
        <w:rPr>
          <w:rFonts w:eastAsia="Arial Unicode MS"/>
          <w:b/>
          <w:iCs/>
          <w:sz w:val="24"/>
          <w:szCs w:val="24"/>
        </w:rPr>
        <w:t>J</w:t>
      </w:r>
      <w:r w:rsidRPr="005A1E47">
        <w:rPr>
          <w:rFonts w:eastAsia="Arial Unicode MS"/>
          <w:iCs/>
          <w:sz w:val="24"/>
          <w:szCs w:val="24"/>
        </w:rPr>
        <w:t xml:space="preserve"> = valor</w:t>
      </w:r>
      <w:bookmarkEnd w:id="23"/>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02130045"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4"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8"/>
    <w:bookmarkEnd w:id="24"/>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2D91F87"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5"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6" w:name="_Hlk50471157"/>
      <w:r w:rsidR="00091663" w:rsidRPr="005A1E47">
        <w:rPr>
          <w:snapToGrid w:val="0"/>
          <w:sz w:val="24"/>
          <w:szCs w:val="24"/>
        </w:rPr>
        <w:t xml:space="preserve">os pagamentos em decorrência de eventual vencimento antecipado das obrigações decorrentes das </w:t>
      </w:r>
      <w:r w:rsidR="00091663" w:rsidRPr="00D451CF">
        <w:rPr>
          <w:sz w:val="24"/>
          <w:szCs w:val="24"/>
        </w:rPr>
        <w:t xml:space="preserve">Debêntures ou </w:t>
      </w:r>
      <w:r w:rsidR="00856989" w:rsidRPr="00D451CF">
        <w:rPr>
          <w:sz w:val="24"/>
          <w:szCs w:val="24"/>
        </w:rPr>
        <w:t>R</w:t>
      </w:r>
      <w:r w:rsidR="00091663" w:rsidRPr="00D451CF">
        <w:rPr>
          <w:sz w:val="24"/>
          <w:szCs w:val="24"/>
        </w:rPr>
        <w:t xml:space="preserve">esgate </w:t>
      </w:r>
      <w:r w:rsidR="00856989" w:rsidRPr="00D451CF">
        <w:rPr>
          <w:sz w:val="24"/>
          <w:szCs w:val="24"/>
        </w:rPr>
        <w:t>A</w:t>
      </w:r>
      <w:r w:rsidR="00091663" w:rsidRPr="00D451CF">
        <w:rPr>
          <w:sz w:val="24"/>
          <w:szCs w:val="24"/>
        </w:rPr>
        <w:t>ntecipado</w:t>
      </w:r>
      <w:r w:rsidR="00856989" w:rsidRPr="00D451CF">
        <w:rPr>
          <w:sz w:val="24"/>
          <w:szCs w:val="24"/>
        </w:rPr>
        <w:t xml:space="preserve"> Facultativo Total</w:t>
      </w:r>
      <w:r w:rsidR="00091663" w:rsidRPr="00D451CF">
        <w:rPr>
          <w:sz w:val="24"/>
          <w:szCs w:val="24"/>
        </w:rPr>
        <w:t xml:space="preserve">, nos termos previstos nesta Escritura de Emissão, </w:t>
      </w:r>
      <w:r w:rsidRPr="00D451CF">
        <w:rPr>
          <w:sz w:val="24"/>
          <w:szCs w:val="24"/>
        </w:rPr>
        <w:t>a Remuneração</w:t>
      </w:r>
      <w:r w:rsidR="0061442B" w:rsidRPr="00D451CF">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w:t>
      </w:r>
      <w:r w:rsidR="00656700">
        <w:rPr>
          <w:sz w:val="24"/>
          <w:szCs w:val="24"/>
        </w:rPr>
        <w:t>9</w:t>
      </w:r>
      <w:r w:rsidR="00105220">
        <w:rPr>
          <w:sz w:val="24"/>
          <w:szCs w:val="24"/>
        </w:rPr>
        <w:t xml:space="preserve">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w:t>
      </w:r>
      <w:r w:rsidR="00656700">
        <w:rPr>
          <w:sz w:val="24"/>
          <w:szCs w:val="24"/>
        </w:rPr>
        <w:t>9</w:t>
      </w:r>
      <w:r w:rsidR="00105220" w:rsidRPr="005A1E47">
        <w:rPr>
          <w:sz w:val="24"/>
          <w:szCs w:val="24"/>
        </w:rPr>
        <w:t xml:space="preserve">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5"/>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6"/>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w:t>
      </w:r>
      <w:r w:rsidR="00656700">
        <w:rPr>
          <w:sz w:val="24"/>
          <w:szCs w:val="24"/>
        </w:rPr>
        <w:t>9</w:t>
      </w:r>
      <w:r w:rsidR="00105220">
        <w:rPr>
          <w:sz w:val="24"/>
          <w:szCs w:val="24"/>
        </w:rPr>
        <w:t xml:space="preserve"> de maio de 2022</w:t>
      </w:r>
      <w:r w:rsidR="009754B0" w:rsidRPr="005A1E47">
        <w:rPr>
          <w:sz w:val="24"/>
          <w:szCs w:val="24"/>
        </w:rPr>
        <w:t xml:space="preserve">, e os demais pagamentos devidos sempre no dia </w:t>
      </w:r>
      <w:r w:rsidR="00656700">
        <w:rPr>
          <w:sz w:val="24"/>
          <w:szCs w:val="24"/>
        </w:rPr>
        <w:t xml:space="preserve">19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0445229B"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7"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D451CF">
        <w:rPr>
          <w:sz w:val="24"/>
          <w:szCs w:val="24"/>
        </w:rPr>
        <w:t>ou</w:t>
      </w:r>
      <w:r w:rsidRPr="00D451CF">
        <w:rPr>
          <w:sz w:val="24"/>
          <w:szCs w:val="24"/>
        </w:rPr>
        <w:t xml:space="preserve"> de Resgate Antecipado Facultativo</w:t>
      </w:r>
      <w:r w:rsidR="002A7447" w:rsidRPr="00D451CF">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8"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7"/>
      <w:bookmarkEnd w:id="28"/>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29" w:name="_DV_C943"/>
      <w:r w:rsidRPr="005A1E47">
        <w:rPr>
          <w:sz w:val="24"/>
          <w:szCs w:val="24"/>
        </w:rPr>
        <w:t>.</w:t>
      </w:r>
      <w:bookmarkEnd w:id="29"/>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30" w:name="_Hlk50969356"/>
      <w:r w:rsidRPr="005A1E47">
        <w:rPr>
          <w:snapToGrid w:val="0"/>
          <w:sz w:val="24"/>
          <w:szCs w:val="24"/>
        </w:rPr>
        <w:t xml:space="preserve">Sem prejuízo da Remuneração das Debêntures, </w:t>
      </w:r>
      <w:bookmarkStart w:id="31"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1"/>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0"/>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6B4D510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7CD4B6E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o patrimônio líquido da Fia</w:t>
      </w:r>
      <w:r w:rsidRPr="006C6AC0">
        <w:rPr>
          <w:sz w:val="24"/>
          <w:szCs w:val="24"/>
        </w:rPr>
        <w:t xml:space="preserve">dora é de </w:t>
      </w:r>
      <w:r w:rsidRPr="00C02B1E">
        <w:rPr>
          <w:sz w:val="24"/>
          <w:szCs w:val="24"/>
        </w:rPr>
        <w:t>R</w:t>
      </w:r>
      <w:r w:rsidR="005944A5" w:rsidRPr="00C02B1E">
        <w:rPr>
          <w:sz w:val="24"/>
          <w:szCs w:val="24"/>
        </w:rPr>
        <w:t>$</w:t>
      </w:r>
      <w:r w:rsidR="009C5D5D" w:rsidRPr="00C02B1E">
        <w:rPr>
          <w:sz w:val="24"/>
          <w:szCs w:val="24"/>
        </w:rPr>
        <w:t>8</w:t>
      </w:r>
      <w:r w:rsidR="005944A5" w:rsidRPr="00C02B1E">
        <w:rPr>
          <w:sz w:val="24"/>
          <w:szCs w:val="24"/>
        </w:rPr>
        <w:t>.</w:t>
      </w:r>
      <w:r w:rsidR="009C5D5D" w:rsidRPr="00C02B1E">
        <w:rPr>
          <w:sz w:val="24"/>
          <w:szCs w:val="24"/>
        </w:rPr>
        <w:t>967</w:t>
      </w:r>
      <w:r w:rsidR="005944A5" w:rsidRPr="00C02B1E">
        <w:rPr>
          <w:sz w:val="24"/>
          <w:szCs w:val="24"/>
        </w:rPr>
        <w:t>.000.000,00 (</w:t>
      </w:r>
      <w:r w:rsidR="009C5D5D" w:rsidRPr="00C02B1E">
        <w:rPr>
          <w:sz w:val="24"/>
          <w:szCs w:val="24"/>
        </w:rPr>
        <w:t xml:space="preserve">oito </w:t>
      </w:r>
      <w:r w:rsidR="005944A5" w:rsidRPr="00C02B1E">
        <w:rPr>
          <w:sz w:val="24"/>
          <w:szCs w:val="24"/>
        </w:rPr>
        <w:t xml:space="preserve">bilhões e </w:t>
      </w:r>
      <w:r w:rsidR="009C5D5D" w:rsidRPr="00C02B1E">
        <w:rPr>
          <w:sz w:val="24"/>
          <w:szCs w:val="24"/>
        </w:rPr>
        <w:t xml:space="preserve">novecentos e sessenta e sete </w:t>
      </w:r>
      <w:r w:rsidR="005944A5" w:rsidRPr="00C02B1E">
        <w:rPr>
          <w:sz w:val="24"/>
          <w:szCs w:val="24"/>
        </w:rPr>
        <w:t>milhões de reais)</w:t>
      </w:r>
      <w:r w:rsidR="005944A5" w:rsidRPr="006C6AC0">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6A4ED0F"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2" w:name="_Ref73382967"/>
      <w:r w:rsidRPr="005A1E47">
        <w:rPr>
          <w:b/>
          <w:sz w:val="24"/>
          <w:szCs w:val="24"/>
        </w:rPr>
        <w:t>Resgate Antecipado Facultativo</w:t>
      </w:r>
      <w:bookmarkEnd w:id="32"/>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3FBBF5B4" w:rsidR="003A301E" w:rsidRPr="005A1E47" w:rsidRDefault="003A301E" w:rsidP="003A301E">
      <w:pPr>
        <w:pStyle w:val="PargrafodaLista"/>
        <w:numPr>
          <w:ilvl w:val="2"/>
          <w:numId w:val="24"/>
        </w:numPr>
        <w:spacing w:line="300" w:lineRule="exact"/>
        <w:ind w:left="0" w:firstLine="0"/>
        <w:rPr>
          <w:sz w:val="24"/>
          <w:szCs w:val="24"/>
        </w:rPr>
      </w:pPr>
      <w:bookmarkStart w:id="33" w:name="_Hlk50471523"/>
      <w:r w:rsidRPr="005A1E47">
        <w:rPr>
          <w:sz w:val="24"/>
          <w:szCs w:val="24"/>
        </w:rPr>
        <w:t>A Emissora poderá, a seu exclusivo critério realizar (i) o resgate antecipado da totalidade (sendo vedado o resgate parcial) das Debêntures</w:t>
      </w:r>
      <w:r w:rsidR="009C5D5D">
        <w:rPr>
          <w:sz w:val="24"/>
          <w:szCs w:val="24"/>
        </w:rPr>
        <w:t xml:space="preserve"> da(s) respectiva(s) série(s)</w:t>
      </w:r>
      <w:r w:rsidRPr="005A1E47">
        <w:rPr>
          <w:sz w:val="24"/>
          <w:szCs w:val="24"/>
        </w:rPr>
        <w:t xml:space="preserve">,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w:t>
      </w:r>
      <w:r w:rsidR="00656700">
        <w:rPr>
          <w:sz w:val="24"/>
          <w:szCs w:val="24"/>
        </w:rPr>
        <w:t>9</w:t>
      </w:r>
      <w:r w:rsidR="00FD0DE9">
        <w:rPr>
          <w:sz w:val="24"/>
          <w:szCs w:val="24"/>
        </w:rPr>
        <w:t xml:space="preserve"> de </w:t>
      </w:r>
      <w:r w:rsidR="009C5D5D">
        <w:rPr>
          <w:sz w:val="24"/>
          <w:szCs w:val="24"/>
        </w:rPr>
        <w:t>novembro</w:t>
      </w:r>
      <w:r w:rsidR="00FD0DE9">
        <w:rPr>
          <w:sz w:val="24"/>
          <w:szCs w:val="24"/>
        </w:rPr>
        <w:t xml:space="preserve">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das Debêntures</w:t>
      </w:r>
      <w:r w:rsidR="006C6AC0">
        <w:rPr>
          <w:sz w:val="24"/>
          <w:szCs w:val="24"/>
        </w:rPr>
        <w:t xml:space="preserve"> da(s) respectiva(s) série(s)</w:t>
      </w:r>
      <w:r w:rsidRPr="005A1E47">
        <w:rPr>
          <w:sz w:val="24"/>
          <w:szCs w:val="24"/>
        </w:rPr>
        <w:t xml:space="preserve">, com o consequente cancelamento de tais Debêntures, mediante o pagamento do Valor Nominal Unitário, acrescido da respectiva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pro rata temporis</w:t>
      </w:r>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r w:rsidR="009C5D5D">
        <w:rPr>
          <w:sz w:val="24"/>
          <w:szCs w:val="24"/>
        </w:rPr>
        <w:t xml:space="preserve"> </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28CDD0EF"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 xml:space="preserve">O Prêmio de resgate antecipado facultativo das Debêntures será calculado de acordo com a seguinte fórmula: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1C3570E5"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Pr =</w:t>
      </w:r>
      <w:r w:rsidR="006C6AC0">
        <w:rPr>
          <w:sz w:val="24"/>
          <w:szCs w:val="24"/>
        </w:rPr>
        <w:t xml:space="preserve"> </w:t>
      </w:r>
      <w:r w:rsidRPr="005A1E47">
        <w:rPr>
          <w:sz w:val="24"/>
          <w:szCs w:val="24"/>
        </w:rPr>
        <w:t xml:space="preserve">[(1+0,30%) </w:t>
      </w:r>
      <w:r w:rsidRPr="005A1E47">
        <w:rPr>
          <w:sz w:val="24"/>
          <w:szCs w:val="24"/>
          <w:vertAlign w:val="superscript"/>
        </w:rPr>
        <w:t>DU/252</w:t>
      </w:r>
      <w:r w:rsidRPr="005A1E47">
        <w:rPr>
          <w:sz w:val="24"/>
          <w:szCs w:val="24"/>
        </w:rPr>
        <w:t xml:space="preserve"> – 1] x SDa</w:t>
      </w:r>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600A8B02"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Debêntures imediatamente anterior, conforme o caso, até a data do efetivo pagamento. </w:t>
      </w:r>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lastRenderedPageBreak/>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22467370"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r w:rsidR="006C6AC0" w:rsidRPr="006C6AC0">
        <w:rPr>
          <w:sz w:val="24"/>
          <w:szCs w:val="24"/>
        </w:rPr>
        <w:t xml:space="preserve"> </w:t>
      </w:r>
      <w:r w:rsidR="006C6AC0">
        <w:rPr>
          <w:sz w:val="24"/>
          <w:szCs w:val="24"/>
        </w:rPr>
        <w:t>da(s) respectiva(s) série(s)</w:t>
      </w:r>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4.11, (ii)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bookmarkEnd w:id="33"/>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4" w:name="_DV_M250"/>
      <w:bookmarkStart w:id="35" w:name="_DV_M251"/>
      <w:bookmarkStart w:id="36" w:name="_DV_M252"/>
      <w:bookmarkStart w:id="37" w:name="_DV_M253"/>
      <w:bookmarkStart w:id="38" w:name="_DV_M264"/>
      <w:bookmarkStart w:id="39" w:name="_DV_M265"/>
      <w:bookmarkStart w:id="40" w:name="_DV_M268"/>
      <w:bookmarkEnd w:id="34"/>
      <w:bookmarkEnd w:id="35"/>
      <w:bookmarkEnd w:id="36"/>
      <w:bookmarkEnd w:id="37"/>
      <w:bookmarkEnd w:id="38"/>
      <w:bookmarkEnd w:id="39"/>
      <w:bookmarkEnd w:id="40"/>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1" w:name="_Ref75525805"/>
      <w:r w:rsidRPr="005A1E47">
        <w:rPr>
          <w:b/>
          <w:sz w:val="24"/>
          <w:szCs w:val="24"/>
        </w:rPr>
        <w:t>Oferta de Resgate Antecipado</w:t>
      </w:r>
      <w:bookmarkEnd w:id="41"/>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720C4D1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2"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w:t>
      </w:r>
      <w:r w:rsidR="006C6AC0">
        <w:rPr>
          <w:sz w:val="24"/>
          <w:szCs w:val="24"/>
        </w:rPr>
        <w:t>(s)</w:t>
      </w:r>
      <w:r w:rsidR="00653EBD" w:rsidRPr="00C35925">
        <w:rPr>
          <w:sz w:val="24"/>
          <w:szCs w:val="24"/>
        </w:rPr>
        <w:t xml:space="preserve"> respectiva</w:t>
      </w:r>
      <w:r w:rsidR="006C6AC0">
        <w:rPr>
          <w:sz w:val="24"/>
          <w:szCs w:val="24"/>
        </w:rPr>
        <w:t>(s)</w:t>
      </w:r>
      <w:r w:rsidR="00653EBD" w:rsidRPr="00C35925">
        <w:rPr>
          <w:sz w:val="24"/>
          <w:szCs w:val="24"/>
        </w:rPr>
        <w:t xml:space="preserve"> série</w:t>
      </w:r>
      <w:r w:rsidR="006C6AC0">
        <w:rPr>
          <w:sz w:val="24"/>
          <w:szCs w:val="24"/>
        </w:rPr>
        <w:t>(s)</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2"/>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11430750"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xml:space="preserve">; (b) forma de manifestação, à Emissora, pelo </w:t>
      </w:r>
      <w:r w:rsidR="00D411BD" w:rsidRPr="005A1E47">
        <w:rPr>
          <w:rFonts w:eastAsia="Arial Unicode MS"/>
          <w:sz w:val="24"/>
          <w:szCs w:val="24"/>
        </w:rPr>
        <w:lastRenderedPageBreak/>
        <w:t>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5F0EAE25"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3" w:name="_Ref73469175"/>
      <w:r w:rsidRPr="005A1E47">
        <w:rPr>
          <w:b/>
          <w:sz w:val="24"/>
          <w:szCs w:val="24"/>
        </w:rPr>
        <w:t>Aquisição Facultativa</w:t>
      </w:r>
      <w:bookmarkEnd w:id="43"/>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4" w:name="_Hlk50471842"/>
      <w:bookmarkStart w:id="45"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w:t>
      </w:r>
      <w:r w:rsidR="00354A32" w:rsidRPr="005A1E47">
        <w:rPr>
          <w:sz w:val="24"/>
          <w:szCs w:val="24"/>
        </w:rPr>
        <w:lastRenderedPageBreak/>
        <w:t>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4"/>
      <w:bookmarkEnd w:id="45"/>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6"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7"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7"/>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6"/>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024DC842"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3A301E" w:rsidRPr="00790C90">
        <w:rPr>
          <w:sz w:val="24"/>
          <w:szCs w:val="24"/>
        </w:rPr>
        <w:t>2 (dois)</w:t>
      </w:r>
      <w:r w:rsidR="007261C1" w:rsidRPr="00CD299F">
        <w:rPr>
          <w:sz w:val="24"/>
        </w:rPr>
        <w:t xml:space="preserve"> Dia</w:t>
      </w:r>
      <w:r w:rsidR="009C5D5D">
        <w:rPr>
          <w:sz w:val="24"/>
        </w:rPr>
        <w:t>s</w:t>
      </w:r>
      <w:r w:rsidR="007261C1" w:rsidRPr="00CD299F">
        <w:rPr>
          <w:sz w:val="24"/>
        </w:rPr>
        <w:t xml:space="preserve"> Út</w:t>
      </w:r>
      <w:r w:rsidR="009C5D5D">
        <w:rPr>
          <w:sz w:val="24"/>
        </w:rPr>
        <w:t>eis</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 xml:space="preserve">em juízo com requerimento de </w:t>
      </w:r>
      <w:r w:rsidRPr="005A1E47">
        <w:rPr>
          <w:sz w:val="24"/>
          <w:szCs w:val="24"/>
        </w:rPr>
        <w:lastRenderedPageBreak/>
        <w:t>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lastRenderedPageBreak/>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5F8ECADC"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da </w:t>
      </w:r>
      <w:r w:rsidRPr="00D451CF">
        <w:rPr>
          <w:sz w:val="24"/>
          <w:szCs w:val="24"/>
        </w:rPr>
        <w:t>Emissora</w:t>
      </w:r>
      <w:r w:rsidR="00790C90" w:rsidRPr="00D451CF">
        <w:rPr>
          <w:sz w:val="24"/>
          <w:szCs w:val="24"/>
        </w:rPr>
        <w:t xml:space="preserve"> e</w:t>
      </w:r>
      <w:r w:rsidR="00656700">
        <w:rPr>
          <w:sz w:val="24"/>
          <w:szCs w:val="24"/>
        </w:rPr>
        <w:t>/ou da</w:t>
      </w:r>
      <w:r w:rsidR="00790C90" w:rsidRPr="00D451CF">
        <w:rPr>
          <w:sz w:val="24"/>
          <w:szCs w:val="24"/>
        </w:rPr>
        <w:t xml:space="preserve"> </w:t>
      </w:r>
      <w:r w:rsidRPr="00D451CF">
        <w:rPr>
          <w:sz w:val="24"/>
          <w:szCs w:val="24"/>
        </w:rPr>
        <w:t>Fiadora</w:t>
      </w:r>
      <w:r w:rsidRPr="005A1E47">
        <w:rPr>
          <w:sz w:val="24"/>
          <w:szCs w:val="24"/>
        </w:rPr>
        <w:t xml:space="preserve">; </w:t>
      </w:r>
      <w:r>
        <w:rPr>
          <w:sz w:val="24"/>
          <w:szCs w:val="24"/>
        </w:rPr>
        <w:t xml:space="preserve"> </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7599EA1C" w:rsidR="005B5389" w:rsidRPr="005A1E47" w:rsidRDefault="005B5389" w:rsidP="002A6539">
      <w:pPr>
        <w:pStyle w:val="PargrafodaLista"/>
        <w:numPr>
          <w:ilvl w:val="0"/>
          <w:numId w:val="34"/>
        </w:numPr>
        <w:spacing w:line="300" w:lineRule="exact"/>
        <w:ind w:left="1418" w:hanging="709"/>
        <w:rPr>
          <w:sz w:val="24"/>
          <w:szCs w:val="24"/>
        </w:rPr>
      </w:pPr>
      <w:bookmarkStart w:id="48"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8"/>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 xml:space="preserve">para não declaração de </w:t>
      </w:r>
      <w:r w:rsidR="00AE2DDE" w:rsidRPr="005A1E47">
        <w:rPr>
          <w:sz w:val="24"/>
          <w:szCs w:val="24"/>
        </w:rPr>
        <w:lastRenderedPageBreak/>
        <w:t>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w:t>
      </w:r>
      <w:r w:rsidRPr="005A1E47">
        <w:rPr>
          <w:sz w:val="24"/>
          <w:szCs w:val="24"/>
        </w:rPr>
        <w:lastRenderedPageBreak/>
        <w:t xml:space="preserve">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9" w:name="_DV_M219"/>
      <w:bookmarkStart w:id="50" w:name="_DV_M220"/>
      <w:bookmarkStart w:id="51" w:name="_DV_M221"/>
      <w:bookmarkEnd w:id="49"/>
      <w:bookmarkEnd w:id="50"/>
      <w:bookmarkEnd w:id="51"/>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CB71E7F"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2"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2"/>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3"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3"/>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193667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D451CF">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w:t>
      </w:r>
      <w:r w:rsidRPr="005A1E47">
        <w:rPr>
          <w:sz w:val="24"/>
          <w:szCs w:val="24"/>
        </w:rPr>
        <w:lastRenderedPageBreak/>
        <w:t>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w:t>
      </w:r>
      <w:r w:rsidRPr="005A1E47">
        <w:rPr>
          <w:rFonts w:eastAsia="Arial Unicode MS"/>
          <w:w w:val="0"/>
          <w:sz w:val="24"/>
          <w:szCs w:val="24"/>
        </w:rPr>
        <w:lastRenderedPageBreak/>
        <w:t xml:space="preserve">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54" w:name="_DV_M211"/>
      <w:bookmarkEnd w:id="54"/>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5" w:name="_DV_M353"/>
      <w:bookmarkEnd w:id="55"/>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lastRenderedPageBreak/>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as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w:t>
      </w:r>
      <w:r w:rsidR="00011FE5" w:rsidRPr="00F405D1">
        <w:rPr>
          <w:sz w:val="24"/>
          <w:szCs w:val="24"/>
        </w:rPr>
        <w:lastRenderedPageBreak/>
        <w:t xml:space="preserve">remuneração do Agente Fiduciário, excetuando-se o IR (Imposto de Renda) e a CSLL (Contribuição Social sobre o Lucro Líquido), nas alíquotas vigentes na data do efetivo pagamento. Na data da presente proposta 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w:t>
      </w:r>
      <w:r w:rsidRPr="005A1E47">
        <w:rPr>
          <w:sz w:val="24"/>
          <w:szCs w:val="24"/>
        </w:rPr>
        <w:lastRenderedPageBreak/>
        <w:t>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6"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6"/>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7" w:name="_DV_M384"/>
      <w:bookmarkEnd w:id="57"/>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0ECF7F8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5"/>
      <w:bookmarkEnd w:id="58"/>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9" w:name="_DV_M406"/>
      <w:bookmarkEnd w:id="59"/>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w:t>
      </w:r>
      <w:r w:rsidRPr="005A1E47">
        <w:rPr>
          <w:sz w:val="24"/>
          <w:szCs w:val="24"/>
        </w:rPr>
        <w:lastRenderedPageBreak/>
        <w:t xml:space="preserve">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w:t>
      </w:r>
      <w:r w:rsidRPr="005A1E47">
        <w:rPr>
          <w:sz w:val="24"/>
          <w:szCs w:val="24"/>
        </w:rPr>
        <w:lastRenderedPageBreak/>
        <w:t xml:space="preserve">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lastRenderedPageBreak/>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w:t>
      </w:r>
      <w:r w:rsidRPr="005A1E47">
        <w:rPr>
          <w:sz w:val="24"/>
          <w:szCs w:val="24"/>
        </w:rPr>
        <w:lastRenderedPageBreak/>
        <w:t xml:space="preserve">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0"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0"/>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A9CC5" w14:textId="77777777" w:rsidR="00CD38C2" w:rsidRDefault="00CD38C2">
      <w:r>
        <w:separator/>
      </w:r>
    </w:p>
    <w:p w14:paraId="44DD075C" w14:textId="77777777" w:rsidR="00CD38C2" w:rsidRDefault="00CD38C2"/>
    <w:p w14:paraId="6E702D6F" w14:textId="77777777" w:rsidR="00CD38C2" w:rsidRDefault="00CD38C2"/>
  </w:endnote>
  <w:endnote w:type="continuationSeparator" w:id="0">
    <w:p w14:paraId="7406C9C1" w14:textId="77777777" w:rsidR="00CD38C2" w:rsidRDefault="00CD38C2">
      <w:r>
        <w:continuationSeparator/>
      </w:r>
    </w:p>
    <w:p w14:paraId="4376E88D" w14:textId="77777777" w:rsidR="00CD38C2" w:rsidRDefault="00CD38C2"/>
    <w:p w14:paraId="43C43161" w14:textId="77777777" w:rsidR="00CD38C2" w:rsidRDefault="00CD38C2"/>
  </w:endnote>
  <w:endnote w:type="continuationNotice" w:id="1">
    <w:p w14:paraId="2076663E" w14:textId="77777777" w:rsidR="00CD38C2" w:rsidRDefault="00CD38C2"/>
    <w:p w14:paraId="793D1B0E" w14:textId="77777777" w:rsidR="00CD38C2" w:rsidRDefault="00CD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A37DD9" w:rsidRDefault="00A37D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A37DD9" w:rsidRDefault="00A37DD9">
    <w:pPr>
      <w:pStyle w:val="Rodap"/>
      <w:ind w:right="360"/>
    </w:pPr>
  </w:p>
  <w:p w14:paraId="6A3A439B" w14:textId="77777777" w:rsidR="00A37DD9" w:rsidRDefault="00A37DD9"/>
  <w:p w14:paraId="0061A59C" w14:textId="77777777" w:rsidR="00A37DD9" w:rsidRDefault="00A37D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241307555"/>
      <w:docPartObj>
        <w:docPartGallery w:val="Page Numbers (Bottom of Page)"/>
        <w:docPartUnique/>
      </w:docPartObj>
    </w:sdtPr>
    <w:sdtEndPr/>
    <w:sdtContent>
      <w:p w14:paraId="79DB8BEC" w14:textId="406C901F" w:rsidR="00A37DD9" w:rsidRPr="008A4446" w:rsidRDefault="00A37DD9"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C02B1E">
          <w:rPr>
            <w:rFonts w:ascii="Verdana" w:hAnsi="Verdana"/>
            <w:noProof/>
            <w:sz w:val="18"/>
            <w:szCs w:val="18"/>
          </w:rPr>
          <w:t>1</w:t>
        </w:r>
        <w:r w:rsidRPr="008A4446">
          <w:rPr>
            <w:rFonts w:ascii="Verdana" w:hAnsi="Verdana"/>
            <w:sz w:val="18"/>
            <w:szCs w:val="18"/>
          </w:rPr>
          <w:fldChar w:fldCharType="end"/>
        </w:r>
      </w:p>
    </w:sdtContent>
  </w:sdt>
  <w:p w14:paraId="7693D1FF" w14:textId="77777777" w:rsidR="00A37DD9" w:rsidRPr="00DE4482" w:rsidRDefault="00A37DD9">
    <w:pPr>
      <w:pStyle w:val="Rodap"/>
      <w:rPr>
        <w:rFonts w:ascii="Verdana" w:hAnsi="Verdana"/>
        <w:color w:val="FFFFFF" w:themeColor="background1"/>
        <w:sz w:val="14"/>
      </w:rPr>
    </w:pPr>
  </w:p>
  <w:p w14:paraId="0E65ADD6" w14:textId="77777777" w:rsidR="00A37DD9" w:rsidRPr="007D0D91" w:rsidRDefault="00A37DD9"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A37DD9" w:rsidRDefault="00A37DD9">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5A22" w14:textId="77777777" w:rsidR="00CD38C2" w:rsidRDefault="00CD38C2">
      <w:r>
        <w:separator/>
      </w:r>
    </w:p>
    <w:p w14:paraId="60248AB7" w14:textId="77777777" w:rsidR="00CD38C2" w:rsidRDefault="00CD38C2"/>
    <w:p w14:paraId="74EA6971" w14:textId="77777777" w:rsidR="00CD38C2" w:rsidRDefault="00CD38C2"/>
  </w:footnote>
  <w:footnote w:type="continuationSeparator" w:id="0">
    <w:p w14:paraId="163333B2" w14:textId="77777777" w:rsidR="00CD38C2" w:rsidRDefault="00CD38C2">
      <w:r>
        <w:continuationSeparator/>
      </w:r>
    </w:p>
    <w:p w14:paraId="4552E81D" w14:textId="77777777" w:rsidR="00CD38C2" w:rsidRDefault="00CD38C2"/>
    <w:p w14:paraId="189F8012" w14:textId="77777777" w:rsidR="00CD38C2" w:rsidRDefault="00CD38C2"/>
  </w:footnote>
  <w:footnote w:type="continuationNotice" w:id="1">
    <w:p w14:paraId="52EBF1F0" w14:textId="77777777" w:rsidR="00CD38C2" w:rsidRDefault="00CD38C2"/>
    <w:p w14:paraId="40AD6EE3" w14:textId="77777777" w:rsidR="00CD38C2" w:rsidRDefault="00CD38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A37DD9" w:rsidRDefault="00A37DD9" w:rsidP="007C5F35">
    <w:pPr>
      <w:pStyle w:val="Cabealho"/>
    </w:pPr>
  </w:p>
  <w:p w14:paraId="15D35047" w14:textId="77777777" w:rsidR="00A37DD9" w:rsidRDefault="00A37DD9" w:rsidP="007D0D91"/>
  <w:p w14:paraId="7217D7B6" w14:textId="77777777" w:rsidR="00A37DD9" w:rsidRDefault="00A37D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A37DD9" w:rsidRPr="007D0D91" w:rsidRDefault="00A37DD9"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9.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Props1.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1EF8E5B-F0A6-440A-9CB4-1D1288458D78}">
  <ds:schemaRefs>
    <ds:schemaRef ds:uri="http://schemas.openxmlformats.org/officeDocument/2006/bibliography"/>
  </ds:schemaRefs>
</ds:datastoreItem>
</file>

<file path=customXml/itemProps11.xml><?xml version="1.0" encoding="utf-8"?>
<ds:datastoreItem xmlns:ds="http://schemas.openxmlformats.org/officeDocument/2006/customXml" ds:itemID="{60D8B1F3-303D-4A25-85D0-3806946591C5}">
  <ds:schemaRefs>
    <ds:schemaRef ds:uri="http://schemas.openxmlformats.org/officeDocument/2006/bibliography"/>
  </ds:schemaRefs>
</ds:datastoreItem>
</file>

<file path=customXml/itemProps12.xml><?xml version="1.0" encoding="utf-8"?>
<ds:datastoreItem xmlns:ds="http://schemas.openxmlformats.org/officeDocument/2006/customXml" ds:itemID="{CC98A4E5-0296-49AE-874B-8AA0478B3762}">
  <ds:schemaRefs>
    <ds:schemaRef ds:uri="http://schemas.openxmlformats.org/officeDocument/2006/bibliography"/>
  </ds:schemaRefs>
</ds:datastoreItem>
</file>

<file path=customXml/itemProps13.xml><?xml version="1.0" encoding="utf-8"?>
<ds:datastoreItem xmlns:ds="http://schemas.openxmlformats.org/officeDocument/2006/customXml" ds:itemID="{C529AF1B-C35F-4290-8F02-FD447A91E64A}">
  <ds:schemaRefs>
    <ds:schemaRef ds:uri="http://schemas.openxmlformats.org/officeDocument/2006/bibliography"/>
  </ds:schemaRefs>
</ds:datastoreItem>
</file>

<file path=customXml/itemProps2.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3.xml><?xml version="1.0" encoding="utf-8"?>
<ds:datastoreItem xmlns:ds="http://schemas.openxmlformats.org/officeDocument/2006/customXml" ds:itemID="{BB866324-9A35-4E13-9C45-327BB609E6DA}">
  <ds:schemaRefs>
    <ds:schemaRef ds:uri="http://www.imanage.com/work/xmlschema"/>
  </ds:schemaRefs>
</ds:datastoreItem>
</file>

<file path=customXml/itemProps4.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5.xml><?xml version="1.0" encoding="utf-8"?>
<ds:datastoreItem xmlns:ds="http://schemas.openxmlformats.org/officeDocument/2006/customXml" ds:itemID="{FB06BD56-6779-4E2B-93F5-8823CC6A08DB}">
  <ds:schemaRefs>
    <ds:schemaRef ds:uri="http://www.imanage.com/work/xmlschema"/>
  </ds:schemaRefs>
</ds:datastoreItem>
</file>

<file path=customXml/itemProps6.xml><?xml version="1.0" encoding="utf-8"?>
<ds:datastoreItem xmlns:ds="http://schemas.openxmlformats.org/officeDocument/2006/customXml" ds:itemID="{3847EC4C-B0E4-46A9-A45C-9EC4F2F72871}">
  <ds:schemaRefs>
    <ds:schemaRef ds:uri="http://schemas.openxmlformats.org/officeDocument/2006/bibliography"/>
  </ds:schemaRefs>
</ds:datastoreItem>
</file>

<file path=customXml/itemProps7.xml><?xml version="1.0" encoding="utf-8"?>
<ds:datastoreItem xmlns:ds="http://schemas.openxmlformats.org/officeDocument/2006/customXml" ds:itemID="{56DAF909-6597-44EF-9387-521B7B128349}">
  <ds:schemaRefs>
    <ds:schemaRef ds:uri="http://schemas.openxmlformats.org/officeDocument/2006/bibliography"/>
  </ds:schemaRefs>
</ds:datastoreItem>
</file>

<file path=customXml/itemProps8.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9.xml><?xml version="1.0" encoding="utf-8"?>
<ds:datastoreItem xmlns:ds="http://schemas.openxmlformats.org/officeDocument/2006/customXml" ds:itemID="{AEE62434-E480-48F0-BF9B-DD3ADEF5F59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20458</Words>
  <Characters>110476</Characters>
  <Application>Microsoft Office Word</Application>
  <DocSecurity>0</DocSecurity>
  <Lines>920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130673</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2</cp:revision>
  <cp:lastPrinted>2021-10-27T00:04:00Z</cp:lastPrinted>
  <dcterms:created xsi:type="dcterms:W3CDTF">2021-11-02T00:39:00Z</dcterms:created>
  <dcterms:modified xsi:type="dcterms:W3CDTF">2021-11-02T00:39:00Z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