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0EDCC622"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 xml:space="preserve">é o </w:t>
      </w:r>
      <w:bookmarkStart w:id="8" w:name="_GoBack"/>
      <w:bookmarkEnd w:id="8"/>
      <w:r w:rsidR="001B2DD8" w:rsidRPr="00522CEC">
        <w:rPr>
          <w:sz w:val="24"/>
          <w:szCs w:val="24"/>
        </w:rPr>
        <w:t>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9" w:name="_DV_M62"/>
      <w:bookmarkEnd w:id="9"/>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0" w:name="_Hlk50740232"/>
      <w:r w:rsidR="00DC0A43" w:rsidRPr="005A1E47">
        <w:rPr>
          <w:sz w:val="24"/>
          <w:szCs w:val="24"/>
        </w:rPr>
        <w:t>para a totalidade das Debêntures</w:t>
      </w:r>
      <w:bookmarkEnd w:id="10"/>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FE72A3B"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16</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1"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1"/>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2"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3"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3"/>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2"/>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F4C67AD"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822201">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822201">
        <w:rPr>
          <w:sz w:val="24"/>
          <w:szCs w:val="24"/>
        </w:rPr>
        <w:t>abaixo</w:t>
      </w:r>
      <w:r w:rsidR="00B72BBD" w:rsidRPr="00FD0DE9">
        <w:rPr>
          <w:sz w:val="24"/>
          <w:szCs w:val="24"/>
        </w:rPr>
        <w:fldChar w:fldCharType="end"/>
      </w:r>
      <w:r w:rsidR="00A37DD9" w:rsidRPr="00FD0DE9">
        <w:rPr>
          <w:sz w:val="24"/>
          <w:szCs w:val="24"/>
        </w:rPr>
        <w:t xml:space="preserve">, </w:t>
      </w:r>
      <w:r w:rsidR="00A37DD9" w:rsidRPr="00822201">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822201">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 xml:space="preserve">16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 xml:space="preserve">16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4"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4"/>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5"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5"/>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6"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6"/>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7" w:name="_DV_C96"/>
      <w:bookmarkStart w:id="18"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9" w:name="_DV_M272"/>
      <w:bookmarkEnd w:id="17"/>
      <w:bookmarkEnd w:id="19"/>
      <w:r w:rsidRPr="005A1E47">
        <w:rPr>
          <w:snapToGrid w:val="0"/>
          <w:sz w:val="24"/>
          <w:szCs w:val="24"/>
        </w:rPr>
        <w:t xml:space="preserve">O </w:t>
      </w:r>
      <w:bookmarkStart w:id="20" w:name="_Hlk50470880"/>
      <w:r w:rsidRPr="005A1E47">
        <w:rPr>
          <w:snapToGrid w:val="0"/>
          <w:sz w:val="24"/>
          <w:szCs w:val="24"/>
        </w:rPr>
        <w:t>Valor Nominal Unitário das Debêntures não será atualizado monetariamente</w:t>
      </w:r>
      <w:bookmarkEnd w:id="20"/>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1"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1"/>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2"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2"/>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3" w:name="_DV_C230"/>
      <w:r w:rsidRPr="005A1E47">
        <w:rPr>
          <w:rFonts w:eastAsia="Arial Unicode MS"/>
          <w:b/>
          <w:iCs/>
          <w:sz w:val="24"/>
          <w:szCs w:val="24"/>
        </w:rPr>
        <w:t>J</w:t>
      </w:r>
      <w:r w:rsidRPr="005A1E47">
        <w:rPr>
          <w:rFonts w:eastAsia="Arial Unicode MS"/>
          <w:iCs/>
          <w:sz w:val="24"/>
          <w:szCs w:val="24"/>
        </w:rPr>
        <w:t xml:space="preserve"> = valor</w:t>
      </w:r>
      <w:bookmarkEnd w:id="23"/>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46A9CAC3"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4"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8"/>
    <w:bookmarkEnd w:id="24"/>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79A2904"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5"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6" w:name="_Hlk50471157"/>
      <w:r w:rsidR="00091663" w:rsidRPr="005A1E47">
        <w:rPr>
          <w:snapToGrid w:val="0"/>
          <w:sz w:val="24"/>
          <w:szCs w:val="24"/>
        </w:rPr>
        <w:t xml:space="preserve">os pagamentos em decorrência de eventual vencimento antecipado das obrigações decorrentes das </w:t>
      </w:r>
      <w:r w:rsidR="00091663" w:rsidRPr="00822201">
        <w:rPr>
          <w:sz w:val="24"/>
          <w:szCs w:val="24"/>
        </w:rPr>
        <w:t xml:space="preserve">Debêntures ou </w:t>
      </w:r>
      <w:r w:rsidR="00856989" w:rsidRPr="00822201">
        <w:rPr>
          <w:sz w:val="24"/>
          <w:szCs w:val="24"/>
        </w:rPr>
        <w:t>R</w:t>
      </w:r>
      <w:r w:rsidR="00091663" w:rsidRPr="00822201">
        <w:rPr>
          <w:sz w:val="24"/>
          <w:szCs w:val="24"/>
        </w:rPr>
        <w:t xml:space="preserve">esgate </w:t>
      </w:r>
      <w:r w:rsidR="00856989" w:rsidRPr="00822201">
        <w:rPr>
          <w:sz w:val="24"/>
          <w:szCs w:val="24"/>
        </w:rPr>
        <w:t>A</w:t>
      </w:r>
      <w:r w:rsidR="00091663" w:rsidRPr="00822201">
        <w:rPr>
          <w:sz w:val="24"/>
          <w:szCs w:val="24"/>
        </w:rPr>
        <w:t>ntecipado</w:t>
      </w:r>
      <w:r w:rsidR="00856989" w:rsidRPr="00822201">
        <w:rPr>
          <w:sz w:val="24"/>
          <w:szCs w:val="24"/>
        </w:rPr>
        <w:t xml:space="preserve"> Facultativo Total</w:t>
      </w:r>
      <w:r w:rsidR="00091663" w:rsidRPr="00822201">
        <w:rPr>
          <w:sz w:val="24"/>
          <w:szCs w:val="24"/>
        </w:rPr>
        <w:t xml:space="preserve">, nos termos previstos nesta Escritura de Emissão, </w:t>
      </w:r>
      <w:r w:rsidRPr="00822201">
        <w:rPr>
          <w:sz w:val="24"/>
          <w:szCs w:val="24"/>
        </w:rPr>
        <w:t>a Remuneração</w:t>
      </w:r>
      <w:r w:rsidR="0061442B" w:rsidRPr="00822201">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16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5"/>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6"/>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16 de maio de 2022</w:t>
      </w:r>
      <w:r w:rsidR="009754B0" w:rsidRPr="005A1E47">
        <w:rPr>
          <w:sz w:val="24"/>
          <w:szCs w:val="24"/>
        </w:rPr>
        <w:t xml:space="preserve">, e 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3CF59D66"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7"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822201">
        <w:rPr>
          <w:sz w:val="24"/>
          <w:szCs w:val="24"/>
        </w:rPr>
        <w:t>ou</w:t>
      </w:r>
      <w:r w:rsidRPr="00822201">
        <w:rPr>
          <w:sz w:val="24"/>
          <w:szCs w:val="24"/>
        </w:rPr>
        <w:t xml:space="preserve"> de Resgate Antecipado Facultativo</w:t>
      </w:r>
      <w:r w:rsidR="002A7447" w:rsidRPr="00822201">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8"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7"/>
      <w:bookmarkEnd w:id="28"/>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29" w:name="_DV_C943"/>
      <w:r w:rsidRPr="005A1E47">
        <w:rPr>
          <w:sz w:val="24"/>
          <w:szCs w:val="24"/>
        </w:rPr>
        <w:t>.</w:t>
      </w:r>
      <w:bookmarkEnd w:id="29"/>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30" w:name="_Hlk50969356"/>
      <w:r w:rsidRPr="005A1E47">
        <w:rPr>
          <w:snapToGrid w:val="0"/>
          <w:sz w:val="24"/>
          <w:szCs w:val="24"/>
        </w:rPr>
        <w:t xml:space="preserve">Sem prejuízo da Remuneração das Debêntures, </w:t>
      </w:r>
      <w:bookmarkStart w:id="31"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1"/>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0"/>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26909932"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12DD8EE1"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 xml:space="preserve">o patrimônio líquido da Fiadora é de </w:t>
      </w:r>
      <w:r w:rsidR="005944A5">
        <w:rPr>
          <w:sz w:val="24"/>
          <w:szCs w:val="24"/>
        </w:rPr>
        <w:t>[</w:t>
      </w:r>
      <w:r w:rsidRPr="00D81DF2">
        <w:rPr>
          <w:sz w:val="24"/>
          <w:szCs w:val="24"/>
          <w:highlight w:val="yellow"/>
        </w:rPr>
        <w:t>R</w:t>
      </w:r>
      <w:r w:rsidR="005944A5" w:rsidRPr="00D81DF2">
        <w:rPr>
          <w:sz w:val="24"/>
          <w:szCs w:val="24"/>
          <w:highlight w:val="yellow"/>
        </w:rPr>
        <w:t>$9.500.000.000,00 (nove bilhões e quinhentos milhões de reais)</w:t>
      </w:r>
      <w:r w:rsidR="005944A5">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r w:rsidR="00A71E65" w:rsidRPr="00D81DF2">
        <w:rPr>
          <w:b/>
          <w:sz w:val="24"/>
          <w:szCs w:val="24"/>
          <w:highlight w:val="yellow"/>
        </w:rPr>
        <w:t>Pendente de confirmação pela Companhia</w:t>
      </w:r>
      <w:r w:rsidR="00A71E65">
        <w:rPr>
          <w:sz w:val="24"/>
          <w:szCs w:val="24"/>
        </w:rPr>
        <w:t>]</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4B2DB803"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2" w:name="_Ref73382967"/>
      <w:r w:rsidRPr="005A1E47">
        <w:rPr>
          <w:b/>
          <w:sz w:val="24"/>
          <w:szCs w:val="24"/>
        </w:rPr>
        <w:t>Resgate Antecipado Facultativo</w:t>
      </w:r>
      <w:bookmarkEnd w:id="32"/>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084C7541" w:rsidR="003A301E" w:rsidRPr="005A1E47" w:rsidRDefault="003A301E" w:rsidP="003A301E">
      <w:pPr>
        <w:pStyle w:val="PargrafodaLista"/>
        <w:numPr>
          <w:ilvl w:val="2"/>
          <w:numId w:val="24"/>
        </w:numPr>
        <w:spacing w:line="300" w:lineRule="exact"/>
        <w:ind w:left="0" w:firstLine="0"/>
        <w:rPr>
          <w:sz w:val="24"/>
          <w:szCs w:val="24"/>
        </w:rPr>
      </w:pPr>
      <w:bookmarkStart w:id="33" w:name="_Hlk50471523"/>
      <w:r w:rsidRPr="005A1E47">
        <w:rPr>
          <w:sz w:val="24"/>
          <w:szCs w:val="24"/>
        </w:rPr>
        <w:t xml:space="preserve">A Emissora poderá, a seu exclusivo critério realizar (i) o resgate antecipado da totalidade (sendo vedado o resgate parcial) das Debêntures,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17 de dezembro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(sendo vedado o resgate parcial) das Debêntures, com o consequente cancelamento de tais Debêntures, mediante o pagamento do Valor Nominal Unitário, acrescido da respectiva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pro rata temporis</w:t>
      </w:r>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 xml:space="preserve">O Prêmio de resgate antecipado facultativo das Debêntures será calculado de acordo com a seguinte fórmula, com relação ao saldo do Valor Nominal Unitário das Debêntures: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77777777"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 xml:space="preserve">Pr =[(1+0,30%) </w:t>
      </w:r>
      <w:r w:rsidRPr="005A1E47">
        <w:rPr>
          <w:sz w:val="24"/>
          <w:szCs w:val="24"/>
          <w:vertAlign w:val="superscript"/>
        </w:rPr>
        <w:t>DU/252</w:t>
      </w:r>
      <w:r w:rsidRPr="005A1E47">
        <w:rPr>
          <w:sz w:val="24"/>
          <w:szCs w:val="24"/>
        </w:rPr>
        <w:t xml:space="preserve"> – 1] x SDa</w:t>
      </w:r>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Debêntures imediatamente anterior, conforme o caso, até a data do efetivo pagamento. Caso oresgate antecipado facultativo aconteça em qualquer data de pagamento de Remuneração das Debêntures, SDa não deverá considerar a Remuneração das Debêntures devida até tal data. </w:t>
      </w:r>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4.11, (ii)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p w14:paraId="5D35115F" w14:textId="77777777" w:rsidR="003A301E" w:rsidRPr="005A1E47" w:rsidRDefault="003A301E" w:rsidP="003A301E">
      <w:pPr>
        <w:pStyle w:val="PargrafodaLista"/>
        <w:spacing w:line="300" w:lineRule="exact"/>
        <w:rPr>
          <w:sz w:val="24"/>
          <w:szCs w:val="24"/>
        </w:rPr>
      </w:pPr>
    </w:p>
    <w:p w14:paraId="57E85CAD"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Não será admitido o resgate antecipado facultativo parcial das Debêntures.</w:t>
      </w:r>
    </w:p>
    <w:bookmarkEnd w:id="33"/>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4" w:name="_DV_M250"/>
      <w:bookmarkStart w:id="35" w:name="_DV_M251"/>
      <w:bookmarkStart w:id="36" w:name="_DV_M252"/>
      <w:bookmarkStart w:id="37" w:name="_DV_M253"/>
      <w:bookmarkStart w:id="38" w:name="_DV_M264"/>
      <w:bookmarkStart w:id="39" w:name="_DV_M265"/>
      <w:bookmarkStart w:id="40" w:name="_DV_M268"/>
      <w:bookmarkEnd w:id="34"/>
      <w:bookmarkEnd w:id="35"/>
      <w:bookmarkEnd w:id="36"/>
      <w:bookmarkEnd w:id="37"/>
      <w:bookmarkEnd w:id="38"/>
      <w:bookmarkEnd w:id="39"/>
      <w:bookmarkEnd w:id="40"/>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1" w:name="_Ref75525805"/>
      <w:r w:rsidRPr="005A1E47">
        <w:rPr>
          <w:b/>
          <w:sz w:val="24"/>
          <w:szCs w:val="24"/>
        </w:rPr>
        <w:t>Oferta de Resgate Antecipado</w:t>
      </w:r>
      <w:bookmarkEnd w:id="41"/>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6AEAC26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2"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 respectiva série</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2"/>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5B63A1A3"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 respectiva série</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w:t>
      </w:r>
      <w:r w:rsidRPr="005A1E47">
        <w:rPr>
          <w:rFonts w:eastAsia="Arial Unicode MS"/>
          <w:sz w:val="24"/>
          <w:szCs w:val="24"/>
        </w:rPr>
        <w:lastRenderedPageBreak/>
        <w:t xml:space="preserve">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6E87A6D4"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 respectiva série</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3" w:name="_Ref73469175"/>
      <w:r w:rsidRPr="005A1E47">
        <w:rPr>
          <w:b/>
          <w:sz w:val="24"/>
          <w:szCs w:val="24"/>
        </w:rPr>
        <w:t>Aquisição Facultativa</w:t>
      </w:r>
      <w:bookmarkEnd w:id="43"/>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4" w:name="_Hlk50471842"/>
      <w:bookmarkStart w:id="45"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w:t>
      </w:r>
      <w:r w:rsidR="00354A32" w:rsidRPr="005A1E47">
        <w:rPr>
          <w:sz w:val="24"/>
          <w:szCs w:val="24"/>
        </w:rPr>
        <w:lastRenderedPageBreak/>
        <w:t>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4"/>
      <w:bookmarkEnd w:id="45"/>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6"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7"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7"/>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6"/>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674D3E9E"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3A301E">
        <w:rPr>
          <w:sz w:val="24"/>
          <w:szCs w:val="24"/>
        </w:rPr>
        <w:t>[</w:t>
      </w:r>
      <w:r w:rsidR="007261C1" w:rsidRPr="00822201">
        <w:rPr>
          <w:sz w:val="24"/>
          <w:highlight w:val="lightGray"/>
        </w:rPr>
        <w:t>1 (um)</w:t>
      </w:r>
      <w:r w:rsidR="003A301E" w:rsidRPr="00822201">
        <w:rPr>
          <w:sz w:val="24"/>
          <w:highlight w:val="lightGray"/>
        </w:rPr>
        <w:t>/2 (dois)</w:t>
      </w:r>
      <w:r w:rsidR="003A301E">
        <w:rPr>
          <w:sz w:val="24"/>
        </w:rPr>
        <w:t>]</w:t>
      </w:r>
      <w:r w:rsidR="007261C1" w:rsidRPr="00CD299F">
        <w:rPr>
          <w:sz w:val="24"/>
        </w:rPr>
        <w:t xml:space="preserve">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r w:rsidR="003A301E" w:rsidRPr="00822201">
        <w:rPr>
          <w:b/>
          <w:sz w:val="24"/>
          <w:szCs w:val="24"/>
          <w:highlight w:val="yellow"/>
        </w:rPr>
        <w:t xml:space="preserve">Nota Monteiro Rusu: </w:t>
      </w:r>
      <w:r w:rsidR="003A301E" w:rsidRPr="00822201">
        <w:rPr>
          <w:sz w:val="24"/>
          <w:szCs w:val="24"/>
          <w:highlight w:val="yellow"/>
        </w:rPr>
        <w:t>Companhia solicita a alteração do prazo para dois dias. Em discussão</w:t>
      </w:r>
      <w:r w:rsidR="003A301E">
        <w:rPr>
          <w:sz w:val="24"/>
          <w:szCs w:val="24"/>
        </w:rPr>
        <w:t>.]</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w:t>
      </w:r>
      <w:r w:rsidRPr="005A1E47">
        <w:rPr>
          <w:sz w:val="24"/>
          <w:szCs w:val="24"/>
        </w:rPr>
        <w:lastRenderedPageBreak/>
        <w:t xml:space="preserve">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1F9E3479"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w:t>
      </w:r>
      <w:r w:rsidRPr="005A1E47">
        <w:rPr>
          <w:sz w:val="24"/>
          <w:szCs w:val="24"/>
        </w:rPr>
        <w:lastRenderedPageBreak/>
        <w:t xml:space="preserve">da </w:t>
      </w:r>
      <w:r>
        <w:rPr>
          <w:sz w:val="24"/>
          <w:szCs w:val="24"/>
        </w:rPr>
        <w:t>[</w:t>
      </w:r>
      <w:r w:rsidRPr="00031764">
        <w:rPr>
          <w:sz w:val="24"/>
          <w:shd w:val="clear" w:color="auto" w:fill="BFBFBF" w:themeFill="background1" w:themeFillShade="BF"/>
        </w:rPr>
        <w:t>Emissora</w:t>
      </w:r>
      <w:r w:rsidRPr="00B05645">
        <w:rPr>
          <w:sz w:val="24"/>
          <w:szCs w:val="24"/>
          <w:shd w:val="clear" w:color="auto" w:fill="BFBFBF" w:themeFill="background1" w:themeFillShade="BF"/>
        </w:rPr>
        <w:t>/Fiadora</w:t>
      </w:r>
      <w:r>
        <w:rPr>
          <w:sz w:val="24"/>
          <w:szCs w:val="24"/>
        </w:rPr>
        <w:t>]</w:t>
      </w:r>
      <w:r w:rsidRPr="005A1E47">
        <w:rPr>
          <w:sz w:val="24"/>
          <w:szCs w:val="24"/>
        </w:rPr>
        <w:t xml:space="preserve">; </w:t>
      </w:r>
      <w:r>
        <w:rPr>
          <w:sz w:val="24"/>
          <w:szCs w:val="24"/>
        </w:rPr>
        <w:t xml:space="preserve"> </w:t>
      </w:r>
      <w:r w:rsidRPr="00030358">
        <w:rPr>
          <w:i/>
          <w:sz w:val="24"/>
          <w:szCs w:val="24"/>
        </w:rPr>
        <w:t>[</w:t>
      </w:r>
      <w:r w:rsidRPr="00030358">
        <w:rPr>
          <w:b/>
          <w:i/>
          <w:sz w:val="24"/>
          <w:szCs w:val="24"/>
          <w:highlight w:val="yellow"/>
        </w:rPr>
        <w:t>Nota Monteiro Rusu:</w:t>
      </w:r>
      <w:r w:rsidRPr="00030358">
        <w:rPr>
          <w:i/>
          <w:sz w:val="24"/>
          <w:szCs w:val="24"/>
          <w:highlight w:val="yellow"/>
        </w:rPr>
        <w:t xml:space="preserve"> </w:t>
      </w:r>
      <w:r>
        <w:rPr>
          <w:i/>
          <w:sz w:val="24"/>
          <w:szCs w:val="24"/>
          <w:highlight w:val="yellow"/>
        </w:rPr>
        <w:t>Cláusula s</w:t>
      </w:r>
      <w:r w:rsidRPr="00030358">
        <w:rPr>
          <w:i/>
          <w:sz w:val="24"/>
          <w:szCs w:val="24"/>
          <w:highlight w:val="yellow"/>
        </w:rPr>
        <w:t>ob validação d</w:t>
      </w:r>
      <w:r>
        <w:rPr>
          <w:i/>
          <w:sz w:val="24"/>
          <w:szCs w:val="24"/>
          <w:highlight w:val="yellow"/>
        </w:rPr>
        <w:t>as</w:t>
      </w:r>
      <w:r w:rsidRPr="00030358">
        <w:rPr>
          <w:i/>
          <w:sz w:val="24"/>
          <w:szCs w:val="24"/>
          <w:highlight w:val="yellow"/>
        </w:rPr>
        <w:t xml:space="preserve"> </w:t>
      </w:r>
      <w:r w:rsidRPr="00D81DF2">
        <w:rPr>
          <w:i/>
          <w:sz w:val="24"/>
          <w:szCs w:val="24"/>
          <w:highlight w:val="yellow"/>
        </w:rPr>
        <w:t>Partes</w:t>
      </w:r>
      <w:r w:rsidRPr="00030358">
        <w:rPr>
          <w:i/>
          <w:sz w:val="24"/>
          <w:szCs w:val="24"/>
        </w:rPr>
        <w:t>.]</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1B9AE5C8" w:rsidR="005B5389" w:rsidRPr="005A1E47" w:rsidRDefault="005B5389" w:rsidP="002A6539">
      <w:pPr>
        <w:pStyle w:val="PargrafodaLista"/>
        <w:numPr>
          <w:ilvl w:val="0"/>
          <w:numId w:val="34"/>
        </w:numPr>
        <w:spacing w:line="300" w:lineRule="exact"/>
        <w:ind w:left="1418" w:hanging="709"/>
        <w:rPr>
          <w:sz w:val="24"/>
          <w:szCs w:val="24"/>
        </w:rPr>
      </w:pPr>
      <w:bookmarkStart w:id="48"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8"/>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 xml:space="preserve">da data em que o </w:t>
      </w:r>
      <w:r w:rsidRPr="005A1E47">
        <w:rPr>
          <w:sz w:val="24"/>
          <w:szCs w:val="24"/>
        </w:rPr>
        <w:lastRenderedPageBreak/>
        <w:t>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w:t>
      </w:r>
      <w:r w:rsidRPr="005A1E47">
        <w:rPr>
          <w:sz w:val="24"/>
          <w:szCs w:val="24"/>
        </w:rPr>
        <w:lastRenderedPageBreak/>
        <w:t xml:space="preserve">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9" w:name="_DV_M219"/>
      <w:bookmarkStart w:id="50" w:name="_DV_M220"/>
      <w:bookmarkStart w:id="51" w:name="_DV_M221"/>
      <w:bookmarkEnd w:id="49"/>
      <w:bookmarkEnd w:id="50"/>
      <w:bookmarkEnd w:id="51"/>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06DDB90"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2"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2"/>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3"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3"/>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 xml:space="preserve">com relação à Fiadora, enviar ao Agente Fiduciário, dentro de, no máximo, 90 (noventa) dias após o término de cada exercício social (ou em prazo mais longo, se </w:t>
      </w:r>
      <w:r w:rsidRPr="005A1E47">
        <w:rPr>
          <w:sz w:val="24"/>
          <w:szCs w:val="24"/>
        </w:rPr>
        <w:lastRenderedPageBreak/>
        <w:t>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D4B2C03"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822201">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w:t>
      </w:r>
      <w:r w:rsidR="004D02EE" w:rsidRPr="005A1E47">
        <w:rPr>
          <w:rFonts w:eastAsia="Arial Unicode MS"/>
          <w:w w:val="0"/>
          <w:sz w:val="24"/>
          <w:szCs w:val="24"/>
        </w:rPr>
        <w:lastRenderedPageBreak/>
        <w:t xml:space="preserve">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54" w:name="_DV_M211"/>
      <w:bookmarkEnd w:id="54"/>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5" w:name="_DV_M353"/>
      <w:bookmarkEnd w:id="55"/>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lastRenderedPageBreak/>
        <w:t xml:space="preserve">as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w:t>
      </w:r>
      <w:r w:rsidRPr="005A1E47">
        <w:rPr>
          <w:sz w:val="24"/>
          <w:szCs w:val="24"/>
        </w:rPr>
        <w:lastRenderedPageBreak/>
        <w:t>integrante do mesmo grupo da Emissora em que tenha atuado como agente fiduciário no período, bem como os seguintes dados sobre tais emissões (i) denominação da Emissora; (ii) valor da emissão; (iii) quantidade de 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 xml:space="preserve">ncluindo as obrigações relativas a garantias e a cláusulas contratuais destinadas a proteger o interesse dos Debenturistas e que estabelecem condições que não devem ser descumpridas pela Emissora, indicando as consequências para os Debenturistas </w:t>
      </w:r>
      <w:r w:rsidRPr="005A1E47">
        <w:rPr>
          <w:sz w:val="24"/>
          <w:szCs w:val="24"/>
        </w:rPr>
        <w:lastRenderedPageBreak/>
        <w:t>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xml:space="preserve">, a partir da data de início do exercício de sua função como agente fiduciário da Emissão. Esta </w:t>
      </w:r>
      <w:r w:rsidRPr="005A1E47">
        <w:rPr>
          <w:sz w:val="24"/>
          <w:szCs w:val="24"/>
        </w:rPr>
        <w:lastRenderedPageBreak/>
        <w:t>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6"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6"/>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7" w:name="_DV_M384"/>
      <w:bookmarkEnd w:id="57"/>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47E475A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5"/>
      <w:bookmarkEnd w:id="58"/>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9" w:name="_DV_M406"/>
      <w:bookmarkEnd w:id="59"/>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w:t>
      </w:r>
      <w:r w:rsidRPr="005A1E47">
        <w:rPr>
          <w:sz w:val="24"/>
          <w:szCs w:val="24"/>
        </w:rPr>
        <w:lastRenderedPageBreak/>
        <w:t xml:space="preserve">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w:t>
      </w:r>
      <w:r w:rsidRPr="005A1E47">
        <w:rPr>
          <w:sz w:val="24"/>
          <w:szCs w:val="24"/>
        </w:rPr>
        <w:lastRenderedPageBreak/>
        <w:t xml:space="preserve">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lastRenderedPageBreak/>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w:t>
      </w:r>
      <w:r w:rsidRPr="005A1E47">
        <w:rPr>
          <w:sz w:val="24"/>
          <w:szCs w:val="24"/>
        </w:rPr>
        <w:lastRenderedPageBreak/>
        <w:t xml:space="preserve">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0"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0"/>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937B" w14:textId="77777777" w:rsidR="0030648C" w:rsidRDefault="0030648C">
      <w:r>
        <w:separator/>
      </w:r>
    </w:p>
    <w:p w14:paraId="1CAF97B3" w14:textId="77777777" w:rsidR="0030648C" w:rsidRDefault="0030648C"/>
    <w:p w14:paraId="175B627B" w14:textId="77777777" w:rsidR="0030648C" w:rsidRDefault="0030648C"/>
  </w:endnote>
  <w:endnote w:type="continuationSeparator" w:id="0">
    <w:p w14:paraId="0162B8BE" w14:textId="77777777" w:rsidR="0030648C" w:rsidRDefault="0030648C">
      <w:r>
        <w:continuationSeparator/>
      </w:r>
    </w:p>
    <w:p w14:paraId="4355FDC1" w14:textId="77777777" w:rsidR="0030648C" w:rsidRDefault="0030648C"/>
    <w:p w14:paraId="54F4BFD0" w14:textId="77777777" w:rsidR="0030648C" w:rsidRDefault="0030648C"/>
  </w:endnote>
  <w:endnote w:type="continuationNotice" w:id="1">
    <w:p w14:paraId="68C2EC10" w14:textId="77777777" w:rsidR="0030648C" w:rsidRDefault="0030648C"/>
    <w:p w14:paraId="18E70D43" w14:textId="77777777" w:rsidR="0030648C" w:rsidRDefault="00306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A37DD9" w:rsidRDefault="00A37D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A37DD9" w:rsidRDefault="00A37DD9">
    <w:pPr>
      <w:pStyle w:val="Rodap"/>
      <w:ind w:right="360"/>
    </w:pPr>
  </w:p>
  <w:p w14:paraId="6A3A439B" w14:textId="77777777" w:rsidR="00A37DD9" w:rsidRDefault="00A37DD9"/>
  <w:p w14:paraId="0061A59C" w14:textId="77777777" w:rsidR="00A37DD9" w:rsidRDefault="00A37D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241307555"/>
      <w:docPartObj>
        <w:docPartGallery w:val="Page Numbers (Bottom of Page)"/>
        <w:docPartUnique/>
      </w:docPartObj>
    </w:sdtPr>
    <w:sdtEndPr/>
    <w:sdtContent>
      <w:p w14:paraId="79DB8BEC" w14:textId="406C901F" w:rsidR="00A37DD9" w:rsidRPr="008A4446" w:rsidRDefault="00A37DD9"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822201">
          <w:rPr>
            <w:rFonts w:ascii="Verdana" w:hAnsi="Verdana"/>
            <w:noProof/>
            <w:sz w:val="18"/>
            <w:szCs w:val="18"/>
          </w:rPr>
          <w:t>8</w:t>
        </w:r>
        <w:r w:rsidRPr="008A4446">
          <w:rPr>
            <w:rFonts w:ascii="Verdana" w:hAnsi="Verdana"/>
            <w:sz w:val="18"/>
            <w:szCs w:val="18"/>
          </w:rPr>
          <w:fldChar w:fldCharType="end"/>
        </w:r>
      </w:p>
    </w:sdtContent>
  </w:sdt>
  <w:p w14:paraId="7693D1FF" w14:textId="77777777" w:rsidR="00A37DD9" w:rsidRPr="00DE4482" w:rsidRDefault="00A37DD9">
    <w:pPr>
      <w:pStyle w:val="Rodap"/>
      <w:rPr>
        <w:rFonts w:ascii="Verdana" w:hAnsi="Verdana"/>
        <w:color w:val="FFFFFF" w:themeColor="background1"/>
        <w:sz w:val="14"/>
      </w:rPr>
    </w:pPr>
  </w:p>
  <w:p w14:paraId="0E65ADD6" w14:textId="77777777" w:rsidR="00A37DD9" w:rsidRPr="007D0D91" w:rsidRDefault="00A37DD9"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A37DD9" w:rsidRDefault="00A37DD9">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0A29" w14:textId="77777777" w:rsidR="0030648C" w:rsidRDefault="0030648C">
      <w:r>
        <w:separator/>
      </w:r>
    </w:p>
    <w:p w14:paraId="26868ED4" w14:textId="77777777" w:rsidR="0030648C" w:rsidRDefault="0030648C"/>
    <w:p w14:paraId="13221CE1" w14:textId="77777777" w:rsidR="0030648C" w:rsidRDefault="0030648C"/>
  </w:footnote>
  <w:footnote w:type="continuationSeparator" w:id="0">
    <w:p w14:paraId="7B165ECF" w14:textId="77777777" w:rsidR="0030648C" w:rsidRDefault="0030648C">
      <w:r>
        <w:continuationSeparator/>
      </w:r>
    </w:p>
    <w:p w14:paraId="24401AFF" w14:textId="77777777" w:rsidR="0030648C" w:rsidRDefault="0030648C"/>
    <w:p w14:paraId="4A585C69" w14:textId="77777777" w:rsidR="0030648C" w:rsidRDefault="0030648C"/>
  </w:footnote>
  <w:footnote w:type="continuationNotice" w:id="1">
    <w:p w14:paraId="74F2F034" w14:textId="77777777" w:rsidR="0030648C" w:rsidRDefault="0030648C"/>
    <w:p w14:paraId="26F5F0FB" w14:textId="77777777" w:rsidR="0030648C" w:rsidRDefault="003064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A37DD9" w:rsidRDefault="00A37DD9" w:rsidP="007C5F35">
    <w:pPr>
      <w:pStyle w:val="Cabealho"/>
    </w:pPr>
  </w:p>
  <w:p w14:paraId="15D35047" w14:textId="77777777" w:rsidR="00A37DD9" w:rsidRDefault="00A37DD9" w:rsidP="007D0D91"/>
  <w:p w14:paraId="7217D7B6" w14:textId="77777777" w:rsidR="00A37DD9" w:rsidRDefault="00A37D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A37DD9" w:rsidRPr="007D0D91" w:rsidRDefault="00A37DD9"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3.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4.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BD56-6779-4E2B-93F5-8823CC6A08DB}">
  <ds:schemaRefs>
    <ds:schemaRef ds:uri="http://www.imanage.com/work/xmlschema"/>
  </ds:schemaRefs>
</ds:datastoreItem>
</file>

<file path=customXml/itemProps10.xml><?xml version="1.0" encoding="utf-8"?>
<ds:datastoreItem xmlns:ds="http://schemas.openxmlformats.org/officeDocument/2006/customXml" ds:itemID="{D0EE7451-5388-46B8-80CC-0A1186BDE5E6}">
  <ds:schemaRefs>
    <ds:schemaRef ds:uri="http://schemas.openxmlformats.org/officeDocument/2006/bibliography"/>
  </ds:schemaRefs>
</ds:datastoreItem>
</file>

<file path=customXml/itemProps11.xml><?xml version="1.0" encoding="utf-8"?>
<ds:datastoreItem xmlns:ds="http://schemas.openxmlformats.org/officeDocument/2006/customXml" ds:itemID="{643730D5-B403-438D-BFB6-091E2A3669BD}">
  <ds:schemaRefs>
    <ds:schemaRef ds:uri="http://schemas.openxmlformats.org/officeDocument/2006/bibliography"/>
  </ds:schemaRefs>
</ds:datastoreItem>
</file>

<file path=customXml/itemProps12.xml><?xml version="1.0" encoding="utf-8"?>
<ds:datastoreItem xmlns:ds="http://schemas.openxmlformats.org/officeDocument/2006/customXml" ds:itemID="{534462A2-5F37-4770-A969-72FA71CA36A8}">
  <ds:schemaRefs>
    <ds:schemaRef ds:uri="http://schemas.openxmlformats.org/officeDocument/2006/bibliography"/>
  </ds:schemaRefs>
</ds:datastoreItem>
</file>

<file path=customXml/itemProps13.xml><?xml version="1.0" encoding="utf-8"?>
<ds:datastoreItem xmlns:ds="http://schemas.openxmlformats.org/officeDocument/2006/customXml" ds:itemID="{F0209C92-6600-4B39-BB58-42DC9E03F6E6}">
  <ds:schemaRefs>
    <ds:schemaRef ds:uri="http://schemas.openxmlformats.org/officeDocument/2006/bibliography"/>
  </ds:schemaRefs>
</ds:datastoreItem>
</file>

<file path=customXml/itemProps2.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BB866324-9A35-4E13-9C45-327BB609E6DA}">
  <ds:schemaRefs>
    <ds:schemaRef ds:uri="http://www.imanage.com/work/xmlschema"/>
  </ds:schemaRefs>
</ds:datastoreItem>
</file>

<file path=customXml/itemProps4.xml><?xml version="1.0" encoding="utf-8"?>
<ds:datastoreItem xmlns:ds="http://schemas.openxmlformats.org/officeDocument/2006/customXml" ds:itemID="{AEE62434-E480-48F0-BF9B-DD3ADEF5F595}">
  <ds:schemaRefs>
    <ds:schemaRef ds:uri="http://www.imanage.com/work/xmlschema"/>
  </ds:schemaRefs>
</ds:datastoreItem>
</file>

<file path=customXml/itemProps5.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6.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8.xml><?xml version="1.0" encoding="utf-8"?>
<ds:datastoreItem xmlns:ds="http://schemas.openxmlformats.org/officeDocument/2006/customXml" ds:itemID="{DE818CE2-7F3A-417B-8215-C6253E8A7013}">
  <ds:schemaRefs>
    <ds:schemaRef ds:uri="http://schemas.openxmlformats.org/officeDocument/2006/bibliography"/>
  </ds:schemaRefs>
</ds:datastoreItem>
</file>

<file path=customXml/itemProps9.xml><?xml version="1.0" encoding="utf-8"?>
<ds:datastoreItem xmlns:ds="http://schemas.openxmlformats.org/officeDocument/2006/customXml" ds:itemID="{6CA1ACA9-D62E-4F9E-95CD-9CE8E51D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20522</Words>
  <Characters>110825</Characters>
  <Application>Microsoft Office Word</Application>
  <DocSecurity>0</DocSecurity>
  <Lines>923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131085</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2</cp:revision>
  <cp:lastPrinted>2021-10-28T14:57:00Z</cp:lastPrinted>
  <dcterms:created xsi:type="dcterms:W3CDTF">2021-10-28T14:57:00Z</dcterms:created>
  <dcterms:modified xsi:type="dcterms:W3CDTF">2021-10-28T14:57:00Z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