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AD46DBE" w:rsidR="00BC4686" w:rsidRPr="0045539C" w:rsidRDefault="00D80E16" w:rsidP="007E1293">
      <w:pPr>
        <w:widowControl w:val="0"/>
        <w:tabs>
          <w:tab w:val="left" w:pos="2366"/>
        </w:tabs>
        <w:spacing w:before="140" w:line="290" w:lineRule="auto"/>
        <w:jc w:val="center"/>
        <w:rPr>
          <w:rFonts w:ascii="Arial" w:hAnsi="Arial" w:cs="Arial"/>
          <w:sz w:val="20"/>
        </w:rPr>
      </w:pPr>
      <w:r>
        <w:rPr>
          <w:rFonts w:ascii="Arial" w:hAnsi="Arial" w:cs="Arial"/>
          <w:sz w:val="20"/>
        </w:rPr>
        <w:t xml:space="preserve">08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30F290E"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2B9F230B"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6C21C7">
      <w:pPr>
        <w:pStyle w:val="Level2"/>
        <w:widowControl w:val="0"/>
        <w:spacing w:before="140" w:after="0"/>
      </w:pPr>
      <w:bookmarkStart w:id="3"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3DDD801F" w:rsidR="00FA6FB1" w:rsidRPr="007E1293" w:rsidRDefault="00FA6FB1" w:rsidP="00882195">
      <w:pPr>
        <w:pStyle w:val="Level2"/>
        <w:widowControl w:val="0"/>
        <w:numPr>
          <w:ilvl w:val="0"/>
          <w:numId w:val="0"/>
        </w:numPr>
        <w:spacing w:before="140" w:after="0"/>
        <w:ind w:left="680"/>
      </w:pPr>
    </w:p>
    <w:p w14:paraId="76F0FEF6" w14:textId="23E8B125" w:rsidR="00E409C3" w:rsidRPr="00C3387F" w:rsidRDefault="00E409C3" w:rsidP="007E1293">
      <w:pPr>
        <w:pStyle w:val="Level2"/>
        <w:widowControl w:val="0"/>
        <w:spacing w:before="140" w:after="0"/>
      </w:pPr>
      <w:r w:rsidRPr="006C0321">
        <w:lastRenderedPageBreak/>
        <w:t xml:space="preserve">A constituição da </w:t>
      </w:r>
      <w:r w:rsidR="003C6DD0" w:rsidRPr="006C0321">
        <w:t>Cessão Fiduciária de Direitos Creditórios</w:t>
      </w:r>
      <w:r w:rsidRPr="006C0321">
        <w:t xml:space="preserve"> (conforme abaixo definida) pela </w:t>
      </w:r>
      <w:r w:rsidR="00367A37" w:rsidRPr="00882195">
        <w:t>Corpóreos</w:t>
      </w:r>
      <w:r w:rsidR="006C0321" w:rsidRPr="00882195">
        <w:t xml:space="preserve"> – Serviços Terapêuticos</w:t>
      </w:r>
      <w:r w:rsidR="00CD78F8">
        <w:t xml:space="preserve"> </w:t>
      </w:r>
      <w:r w:rsidR="008C63AF">
        <w:t>S.A.</w:t>
      </w:r>
      <w:r w:rsidR="00CD78F8">
        <w:t>(“</w:t>
      </w:r>
      <w:r w:rsidR="00026EE0" w:rsidRPr="00584D8A">
        <w:rPr>
          <w:b/>
        </w:rPr>
        <w:t>Garantidora</w:t>
      </w:r>
      <w:r w:rsidR="00CD78F8">
        <w:t>”)</w:t>
      </w:r>
      <w:r w:rsidRPr="006B3774">
        <w:t xml:space="preserve">, </w:t>
      </w:r>
      <w:r>
        <w:t>bem como a assinatura</w:t>
      </w:r>
      <w:r w:rsidRPr="006B3774">
        <w:t xml:space="preserve"> 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6C0321">
        <w:t xml:space="preserve">realizada em </w:t>
      </w:r>
      <w:r w:rsidR="00D80E16">
        <w:t xml:space="preserve">08 </w:t>
      </w:r>
      <w:r w:rsidR="006C0321">
        <w:t xml:space="preserve">de </w:t>
      </w:r>
      <w:r w:rsidR="00006BCB">
        <w:t xml:space="preserve">julho </w:t>
      </w:r>
      <w:r w:rsidR="006C0321">
        <w:t>de 2021</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bookmarkStart w:id="19"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bookmarkEnd w:id="19"/>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0"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0"/>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1"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2" w:name="_Hlk67930379"/>
      <w:r w:rsidR="00ED2E3F" w:rsidRPr="00A5063C">
        <w:rPr>
          <w:szCs w:val="20"/>
        </w:rPr>
        <w:t>e do artigo 289</w:t>
      </w:r>
      <w:r w:rsidR="00A542AA" w:rsidRPr="00A5063C">
        <w:rPr>
          <w:szCs w:val="20"/>
        </w:rPr>
        <w:t xml:space="preserve"> </w:t>
      </w:r>
      <w:bookmarkEnd w:id="22"/>
      <w:r w:rsidR="00A542AA" w:rsidRPr="00A5063C">
        <w:rPr>
          <w:szCs w:val="20"/>
        </w:rPr>
        <w:t>da Lei das Sociedades por Ações</w:t>
      </w:r>
      <w:bookmarkEnd w:id="21"/>
      <w:r w:rsidR="00B87EDC" w:rsidRPr="00A5063C">
        <w:t>.</w:t>
      </w:r>
      <w:r w:rsidR="00CD78F8" w:rsidRPr="00A5063C">
        <w:t xml:space="preserve"> </w:t>
      </w:r>
    </w:p>
    <w:p w14:paraId="4D3BA070" w14:textId="484436FA" w:rsidR="008466A8" w:rsidRPr="0045539C" w:rsidRDefault="00785FBF" w:rsidP="007E1293">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Start w:id="27" w:name="_Hlk71652878"/>
      <w:bookmarkEnd w:id="24"/>
      <w:r w:rsidR="002D4D02" w:rsidRPr="0045539C">
        <w:rPr>
          <w:rFonts w:cs="Arial"/>
          <w:b/>
          <w:szCs w:val="20"/>
        </w:rPr>
        <w:t>e seus eventuais aditamentos</w:t>
      </w:r>
      <w:bookmarkEnd w:id="27"/>
      <w:r w:rsidR="009071F5" w:rsidRPr="0045539C">
        <w:rPr>
          <w:rFonts w:cs="Arial"/>
          <w:b/>
          <w:szCs w:val="20"/>
        </w:rPr>
        <w:t xml:space="preserve"> na </w:t>
      </w:r>
      <w:r w:rsidR="00065B24" w:rsidRPr="0045539C">
        <w:rPr>
          <w:rFonts w:cs="Arial"/>
          <w:b/>
          <w:szCs w:val="20"/>
        </w:rPr>
        <w:t>Junta Comercial competente</w:t>
      </w:r>
      <w:bookmarkEnd w:id="25"/>
      <w:bookmarkEnd w:id="26"/>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8" w:name="_Ref498605952"/>
      <w:bookmarkStart w:id="2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8"/>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0" w:name="_Ref440286167"/>
      <w:bookmarkStart w:id="31" w:name="_Ref435644706"/>
      <w:bookmarkEnd w:id="2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w:t>
      </w:r>
      <w:r w:rsidRPr="00723D6F">
        <w:rPr>
          <w:i/>
          <w:iCs/>
        </w:rPr>
        <w:t>Bookbuilding</w:t>
      </w:r>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(ii) a quantidade de Debêntures a ser emitida e a respectiva quantidade por série; e (iii) a Remuneração</w:t>
      </w:r>
      <w:r>
        <w:t xml:space="preserve"> </w:t>
      </w:r>
      <w:r w:rsidRPr="00B63817">
        <w:t xml:space="preserve">(conforme </w:t>
      </w:r>
      <w:r w:rsidRPr="00B63817">
        <w:lastRenderedPageBreak/>
        <w:t xml:space="preserve">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2" w:name="_Ref508981155"/>
      <w:bookmarkEnd w:id="30"/>
      <w:bookmarkEnd w:id="31"/>
      <w:r w:rsidRPr="0045539C">
        <w:rPr>
          <w:rFonts w:cs="Arial"/>
          <w:b/>
          <w:szCs w:val="20"/>
        </w:rPr>
        <w:t>Distribuição, Negociação e Custódia Eletrônica</w:t>
      </w:r>
      <w:bookmarkEnd w:id="32"/>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3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4"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34"/>
      <w:r w:rsidRPr="0045539C">
        <w:t>, sendo a distribuição liquidada financeiramente por meio da B3</w:t>
      </w:r>
      <w:r w:rsidR="004D3A6B" w:rsidRPr="0045539C">
        <w:rPr>
          <w:szCs w:val="20"/>
        </w:rPr>
        <w:t>; e</w:t>
      </w:r>
      <w:bookmarkEnd w:id="33"/>
    </w:p>
    <w:p w14:paraId="31342A86" w14:textId="757B4610" w:rsidR="007B4AAE" w:rsidRPr="0045539C" w:rsidRDefault="005D1CF1" w:rsidP="007E1293">
      <w:pPr>
        <w:pStyle w:val="Level4"/>
        <w:widowControl w:val="0"/>
        <w:spacing w:before="140" w:after="0"/>
        <w:rPr>
          <w:iCs/>
          <w:szCs w:val="20"/>
        </w:rPr>
      </w:pPr>
      <w:bookmarkStart w:id="35" w:name="_Ref65499313"/>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5"/>
    </w:p>
    <w:p w14:paraId="525147C9" w14:textId="06EA69E4" w:rsidR="004D3A6B" w:rsidRPr="0045539C" w:rsidRDefault="00AA11F5" w:rsidP="00CA1CF8">
      <w:pPr>
        <w:pStyle w:val="Level3"/>
        <w:widowControl w:val="0"/>
        <w:spacing w:before="140" w:after="0"/>
        <w:rPr>
          <w:szCs w:val="20"/>
        </w:rPr>
      </w:pPr>
      <w:bookmarkStart w:id="37" w:name="_Ref2792611"/>
      <w:bookmarkStart w:id="38" w:name="_Ref2872145"/>
      <w:bookmarkEnd w:id="3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7C56F6">
        <w:t>2.4.1(ii)</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9"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bookmarkEnd w:id="38"/>
    </w:p>
    <w:p w14:paraId="133BBA6C" w14:textId="771678FA" w:rsidR="00E4336C" w:rsidRPr="0045539C" w:rsidRDefault="00AA11F5" w:rsidP="007E1293">
      <w:pPr>
        <w:pStyle w:val="Level3"/>
        <w:widowControl w:val="0"/>
        <w:spacing w:before="140" w:after="0"/>
        <w:rPr>
          <w:szCs w:val="20"/>
        </w:rPr>
      </w:pPr>
      <w:bookmarkStart w:id="41" w:name="_Ref2872115"/>
      <w:bookmarkStart w:id="42" w:name="_Ref490155570"/>
      <w:bookmarkStart w:id="43" w:name="_Ref491421827"/>
      <w:bookmarkEnd w:id="39"/>
      <w:bookmarkEnd w:id="40"/>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1"/>
    </w:p>
    <w:p w14:paraId="1E31DD83" w14:textId="505C6436" w:rsidR="00DB7F8D" w:rsidRPr="0045539C" w:rsidRDefault="00DB7F8D" w:rsidP="007E1293">
      <w:pPr>
        <w:pStyle w:val="Level2"/>
        <w:widowControl w:val="0"/>
        <w:spacing w:before="140" w:after="0"/>
        <w:rPr>
          <w:rFonts w:cs="Arial"/>
          <w:b/>
          <w:szCs w:val="20"/>
        </w:rPr>
      </w:pPr>
      <w:bookmarkStart w:id="44" w:name="_Ref479230964"/>
      <w:bookmarkStart w:id="45" w:name="_Ref508981176"/>
      <w:bookmarkStart w:id="46" w:name="_Ref516682477"/>
      <w:bookmarkStart w:id="47" w:name="_Ref522091376"/>
      <w:bookmarkStart w:id="48" w:name="_Ref2346679"/>
      <w:bookmarkEnd w:id="42"/>
      <w:bookmarkEnd w:id="43"/>
      <w:r w:rsidRPr="0045539C">
        <w:rPr>
          <w:rFonts w:cs="Arial"/>
          <w:b/>
          <w:szCs w:val="20"/>
        </w:rPr>
        <w:t xml:space="preserve">Constituição da </w:t>
      </w:r>
      <w:bookmarkEnd w:id="44"/>
      <w:bookmarkEnd w:id="45"/>
      <w:bookmarkEnd w:id="46"/>
      <w:r w:rsidR="008347A7" w:rsidRPr="0045539C">
        <w:rPr>
          <w:rFonts w:cs="Arial"/>
          <w:b/>
          <w:szCs w:val="20"/>
        </w:rPr>
        <w:t xml:space="preserve">Cessão Fiduciária de </w:t>
      </w:r>
      <w:r w:rsidR="00556077">
        <w:rPr>
          <w:rFonts w:cs="Arial"/>
          <w:b/>
          <w:szCs w:val="20"/>
        </w:rPr>
        <w:t>Direitos Creditórios</w:t>
      </w:r>
      <w:bookmarkEnd w:id="47"/>
      <w:bookmarkEnd w:id="48"/>
    </w:p>
    <w:p w14:paraId="50A7072D" w14:textId="1FC4B928" w:rsidR="00690367" w:rsidRPr="0045539C" w:rsidRDefault="00690367" w:rsidP="00584D8A">
      <w:pPr>
        <w:pStyle w:val="Level3"/>
        <w:widowControl w:val="0"/>
        <w:spacing w:before="140" w:after="0"/>
      </w:pPr>
      <w:bookmarkStart w:id="49" w:name="_Ref490824048"/>
      <w:bookmarkStart w:id="50"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9"/>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1" w:name="_Ref509245377"/>
      <w:bookmarkStart w:id="52" w:name="_Toc327379523"/>
      <w:bookmarkEnd w:id="50"/>
      <w:r w:rsidRPr="0045539C">
        <w:t xml:space="preserve">CLÁUSULA TERCEIRA - </w:t>
      </w:r>
      <w:r w:rsidR="00825656" w:rsidRPr="0045539C">
        <w:t>OBJETO SOCIAL DA EMISSORA</w:t>
      </w:r>
      <w:bookmarkEnd w:id="51"/>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3" w:name="_Ref479194326"/>
      <w:r w:rsidRPr="0045539C">
        <w:lastRenderedPageBreak/>
        <w:t xml:space="preserve">CLÁUSULA QUARTA - </w:t>
      </w:r>
      <w:r w:rsidR="00825656" w:rsidRPr="0045539C">
        <w:t>DESTINAÇÃO DOS RECURSOS</w:t>
      </w:r>
      <w:bookmarkEnd w:id="53"/>
    </w:p>
    <w:p w14:paraId="708DB49C" w14:textId="6FCC1974" w:rsidR="00DF08A9" w:rsidRPr="0045539C" w:rsidRDefault="000E2DCC" w:rsidP="007E1293">
      <w:pPr>
        <w:pStyle w:val="Level2"/>
        <w:widowControl w:val="0"/>
        <w:spacing w:before="140" w:after="0"/>
        <w:rPr>
          <w:rFonts w:cs="Arial"/>
          <w:b/>
          <w:szCs w:val="20"/>
        </w:rPr>
      </w:pPr>
      <w:bookmarkStart w:id="54" w:name="_Ref264564155"/>
      <w:bookmarkStart w:id="55" w:name="_Ref502247064"/>
      <w:bookmarkStart w:id="56" w:name="_Ref435691066"/>
      <w:r w:rsidRPr="0045539C">
        <w:t>Os recursos</w:t>
      </w:r>
      <w:r w:rsidR="00316824" w:rsidRPr="0045539C">
        <w:t xml:space="preserve"> líquidos</w:t>
      </w:r>
      <w:r w:rsidRPr="0045539C">
        <w:t xml:space="preserve"> obtidos pela Emissora com a Emissão serão utilizados</w:t>
      </w:r>
      <w:bookmarkEnd w:id="54"/>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5"/>
    </w:p>
    <w:bookmarkEnd w:id="56"/>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2"/>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5662BD32"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7"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7"/>
    </w:p>
    <w:p w14:paraId="1F71FEC7" w14:textId="37A4AD67" w:rsidR="007C7503" w:rsidRPr="0045539C" w:rsidRDefault="007C7503" w:rsidP="007E1293">
      <w:pPr>
        <w:pStyle w:val="Level2"/>
        <w:widowControl w:val="0"/>
        <w:spacing w:before="140" w:after="0"/>
        <w:rPr>
          <w:rFonts w:cs="Arial"/>
          <w:b/>
          <w:szCs w:val="20"/>
        </w:rPr>
      </w:pPr>
      <w:bookmarkStart w:id="58" w:name="_Ref521692073"/>
      <w:r w:rsidRPr="0045539C">
        <w:rPr>
          <w:rFonts w:cs="Arial"/>
          <w:b/>
          <w:szCs w:val="20"/>
        </w:rPr>
        <w:t>Quantidade</w:t>
      </w:r>
      <w:r w:rsidR="00764A7B" w:rsidRPr="0045539C">
        <w:rPr>
          <w:rFonts w:cs="Arial"/>
          <w:b/>
          <w:szCs w:val="20"/>
        </w:rPr>
        <w:t xml:space="preserve"> de Debêntures</w:t>
      </w:r>
      <w:bookmarkEnd w:id="58"/>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59"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59"/>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09394C4B" w:rsidR="00BD6CCD" w:rsidRPr="007E1293" w:rsidRDefault="007C7503" w:rsidP="007E1293">
      <w:pPr>
        <w:pStyle w:val="Level3"/>
        <w:widowControl w:val="0"/>
        <w:spacing w:before="140" w:after="0"/>
        <w:rPr>
          <w:rFonts w:eastAsia="Times New Roman"/>
          <w:b/>
          <w:szCs w:val="20"/>
        </w:rPr>
      </w:pPr>
      <w:bookmarkStart w:id="60"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7C56F6">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0"/>
      <w:r w:rsidR="00BD6CCD" w:rsidRPr="007E1293">
        <w:rPr>
          <w:rFonts w:eastAsia="Times New Roman"/>
          <w:szCs w:val="20"/>
        </w:rPr>
        <w:t xml:space="preserve"> </w:t>
      </w:r>
    </w:p>
    <w:p w14:paraId="1BB4331D" w14:textId="21B2632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7C56F6">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1" w:name="_Hlk22249778"/>
      <w:r w:rsidRPr="00BD6CCD">
        <w:rPr>
          <w:rFonts w:eastAsia="Times New Roman"/>
          <w:szCs w:val="20"/>
        </w:rPr>
        <w:t xml:space="preserve">nas séries remanescentes, </w:t>
      </w:r>
      <w:bookmarkEnd w:id="61"/>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2"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w:t>
      </w:r>
      <w:r w:rsidRPr="009D7BAB">
        <w:rPr>
          <w:szCs w:val="20"/>
        </w:rPr>
        <w:lastRenderedPageBreak/>
        <w:t xml:space="preserve">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2"/>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63" w:name="_Ref4483360"/>
      <w:bookmarkStart w:id="64"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63"/>
      <w:bookmarkEnd w:id="64"/>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5"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5"/>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w:t>
      </w:r>
      <w:r w:rsidR="00F54044" w:rsidRPr="0045539C">
        <w:lastRenderedPageBreak/>
        <w:t xml:space="preserve">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6"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7" w:name="_Hlk71658045"/>
      <w:bookmarkEnd w:id="66"/>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68" w:name="_Hlk71656458"/>
      <w:bookmarkEnd w:id="6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FBB823A" w:rsidR="006F1C3D" w:rsidRPr="0045539C" w:rsidRDefault="00212ED2" w:rsidP="007E1293">
      <w:pPr>
        <w:pStyle w:val="Level3"/>
        <w:widowControl w:val="0"/>
        <w:spacing w:before="140" w:after="0"/>
        <w:rPr>
          <w:szCs w:val="20"/>
        </w:rPr>
      </w:pPr>
      <w:bookmarkStart w:id="69" w:name="_DV_M176"/>
      <w:bookmarkStart w:id="70" w:name="_DV_M182"/>
      <w:bookmarkStart w:id="71" w:name="_DV_M184"/>
      <w:bookmarkStart w:id="72" w:name="_Ref435688993"/>
      <w:bookmarkEnd w:id="69"/>
      <w:bookmarkEnd w:id="70"/>
      <w:bookmarkEnd w:id="7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r w:rsidR="00163518" w:rsidRPr="007E1293">
        <w:rPr>
          <w:i/>
          <w:iCs/>
          <w:szCs w:val="20"/>
        </w:rPr>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lastRenderedPageBreak/>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lastRenderedPageBreak/>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2"/>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3" w:name="_Ref440269418"/>
      <w:bookmarkStart w:id="74" w:name="_DV_C96"/>
      <w:bookmarkEnd w:id="6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51D1F43" w:rsidR="008E202B" w:rsidRPr="0045539C" w:rsidRDefault="006F1C3D" w:rsidP="007E1293">
      <w:pPr>
        <w:pStyle w:val="Level3"/>
        <w:widowControl w:val="0"/>
        <w:spacing w:before="140" w:after="0"/>
      </w:pPr>
      <w:bookmarkStart w:id="75" w:name="_Ref137107438"/>
      <w:bookmarkStart w:id="76" w:name="_Ref168843123"/>
      <w:bookmarkStart w:id="77" w:name="_Ref210749176"/>
      <w:bookmarkStart w:id="7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5"/>
      <w:bookmarkEnd w:id="76"/>
      <w:bookmarkEnd w:id="77"/>
      <w:r w:rsidRPr="0045539C">
        <w:t>da Taxa Substitutiva.</w:t>
      </w:r>
      <w:bookmarkEnd w:id="78"/>
      <w:r w:rsidR="00F86252">
        <w:t xml:space="preserve"> </w:t>
      </w:r>
    </w:p>
    <w:p w14:paraId="1F3A2B87" w14:textId="165BC24D" w:rsidR="004C0CB6" w:rsidRPr="0045539C" w:rsidRDefault="008E202B" w:rsidP="007E1293">
      <w:pPr>
        <w:pStyle w:val="Level3"/>
        <w:widowControl w:val="0"/>
        <w:spacing w:before="140" w:after="0"/>
      </w:pPr>
      <w:r w:rsidRPr="0045539C">
        <w:lastRenderedPageBreak/>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C56F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C56F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7C56F6">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3"/>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4"/>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79"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79"/>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lastRenderedPageBreak/>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0" w:name="_Ref440552532"/>
      <w:r w:rsidRPr="00584D8A">
        <w:rPr>
          <w:b/>
        </w:rPr>
        <w:t>Pagamento do Valor Nominal Unitário</w:t>
      </w:r>
      <w:bookmarkEnd w:id="80"/>
      <w:r w:rsidR="00AA6AAA" w:rsidRPr="00584D8A">
        <w:rPr>
          <w:b/>
        </w:rPr>
        <w:t xml:space="preserve"> das Debêntures</w:t>
      </w:r>
    </w:p>
    <w:p w14:paraId="2EDAB75E" w14:textId="6CD55235" w:rsidR="00AA6AAA" w:rsidRPr="00CE5B5E" w:rsidRDefault="00AA6AAA" w:rsidP="00584D8A">
      <w:pPr>
        <w:pStyle w:val="Level3"/>
        <w:widowControl w:val="0"/>
        <w:spacing w:before="140" w:after="0"/>
        <w:rPr>
          <w:szCs w:val="20"/>
        </w:rPr>
      </w:pPr>
      <w:bookmarkStart w:id="81"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xml:space="preserve">, o saldo do Valor Nominal Unitário das Debêntures da Segunda Série será amortizado em parcelas anuais, a partir do </w:t>
      </w:r>
      <w:r>
        <w:lastRenderedPageBreak/>
        <w:t>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1"/>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2"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83" w:name="_Ref481077719"/>
      <w:bookmarkStart w:id="84" w:name="_Ref522709370"/>
      <w:r w:rsidRPr="0045539C">
        <w:rPr>
          <w:bCs/>
          <w:szCs w:val="20"/>
        </w:rPr>
        <w:t xml:space="preserve">A Emissora poderá, </w:t>
      </w:r>
      <w:r w:rsidRPr="0045539C">
        <w:rPr>
          <w:szCs w:val="20"/>
        </w:rPr>
        <w:t xml:space="preserve">a qualquer momento </w:t>
      </w:r>
      <w:bookmarkStart w:id="85"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85"/>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3"/>
      <w:r w:rsidRPr="0045539C">
        <w:rPr>
          <w:snapToGrid w:val="0"/>
          <w:szCs w:val="20"/>
        </w:rPr>
        <w:t>nas Cláusulas abaixo:</w:t>
      </w:r>
      <w:bookmarkEnd w:id="84"/>
      <w:r w:rsidRPr="0045539C">
        <w:rPr>
          <w:snapToGrid w:val="0"/>
          <w:szCs w:val="20"/>
        </w:rPr>
        <w:t xml:space="preserve"> </w:t>
      </w:r>
    </w:p>
    <w:p w14:paraId="26E7AB99" w14:textId="7B914560"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449E2AEA" w:rsidR="002E533B" w:rsidRDefault="002E533B" w:rsidP="002E533B">
      <w:pPr>
        <w:pStyle w:val="Level4"/>
        <w:widowControl w:val="0"/>
        <w:spacing w:before="140" w:after="0"/>
      </w:pPr>
      <w:bookmarkStart w:id="86"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6"/>
      <w:r w:rsidRPr="000136F7">
        <w:t xml:space="preserve"> </w:t>
      </w:r>
    </w:p>
    <w:p w14:paraId="62602345" w14:textId="77777777" w:rsidR="006076E4" w:rsidRDefault="006076E4" w:rsidP="006076E4">
      <w:pPr>
        <w:pStyle w:val="Level4"/>
        <w:numPr>
          <w:ilvl w:val="0"/>
          <w:numId w:val="0"/>
        </w:numPr>
        <w:spacing w:before="140"/>
        <w:ind w:left="2041"/>
        <w:jc w:val="center"/>
      </w:pPr>
      <w:r>
        <w:lastRenderedPageBreak/>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t>du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87"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7"/>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88"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88"/>
    <w:p w14:paraId="03A1FD97" w14:textId="77777777" w:rsidR="002E533B" w:rsidRDefault="002E533B" w:rsidP="002E533B">
      <w:pPr>
        <w:pStyle w:val="Level3"/>
        <w:widowControl w:val="0"/>
        <w:spacing w:before="140" w:after="0"/>
      </w:pPr>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4978AAB4"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454A6E4A"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7C56F6">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w:t>
      </w:r>
      <w:r w:rsidRPr="0045539C">
        <w:lastRenderedPageBreak/>
        <w:t xml:space="preserve">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89" w:name="_Ref4477053"/>
      <w:bookmarkStart w:id="9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89"/>
      <w:bookmarkEnd w:id="90"/>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6ABCD46C"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7C56F6">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1" w:name="_Ref65499558"/>
      <w:bookmarkEnd w:id="82"/>
      <w:r>
        <w:rPr>
          <w:b/>
        </w:rPr>
        <w:lastRenderedPageBreak/>
        <w:t>Aquisição Facultativa</w:t>
      </w:r>
    </w:p>
    <w:p w14:paraId="4B89F1C3" w14:textId="2BB78A07"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7C56F6">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1"/>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92" w:name="_Hlk67088752"/>
      <w:r>
        <w:t>, que deverá ser um Dia Útil</w:t>
      </w:r>
      <w:bookmarkEnd w:id="92"/>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lastRenderedPageBreak/>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4E22F14D"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3" w:name="_Ref509243874"/>
      <w:r w:rsidRPr="0045539C">
        <w:rPr>
          <w:rFonts w:cs="Arial"/>
          <w:b/>
          <w:szCs w:val="20"/>
        </w:rPr>
        <w:t>Local de Pagamento</w:t>
      </w:r>
      <w:bookmarkEnd w:id="93"/>
    </w:p>
    <w:p w14:paraId="6B98396D" w14:textId="5BA9B3DD"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51308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94" w:name="_Ref65499440"/>
      <w:bookmarkStart w:id="95" w:name="_Hlk71658167"/>
      <w:r w:rsidRPr="0045539C">
        <w:rPr>
          <w:rFonts w:cs="Arial"/>
          <w:b/>
          <w:szCs w:val="20"/>
        </w:rPr>
        <w:t>Prorrogação dos Prazos</w:t>
      </w:r>
      <w:bookmarkEnd w:id="94"/>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 xml:space="preserve">Considerar-se-ão prorrogados os prazos referentes ao pagamento de qualquer obrigação prevista nesta Escritura de Emissão até o 1º (primeiro) Dia Útil </w:t>
      </w:r>
      <w:r w:rsidRPr="0045539C">
        <w:lastRenderedPageBreak/>
        <w:t>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6" w:name="_Ref508983538"/>
      <w:bookmarkStart w:id="97" w:name="_Hlk71657942"/>
      <w:bookmarkEnd w:id="95"/>
      <w:r w:rsidRPr="0045539C">
        <w:rPr>
          <w:rFonts w:cs="Arial"/>
          <w:b/>
          <w:szCs w:val="20"/>
        </w:rPr>
        <w:t>Encargos Moratórios</w:t>
      </w:r>
      <w:bookmarkEnd w:id="96"/>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98" w:name="_DV_M210"/>
      <w:bookmarkStart w:id="99" w:name="_Ref3276263"/>
      <w:bookmarkEnd w:id="97"/>
      <w:bookmarkEnd w:id="98"/>
      <w:r w:rsidRPr="0045539C">
        <w:rPr>
          <w:rFonts w:cs="Arial"/>
          <w:b/>
          <w:szCs w:val="20"/>
        </w:rPr>
        <w:t>Decadência dos Direitos aos Acréscimos</w:t>
      </w:r>
      <w:bookmarkEnd w:id="99"/>
    </w:p>
    <w:p w14:paraId="34F1721A" w14:textId="3F82939E"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7C56F6">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0" w:name="_Ref435655112"/>
      <w:r w:rsidRPr="0045539C">
        <w:rPr>
          <w:rFonts w:cs="Arial"/>
          <w:b/>
          <w:szCs w:val="20"/>
        </w:rPr>
        <w:t>Publicidade</w:t>
      </w:r>
      <w:bookmarkEnd w:id="100"/>
    </w:p>
    <w:p w14:paraId="4D99E350" w14:textId="5662E2CF" w:rsidR="003D2982" w:rsidRPr="0045539C" w:rsidRDefault="001828E0" w:rsidP="007E1293">
      <w:pPr>
        <w:pStyle w:val="Level3"/>
        <w:widowControl w:val="0"/>
        <w:spacing w:before="140" w:after="0"/>
        <w:rPr>
          <w:b/>
          <w:szCs w:val="20"/>
        </w:rPr>
      </w:pPr>
      <w:bookmarkStart w:id="101" w:name="_Ref508572745"/>
      <w:bookmarkStart w:id="10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1"/>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2"/>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3" w:name="_Ref435690063"/>
      <w:r w:rsidRPr="0045539C">
        <w:t xml:space="preserve">Caso qualquer Debenturista goze de algum tipo de imunidade ou isenção </w:t>
      </w:r>
      <w:r w:rsidRPr="0045539C">
        <w:lastRenderedPageBreak/>
        <w:t xml:space="preserve">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3"/>
    </w:p>
    <w:p w14:paraId="5324A0C7" w14:textId="52CDBEB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C0BCD31"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7C56F6">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4" w:name="_DV_M232"/>
      <w:bookmarkStart w:id="105" w:name="_Ref65499509"/>
      <w:bookmarkStart w:id="106" w:name="_Hlk71657853"/>
      <w:bookmarkEnd w:id="104"/>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107"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107"/>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5"/>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06"/>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08" w:name="_Ref516659883"/>
      <w:bookmarkStart w:id="109" w:name="_Ref479197610"/>
      <w:r w:rsidRPr="0045539C">
        <w:rPr>
          <w:rFonts w:cs="Arial"/>
          <w:b/>
          <w:szCs w:val="20"/>
        </w:rPr>
        <w:t>Garantias</w:t>
      </w:r>
      <w:r w:rsidR="001828E0" w:rsidRPr="0045539C">
        <w:rPr>
          <w:rFonts w:cs="Arial"/>
          <w:b/>
          <w:szCs w:val="20"/>
        </w:rPr>
        <w:t xml:space="preserve"> Reais</w:t>
      </w:r>
      <w:bookmarkEnd w:id="108"/>
    </w:p>
    <w:p w14:paraId="03F43966" w14:textId="54714D19" w:rsidR="009A1A8B" w:rsidRPr="00FA206D" w:rsidRDefault="00295A29" w:rsidP="00723D6F">
      <w:pPr>
        <w:pStyle w:val="Level3"/>
        <w:widowControl w:val="0"/>
        <w:spacing w:before="140" w:after="0"/>
        <w:ind w:hanging="682"/>
        <w:rPr>
          <w:szCs w:val="20"/>
        </w:rPr>
      </w:pPr>
      <w:bookmarkStart w:id="110" w:name="_Ref4485221"/>
      <w:bookmarkStart w:id="111" w:name="_Ref479324215"/>
      <w:bookmarkEnd w:id="109"/>
      <w:r w:rsidRPr="0045539C">
        <w:lastRenderedPageBreak/>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(ii)</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(iii)</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12" w:name="_Ref401068819"/>
      <w:bookmarkStart w:id="113" w:name="_Ref535169967"/>
      <w:bookmarkEnd w:id="110"/>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e Direitos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 xml:space="preserve">Garantidora, a </w:t>
      </w:r>
      <w:r w:rsidR="00B25CF5" w:rsidRPr="00FA206D">
        <w:rPr>
          <w:szCs w:val="20"/>
        </w:rPr>
        <w:t>Emissora e o Agente Fiduciário na qualidade de representante dos Debenturistas</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12"/>
      <w:bookmarkEnd w:id="113"/>
      <w:r w:rsidR="005202AF">
        <w:t xml:space="preserve"> </w:t>
      </w:r>
    </w:p>
    <w:bookmarkEnd w:id="111"/>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 xml:space="preserve">O Coordenador Líder organizará a distribuição e colocação das Debêntures, </w:t>
      </w:r>
      <w:r w:rsidRPr="0045539C">
        <w:rPr>
          <w:szCs w:val="20"/>
        </w:rPr>
        <w:lastRenderedPageBreak/>
        <w:t>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4" w:name="_Ref516666996"/>
      <w:bookmarkStart w:id="11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4"/>
    </w:p>
    <w:p w14:paraId="05E1A30D" w14:textId="19D22724"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C56F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6" w:name="_Hlk67511287"/>
      <w:r w:rsidRPr="0045539C">
        <w:t>O prazo de colocação e distribuição pública das Debêntures seguirá as regras definidas na Instrução CVM 476</w:t>
      </w:r>
      <w:r w:rsidR="00915ADF" w:rsidRPr="0045539C">
        <w:t>;</w:t>
      </w:r>
    </w:p>
    <w:bookmarkEnd w:id="116"/>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7"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18" w:name="_Ref74684456"/>
      <w:r>
        <w:lastRenderedPageBreak/>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18"/>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2660ECA3"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7C56F6">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19" w:name="_Ref497842157"/>
      <w:bookmarkEnd w:id="117"/>
      <w:r w:rsidRPr="0045539C">
        <w:t xml:space="preserve">CLÁUSULA OITAVA - </w:t>
      </w:r>
      <w:r w:rsidR="00E87272" w:rsidRPr="0045539C">
        <w:t>VENCIMENTO ANTECIPADO</w:t>
      </w:r>
      <w:bookmarkStart w:id="120" w:name="_Ref435666640"/>
      <w:bookmarkEnd w:id="115"/>
      <w:bookmarkEnd w:id="119"/>
    </w:p>
    <w:p w14:paraId="5012949F" w14:textId="5ED4E8D9" w:rsidR="0015036F" w:rsidRPr="00655E0E" w:rsidRDefault="0015036F" w:rsidP="007E1293">
      <w:pPr>
        <w:pStyle w:val="Level2"/>
        <w:widowControl w:val="0"/>
        <w:spacing w:before="140" w:after="0"/>
      </w:pPr>
      <w:bookmarkStart w:id="121" w:name="_Ref507427659"/>
      <w:bookmarkStart w:id="122" w:name="_Ref392008548"/>
      <w:bookmarkStart w:id="123" w:name="_Ref435654812"/>
      <w:bookmarkStart w:id="124" w:name="_Ref439944675"/>
      <w:bookmarkStart w:id="125" w:name="_Ref435693772"/>
      <w:bookmarkEnd w:id="12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7C56F6">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7C56F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7C56F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1"/>
      <w:r w:rsidR="00026EE0">
        <w:t xml:space="preserve"> </w:t>
      </w:r>
    </w:p>
    <w:p w14:paraId="73DC70B3" w14:textId="445C430D" w:rsidR="001064A5" w:rsidRPr="0045539C" w:rsidRDefault="0015036F" w:rsidP="007E1293">
      <w:pPr>
        <w:pStyle w:val="Level3"/>
        <w:widowControl w:val="0"/>
        <w:spacing w:before="140" w:after="0"/>
        <w:rPr>
          <w:szCs w:val="20"/>
        </w:rPr>
      </w:pPr>
      <w:bookmarkStart w:id="126" w:name="_Ref356481657"/>
      <w:bookmarkStart w:id="12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C56F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2"/>
      <w:bookmarkEnd w:id="123"/>
      <w:bookmarkEnd w:id="124"/>
      <w:bookmarkEnd w:id="126"/>
      <w:r w:rsidR="00BB1D99" w:rsidRPr="0045539C">
        <w:t xml:space="preserve"> </w:t>
      </w:r>
      <w:bookmarkEnd w:id="127"/>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28" w:name="_Ref137475231"/>
      <w:bookmarkStart w:id="129" w:name="_Ref149033996"/>
      <w:bookmarkStart w:id="130" w:name="_Ref164238998"/>
      <w:bookmarkStart w:id="131"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28"/>
      <w:bookmarkEnd w:id="129"/>
      <w:bookmarkEnd w:id="130"/>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2" w:name="_Ref3890139"/>
      <w:bookmarkEnd w:id="131"/>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2"/>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w:t>
      </w:r>
      <w:r w:rsidR="005E601C">
        <w:lastRenderedPageBreak/>
        <w:t>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3"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3"/>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73B73E44"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7C56F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 xml:space="preserve">da </w:t>
      </w:r>
      <w:r w:rsidRPr="00E963E5">
        <w:lastRenderedPageBreak/>
        <w:t>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4622F97A" w:rsidR="00873F55" w:rsidRPr="0045539C" w:rsidRDefault="005A44E0" w:rsidP="00723D6F">
      <w:pPr>
        <w:pStyle w:val="Level4"/>
        <w:widowControl w:val="0"/>
        <w:numPr>
          <w:ilvl w:val="3"/>
          <w:numId w:val="9"/>
        </w:numPr>
        <w:tabs>
          <w:tab w:val="left" w:pos="2041"/>
        </w:tabs>
        <w:spacing w:before="140" w:after="0"/>
      </w:pPr>
      <w:bookmarkStart w:id="134" w:name="_Ref531280969"/>
      <w:bookmarkStart w:id="13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C56F6">
        <w:t>4</w:t>
      </w:r>
      <w:r w:rsidRPr="0045539C">
        <w:rPr>
          <w:highlight w:val="yellow"/>
        </w:rPr>
        <w:fldChar w:fldCharType="end"/>
      </w:r>
      <w:r w:rsidRPr="0045539C">
        <w:t xml:space="preserve"> acima</w:t>
      </w:r>
      <w:bookmarkEnd w:id="134"/>
      <w:bookmarkEnd w:id="135"/>
      <w:r w:rsidR="00D12FB2">
        <w:t>.</w:t>
      </w:r>
      <w:r w:rsidR="004A2342">
        <w:t xml:space="preserve"> </w:t>
      </w:r>
    </w:p>
    <w:p w14:paraId="4D192BF7" w14:textId="6D146F84" w:rsidR="00586AB7" w:rsidRPr="0045539C" w:rsidRDefault="0081369D" w:rsidP="007E1293">
      <w:pPr>
        <w:pStyle w:val="Level3"/>
        <w:widowControl w:val="0"/>
        <w:spacing w:before="140" w:after="0"/>
        <w:ind w:left="1360" w:hanging="680"/>
        <w:rPr>
          <w:b/>
        </w:rPr>
      </w:pPr>
      <w:bookmarkStart w:id="136" w:name="_Ref356481704"/>
      <w:bookmarkStart w:id="137" w:name="_Ref359943338"/>
      <w:bookmarkStart w:id="138" w:name="_Ref435660904"/>
      <w:bookmarkStart w:id="139" w:name="_Ref498608244"/>
      <w:bookmarkStart w:id="140" w:name="_Ref500784655"/>
      <w:bookmarkStart w:id="141"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C56F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6"/>
      <w:bookmarkEnd w:id="137"/>
      <w:bookmarkEnd w:id="138"/>
      <w:bookmarkEnd w:id="139"/>
      <w:bookmarkEnd w:id="140"/>
    </w:p>
    <w:bookmarkEnd w:id="141"/>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lastRenderedPageBreak/>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5683D090"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7C56F6">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7C56F6">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2" w:name="_Hlk64281647"/>
      <w:r w:rsidR="00A97F9B" w:rsidRPr="001F6B7D">
        <w:t xml:space="preserve">nas Demonstrações Financeiras Auditadas </w:t>
      </w:r>
      <w:bookmarkEnd w:id="142"/>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w:t>
      </w:r>
      <w:r w:rsidRPr="00A00168">
        <w:lastRenderedPageBreak/>
        <w:t xml:space="preserve">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43"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44" w:name="_Hlk62765507"/>
      <w:r w:rsidR="001E1AE9" w:rsidRPr="001F6B7D">
        <w:t xml:space="preserve">Dívida Líquida/EBITDA </w:t>
      </w:r>
      <w:bookmarkEnd w:id="144"/>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3"/>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45" w:name="_Hlk75453245"/>
      <w:r>
        <w:t>“</w:t>
      </w:r>
      <w:r>
        <w:rPr>
          <w:b/>
          <w:bCs/>
        </w:rPr>
        <w:t>Dívida Bruta</w:t>
      </w:r>
      <w:r>
        <w:t>” corresponde à soma (i) d</w:t>
      </w:r>
      <w:r w:rsidR="00544469">
        <w:t>e</w:t>
      </w:r>
      <w:r>
        <w:t xml:space="preserve"> empréstimos e financiamentos (circulante e não circulante), e (ii) debêntures (circulante e não circulante);</w:t>
      </w:r>
    </w:p>
    <w:p w14:paraId="373BF5D4" w14:textId="2B8AE97C"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45"/>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0518624B" w:rsidR="00E5067B" w:rsidRPr="00CE7852" w:rsidRDefault="00E5067B" w:rsidP="007E1293">
      <w:pPr>
        <w:pStyle w:val="Level5"/>
        <w:widowControl w:val="0"/>
        <w:numPr>
          <w:ilvl w:val="0"/>
          <w:numId w:val="0"/>
        </w:numPr>
        <w:spacing w:before="140" w:after="0"/>
        <w:ind w:left="2127"/>
        <w:rPr>
          <w:b/>
          <w:highlight w:val="yellow"/>
        </w:rPr>
      </w:pPr>
      <w:bookmarkStart w:id="146" w:name="_Hlk75453253"/>
      <w:r w:rsidRPr="00CE7852">
        <w:t>“</w:t>
      </w:r>
      <w:r w:rsidRPr="00CE7852">
        <w:rPr>
          <w:b/>
        </w:rPr>
        <w:t>EBITDA</w:t>
      </w:r>
      <w:r w:rsidRPr="00CE7852">
        <w:t xml:space="preserve">” </w:t>
      </w:r>
      <w:bookmarkEnd w:id="146"/>
      <w:r w:rsidR="000E0EDA">
        <w:t xml:space="preserve">consiste no lucro (prejuízo) líquido da Companhia acrescido </w:t>
      </w:r>
      <w:r w:rsidR="000E0EDA">
        <w:lastRenderedPageBreak/>
        <w:t>do resultado financeiro líquido, do imposto de renda e contribuição social (corrente e diferida) e dos custos e despesas de depreciação e amortização</w:t>
      </w:r>
      <w:r w:rsidR="004F33E1">
        <w:t xml:space="preserve"> dos últimos 12 meses</w:t>
      </w:r>
      <w:r w:rsidR="000E0EDA">
        <w:t xml:space="preserve">. </w:t>
      </w:r>
    </w:p>
    <w:p w14:paraId="70FC1E12" w14:textId="00F40FF9"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7C56F6">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7852178B"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47"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47"/>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090D5A2A"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7C56F6">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208EB6AF" w:rsidR="00890322" w:rsidRPr="00882195" w:rsidRDefault="00890322" w:rsidP="00450BFC">
      <w:pPr>
        <w:pStyle w:val="Level4"/>
        <w:widowControl w:val="0"/>
        <w:numPr>
          <w:ilvl w:val="3"/>
          <w:numId w:val="10"/>
        </w:numPr>
        <w:tabs>
          <w:tab w:val="clear" w:pos="2041"/>
        </w:tabs>
        <w:spacing w:before="140" w:after="0"/>
        <w:rPr>
          <w:b/>
          <w:bCs/>
        </w:rPr>
      </w:pPr>
      <w:r>
        <w:t>caso o fluxo mensal da Emissora seja inferior</w:t>
      </w:r>
      <w:r w:rsidR="00D12FB2">
        <w:t xml:space="preserve"> ao Fluxo Mínimo</w:t>
      </w:r>
      <w:r w:rsidR="00BA4C0C">
        <w:t xml:space="preserve"> (conforme definido no Contrato de Garantia)</w:t>
      </w:r>
      <w:r>
        <w:t>, por 2 (dois) meses consecutivos ou 3 (três) meses nos 12 (doze) meses imediatamente anteriores, conforme vier a ser apurado pelo Agente Fiduciário nos termos do Contrato de Garantia;</w:t>
      </w:r>
      <w:r w:rsidR="00D12FB2">
        <w:t xml:space="preserve"> </w:t>
      </w:r>
    </w:p>
    <w:p w14:paraId="6795B723" w14:textId="5195EACD" w:rsidR="00673E73" w:rsidRDefault="00076C19" w:rsidP="00450BFC">
      <w:pPr>
        <w:pStyle w:val="Level4"/>
        <w:widowControl w:val="0"/>
        <w:numPr>
          <w:ilvl w:val="3"/>
          <w:numId w:val="10"/>
        </w:numPr>
        <w:tabs>
          <w:tab w:val="clear" w:pos="2041"/>
        </w:tabs>
        <w:spacing w:before="140" w:after="0"/>
        <w:rPr>
          <w:rFonts w:cs="Tahoma"/>
        </w:rPr>
      </w:pPr>
      <w:r w:rsidRPr="001F6B7D">
        <w:lastRenderedPageBreak/>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5FD4DC5A" w:rsidR="00012007" w:rsidRPr="0045539C" w:rsidRDefault="00012007" w:rsidP="007E1293">
      <w:pPr>
        <w:pStyle w:val="Level2"/>
        <w:widowControl w:val="0"/>
        <w:spacing w:before="140" w:after="0"/>
      </w:pPr>
      <w:bookmarkStart w:id="148" w:name="_Ref130283217"/>
      <w:bookmarkStart w:id="149" w:name="_Ref169028300"/>
      <w:bookmarkStart w:id="150" w:name="_Ref278369126"/>
      <w:bookmarkStart w:id="151" w:name="_Ref474855533"/>
      <w:bookmarkEnd w:id="125"/>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C56F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48"/>
      <w:bookmarkEnd w:id="149"/>
      <w:bookmarkEnd w:id="150"/>
    </w:p>
    <w:p w14:paraId="34F9A350" w14:textId="65DAE9BD" w:rsidR="00C767DA" w:rsidRPr="0045539C" w:rsidRDefault="00012007" w:rsidP="007E1293">
      <w:pPr>
        <w:pStyle w:val="Level2"/>
        <w:widowControl w:val="0"/>
        <w:spacing w:before="140" w:after="0"/>
        <w:rPr>
          <w:rFonts w:cs="Arial"/>
          <w:b/>
          <w:szCs w:val="20"/>
        </w:rPr>
      </w:pPr>
      <w:bookmarkStart w:id="152" w:name="_Ref516847073"/>
      <w:bookmarkStart w:id="153" w:name="_Ref130283218"/>
      <w:bookmarkStart w:id="15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C56F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8DE0F7D" w:rsidR="00C767DA" w:rsidRPr="0045539C" w:rsidRDefault="00C767DA" w:rsidP="007E1293">
      <w:pPr>
        <w:pStyle w:val="Level2"/>
        <w:widowControl w:val="0"/>
        <w:spacing w:before="140" w:after="0"/>
        <w:rPr>
          <w:rFonts w:cs="Arial"/>
          <w:b/>
          <w:szCs w:val="20"/>
        </w:rPr>
      </w:pPr>
      <w:bookmarkStart w:id="155" w:name="_Ref392008629"/>
      <w:bookmarkStart w:id="156" w:name="_Ref439944731"/>
      <w:bookmarkStart w:id="15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55"/>
      <w:bookmarkEnd w:id="156"/>
      <w:r w:rsidRPr="0045539C">
        <w:rPr>
          <w:rFonts w:cs="Arial"/>
          <w:szCs w:val="20"/>
        </w:rPr>
        <w:t>.</w:t>
      </w:r>
      <w:bookmarkEnd w:id="157"/>
    </w:p>
    <w:p w14:paraId="268D5A5E" w14:textId="36E7C3D2" w:rsidR="00C767DA" w:rsidRPr="0045539C" w:rsidRDefault="00C767DA" w:rsidP="007E1293">
      <w:pPr>
        <w:pStyle w:val="Level2"/>
        <w:widowControl w:val="0"/>
        <w:spacing w:before="140" w:after="0"/>
        <w:rPr>
          <w:rFonts w:cs="Arial"/>
          <w:szCs w:val="20"/>
        </w:rPr>
      </w:pPr>
      <w:bookmarkStart w:id="158" w:name="_Ref416258031"/>
      <w:bookmarkStart w:id="15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C56F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58"/>
      <w:bookmarkEnd w:id="159"/>
    </w:p>
    <w:p w14:paraId="017C3649" w14:textId="5A0A1013" w:rsidR="00F019F2" w:rsidRPr="0045539C" w:rsidRDefault="00F019F2" w:rsidP="007E1293">
      <w:pPr>
        <w:pStyle w:val="Level2"/>
        <w:widowControl w:val="0"/>
        <w:spacing w:before="140" w:after="0"/>
      </w:pPr>
      <w:bookmarkStart w:id="160" w:name="_Ref514689054"/>
      <w:bookmarkStart w:id="161" w:name="_Ref470625528"/>
      <w:bookmarkStart w:id="162" w:name="_Ref507429726"/>
      <w:bookmarkStart w:id="163" w:name="_Ref514359861"/>
      <w:bookmarkStart w:id="164" w:name="_Ref510432575"/>
      <w:r w:rsidRPr="0045539C">
        <w:t>N</w:t>
      </w:r>
      <w:bookmarkStart w:id="165" w:name="_Ref534176563"/>
      <w:r w:rsidRPr="0045539C">
        <w:t xml:space="preserve">a ocorrência do vencimento antecipado das Debêntures, a Emissora obriga-se a </w:t>
      </w:r>
      <w:r>
        <w:t>pagar</w:t>
      </w:r>
      <w:r w:rsidRPr="0045539C">
        <w:t xml:space="preserve"> a totalidade das Debêntures</w:t>
      </w:r>
      <w:bookmarkStart w:id="16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66"/>
      <w:r w:rsidRPr="0045539C">
        <w:t xml:space="preserve">, observados os procedimentos estabelecidos </w:t>
      </w:r>
      <w:r w:rsidR="00E01395">
        <w:t>nos itens</w:t>
      </w:r>
      <w:r w:rsidRPr="0045539C">
        <w:t xml:space="preserve"> abaixo.</w:t>
      </w:r>
      <w:bookmarkEnd w:id="160"/>
      <w:bookmarkEnd w:id="165"/>
      <w:r w:rsidRPr="0045539C">
        <w:t xml:space="preserve"> </w:t>
      </w:r>
      <w:bookmarkEnd w:id="161"/>
    </w:p>
    <w:bookmarkEnd w:id="162"/>
    <w:bookmarkEnd w:id="163"/>
    <w:bookmarkEnd w:id="164"/>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416392E1"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67" w:name="_Ref470204567"/>
      <w:r w:rsidRPr="0045539C">
        <w:t>o</w:t>
      </w:r>
      <w:bookmarkEnd w:id="167"/>
      <w:r w:rsidRPr="0045539C">
        <w:t xml:space="preserve"> das Debêntures</w:t>
      </w:r>
      <w:bookmarkStart w:id="168" w:name="_Ref474855556"/>
      <w:r w:rsidRPr="0045539C">
        <w:t>.</w:t>
      </w:r>
      <w:bookmarkEnd w:id="168"/>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7C56F6">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69" w:name="_DV_C43"/>
      <w:bookmarkStart w:id="170" w:name="_Ref359943492"/>
      <w:bookmarkStart w:id="171" w:name="_Ref483833148"/>
      <w:bookmarkEnd w:id="152"/>
      <w:bookmarkEnd w:id="153"/>
      <w:bookmarkEnd w:id="154"/>
      <w:bookmarkEnd w:id="16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w:t>
      </w:r>
      <w:r w:rsidRPr="0045539C">
        <w:rPr>
          <w:szCs w:val="18"/>
        </w:rPr>
        <w:lastRenderedPageBreak/>
        <w:t xml:space="preserve">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1"/>
      <w:bookmarkEnd w:id="170"/>
      <w:bookmarkEnd w:id="171"/>
    </w:p>
    <w:p w14:paraId="7E90A4CA" w14:textId="580FD4B8" w:rsidR="00ED1701" w:rsidRPr="0045539C" w:rsidRDefault="00010A0A" w:rsidP="007E1293">
      <w:pPr>
        <w:pStyle w:val="Level1"/>
        <w:keepNext w:val="0"/>
        <w:keepLines w:val="0"/>
        <w:widowControl w:val="0"/>
        <w:spacing w:before="140" w:after="0"/>
        <w:jc w:val="center"/>
      </w:pPr>
      <w:bookmarkStart w:id="172" w:name="_DV_M446"/>
      <w:bookmarkStart w:id="173" w:name="_DV_M447"/>
      <w:bookmarkStart w:id="174" w:name="_DV_M448"/>
      <w:bookmarkStart w:id="175" w:name="_DV_M449"/>
      <w:bookmarkStart w:id="176" w:name="_DV_M450"/>
      <w:bookmarkStart w:id="177" w:name="_Ref2839556"/>
      <w:bookmarkEnd w:id="172"/>
      <w:bookmarkEnd w:id="173"/>
      <w:bookmarkEnd w:id="174"/>
      <w:bookmarkEnd w:id="175"/>
      <w:bookmarkEnd w:id="176"/>
      <w:r w:rsidRPr="0045539C">
        <w:t xml:space="preserve">CLÁUSULA NONA - </w:t>
      </w:r>
      <w:r w:rsidR="00ED1701" w:rsidRPr="0045539C">
        <w:t>OBRIGAÇÕES ADICIONAIS DA EMISSORA</w:t>
      </w:r>
      <w:r w:rsidR="00D46060" w:rsidRPr="0045539C">
        <w:t xml:space="preserve"> </w:t>
      </w:r>
      <w:bookmarkEnd w:id="177"/>
    </w:p>
    <w:p w14:paraId="0E0EE7E6" w14:textId="7CE32C4C" w:rsidR="00ED1701" w:rsidRPr="00E50984" w:rsidRDefault="00ED1701" w:rsidP="007E1293">
      <w:pPr>
        <w:pStyle w:val="Level2"/>
        <w:widowControl w:val="0"/>
        <w:spacing w:before="140" w:after="0"/>
        <w:rPr>
          <w:rFonts w:cs="Arial"/>
          <w:szCs w:val="20"/>
        </w:rPr>
      </w:pPr>
      <w:bookmarkStart w:id="17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78"/>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79" w:name="_Ref507429088"/>
      <w:bookmarkStart w:id="180" w:name="_Ref2839573"/>
      <w:bookmarkStart w:id="181" w:name="_Ref2885253"/>
      <w:bookmarkStart w:id="182" w:name="_Ref501635536"/>
      <w:r w:rsidRPr="00384055">
        <w:t>fornecer ao Agente Fiduciário</w:t>
      </w:r>
      <w:bookmarkEnd w:id="17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80"/>
      <w:bookmarkEnd w:id="181"/>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83"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184" w:name="_Ref521064225"/>
      <w:bookmarkEnd w:id="183"/>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4"/>
      <w:r w:rsidR="005F0CAF" w:rsidRPr="00835E82">
        <w:t xml:space="preserve"> </w:t>
      </w:r>
    </w:p>
    <w:p w14:paraId="30F3FA86" w14:textId="1944A22C"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7C56F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w:t>
      </w:r>
      <w:r w:rsidR="00012007" w:rsidRPr="00E50984">
        <w:lastRenderedPageBreak/>
        <w:t>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w:t>
      </w:r>
      <w:r w:rsidR="000E69CE" w:rsidRPr="0045539C">
        <w:lastRenderedPageBreak/>
        <w:t>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2"/>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5"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w:t>
      </w:r>
      <w:r w:rsidRPr="003A4607">
        <w:rPr>
          <w:w w:val="0"/>
        </w:rPr>
        <w:lastRenderedPageBreak/>
        <w:t xml:space="preserve">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22AC9B1"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C56F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C56F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lastRenderedPageBreak/>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w:t>
      </w:r>
      <w:r w:rsidRPr="0045539C">
        <w:rPr>
          <w:w w:val="0"/>
        </w:rPr>
        <w:lastRenderedPageBreak/>
        <w:t xml:space="preserve">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86"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86"/>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87"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87"/>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88" w:name="_Hlk67512844"/>
      <w:r w:rsidRPr="00384055">
        <w:t>preparar suas demonstrações financeiras</w:t>
      </w:r>
      <w:bookmarkStart w:id="189" w:name="_DV_C53"/>
      <w:r w:rsidRPr="00384055">
        <w:t xml:space="preserve"> de encerramento de exercício</w:t>
      </w:r>
      <w:bookmarkStart w:id="190" w:name="_DV_M74"/>
      <w:bookmarkEnd w:id="189"/>
      <w:bookmarkEnd w:id="190"/>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1" w:name="_DV_M75"/>
      <w:bookmarkEnd w:id="191"/>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r w:rsidR="00D96423">
        <w:lastRenderedPageBreak/>
        <w:t xml:space="preserve">Deloitte </w:t>
      </w:r>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92"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2"/>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4EA04A26" w:rsidR="00AC631C" w:rsidRPr="000938AB" w:rsidRDefault="00AC631C" w:rsidP="00584D8A">
      <w:pPr>
        <w:pStyle w:val="Level5"/>
        <w:widowControl w:val="0"/>
        <w:tabs>
          <w:tab w:val="clear" w:pos="2721"/>
          <w:tab w:val="left" w:pos="2041"/>
        </w:tabs>
        <w:spacing w:before="140" w:after="0"/>
        <w:ind w:left="2041"/>
      </w:pPr>
      <w:bookmarkStart w:id="193"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7C56F6">
        <w:t>(xxxv)</w:t>
      </w:r>
      <w:r w:rsidR="000F22EF">
        <w:fldChar w:fldCharType="end"/>
      </w:r>
      <w:r w:rsidRPr="000938AB">
        <w:t xml:space="preserve"> em sua página na rede mundial de computadores, por um prazo de 3 (três) anos, e (ii) em sistema disponibilizado pela B3;</w:t>
      </w:r>
      <w:bookmarkEnd w:id="193"/>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7D3BFF5D"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7C56F6">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94" w:name="_Hlk67944487"/>
      <w:r w:rsidRPr="000938AB">
        <w:t>observar as disposições da regulamentação específica editada pela CVM, caso seja convocada, para realização de modo parcial ou exclusivamente digital, Assembleia Geral de Debenturistas.</w:t>
      </w:r>
    </w:p>
    <w:bookmarkEnd w:id="185"/>
    <w:bookmarkEnd w:id="188"/>
    <w:bookmarkEnd w:id="194"/>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95"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96" w:name="_Ref521622931"/>
      <w:r w:rsidRPr="00E93D39">
        <w:rPr>
          <w:rFonts w:cs="Arial"/>
          <w:b/>
          <w:w w:val="0"/>
          <w:szCs w:val="20"/>
        </w:rPr>
        <w:t>Declarações</w:t>
      </w:r>
      <w:bookmarkEnd w:id="196"/>
    </w:p>
    <w:p w14:paraId="39E40864" w14:textId="77777777" w:rsidR="00C870C1" w:rsidRPr="00E93D39" w:rsidRDefault="00C870C1" w:rsidP="007E1293">
      <w:pPr>
        <w:pStyle w:val="Level3"/>
        <w:widowControl w:val="0"/>
        <w:spacing w:before="140" w:after="0"/>
        <w:rPr>
          <w:szCs w:val="20"/>
        </w:rPr>
      </w:pPr>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0"/>
      <w:bookmarkStart w:id="205" w:name="_DV_M313"/>
      <w:bookmarkStart w:id="206" w:name="_DV_M314"/>
      <w:bookmarkEnd w:id="197"/>
      <w:bookmarkEnd w:id="198"/>
      <w:bookmarkEnd w:id="199"/>
      <w:bookmarkEnd w:id="200"/>
      <w:bookmarkEnd w:id="201"/>
      <w:bookmarkEnd w:id="202"/>
      <w:bookmarkEnd w:id="203"/>
      <w:bookmarkEnd w:id="204"/>
      <w:bookmarkEnd w:id="205"/>
      <w:bookmarkEnd w:id="206"/>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w:t>
      </w:r>
      <w:r w:rsidRPr="00E50984">
        <w:rPr>
          <w:szCs w:val="20"/>
        </w:rPr>
        <w:lastRenderedPageBreak/>
        <w:t xml:space="preserve">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07" w:name="_DV_X471"/>
      <w:bookmarkStart w:id="208"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09" w:name="_DV_C423"/>
      <w:bookmarkEnd w:id="207"/>
      <w:bookmarkEnd w:id="208"/>
      <w:r w:rsidRPr="00384055">
        <w:rPr>
          <w:szCs w:val="20"/>
        </w:rPr>
        <w:t xml:space="preserve">está devidamente qualificado a exercer as atividades de agente fiduciário, </w:t>
      </w:r>
      <w:r w:rsidRPr="00384055">
        <w:rPr>
          <w:szCs w:val="20"/>
        </w:rPr>
        <w:lastRenderedPageBreak/>
        <w:t>nos termos da regulamentação aplicável vigente;</w:t>
      </w:r>
      <w:bookmarkEnd w:id="209"/>
    </w:p>
    <w:p w14:paraId="3506C8A4" w14:textId="626980B7" w:rsidR="00C870C1" w:rsidRPr="00E50984" w:rsidRDefault="00C870C1" w:rsidP="007E1293">
      <w:pPr>
        <w:pStyle w:val="Level4"/>
        <w:widowControl w:val="0"/>
        <w:spacing w:before="140" w:after="0"/>
        <w:rPr>
          <w:w w:val="0"/>
          <w:szCs w:val="20"/>
        </w:rPr>
      </w:pPr>
      <w:bookmarkStart w:id="210" w:name="_DV_X465"/>
      <w:bookmarkStart w:id="211"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2" w:name="_DV_C426"/>
      <w:bookmarkEnd w:id="210"/>
      <w:bookmarkEnd w:id="211"/>
      <w:r w:rsidRPr="00E50984">
        <w:rPr>
          <w:szCs w:val="20"/>
        </w:rPr>
        <w:t>, vinculativa e eficaz</w:t>
      </w:r>
      <w:bookmarkStart w:id="213" w:name="_DV_X467"/>
      <w:bookmarkStart w:id="214" w:name="_DV_C427"/>
      <w:bookmarkEnd w:id="212"/>
      <w:r w:rsidRPr="00E50984">
        <w:rPr>
          <w:szCs w:val="20"/>
        </w:rPr>
        <w:t xml:space="preserve"> do Agente Fiduciário, exequível de acordo com os seus termos e condições;</w:t>
      </w:r>
      <w:bookmarkEnd w:id="213"/>
      <w:bookmarkEnd w:id="214"/>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60267114"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7C56F6">
        <w:rPr>
          <w:w w:val="0"/>
          <w:szCs w:val="20"/>
        </w:rPr>
        <w:t>(xviii)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15"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de Agente Fiduciário </w:t>
      </w:r>
      <w:r w:rsidR="001C6FEA">
        <w:t>em emissões de companhias do grupo econômico da Emissora.</w:t>
      </w:r>
    </w:p>
    <w:bookmarkEnd w:id="215"/>
    <w:p w14:paraId="1D960B6C" w14:textId="7BAF686E"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C56F6">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16" w:name="_Ref2884713"/>
      <w:r w:rsidRPr="0045539C">
        <w:rPr>
          <w:rFonts w:cs="Arial"/>
          <w:b/>
          <w:szCs w:val="20"/>
        </w:rPr>
        <w:t>Remuneração do Agente Fiduciário</w:t>
      </w:r>
      <w:bookmarkEnd w:id="216"/>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17"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xml:space="preserve">) por hora-homem de trabalho dedicado a tais fatos bem como à (i) comentários aos documentos da Emissão durante a </w:t>
      </w:r>
      <w:r w:rsidRPr="00873F55">
        <w:rPr>
          <w:szCs w:val="20"/>
        </w:rPr>
        <w:lastRenderedPageBreak/>
        <w:t>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17"/>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lastRenderedPageBreak/>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18" w:name="_Ref435693021"/>
      <w:r w:rsidR="00C870C1" w:rsidRPr="0045539C">
        <w:rPr>
          <w:rFonts w:cs="Arial"/>
          <w:b/>
          <w:szCs w:val="20"/>
        </w:rPr>
        <w:t>Substituição</w:t>
      </w:r>
      <w:bookmarkEnd w:id="218"/>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19"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19"/>
    </w:p>
    <w:p w14:paraId="465434F2" w14:textId="08FCB915"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C56F6">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w:t>
      </w:r>
      <w:r w:rsidRPr="0045539C">
        <w:rPr>
          <w:szCs w:val="20"/>
        </w:rPr>
        <w:lastRenderedPageBreak/>
        <w:t xml:space="preserve">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2A3A3A5"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C56F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 xml:space="preserve">o exercício de </w:t>
      </w:r>
      <w:r w:rsidRPr="00384055">
        <w:rPr>
          <w:szCs w:val="20"/>
        </w:rPr>
        <w:lastRenderedPageBreak/>
        <w:t>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7CD970C7"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7C56F6">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3E12CD8"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7C56F6">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2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0"/>
    </w:p>
    <w:p w14:paraId="5E2B4C13" w14:textId="77777777" w:rsidR="00C870C1" w:rsidRPr="0045539C" w:rsidRDefault="00D1757A" w:rsidP="007E1293">
      <w:pPr>
        <w:pStyle w:val="Level5"/>
        <w:widowControl w:val="0"/>
        <w:spacing w:before="140" w:after="0"/>
        <w:rPr>
          <w:szCs w:val="20"/>
        </w:rPr>
      </w:pPr>
      <w:r w:rsidRPr="0045539C">
        <w:rPr>
          <w:szCs w:val="20"/>
        </w:rPr>
        <w:lastRenderedPageBreak/>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1"/>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40AA0F2A" w:rsidR="00C870C1" w:rsidRPr="0045539C" w:rsidRDefault="00471625" w:rsidP="00CA1CF8">
      <w:pPr>
        <w:pStyle w:val="Level4"/>
        <w:widowControl w:val="0"/>
        <w:spacing w:before="140" w:after="0"/>
        <w:rPr>
          <w:szCs w:val="20"/>
        </w:rPr>
      </w:pPr>
      <w:bookmarkStart w:id="22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C56F6">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2"/>
    </w:p>
    <w:p w14:paraId="5B1FF0D1" w14:textId="77777777" w:rsidR="00C870C1" w:rsidRPr="0045539C" w:rsidRDefault="00C870C1" w:rsidP="007E1293">
      <w:pPr>
        <w:pStyle w:val="Level4"/>
        <w:widowControl w:val="0"/>
        <w:spacing w:before="140" w:after="0"/>
        <w:rPr>
          <w:szCs w:val="20"/>
        </w:rPr>
      </w:pPr>
      <w:bookmarkStart w:id="223" w:name="_DV_M347"/>
      <w:bookmarkStart w:id="224" w:name="_DV_M348"/>
      <w:bookmarkStart w:id="225" w:name="_DV_M349"/>
      <w:bookmarkStart w:id="226" w:name="_DV_M350"/>
      <w:bookmarkEnd w:id="223"/>
      <w:bookmarkEnd w:id="224"/>
      <w:bookmarkEnd w:id="225"/>
      <w:bookmarkEnd w:id="226"/>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w:t>
      </w:r>
      <w:r w:rsidRPr="0045539C">
        <w:rPr>
          <w:szCs w:val="20"/>
        </w:rPr>
        <w:lastRenderedPageBreak/>
        <w:t xml:space="preserve">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w:t>
      </w:r>
      <w:r w:rsidRPr="0045539C">
        <w:rPr>
          <w:szCs w:val="20"/>
        </w:rPr>
        <w:lastRenderedPageBreak/>
        <w:t xml:space="preserve">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27" w:name="_Ref509481260"/>
      <w:bookmarkStart w:id="228" w:name="_Ref435692555"/>
      <w:r w:rsidRPr="0045539C">
        <w:rPr>
          <w:rFonts w:cs="Arial"/>
          <w:b/>
          <w:szCs w:val="20"/>
        </w:rPr>
        <w:t>Atribuições Específicas</w:t>
      </w:r>
      <w:bookmarkEnd w:id="227"/>
    </w:p>
    <w:p w14:paraId="74467B24" w14:textId="19A74A4F" w:rsidR="00B47305" w:rsidRPr="0045539C" w:rsidRDefault="00B47305" w:rsidP="007E1293">
      <w:pPr>
        <w:pStyle w:val="Level3"/>
        <w:widowControl w:val="0"/>
        <w:spacing w:before="140" w:after="0"/>
      </w:pPr>
      <w:bookmarkStart w:id="22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30" w:name="_Ref497982741"/>
      <w:bookmarkEnd w:id="229"/>
      <w:r w:rsidRPr="0045539C">
        <w:rPr>
          <w:rFonts w:cs="Arial"/>
          <w:b/>
          <w:szCs w:val="20"/>
        </w:rPr>
        <w:t>Despesas</w:t>
      </w:r>
      <w:bookmarkEnd w:id="228"/>
      <w:bookmarkEnd w:id="230"/>
    </w:p>
    <w:p w14:paraId="40B3F053" w14:textId="56C6CA10" w:rsidR="00324CDB" w:rsidRPr="0045539C" w:rsidRDefault="00CB7100" w:rsidP="007E1293">
      <w:pPr>
        <w:pStyle w:val="Level3"/>
        <w:widowControl w:val="0"/>
        <w:spacing w:before="140" w:after="0"/>
        <w:rPr>
          <w:b/>
          <w:szCs w:val="20"/>
        </w:rPr>
      </w:pPr>
      <w:bookmarkStart w:id="23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32" w:name="_Ref479186175"/>
      <w:bookmarkEnd w:id="231"/>
      <w:r w:rsidRPr="0045539C">
        <w:t xml:space="preserve">CLÁUSULA ONZE - </w:t>
      </w:r>
      <w:r w:rsidR="00E87272" w:rsidRPr="0045539C">
        <w:t>ASSEMBLEIA GERAL</w:t>
      </w:r>
      <w:r w:rsidR="00CB7100" w:rsidRPr="0045539C">
        <w:t xml:space="preserve"> DE DEBENTURISTAS</w:t>
      </w:r>
      <w:bookmarkEnd w:id="195"/>
      <w:bookmarkEnd w:id="232"/>
    </w:p>
    <w:p w14:paraId="6B3F64F7" w14:textId="4F1786B4" w:rsidR="00883CD7" w:rsidRPr="0045539C" w:rsidRDefault="00CB7100" w:rsidP="007E1293">
      <w:pPr>
        <w:pStyle w:val="Level2"/>
        <w:widowControl w:val="0"/>
        <w:spacing w:before="140" w:after="0"/>
      </w:pPr>
      <w:bookmarkStart w:id="233" w:name="_Ref480905626"/>
      <w:bookmarkStart w:id="234"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33"/>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 xml:space="preserve">quando o assunto a ser deliberado for específico a uma determinada série, os Debenturistas da respectiva série poderão, a qualquer tempo, </w:t>
      </w:r>
      <w:r>
        <w:lastRenderedPageBreak/>
        <w:t>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0652AEE5"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C56F6">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35"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35"/>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36"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37"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w:t>
      </w:r>
      <w:r w:rsidR="00673841" w:rsidRPr="00872241">
        <w:lastRenderedPageBreak/>
        <w:t xml:space="preserve">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36"/>
      <w:bookmarkEnd w:id="237"/>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38"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38"/>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4A1C0E" w:rsidR="00360BC0" w:rsidRPr="00E50984" w:rsidRDefault="00010A0A" w:rsidP="007E1293">
      <w:pPr>
        <w:pStyle w:val="Level1"/>
        <w:keepNext w:val="0"/>
        <w:keepLines w:val="0"/>
        <w:widowControl w:val="0"/>
        <w:spacing w:before="140" w:after="0"/>
        <w:jc w:val="center"/>
      </w:pPr>
      <w:bookmarkStart w:id="239" w:name="_DV_M404"/>
      <w:bookmarkStart w:id="240" w:name="_Ref439859919"/>
      <w:bookmarkStart w:id="241" w:name="_Ref4485889"/>
      <w:bookmarkEnd w:id="234"/>
      <w:bookmarkEnd w:id="239"/>
      <w:r w:rsidRPr="0045539C">
        <w:t xml:space="preserve">CLÁUSULA DOZE - </w:t>
      </w:r>
      <w:r w:rsidR="00E87272" w:rsidRPr="0045539C">
        <w:t>DECLARAÇÕES E GARANTIAS DA EMISSORA</w:t>
      </w:r>
      <w:bookmarkEnd w:id="240"/>
      <w:r w:rsidR="003E5EF4" w:rsidRPr="0045539C">
        <w:t xml:space="preserve"> </w:t>
      </w:r>
      <w:bookmarkEnd w:id="241"/>
    </w:p>
    <w:p w14:paraId="44654CAD" w14:textId="599A52AF" w:rsidR="003E5EF4" w:rsidRPr="00E50984" w:rsidRDefault="007723CB" w:rsidP="007E1293">
      <w:pPr>
        <w:pStyle w:val="Level2"/>
        <w:widowControl w:val="0"/>
        <w:spacing w:before="140" w:after="0"/>
        <w:rPr>
          <w:rFonts w:cs="Arial"/>
          <w:szCs w:val="20"/>
        </w:rPr>
      </w:pPr>
      <w:bookmarkStart w:id="242" w:name="_Ref509498182"/>
      <w:r w:rsidRPr="00E50984">
        <w:rPr>
          <w:rFonts w:cs="Arial"/>
          <w:szCs w:val="20"/>
        </w:rPr>
        <w:t xml:space="preserve">Sem prejuízo das demais declarações prestadas nesta Escritura de Emissão e no </w:t>
      </w:r>
      <w:r w:rsidRPr="00384055">
        <w:rPr>
          <w:rFonts w:cs="Arial"/>
          <w:szCs w:val="20"/>
        </w:rPr>
        <w:lastRenderedPageBreak/>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42"/>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43"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43"/>
      <w:r w:rsidR="00385F1D" w:rsidRPr="00E50984">
        <w:t>;</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1E7836CA" w:rsidR="00385F1D" w:rsidRPr="0045539C" w:rsidRDefault="00385F1D" w:rsidP="00CA1CF8">
      <w:pPr>
        <w:pStyle w:val="Level4"/>
        <w:widowControl w:val="0"/>
        <w:tabs>
          <w:tab w:val="clear" w:pos="2041"/>
          <w:tab w:val="num" w:pos="1361"/>
        </w:tabs>
        <w:spacing w:before="140" w:after="0"/>
        <w:ind w:left="1360"/>
      </w:pPr>
      <w:bookmarkStart w:id="244"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C56F6">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44"/>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 xml:space="preserve">encargo, gravame ou ônus, arresto, sequestro ou penhora, judicial ou </w:t>
      </w:r>
      <w:r w:rsidRPr="0045539C">
        <w:rPr>
          <w:szCs w:val="26"/>
        </w:rPr>
        <w:lastRenderedPageBreak/>
        <w:t>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45"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245"/>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46"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46"/>
      <w:r w:rsidRPr="00E50984">
        <w:t>;</w:t>
      </w:r>
    </w:p>
    <w:p w14:paraId="1E62CB95" w14:textId="4AF79E72" w:rsidR="00385F1D" w:rsidRPr="0045539C" w:rsidRDefault="00385F1D" w:rsidP="007E1293">
      <w:pPr>
        <w:pStyle w:val="Level4"/>
        <w:widowControl w:val="0"/>
        <w:tabs>
          <w:tab w:val="clear" w:pos="2041"/>
          <w:tab w:val="num" w:pos="1361"/>
        </w:tabs>
        <w:spacing w:before="140" w:after="0"/>
        <w:ind w:left="1360"/>
      </w:pPr>
      <w:bookmarkStart w:id="247"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bookmarkEnd w:id="247"/>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48"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48"/>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49"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49"/>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50"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1" w:name="_Hlk75982024"/>
      <w:bookmarkEnd w:id="250"/>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1"/>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52"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52"/>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53"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 xml:space="preserve">representam corretamente a posição patrimonial e financeira consolidada da Emissora, naquelas datas e para aqueles períodos e foram devidamente </w:t>
      </w:r>
      <w:r w:rsidRPr="0045539C">
        <w:lastRenderedPageBreak/>
        <w:t>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3"/>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54"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 xml:space="preserve">Escritura de </w:t>
      </w:r>
      <w:r w:rsidR="006858EF" w:rsidRPr="00E50984">
        <w:lastRenderedPageBreak/>
        <w:t>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5739511F" w:rsidR="00E12AFE" w:rsidRPr="0045539C" w:rsidRDefault="003303A8" w:rsidP="007E1293">
      <w:pPr>
        <w:pStyle w:val="Level2"/>
        <w:widowControl w:val="0"/>
        <w:spacing w:before="140" w:after="0"/>
        <w:rPr>
          <w:rFonts w:cs="Arial"/>
          <w:szCs w:val="20"/>
        </w:rPr>
      </w:pPr>
      <w:bookmarkStart w:id="255" w:name="_DV_M357"/>
      <w:bookmarkStart w:id="256" w:name="_DV_M358"/>
      <w:bookmarkStart w:id="257" w:name="_DV_M359"/>
      <w:bookmarkStart w:id="258" w:name="_DV_M360"/>
      <w:bookmarkStart w:id="259" w:name="_DV_M361"/>
      <w:bookmarkStart w:id="260" w:name="_DV_M362"/>
      <w:bookmarkStart w:id="261" w:name="_DV_M363"/>
      <w:bookmarkStart w:id="262" w:name="_DV_M364"/>
      <w:bookmarkStart w:id="263" w:name="_DV_M365"/>
      <w:bookmarkStart w:id="264" w:name="_DV_M366"/>
      <w:bookmarkStart w:id="265" w:name="_DV_M367"/>
      <w:bookmarkStart w:id="266" w:name="_DV_M368"/>
      <w:bookmarkStart w:id="267" w:name="_DV_M369"/>
      <w:bookmarkStart w:id="268" w:name="_DV_M370"/>
      <w:bookmarkStart w:id="269" w:name="_DV_M371"/>
      <w:bookmarkStart w:id="270" w:name="_DV_M372"/>
      <w:bookmarkStart w:id="271" w:name="_DV_M373"/>
      <w:bookmarkStart w:id="272" w:name="_DV_M374"/>
      <w:bookmarkStart w:id="273" w:name="_DV_M161"/>
      <w:bookmarkStart w:id="274" w:name="_DV_M16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C56F6">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r>
      <w:r w:rsidR="003303A8" w:rsidRPr="0045539C">
        <w:rPr>
          <w:b w:val="0"/>
          <w:sz w:val="20"/>
          <w:szCs w:val="20"/>
        </w:rPr>
        <w:lastRenderedPageBreak/>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5"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76" w:name="_Hlk67765850"/>
      <w:r w:rsidRPr="00333B8A">
        <w:rPr>
          <w:b w:val="0"/>
          <w:sz w:val="20"/>
          <w:szCs w:val="20"/>
        </w:rPr>
        <w:t>Sr. André Sales</w:t>
      </w:r>
      <w:bookmarkEnd w:id="276"/>
      <w:r w:rsidRPr="00333B8A">
        <w:rPr>
          <w:b w:val="0"/>
          <w:sz w:val="20"/>
          <w:szCs w:val="20"/>
        </w:rPr>
        <w:br/>
        <w:t xml:space="preserve">Telefone: </w:t>
      </w:r>
      <w:bookmarkStart w:id="277" w:name="_Hlk67765858"/>
      <w:r w:rsidRPr="00333B8A">
        <w:rPr>
          <w:b w:val="0"/>
          <w:sz w:val="20"/>
          <w:szCs w:val="20"/>
        </w:rPr>
        <w:t>+55 (11) 2740-2568</w:t>
      </w:r>
      <w:bookmarkEnd w:id="277"/>
      <w:r w:rsidRPr="00333B8A">
        <w:rPr>
          <w:b w:val="0"/>
          <w:sz w:val="20"/>
          <w:szCs w:val="20"/>
        </w:rPr>
        <w:br/>
        <w:t xml:space="preserve">Correio Eletrônico: </w:t>
      </w:r>
      <w:bookmarkStart w:id="278" w:name="_Hlk67765868"/>
      <w:r w:rsidRPr="00333B8A">
        <w:rPr>
          <w:b w:val="0"/>
          <w:sz w:val="20"/>
          <w:szCs w:val="20"/>
        </w:rPr>
        <w:t>escrituracaorf@itau-unibanco.com.br</w:t>
      </w:r>
      <w:bookmarkEnd w:id="278"/>
    </w:p>
    <w:bookmarkEnd w:id="275"/>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3FCDB11A"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79" w:name="_DV_M133"/>
      <w:bookmarkStart w:id="280" w:name="_DV_M134"/>
      <w:bookmarkEnd w:id="279"/>
      <w:bookmarkEnd w:id="28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1"/>
    </w:p>
    <w:p w14:paraId="3D0D1A20" w14:textId="43D1819A"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C56F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82" w:name="_DV_M428"/>
      <w:bookmarkEnd w:id="282"/>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w:t>
      </w:r>
      <w:r w:rsidRPr="0045539C">
        <w:rPr>
          <w:szCs w:val="20"/>
        </w:rPr>
        <w:lastRenderedPageBreak/>
        <w:t>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3" w:name="_DV_M430"/>
      <w:bookmarkEnd w:id="283"/>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773E1165"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C56F6">
        <w:rPr>
          <w:szCs w:val="20"/>
        </w:rPr>
        <w:t>2.3</w:t>
      </w:r>
      <w:r w:rsidR="002510A0" w:rsidRPr="0045539C">
        <w:rPr>
          <w:szCs w:val="20"/>
        </w:rPr>
        <w:fldChar w:fldCharType="end"/>
      </w:r>
      <w:r w:rsidR="003367EC">
        <w:rPr>
          <w:szCs w:val="20"/>
        </w:rPr>
        <w:t xml:space="preserve"> acima.</w:t>
      </w:r>
    </w:p>
    <w:p w14:paraId="6E2B49DF" w14:textId="60273C0B" w:rsidR="00C16549" w:rsidRDefault="00C16549" w:rsidP="007E1293">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7ABBCD5"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DD2158">
        <w:rPr>
          <w:rFonts w:ascii="Arial" w:hAnsi="Arial" w:cs="Arial"/>
          <w:sz w:val="20"/>
          <w:szCs w:val="20"/>
        </w:rPr>
        <w:t>08</w:t>
      </w:r>
      <w:r w:rsidR="00DD2158">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8"/>
          <w:footerReference w:type="default" r:id="rId19"/>
          <w:footerReference w:type="first" r:id="rId20"/>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3D0CA862"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4" w:name="_DV_M783"/>
      <w:bookmarkStart w:id="285" w:name="_DV_M784"/>
      <w:bookmarkStart w:id="286" w:name="_DV_M785"/>
      <w:bookmarkStart w:id="287" w:name="_DV_M786"/>
      <w:bookmarkStart w:id="288" w:name="_DV_M787"/>
      <w:bookmarkStart w:id="289" w:name="_DV_M788"/>
      <w:bookmarkStart w:id="290" w:name="_DV_M789"/>
      <w:bookmarkStart w:id="291" w:name="_DV_M790"/>
      <w:bookmarkStart w:id="292" w:name="_DV_M791"/>
      <w:bookmarkStart w:id="293" w:name="_DV_M792"/>
      <w:bookmarkStart w:id="294" w:name="_DV_M793"/>
      <w:bookmarkStart w:id="295" w:name="_DV_M794"/>
      <w:bookmarkStart w:id="296" w:name="_DV_M795"/>
      <w:bookmarkStart w:id="297" w:name="_DV_M796"/>
      <w:bookmarkStart w:id="298" w:name="_DV_M797"/>
      <w:bookmarkStart w:id="299" w:name="_DV_M798"/>
      <w:bookmarkStart w:id="300" w:name="_DV_M799"/>
      <w:bookmarkStart w:id="301" w:name="_DV_M800"/>
      <w:bookmarkStart w:id="302" w:name="_DV_M801"/>
      <w:bookmarkStart w:id="303" w:name="_DV_M802"/>
      <w:bookmarkStart w:id="304" w:name="_DV_M803"/>
      <w:bookmarkStart w:id="305" w:name="_DV_M80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sectPr w:rsidR="008F0537" w:rsidRPr="00E908DB" w:rsidSect="00A314D1">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5F2C7" w14:textId="77777777" w:rsidR="000F799A" w:rsidRDefault="000F799A">
      <w:r>
        <w:separator/>
      </w:r>
    </w:p>
  </w:endnote>
  <w:endnote w:type="continuationSeparator" w:id="0">
    <w:p w14:paraId="0A56AD75" w14:textId="77777777" w:rsidR="000F799A" w:rsidRDefault="000F799A">
      <w:r>
        <w:continuationSeparator/>
      </w:r>
    </w:p>
  </w:endnote>
  <w:endnote w:type="continuationNotice" w:id="1">
    <w:p w14:paraId="239691C0" w14:textId="77777777" w:rsidR="000F799A" w:rsidRDefault="000F7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61222D" w:rsidRDefault="0061222D">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61222D" w:rsidRPr="00DF1F2D" w:rsidRDefault="0061222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61222D" w:rsidRPr="00DF1F2D" w:rsidRDefault="0061222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61222D" w:rsidRPr="00C40881" w:rsidRDefault="0061222D">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61222D" w:rsidRPr="008B7041" w:rsidRDefault="0061222D">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61222D" w:rsidRPr="008B7041" w:rsidRDefault="0061222D"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61222D" w:rsidRPr="00965D27" w:rsidRDefault="0061222D"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61222D" w:rsidRPr="004D79E2" w:rsidRDefault="0061222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D80E16" w:rsidRPr="004D79E2" w:rsidRDefault="00D80E16"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21B8" w14:textId="77777777" w:rsidR="000F799A" w:rsidRDefault="000F799A">
      <w:r>
        <w:separator/>
      </w:r>
    </w:p>
  </w:footnote>
  <w:footnote w:type="continuationSeparator" w:id="0">
    <w:p w14:paraId="3E4F2901" w14:textId="77777777" w:rsidR="000F799A" w:rsidRDefault="000F799A">
      <w:r>
        <w:continuationSeparator/>
      </w:r>
    </w:p>
  </w:footnote>
  <w:footnote w:type="continuationNotice" w:id="1">
    <w:p w14:paraId="51118F5F" w14:textId="77777777" w:rsidR="000F799A" w:rsidRDefault="000F7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785C538" w:rsidR="0061222D" w:rsidRDefault="0061222D"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61222D" w:rsidRDefault="0061222D" w:rsidP="00F45901">
    <w:pPr>
      <w:pStyle w:val="Header"/>
      <w:jc w:val="right"/>
      <w:rPr>
        <w:rFonts w:ascii="Arial" w:hAnsi="Arial"/>
        <w:b/>
        <w:sz w:val="20"/>
        <w:lang w:val="pt-BR"/>
      </w:rPr>
    </w:pPr>
  </w:p>
  <w:p w14:paraId="1D707799" w14:textId="4A34A04F" w:rsidR="0061222D" w:rsidRDefault="0061222D" w:rsidP="00F45901">
    <w:pPr>
      <w:pStyle w:val="Header"/>
      <w:jc w:val="right"/>
      <w:rPr>
        <w:rFonts w:ascii="Arial" w:hAnsi="Arial"/>
        <w:b/>
        <w:sz w:val="20"/>
        <w:lang w:val="pt-BR"/>
      </w:rPr>
    </w:pPr>
  </w:p>
  <w:p w14:paraId="09F1E0BC" w14:textId="77777777" w:rsidR="0061222D" w:rsidRPr="00F45901" w:rsidRDefault="0061222D"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3E63"/>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185B"/>
    <w:rsid w:val="00AF1BB3"/>
    <w:rsid w:val="00AF1CE0"/>
    <w:rsid w:val="00AF1D5F"/>
    <w:rsid w:val="00AF1F70"/>
    <w:rsid w:val="00AF24B5"/>
    <w:rsid w:val="00AF2C5A"/>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23156</Words>
  <Characters>125045</Characters>
  <Application>Microsoft Office Word</Application>
  <DocSecurity>0</DocSecurity>
  <Lines>1042</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147906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3</cp:revision>
  <cp:lastPrinted>2019-04-30T13:14:00Z</cp:lastPrinted>
  <dcterms:created xsi:type="dcterms:W3CDTF">2021-07-08T13:40:00Z</dcterms:created>
  <dcterms:modified xsi:type="dcterms:W3CDTF">2021-07-08T13:40:00Z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