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47CE6716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>REALIZADA EM</w:t>
      </w:r>
      <w:r w:rsidR="0007041B" w:rsidRPr="00625C0A">
        <w:rPr>
          <w:rFonts w:cstheme="minorHAnsi"/>
          <w:b/>
          <w:sz w:val="24"/>
          <w:szCs w:val="24"/>
        </w:rPr>
        <w:t xml:space="preserve"> PRIMEIRA CONVOCAÇÃO 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782A2E">
        <w:rPr>
          <w:rFonts w:cstheme="minorHAnsi"/>
          <w:b/>
          <w:sz w:val="24"/>
          <w:szCs w:val="24"/>
        </w:rPr>
        <w:t>[</w:t>
      </w:r>
      <w:r w:rsidR="00782A2E" w:rsidRPr="00782A2E">
        <w:rPr>
          <w:rFonts w:cstheme="minorHAnsi"/>
          <w:b/>
          <w:sz w:val="24"/>
          <w:szCs w:val="24"/>
          <w:highlight w:val="yellow"/>
        </w:rPr>
        <w:t>=</w:t>
      </w:r>
      <w:r w:rsidR="00782A2E">
        <w:rPr>
          <w:rFonts w:cstheme="minorHAnsi"/>
          <w:b/>
          <w:sz w:val="24"/>
          <w:szCs w:val="24"/>
        </w:rPr>
        <w:t>]</w:t>
      </w:r>
      <w:r w:rsidR="009969AE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5796F256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782A2E">
        <w:rPr>
          <w:rFonts w:cstheme="minorHAnsi"/>
          <w:sz w:val="24"/>
          <w:szCs w:val="24"/>
        </w:rPr>
        <w:t>[</w:t>
      </w:r>
      <w:r w:rsidR="00782A2E" w:rsidRPr="00782A2E">
        <w:rPr>
          <w:rFonts w:cstheme="minorHAnsi"/>
          <w:sz w:val="24"/>
          <w:szCs w:val="24"/>
          <w:highlight w:val="yellow"/>
        </w:rPr>
        <w:t>=</w:t>
      </w:r>
      <w:r w:rsidR="00782A2E">
        <w:rPr>
          <w:rFonts w:cstheme="minorHAnsi"/>
          <w:sz w:val="24"/>
          <w:szCs w:val="24"/>
        </w:rPr>
        <w:t>]</w:t>
      </w:r>
      <w:r w:rsidR="009969AE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r w:rsidRPr="00625C0A">
        <w:rPr>
          <w:rFonts w:cstheme="minorHAnsi"/>
          <w:sz w:val="24"/>
          <w:szCs w:val="24"/>
        </w:rPr>
        <w:t xml:space="preserve">, </w:t>
      </w:r>
      <w:r w:rsidR="007759CD" w:rsidRPr="00625C0A">
        <w:rPr>
          <w:rFonts w:cstheme="minorHAnsi"/>
          <w:sz w:val="24"/>
          <w:szCs w:val="24"/>
        </w:rPr>
        <w:t xml:space="preserve">de modo exclusivamente digital, </w:t>
      </w:r>
      <w:proofErr w:type="gramStart"/>
      <w:r w:rsidR="00AE7AEB" w:rsidRPr="00625C0A">
        <w:rPr>
          <w:rFonts w:cstheme="minorHAnsi"/>
          <w:sz w:val="24"/>
          <w:szCs w:val="24"/>
        </w:rPr>
        <w:t>considerando-se</w:t>
      </w:r>
      <w:proofErr w:type="gramEnd"/>
      <w:r w:rsidR="00AE7AEB" w:rsidRPr="00625C0A">
        <w:rPr>
          <w:rFonts w:cstheme="minorHAnsi"/>
          <w:sz w:val="24"/>
          <w:szCs w:val="24"/>
        </w:rPr>
        <w:t xml:space="preserve"> portanto, realizada </w:t>
      </w:r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r w:rsidR="00AE7AEB" w:rsidRPr="00625C0A">
        <w:rPr>
          <w:rFonts w:cstheme="minorHAnsi"/>
          <w:sz w:val="24"/>
          <w:szCs w:val="24"/>
        </w:rPr>
        <w:t xml:space="preserve">conforme </w:t>
      </w:r>
      <w:r w:rsidR="00B1007D">
        <w:rPr>
          <w:rFonts w:cstheme="minorHAnsi"/>
          <w:sz w:val="24"/>
          <w:szCs w:val="24"/>
        </w:rPr>
        <w:t xml:space="preserve">artigo </w:t>
      </w:r>
      <w:r w:rsidR="00C651F7">
        <w:rPr>
          <w:rFonts w:cstheme="minorHAnsi"/>
          <w:sz w:val="24"/>
          <w:szCs w:val="24"/>
        </w:rPr>
        <w:t>71</w:t>
      </w:r>
      <w:r w:rsidR="00AE7AEB" w:rsidRPr="00625C0A">
        <w:rPr>
          <w:rFonts w:cstheme="minorHAnsi"/>
          <w:sz w:val="24"/>
          <w:szCs w:val="24"/>
        </w:rPr>
        <w:t>, § </w:t>
      </w:r>
      <w:r w:rsidR="00C651F7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>º</w:t>
      </w:r>
      <w:r w:rsidR="00AE7AEB" w:rsidRPr="00625C0A">
        <w:rPr>
          <w:rFonts w:cstheme="minorHAnsi"/>
          <w:sz w:val="24"/>
          <w:szCs w:val="24"/>
        </w:rPr>
        <w:t xml:space="preserve">, da </w:t>
      </w:r>
      <w:r w:rsidR="00B1007D">
        <w:rPr>
          <w:rFonts w:cstheme="minorHAnsi"/>
          <w:sz w:val="24"/>
          <w:szCs w:val="24"/>
        </w:rPr>
        <w:t>Resolução da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B1007D">
        <w:rPr>
          <w:rFonts w:cstheme="minorHAnsi"/>
          <w:sz w:val="24"/>
          <w:szCs w:val="24"/>
        </w:rPr>
        <w:t>Comissão de Valores Mobiliários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nº </w:t>
      </w:r>
      <w:r w:rsidR="00B1007D">
        <w:rPr>
          <w:rFonts w:cstheme="minorHAnsi"/>
          <w:sz w:val="24"/>
          <w:szCs w:val="24"/>
        </w:rPr>
        <w:t>81</w:t>
      </w:r>
      <w:r w:rsidR="00AE7AEB" w:rsidRPr="00625C0A">
        <w:rPr>
          <w:rFonts w:cstheme="minorHAnsi"/>
          <w:sz w:val="24"/>
          <w:szCs w:val="24"/>
        </w:rPr>
        <w:t xml:space="preserve">, de </w:t>
      </w:r>
      <w:r w:rsidR="00B1007D">
        <w:rPr>
          <w:rFonts w:cstheme="minorHAnsi"/>
          <w:sz w:val="24"/>
          <w:szCs w:val="24"/>
        </w:rPr>
        <w:t>29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>
        <w:rPr>
          <w:rFonts w:cstheme="minorHAnsi"/>
          <w:sz w:val="24"/>
          <w:szCs w:val="24"/>
        </w:rPr>
        <w:t>março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 w:rsidRPr="00625C0A">
        <w:rPr>
          <w:rFonts w:cstheme="minorHAnsi"/>
          <w:sz w:val="24"/>
          <w:szCs w:val="24"/>
        </w:rPr>
        <w:t>202</w:t>
      </w:r>
      <w:r w:rsidR="00B1007D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>(“</w:t>
      </w:r>
      <w:r w:rsidR="00B1007D">
        <w:rPr>
          <w:rFonts w:cstheme="minorHAnsi"/>
          <w:sz w:val="24"/>
          <w:szCs w:val="24"/>
          <w:u w:val="single"/>
        </w:rPr>
        <w:t>Resolução CVM 81</w:t>
      </w:r>
      <w:r w:rsidR="00AE7AEB" w:rsidRPr="00625C0A">
        <w:rPr>
          <w:rFonts w:cstheme="minorHAnsi"/>
          <w:sz w:val="24"/>
          <w:szCs w:val="24"/>
        </w:rPr>
        <w:t xml:space="preserve">”), </w:t>
      </w:r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306A4BF2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F60C78">
        <w:rPr>
          <w:rFonts w:cstheme="minorHAnsi"/>
          <w:sz w:val="24"/>
          <w:szCs w:val="24"/>
          <w:highlight w:val="yellow"/>
        </w:rPr>
        <w:t>Dispensada a convocação diante da presença de titular de 100% (cem por cento) das debêntures em circulação</w:t>
      </w:r>
      <w:r w:rsidR="00782A2E" w:rsidRPr="00782A2E">
        <w:rPr>
          <w:rFonts w:cstheme="minorHAnsi"/>
          <w:sz w:val="24"/>
          <w:szCs w:val="24"/>
        </w:rPr>
        <w:t>, conforme lista de presença constante 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>, entre a MPM Corpóreos S.A. (“</w:t>
      </w:r>
      <w:r w:rsidR="00712602" w:rsidRPr="00B11EC3">
        <w:rPr>
          <w:rFonts w:cstheme="minorHAnsi"/>
          <w:sz w:val="24"/>
          <w:szCs w:val="24"/>
          <w:u w:val="single"/>
        </w:rPr>
        <w:t>Companhia</w:t>
      </w:r>
      <w:r w:rsidR="00712602" w:rsidRPr="00B11EC3">
        <w:rPr>
          <w:rFonts w:cstheme="minorHAnsi"/>
          <w:sz w:val="24"/>
          <w:szCs w:val="24"/>
        </w:rPr>
        <w:t>”),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2C58D80C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em Circulação (conforme definido na Escritura de Emissão) da </w:t>
      </w:r>
      <w:r w:rsidR="00B11EC3" w:rsidRPr="00B11EC3">
        <w:rPr>
          <w:rFonts w:cstheme="minorHAnsi"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072970" w:rsidRPr="00625C0A">
        <w:rPr>
          <w:rFonts w:cstheme="minorHAnsi"/>
          <w:sz w:val="24"/>
          <w:szCs w:val="24"/>
        </w:rPr>
        <w:t>, da Companhia 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 “</w:t>
      </w:r>
      <w:r w:rsidR="00072970" w:rsidRPr="00625C0A">
        <w:rPr>
          <w:rFonts w:cstheme="minorHAnsi"/>
          <w:sz w:val="24"/>
          <w:szCs w:val="24"/>
          <w:u w:val="single"/>
        </w:rPr>
        <w:t>Debêntures</w:t>
      </w:r>
      <w:r w:rsidR="00072970" w:rsidRPr="00625C0A">
        <w:rPr>
          <w:rFonts w:cstheme="minorHAnsi"/>
          <w:sz w:val="24"/>
          <w:szCs w:val="24"/>
        </w:rPr>
        <w:t xml:space="preserve">”, respectivamente),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r w:rsidR="00F60C78" w:rsidRPr="00F60C78">
        <w:rPr>
          <w:rFonts w:cstheme="minorHAnsi"/>
          <w:sz w:val="24"/>
          <w:szCs w:val="24"/>
          <w:highlight w:val="yellow"/>
        </w:rPr>
        <w:t>Pedro Paulo Farme d’</w:t>
      </w:r>
      <w:proofErr w:type="spellStart"/>
      <w:r w:rsidR="00F60C78" w:rsidRPr="00F60C78">
        <w:rPr>
          <w:rFonts w:cstheme="minorHAnsi"/>
          <w:sz w:val="24"/>
          <w:szCs w:val="24"/>
          <w:highlight w:val="yellow"/>
        </w:rPr>
        <w:t>Amoed</w:t>
      </w:r>
      <w:proofErr w:type="spellEnd"/>
      <w:r w:rsidR="00F60C78" w:rsidRPr="00F60C78">
        <w:rPr>
          <w:rFonts w:cstheme="minorHAnsi"/>
          <w:sz w:val="24"/>
          <w:szCs w:val="24"/>
          <w:highlight w:val="yellow"/>
        </w:rPr>
        <w:t xml:space="preserve">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Leonardo Moreira Dias Correa e Mariana Gama </w:t>
      </w:r>
      <w:proofErr w:type="spellStart"/>
      <w:r w:rsidR="004749A5" w:rsidRPr="00B11EC3">
        <w:rPr>
          <w:rFonts w:cstheme="minorHAnsi"/>
          <w:sz w:val="24"/>
          <w:szCs w:val="24"/>
          <w:highlight w:val="yellow"/>
        </w:rPr>
        <w:t>Costabile</w:t>
      </w:r>
      <w:proofErr w:type="spellEnd"/>
      <w:r w:rsidR="004749A5" w:rsidRPr="00B11EC3">
        <w:rPr>
          <w:rFonts w:cstheme="minorHAnsi"/>
          <w:sz w:val="24"/>
          <w:szCs w:val="24"/>
          <w:highlight w:val="yellow"/>
        </w:rPr>
        <w:t xml:space="preserve"> Mattar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lastRenderedPageBreak/>
        <w:t>[</w:t>
      </w:r>
      <w:r w:rsidR="004749A5" w:rsidRPr="00B11EC3">
        <w:rPr>
          <w:rFonts w:cstheme="minorHAnsi"/>
          <w:sz w:val="24"/>
          <w:szCs w:val="24"/>
          <w:highlight w:val="yellow"/>
        </w:rPr>
        <w:t>Srs. Leonardo Moreira Dias Correa e a Ana Macarena Ruiz Troster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1343BC94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Pr="00625C0A">
        <w:rPr>
          <w:rFonts w:cstheme="minorHAnsi"/>
          <w:sz w:val="24"/>
          <w:szCs w:val="24"/>
        </w:rPr>
        <w:t xml:space="preserve">Presidente: 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 xml:space="preserve"> e Secretário: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19F96A41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r w:rsidR="002D4AEA">
        <w:rPr>
          <w:rFonts w:cstheme="minorHAnsi"/>
          <w:sz w:val="24"/>
          <w:szCs w:val="24"/>
        </w:rPr>
        <w:t xml:space="preserve">conceder, ou não, </w:t>
      </w:r>
      <w:r w:rsidR="0070133C">
        <w:rPr>
          <w:rFonts w:cstheme="minorHAnsi"/>
          <w:sz w:val="24"/>
          <w:szCs w:val="24"/>
        </w:rPr>
        <w:t xml:space="preserve">a anuência </w:t>
      </w:r>
      <w:r w:rsidR="002D4AEA">
        <w:rPr>
          <w:rFonts w:cstheme="minorHAnsi"/>
          <w:sz w:val="24"/>
          <w:szCs w:val="24"/>
        </w:rPr>
        <w:t xml:space="preserve">prévia </w:t>
      </w:r>
      <w:r w:rsidR="008B2FAE">
        <w:rPr>
          <w:rFonts w:cstheme="minorHAnsi"/>
          <w:sz w:val="24"/>
          <w:szCs w:val="24"/>
        </w:rPr>
        <w:t>[</w:t>
      </w:r>
      <w:commentRangeStart w:id="0"/>
      <w:r w:rsidR="0070133C" w:rsidRPr="002D4AEA">
        <w:rPr>
          <w:rFonts w:cstheme="minorHAnsi"/>
          <w:sz w:val="24"/>
          <w:szCs w:val="24"/>
          <w:highlight w:val="yellow"/>
        </w:rPr>
        <w:t>por [=] dias corridos contatos da presente data</w:t>
      </w:r>
      <w:r w:rsidR="008B2FAE">
        <w:rPr>
          <w:rFonts w:cstheme="minorHAnsi"/>
          <w:sz w:val="24"/>
          <w:szCs w:val="24"/>
        </w:rPr>
        <w:t>]</w:t>
      </w:r>
      <w:r w:rsidR="0070133C">
        <w:rPr>
          <w:rFonts w:cstheme="minorHAnsi"/>
          <w:sz w:val="24"/>
          <w:szCs w:val="24"/>
        </w:rPr>
        <w:t xml:space="preserve"> </w:t>
      </w:r>
      <w:commentRangeEnd w:id="0"/>
      <w:r w:rsidR="008B2FAE">
        <w:rPr>
          <w:rStyle w:val="Refdecomentrio"/>
        </w:rPr>
        <w:commentReference w:id="0"/>
      </w:r>
      <w:r w:rsidR="0070133C">
        <w:rPr>
          <w:rFonts w:cstheme="minorHAnsi"/>
          <w:sz w:val="24"/>
          <w:szCs w:val="24"/>
        </w:rPr>
        <w:t>relativ</w:t>
      </w:r>
      <w:r w:rsidR="008B2FAE">
        <w:rPr>
          <w:rFonts w:cstheme="minorHAnsi"/>
          <w:sz w:val="24"/>
          <w:szCs w:val="24"/>
        </w:rPr>
        <w:t>a</w:t>
      </w:r>
      <w:r w:rsidR="009D7A90">
        <w:rPr>
          <w:rFonts w:cstheme="minorHAnsi"/>
          <w:sz w:val="24"/>
          <w:szCs w:val="24"/>
        </w:rPr>
        <w:t xml:space="preserve"> </w:t>
      </w:r>
      <w:proofErr w:type="gramStart"/>
      <w:r w:rsidR="009D7A90">
        <w:rPr>
          <w:rFonts w:cstheme="minorHAnsi"/>
          <w:sz w:val="24"/>
          <w:szCs w:val="24"/>
        </w:rPr>
        <w:t>a</w:t>
      </w:r>
      <w:proofErr w:type="gramEnd"/>
      <w:r w:rsidR="009D7A90">
        <w:rPr>
          <w:rFonts w:cstheme="minorHAnsi"/>
          <w:sz w:val="24"/>
          <w:szCs w:val="24"/>
        </w:rPr>
        <w:t xml:space="preserve"> obrigação estabelecida n</w:t>
      </w:r>
      <w:r w:rsidR="0070133C">
        <w:rPr>
          <w:rFonts w:cstheme="minorHAnsi"/>
          <w:sz w:val="24"/>
          <w:szCs w:val="24"/>
        </w:rPr>
        <w:t xml:space="preserve">a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</w:t>
      </w:r>
      <w:proofErr w:type="spellStart"/>
      <w:r w:rsidR="0070133C">
        <w:rPr>
          <w:rFonts w:cstheme="minorHAnsi"/>
          <w:sz w:val="24"/>
          <w:szCs w:val="24"/>
        </w:rPr>
        <w:t>xii</w:t>
      </w:r>
      <w:proofErr w:type="spellEnd"/>
      <w:r w:rsidR="0070133C">
        <w:rPr>
          <w:rFonts w:cstheme="minorHAnsi"/>
          <w:sz w:val="24"/>
          <w:szCs w:val="24"/>
        </w:rPr>
        <w:t>) da Escritura de Emissão.</w:t>
      </w:r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7E6AA6DA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197AE03E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 xml:space="preserve">], </w:t>
      </w:r>
      <w:r w:rsidR="00643AE7" w:rsidRPr="00D247E3">
        <w:rPr>
          <w:rFonts w:cstheme="minorHAnsi"/>
          <w:sz w:val="24"/>
          <w:szCs w:val="24"/>
        </w:rPr>
        <w:t>a</w:t>
      </w:r>
      <w:r w:rsidR="00643AE7" w:rsidRPr="00643A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concessão de</w:t>
      </w:r>
      <w:r w:rsidRPr="009D7A90">
        <w:rPr>
          <w:rFonts w:cstheme="minorHAnsi"/>
          <w:sz w:val="24"/>
          <w:szCs w:val="24"/>
        </w:rPr>
        <w:t xml:space="preserve"> anuência prévia </w:t>
      </w:r>
      <w:r w:rsidR="008B2FAE">
        <w:rPr>
          <w:rFonts w:cstheme="minorHAnsi"/>
          <w:sz w:val="24"/>
          <w:szCs w:val="24"/>
        </w:rPr>
        <w:t>[</w:t>
      </w:r>
      <w:r w:rsidRPr="009D7A90">
        <w:rPr>
          <w:rFonts w:cstheme="minorHAnsi"/>
          <w:sz w:val="24"/>
          <w:szCs w:val="24"/>
        </w:rPr>
        <w:t>por [=] dias corridos contatos da presente data</w:t>
      </w:r>
      <w:r w:rsidR="008B2FAE">
        <w:rPr>
          <w:rFonts w:cstheme="minorHAnsi"/>
          <w:sz w:val="24"/>
          <w:szCs w:val="24"/>
        </w:rPr>
        <w:t>]</w:t>
      </w:r>
      <w:r w:rsidRPr="009D7A90">
        <w:rPr>
          <w:rFonts w:cstheme="minorHAnsi"/>
          <w:sz w:val="24"/>
          <w:szCs w:val="24"/>
        </w:rPr>
        <w:t xml:space="preserve"> relativ</w:t>
      </w:r>
      <w:r w:rsidR="008B2FAE">
        <w:rPr>
          <w:rFonts w:cstheme="minorHAnsi"/>
          <w:sz w:val="24"/>
          <w:szCs w:val="24"/>
        </w:rPr>
        <w:t>a</w:t>
      </w:r>
      <w:r w:rsidRPr="009D7A90">
        <w:rPr>
          <w:rFonts w:cstheme="minorHAnsi"/>
          <w:sz w:val="24"/>
          <w:szCs w:val="24"/>
        </w:rPr>
        <w:t xml:space="preserve"> </w:t>
      </w:r>
      <w:proofErr w:type="gramStart"/>
      <w:r w:rsidRPr="009D7A90">
        <w:rPr>
          <w:rFonts w:cstheme="minorHAnsi"/>
          <w:sz w:val="24"/>
          <w:szCs w:val="24"/>
        </w:rPr>
        <w:t>a</w:t>
      </w:r>
      <w:proofErr w:type="gramEnd"/>
      <w:r w:rsidRPr="009D7A90">
        <w:rPr>
          <w:rFonts w:cstheme="minorHAnsi"/>
          <w:sz w:val="24"/>
          <w:szCs w:val="24"/>
        </w:rPr>
        <w:t xml:space="preserve"> obrigação estabelecida na </w:t>
      </w:r>
      <w:r w:rsidR="008B2FAE">
        <w:rPr>
          <w:rFonts w:cstheme="minorHAnsi"/>
          <w:sz w:val="24"/>
          <w:szCs w:val="24"/>
        </w:rPr>
        <w:t>C</w:t>
      </w:r>
      <w:r w:rsidRPr="009D7A90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</w:t>
      </w:r>
      <w:r w:rsidR="008B2FAE">
        <w:rPr>
          <w:rFonts w:cstheme="minorHAnsi"/>
          <w:sz w:val="24"/>
          <w:szCs w:val="24"/>
        </w:rPr>
        <w:t>,</w:t>
      </w:r>
      <w:r w:rsidRPr="009D7A90">
        <w:rPr>
          <w:rFonts w:cstheme="minorHAnsi"/>
          <w:sz w:val="24"/>
          <w:szCs w:val="24"/>
        </w:rPr>
        <w:t xml:space="preserve"> item (</w:t>
      </w:r>
      <w:proofErr w:type="spellStart"/>
      <w:r w:rsidRPr="009D7A90">
        <w:rPr>
          <w:rFonts w:cstheme="minorHAnsi"/>
          <w:sz w:val="24"/>
          <w:szCs w:val="24"/>
        </w:rPr>
        <w:t>xii</w:t>
      </w:r>
      <w:proofErr w:type="spellEnd"/>
      <w:r w:rsidRPr="009D7A90">
        <w:rPr>
          <w:rFonts w:cstheme="minorHAnsi"/>
          <w:sz w:val="24"/>
          <w:szCs w:val="24"/>
        </w:rPr>
        <w:t>) da Escritura de Emissão.</w:t>
      </w:r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7171363B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09383D73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25A65E20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 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O registro da presença dos Debenturistas na presente ata foi realizado com a assinatura do </w:t>
      </w:r>
      <w:r w:rsidR="00FD4581" w:rsidRPr="00FC523A">
        <w:rPr>
          <w:rFonts w:asciiTheme="minorHAnsi" w:hAnsiTheme="minorHAnsi" w:cstheme="minorHAnsi"/>
          <w:bCs/>
          <w:lang w:eastAsia="ar-SA"/>
        </w:rPr>
        <w:t>[</w:t>
      </w:r>
      <w:r w:rsidR="0035592A" w:rsidRPr="00E151D3">
        <w:rPr>
          <w:rFonts w:asciiTheme="minorHAnsi" w:hAnsiTheme="minorHAnsi" w:cstheme="minorHAnsi"/>
          <w:bCs/>
          <w:highlight w:val="yellow"/>
          <w:lang w:eastAsia="ar-SA"/>
        </w:rPr>
        <w:t>presidente</w:t>
      </w:r>
      <w:r w:rsidR="00FD4581" w:rsidRPr="00E151D3">
        <w:rPr>
          <w:rFonts w:asciiTheme="minorHAnsi" w:hAnsiTheme="minorHAnsi" w:cstheme="minorHAnsi"/>
          <w:bCs/>
          <w:highlight w:val="yellow"/>
          <w:lang w:eastAsia="ar-SA"/>
        </w:rPr>
        <w:t>/secretário</w:t>
      </w:r>
      <w:r w:rsidR="00FD4581" w:rsidRPr="00FC523A">
        <w:rPr>
          <w:rFonts w:asciiTheme="minorHAnsi" w:hAnsiTheme="minorHAnsi" w:cstheme="minorHAnsi"/>
          <w:bCs/>
          <w:lang w:eastAsia="ar-SA"/>
        </w:rPr>
        <w:t>]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 da mesa</w:t>
      </w:r>
      <w:r w:rsidR="00E151D3">
        <w:rPr>
          <w:rFonts w:asciiTheme="minorHAnsi" w:hAnsiTheme="minorHAnsi" w:cstheme="minorHAnsi"/>
          <w:bCs/>
          <w:lang w:eastAsia="ar-SA"/>
        </w:rPr>
        <w:t xml:space="preserve">, </w:t>
      </w:r>
      <w:r w:rsidR="00E151D3" w:rsidRPr="00D17352">
        <w:rPr>
          <w:rFonts w:asciiTheme="minorHAnsi" w:hAnsiTheme="minorHAnsi" w:cstheme="minorHAnsi"/>
        </w:rPr>
        <w:t>na forma da regulamentação aplicável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40EA9786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9D7A90">
        <w:rPr>
          <w:rFonts w:asciiTheme="minorHAnsi" w:hAnsiTheme="minorHAnsi" w:cstheme="minorHAnsi"/>
          <w:iCs/>
          <w:color w:val="auto"/>
        </w:rPr>
        <w:t>[=]</w:t>
      </w:r>
      <w:r w:rsidR="00B95F99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63EE9B9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lastRenderedPageBreak/>
        <w:br w:type="page"/>
      </w:r>
      <w:r w:rsidR="0020287C" w:rsidRPr="00625C0A">
        <w:rPr>
          <w:rFonts w:cstheme="minorHAnsi"/>
          <w:bCs/>
          <w:i/>
        </w:rPr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58139E" w:rsidRPr="0058139E">
        <w:rPr>
          <w:rFonts w:cstheme="minorHAnsi"/>
          <w:bCs/>
          <w:i/>
        </w:rPr>
        <w:t xml:space="preserve">primeira convocação </w:t>
      </w:r>
      <w:r w:rsidR="00BB7F84" w:rsidRPr="00625C0A">
        <w:rPr>
          <w:rFonts w:cstheme="minorHAnsi"/>
          <w:bCs/>
          <w:i/>
        </w:rPr>
        <w:t xml:space="preserve">em </w:t>
      </w:r>
      <w:r w:rsidR="0058139E">
        <w:rPr>
          <w:rFonts w:cstheme="minorHAnsi"/>
          <w:i/>
        </w:rPr>
        <w:t>8</w:t>
      </w:r>
      <w:r w:rsidR="007A202D" w:rsidRPr="00625C0A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de </w:t>
      </w:r>
      <w:r w:rsidR="00A54532">
        <w:rPr>
          <w:rFonts w:cstheme="minorHAnsi"/>
          <w:bCs/>
          <w:i/>
        </w:rPr>
        <w:t>setembro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179996C1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 xml:space="preserve">Mariana Gama </w:t>
            </w:r>
            <w:proofErr w:type="spellStart"/>
            <w:r w:rsidR="004749A5" w:rsidRPr="004749A5">
              <w:rPr>
                <w:rFonts w:cstheme="minorHAnsi"/>
                <w:sz w:val="24"/>
                <w:szCs w:val="24"/>
              </w:rPr>
              <w:t>Costabile</w:t>
            </w:r>
            <w:proofErr w:type="spellEnd"/>
            <w:r w:rsidR="004749A5" w:rsidRPr="004749A5">
              <w:rPr>
                <w:rFonts w:cstheme="minorHAnsi"/>
                <w:sz w:val="24"/>
                <w:szCs w:val="24"/>
              </w:rPr>
              <w:t xml:space="preserve"> Mattar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0ECBE7CC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Diretora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721101B3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4749A5" w:rsidRPr="004749A5">
              <w:rPr>
                <w:rFonts w:cstheme="minorHAnsi"/>
                <w:color w:val="000000"/>
                <w:sz w:val="24"/>
                <w:szCs w:val="24"/>
              </w:rPr>
              <w:t>Ana Macarena Ruiz Troster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4DD715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</w:p>
        </w:tc>
        <w:tc>
          <w:tcPr>
            <w:tcW w:w="4531" w:type="dxa"/>
          </w:tcPr>
          <w:p w14:paraId="5D89B83A" w14:textId="4B45F6E1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Procuradora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636044DA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58139E" w:rsidRPr="0058139E">
        <w:rPr>
          <w:rFonts w:asciiTheme="minorHAnsi" w:hAnsiTheme="minorHAnsi" w:cstheme="minorHAnsi"/>
          <w:bCs/>
          <w:i/>
          <w:color w:val="auto"/>
        </w:rPr>
        <w:t xml:space="preserve">primeira convocação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r w:rsidR="0003462D">
        <w:rPr>
          <w:rFonts w:asciiTheme="minorHAnsi" w:hAnsiTheme="minorHAnsi" w:cstheme="minorHAnsi"/>
          <w:i/>
          <w:color w:val="auto"/>
        </w:rPr>
        <w:t>[</w:t>
      </w:r>
      <w:r w:rsidR="0003462D" w:rsidRPr="0003462D">
        <w:rPr>
          <w:rFonts w:asciiTheme="minorHAnsi" w:hAnsiTheme="minorHAnsi" w:cstheme="minorHAnsi"/>
          <w:i/>
          <w:color w:val="auto"/>
          <w:highlight w:val="yellow"/>
        </w:rPr>
        <w:t>=</w:t>
      </w:r>
      <w:r w:rsidR="0003462D">
        <w:rPr>
          <w:rFonts w:asciiTheme="minorHAnsi" w:hAnsiTheme="minorHAnsi" w:cstheme="minorHAnsi"/>
          <w:i/>
          <w:color w:val="auto"/>
        </w:rPr>
        <w:t>]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 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default" r:id="rId13"/>
      <w:footerReference w:type="default" r:id="rId14"/>
      <w:footerReference w:type="first" r:id="rId15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dro Oliveira" w:date="2022-10-11T09:39:00Z" w:initials="PO">
    <w:p w14:paraId="29727630" w14:textId="77777777" w:rsidR="008B2FAE" w:rsidRDefault="008B2FAE" w:rsidP="003211E5">
      <w:pPr>
        <w:pStyle w:val="Textodecomentrio"/>
      </w:pPr>
      <w:r>
        <w:rPr>
          <w:rStyle w:val="Refdecomentrio"/>
        </w:rPr>
        <w:annotationRef/>
      </w:r>
      <w:r>
        <w:t>Favor confirmar se haverá um prazo para a anuência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276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850" w16cex:dateUtc="2022-10-11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27630" w16cid:durableId="26EFB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946" w14:textId="77777777" w:rsidR="000E4CC7" w:rsidRDefault="000E4CC7" w:rsidP="00AF682E">
      <w:pPr>
        <w:spacing w:after="0" w:line="240" w:lineRule="auto"/>
      </w:pPr>
      <w:r>
        <w:separator/>
      </w:r>
    </w:p>
  </w:endnote>
  <w:endnote w:type="continuationSeparator" w:id="0">
    <w:p w14:paraId="5600F8CE" w14:textId="77777777" w:rsidR="000E4CC7" w:rsidRDefault="000E4CC7" w:rsidP="00A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421082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566094DB" w14:textId="56F4139A" w:rsidR="00794B5F" w:rsidRPr="00625C0A" w:rsidRDefault="00794B5F">
        <w:pPr>
          <w:pStyle w:val="Rodap"/>
          <w:jc w:val="right"/>
          <w:rPr>
            <w:rFonts w:cstheme="minorHAnsi"/>
            <w:sz w:val="24"/>
            <w:szCs w:val="24"/>
          </w:rPr>
        </w:pPr>
        <w:r w:rsidRPr="00625C0A">
          <w:rPr>
            <w:rFonts w:cstheme="minorHAnsi"/>
            <w:sz w:val="24"/>
            <w:szCs w:val="24"/>
          </w:rPr>
          <w:fldChar w:fldCharType="begin"/>
        </w:r>
        <w:r w:rsidRPr="00625C0A">
          <w:rPr>
            <w:rFonts w:cstheme="minorHAnsi"/>
            <w:sz w:val="24"/>
            <w:szCs w:val="24"/>
          </w:rPr>
          <w:instrText>PAGE   \* MERGEFORMAT</w:instrText>
        </w:r>
        <w:r w:rsidRPr="00625C0A">
          <w:rPr>
            <w:rFonts w:cstheme="minorHAnsi"/>
            <w:sz w:val="24"/>
            <w:szCs w:val="24"/>
          </w:rPr>
          <w:fldChar w:fldCharType="separate"/>
        </w:r>
        <w:r w:rsidR="009C2B53" w:rsidRPr="00625C0A">
          <w:rPr>
            <w:rFonts w:cstheme="minorHAnsi"/>
            <w:noProof/>
            <w:sz w:val="24"/>
            <w:szCs w:val="24"/>
          </w:rPr>
          <w:t>1</w:t>
        </w:r>
        <w:r w:rsidRPr="00625C0A">
          <w:rPr>
            <w:rFonts w:cstheme="minorHAnsi"/>
            <w:sz w:val="24"/>
            <w:szCs w:val="24"/>
          </w:rPr>
          <w:fldChar w:fldCharType="end"/>
        </w:r>
      </w:p>
    </w:sdtContent>
  </w:sdt>
  <w:p w14:paraId="6AA7F0E5" w14:textId="3DE35C81" w:rsidR="00794B5F" w:rsidRDefault="00794B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091" w14:textId="77777777" w:rsidR="000E4CC7" w:rsidRDefault="000E4CC7" w:rsidP="00AF682E">
      <w:pPr>
        <w:spacing w:after="0" w:line="240" w:lineRule="auto"/>
      </w:pPr>
      <w:r>
        <w:separator/>
      </w:r>
    </w:p>
  </w:footnote>
  <w:footnote w:type="continuationSeparator" w:id="0">
    <w:p w14:paraId="3272891A" w14:textId="77777777" w:rsidR="000E4CC7" w:rsidRDefault="000E4CC7" w:rsidP="00A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6B2D"/>
    <w:rsid w:val="001E7159"/>
    <w:rsid w:val="0020287C"/>
    <w:rsid w:val="00211C34"/>
    <w:rsid w:val="00211E9F"/>
    <w:rsid w:val="00213961"/>
    <w:rsid w:val="00216C1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F64E9"/>
    <w:rsid w:val="00504821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F90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DAA"/>
    <w:rsid w:val="00AE0CFD"/>
    <w:rsid w:val="00AE7AEB"/>
    <w:rsid w:val="00AF55E4"/>
    <w:rsid w:val="00AF682E"/>
    <w:rsid w:val="00B017A5"/>
    <w:rsid w:val="00B0207B"/>
    <w:rsid w:val="00B02983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76D2"/>
    <w:rsid w:val="00BB2D53"/>
    <w:rsid w:val="00BB3A83"/>
    <w:rsid w:val="00BB7F84"/>
    <w:rsid w:val="00BC24A2"/>
    <w:rsid w:val="00BC2B94"/>
    <w:rsid w:val="00BC5F8B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 S F P F C ! 3 9 1 6 6 7 2 . 4 < / d o c u m e n t i d >  
     < s e n d e r i d > P L Y R I O < / s e n d e r i d >  
     < s e n d e r e m a i l > P L Y R I O @ S T O C C H E F O R B E S . C O M . B R < / s e n d e r e m a i l >  
     < l a s t m o d i f i e d > 2 0 2 2 - 0 9 - 0 6 T 1 9 : 0 3 : 0 0 . 0 0 0 0 0 0 0 - 0 3 : 0 0 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92257-D635-4889-8A17-5DCB53D3CA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Pedro Oliveira</cp:lastModifiedBy>
  <cp:revision>7</cp:revision>
  <cp:lastPrinted>2019-05-23T17:51:00Z</cp:lastPrinted>
  <dcterms:created xsi:type="dcterms:W3CDTF">2022-09-06T22:03:00Z</dcterms:created>
  <dcterms:modified xsi:type="dcterms:W3CDTF">2022-10-11T12:50:00Z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_x000d_3210755v2 / 1623-8 </vt:lpwstr>
  </property>
</Properties>
</file>