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6483" w:rsidR="00663195" w:rsidP="006D41C3" w:rsidRDefault="00663195">
      <w:pPr>
        <w:spacing w:after="0" w:line="320" w:lineRule="exact"/>
        <w:jc w:val="center"/>
        <w:rPr>
          <w:rFonts w:asciiTheme="minorHAnsi" w:hAnsiTheme="minorHAnsi" w:cstheme="minorHAnsi"/>
          <w:sz w:val="20"/>
          <w:szCs w:val="20"/>
        </w:rPr>
      </w:pPr>
    </w:p>
    <w:p w:rsidRPr="00CE6483" w:rsidR="00AE4D70" w:rsidP="006D41C3" w:rsidRDefault="00B536AC">
      <w:pPr>
        <w:pStyle w:val="Heading1"/>
        <w:spacing w:after="0" w:line="320" w:lineRule="exact"/>
        <w:jc w:val="center"/>
        <w:rPr>
          <w:rFonts w:asciiTheme="minorHAnsi" w:hAnsiTheme="minorHAnsi" w:cstheme="minorHAnsi"/>
          <w:sz w:val="20"/>
          <w:szCs w:val="20"/>
        </w:rPr>
      </w:pPr>
      <w:r w:rsidRPr="00CE6483">
        <w:rPr>
          <w:rFonts w:asciiTheme="minorHAnsi" w:hAnsiTheme="minorHAnsi" w:cstheme="minorHAnsi"/>
          <w:sz w:val="20"/>
          <w:szCs w:val="20"/>
        </w:rPr>
        <w:t>NOTIFICAÇÃO</w:t>
      </w:r>
    </w:p>
    <w:p w:rsidRPr="00CE6483" w:rsidR="00AE4D70" w:rsidP="006D41C3" w:rsidRDefault="00AE4D70">
      <w:pPr>
        <w:spacing w:after="0" w:line="320" w:lineRule="exact"/>
        <w:ind w:left="0" w:right="5"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5"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54"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São Paulo, </w:t>
      </w:r>
      <w:r w:rsidR="008E508E">
        <w:rPr>
          <w:rFonts w:asciiTheme="minorHAnsi" w:hAnsiTheme="minorHAnsi" w:cstheme="minorHAnsi"/>
          <w:sz w:val="20"/>
          <w:szCs w:val="20"/>
        </w:rPr>
        <w:t>21</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FE5CE0">
        <w:rPr>
          <w:rFonts w:asciiTheme="minorHAnsi" w:hAnsiTheme="minorHAnsi" w:cstheme="minorHAnsi"/>
          <w:sz w:val="20"/>
          <w:szCs w:val="20"/>
        </w:rPr>
        <w:t>junho</w:t>
      </w:r>
      <w:r w:rsidRPr="00CE6483">
        <w:rPr>
          <w:rFonts w:asciiTheme="minorHAnsi" w:hAnsiTheme="minorHAnsi" w:cstheme="minorHAnsi"/>
          <w:sz w:val="20"/>
          <w:szCs w:val="20"/>
        </w:rPr>
        <w:t xml:space="preserve"> de </w:t>
      </w:r>
      <w:r w:rsidRPr="00CE6483" w:rsidR="00782CF0">
        <w:rPr>
          <w:rFonts w:asciiTheme="minorHAnsi" w:hAnsiTheme="minorHAnsi" w:cstheme="minorHAnsi"/>
          <w:sz w:val="20"/>
          <w:szCs w:val="20"/>
        </w:rPr>
        <w:t>2022</w:t>
      </w: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5"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 xml:space="preserve">À </w:t>
      </w:r>
    </w:p>
    <w:p w:rsidRPr="00CE6483" w:rsidR="00C31942" w:rsidP="00C31942" w:rsidRDefault="00C31942">
      <w:pPr>
        <w:spacing w:after="0" w:line="320" w:lineRule="exact"/>
        <w:ind w:left="-5" w:right="36"/>
        <w:rPr>
          <w:rFonts w:asciiTheme="minorHAnsi" w:hAnsiTheme="minorHAnsi" w:cstheme="minorHAnsi"/>
          <w:b/>
          <w:sz w:val="20"/>
          <w:szCs w:val="20"/>
        </w:rPr>
      </w:pPr>
      <w:r w:rsidRPr="00CE6483">
        <w:rPr>
          <w:rFonts w:asciiTheme="minorHAnsi" w:hAnsiTheme="minorHAnsi" w:cstheme="minorHAnsi"/>
          <w:b/>
          <w:bCs/>
          <w:color w:val="202124"/>
          <w:sz w:val="20"/>
          <w:szCs w:val="20"/>
          <w:shd w:val="clear" w:color="auto" w:fill="FFFFFF"/>
        </w:rPr>
        <w:t xml:space="preserve">SIMPLIFIC </w:t>
      </w:r>
      <w:r w:rsidRPr="00CE6483" w:rsidR="00114934">
        <w:rPr>
          <w:rFonts w:asciiTheme="minorHAnsi" w:hAnsiTheme="minorHAnsi" w:cstheme="minorHAnsi"/>
          <w:b/>
          <w:bCs/>
          <w:color w:val="202124"/>
          <w:sz w:val="20"/>
          <w:szCs w:val="20"/>
          <w:shd w:val="clear" w:color="auto" w:fill="FFFFFF"/>
        </w:rPr>
        <w:t xml:space="preserve">PAVARINI </w:t>
      </w:r>
      <w:r w:rsidRPr="00CE6483">
        <w:rPr>
          <w:rFonts w:asciiTheme="minorHAnsi" w:hAnsiTheme="minorHAnsi" w:cstheme="minorHAnsi"/>
          <w:b/>
          <w:bCs/>
          <w:color w:val="202124"/>
          <w:sz w:val="20"/>
          <w:szCs w:val="20"/>
          <w:shd w:val="clear" w:color="auto" w:fill="FFFFFF"/>
        </w:rPr>
        <w:t>DISTRIBUIDORA DE TÍTULOS E VALORES MOBILIARIOS LTDA.</w:t>
      </w:r>
    </w:p>
    <w:p w:rsidRPr="00CE6483" w:rsidR="00C31942" w:rsidP="00C31942" w:rsidRDefault="00C31942">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Rua Sete de Setembro, nº 99, 24ª andar, Centro</w:t>
      </w:r>
    </w:p>
    <w:p w:rsidRPr="00CE6483" w:rsidR="00AE4D70" w:rsidP="00C31942" w:rsidRDefault="00C31942">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 xml:space="preserve">CEP: 20050-005 </w:t>
      </w:r>
      <w:r w:rsidRPr="00CE6483" w:rsidR="00F17534">
        <w:rPr>
          <w:rFonts w:asciiTheme="minorHAnsi" w:hAnsiTheme="minorHAnsi" w:cstheme="minorHAnsi"/>
          <w:sz w:val="20"/>
          <w:szCs w:val="20"/>
        </w:rPr>
        <w:t xml:space="preserve">- </w:t>
      </w:r>
      <w:r w:rsidRPr="00CE6483">
        <w:rPr>
          <w:rFonts w:asciiTheme="minorHAnsi" w:hAnsiTheme="minorHAnsi" w:cstheme="minorHAnsi"/>
          <w:sz w:val="20"/>
          <w:szCs w:val="20"/>
        </w:rPr>
        <w:t>Rio de Janeiro, RJ</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tabs>
          <w:tab w:val="center" w:pos="1523"/>
        </w:tabs>
        <w:spacing w:after="0" w:line="320" w:lineRule="exact"/>
        <w:ind w:left="-15"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At.: </w:t>
      </w:r>
      <w:r w:rsidRPr="00CE6483">
        <w:rPr>
          <w:rFonts w:asciiTheme="minorHAnsi" w:hAnsiTheme="minorHAnsi" w:cstheme="minorHAnsi"/>
          <w:sz w:val="20"/>
          <w:szCs w:val="20"/>
        </w:rPr>
        <w:tab/>
        <w:t xml:space="preserve">Sr. </w:t>
      </w:r>
      <w:r w:rsidRPr="00CE6483" w:rsidR="00C31942">
        <w:rPr>
          <w:rFonts w:asciiTheme="minorHAnsi" w:hAnsiTheme="minorHAnsi" w:cstheme="minorHAnsi"/>
          <w:sz w:val="20"/>
          <w:szCs w:val="20"/>
        </w:rPr>
        <w:t>Renato Penna Magoulas Bacha</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tabs>
          <w:tab w:val="center" w:pos="3606"/>
        </w:tabs>
        <w:spacing w:after="0" w:line="320" w:lineRule="exact"/>
        <w:ind w:left="-15"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Ref.: </w:t>
      </w:r>
      <w:r w:rsidRPr="00CE6483">
        <w:rPr>
          <w:rFonts w:asciiTheme="minorHAnsi" w:hAnsiTheme="minorHAnsi" w:cstheme="minorHAnsi"/>
          <w:sz w:val="20"/>
          <w:szCs w:val="20"/>
        </w:rPr>
        <w:tab/>
      </w:r>
      <w:r w:rsidRPr="00CE6483" w:rsidR="00B536AC">
        <w:rPr>
          <w:rFonts w:asciiTheme="minorHAnsi" w:hAnsiTheme="minorHAnsi" w:cstheme="minorHAnsi"/>
          <w:sz w:val="20"/>
          <w:szCs w:val="20"/>
        </w:rPr>
        <w:t>Aquisição facultativa das debêntures da</w:t>
      </w:r>
      <w:r w:rsidRPr="00CE6483" w:rsidR="00C31942">
        <w:rPr>
          <w:rFonts w:asciiTheme="minorHAnsi" w:hAnsiTheme="minorHAnsi" w:cstheme="minorHAnsi"/>
          <w:sz w:val="20"/>
          <w:szCs w:val="20"/>
        </w:rPr>
        <w:t xml:space="preserve"> 10</w:t>
      </w:r>
      <w:r w:rsidRPr="00CE6483">
        <w:rPr>
          <w:rFonts w:asciiTheme="minorHAnsi" w:hAnsiTheme="minorHAnsi" w:cstheme="minorHAnsi"/>
          <w:sz w:val="20"/>
          <w:szCs w:val="20"/>
        </w:rPr>
        <w:t xml:space="preserve">ª </w:t>
      </w:r>
      <w:r w:rsidRPr="00CE6483" w:rsidR="00B536AC">
        <w:rPr>
          <w:rFonts w:asciiTheme="minorHAnsi" w:hAnsiTheme="minorHAnsi" w:cstheme="minorHAnsi"/>
          <w:sz w:val="20"/>
          <w:szCs w:val="20"/>
        </w:rPr>
        <w:t xml:space="preserve">(décima) </w:t>
      </w:r>
      <w:r w:rsidRPr="00CE6483">
        <w:rPr>
          <w:rFonts w:asciiTheme="minorHAnsi" w:hAnsiTheme="minorHAnsi" w:cstheme="minorHAnsi"/>
          <w:sz w:val="20"/>
          <w:szCs w:val="20"/>
        </w:rPr>
        <w:t>e</w:t>
      </w:r>
      <w:r w:rsidRPr="00CE6483" w:rsidR="00B536AC">
        <w:rPr>
          <w:rFonts w:asciiTheme="minorHAnsi" w:hAnsiTheme="minorHAnsi" w:cstheme="minorHAnsi"/>
          <w:sz w:val="20"/>
          <w:szCs w:val="20"/>
        </w:rPr>
        <w:t>missão da Natura Cosméticos S.A.</w:t>
      </w: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Prezad</w:t>
      </w:r>
      <w:r w:rsidRPr="00CE6483" w:rsidR="00485BFA">
        <w:rPr>
          <w:rFonts w:asciiTheme="minorHAnsi" w:hAnsiTheme="minorHAnsi" w:cstheme="minorHAnsi"/>
          <w:sz w:val="20"/>
          <w:szCs w:val="20"/>
        </w:rPr>
        <w:t>o</w:t>
      </w:r>
      <w:r w:rsidRPr="00CE6483">
        <w:rPr>
          <w:rFonts w:asciiTheme="minorHAnsi" w:hAnsiTheme="minorHAnsi" w:cstheme="minorHAnsi"/>
          <w:sz w:val="20"/>
          <w:szCs w:val="20"/>
        </w:rPr>
        <w:t xml:space="preserve"> Sr. </w:t>
      </w:r>
      <w:r w:rsidRPr="00CE6483" w:rsidR="00C31942">
        <w:rPr>
          <w:rFonts w:asciiTheme="minorHAnsi" w:hAnsiTheme="minorHAnsi" w:cstheme="minorHAnsi"/>
          <w:sz w:val="20"/>
          <w:szCs w:val="20"/>
        </w:rPr>
        <w:t>Renato</w:t>
      </w: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B536AC">
      <w:pPr>
        <w:spacing w:after="0" w:line="320" w:lineRule="exact"/>
        <w:ind w:left="-15" w:right="36" w:firstLine="708"/>
        <w:rPr>
          <w:rFonts w:asciiTheme="minorHAnsi" w:hAnsiTheme="minorHAnsi" w:cstheme="minorHAnsi"/>
          <w:sz w:val="20"/>
          <w:szCs w:val="20"/>
        </w:rPr>
      </w:pPr>
      <w:r w:rsidRPr="00CE6483">
        <w:rPr>
          <w:rFonts w:asciiTheme="minorHAnsi" w:hAnsiTheme="minorHAnsi" w:cstheme="minorHAnsi"/>
          <w:sz w:val="20"/>
          <w:szCs w:val="20"/>
        </w:rPr>
        <w:t xml:space="preserve">A </w:t>
      </w:r>
      <w:r w:rsidRPr="00CE6483" w:rsidR="00AE4D70">
        <w:rPr>
          <w:rFonts w:asciiTheme="minorHAnsi" w:hAnsiTheme="minorHAnsi" w:cstheme="minorHAnsi"/>
          <w:b/>
          <w:sz w:val="20"/>
          <w:szCs w:val="20"/>
        </w:rPr>
        <w:t>NATURA COSMÉTICOS S.A.</w:t>
      </w:r>
      <w:r w:rsidRPr="00CE6483" w:rsidR="00AE4D70">
        <w:rPr>
          <w:rFonts w:asciiTheme="minorHAnsi" w:hAnsiTheme="minorHAnsi" w:cstheme="minorHAnsi"/>
          <w:sz w:val="20"/>
          <w:szCs w:val="20"/>
        </w:rPr>
        <w:t xml:space="preserve">, sociedade por ações com registro de companhia aberta perante a Comissão de Valores Mobiliários, com sede na cidade de São Paulo, Estado de São Paulo, na Avenida Alexandre Colares, n° 1188, </w:t>
      </w:r>
      <w:r w:rsidRPr="00CE6483" w:rsidR="00F17534">
        <w:rPr>
          <w:rFonts w:asciiTheme="minorHAnsi" w:hAnsiTheme="minorHAnsi" w:cstheme="minorHAnsi"/>
          <w:sz w:val="20"/>
          <w:szCs w:val="20"/>
        </w:rPr>
        <w:t>Parque Anhanguera</w:t>
      </w:r>
      <w:r w:rsidRPr="00CE6483" w:rsidR="00AE4D70">
        <w:rPr>
          <w:rFonts w:asciiTheme="minorHAnsi" w:hAnsiTheme="minorHAnsi" w:cstheme="minorHAnsi"/>
          <w:sz w:val="20"/>
          <w:szCs w:val="20"/>
        </w:rPr>
        <w:t>, CEP 05106-000, inscrita no CNPJ/M</w:t>
      </w:r>
      <w:r w:rsidRPr="00CE6483" w:rsidR="008235FA">
        <w:rPr>
          <w:rFonts w:asciiTheme="minorHAnsi" w:hAnsiTheme="minorHAnsi" w:cstheme="minorHAnsi"/>
          <w:sz w:val="20"/>
          <w:szCs w:val="20"/>
        </w:rPr>
        <w:t>E</w:t>
      </w:r>
      <w:r w:rsidRPr="00CE6483" w:rsidR="00AE4D70">
        <w:rPr>
          <w:rFonts w:asciiTheme="minorHAnsi" w:hAnsiTheme="minorHAnsi" w:cstheme="minorHAnsi"/>
          <w:sz w:val="20"/>
          <w:szCs w:val="20"/>
        </w:rPr>
        <w:t xml:space="preserve"> sob nº 71.673.990/0001-77 ("</w:t>
      </w:r>
      <w:r w:rsidRPr="00CE6483">
        <w:rPr>
          <w:rFonts w:asciiTheme="minorHAnsi" w:hAnsiTheme="minorHAnsi" w:cstheme="minorHAnsi"/>
          <w:sz w:val="20"/>
          <w:szCs w:val="20"/>
          <w:u w:val="single"/>
        </w:rPr>
        <w:t>Companhia</w:t>
      </w:r>
      <w:r w:rsidRPr="00CE6483" w:rsidR="00AE4D70">
        <w:rPr>
          <w:rFonts w:asciiTheme="minorHAnsi" w:hAnsiTheme="minorHAnsi" w:cstheme="minorHAnsi"/>
          <w:sz w:val="20"/>
          <w:szCs w:val="20"/>
        </w:rPr>
        <w:t xml:space="preserve">"), vem, pela presente, </w:t>
      </w:r>
      <w:r w:rsidRPr="00CE6483">
        <w:rPr>
          <w:rFonts w:asciiTheme="minorHAnsi" w:hAnsiTheme="minorHAnsi" w:cstheme="minorHAnsi"/>
          <w:sz w:val="20"/>
          <w:szCs w:val="20"/>
        </w:rPr>
        <w:t>informar</w:t>
      </w:r>
      <w:r w:rsidRPr="00CE6483" w:rsidR="00AE4D70">
        <w:rPr>
          <w:rFonts w:asciiTheme="minorHAnsi" w:hAnsiTheme="minorHAnsi" w:cstheme="minorHAnsi"/>
          <w:sz w:val="20"/>
          <w:szCs w:val="20"/>
        </w:rPr>
        <w:t xml:space="preserve"> a </w:t>
      </w:r>
      <w:proofErr w:type="spellStart"/>
      <w:r w:rsidRPr="00CE6483" w:rsidR="00AE4D70">
        <w:rPr>
          <w:rFonts w:asciiTheme="minorHAnsi" w:hAnsiTheme="minorHAnsi" w:cstheme="minorHAnsi"/>
          <w:sz w:val="20"/>
          <w:szCs w:val="20"/>
        </w:rPr>
        <w:t>V.Sa</w:t>
      </w:r>
      <w:proofErr w:type="spellEnd"/>
      <w:r w:rsidRPr="00CE6483" w:rsidR="00AE4D70">
        <w:rPr>
          <w:rFonts w:asciiTheme="minorHAnsi" w:hAnsiTheme="minorHAnsi" w:cstheme="minorHAnsi"/>
          <w:sz w:val="20"/>
          <w:szCs w:val="20"/>
        </w:rPr>
        <w:t xml:space="preserve"> o quanto segue.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CE6483">
      <w:pPr>
        <w:numPr>
          <w:ilvl w:val="0"/>
          <w:numId w:val="30"/>
        </w:numPr>
        <w:spacing w:after="0" w:line="320" w:lineRule="exact"/>
        <w:ind w:right="36"/>
        <w:rPr>
          <w:rFonts w:asciiTheme="minorHAnsi" w:hAnsiTheme="minorHAnsi" w:cstheme="minorHAnsi"/>
          <w:sz w:val="20"/>
          <w:szCs w:val="20"/>
        </w:rPr>
      </w:pPr>
      <w:r w:rsidRPr="00CE6483">
        <w:rPr>
          <w:rFonts w:asciiTheme="minorHAnsi" w:hAnsiTheme="minorHAnsi" w:cstheme="minorHAnsi"/>
          <w:sz w:val="20"/>
          <w:szCs w:val="20"/>
        </w:rPr>
        <w:t xml:space="preserve">Nos termos do (i) </w:t>
      </w:r>
      <w:r w:rsidRPr="00CE6483">
        <w:rPr>
          <w:rFonts w:asciiTheme="minorHAnsi" w:hAnsiTheme="minorHAnsi" w:cstheme="minorHAnsi"/>
          <w:w w:val="105"/>
          <w:sz w:val="20"/>
          <w:szCs w:val="20"/>
        </w:rPr>
        <w:t xml:space="preserve">Fato Relevante divulgado ao mercado </w:t>
      </w:r>
      <w:r w:rsidRPr="00CE6483" w:rsidR="008E508E">
        <w:rPr>
          <w:rFonts w:asciiTheme="minorHAnsi" w:hAnsiTheme="minorHAnsi" w:cstheme="minorHAnsi"/>
          <w:sz w:val="20"/>
          <w:szCs w:val="20"/>
        </w:rPr>
        <w:t>n</w:t>
      </w:r>
      <w:r w:rsidR="008E508E">
        <w:rPr>
          <w:rFonts w:asciiTheme="minorHAnsi" w:hAnsiTheme="minorHAnsi" w:cstheme="minorHAnsi"/>
          <w:sz w:val="20"/>
          <w:szCs w:val="20"/>
        </w:rPr>
        <w:t>esta data,</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dia </w:t>
      </w:r>
      <w:r w:rsidR="008E508E">
        <w:rPr>
          <w:rFonts w:asciiTheme="minorHAnsi" w:hAnsiTheme="minorHAnsi" w:cstheme="minorHAnsi"/>
          <w:sz w:val="20"/>
          <w:szCs w:val="20"/>
        </w:rPr>
        <w:t>21</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8E508E">
        <w:rPr>
          <w:rFonts w:asciiTheme="minorHAnsi" w:hAnsiTheme="minorHAnsi" w:cstheme="minorHAnsi"/>
          <w:sz w:val="20"/>
          <w:szCs w:val="20"/>
        </w:rPr>
        <w:t>junho</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de 2022, (</w:t>
      </w:r>
      <w:proofErr w:type="spellStart"/>
      <w:r w:rsidRPr="00CE6483">
        <w:rPr>
          <w:rFonts w:asciiTheme="minorHAnsi" w:hAnsiTheme="minorHAnsi" w:cstheme="minorHAnsi"/>
          <w:sz w:val="20"/>
          <w:szCs w:val="20"/>
        </w:rPr>
        <w:t>ii</w:t>
      </w:r>
      <w:proofErr w:type="spellEnd"/>
      <w:r w:rsidRPr="00CE6483">
        <w:rPr>
          <w:rFonts w:asciiTheme="minorHAnsi" w:hAnsiTheme="minorHAnsi" w:cstheme="minorHAnsi"/>
          <w:sz w:val="20"/>
          <w:szCs w:val="20"/>
        </w:rPr>
        <w:t xml:space="preserve">) Aviso aos Debenturistas </w:t>
      </w:r>
      <w:r w:rsidRPr="00CE6483">
        <w:rPr>
          <w:rFonts w:asciiTheme="minorHAnsi" w:hAnsiTheme="minorHAnsi" w:cstheme="minorHAnsi"/>
          <w:w w:val="105"/>
          <w:sz w:val="20"/>
          <w:szCs w:val="20"/>
        </w:rPr>
        <w:t xml:space="preserve">divulgado ao mercado </w:t>
      </w:r>
      <w:r w:rsidRPr="00CE6483" w:rsidR="008E508E">
        <w:rPr>
          <w:rFonts w:asciiTheme="minorHAnsi" w:hAnsiTheme="minorHAnsi" w:cstheme="minorHAnsi"/>
          <w:sz w:val="20"/>
          <w:szCs w:val="20"/>
        </w:rPr>
        <w:t>n</w:t>
      </w:r>
      <w:r w:rsidR="008E508E">
        <w:rPr>
          <w:rFonts w:asciiTheme="minorHAnsi" w:hAnsiTheme="minorHAnsi" w:cstheme="minorHAnsi"/>
          <w:sz w:val="20"/>
          <w:szCs w:val="20"/>
        </w:rPr>
        <w:t>esta data,</w:t>
      </w:r>
      <w:r w:rsidRPr="00CE6483">
        <w:rPr>
          <w:rFonts w:asciiTheme="minorHAnsi" w:hAnsiTheme="minorHAnsi" w:cstheme="minorHAnsi"/>
          <w:sz w:val="20"/>
          <w:szCs w:val="20"/>
        </w:rPr>
        <w:t xml:space="preserve"> dia </w:t>
      </w:r>
      <w:r w:rsidR="008E508E">
        <w:rPr>
          <w:rFonts w:asciiTheme="minorHAnsi" w:hAnsiTheme="minorHAnsi" w:cstheme="minorHAnsi"/>
          <w:sz w:val="20"/>
          <w:szCs w:val="20"/>
        </w:rPr>
        <w:t>21</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8E508E">
        <w:rPr>
          <w:rFonts w:asciiTheme="minorHAnsi" w:hAnsiTheme="minorHAnsi" w:cstheme="minorHAnsi"/>
          <w:sz w:val="20"/>
          <w:szCs w:val="20"/>
        </w:rPr>
        <w:t>junho</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de 2022; e (</w:t>
      </w:r>
      <w:proofErr w:type="spellStart"/>
      <w:r w:rsidRPr="00CE6483">
        <w:rPr>
          <w:rFonts w:asciiTheme="minorHAnsi" w:hAnsiTheme="minorHAnsi" w:cstheme="minorHAnsi"/>
          <w:sz w:val="20"/>
          <w:szCs w:val="20"/>
        </w:rPr>
        <w:t>iii</w:t>
      </w:r>
      <w:proofErr w:type="spellEnd"/>
      <w:r w:rsidRPr="00CE6483">
        <w:rPr>
          <w:rFonts w:asciiTheme="minorHAnsi" w:hAnsiTheme="minorHAnsi" w:cstheme="minorHAnsi"/>
          <w:sz w:val="20"/>
          <w:szCs w:val="20"/>
        </w:rPr>
        <w:t xml:space="preserve">) da ata da reunião do Conselho de Administração realizada </w:t>
      </w:r>
      <w:r w:rsidRPr="00CE6483" w:rsidR="008E508E">
        <w:rPr>
          <w:rFonts w:asciiTheme="minorHAnsi" w:hAnsiTheme="minorHAnsi" w:cstheme="minorHAnsi"/>
          <w:sz w:val="20"/>
          <w:szCs w:val="20"/>
        </w:rPr>
        <w:t>n</w:t>
      </w:r>
      <w:r w:rsidR="008E508E">
        <w:rPr>
          <w:rFonts w:asciiTheme="minorHAnsi" w:hAnsiTheme="minorHAnsi" w:cstheme="minorHAnsi"/>
          <w:sz w:val="20"/>
          <w:szCs w:val="20"/>
        </w:rPr>
        <w:t>esta data,</w:t>
      </w:r>
      <w:r w:rsidRPr="00CE6483">
        <w:rPr>
          <w:rFonts w:asciiTheme="minorHAnsi" w:hAnsiTheme="minorHAnsi" w:cstheme="minorHAnsi"/>
          <w:sz w:val="20"/>
          <w:szCs w:val="20"/>
        </w:rPr>
        <w:t xml:space="preserve"> dia </w:t>
      </w:r>
      <w:r w:rsidR="008E508E">
        <w:rPr>
          <w:rFonts w:asciiTheme="minorHAnsi" w:hAnsiTheme="minorHAnsi" w:cstheme="minorHAnsi"/>
          <w:sz w:val="20"/>
          <w:szCs w:val="20"/>
        </w:rPr>
        <w:t>21</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8E508E">
        <w:rPr>
          <w:rFonts w:asciiTheme="minorHAnsi" w:hAnsiTheme="minorHAnsi" w:cstheme="minorHAnsi"/>
          <w:sz w:val="20"/>
          <w:szCs w:val="20"/>
        </w:rPr>
        <w:t>junho</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de 2022 ("</w:t>
      </w:r>
      <w:r w:rsidRPr="00CE6483">
        <w:rPr>
          <w:rFonts w:asciiTheme="minorHAnsi" w:hAnsiTheme="minorHAnsi" w:cstheme="minorHAnsi"/>
          <w:sz w:val="20"/>
          <w:szCs w:val="20"/>
          <w:u w:val="single"/>
        </w:rPr>
        <w:t>RCA</w:t>
      </w:r>
      <w:r w:rsidRPr="00CE6483">
        <w:rPr>
          <w:rFonts w:asciiTheme="minorHAnsi" w:hAnsiTheme="minorHAnsi" w:cstheme="minorHAnsi"/>
          <w:sz w:val="20"/>
          <w:szCs w:val="20"/>
        </w:rPr>
        <w:t>"), que seguem anexos à presente para referência de V.Sa.</w:t>
      </w:r>
      <w:r w:rsidRPr="00CE6483" w:rsidR="00B536AC">
        <w:rPr>
          <w:sz w:val="20"/>
          <w:szCs w:val="20"/>
        </w:rPr>
        <w:t xml:space="preserve">, o Conselho de Administração aprovou </w:t>
      </w:r>
      <w:r w:rsidRPr="00CE6483" w:rsidR="00B536AC">
        <w:rPr>
          <w:w w:val="105"/>
          <w:sz w:val="20"/>
          <w:szCs w:val="20"/>
        </w:rPr>
        <w:t>a realização da aquisição facultativa, pela Companhia, no mercado secundário e respectivo cancelamento, da totalidade das debêntures em circulação da 1ª (primeira), 2ª (segunda), 3ª (terceira) e 4ª (quarta) séries da 10ª (décima) emissão de debêntures simples, não conversíveis em ações, da espécie quirografária, em até quatro séries, para distribuição pública com esforços restritos, da Companhia, pelo valor nominal atualizado, nos termos do art. 55, §3º, inciso I da Lei das Sociedades por Ações e da Resolução CVM nº 77, de 29 de março de 2022, conforme as condições estabelecidas no Anexo A à RCA, em cumprimento ao disposto na R</w:t>
      </w:r>
      <w:r w:rsidRPr="00CE6483" w:rsidR="00B536AC">
        <w:rPr>
          <w:sz w:val="20"/>
          <w:szCs w:val="20"/>
        </w:rPr>
        <w:t>esolução CVM nº 80, de 29 de março de 2022</w:t>
      </w:r>
      <w:r w:rsidRPr="00CE6483">
        <w:rPr>
          <w:sz w:val="20"/>
          <w:szCs w:val="20"/>
        </w:rPr>
        <w:t xml:space="preserve">, </w:t>
      </w:r>
      <w:r w:rsidRPr="00CE6483">
        <w:rPr>
          <w:rFonts w:asciiTheme="minorHAnsi" w:hAnsiTheme="minorHAnsi" w:cstheme="minorHAnsi"/>
          <w:sz w:val="20"/>
          <w:szCs w:val="20"/>
        </w:rPr>
        <w:t>descritas a seguir:</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CE6483" w:rsidP="00CE6483" w:rsidRDefault="00CE6483">
      <w:pPr>
        <w:ind w:right="40"/>
        <w:rPr>
          <w:rFonts w:asciiTheme="minorHAnsi" w:hAnsiTheme="minorHAnsi" w:cstheme="minorHAnsi"/>
          <w:b/>
          <w:sz w:val="20"/>
          <w:szCs w:val="20"/>
        </w:rPr>
      </w:pPr>
      <w:r>
        <w:rPr>
          <w:rFonts w:asciiTheme="minorHAnsi" w:hAnsiTheme="minorHAnsi" w:cstheme="minorHAnsi"/>
          <w:b/>
          <w:sz w:val="20"/>
          <w:szCs w:val="20"/>
        </w:rPr>
        <w:br w:type="column"/>
      </w: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Justificar pormenorizadamente o objetivo e os efeitos econômicos esperados da operação</w:t>
      </w:r>
    </w:p>
    <w:p w:rsidRPr="00CE6483" w:rsidR="00CE6483" w:rsidP="00CE6483" w:rsidRDefault="00CE6483">
      <w:pPr>
        <w:ind w:right="40"/>
        <w:rPr>
          <w:rFonts w:asciiTheme="minorHAnsi" w:hAnsiTheme="minorHAnsi" w:cstheme="minorHAnsi"/>
          <w:b/>
          <w:sz w:val="20"/>
          <w:szCs w:val="20"/>
        </w:rPr>
      </w:pPr>
    </w:p>
    <w:p w:rsidRPr="00EA3265" w:rsidR="00CE6483" w:rsidP="00CE6483" w:rsidRDefault="00EA3265">
      <w:pPr>
        <w:ind w:left="90" w:right="40"/>
        <w:rPr>
          <w:rFonts w:asciiTheme="minorHAnsi" w:hAnsiTheme="minorHAnsi" w:cstheme="minorHAnsi"/>
          <w:sz w:val="18"/>
          <w:szCs w:val="20"/>
        </w:rPr>
      </w:pPr>
      <w:r w:rsidRPr="00EA3265">
        <w:rPr>
          <w:sz w:val="20"/>
        </w:rPr>
        <w:t xml:space="preserve">A </w:t>
      </w:r>
      <w:r w:rsidRPr="00EA3265">
        <w:rPr>
          <w:w w:val="105"/>
          <w:sz w:val="20"/>
        </w:rPr>
        <w:t xml:space="preserve">aquisição facultativa, das debêntures </w:t>
      </w:r>
      <w:r w:rsidRPr="00EA3265">
        <w:rPr>
          <w:b/>
          <w:w w:val="105"/>
          <w:sz w:val="20"/>
        </w:rPr>
        <w:t>(i)</w:t>
      </w:r>
      <w:r w:rsidRPr="00EA3265">
        <w:rPr>
          <w:w w:val="105"/>
          <w:sz w:val="20"/>
        </w:rPr>
        <w:t xml:space="preserve"> da 3ª (terceira) série da 9ª (nona) emissão de debêntures simples, não conversíveis em ações, da espécie quirografária, em até três séries, para distribuição pública com esforços restritos de distribuição, da </w:t>
      </w:r>
      <w:r>
        <w:rPr>
          <w:sz w:val="20"/>
        </w:rPr>
        <w:t>Companhia (</w:t>
      </w:r>
      <w:r w:rsidRPr="00EA3265">
        <w:rPr>
          <w:w w:val="105"/>
          <w:sz w:val="20"/>
        </w:rPr>
        <w:t>“</w:t>
      </w:r>
      <w:r w:rsidRPr="00EA3265">
        <w:rPr>
          <w:w w:val="105"/>
          <w:sz w:val="20"/>
          <w:u w:val="single"/>
        </w:rPr>
        <w:t>Debêntures da 9ª Emissão</w:t>
      </w:r>
      <w:r w:rsidRPr="00EA3265">
        <w:rPr>
          <w:w w:val="105"/>
          <w:sz w:val="20"/>
        </w:rPr>
        <w:t>” e “</w:t>
      </w:r>
      <w:r w:rsidRPr="00EA3265">
        <w:rPr>
          <w:w w:val="105"/>
          <w:sz w:val="20"/>
          <w:u w:val="single"/>
        </w:rPr>
        <w:t>Aquisição Facultativa das Debêntures da 9ª Emissão</w:t>
      </w:r>
      <w:r w:rsidRPr="00EA3265">
        <w:rPr>
          <w:w w:val="105"/>
          <w:sz w:val="20"/>
        </w:rPr>
        <w:t xml:space="preserve">”, respectivamente); e </w:t>
      </w:r>
      <w:r w:rsidRPr="00EA3265">
        <w:rPr>
          <w:b/>
          <w:w w:val="105"/>
          <w:sz w:val="20"/>
        </w:rPr>
        <w:t>(</w:t>
      </w:r>
      <w:proofErr w:type="spellStart"/>
      <w:r w:rsidRPr="00EA3265">
        <w:rPr>
          <w:b/>
          <w:w w:val="105"/>
          <w:sz w:val="20"/>
        </w:rPr>
        <w:t>ii</w:t>
      </w:r>
      <w:proofErr w:type="spellEnd"/>
      <w:r w:rsidRPr="00EA3265">
        <w:rPr>
          <w:b/>
          <w:w w:val="105"/>
          <w:sz w:val="20"/>
        </w:rPr>
        <w:t xml:space="preserve">) </w:t>
      </w:r>
      <w:r w:rsidRPr="00EA3265">
        <w:rPr>
          <w:w w:val="105"/>
          <w:sz w:val="20"/>
        </w:rPr>
        <w:t>da 1ª (primeira), 2ª (segunda), 3ª (terceira) e 4ª (quarta) séries da 10ª (décima) emissão de debêntures simples, não conversíveis em ações, da espécie quirografária, em até quatro séries, para distribuição pública com esforços restritos de distribuição, da Companhia (“</w:t>
      </w:r>
      <w:r w:rsidRPr="00EA3265">
        <w:rPr>
          <w:w w:val="105"/>
          <w:sz w:val="20"/>
          <w:u w:val="single"/>
        </w:rPr>
        <w:t>Debêntures da 10ª Emissão</w:t>
      </w:r>
      <w:r w:rsidRPr="00EA3265">
        <w:rPr>
          <w:w w:val="105"/>
          <w:sz w:val="20"/>
        </w:rPr>
        <w:t>” e "</w:t>
      </w:r>
      <w:r w:rsidRPr="00EA3265">
        <w:rPr>
          <w:w w:val="105"/>
          <w:sz w:val="20"/>
          <w:u w:val="single"/>
        </w:rPr>
        <w:t>Aquisição Facultativa das Debêntures da 10ª Emissão</w:t>
      </w:r>
      <w:r w:rsidRPr="00EA3265">
        <w:rPr>
          <w:w w:val="105"/>
          <w:sz w:val="20"/>
        </w:rPr>
        <w:t xml:space="preserve">” e, </w:t>
      </w:r>
      <w:proofErr w:type="spellStart"/>
      <w:r w:rsidRPr="00EA3265">
        <w:rPr>
          <w:w w:val="105"/>
          <w:sz w:val="20"/>
        </w:rPr>
        <w:t>esta</w:t>
      </w:r>
      <w:proofErr w:type="spellEnd"/>
      <w:r w:rsidRPr="00EA3265">
        <w:rPr>
          <w:w w:val="105"/>
          <w:sz w:val="20"/>
        </w:rPr>
        <w:t xml:space="preserve"> em conjunto com a Aquisição Facultativa das Debêntures da 9ª Emissão, “</w:t>
      </w:r>
      <w:r w:rsidRPr="00EA3265">
        <w:rPr>
          <w:w w:val="105"/>
          <w:sz w:val="20"/>
          <w:u w:val="single"/>
        </w:rPr>
        <w:t>Aquisições Facultativas</w:t>
      </w:r>
      <w:r w:rsidRPr="00EA3265">
        <w:rPr>
          <w:w w:val="105"/>
          <w:sz w:val="20"/>
        </w:rPr>
        <w:t>”)</w:t>
      </w:r>
      <w:r w:rsidRPr="00EA3265">
        <w:rPr>
          <w:sz w:val="20"/>
        </w:rPr>
        <w:t xml:space="preserve">, serão realizadas por valor igual ao valor nominal atualizado, e terão por objetivo o </w:t>
      </w:r>
      <w:proofErr w:type="spellStart"/>
      <w:r w:rsidRPr="00EA3265">
        <w:rPr>
          <w:sz w:val="20"/>
        </w:rPr>
        <w:t>reperfilamento</w:t>
      </w:r>
      <w:proofErr w:type="spellEnd"/>
      <w:r w:rsidRPr="00EA3265">
        <w:rPr>
          <w:sz w:val="20"/>
        </w:rPr>
        <w:t xml:space="preserve"> de dívidas, uma vez que serão realizadas com os recursos obtidos por meio da 11ª (décima primeira) emissão de debêntures da Companhia e resultarão no cancelamento das Debêntures da 9ª Emissão e das Debêntures da 10ª Emissão, conforme o caso.</w:t>
      </w:r>
    </w:p>
    <w:p w:rsidRPr="00CE6483" w:rsidR="00CE6483" w:rsidP="00CE6483" w:rsidRDefault="00CE6483">
      <w:pPr>
        <w:ind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Informar a emissão e a série das debêntures que serão adquiridas pela Companhia</w:t>
      </w:r>
    </w:p>
    <w:p w:rsidRPr="00CE6483" w:rsidR="00CE6483" w:rsidP="00CE6483" w:rsidRDefault="00CE6483">
      <w:pPr>
        <w:ind w:right="40"/>
        <w:rPr>
          <w:rFonts w:asciiTheme="minorHAnsi" w:hAnsiTheme="minorHAnsi" w:cstheme="minorHAnsi"/>
          <w:b/>
          <w:sz w:val="20"/>
          <w:szCs w:val="20"/>
        </w:rPr>
      </w:pPr>
    </w:p>
    <w:p w:rsidRPr="00EA3265" w:rsidR="00CE6483" w:rsidP="00CE6483" w:rsidRDefault="00EA3265">
      <w:pPr>
        <w:ind w:left="90" w:right="40"/>
        <w:rPr>
          <w:rFonts w:asciiTheme="minorHAnsi" w:hAnsiTheme="minorHAnsi" w:cstheme="minorHAnsi"/>
          <w:b/>
          <w:sz w:val="18"/>
          <w:szCs w:val="20"/>
        </w:rPr>
      </w:pPr>
      <w:r w:rsidRPr="00EA3265">
        <w:rPr>
          <w:sz w:val="20"/>
          <w:szCs w:val="20"/>
        </w:rPr>
        <w:t>As Aquisições Facultativas compreenderão 30.265</w:t>
      </w:r>
      <w:r w:rsidRPr="00EA3265">
        <w:rPr>
          <w:w w:val="105"/>
          <w:sz w:val="20"/>
          <w:szCs w:val="20"/>
        </w:rPr>
        <w:t xml:space="preserve"> Debêntures da 9ª Emissão e </w:t>
      </w:r>
      <w:r w:rsidRPr="00EA3265">
        <w:rPr>
          <w:sz w:val="20"/>
          <w:szCs w:val="20"/>
        </w:rPr>
        <w:t>157.645</w:t>
      </w:r>
      <w:r w:rsidRPr="00EA3265">
        <w:rPr>
          <w:w w:val="105"/>
          <w:sz w:val="20"/>
          <w:szCs w:val="20"/>
        </w:rPr>
        <w:t xml:space="preserve"> Debêntures da 10ª Emissão, correspondentes à totalidade das debêntures em circulação das referidas emissões.</w:t>
      </w:r>
    </w:p>
    <w:p w:rsidRPr="00CE6483" w:rsidR="00CE6483" w:rsidP="00CE6483" w:rsidRDefault="00CE6483">
      <w:pPr>
        <w:ind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Informar as quantidades de debêntures (i) em circulação e (ii) já mantidas em tesouraria</w:t>
      </w:r>
    </w:p>
    <w:p w:rsidRPr="00CE6483" w:rsidR="00CE6483" w:rsidP="00CE6483" w:rsidRDefault="00CE6483">
      <w:pPr>
        <w:ind w:right="40"/>
        <w:rPr>
          <w:rFonts w:asciiTheme="minorHAnsi" w:hAnsiTheme="minorHAnsi" w:cstheme="minorHAnsi"/>
          <w:b/>
          <w:sz w:val="20"/>
          <w:szCs w:val="20"/>
        </w:rPr>
      </w:pPr>
    </w:p>
    <w:p w:rsidRPr="00CE6483" w:rsidR="00CE6483" w:rsidP="00CE6483" w:rsidRDefault="00CE6483">
      <w:pPr>
        <w:ind w:right="40"/>
        <w:rPr>
          <w:rFonts w:asciiTheme="minorHAnsi" w:hAnsiTheme="minorHAnsi" w:cstheme="minorHAnsi"/>
          <w:b/>
          <w:sz w:val="20"/>
          <w:szCs w:val="20"/>
        </w:rPr>
      </w:pPr>
      <w:r w:rsidRPr="00CE6483">
        <w:rPr>
          <w:rFonts w:asciiTheme="minorHAnsi" w:hAnsiTheme="minorHAnsi" w:eastAsiaTheme="minorHAnsi" w:cstheme="minorHAnsi"/>
          <w:sz w:val="20"/>
          <w:szCs w:val="20"/>
        </w:rPr>
        <w:t>Conforme o último extrato dispo</w:t>
      </w:r>
      <w:r w:rsidR="00E91A9A">
        <w:rPr>
          <w:rFonts w:asciiTheme="minorHAnsi" w:hAnsiTheme="minorHAnsi" w:eastAsiaTheme="minorHAnsi" w:cstheme="minorHAnsi"/>
          <w:sz w:val="20"/>
          <w:szCs w:val="20"/>
        </w:rPr>
        <w:t>n</w:t>
      </w:r>
      <w:r w:rsidRPr="00CE6483">
        <w:rPr>
          <w:rFonts w:asciiTheme="minorHAnsi" w:hAnsiTheme="minorHAnsi" w:eastAsiaTheme="minorHAnsi" w:cstheme="minorHAnsi"/>
          <w:sz w:val="20"/>
          <w:szCs w:val="20"/>
        </w:rPr>
        <w:t xml:space="preserve">ível do </w:t>
      </w:r>
      <w:proofErr w:type="spellStart"/>
      <w:r w:rsidRPr="00CE6483">
        <w:rPr>
          <w:rFonts w:asciiTheme="minorHAnsi" w:hAnsiTheme="minorHAnsi" w:eastAsiaTheme="minorHAnsi" w:cstheme="minorHAnsi"/>
          <w:sz w:val="20"/>
          <w:szCs w:val="20"/>
        </w:rPr>
        <w:t>Escriturador</w:t>
      </w:r>
      <w:proofErr w:type="spellEnd"/>
      <w:r w:rsidRPr="00CE6483">
        <w:rPr>
          <w:rFonts w:asciiTheme="minorHAnsi" w:hAnsiTheme="minorHAnsi" w:eastAsiaTheme="minorHAnsi" w:cstheme="minorHAnsi"/>
          <w:sz w:val="20"/>
          <w:szCs w:val="20"/>
        </w:rPr>
        <w:t>, o quadro abaixo informa as quantidades de debêntures (i) em circulação e (</w:t>
      </w:r>
      <w:proofErr w:type="spellStart"/>
      <w:r w:rsidRPr="00CE6483">
        <w:rPr>
          <w:rFonts w:asciiTheme="minorHAnsi" w:hAnsiTheme="minorHAnsi" w:eastAsiaTheme="minorHAnsi" w:cstheme="minorHAnsi"/>
          <w:sz w:val="20"/>
          <w:szCs w:val="20"/>
        </w:rPr>
        <w:t>ii</w:t>
      </w:r>
      <w:proofErr w:type="spellEnd"/>
      <w:r w:rsidRPr="00CE6483">
        <w:rPr>
          <w:rFonts w:asciiTheme="minorHAnsi" w:hAnsiTheme="minorHAnsi" w:eastAsiaTheme="minorHAnsi" w:cstheme="minorHAnsi"/>
          <w:sz w:val="20"/>
          <w:szCs w:val="20"/>
        </w:rPr>
        <w:t>) já mantidas em tesouraria</w:t>
      </w:r>
    </w:p>
    <w:p w:rsidRPr="00CE6483" w:rsidR="00CE6483" w:rsidP="00CE6483" w:rsidRDefault="00CE6483">
      <w:pPr>
        <w:ind w:right="40"/>
        <w:rPr>
          <w:rFonts w:asciiTheme="minorHAnsi" w:hAnsiTheme="minorHAnsi" w:cstheme="minorHAnsi"/>
          <w:b/>
          <w:sz w:val="20"/>
          <w:szCs w:val="20"/>
        </w:rPr>
      </w:pPr>
    </w:p>
    <w:tbl>
      <w:tblPr>
        <w:tblStyle w:val="TableGrid"/>
        <w:tblW w:w="5000" w:type="pct"/>
        <w:tblLook w:val="04A0" w:firstRow="1" w:lastRow="0" w:firstColumn="1" w:lastColumn="0" w:noHBand="0" w:noVBand="1"/>
      </w:tblPr>
      <w:tblGrid>
        <w:gridCol w:w="2666"/>
        <w:gridCol w:w="2789"/>
        <w:gridCol w:w="3039"/>
      </w:tblGrid>
      <w:tr w:rsidRPr="00CE6483" w:rsidR="00CE6483" w:rsidTr="00FE5CE0">
        <w:tc>
          <w:tcPr>
            <w:tcW w:w="1569" w:type="pct"/>
            <w:shd w:val="clear" w:color="auto" w:fill="D9D9D9" w:themeFill="background1" w:themeFillShade="D9"/>
            <w:vAlign w:val="center"/>
          </w:tcPr>
          <w:p w:rsidRPr="00CE6483" w:rsidR="00CE6483" w:rsidP="005A6EB6" w:rsidRDefault="00CE6483">
            <w:pPr>
              <w:ind w:right="40"/>
              <w:jc w:val="center"/>
              <w:rPr>
                <w:rFonts w:asciiTheme="minorHAnsi" w:hAnsiTheme="minorHAnsi" w:cstheme="minorHAnsi"/>
                <w:b/>
                <w:sz w:val="20"/>
                <w:szCs w:val="20"/>
              </w:rPr>
            </w:pPr>
            <w:r w:rsidRPr="00CE6483">
              <w:rPr>
                <w:rFonts w:asciiTheme="minorHAnsi" w:hAnsiTheme="minorHAnsi" w:cstheme="minorHAnsi"/>
                <w:b/>
                <w:sz w:val="20"/>
                <w:szCs w:val="20"/>
              </w:rPr>
              <w:t>Emissão</w:t>
            </w:r>
          </w:p>
        </w:tc>
        <w:tc>
          <w:tcPr>
            <w:tcW w:w="1642" w:type="pct"/>
            <w:shd w:val="clear" w:color="auto" w:fill="D9D9D9" w:themeFill="background1" w:themeFillShade="D9"/>
            <w:vAlign w:val="center"/>
          </w:tcPr>
          <w:p w:rsidRPr="00CE6483" w:rsidR="00CE6483" w:rsidP="005A6EB6" w:rsidRDefault="00CE6483">
            <w:pPr>
              <w:ind w:right="40"/>
              <w:jc w:val="center"/>
              <w:rPr>
                <w:rFonts w:asciiTheme="minorHAnsi" w:hAnsiTheme="minorHAnsi" w:cstheme="minorHAnsi"/>
                <w:b/>
                <w:sz w:val="20"/>
                <w:szCs w:val="20"/>
              </w:rPr>
            </w:pPr>
            <w:r w:rsidRPr="00CE6483">
              <w:rPr>
                <w:rFonts w:asciiTheme="minorHAnsi" w:hAnsiTheme="minorHAnsi" w:cstheme="minorHAnsi"/>
                <w:b/>
                <w:sz w:val="20"/>
                <w:szCs w:val="20"/>
              </w:rPr>
              <w:t>Quantidade de debêntures em circulação</w:t>
            </w:r>
          </w:p>
        </w:tc>
        <w:tc>
          <w:tcPr>
            <w:tcW w:w="1789" w:type="pct"/>
            <w:shd w:val="clear" w:color="auto" w:fill="D9D9D9" w:themeFill="background1" w:themeFillShade="D9"/>
            <w:vAlign w:val="center"/>
          </w:tcPr>
          <w:p w:rsidRPr="00CE6483" w:rsidR="00CE6483" w:rsidP="005A6EB6" w:rsidRDefault="00CE6483">
            <w:pPr>
              <w:ind w:right="40"/>
              <w:jc w:val="center"/>
              <w:rPr>
                <w:rFonts w:asciiTheme="minorHAnsi" w:hAnsiTheme="minorHAnsi" w:cstheme="minorHAnsi"/>
                <w:b/>
                <w:sz w:val="20"/>
                <w:szCs w:val="20"/>
              </w:rPr>
            </w:pPr>
            <w:r w:rsidRPr="00CE6483">
              <w:rPr>
                <w:rFonts w:asciiTheme="minorHAnsi" w:hAnsiTheme="minorHAnsi" w:cstheme="minorHAnsi"/>
                <w:b/>
                <w:sz w:val="20"/>
                <w:szCs w:val="20"/>
              </w:rPr>
              <w:t>Debêntures em tesouraria</w:t>
            </w:r>
          </w:p>
        </w:tc>
      </w:tr>
      <w:tr w:rsidRPr="00CE6483" w:rsidR="00FE5CE0" w:rsidTr="00FE5CE0">
        <w:tc>
          <w:tcPr>
            <w:tcW w:w="1569" w:type="pct"/>
          </w:tcPr>
          <w:p w:rsidRPr="00CE6483" w:rsidR="00FE5CE0" w:rsidP="00FE5CE0" w:rsidRDefault="00FE5CE0">
            <w:pPr>
              <w:ind w:right="40"/>
              <w:rPr>
                <w:rFonts w:asciiTheme="minorHAnsi" w:hAnsiTheme="minorHAnsi" w:cstheme="minorHAnsi"/>
                <w:sz w:val="20"/>
                <w:szCs w:val="20"/>
              </w:rPr>
            </w:pPr>
            <w:r w:rsidRPr="00CE6483">
              <w:rPr>
                <w:rFonts w:asciiTheme="minorHAnsi" w:hAnsiTheme="minorHAnsi" w:cstheme="minorHAnsi"/>
                <w:sz w:val="20"/>
                <w:szCs w:val="20"/>
              </w:rPr>
              <w:t>9ª emissão 3ª série</w:t>
            </w:r>
          </w:p>
        </w:tc>
        <w:tc>
          <w:tcPr>
            <w:tcW w:w="1642" w:type="pct"/>
            <w:vAlign w:val="center"/>
          </w:tcPr>
          <w:p w:rsidRPr="00F754F9" w:rsidR="00FE5CE0" w:rsidP="00FE5CE0" w:rsidRDefault="00FE5CE0">
            <w:pPr>
              <w:jc w:val="right"/>
              <w:rPr>
                <w:sz w:val="20"/>
                <w:szCs w:val="20"/>
              </w:rPr>
            </w:pPr>
            <w:r w:rsidRPr="005341F9">
              <w:rPr>
                <w:sz w:val="20"/>
                <w:szCs w:val="20"/>
              </w:rPr>
              <w:t>30.265</w:t>
            </w:r>
          </w:p>
        </w:tc>
        <w:tc>
          <w:tcPr>
            <w:tcW w:w="1789" w:type="pct"/>
            <w:vAlign w:val="center"/>
          </w:tcPr>
          <w:p w:rsidRPr="00DE7714" w:rsidR="00FE5CE0" w:rsidP="00FE5CE0" w:rsidRDefault="00FE5CE0">
            <w:pPr>
              <w:jc w:val="right"/>
              <w:rPr>
                <w:sz w:val="20"/>
                <w:szCs w:val="20"/>
              </w:rPr>
            </w:pPr>
            <w:r w:rsidRPr="00DE7714">
              <w:rPr>
                <w:sz w:val="20"/>
                <w:szCs w:val="20"/>
              </w:rPr>
              <w:t>0</w:t>
            </w:r>
          </w:p>
        </w:tc>
      </w:tr>
      <w:tr w:rsidRPr="00CE6483" w:rsidR="00FE5CE0" w:rsidTr="00FE5CE0">
        <w:tc>
          <w:tcPr>
            <w:tcW w:w="1569" w:type="pct"/>
          </w:tcPr>
          <w:p w:rsidRPr="00CE6483" w:rsidR="00FE5CE0" w:rsidP="00FE5CE0" w:rsidRDefault="00FE5CE0">
            <w:pPr>
              <w:ind w:right="40"/>
              <w:rPr>
                <w:rFonts w:asciiTheme="minorHAnsi" w:hAnsiTheme="minorHAnsi" w:cstheme="minorHAnsi"/>
                <w:sz w:val="20"/>
                <w:szCs w:val="20"/>
              </w:rPr>
            </w:pPr>
            <w:r w:rsidRPr="00CE6483">
              <w:rPr>
                <w:rFonts w:asciiTheme="minorHAnsi" w:hAnsiTheme="minorHAnsi" w:cstheme="minorHAnsi"/>
                <w:sz w:val="20"/>
                <w:szCs w:val="20"/>
              </w:rPr>
              <w:t>10ª emissão 1ª série</w:t>
            </w:r>
          </w:p>
        </w:tc>
        <w:tc>
          <w:tcPr>
            <w:tcW w:w="1642" w:type="pct"/>
          </w:tcPr>
          <w:p w:rsidRPr="00F754F9" w:rsidR="00FE5CE0" w:rsidP="00FE5CE0" w:rsidRDefault="00FE5CE0">
            <w:pPr>
              <w:jc w:val="right"/>
              <w:rPr>
                <w:sz w:val="20"/>
                <w:szCs w:val="20"/>
              </w:rPr>
            </w:pPr>
            <w:r w:rsidRPr="005341F9">
              <w:rPr>
                <w:sz w:val="20"/>
                <w:szCs w:val="20"/>
              </w:rPr>
              <w:t>40.000</w:t>
            </w:r>
          </w:p>
        </w:tc>
        <w:tc>
          <w:tcPr>
            <w:tcW w:w="1789" w:type="pct"/>
            <w:vAlign w:val="center"/>
          </w:tcPr>
          <w:p w:rsidRPr="00DE7714" w:rsidR="00FE5CE0" w:rsidP="00FE5CE0" w:rsidRDefault="00FE5CE0">
            <w:pPr>
              <w:jc w:val="right"/>
              <w:rPr>
                <w:sz w:val="20"/>
                <w:szCs w:val="20"/>
              </w:rPr>
            </w:pPr>
            <w:r w:rsidRPr="00DE7714">
              <w:rPr>
                <w:sz w:val="20"/>
                <w:szCs w:val="20"/>
              </w:rPr>
              <w:t>0</w:t>
            </w:r>
          </w:p>
        </w:tc>
      </w:tr>
      <w:tr w:rsidRPr="00CE6483" w:rsidR="00FE5CE0" w:rsidTr="00FE5CE0">
        <w:tc>
          <w:tcPr>
            <w:tcW w:w="1569" w:type="pct"/>
          </w:tcPr>
          <w:p w:rsidRPr="00CE6483" w:rsidR="00FE5CE0" w:rsidP="00FE5CE0" w:rsidRDefault="00FE5CE0">
            <w:pPr>
              <w:rPr>
                <w:rFonts w:asciiTheme="minorHAnsi" w:hAnsiTheme="minorHAnsi" w:cstheme="minorHAnsi"/>
                <w:sz w:val="20"/>
                <w:szCs w:val="20"/>
              </w:rPr>
            </w:pPr>
            <w:r w:rsidRPr="00CE6483">
              <w:rPr>
                <w:rFonts w:asciiTheme="minorHAnsi" w:hAnsiTheme="minorHAnsi" w:cstheme="minorHAnsi"/>
                <w:sz w:val="20"/>
                <w:szCs w:val="20"/>
              </w:rPr>
              <w:t>10ª emissão 2ª série</w:t>
            </w:r>
          </w:p>
        </w:tc>
        <w:tc>
          <w:tcPr>
            <w:tcW w:w="1642" w:type="pct"/>
          </w:tcPr>
          <w:p w:rsidRPr="00F754F9" w:rsidR="00FE5CE0" w:rsidP="00FE5CE0" w:rsidRDefault="00FE5CE0">
            <w:pPr>
              <w:jc w:val="right"/>
              <w:rPr>
                <w:sz w:val="20"/>
                <w:szCs w:val="20"/>
              </w:rPr>
            </w:pPr>
            <w:r w:rsidRPr="005341F9">
              <w:rPr>
                <w:sz w:val="20"/>
                <w:szCs w:val="20"/>
              </w:rPr>
              <w:t>9.570</w:t>
            </w:r>
          </w:p>
        </w:tc>
        <w:tc>
          <w:tcPr>
            <w:tcW w:w="1789" w:type="pct"/>
            <w:vAlign w:val="center"/>
          </w:tcPr>
          <w:p w:rsidRPr="00DE7714" w:rsidR="00FE5CE0" w:rsidP="00FE5CE0" w:rsidRDefault="00FE5CE0">
            <w:pPr>
              <w:jc w:val="right"/>
              <w:rPr>
                <w:sz w:val="20"/>
                <w:szCs w:val="20"/>
              </w:rPr>
            </w:pPr>
            <w:r w:rsidRPr="00DE7714">
              <w:rPr>
                <w:sz w:val="20"/>
                <w:szCs w:val="20"/>
              </w:rPr>
              <w:t>0</w:t>
            </w:r>
          </w:p>
        </w:tc>
      </w:tr>
      <w:tr w:rsidRPr="00CE6483" w:rsidR="00FE5CE0" w:rsidTr="00FE5CE0">
        <w:tc>
          <w:tcPr>
            <w:tcW w:w="1569" w:type="pct"/>
          </w:tcPr>
          <w:p w:rsidRPr="00CE6483" w:rsidR="00FE5CE0" w:rsidP="00FE5CE0" w:rsidRDefault="00FE5CE0">
            <w:pPr>
              <w:rPr>
                <w:rFonts w:asciiTheme="minorHAnsi" w:hAnsiTheme="minorHAnsi" w:cstheme="minorHAnsi"/>
                <w:sz w:val="20"/>
                <w:szCs w:val="20"/>
              </w:rPr>
            </w:pPr>
            <w:r w:rsidRPr="00CE6483">
              <w:rPr>
                <w:rFonts w:asciiTheme="minorHAnsi" w:hAnsiTheme="minorHAnsi" w:cstheme="minorHAnsi"/>
                <w:sz w:val="20"/>
                <w:szCs w:val="20"/>
              </w:rPr>
              <w:t>10ª emissão 3ª série</w:t>
            </w:r>
          </w:p>
        </w:tc>
        <w:tc>
          <w:tcPr>
            <w:tcW w:w="1642" w:type="pct"/>
          </w:tcPr>
          <w:p w:rsidRPr="00F754F9" w:rsidR="00FE5CE0" w:rsidP="00FE5CE0" w:rsidRDefault="00FE5CE0">
            <w:pPr>
              <w:jc w:val="right"/>
              <w:rPr>
                <w:sz w:val="20"/>
                <w:szCs w:val="20"/>
              </w:rPr>
            </w:pPr>
            <w:r w:rsidRPr="005341F9">
              <w:rPr>
                <w:sz w:val="20"/>
                <w:szCs w:val="20"/>
              </w:rPr>
              <w:t>68.623</w:t>
            </w:r>
          </w:p>
        </w:tc>
        <w:tc>
          <w:tcPr>
            <w:tcW w:w="1789" w:type="pct"/>
            <w:vAlign w:val="center"/>
          </w:tcPr>
          <w:p w:rsidRPr="00DE7714" w:rsidR="00FE5CE0" w:rsidP="00FE5CE0" w:rsidRDefault="00FE5CE0">
            <w:pPr>
              <w:jc w:val="right"/>
              <w:rPr>
                <w:sz w:val="20"/>
                <w:szCs w:val="20"/>
              </w:rPr>
            </w:pPr>
            <w:r w:rsidRPr="00DE7714">
              <w:rPr>
                <w:sz w:val="20"/>
                <w:szCs w:val="20"/>
              </w:rPr>
              <w:t>0</w:t>
            </w:r>
          </w:p>
        </w:tc>
      </w:tr>
      <w:tr w:rsidRPr="00CE6483" w:rsidR="00FE5CE0" w:rsidTr="00FE5CE0">
        <w:tc>
          <w:tcPr>
            <w:tcW w:w="1569" w:type="pct"/>
          </w:tcPr>
          <w:p w:rsidRPr="00CE6483" w:rsidR="00FE5CE0" w:rsidP="00FE5CE0" w:rsidRDefault="00FE5CE0">
            <w:pPr>
              <w:rPr>
                <w:rFonts w:asciiTheme="minorHAnsi" w:hAnsiTheme="minorHAnsi" w:cstheme="minorHAnsi"/>
                <w:sz w:val="20"/>
                <w:szCs w:val="20"/>
              </w:rPr>
            </w:pPr>
            <w:r w:rsidRPr="00CE6483">
              <w:rPr>
                <w:rFonts w:asciiTheme="minorHAnsi" w:hAnsiTheme="minorHAnsi" w:cstheme="minorHAnsi"/>
                <w:sz w:val="20"/>
                <w:szCs w:val="20"/>
              </w:rPr>
              <w:t>10ª emissão 4ª série</w:t>
            </w:r>
          </w:p>
        </w:tc>
        <w:tc>
          <w:tcPr>
            <w:tcW w:w="1642" w:type="pct"/>
          </w:tcPr>
          <w:p w:rsidRPr="00F754F9" w:rsidR="00FE5CE0" w:rsidP="00FE5CE0" w:rsidRDefault="00FE5CE0">
            <w:pPr>
              <w:jc w:val="right"/>
              <w:rPr>
                <w:sz w:val="20"/>
                <w:szCs w:val="20"/>
              </w:rPr>
            </w:pPr>
            <w:r w:rsidRPr="005341F9">
              <w:rPr>
                <w:sz w:val="20"/>
                <w:szCs w:val="20"/>
              </w:rPr>
              <w:t>39.452</w:t>
            </w:r>
          </w:p>
        </w:tc>
        <w:tc>
          <w:tcPr>
            <w:tcW w:w="1789" w:type="pct"/>
            <w:vAlign w:val="center"/>
          </w:tcPr>
          <w:p w:rsidRPr="00DE7714" w:rsidR="00FE5CE0" w:rsidP="00FE5CE0" w:rsidRDefault="00FE5CE0">
            <w:pPr>
              <w:jc w:val="right"/>
              <w:rPr>
                <w:sz w:val="20"/>
                <w:szCs w:val="20"/>
              </w:rPr>
            </w:pPr>
            <w:r w:rsidRPr="00DE7714">
              <w:rPr>
                <w:sz w:val="20"/>
                <w:szCs w:val="20"/>
              </w:rPr>
              <w:t>0</w:t>
            </w:r>
          </w:p>
        </w:tc>
      </w:tr>
      <w:tr w:rsidRPr="00CE6483" w:rsidR="00FE5CE0" w:rsidTr="00FE5CE0">
        <w:tc>
          <w:tcPr>
            <w:tcW w:w="1569" w:type="pct"/>
            <w:shd w:val="clear" w:color="auto" w:fill="D9D9D9" w:themeFill="background1" w:themeFillShade="D9"/>
          </w:tcPr>
          <w:p w:rsidRPr="00CE6483" w:rsidR="00FE5CE0" w:rsidP="00FE5CE0" w:rsidRDefault="00FE5CE0">
            <w:pPr>
              <w:ind w:right="40"/>
              <w:rPr>
                <w:rFonts w:asciiTheme="minorHAnsi" w:hAnsiTheme="minorHAnsi" w:cstheme="minorHAnsi"/>
                <w:b/>
                <w:sz w:val="20"/>
                <w:szCs w:val="20"/>
              </w:rPr>
            </w:pPr>
            <w:r w:rsidRPr="00CE6483">
              <w:rPr>
                <w:rFonts w:asciiTheme="minorHAnsi" w:hAnsiTheme="minorHAnsi" w:cstheme="minorHAnsi"/>
                <w:b/>
                <w:sz w:val="20"/>
                <w:szCs w:val="20"/>
              </w:rPr>
              <w:t>Total</w:t>
            </w:r>
          </w:p>
        </w:tc>
        <w:tc>
          <w:tcPr>
            <w:tcW w:w="1642" w:type="pct"/>
            <w:shd w:val="clear" w:color="auto" w:fill="D9D9D9" w:themeFill="background1" w:themeFillShade="D9"/>
            <w:vAlign w:val="center"/>
          </w:tcPr>
          <w:p w:rsidRPr="00CB207B" w:rsidR="00FE5CE0" w:rsidP="00FE5CE0" w:rsidRDefault="00FE5CE0">
            <w:pPr>
              <w:jc w:val="right"/>
              <w:rPr>
                <w:b/>
                <w:sz w:val="20"/>
                <w:szCs w:val="20"/>
              </w:rPr>
            </w:pPr>
            <w:r w:rsidRPr="005341F9">
              <w:rPr>
                <w:b/>
                <w:sz w:val="20"/>
                <w:szCs w:val="20"/>
              </w:rPr>
              <w:t>187.910</w:t>
            </w:r>
          </w:p>
        </w:tc>
        <w:tc>
          <w:tcPr>
            <w:tcW w:w="1789" w:type="pct"/>
            <w:shd w:val="clear" w:color="auto" w:fill="D9D9D9" w:themeFill="background1" w:themeFillShade="D9"/>
            <w:vAlign w:val="center"/>
          </w:tcPr>
          <w:p w:rsidRPr="00DE7714" w:rsidR="00FE5CE0" w:rsidP="00FE5CE0" w:rsidRDefault="00FE5CE0">
            <w:pPr>
              <w:jc w:val="right"/>
              <w:rPr>
                <w:b/>
                <w:sz w:val="20"/>
                <w:szCs w:val="20"/>
              </w:rPr>
            </w:pPr>
            <w:r w:rsidRPr="00DE7714">
              <w:rPr>
                <w:b/>
                <w:sz w:val="20"/>
                <w:szCs w:val="20"/>
              </w:rPr>
              <w:t>0</w:t>
            </w:r>
          </w:p>
        </w:tc>
      </w:tr>
    </w:tbl>
    <w:p w:rsidRPr="00CE6483" w:rsidR="00CE6483" w:rsidP="00CE6483" w:rsidRDefault="00CE6483">
      <w:pPr>
        <w:ind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Informar a quantidade de debêntures que podem ser adquiridas</w:t>
      </w:r>
    </w:p>
    <w:p w:rsidRPr="00CE6483" w:rsidR="00CE6483" w:rsidP="00CE6483" w:rsidRDefault="00CE6483">
      <w:pPr>
        <w:ind w:left="90" w:right="40"/>
        <w:rPr>
          <w:rFonts w:asciiTheme="minorHAnsi" w:hAnsiTheme="minorHAnsi" w:cstheme="minorHAnsi"/>
          <w:b/>
          <w:sz w:val="20"/>
          <w:szCs w:val="20"/>
        </w:rPr>
      </w:pPr>
    </w:p>
    <w:p w:rsidRPr="00A80C83" w:rsidR="00CE6483" w:rsidP="00CE6483" w:rsidRDefault="00A80C83">
      <w:pPr>
        <w:ind w:left="90" w:right="40"/>
        <w:rPr>
          <w:rFonts w:asciiTheme="minorHAnsi" w:hAnsiTheme="minorHAnsi" w:cstheme="minorHAnsi"/>
          <w:sz w:val="20"/>
          <w:szCs w:val="20"/>
        </w:rPr>
      </w:pPr>
      <w:r w:rsidRPr="00A80C83">
        <w:rPr>
          <w:sz w:val="20"/>
          <w:szCs w:val="20"/>
        </w:rPr>
        <w:t>Foi aprovada a aquisição no mercado secundário, por valor igual ao valor nominal atualizado, da totalidade das Debêntures da 9ª Emissão e das Debêntures da 10ª Emissão, conforme descrito no item “2” acima.</w:t>
      </w:r>
      <w:r w:rsidRPr="00A80C83" w:rsidR="00CE6483">
        <w:rPr>
          <w:rFonts w:asciiTheme="minorHAnsi" w:hAnsiTheme="minorHAnsi" w:cstheme="minorHAnsi"/>
          <w:sz w:val="20"/>
          <w:szCs w:val="20"/>
        </w:rPr>
        <w:t xml:space="preserve"> </w:t>
      </w:r>
    </w:p>
    <w:p w:rsidRPr="00CE6483" w:rsidR="00CE6483" w:rsidP="00CE6483" w:rsidRDefault="00CE6483">
      <w:pPr>
        <w:ind w:left="90"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Informar o preço pelo qual as debêntures serão adquiridas, destacando-se, no caso de aquisição por valor superior ao valor nominal:</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pStyle w:val="ListParagraph"/>
        <w:numPr>
          <w:ilvl w:val="0"/>
          <w:numId w:val="32"/>
        </w:numPr>
        <w:ind w:right="40"/>
        <w:jc w:val="both"/>
        <w:rPr>
          <w:rFonts w:asciiTheme="minorHAnsi" w:hAnsiTheme="minorHAnsi" w:cstheme="minorHAnsi"/>
          <w:b/>
          <w:sz w:val="20"/>
          <w:szCs w:val="20"/>
        </w:rPr>
      </w:pPr>
      <w:r w:rsidRPr="00CE6483">
        <w:rPr>
          <w:rFonts w:asciiTheme="minorHAnsi" w:hAnsiTheme="minorHAnsi" w:cstheme="minorHAnsi"/>
          <w:b/>
          <w:sz w:val="20"/>
          <w:szCs w:val="20"/>
        </w:rPr>
        <w:t>a parte do preço referente ao valor nominal da debênture;</w:t>
      </w:r>
    </w:p>
    <w:p w:rsidRPr="00CE6483" w:rsidR="00CE6483" w:rsidP="00CE6483" w:rsidRDefault="00CE6483">
      <w:pPr>
        <w:pStyle w:val="ListParagraph"/>
        <w:ind w:left="720" w:right="40"/>
        <w:rPr>
          <w:rFonts w:asciiTheme="minorHAnsi" w:hAnsiTheme="minorHAnsi" w:cstheme="minorHAnsi"/>
          <w:b/>
          <w:sz w:val="20"/>
          <w:szCs w:val="20"/>
        </w:rPr>
      </w:pPr>
    </w:p>
    <w:p w:rsidRPr="00CE6483" w:rsidR="00CE6483" w:rsidP="00CE6483" w:rsidRDefault="00CE6483">
      <w:pPr>
        <w:ind w:left="720" w:right="40"/>
        <w:rPr>
          <w:rFonts w:asciiTheme="minorHAnsi" w:hAnsiTheme="minorHAnsi" w:cstheme="minorHAnsi"/>
          <w:b/>
          <w:sz w:val="20"/>
          <w:szCs w:val="20"/>
        </w:rPr>
      </w:pPr>
      <w:r w:rsidRPr="00CE6483">
        <w:rPr>
          <w:rFonts w:asciiTheme="minorHAnsi" w:hAnsiTheme="minorHAnsi" w:cstheme="minorHAnsi"/>
          <w:sz w:val="20"/>
          <w:szCs w:val="20"/>
        </w:rPr>
        <w:t>O preço de aquisição não poderá ser superior ao valor nominal atualizado.</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pStyle w:val="ListParagraph"/>
        <w:numPr>
          <w:ilvl w:val="0"/>
          <w:numId w:val="32"/>
        </w:numPr>
        <w:ind w:right="40"/>
        <w:jc w:val="both"/>
        <w:rPr>
          <w:rFonts w:asciiTheme="minorHAnsi" w:hAnsiTheme="minorHAnsi" w:cstheme="minorHAnsi"/>
          <w:b/>
          <w:sz w:val="20"/>
          <w:szCs w:val="20"/>
        </w:rPr>
      </w:pPr>
      <w:r w:rsidRPr="00CE6483">
        <w:rPr>
          <w:rFonts w:asciiTheme="minorHAnsi" w:hAnsiTheme="minorHAnsi" w:cstheme="minorHAnsi"/>
          <w:b/>
          <w:sz w:val="20"/>
          <w:szCs w:val="20"/>
        </w:rPr>
        <w:t>previsão da parte do preço referente à correção monetária, se houver, e à remuneração acumulada até a data de liquidação da aquisição; e</w:t>
      </w:r>
    </w:p>
    <w:p w:rsidRPr="00CE6483" w:rsidR="00CE6483" w:rsidP="00CE6483" w:rsidRDefault="00CE6483">
      <w:pPr>
        <w:ind w:left="90" w:right="40"/>
        <w:rPr>
          <w:rFonts w:asciiTheme="minorHAnsi" w:hAnsiTheme="minorHAnsi" w:cstheme="minorHAnsi"/>
          <w:sz w:val="20"/>
          <w:szCs w:val="20"/>
        </w:rPr>
      </w:pPr>
    </w:p>
    <w:p w:rsidRPr="00CE6483" w:rsidR="00CE6483" w:rsidP="00CE6483" w:rsidRDefault="00CE6483">
      <w:pPr>
        <w:ind w:left="720" w:right="40"/>
        <w:rPr>
          <w:rFonts w:asciiTheme="minorHAnsi" w:hAnsiTheme="minorHAnsi" w:cstheme="minorHAnsi"/>
          <w:b/>
          <w:sz w:val="20"/>
          <w:szCs w:val="20"/>
        </w:rPr>
      </w:pPr>
      <w:r w:rsidRPr="00CE6483">
        <w:rPr>
          <w:rFonts w:asciiTheme="minorHAnsi" w:hAnsiTheme="minorHAnsi" w:cstheme="minorHAnsi"/>
          <w:sz w:val="20"/>
          <w:szCs w:val="20"/>
        </w:rPr>
        <w:t xml:space="preserve">Não se aplica correção monetária. O preço de aquisição poderá ser na curva do papel até a efetiva data aquisição, ou seja, o valor </w:t>
      </w:r>
      <w:r w:rsidRPr="00CE6483" w:rsidR="009947B8">
        <w:rPr>
          <w:rFonts w:asciiTheme="minorHAnsi" w:hAnsiTheme="minorHAnsi" w:cstheme="minorHAnsi"/>
          <w:sz w:val="20"/>
          <w:szCs w:val="20"/>
        </w:rPr>
        <w:t>nominal</w:t>
      </w:r>
      <w:r w:rsidRPr="00CE6483">
        <w:rPr>
          <w:rFonts w:asciiTheme="minorHAnsi" w:hAnsiTheme="minorHAnsi" w:cstheme="minorHAnsi"/>
          <w:sz w:val="20"/>
          <w:szCs w:val="20"/>
        </w:rPr>
        <w:t xml:space="preserve"> unitário de suas respectivas emissões acrescida da respectiva remuneração prevista em cada uma das escrituras e para cada uma das séries até a efetiva data de </w:t>
      </w:r>
      <w:r w:rsidRPr="00CE6483" w:rsidR="009947B8">
        <w:rPr>
          <w:rFonts w:asciiTheme="minorHAnsi" w:hAnsiTheme="minorHAnsi" w:cstheme="minorHAnsi"/>
          <w:sz w:val="20"/>
          <w:szCs w:val="20"/>
        </w:rPr>
        <w:t>aquisição</w:t>
      </w:r>
      <w:r w:rsidRPr="00CE6483">
        <w:rPr>
          <w:rFonts w:asciiTheme="minorHAnsi" w:hAnsiTheme="minorHAnsi" w:cstheme="minorHAnsi"/>
          <w:sz w:val="20"/>
          <w:szCs w:val="20"/>
        </w:rPr>
        <w:t>.</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pStyle w:val="ListParagraph"/>
        <w:numPr>
          <w:ilvl w:val="0"/>
          <w:numId w:val="32"/>
        </w:numPr>
        <w:ind w:right="40"/>
        <w:jc w:val="both"/>
        <w:rPr>
          <w:rFonts w:asciiTheme="minorHAnsi" w:hAnsiTheme="minorHAnsi" w:cstheme="minorHAnsi"/>
          <w:b/>
          <w:sz w:val="20"/>
          <w:szCs w:val="20"/>
        </w:rPr>
      </w:pPr>
      <w:r w:rsidRPr="00CE6483">
        <w:rPr>
          <w:rFonts w:asciiTheme="minorHAnsi" w:hAnsiTheme="minorHAnsi" w:cstheme="minorHAnsi"/>
          <w:b/>
          <w:sz w:val="20"/>
          <w:szCs w:val="20"/>
        </w:rPr>
        <w:t>se aplicável, a parte do preço referente ao prêmio de aquisição, expresso em percentual sobre a soma dos valores atribuídos aos itens “a” e “b” acima.</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ind w:left="720" w:right="40"/>
        <w:rPr>
          <w:rFonts w:asciiTheme="minorHAnsi" w:hAnsiTheme="minorHAnsi" w:cstheme="minorHAnsi"/>
          <w:b/>
          <w:sz w:val="20"/>
          <w:szCs w:val="20"/>
        </w:rPr>
      </w:pPr>
      <w:r w:rsidRPr="00CE6483">
        <w:rPr>
          <w:rFonts w:asciiTheme="minorHAnsi" w:hAnsiTheme="minorHAnsi" w:cstheme="minorHAnsi"/>
          <w:sz w:val="20"/>
          <w:szCs w:val="20"/>
        </w:rPr>
        <w:t>Não se aplica.</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b/>
          <w:sz w:val="20"/>
          <w:szCs w:val="20"/>
        </w:rPr>
      </w:pPr>
      <w:r w:rsidRPr="00CE6483">
        <w:rPr>
          <w:rFonts w:asciiTheme="minorHAnsi" w:hAnsiTheme="minorHAnsi" w:cstheme="minorHAnsi"/>
          <w:b/>
          <w:sz w:val="20"/>
          <w:szCs w:val="20"/>
        </w:rPr>
        <w:t>Indicar o prazo máximo para a liquidação das operações autorizadas; e</w:t>
      </w:r>
    </w:p>
    <w:p w:rsidRPr="00CE6483" w:rsidR="00CE6483" w:rsidP="00CE6483" w:rsidRDefault="00CE6483">
      <w:pPr>
        <w:pStyle w:val="ListParagraph"/>
        <w:ind w:right="40"/>
        <w:rPr>
          <w:rFonts w:asciiTheme="minorHAnsi" w:hAnsiTheme="minorHAnsi" w:cstheme="minorHAnsi"/>
          <w:b/>
          <w:sz w:val="20"/>
          <w:szCs w:val="20"/>
        </w:rPr>
      </w:pPr>
    </w:p>
    <w:p w:rsidRPr="000C60FC" w:rsidR="00CE6483" w:rsidP="00CE6483" w:rsidRDefault="000C60FC">
      <w:pPr>
        <w:ind w:left="90" w:right="40"/>
        <w:rPr>
          <w:rFonts w:asciiTheme="minorHAnsi" w:hAnsiTheme="minorHAnsi" w:cstheme="minorHAnsi"/>
          <w:b/>
          <w:sz w:val="18"/>
          <w:szCs w:val="20"/>
        </w:rPr>
      </w:pPr>
      <w:bookmarkStart w:name="_Hlk106653634" w:id="0"/>
      <w:bookmarkStart w:name="_GoBack" w:id="1"/>
      <w:r w:rsidRPr="000C60FC">
        <w:rPr>
          <w:sz w:val="20"/>
          <w:szCs w:val="20"/>
        </w:rPr>
        <w:t>O prazo máximo para a realização das Aquisições Facultativas é de</w:t>
      </w:r>
      <w:r w:rsidR="004D4DB3">
        <w:rPr>
          <w:sz w:val="20"/>
          <w:szCs w:val="20"/>
        </w:rPr>
        <w:t xml:space="preserve"> 9 </w:t>
      </w:r>
      <w:r w:rsidRPr="000C60FC">
        <w:rPr>
          <w:sz w:val="20"/>
          <w:szCs w:val="20"/>
        </w:rPr>
        <w:t>dias contados da Data de Emissão das Debêntures da 11ª Emissão</w:t>
      </w:r>
      <w:r w:rsidR="004D4DB3">
        <w:rPr>
          <w:sz w:val="20"/>
          <w:szCs w:val="20"/>
        </w:rPr>
        <w:t xml:space="preserve"> (inclusive)</w:t>
      </w:r>
      <w:r w:rsidRPr="000C60FC">
        <w:rPr>
          <w:sz w:val="20"/>
          <w:szCs w:val="20"/>
        </w:rPr>
        <w:t xml:space="preserve">, ou seja, até </w:t>
      </w:r>
      <w:r w:rsidR="004D4DB3">
        <w:rPr>
          <w:sz w:val="20"/>
          <w:szCs w:val="20"/>
        </w:rPr>
        <w:t>29</w:t>
      </w:r>
      <w:r w:rsidRPr="000C60FC">
        <w:rPr>
          <w:sz w:val="20"/>
          <w:szCs w:val="20"/>
        </w:rPr>
        <w:t xml:space="preserve"> de julho de 2022</w:t>
      </w:r>
      <w:r w:rsidR="00524B4E">
        <w:rPr>
          <w:sz w:val="20"/>
          <w:szCs w:val="20"/>
        </w:rPr>
        <w:t xml:space="preserve"> (</w:t>
      </w:r>
      <w:r w:rsidRPr="000C60FC">
        <w:rPr>
          <w:sz w:val="20"/>
          <w:szCs w:val="20"/>
        </w:rPr>
        <w:t>inclusive</w:t>
      </w:r>
      <w:bookmarkEnd w:id="0"/>
      <w:r w:rsidR="00524B4E">
        <w:rPr>
          <w:sz w:val="20"/>
          <w:szCs w:val="20"/>
        </w:rPr>
        <w:t>)</w:t>
      </w:r>
      <w:bookmarkEnd w:id="1"/>
      <w:r w:rsidRPr="000C60FC">
        <w:rPr>
          <w:sz w:val="20"/>
          <w:szCs w:val="20"/>
        </w:rPr>
        <w:t>.</w:t>
      </w:r>
    </w:p>
    <w:p w:rsidRPr="00CE6483" w:rsidR="00CE6483" w:rsidP="00CE6483" w:rsidRDefault="00CE6483">
      <w:pPr>
        <w:pStyle w:val="ListParagraph"/>
        <w:ind w:right="40"/>
        <w:rPr>
          <w:rFonts w:asciiTheme="minorHAnsi" w:hAnsiTheme="minorHAnsi" w:cstheme="minorHAnsi"/>
          <w:b/>
          <w:sz w:val="20"/>
          <w:szCs w:val="20"/>
        </w:rPr>
      </w:pPr>
    </w:p>
    <w:p w:rsidRPr="00CE6483" w:rsidR="00CE6483" w:rsidP="00CE6483" w:rsidRDefault="00CE6483">
      <w:pPr>
        <w:pStyle w:val="ListParagraph"/>
        <w:numPr>
          <w:ilvl w:val="0"/>
          <w:numId w:val="31"/>
        </w:numPr>
        <w:ind w:left="0" w:right="40" w:firstLine="0"/>
        <w:jc w:val="both"/>
        <w:rPr>
          <w:rFonts w:asciiTheme="minorHAnsi" w:hAnsiTheme="minorHAnsi" w:cstheme="minorHAnsi"/>
          <w:sz w:val="20"/>
          <w:szCs w:val="20"/>
        </w:rPr>
      </w:pPr>
      <w:r w:rsidRPr="00CE6483">
        <w:rPr>
          <w:rFonts w:asciiTheme="minorHAnsi" w:hAnsiTheme="minorHAnsi" w:cstheme="minorHAnsi"/>
          <w:b/>
          <w:sz w:val="20"/>
          <w:szCs w:val="20"/>
        </w:rPr>
        <w:t>Identificar instituições que atuarão como intermediárias, se houver.</w:t>
      </w:r>
    </w:p>
    <w:p w:rsidRPr="00CE6483" w:rsidR="00CE6483" w:rsidP="00CE6483" w:rsidRDefault="00CE6483">
      <w:pPr>
        <w:ind w:left="90" w:right="40"/>
        <w:rPr>
          <w:rFonts w:asciiTheme="minorHAnsi" w:hAnsiTheme="minorHAnsi" w:cstheme="minorHAnsi"/>
          <w:sz w:val="20"/>
          <w:szCs w:val="20"/>
        </w:rPr>
      </w:pPr>
    </w:p>
    <w:p w:rsidRPr="00CE6483" w:rsidR="00CE6483" w:rsidP="009947B8" w:rsidRDefault="00CE6483">
      <w:pPr>
        <w:pStyle w:val="BodyText"/>
        <w:tabs>
          <w:tab w:val="left" w:pos="8640"/>
        </w:tabs>
        <w:spacing w:after="0" w:line="276" w:lineRule="auto"/>
        <w:rPr>
          <w:rFonts w:asciiTheme="minorHAnsi" w:hAnsiTheme="minorHAnsi" w:cstheme="minorHAnsi"/>
          <w:sz w:val="20"/>
          <w:szCs w:val="20"/>
        </w:rPr>
      </w:pPr>
      <w:r w:rsidRPr="00CE6483">
        <w:rPr>
          <w:rFonts w:asciiTheme="minorHAnsi" w:hAnsiTheme="minorHAnsi" w:cstheme="minorHAnsi"/>
          <w:sz w:val="20"/>
          <w:szCs w:val="20"/>
        </w:rPr>
        <w:t>A Instituição Financeira que atuará como intermediária será: Banco BTG S.A., sociedade anônima com sede na Cidade e Estado de Rio de Janeiro, Praia de Botafogo, nº 501, 5º e 6º andar- Torre Corcovado - Botafogo, CEP 22.250-040 inscrita no CNPJ/ME sob nº 30.306.294/0001-45.</w:t>
      </w:r>
    </w:p>
    <w:p w:rsidRPr="00CE6483" w:rsidR="00CE6483" w:rsidP="009947B8" w:rsidRDefault="00CE6483">
      <w:pPr>
        <w:spacing w:after="0" w:line="320" w:lineRule="exact"/>
        <w:ind w:right="36" w:firstLine="0"/>
        <w:rPr>
          <w:rFonts w:asciiTheme="minorHAnsi" w:hAnsiTheme="minorHAnsi" w:cstheme="minorHAnsi"/>
          <w:sz w:val="20"/>
          <w:szCs w:val="20"/>
        </w:rPr>
      </w:pPr>
    </w:p>
    <w:p w:rsidRPr="00CE6483" w:rsidR="00CE6483" w:rsidP="00CE6483" w:rsidRDefault="00CE6483">
      <w:pPr>
        <w:spacing w:after="0" w:line="320" w:lineRule="exact"/>
        <w:ind w:right="36" w:firstLine="541"/>
        <w:rPr>
          <w:rFonts w:asciiTheme="minorHAnsi" w:hAnsiTheme="minorHAnsi" w:cstheme="minorHAnsi"/>
          <w:sz w:val="20"/>
          <w:szCs w:val="20"/>
        </w:rPr>
      </w:pPr>
      <w:r w:rsidRPr="00CE6483">
        <w:rPr>
          <w:rFonts w:asciiTheme="minorHAnsi" w:hAnsiTheme="minorHAnsi" w:cstheme="minorHAnsi"/>
          <w:sz w:val="20"/>
          <w:szCs w:val="20"/>
        </w:rPr>
        <w:t>Informamos ainda, que em cumprimento ao disposto na escritura, a RCA que aprovou a</w:t>
      </w:r>
      <w:r w:rsidR="00D12496">
        <w:rPr>
          <w:rFonts w:asciiTheme="minorHAnsi" w:hAnsiTheme="minorHAnsi" w:cstheme="minorHAnsi"/>
          <w:sz w:val="20"/>
          <w:szCs w:val="20"/>
        </w:rPr>
        <w:t>s</w:t>
      </w:r>
      <w:r w:rsidRPr="00CE6483">
        <w:rPr>
          <w:rFonts w:asciiTheme="minorHAnsi" w:hAnsiTheme="minorHAnsi" w:cstheme="minorHAnsi"/>
          <w:sz w:val="20"/>
          <w:szCs w:val="20"/>
        </w:rPr>
        <w:t xml:space="preserve"> Aquisiç</w:t>
      </w:r>
      <w:r w:rsidR="00D12496">
        <w:rPr>
          <w:rFonts w:asciiTheme="minorHAnsi" w:hAnsiTheme="minorHAnsi" w:cstheme="minorHAnsi"/>
          <w:sz w:val="20"/>
          <w:szCs w:val="20"/>
        </w:rPr>
        <w:t>ões</w:t>
      </w:r>
      <w:r w:rsidRPr="00CE6483">
        <w:rPr>
          <w:rFonts w:asciiTheme="minorHAnsi" w:hAnsiTheme="minorHAnsi" w:cstheme="minorHAnsi"/>
          <w:sz w:val="20"/>
          <w:szCs w:val="20"/>
        </w:rPr>
        <w:t xml:space="preserve"> Facultativa</w:t>
      </w:r>
      <w:r w:rsidR="00D12496">
        <w:rPr>
          <w:rFonts w:asciiTheme="minorHAnsi" w:hAnsiTheme="minorHAnsi" w:cstheme="minorHAnsi"/>
          <w:sz w:val="20"/>
          <w:szCs w:val="20"/>
        </w:rPr>
        <w:t>s</w:t>
      </w:r>
      <w:r w:rsidRPr="00CE6483">
        <w:rPr>
          <w:rFonts w:asciiTheme="minorHAnsi" w:hAnsiTheme="minorHAnsi" w:cstheme="minorHAnsi"/>
          <w:sz w:val="20"/>
          <w:szCs w:val="20"/>
        </w:rPr>
        <w:t xml:space="preserve"> será oportunamente divulgada no jornal de divulgação da </w:t>
      </w:r>
      <w:r w:rsidR="00CC5C96">
        <w:rPr>
          <w:rFonts w:asciiTheme="minorHAnsi" w:hAnsiTheme="minorHAnsi" w:cstheme="minorHAnsi"/>
          <w:sz w:val="20"/>
          <w:szCs w:val="20"/>
        </w:rPr>
        <w:t>Companhia</w:t>
      </w:r>
      <w:r w:rsidRPr="00CE6483">
        <w:rPr>
          <w:rFonts w:asciiTheme="minorHAnsi" w:hAnsiTheme="minorHAnsi" w:cstheme="minorHAnsi"/>
          <w:sz w:val="20"/>
          <w:szCs w:val="20"/>
        </w:rPr>
        <w:t>.</w:t>
      </w:r>
    </w:p>
    <w:p w:rsidRPr="00CE6483" w:rsidR="00CE6483" w:rsidP="006D41C3" w:rsidRDefault="00CE6483">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spacing w:after="0" w:line="320" w:lineRule="exact"/>
        <w:ind w:left="-15" w:right="36" w:firstLine="566"/>
        <w:rPr>
          <w:rFonts w:asciiTheme="minorHAnsi" w:hAnsiTheme="minorHAnsi" w:cstheme="minorHAnsi"/>
          <w:sz w:val="20"/>
          <w:szCs w:val="20"/>
        </w:rPr>
      </w:pPr>
      <w:r w:rsidRPr="00CE6483">
        <w:rPr>
          <w:rFonts w:asciiTheme="minorHAnsi" w:hAnsiTheme="minorHAnsi" w:cstheme="minorHAnsi"/>
          <w:sz w:val="20"/>
          <w:szCs w:val="20"/>
        </w:rPr>
        <w:t xml:space="preserve">Sendo o que nos cumpria para o momento, colocamo-nos à inteira disposição de </w:t>
      </w:r>
      <w:proofErr w:type="spellStart"/>
      <w:r w:rsidRPr="00CE6483">
        <w:rPr>
          <w:rFonts w:asciiTheme="minorHAnsi" w:hAnsiTheme="minorHAnsi" w:cstheme="minorHAnsi"/>
          <w:sz w:val="20"/>
          <w:szCs w:val="20"/>
        </w:rPr>
        <w:t>V.Sas</w:t>
      </w:r>
      <w:proofErr w:type="spellEnd"/>
      <w:r w:rsidRPr="00CE6483">
        <w:rPr>
          <w:rFonts w:asciiTheme="minorHAnsi" w:hAnsiTheme="minorHAnsi" w:cstheme="minorHAnsi"/>
          <w:sz w:val="20"/>
          <w:szCs w:val="20"/>
        </w:rPr>
        <w:t xml:space="preserve"> para quaisquer esclarecimentos adicionais que se façam necessários. </w:t>
      </w:r>
    </w:p>
    <w:p w:rsidRPr="00CE6483" w:rsidR="00AE4D70" w:rsidP="006D41C3" w:rsidRDefault="00AE4D70">
      <w:pPr>
        <w:spacing w:after="0" w:line="320" w:lineRule="exact"/>
        <w:rPr>
          <w:rFonts w:asciiTheme="minorHAnsi" w:hAnsiTheme="minorHAnsi" w:cstheme="minorHAnsi"/>
          <w:sz w:val="20"/>
          <w:szCs w:val="20"/>
        </w:rPr>
      </w:pPr>
    </w:p>
    <w:p w:rsidRPr="00CE6483" w:rsidR="00AE4D70" w:rsidP="006D41C3" w:rsidRDefault="00AE4D70">
      <w:pPr>
        <w:spacing w:after="0" w:line="320" w:lineRule="exact"/>
        <w:jc w:val="center"/>
        <w:rPr>
          <w:rFonts w:asciiTheme="minorHAnsi" w:hAnsiTheme="minorHAnsi" w:cstheme="minorHAnsi"/>
          <w:sz w:val="20"/>
          <w:szCs w:val="20"/>
        </w:rPr>
      </w:pPr>
      <w:r w:rsidRPr="00CE6483">
        <w:rPr>
          <w:rFonts w:asciiTheme="minorHAnsi" w:hAnsiTheme="minorHAnsi" w:cstheme="minorHAnsi"/>
          <w:sz w:val="20"/>
          <w:szCs w:val="20"/>
        </w:rPr>
        <w:t>Atenciosamente,</w:t>
      </w:r>
    </w:p>
    <w:p w:rsidRPr="00CE6483" w:rsidR="00273932" w:rsidP="006D41C3" w:rsidRDefault="00273932">
      <w:pPr>
        <w:spacing w:after="0" w:line="320" w:lineRule="exact"/>
        <w:rPr>
          <w:rFonts w:asciiTheme="minorHAnsi" w:hAnsiTheme="minorHAnsi" w:cstheme="minorHAnsi"/>
          <w:sz w:val="20"/>
          <w:szCs w:val="20"/>
        </w:rPr>
      </w:pPr>
    </w:p>
    <w:p w:rsidRPr="00CE6483" w:rsidR="008235FA" w:rsidP="006D41C3" w:rsidRDefault="008235FA">
      <w:pPr>
        <w:spacing w:after="0" w:line="320" w:lineRule="exact"/>
        <w:jc w:val="center"/>
        <w:rPr>
          <w:rFonts w:asciiTheme="minorHAnsi" w:hAnsiTheme="minorHAnsi" w:cstheme="minorHAnsi"/>
          <w:sz w:val="20"/>
          <w:szCs w:val="20"/>
        </w:rPr>
      </w:pPr>
      <w:r w:rsidRPr="00CE6483">
        <w:rPr>
          <w:rFonts w:asciiTheme="minorHAnsi" w:hAnsiTheme="minorHAnsi" w:cstheme="minorHAnsi"/>
          <w:b/>
          <w:sz w:val="20"/>
          <w:szCs w:val="20"/>
        </w:rPr>
        <w:t>NATURA COSMÉTICOS S.A.</w:t>
      </w:r>
    </w:p>
    <w:p w:rsidRPr="00CE6483" w:rsidR="00AE4D70" w:rsidP="006D41C3" w:rsidRDefault="00AE4D70">
      <w:pPr>
        <w:spacing w:after="0" w:line="320" w:lineRule="exact"/>
        <w:rPr>
          <w:rFonts w:asciiTheme="minorHAnsi" w:hAnsiTheme="minorHAnsi" w:cstheme="minorHAnsi"/>
          <w:sz w:val="20"/>
          <w:szCs w:val="20"/>
        </w:rPr>
      </w:pPr>
    </w:p>
    <w:p w:rsidRPr="00CE6483" w:rsidR="00273932" w:rsidP="006D41C3" w:rsidRDefault="00273932">
      <w:pPr>
        <w:spacing w:after="0" w:line="320" w:lineRule="exact"/>
        <w:rPr>
          <w:rFonts w:asciiTheme="minorHAnsi" w:hAnsiTheme="minorHAnsi" w:cstheme="minorHAnsi"/>
          <w:sz w:val="20"/>
          <w:szCs w:val="20"/>
        </w:rPr>
      </w:pP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2"/>
        <w:gridCol w:w="4242"/>
      </w:tblGrid>
      <w:tr w:rsidRPr="00CE6483" w:rsidR="00273932" w:rsidTr="00273932">
        <w:tc>
          <w:tcPr>
            <w:tcW w:w="4242" w:type="dxa"/>
          </w:tcPr>
          <w:p w:rsidRPr="00CE6483" w:rsidR="00273932" w:rsidP="006D41C3"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________________________________</w:t>
            </w:r>
          </w:p>
        </w:tc>
        <w:tc>
          <w:tcPr>
            <w:tcW w:w="4242" w:type="dxa"/>
          </w:tcPr>
          <w:p w:rsidRPr="00CE6483" w:rsidR="00273932" w:rsidP="006D41C3"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________________________________</w:t>
            </w:r>
          </w:p>
        </w:tc>
      </w:tr>
      <w:tr w:rsidRPr="00CE6483" w:rsidR="00273932" w:rsidTr="00273932">
        <w:tc>
          <w:tcPr>
            <w:tcW w:w="4242" w:type="dxa"/>
          </w:tcPr>
          <w:p w:rsidRPr="00CE6483" w:rsidR="00273932" w:rsidP="00273932"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Nome:</w:t>
            </w:r>
          </w:p>
        </w:tc>
        <w:tc>
          <w:tcPr>
            <w:tcW w:w="4242" w:type="dxa"/>
          </w:tcPr>
          <w:p w:rsidRPr="00CE6483" w:rsidR="00273932" w:rsidP="00273932"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Nome:</w:t>
            </w:r>
          </w:p>
        </w:tc>
      </w:tr>
      <w:tr w:rsidRPr="00CE6483" w:rsidR="00273932" w:rsidTr="00273932">
        <w:tc>
          <w:tcPr>
            <w:tcW w:w="4242" w:type="dxa"/>
          </w:tcPr>
          <w:p w:rsidRPr="00CE6483" w:rsidR="00273932" w:rsidP="00273932"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Cargo:</w:t>
            </w:r>
          </w:p>
        </w:tc>
        <w:tc>
          <w:tcPr>
            <w:tcW w:w="4242" w:type="dxa"/>
          </w:tcPr>
          <w:p w:rsidRPr="00CE6483" w:rsidR="00273932" w:rsidP="00273932" w:rsidRDefault="00273932">
            <w:pPr>
              <w:spacing w:after="0" w:line="320" w:lineRule="exact"/>
              <w:ind w:left="0" w:firstLine="0"/>
              <w:rPr>
                <w:rFonts w:asciiTheme="minorHAnsi" w:hAnsiTheme="minorHAnsi" w:cstheme="minorHAnsi"/>
                <w:sz w:val="20"/>
                <w:szCs w:val="20"/>
              </w:rPr>
            </w:pPr>
            <w:r w:rsidRPr="00CE6483">
              <w:rPr>
                <w:rFonts w:asciiTheme="minorHAnsi" w:hAnsiTheme="minorHAnsi" w:cstheme="minorHAnsi"/>
                <w:sz w:val="20"/>
                <w:szCs w:val="20"/>
              </w:rPr>
              <w:t>Cargo:</w:t>
            </w:r>
          </w:p>
        </w:tc>
      </w:tr>
    </w:tbl>
    <w:p w:rsidRPr="00CE6483" w:rsidR="00CE6483" w:rsidP="006D41C3" w:rsidRDefault="00CE6483">
      <w:pPr>
        <w:spacing w:after="0" w:line="320" w:lineRule="exact"/>
        <w:rPr>
          <w:rFonts w:asciiTheme="minorHAnsi" w:hAnsiTheme="minorHAnsi" w:cstheme="minorHAnsi"/>
          <w:sz w:val="20"/>
          <w:szCs w:val="20"/>
        </w:rPr>
      </w:pPr>
    </w:p>
    <w:p w:rsidRPr="00CE6483" w:rsidR="00CE6483" w:rsidP="00CE6483" w:rsidRDefault="00CE6483">
      <w:pPr>
        <w:spacing w:after="0" w:line="320" w:lineRule="exact"/>
        <w:jc w:val="center"/>
        <w:rPr>
          <w:rFonts w:asciiTheme="minorHAnsi" w:hAnsiTheme="minorHAnsi" w:cstheme="minorHAnsi"/>
          <w:b/>
          <w:sz w:val="20"/>
          <w:szCs w:val="20"/>
        </w:rPr>
      </w:pPr>
      <w:r w:rsidRPr="00CE6483">
        <w:rPr>
          <w:rFonts w:asciiTheme="minorHAnsi" w:hAnsiTheme="minorHAnsi" w:cstheme="minorHAnsi"/>
          <w:sz w:val="20"/>
          <w:szCs w:val="20"/>
        </w:rPr>
        <w:br w:type="column"/>
      </w:r>
      <w:r w:rsidRPr="00CE6483">
        <w:rPr>
          <w:rFonts w:asciiTheme="minorHAnsi" w:hAnsiTheme="minorHAnsi" w:cstheme="minorHAnsi"/>
          <w:b/>
          <w:sz w:val="20"/>
          <w:szCs w:val="20"/>
        </w:rPr>
        <w:lastRenderedPageBreak/>
        <w:t>ANEXO I</w:t>
      </w:r>
    </w:p>
    <w:p w:rsidRPr="00CE6483" w:rsidR="00273932" w:rsidP="00CE6483" w:rsidRDefault="00CE6483">
      <w:pPr>
        <w:spacing w:after="0" w:line="320" w:lineRule="exact"/>
        <w:jc w:val="center"/>
        <w:rPr>
          <w:rFonts w:asciiTheme="minorHAnsi" w:hAnsiTheme="minorHAnsi" w:cstheme="minorHAnsi"/>
          <w:sz w:val="20"/>
          <w:szCs w:val="20"/>
        </w:rPr>
      </w:pPr>
      <w:r w:rsidRPr="00CE6483">
        <w:rPr>
          <w:rFonts w:asciiTheme="minorHAnsi" w:hAnsiTheme="minorHAnsi" w:cstheme="minorHAnsi"/>
          <w:b/>
          <w:sz w:val="20"/>
          <w:szCs w:val="20"/>
        </w:rPr>
        <w:t>DOCUMENTOS DE DIVULGAÇÃO DA</w:t>
      </w:r>
      <w:r w:rsidR="00AF39E0">
        <w:rPr>
          <w:rFonts w:asciiTheme="minorHAnsi" w:hAnsiTheme="minorHAnsi" w:cstheme="minorHAnsi"/>
          <w:b/>
          <w:sz w:val="20"/>
          <w:szCs w:val="20"/>
        </w:rPr>
        <w:t>S</w:t>
      </w:r>
      <w:r w:rsidRPr="00CE6483">
        <w:rPr>
          <w:rFonts w:asciiTheme="minorHAnsi" w:hAnsiTheme="minorHAnsi" w:cstheme="minorHAnsi"/>
          <w:b/>
          <w:sz w:val="20"/>
          <w:szCs w:val="20"/>
        </w:rPr>
        <w:t xml:space="preserve"> AQUISIÇ</w:t>
      </w:r>
      <w:r w:rsidR="00AF39E0">
        <w:rPr>
          <w:rFonts w:asciiTheme="minorHAnsi" w:hAnsiTheme="minorHAnsi" w:cstheme="minorHAnsi"/>
          <w:b/>
          <w:sz w:val="20"/>
          <w:szCs w:val="20"/>
        </w:rPr>
        <w:t>ÕES</w:t>
      </w:r>
      <w:r w:rsidRPr="00CE6483">
        <w:rPr>
          <w:rFonts w:asciiTheme="minorHAnsi" w:hAnsiTheme="minorHAnsi" w:cstheme="minorHAnsi"/>
          <w:b/>
          <w:sz w:val="20"/>
          <w:szCs w:val="20"/>
        </w:rPr>
        <w:t xml:space="preserve"> FACULTATIVA</w:t>
      </w:r>
      <w:r w:rsidR="00AF39E0">
        <w:rPr>
          <w:rFonts w:asciiTheme="minorHAnsi" w:hAnsiTheme="minorHAnsi" w:cstheme="minorHAnsi"/>
          <w:b/>
          <w:sz w:val="20"/>
          <w:szCs w:val="20"/>
        </w:rPr>
        <w:t>S</w:t>
      </w:r>
    </w:p>
    <w:sectPr w:rsidRPr="00CE6483" w:rsidR="00273932" w:rsidSect="00AE4D70">
      <w:headerReference w:type="even" r:id="rId7"/>
      <w:headerReference w:type="default" r:id="rId8"/>
      <w:footerReference w:type="even" r:id="rId9"/>
      <w:footerReference w:type="default" r:id="rId10"/>
      <w:headerReference w:type="first" r:id="rId11"/>
      <w:footerReference w:type="first" r:id="rId12"/>
      <w:pgSz w:w="11906" w:h="16838"/>
      <w:pgMar w:top="30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D6" w:rsidP="00AE4D70" w:rsidRDefault="008E6FD6">
      <w:pPr>
        <w:spacing w:after="0" w:line="240" w:lineRule="auto"/>
      </w:pPr>
      <w:r>
        <w:separator/>
      </w:r>
    </w:p>
  </w:endnote>
  <w:endnote w:type="continuationSeparator" w:id="0">
    <w:p w:rsidR="008E6FD6" w:rsidP="00AE4D70" w:rsidRDefault="008E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D6" w:rsidP="00AE4D70" w:rsidRDefault="008E6FD6">
      <w:pPr>
        <w:spacing w:after="0" w:line="240" w:lineRule="auto"/>
      </w:pPr>
      <w:r>
        <w:separator/>
      </w:r>
    </w:p>
  </w:footnote>
  <w:footnote w:type="continuationSeparator" w:id="0">
    <w:p w:rsidR="008E6FD6" w:rsidP="00AE4D70" w:rsidRDefault="008E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Header"/>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70" w:rsidP="00AE4D70" w:rsidRDefault="00AE4D70">
    <w:pPr>
      <w:pStyle w:val="Header"/>
      <w:jc w:val="center"/>
    </w:pPr>
    <w:r>
      <w:rPr>
        <w:noProof/>
      </w:rPr>
      <w:drawing>
        <wp:inline distT="0" distB="0" distL="0" distR="0" wp14:anchorId="5F720495" wp14:editId="3426B5FA">
          <wp:extent cx="1703832" cy="1112520"/>
          <wp:effectExtent l="0" t="0" r="0" b="0"/>
          <wp:docPr id="19" name="Picture 19" descr="" titl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03832" cy="11125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D07D2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EAA596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AACE1ADE"/>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5BC63FB0"/>
    <w:lvl w:ilvl="0">
      <w:start w:val="1"/>
      <w:numFmt w:val="decimal"/>
      <w:lvlText w:val="%1."/>
      <w:lvlJc w:val="left"/>
      <w:pPr>
        <w:tabs>
          <w:tab w:val="num" w:pos="360"/>
        </w:tabs>
        <w:ind w:left="360" w:hanging="360"/>
      </w:pPr>
    </w:lvl>
  </w:abstractNum>
  <w:abstractNum w:abstractNumId="4"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099F52AB"/>
    <w:multiLevelType w:val="multilevel"/>
    <w:tmpl w:val="D70EC034"/>
    <w:numStyleLink w:val="BMSchedules"/>
  </w:abstractNum>
  <w:abstractNum w:abstractNumId="6" w15:restartNumberingAfterBreak="0">
    <w:nsid w:val="14F818B3"/>
    <w:multiLevelType w:val="hybridMultilevel"/>
    <w:tmpl w:val="5C689E36"/>
    <w:lvl w:ilvl="0" w:tplc="F61E9BB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1A86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3228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0649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98C0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1C7B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CA59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B2DC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80E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F1C7A27"/>
    <w:multiLevelType w:val="hybridMultilevel"/>
    <w:tmpl w:val="06924C16"/>
    <w:lvl w:ilvl="0" w:tplc="1434604E">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1A075EB"/>
    <w:multiLevelType w:val="hybridMultilevel"/>
    <w:tmpl w:val="D826B5D8"/>
    <w:lvl w:ilvl="0" w:tplc="9F04E038">
      <w:start w:val="1"/>
      <w:numFmt w:val="decimal"/>
      <w:lvlText w:val="%1."/>
      <w:lvlJc w:val="left"/>
      <w:pPr>
        <w:ind w:left="810" w:hanging="360"/>
      </w:pPr>
      <w:rPr>
        <w:b/>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1"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8FC3910"/>
    <w:multiLevelType w:val="multilevel"/>
    <w:tmpl w:val="7B24B224"/>
    <w:numStyleLink w:val="BMHeadings"/>
  </w:abstractNum>
  <w:abstractNum w:abstractNumId="1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22AB5"/>
    <w:multiLevelType w:val="hybridMultilevel"/>
    <w:tmpl w:val="354868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9"/>
  </w:num>
  <w:num w:numId="5">
    <w:abstractNumId w:val="11"/>
  </w:num>
  <w:num w:numId="6">
    <w:abstractNumId w:val="4"/>
  </w:num>
  <w:num w:numId="7">
    <w:abstractNumId w:val="13"/>
  </w:num>
  <w:num w:numId="8">
    <w:abstractNumId w:val="7"/>
  </w:num>
  <w:num w:numId="9">
    <w:abstractNumId w:val="5"/>
  </w:num>
  <w:num w:numId="10">
    <w:abstractNumId w:val="5"/>
  </w:num>
  <w:num w:numId="11">
    <w:abstractNumId w:val="5"/>
  </w:num>
  <w:num w:numId="12">
    <w:abstractNumId w:val="5"/>
  </w:num>
  <w:num w:numId="13">
    <w:abstractNumId w:val="5"/>
  </w:num>
  <w:num w:numId="14">
    <w:abstractNumId w:val="5"/>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3"/>
  </w:num>
  <w:num w:numId="23">
    <w:abstractNumId w:val="11"/>
  </w:num>
  <w:num w:numId="24">
    <w:abstractNumId w:val="2"/>
  </w:num>
  <w:num w:numId="25">
    <w:abstractNumId w:val="11"/>
  </w:num>
  <w:num w:numId="26">
    <w:abstractNumId w:val="1"/>
  </w:num>
  <w:num w:numId="27">
    <w:abstractNumId w:val="11"/>
  </w:num>
  <w:num w:numId="28">
    <w:abstractNumId w:val="0"/>
  </w:num>
  <w:num w:numId="29">
    <w:abstractNumId w:val="11"/>
  </w:num>
  <w:num w:numId="30">
    <w:abstractNumId w:val="6"/>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w:rsids>
    <w:rsidRoot w:val="00AE4D70"/>
    <w:rsid w:val="0006282D"/>
    <w:rsid w:val="000925E8"/>
    <w:rsid w:val="000B2AE7"/>
    <w:rsid w:val="000C60FC"/>
    <w:rsid w:val="00114934"/>
    <w:rsid w:val="001174DF"/>
    <w:rsid w:val="00196252"/>
    <w:rsid w:val="00236B28"/>
    <w:rsid w:val="00243465"/>
    <w:rsid w:val="00271567"/>
    <w:rsid w:val="00272F9C"/>
    <w:rsid w:val="00273932"/>
    <w:rsid w:val="002E18B2"/>
    <w:rsid w:val="00320B5B"/>
    <w:rsid w:val="00354A8B"/>
    <w:rsid w:val="003A12CE"/>
    <w:rsid w:val="003D0E43"/>
    <w:rsid w:val="00485BFA"/>
    <w:rsid w:val="004D4DB3"/>
    <w:rsid w:val="004E0814"/>
    <w:rsid w:val="004F7A61"/>
    <w:rsid w:val="00524B4E"/>
    <w:rsid w:val="00663195"/>
    <w:rsid w:val="006A7936"/>
    <w:rsid w:val="006D329D"/>
    <w:rsid w:val="006D41C3"/>
    <w:rsid w:val="00733B6D"/>
    <w:rsid w:val="00782CF0"/>
    <w:rsid w:val="007A72AD"/>
    <w:rsid w:val="007E669D"/>
    <w:rsid w:val="00821AD7"/>
    <w:rsid w:val="008235FA"/>
    <w:rsid w:val="008E508E"/>
    <w:rsid w:val="008E6FD6"/>
    <w:rsid w:val="00900D62"/>
    <w:rsid w:val="00976188"/>
    <w:rsid w:val="009947B8"/>
    <w:rsid w:val="00A80C83"/>
    <w:rsid w:val="00A91A6F"/>
    <w:rsid w:val="00A933A4"/>
    <w:rsid w:val="00AE4D70"/>
    <w:rsid w:val="00AE52F2"/>
    <w:rsid w:val="00AF39E0"/>
    <w:rsid w:val="00B536AC"/>
    <w:rsid w:val="00C253CA"/>
    <w:rsid w:val="00C31942"/>
    <w:rsid w:val="00C36B29"/>
    <w:rsid w:val="00CC5C96"/>
    <w:rsid w:val="00CE5F11"/>
    <w:rsid w:val="00CE6483"/>
    <w:rsid w:val="00CE6EA6"/>
    <w:rsid w:val="00D12496"/>
    <w:rsid w:val="00D86792"/>
    <w:rsid w:val="00D872BD"/>
    <w:rsid w:val="00DC6981"/>
    <w:rsid w:val="00DE5F13"/>
    <w:rsid w:val="00E25EAE"/>
    <w:rsid w:val="00E31131"/>
    <w:rsid w:val="00E91A9A"/>
    <w:rsid w:val="00EA3265"/>
    <w:rsid w:val="00EB3A37"/>
    <w:rsid w:val="00F11E7E"/>
    <w:rsid w:val="00F17534"/>
    <w:rsid w:val="00F4218A"/>
    <w:rsid w:val="00FE5C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81AF3B"/>
  <w15:chartTrackingRefBased/>
  <w15:docId w15:val="{4663B1F0-E59C-4356-911B-868B6022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70"/>
    <w:pPr>
      <w:spacing w:after="13" w:line="270" w:lineRule="auto"/>
      <w:ind w:left="10" w:right="51" w:hanging="10"/>
      <w:jc w:val="both"/>
    </w:pPr>
    <w:rPr>
      <w:rFonts w:ascii="Times New Roman" w:eastAsia="Times New Roman" w:hAnsi="Times New Roman" w:cs="Times New Roman"/>
      <w:color w:val="000000"/>
      <w:lang w:eastAsia="pt-BR"/>
    </w:rPr>
  </w:style>
  <w:style w:type="paragraph" w:styleId="Heading1">
    <w:name w:val="heading 1"/>
    <w:basedOn w:val="Normal"/>
    <w:next w:val="BodyText"/>
    <w:link w:val="Heading1Char"/>
    <w:uiPriority w:val="9"/>
    <w:qFormat/>
    <w:rsid w:val="002E18B2"/>
    <w:pPr>
      <w:keepNext/>
      <w:numPr>
        <w:numId w:val="21"/>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2E18B2"/>
    <w:pPr>
      <w:keepNext/>
      <w:numPr>
        <w:ilvl w:val="1"/>
        <w:numId w:val="21"/>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qFormat/>
    <w:rsid w:val="002E18B2"/>
    <w:pPr>
      <w:numPr>
        <w:ilvl w:val="2"/>
        <w:numId w:val="21"/>
      </w:numPr>
      <w:spacing w:after="180" w:line="260" w:lineRule="atLeast"/>
      <w:outlineLvl w:val="2"/>
    </w:pPr>
  </w:style>
  <w:style w:type="paragraph" w:styleId="Heading4">
    <w:name w:val="heading 4"/>
    <w:basedOn w:val="Normal"/>
    <w:link w:val="Heading4Char"/>
    <w:qFormat/>
    <w:rsid w:val="002E18B2"/>
    <w:pPr>
      <w:numPr>
        <w:ilvl w:val="3"/>
        <w:numId w:val="21"/>
      </w:numPr>
      <w:spacing w:after="180" w:line="260" w:lineRule="atLeast"/>
      <w:outlineLvl w:val="3"/>
    </w:pPr>
  </w:style>
  <w:style w:type="paragraph" w:styleId="Heading5">
    <w:name w:val="heading 5"/>
    <w:basedOn w:val="Normal"/>
    <w:link w:val="Heading5Char"/>
    <w:qFormat/>
    <w:rsid w:val="002E18B2"/>
    <w:pPr>
      <w:numPr>
        <w:ilvl w:val="4"/>
        <w:numId w:val="21"/>
      </w:numPr>
      <w:spacing w:after="180" w:line="260" w:lineRule="atLeast"/>
      <w:outlineLvl w:val="4"/>
    </w:pPr>
  </w:style>
  <w:style w:type="paragraph" w:styleId="Heading6">
    <w:name w:val="heading 6"/>
    <w:basedOn w:val="Normal"/>
    <w:link w:val="Heading6Char"/>
    <w:qFormat/>
    <w:rsid w:val="002E18B2"/>
    <w:pPr>
      <w:numPr>
        <w:ilvl w:val="5"/>
        <w:numId w:val="21"/>
      </w:numPr>
      <w:spacing w:after="180" w:line="260" w:lineRule="atLeast"/>
      <w:outlineLvl w:val="5"/>
    </w:pPr>
  </w:style>
  <w:style w:type="paragraph" w:styleId="Heading7">
    <w:name w:val="heading 7"/>
    <w:basedOn w:val="Normal"/>
    <w:link w:val="Heading7Char"/>
    <w:qFormat/>
    <w:rsid w:val="002E18B2"/>
    <w:pPr>
      <w:numPr>
        <w:ilvl w:val="6"/>
        <w:numId w:val="21"/>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2E18B2"/>
    <w:pPr>
      <w:spacing w:after="180" w:line="260" w:lineRule="atLeast"/>
    </w:pPr>
  </w:style>
  <w:style w:type="paragraph" w:customStyle="1" w:styleId="Bullet2">
    <w:name w:val="Bullet 2"/>
    <w:basedOn w:val="Normal"/>
    <w:uiPriority w:val="8"/>
    <w:qFormat/>
    <w:rsid w:val="002E18B2"/>
    <w:pPr>
      <w:spacing w:line="260" w:lineRule="atLeast"/>
    </w:pPr>
  </w:style>
  <w:style w:type="numbering" w:customStyle="1" w:styleId="BMDefinitions">
    <w:name w:val="B&amp;M Definitions"/>
    <w:uiPriority w:val="99"/>
    <w:rsid w:val="002E18B2"/>
    <w:pPr>
      <w:numPr>
        <w:numId w:val="3"/>
      </w:numPr>
    </w:pPr>
  </w:style>
  <w:style w:type="numbering" w:customStyle="1" w:styleId="BMHeadings">
    <w:name w:val="B&amp;M Headings"/>
    <w:uiPriority w:val="99"/>
    <w:rsid w:val="002E18B2"/>
    <w:pPr>
      <w:numPr>
        <w:numId w:val="4"/>
      </w:numPr>
    </w:pPr>
  </w:style>
  <w:style w:type="numbering" w:customStyle="1" w:styleId="BMListNumbers">
    <w:name w:val="B&amp;M List Numbers"/>
    <w:uiPriority w:val="99"/>
    <w:rsid w:val="002E18B2"/>
    <w:pPr>
      <w:numPr>
        <w:numId w:val="5"/>
      </w:numPr>
    </w:pPr>
  </w:style>
  <w:style w:type="numbering" w:customStyle="1" w:styleId="BMSchedules">
    <w:name w:val="B&amp;M Schedules"/>
    <w:uiPriority w:val="99"/>
    <w:rsid w:val="002E18B2"/>
    <w:pPr>
      <w:numPr>
        <w:numId w:val="6"/>
      </w:numPr>
    </w:pPr>
  </w:style>
  <w:style w:type="paragraph" w:customStyle="1" w:styleId="BMKAddressInfo">
    <w:name w:val="BMK Address Info"/>
    <w:link w:val="BMKAddressInfoChar"/>
    <w:semiHidden/>
    <w:rsid w:val="002E18B2"/>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2E18B2"/>
    <w:rPr>
      <w:rFonts w:ascii="Arial" w:eastAsia="PMingLiU" w:hAnsi="Arial"/>
      <w:noProof/>
      <w:sz w:val="16"/>
      <w:lang w:val="en-AU" w:eastAsia="zh-CN"/>
    </w:rPr>
  </w:style>
  <w:style w:type="paragraph" w:customStyle="1" w:styleId="BMKAddress1">
    <w:name w:val="BMK Address1"/>
    <w:basedOn w:val="Normal"/>
    <w:semiHidden/>
    <w:rsid w:val="002E18B2"/>
    <w:pPr>
      <w:spacing w:line="260" w:lineRule="atLeast"/>
    </w:pPr>
  </w:style>
  <w:style w:type="paragraph" w:customStyle="1" w:styleId="BMKAttention">
    <w:name w:val="BMK Attention"/>
    <w:basedOn w:val="Normal"/>
    <w:semiHidden/>
    <w:rsid w:val="002E18B2"/>
    <w:pPr>
      <w:spacing w:line="260" w:lineRule="atLeast"/>
    </w:pPr>
  </w:style>
  <w:style w:type="paragraph" w:customStyle="1" w:styleId="BMKCities">
    <w:name w:val="BMK Cities"/>
    <w:semiHidden/>
    <w:rsid w:val="002E18B2"/>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2E18B2"/>
  </w:style>
  <w:style w:type="paragraph" w:customStyle="1" w:styleId="BMKDeliveryPhrase">
    <w:name w:val="BMK Delivery Phrase"/>
    <w:basedOn w:val="BMKAddressInfo"/>
    <w:semiHidden/>
    <w:rsid w:val="002E18B2"/>
    <w:pPr>
      <w:framePr w:w="2943" w:h="1734" w:hRule="exact" w:wrap="around" w:vAnchor="text" w:hAnchor="page" w:x="8533" w:y="208"/>
    </w:pPr>
    <w:rPr>
      <w:b/>
    </w:rPr>
  </w:style>
  <w:style w:type="paragraph" w:customStyle="1" w:styleId="BMKDocumentName">
    <w:name w:val="BMK Document Name"/>
    <w:basedOn w:val="Normal"/>
    <w:next w:val="Normal"/>
    <w:semiHidden/>
    <w:rsid w:val="002E18B2"/>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al"/>
    <w:next w:val="Normal"/>
    <w:semiHidden/>
    <w:rsid w:val="002E18B2"/>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al"/>
    <w:semiHidden/>
    <w:rsid w:val="002E18B2"/>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2E18B2"/>
    <w:pPr>
      <w:spacing w:before="0"/>
    </w:pPr>
  </w:style>
  <w:style w:type="paragraph" w:customStyle="1" w:styleId="BMKMemberFirmName">
    <w:name w:val="BMK Member Firm Name"/>
    <w:basedOn w:val="BMKAddressInfo"/>
    <w:next w:val="BMKAddressInfo"/>
    <w:link w:val="BMKMemberFirmNameChar"/>
    <w:semiHidden/>
    <w:rsid w:val="002E18B2"/>
    <w:rPr>
      <w:b/>
      <w:bCs/>
    </w:rPr>
  </w:style>
  <w:style w:type="character" w:customStyle="1" w:styleId="BMKMemberFirmNameChar">
    <w:name w:val="BMK Member Firm Name Char"/>
    <w:link w:val="BMKMemberFirmName"/>
    <w:semiHidden/>
    <w:rsid w:val="002E18B2"/>
    <w:rPr>
      <w:rFonts w:ascii="Arial" w:eastAsia="PMingLiU" w:hAnsi="Arial"/>
      <w:b/>
      <w:bCs/>
      <w:noProof/>
      <w:sz w:val="16"/>
      <w:lang w:val="en-AU" w:eastAsia="zh-CN"/>
    </w:rPr>
  </w:style>
  <w:style w:type="paragraph" w:customStyle="1" w:styleId="BMKMultiOffice">
    <w:name w:val="BMK Multi Office"/>
    <w:basedOn w:val="Normal"/>
    <w:next w:val="Normal"/>
    <w:semiHidden/>
    <w:rsid w:val="002E18B2"/>
    <w:rPr>
      <w:rFonts w:ascii="Arial Black" w:eastAsia="PMingLiU" w:hAnsi="Arial Black"/>
      <w:noProof/>
      <w:spacing w:val="2"/>
      <w:sz w:val="11"/>
      <w:szCs w:val="24"/>
    </w:rPr>
  </w:style>
  <w:style w:type="paragraph" w:customStyle="1" w:styleId="BMKMultiOfficeAddress">
    <w:name w:val="BMK Multi Office Address"/>
    <w:basedOn w:val="BMKCities"/>
    <w:semiHidden/>
    <w:rsid w:val="002E18B2"/>
  </w:style>
  <w:style w:type="paragraph" w:customStyle="1" w:styleId="BMKPartnerList">
    <w:name w:val="BMK Partner List"/>
    <w:basedOn w:val="BMKCities"/>
    <w:semiHidden/>
    <w:rsid w:val="002E18B2"/>
    <w:pPr>
      <w:adjustRightInd w:val="0"/>
      <w:snapToGrid w:val="0"/>
      <w:spacing w:after="20"/>
    </w:pPr>
    <w:rPr>
      <w:spacing w:val="0"/>
      <w:sz w:val="10"/>
      <w:szCs w:val="16"/>
    </w:rPr>
  </w:style>
  <w:style w:type="paragraph" w:customStyle="1" w:styleId="BMKPrivacyText">
    <w:name w:val="BMK Privacy Text"/>
    <w:basedOn w:val="Footer"/>
    <w:link w:val="BMKPrivacyTextChar"/>
    <w:semiHidden/>
    <w:rsid w:val="002E18B2"/>
  </w:style>
  <w:style w:type="character" w:customStyle="1" w:styleId="BMKPrivacyTextChar">
    <w:name w:val="BMK Privacy Text Char"/>
    <w:link w:val="BMKPrivacyText"/>
    <w:semiHidden/>
    <w:rsid w:val="002E18B2"/>
    <w:rPr>
      <w:rFonts w:asciiTheme="majorHAnsi" w:eastAsiaTheme="majorEastAsia" w:hAnsiTheme="majorHAnsi" w:cstheme="majorHAnsi"/>
      <w:noProof/>
      <w:sz w:val="16"/>
      <w:lang w:val="en-AU" w:eastAsia="zh-CN"/>
    </w:rPr>
  </w:style>
  <w:style w:type="paragraph" w:styleId="Footer">
    <w:name w:val="footer"/>
    <w:basedOn w:val="Normal"/>
    <w:link w:val="FooterChar"/>
    <w:uiPriority w:val="99"/>
    <w:rsid w:val="002E18B2"/>
    <w:pPr>
      <w:tabs>
        <w:tab w:val="right" w:pos="9350"/>
      </w:tabs>
      <w:spacing w:line="200" w:lineRule="atLeast"/>
    </w:pPr>
    <w:rPr>
      <w:rFonts w:asciiTheme="majorHAnsi" w:eastAsiaTheme="majorEastAsia" w:hAnsiTheme="majorHAnsi" w:cstheme="majorHAnsi"/>
      <w:noProof/>
      <w:sz w:val="16"/>
    </w:rPr>
  </w:style>
  <w:style w:type="character" w:customStyle="1" w:styleId="FooterChar">
    <w:name w:val="Footer Char"/>
    <w:link w:val="Footer"/>
    <w:uiPriority w:val="99"/>
    <w:rsid w:val="002E18B2"/>
    <w:rPr>
      <w:rFonts w:asciiTheme="majorHAnsi" w:eastAsiaTheme="majorEastAsia" w:hAnsiTheme="majorHAnsi" w:cstheme="majorHAnsi"/>
      <w:noProof/>
      <w:sz w:val="16"/>
      <w:lang w:val="en-AU" w:eastAsia="zh-CN"/>
    </w:rPr>
  </w:style>
  <w:style w:type="paragraph" w:customStyle="1" w:styleId="BMKPrivacyTitle">
    <w:name w:val="BMK Privacy Title"/>
    <w:basedOn w:val="Normal"/>
    <w:semiHidden/>
    <w:rsid w:val="002E18B2"/>
    <w:pPr>
      <w:spacing w:before="260" w:after="140" w:line="240" w:lineRule="atLeast"/>
    </w:pPr>
    <w:rPr>
      <w:rFonts w:ascii="Arial Black" w:hAnsi="Arial Black"/>
      <w:sz w:val="18"/>
    </w:rPr>
  </w:style>
  <w:style w:type="paragraph" w:customStyle="1" w:styleId="BMKQualifier">
    <w:name w:val="BMK Qualifier"/>
    <w:semiHidden/>
    <w:rsid w:val="002E18B2"/>
    <w:pPr>
      <w:spacing w:after="200"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al"/>
    <w:semiHidden/>
    <w:rsid w:val="002E18B2"/>
    <w:pPr>
      <w:spacing w:line="260" w:lineRule="atLeast"/>
    </w:pPr>
  </w:style>
  <w:style w:type="paragraph" w:customStyle="1" w:styleId="BMKRefInfo">
    <w:name w:val="BMK Ref Info"/>
    <w:basedOn w:val="BMKAddressInfo"/>
    <w:semiHidden/>
    <w:rsid w:val="002E18B2"/>
    <w:pPr>
      <w:framePr w:w="2943" w:h="1734" w:hRule="exact" w:wrap="around" w:vAnchor="text" w:hAnchor="page" w:x="8533" w:y="208"/>
    </w:pPr>
  </w:style>
  <w:style w:type="paragraph" w:customStyle="1" w:styleId="BMKRegions">
    <w:name w:val="BMK Regions"/>
    <w:basedOn w:val="BMKCities"/>
    <w:next w:val="BMKCities"/>
    <w:semiHidden/>
    <w:rsid w:val="002E18B2"/>
    <w:rPr>
      <w:rFonts w:ascii="Arial Black" w:hAnsi="Arial Black"/>
      <w:szCs w:val="24"/>
    </w:rPr>
  </w:style>
  <w:style w:type="paragraph" w:customStyle="1" w:styleId="BMKSalutation">
    <w:name w:val="BMK Salutation"/>
    <w:basedOn w:val="Normal"/>
    <w:semiHidden/>
    <w:rsid w:val="002E18B2"/>
    <w:pPr>
      <w:spacing w:line="260" w:lineRule="atLeast"/>
    </w:pPr>
  </w:style>
  <w:style w:type="paragraph" w:customStyle="1" w:styleId="BMKSubject">
    <w:name w:val="BMK Subject"/>
    <w:basedOn w:val="Normal"/>
    <w:semiHidden/>
    <w:rsid w:val="002E18B2"/>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2E18B2"/>
    <w:pPr>
      <w:spacing w:after="180" w:line="260" w:lineRule="atLeast"/>
    </w:pPr>
    <w:rPr>
      <w:rFonts w:asciiTheme="majorHAnsi" w:eastAsiaTheme="majorEastAsia" w:hAnsiTheme="majorHAnsi" w:cstheme="majorHAnsi"/>
      <w:sz w:val="32"/>
    </w:rPr>
  </w:style>
  <w:style w:type="paragraph" w:styleId="BodyText">
    <w:name w:val="Body Text"/>
    <w:basedOn w:val="Normal"/>
    <w:link w:val="BodyTextChar"/>
    <w:uiPriority w:val="99"/>
    <w:semiHidden/>
    <w:unhideWhenUsed/>
    <w:rsid w:val="002E18B2"/>
    <w:pPr>
      <w:spacing w:after="120"/>
    </w:pPr>
  </w:style>
  <w:style w:type="character" w:customStyle="1" w:styleId="BodyTextChar">
    <w:name w:val="Body Text Char"/>
    <w:basedOn w:val="DefaultParagraphFont"/>
    <w:link w:val="BodyText"/>
    <w:uiPriority w:val="99"/>
    <w:semiHidden/>
    <w:rsid w:val="002E18B2"/>
  </w:style>
  <w:style w:type="paragraph" w:customStyle="1" w:styleId="BMKTitle">
    <w:name w:val="BMK Title"/>
    <w:basedOn w:val="Normal"/>
    <w:next w:val="BodyText"/>
    <w:semiHidden/>
    <w:rsid w:val="002E18B2"/>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2E18B2"/>
    <w:pPr>
      <w:spacing w:line="260" w:lineRule="atLeast"/>
    </w:pPr>
  </w:style>
  <w:style w:type="paragraph" w:customStyle="1" w:styleId="BMKHeaderLogoSHI">
    <w:name w:val="BMKHeaderLogoSHI"/>
    <w:semiHidden/>
    <w:rsid w:val="002E18B2"/>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efaultParagraphFont"/>
    <w:uiPriority w:val="3"/>
    <w:rsid w:val="002E18B2"/>
    <w:rPr>
      <w:b/>
      <w:bCs/>
      <w:i w:val="0"/>
      <w:szCs w:val="28"/>
    </w:rPr>
  </w:style>
  <w:style w:type="paragraph" w:customStyle="1" w:styleId="DefinitionParagraph">
    <w:name w:val="Definition Paragraph"/>
    <w:basedOn w:val="Normal"/>
    <w:uiPriority w:val="2"/>
    <w:rsid w:val="002E18B2"/>
    <w:pPr>
      <w:numPr>
        <w:numId w:val="7"/>
      </w:numPr>
      <w:spacing w:after="180" w:line="260" w:lineRule="atLeast"/>
    </w:pPr>
  </w:style>
  <w:style w:type="character" w:customStyle="1" w:styleId="DMReference">
    <w:name w:val="DMReference"/>
    <w:basedOn w:val="FooterChar"/>
    <w:semiHidden/>
    <w:rsid w:val="002E18B2"/>
    <w:rPr>
      <w:rFonts w:asciiTheme="majorHAnsi" w:eastAsiaTheme="majorEastAsia" w:hAnsiTheme="majorHAnsi" w:cstheme="majorHAnsi"/>
      <w:noProof/>
      <w:sz w:val="16"/>
      <w:szCs w:val="16"/>
      <w:lang w:val="en-AU" w:eastAsia="zh-CN"/>
    </w:rPr>
  </w:style>
  <w:style w:type="paragraph" w:customStyle="1" w:styleId="LetterDetail">
    <w:name w:val="LetterDetail"/>
    <w:basedOn w:val="Normal"/>
    <w:semiHidden/>
    <w:rsid w:val="002E18B2"/>
    <w:pPr>
      <w:spacing w:line="260" w:lineRule="atLeast"/>
    </w:pPr>
  </w:style>
  <w:style w:type="paragraph" w:customStyle="1" w:styleId="OtherContact">
    <w:name w:val="OtherContact"/>
    <w:basedOn w:val="Normal"/>
    <w:semiHidden/>
    <w:rsid w:val="002E18B2"/>
    <w:rPr>
      <w:rFonts w:asciiTheme="majorHAnsi" w:eastAsiaTheme="majorEastAsia" w:hAnsiTheme="majorHAnsi" w:cstheme="majorHAnsi"/>
      <w:sz w:val="16"/>
    </w:rPr>
  </w:style>
  <w:style w:type="paragraph" w:customStyle="1" w:styleId="Recital">
    <w:name w:val="Recital"/>
    <w:basedOn w:val="Normal"/>
    <w:uiPriority w:val="7"/>
    <w:rsid w:val="002E18B2"/>
    <w:pPr>
      <w:numPr>
        <w:numId w:val="8"/>
      </w:numPr>
      <w:spacing w:after="180" w:line="260" w:lineRule="atLeast"/>
    </w:pPr>
  </w:style>
  <w:style w:type="paragraph" w:customStyle="1" w:styleId="SchH1">
    <w:name w:val="SchH1"/>
    <w:basedOn w:val="Normal"/>
    <w:next w:val="BodyText"/>
    <w:uiPriority w:val="6"/>
    <w:rsid w:val="002E18B2"/>
    <w:pPr>
      <w:keepNext/>
      <w:numPr>
        <w:numId w:val="14"/>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2E18B2"/>
    <w:pPr>
      <w:keepNext/>
      <w:numPr>
        <w:ilvl w:val="1"/>
        <w:numId w:val="14"/>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2E18B2"/>
    <w:pPr>
      <w:numPr>
        <w:ilvl w:val="2"/>
        <w:numId w:val="14"/>
      </w:numPr>
      <w:spacing w:after="180" w:line="260" w:lineRule="atLeast"/>
    </w:pPr>
  </w:style>
  <w:style w:type="paragraph" w:customStyle="1" w:styleId="SchH4">
    <w:name w:val="SchH4"/>
    <w:basedOn w:val="Normal"/>
    <w:uiPriority w:val="6"/>
    <w:rsid w:val="002E18B2"/>
    <w:pPr>
      <w:numPr>
        <w:ilvl w:val="3"/>
        <w:numId w:val="14"/>
      </w:numPr>
      <w:spacing w:after="180" w:line="260" w:lineRule="atLeast"/>
    </w:pPr>
  </w:style>
  <w:style w:type="paragraph" w:customStyle="1" w:styleId="SchH5">
    <w:name w:val="SchH5"/>
    <w:basedOn w:val="Normal"/>
    <w:uiPriority w:val="6"/>
    <w:rsid w:val="002E18B2"/>
    <w:pPr>
      <w:numPr>
        <w:ilvl w:val="4"/>
        <w:numId w:val="14"/>
      </w:numPr>
      <w:spacing w:after="180" w:line="260" w:lineRule="atLeast"/>
    </w:pPr>
  </w:style>
  <w:style w:type="paragraph" w:customStyle="1" w:styleId="SchH6">
    <w:name w:val="SchH6"/>
    <w:basedOn w:val="Normal"/>
    <w:uiPriority w:val="6"/>
    <w:rsid w:val="002E18B2"/>
    <w:pPr>
      <w:numPr>
        <w:ilvl w:val="5"/>
        <w:numId w:val="14"/>
      </w:numPr>
      <w:spacing w:after="180" w:line="260" w:lineRule="atLeast"/>
    </w:pPr>
  </w:style>
  <w:style w:type="paragraph" w:customStyle="1" w:styleId="SchSH">
    <w:name w:val="SchSH"/>
    <w:basedOn w:val="Normal"/>
    <w:next w:val="BodyText"/>
    <w:uiPriority w:val="6"/>
    <w:rsid w:val="002E18B2"/>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2E18B2"/>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basedOn w:val="DefaultParagraphFont"/>
    <w:link w:val="Heading1"/>
    <w:uiPriority w:val="9"/>
    <w:rsid w:val="002E18B2"/>
    <w:rPr>
      <w:rFonts w:asciiTheme="majorHAnsi" w:eastAsiaTheme="majorEastAsia" w:hAnsiTheme="majorHAnsi" w:cstheme="majorHAnsi"/>
      <w:b/>
      <w:bCs/>
      <w:szCs w:val="28"/>
      <w:lang w:val="en-AU" w:eastAsia="zh-CN"/>
    </w:rPr>
  </w:style>
  <w:style w:type="character" w:customStyle="1" w:styleId="Heading2Char">
    <w:name w:val="Heading 2 Char"/>
    <w:basedOn w:val="DefaultParagraphFont"/>
    <w:link w:val="Heading2"/>
    <w:rsid w:val="002E18B2"/>
    <w:rPr>
      <w:rFonts w:asciiTheme="majorHAnsi" w:eastAsiaTheme="majorEastAsia" w:hAnsiTheme="majorHAnsi" w:cstheme="majorHAnsi"/>
      <w:b/>
      <w:bCs/>
      <w:szCs w:val="28"/>
      <w:lang w:val="en-AU" w:eastAsia="zh-CN"/>
    </w:rPr>
  </w:style>
  <w:style w:type="character" w:customStyle="1" w:styleId="Heading3Char">
    <w:name w:val="Heading 3 Char"/>
    <w:basedOn w:val="DefaultParagraphFont"/>
    <w:link w:val="Heading3"/>
    <w:rsid w:val="002E18B2"/>
    <w:rPr>
      <w:rFonts w:eastAsiaTheme="minorEastAsia"/>
      <w:szCs w:val="28"/>
      <w:lang w:val="en-AU" w:eastAsia="zh-CN"/>
    </w:rPr>
  </w:style>
  <w:style w:type="character" w:customStyle="1" w:styleId="Heading4Char">
    <w:name w:val="Heading 4 Char"/>
    <w:basedOn w:val="DefaultParagraphFont"/>
    <w:link w:val="Heading4"/>
    <w:rsid w:val="002E18B2"/>
    <w:rPr>
      <w:rFonts w:eastAsiaTheme="minorEastAsia"/>
      <w:szCs w:val="28"/>
      <w:lang w:val="en-AU" w:eastAsia="zh-CN"/>
    </w:rPr>
  </w:style>
  <w:style w:type="character" w:customStyle="1" w:styleId="Heading5Char">
    <w:name w:val="Heading 5 Char"/>
    <w:basedOn w:val="DefaultParagraphFont"/>
    <w:link w:val="Heading5"/>
    <w:rsid w:val="002E18B2"/>
    <w:rPr>
      <w:rFonts w:eastAsiaTheme="minorEastAsia"/>
      <w:szCs w:val="28"/>
      <w:lang w:val="en-AU" w:eastAsia="zh-CN"/>
    </w:rPr>
  </w:style>
  <w:style w:type="character" w:customStyle="1" w:styleId="Heading6Char">
    <w:name w:val="Heading 6 Char"/>
    <w:basedOn w:val="DefaultParagraphFont"/>
    <w:link w:val="Heading6"/>
    <w:rsid w:val="002E18B2"/>
    <w:rPr>
      <w:rFonts w:eastAsiaTheme="minorEastAsia"/>
      <w:szCs w:val="28"/>
      <w:lang w:val="en-AU" w:eastAsia="zh-CN"/>
    </w:rPr>
  </w:style>
  <w:style w:type="character" w:customStyle="1" w:styleId="Heading7Char">
    <w:name w:val="Heading 7 Char"/>
    <w:basedOn w:val="DefaultParagraphFont"/>
    <w:link w:val="Heading7"/>
    <w:rsid w:val="002E18B2"/>
    <w:rPr>
      <w:rFonts w:eastAsiaTheme="minorEastAsia"/>
      <w:szCs w:val="28"/>
      <w:lang w:val="en-AU" w:eastAsia="zh-CN"/>
    </w:rPr>
  </w:style>
  <w:style w:type="character" w:styleId="Hyperlink">
    <w:name w:val="Hyperlink"/>
    <w:uiPriority w:val="6"/>
    <w:semiHidden/>
    <w:rsid w:val="002E18B2"/>
    <w:rPr>
      <w:color w:val="0000FF"/>
      <w:u w:val="single"/>
    </w:rPr>
  </w:style>
  <w:style w:type="character" w:styleId="FollowedHyperlink">
    <w:name w:val="FollowedHyperlink"/>
    <w:basedOn w:val="DefaultParagraphFont"/>
    <w:unhideWhenUsed/>
    <w:rsid w:val="002E18B2"/>
    <w:rPr>
      <w:color w:val="800080"/>
      <w:u w:val="single"/>
    </w:rPr>
  </w:style>
  <w:style w:type="paragraph" w:styleId="ListNumber">
    <w:name w:val="List Number"/>
    <w:basedOn w:val="Normal"/>
    <w:uiPriority w:val="7"/>
    <w:qFormat/>
    <w:rsid w:val="002E18B2"/>
    <w:pPr>
      <w:numPr>
        <w:numId w:val="29"/>
      </w:numPr>
      <w:spacing w:after="180" w:line="260" w:lineRule="atLeast"/>
    </w:pPr>
  </w:style>
  <w:style w:type="paragraph" w:styleId="ListNumber2">
    <w:name w:val="List Number 2"/>
    <w:basedOn w:val="Normal"/>
    <w:uiPriority w:val="7"/>
    <w:qFormat/>
    <w:rsid w:val="002E18B2"/>
    <w:pPr>
      <w:numPr>
        <w:ilvl w:val="1"/>
        <w:numId w:val="29"/>
      </w:numPr>
      <w:spacing w:after="180" w:line="260" w:lineRule="atLeast"/>
    </w:pPr>
  </w:style>
  <w:style w:type="paragraph" w:styleId="ListNumber3">
    <w:name w:val="List Number 3"/>
    <w:basedOn w:val="Normal"/>
    <w:uiPriority w:val="7"/>
    <w:qFormat/>
    <w:rsid w:val="002E18B2"/>
    <w:pPr>
      <w:numPr>
        <w:ilvl w:val="2"/>
        <w:numId w:val="29"/>
      </w:numPr>
      <w:spacing w:after="180" w:line="260" w:lineRule="atLeast"/>
    </w:pPr>
  </w:style>
  <w:style w:type="paragraph" w:styleId="ListNumber4">
    <w:name w:val="List Number 4"/>
    <w:basedOn w:val="Normal"/>
    <w:uiPriority w:val="7"/>
    <w:qFormat/>
    <w:rsid w:val="002E18B2"/>
    <w:pPr>
      <w:numPr>
        <w:ilvl w:val="3"/>
        <w:numId w:val="29"/>
      </w:numPr>
      <w:spacing w:after="180" w:line="260" w:lineRule="atLeast"/>
    </w:pPr>
  </w:style>
  <w:style w:type="character" w:styleId="PageNumber">
    <w:name w:val="page number"/>
    <w:basedOn w:val="DefaultParagraphFont"/>
    <w:uiPriority w:val="99"/>
    <w:semiHidden/>
    <w:rsid w:val="002E18B2"/>
    <w:rPr>
      <w:szCs w:val="16"/>
    </w:rPr>
  </w:style>
  <w:style w:type="paragraph" w:styleId="Header">
    <w:name w:val="header"/>
    <w:basedOn w:val="Normal"/>
    <w:link w:val="HeaderChar"/>
    <w:uiPriority w:val="99"/>
    <w:unhideWhenUsed/>
    <w:rsid w:val="00AE4D70"/>
    <w:pPr>
      <w:tabs>
        <w:tab w:val="center" w:pos="4252"/>
        <w:tab w:val="right" w:pos="8504"/>
      </w:tabs>
    </w:pPr>
  </w:style>
  <w:style w:type="character" w:customStyle="1" w:styleId="HeaderChar">
    <w:name w:val="Header Char"/>
    <w:basedOn w:val="DefaultParagraphFont"/>
    <w:link w:val="Header"/>
    <w:uiPriority w:val="99"/>
    <w:rsid w:val="00AE4D70"/>
    <w:rPr>
      <w:rFonts w:eastAsiaTheme="minorEastAsia"/>
      <w:szCs w:val="28"/>
      <w:lang w:val="en-AU" w:eastAsia="zh-CN"/>
    </w:rPr>
  </w:style>
  <w:style w:type="table" w:styleId="TableGrid">
    <w:name w:val="Table Grid"/>
    <w:basedOn w:val="TableNormal"/>
    <w:uiPriority w:val="39"/>
    <w:rsid w:val="00273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65"/>
    <w:rPr>
      <w:rFonts w:ascii="Segoe UI" w:eastAsia="Times New Roman" w:hAnsi="Segoe UI" w:cs="Segoe UI"/>
      <w:color w:val="000000"/>
      <w:sz w:val="18"/>
      <w:szCs w:val="18"/>
      <w:lang w:eastAsia="pt-BR"/>
    </w:rPr>
  </w:style>
  <w:style w:type="paragraph" w:styleId="ListParagraph">
    <w:name w:val="List Paragraph"/>
    <w:basedOn w:val="Normal"/>
    <w:uiPriority w:val="1"/>
    <w:qFormat/>
    <w:rsid w:val="00CE6483"/>
    <w:pPr>
      <w:widowControl w:val="0"/>
      <w:autoSpaceDE w:val="0"/>
      <w:autoSpaceDN w:val="0"/>
      <w:spacing w:after="0" w:line="240" w:lineRule="auto"/>
      <w:ind w:left="0" w:right="0" w:firstLine="0"/>
      <w:jc w:val="left"/>
    </w:pPr>
    <w:rPr>
      <w:rFonts w:ascii="Arial" w:eastAsia="Arial" w:hAnsi="Arial" w:cs="Arial"/>
      <w:color w:val="auto"/>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_rels/header2.xml.rels>&#65279;<?xml version="1.0" encoding="UTF-8" standalone="yes"?>
<Relationships xmlns="http://schemas.openxmlformats.org/package/2006/relationships">
  <Relationship Id="rId1" Type="http://schemas.openxmlformats.org/officeDocument/2006/relationships/image" Target="media/image1.jpg" />
</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5179</Characters>
  <Application>
  </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1900-01-01T06:00:00Z</dcterms:created>
  <dcterms:modified xsi:type="dcterms:W3CDTF">1900-01-01T06:00:00Z</dcterms:modified>
</cp:coreProperties>
</file>