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SERVIÇOS DE ADMINISTRAÇÃO DE RECURSOS DECORRENTES DECOBRANÇA DE TERCEIROS E OUTRAS AVENÇAS Nº [</w:t>
      </w:r>
      <w:r>
        <w:rPr>
          <w:rFonts w:ascii="Arial" w:eastAsia="Arial" w:hAnsi="Arial" w:cs="Arial"/>
          <w:b/>
          <w:sz w:val="22"/>
          <w:szCs w:val="22"/>
          <w:highlight w:val="yellow"/>
        </w:rPr>
        <w:t>*</w:t>
      </w:r>
      <w:r>
        <w:rPr>
          <w:rFonts w:ascii="Arial" w:eastAsia="Arial" w:hAnsi="Arial" w:cs="Arial"/>
          <w:b/>
          <w:sz w:val="22"/>
          <w:szCs w:val="22"/>
        </w:rPr>
        <w:t>]</w:t>
      </w:r>
    </w:p>
    <w:p w14:paraId="3F4150B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b/>
          <w:color w:val="000000"/>
          <w:sz w:val="22"/>
          <w:szCs w:val="22"/>
        </w:rPr>
        <w:t>[</w:t>
      </w:r>
      <w:r>
        <w:rPr>
          <w:rFonts w:ascii="Arial" w:eastAsia="Arial" w:hAnsi="Arial" w:cs="Arial"/>
          <w:b/>
          <w:color w:val="000000"/>
          <w:sz w:val="22"/>
          <w:szCs w:val="22"/>
          <w:highlight w:val="yellow"/>
        </w:rPr>
        <w:t>*</w:t>
      </w:r>
      <w:r>
        <w:rPr>
          <w:rFonts w:ascii="Arial" w:eastAsia="Arial" w:hAnsi="Arial" w:cs="Arial"/>
          <w:b/>
          <w:color w:val="000000"/>
          <w:sz w:val="22"/>
          <w:szCs w:val="22"/>
        </w:rPr>
        <w:t>]</w:t>
      </w:r>
      <w:r>
        <w:rPr>
          <w:rFonts w:ascii="Arial" w:eastAsia="Arial" w:hAnsi="Arial" w:cs="Arial"/>
          <w:color w:val="000000"/>
          <w:sz w:val="22"/>
          <w:szCs w:val="22"/>
        </w:rPr>
        <w:t>, com sede na cidade de [</w:t>
      </w:r>
      <w:r>
        <w:rPr>
          <w:rFonts w:ascii="Arial" w:eastAsia="Arial" w:hAnsi="Arial" w:cs="Arial"/>
          <w:color w:val="000000"/>
          <w:sz w:val="22"/>
          <w:szCs w:val="22"/>
          <w:highlight w:val="yellow"/>
        </w:rPr>
        <w:t>*</w:t>
      </w:r>
      <w:r>
        <w:rPr>
          <w:rFonts w:ascii="Arial" w:eastAsia="Arial" w:hAnsi="Arial" w:cs="Arial"/>
          <w:color w:val="000000"/>
          <w:sz w:val="22"/>
          <w:szCs w:val="22"/>
        </w:rPr>
        <w:t>], Estado de [</w:t>
      </w:r>
      <w:r>
        <w:rPr>
          <w:rFonts w:ascii="Arial" w:eastAsia="Arial" w:hAnsi="Arial" w:cs="Arial"/>
          <w:color w:val="000000"/>
          <w:sz w:val="22"/>
          <w:szCs w:val="22"/>
          <w:highlight w:val="yellow"/>
        </w:rPr>
        <w:t>*</w:t>
      </w:r>
      <w:r>
        <w:rPr>
          <w:rFonts w:ascii="Arial" w:eastAsia="Arial" w:hAnsi="Arial" w:cs="Arial"/>
          <w:color w:val="000000"/>
          <w:sz w:val="22"/>
          <w:szCs w:val="22"/>
        </w:rPr>
        <w:t>], na Rua [</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Bairro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CEP [</w:t>
      </w:r>
      <w:r>
        <w:rPr>
          <w:rFonts w:ascii="Arial" w:eastAsia="Arial" w:hAnsi="Arial" w:cs="Arial"/>
          <w:color w:val="000000"/>
          <w:sz w:val="22"/>
          <w:szCs w:val="22"/>
          <w:highlight w:val="yellow"/>
        </w:rPr>
        <w:t>*</w:t>
      </w:r>
      <w:r>
        <w:rPr>
          <w:rFonts w:ascii="Arial" w:eastAsia="Arial" w:hAnsi="Arial" w:cs="Arial"/>
          <w:color w:val="000000"/>
          <w:sz w:val="22"/>
          <w:szCs w:val="22"/>
        </w:rPr>
        <w:t>], inscrito no CNPJ sob o nº [</w:t>
      </w:r>
      <w:r>
        <w:rPr>
          <w:rFonts w:ascii="Arial" w:eastAsia="Arial" w:hAnsi="Arial" w:cs="Arial"/>
          <w:color w:val="000000"/>
          <w:sz w:val="22"/>
          <w:szCs w:val="22"/>
          <w:highlight w:val="yellow"/>
        </w:rPr>
        <w:t>*</w:t>
      </w:r>
      <w:r>
        <w:rPr>
          <w:rFonts w:ascii="Arial" w:eastAsia="Arial" w:hAnsi="Arial" w:cs="Arial"/>
          <w:color w:val="000000"/>
          <w:sz w:val="22"/>
          <w:szCs w:val="22"/>
        </w:rPr>
        <w:t>],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p>
    <w:p w14:paraId="43EA932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 </w:t>
      </w:r>
    </w:p>
    <w:p w14:paraId="191CE94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Fundos de investimento</w:t>
      </w:r>
      <w:r>
        <w:rPr>
          <w:rFonts w:ascii="Arial" w:eastAsia="Arial" w:hAnsi="Arial" w:cs="Arial"/>
          <w:b/>
          <w:color w:val="000000"/>
          <w:sz w:val="22"/>
          <w:szCs w:val="22"/>
        </w:rPr>
        <w:t xml:space="preserve"> </w:t>
      </w:r>
      <w:r>
        <w:rPr>
          <w:rFonts w:ascii="Arial" w:eastAsia="Arial" w:hAnsi="Arial" w:cs="Arial"/>
          <w:color w:val="000000"/>
          <w:sz w:val="22"/>
          <w:szCs w:val="22"/>
        </w:rPr>
        <w:t>relacionados no Anexo I, bem como aqueles que vierem a aderir a este Instrumento no futuro (individual e indistintamente, “</w:t>
      </w:r>
      <w:r>
        <w:rPr>
          <w:rFonts w:ascii="Arial" w:eastAsia="Arial" w:hAnsi="Arial" w:cs="Arial"/>
          <w:color w:val="000000"/>
          <w:sz w:val="22"/>
          <w:szCs w:val="22"/>
          <w:u w:val="single"/>
        </w:rPr>
        <w:t>Fundo</w:t>
      </w:r>
      <w:r>
        <w:rPr>
          <w:rFonts w:ascii="Arial" w:eastAsia="Arial" w:hAnsi="Arial" w:cs="Arial"/>
          <w:color w:val="000000"/>
          <w:sz w:val="22"/>
          <w:szCs w:val="22"/>
        </w:rPr>
        <w:t>” ou “</w:t>
      </w:r>
      <w:r>
        <w:rPr>
          <w:rFonts w:ascii="Arial" w:eastAsia="Arial" w:hAnsi="Arial" w:cs="Arial"/>
          <w:color w:val="000000"/>
          <w:sz w:val="22"/>
          <w:szCs w:val="22"/>
          <w:u w:val="single"/>
        </w:rPr>
        <w:t>Credor</w:t>
      </w:r>
      <w:r>
        <w:rPr>
          <w:rFonts w:ascii="Arial" w:eastAsia="Arial" w:hAnsi="Arial" w:cs="Arial"/>
          <w:color w:val="000000"/>
          <w:sz w:val="22"/>
          <w:szCs w:val="22"/>
        </w:rPr>
        <w:t xml:space="preserve">”), neste ato representado pela sua administradora, </w:t>
      </w:r>
      <w:r>
        <w:rPr>
          <w:rFonts w:ascii="Arial" w:eastAsia="Arial" w:hAnsi="Arial" w:cs="Arial"/>
          <w:b/>
          <w:color w:val="000000"/>
          <w:sz w:val="22"/>
          <w:szCs w:val="22"/>
        </w:rPr>
        <w:t>[</w:t>
      </w:r>
      <w:r>
        <w:rPr>
          <w:rFonts w:ascii="Arial" w:eastAsia="Arial" w:hAnsi="Arial" w:cs="Arial"/>
          <w:b/>
          <w:color w:val="000000"/>
          <w:sz w:val="22"/>
          <w:szCs w:val="22"/>
          <w:highlight w:val="yellow"/>
        </w:rPr>
        <w:t>*</w:t>
      </w:r>
      <w:r>
        <w:rPr>
          <w:rFonts w:ascii="Arial" w:eastAsia="Arial" w:hAnsi="Arial" w:cs="Arial"/>
          <w:b/>
          <w:color w:val="000000"/>
          <w:sz w:val="22"/>
          <w:szCs w:val="22"/>
        </w:rPr>
        <w:t>]</w:t>
      </w:r>
      <w:r>
        <w:rPr>
          <w:rFonts w:ascii="Arial" w:eastAsia="Arial" w:hAnsi="Arial" w:cs="Arial"/>
          <w:color w:val="000000"/>
          <w:sz w:val="22"/>
          <w:szCs w:val="22"/>
        </w:rPr>
        <w:t>, com sede na cidade [</w:t>
      </w:r>
      <w:r>
        <w:rPr>
          <w:rFonts w:ascii="Arial" w:eastAsia="Arial" w:hAnsi="Arial" w:cs="Arial"/>
          <w:color w:val="000000"/>
          <w:sz w:val="22"/>
          <w:szCs w:val="22"/>
          <w:highlight w:val="yellow"/>
        </w:rPr>
        <w:t>*</w:t>
      </w:r>
      <w:r>
        <w:rPr>
          <w:rFonts w:ascii="Arial" w:eastAsia="Arial" w:hAnsi="Arial" w:cs="Arial"/>
          <w:color w:val="000000"/>
          <w:sz w:val="22"/>
          <w:szCs w:val="22"/>
        </w:rPr>
        <w:t>], Estado [</w:t>
      </w:r>
      <w:r>
        <w:rPr>
          <w:rFonts w:ascii="Arial" w:eastAsia="Arial" w:hAnsi="Arial" w:cs="Arial"/>
          <w:color w:val="000000"/>
          <w:sz w:val="22"/>
          <w:szCs w:val="22"/>
          <w:highlight w:val="yellow"/>
        </w:rPr>
        <w:t>*</w:t>
      </w:r>
      <w:r>
        <w:rPr>
          <w:rFonts w:ascii="Arial" w:eastAsia="Arial" w:hAnsi="Arial" w:cs="Arial"/>
          <w:color w:val="000000"/>
          <w:sz w:val="22"/>
          <w:szCs w:val="22"/>
        </w:rPr>
        <w:t>], na Rua [</w:t>
      </w:r>
      <w:r>
        <w:rPr>
          <w:rFonts w:ascii="Arial" w:eastAsia="Arial" w:hAnsi="Arial" w:cs="Arial"/>
          <w:color w:val="000000"/>
          <w:sz w:val="22"/>
          <w:szCs w:val="22"/>
          <w:highlight w:val="yellow"/>
        </w:rPr>
        <w:t>*</w:t>
      </w:r>
      <w:r>
        <w:rPr>
          <w:rFonts w:ascii="Arial" w:eastAsia="Arial" w:hAnsi="Arial" w:cs="Arial"/>
          <w:color w:val="000000"/>
          <w:sz w:val="22"/>
          <w:szCs w:val="22"/>
        </w:rPr>
        <w:t>], nº [</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Bairro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inscrito no CNPJ sob o nº [</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Administradora</w:t>
      </w:r>
      <w:r>
        <w:rPr>
          <w:rFonts w:ascii="Arial" w:eastAsia="Arial" w:hAnsi="Arial" w:cs="Arial"/>
          <w:color w:val="000000"/>
          <w:sz w:val="22"/>
          <w:szCs w:val="22"/>
        </w:rPr>
        <w:t>”);</w:t>
      </w:r>
    </w:p>
    <w:p w14:paraId="052F4BE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7E917E"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b/>
          <w:color w:val="000000"/>
          <w:sz w:val="22"/>
          <w:szCs w:val="22"/>
          <w:highlight w:val="yellow"/>
        </w:rPr>
        <w:t>*</w:t>
      </w:r>
      <w:r>
        <w:rPr>
          <w:rFonts w:ascii="Arial" w:eastAsia="Arial" w:hAnsi="Arial" w:cs="Arial"/>
          <w:b/>
          <w:color w:val="000000"/>
          <w:sz w:val="22"/>
          <w:szCs w:val="22"/>
        </w:rPr>
        <w:t>]</w:t>
      </w:r>
      <w:r>
        <w:rPr>
          <w:rFonts w:ascii="Arial" w:eastAsia="Arial" w:hAnsi="Arial" w:cs="Arial"/>
          <w:color w:val="000000"/>
          <w:sz w:val="22"/>
          <w:szCs w:val="22"/>
        </w:rPr>
        <w:t>, com sede na cidade [</w:t>
      </w:r>
      <w:r>
        <w:rPr>
          <w:rFonts w:ascii="Arial" w:eastAsia="Arial" w:hAnsi="Arial" w:cs="Arial"/>
          <w:color w:val="000000"/>
          <w:sz w:val="22"/>
          <w:szCs w:val="22"/>
          <w:highlight w:val="yellow"/>
        </w:rPr>
        <w:t>*</w:t>
      </w:r>
      <w:r>
        <w:rPr>
          <w:rFonts w:ascii="Arial" w:eastAsia="Arial" w:hAnsi="Arial" w:cs="Arial"/>
          <w:color w:val="000000"/>
          <w:sz w:val="22"/>
          <w:szCs w:val="22"/>
        </w:rPr>
        <w:t>], Estado [</w:t>
      </w:r>
      <w:r>
        <w:rPr>
          <w:rFonts w:ascii="Arial" w:eastAsia="Arial" w:hAnsi="Arial" w:cs="Arial"/>
          <w:color w:val="000000"/>
          <w:sz w:val="22"/>
          <w:szCs w:val="22"/>
          <w:highlight w:val="yellow"/>
        </w:rPr>
        <w:t>*</w:t>
      </w:r>
      <w:r>
        <w:rPr>
          <w:rFonts w:ascii="Arial" w:eastAsia="Arial" w:hAnsi="Arial" w:cs="Arial"/>
          <w:color w:val="000000"/>
          <w:sz w:val="22"/>
          <w:szCs w:val="22"/>
        </w:rPr>
        <w:t>], na Rua [</w:t>
      </w:r>
      <w:r>
        <w:rPr>
          <w:rFonts w:ascii="Arial" w:eastAsia="Arial" w:hAnsi="Arial" w:cs="Arial"/>
          <w:color w:val="000000"/>
          <w:sz w:val="22"/>
          <w:szCs w:val="22"/>
          <w:highlight w:val="yellow"/>
        </w:rPr>
        <w:t>*</w:t>
      </w:r>
      <w:r>
        <w:rPr>
          <w:rFonts w:ascii="Arial" w:eastAsia="Arial" w:hAnsi="Arial" w:cs="Arial"/>
          <w:color w:val="000000"/>
          <w:sz w:val="22"/>
          <w:szCs w:val="22"/>
        </w:rPr>
        <w:t>], nº [</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Bairro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inscrito no CNPJ sob o nº [</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Custodiante</w:t>
      </w:r>
      <w:r>
        <w:rPr>
          <w:rFonts w:ascii="Arial" w:eastAsia="Arial" w:hAnsi="Arial" w:cs="Arial"/>
          <w:color w:val="000000"/>
          <w:sz w:val="22"/>
          <w:szCs w:val="22"/>
        </w:rPr>
        <w:t>”)</w:t>
      </w:r>
      <w:r>
        <w:rPr>
          <w:rFonts w:ascii="Arial" w:eastAsia="Arial" w:hAnsi="Arial" w:cs="Arial"/>
          <w:sz w:val="22"/>
          <w:szCs w:val="22"/>
        </w:rPr>
        <w:t>,</w:t>
      </w:r>
    </w:p>
    <w:p w14:paraId="790F6914" w14:textId="77777777" w:rsidR="0030410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
    <w:p w14:paraId="5F3F2477" w14:textId="6157FCBC" w:rsidR="00304102" w:rsidRDefault="00304102" w:rsidP="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b/>
          <w:color w:val="000000"/>
          <w:sz w:val="22"/>
          <w:szCs w:val="22"/>
          <w:highlight w:val="yellow"/>
        </w:rPr>
        <w:t>*</w:t>
      </w:r>
      <w:r>
        <w:rPr>
          <w:rFonts w:ascii="Arial" w:eastAsia="Arial" w:hAnsi="Arial" w:cs="Arial"/>
          <w:b/>
          <w:color w:val="000000"/>
          <w:sz w:val="22"/>
          <w:szCs w:val="22"/>
        </w:rPr>
        <w:t>]</w:t>
      </w:r>
      <w:r>
        <w:rPr>
          <w:rFonts w:ascii="Arial" w:eastAsia="Arial" w:hAnsi="Arial" w:cs="Arial"/>
          <w:color w:val="000000"/>
          <w:sz w:val="22"/>
          <w:szCs w:val="22"/>
        </w:rPr>
        <w:t>, com sede na cidade [</w:t>
      </w:r>
      <w:r>
        <w:rPr>
          <w:rFonts w:ascii="Arial" w:eastAsia="Arial" w:hAnsi="Arial" w:cs="Arial"/>
          <w:color w:val="000000"/>
          <w:sz w:val="22"/>
          <w:szCs w:val="22"/>
          <w:highlight w:val="yellow"/>
        </w:rPr>
        <w:t>*</w:t>
      </w:r>
      <w:r>
        <w:rPr>
          <w:rFonts w:ascii="Arial" w:eastAsia="Arial" w:hAnsi="Arial" w:cs="Arial"/>
          <w:color w:val="000000"/>
          <w:sz w:val="22"/>
          <w:szCs w:val="22"/>
        </w:rPr>
        <w:t>], Estado [</w:t>
      </w:r>
      <w:r>
        <w:rPr>
          <w:rFonts w:ascii="Arial" w:eastAsia="Arial" w:hAnsi="Arial" w:cs="Arial"/>
          <w:color w:val="000000"/>
          <w:sz w:val="22"/>
          <w:szCs w:val="22"/>
          <w:highlight w:val="yellow"/>
        </w:rPr>
        <w:t>*</w:t>
      </w:r>
      <w:r>
        <w:rPr>
          <w:rFonts w:ascii="Arial" w:eastAsia="Arial" w:hAnsi="Arial" w:cs="Arial"/>
          <w:color w:val="000000"/>
          <w:sz w:val="22"/>
          <w:szCs w:val="22"/>
        </w:rPr>
        <w:t>], na Rua [</w:t>
      </w:r>
      <w:r>
        <w:rPr>
          <w:rFonts w:ascii="Arial" w:eastAsia="Arial" w:hAnsi="Arial" w:cs="Arial"/>
          <w:color w:val="000000"/>
          <w:sz w:val="22"/>
          <w:szCs w:val="22"/>
          <w:highlight w:val="yellow"/>
        </w:rPr>
        <w:t>*</w:t>
      </w:r>
      <w:r>
        <w:rPr>
          <w:rFonts w:ascii="Arial" w:eastAsia="Arial" w:hAnsi="Arial" w:cs="Arial"/>
          <w:color w:val="000000"/>
          <w:sz w:val="22"/>
          <w:szCs w:val="22"/>
        </w:rPr>
        <w:t>], nº [</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Bairro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inscrito no CNPJ sob o nº [</w:t>
      </w:r>
      <w:r>
        <w:rPr>
          <w:rFonts w:ascii="Arial" w:eastAsia="Arial" w:hAnsi="Arial" w:cs="Arial"/>
          <w:color w:val="000000"/>
          <w:sz w:val="22"/>
          <w:szCs w:val="22"/>
          <w:highlight w:val="yellow"/>
        </w:rPr>
        <w:t>*</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(“Gestor</w:t>
      </w:r>
      <w:r w:rsidR="00A36869">
        <w:rPr>
          <w:rFonts w:ascii="Arial" w:eastAsia="Arial" w:hAnsi="Arial" w:cs="Arial"/>
          <w:color w:val="000000"/>
          <w:sz w:val="22"/>
          <w:szCs w:val="22"/>
        </w:rPr>
        <w:t>a</w:t>
      </w:r>
      <w:r>
        <w:rPr>
          <w:rFonts w:ascii="Arial" w:eastAsia="Arial" w:hAnsi="Arial" w:cs="Arial"/>
          <w:color w:val="000000"/>
          <w:sz w:val="22"/>
          <w:szCs w:val="22"/>
        </w:rPr>
        <w:t>”)</w:t>
      </w:r>
      <w:r>
        <w:rPr>
          <w:rFonts w:ascii="Arial" w:eastAsia="Arial" w:hAnsi="Arial" w:cs="Arial"/>
          <w:sz w:val="22"/>
          <w:szCs w:val="22"/>
        </w:rPr>
        <w:t>,</w:t>
      </w:r>
    </w:p>
    <w:p w14:paraId="4CA03C54" w14:textId="2675321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r>
        <w:t xml:space="preserve"> </w:t>
      </w:r>
    </w:p>
    <w:p w14:paraId="3E7B97A4" w14:textId="77777777" w:rsidR="0030410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374D24"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os Contratantes,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76973AC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E, na qualidade de interveniente anuente,</w:t>
      </w:r>
    </w:p>
    <w:p w14:paraId="44A0AB3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[razão social], sociedade com sede na </w:t>
      </w:r>
      <w:r>
        <w:rPr>
          <w:rFonts w:ascii="Arial" w:eastAsia="Arial" w:hAnsi="Arial" w:cs="Arial"/>
          <w:color w:val="000000"/>
          <w:sz w:val="22"/>
          <w:szCs w:val="22"/>
          <w:highlight w:val="yellow"/>
        </w:rPr>
        <w:t>[●]</w:t>
      </w:r>
      <w:r>
        <w:rPr>
          <w:rFonts w:ascii="Arial" w:eastAsia="Arial" w:hAnsi="Arial" w:cs="Arial"/>
          <w:color w:val="000000"/>
          <w:sz w:val="22"/>
          <w:szCs w:val="22"/>
        </w:rPr>
        <w:t xml:space="preserve">, na cidade de </w:t>
      </w:r>
      <w:r>
        <w:rPr>
          <w:rFonts w:ascii="Arial" w:eastAsia="Arial" w:hAnsi="Arial" w:cs="Arial"/>
          <w:color w:val="000000"/>
          <w:sz w:val="22"/>
          <w:szCs w:val="22"/>
          <w:highlight w:val="yellow"/>
        </w:rPr>
        <w:t>[●]</w:t>
      </w:r>
      <w:r>
        <w:rPr>
          <w:rFonts w:ascii="Arial" w:eastAsia="Arial" w:hAnsi="Arial" w:cs="Arial"/>
          <w:color w:val="000000"/>
          <w:sz w:val="22"/>
          <w:szCs w:val="22"/>
        </w:rPr>
        <w:t xml:space="preserve">, Estado de </w:t>
      </w:r>
      <w:r>
        <w:rPr>
          <w:rFonts w:ascii="Arial" w:eastAsia="Arial" w:hAnsi="Arial" w:cs="Arial"/>
          <w:color w:val="000000"/>
          <w:sz w:val="22"/>
          <w:szCs w:val="22"/>
          <w:highlight w:val="yellow"/>
        </w:rPr>
        <w:t>[●]</w:t>
      </w:r>
      <w:r>
        <w:rPr>
          <w:rFonts w:ascii="Arial" w:eastAsia="Arial" w:hAnsi="Arial" w:cs="Arial"/>
          <w:color w:val="000000"/>
          <w:sz w:val="22"/>
          <w:szCs w:val="22"/>
        </w:rPr>
        <w:t xml:space="preserve">, inscrita no CNPJ/MF sob o nº </w:t>
      </w:r>
      <w:r>
        <w:rPr>
          <w:rFonts w:ascii="Arial" w:eastAsia="Arial" w:hAnsi="Arial" w:cs="Arial"/>
          <w:color w:val="000000"/>
          <w:sz w:val="22"/>
          <w:szCs w:val="22"/>
          <w:highlight w:val="yellow"/>
        </w:rPr>
        <w:t>[●]</w:t>
      </w:r>
      <w:r>
        <w:rPr>
          <w:rFonts w:ascii="Arial" w:eastAsia="Arial" w:hAnsi="Arial" w:cs="Arial"/>
          <w:color w:val="000000"/>
          <w:sz w:val="22"/>
          <w:szCs w:val="22"/>
        </w:rPr>
        <w:t>, neste ato representado na forma de seus documentos societários (“</w:t>
      </w:r>
      <w:r>
        <w:rPr>
          <w:rFonts w:ascii="Arial" w:eastAsia="Arial" w:hAnsi="Arial" w:cs="Arial"/>
          <w:color w:val="000000"/>
          <w:sz w:val="22"/>
          <w:szCs w:val="22"/>
          <w:u w:val="single"/>
        </w:rPr>
        <w:t>Gestora</w:t>
      </w:r>
      <w:r>
        <w:rPr>
          <w:rFonts w:ascii="Arial" w:eastAsia="Arial" w:hAnsi="Arial" w:cs="Arial"/>
          <w:color w:val="000000"/>
          <w:sz w:val="22"/>
          <w:szCs w:val="22"/>
        </w:rPr>
        <w:t>”), sendo o Credor, representado pela Administradora, o Custodiante, a Gestora e o Titular, em conjunto doravante denominados “</w:t>
      </w:r>
      <w:r>
        <w:rPr>
          <w:rFonts w:ascii="Arial" w:eastAsia="Arial" w:hAnsi="Arial" w:cs="Arial"/>
          <w:color w:val="000000"/>
          <w:sz w:val="22"/>
          <w:szCs w:val="22"/>
          <w:u w:val="single"/>
        </w:rPr>
        <w:t>Contratantes</w:t>
      </w:r>
      <w:r>
        <w:rPr>
          <w:rFonts w:ascii="Arial" w:eastAsia="Arial" w:hAnsi="Arial" w:cs="Arial"/>
          <w:color w:val="000000"/>
          <w:sz w:val="22"/>
          <w:szCs w:val="22"/>
        </w:rPr>
        <w:t>”, e</w:t>
      </w:r>
    </w:p>
    <w:p w14:paraId="40087A9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
    <w:p w14:paraId="3431F41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7B6CF3C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1DD0538A"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5C218490"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7945A021"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o Fundo é administrado pela </w:t>
      </w:r>
      <w:r w:rsidR="00A36869">
        <w:rPr>
          <w:rFonts w:ascii="Arial" w:eastAsia="Arial" w:hAnsi="Arial" w:cs="Arial"/>
          <w:sz w:val="22"/>
          <w:szCs w:val="22"/>
        </w:rPr>
        <w:t>Administradora e</w:t>
      </w:r>
      <w:r>
        <w:rPr>
          <w:rFonts w:ascii="Arial" w:eastAsia="Arial" w:hAnsi="Arial" w:cs="Arial"/>
          <w:sz w:val="22"/>
          <w:szCs w:val="22"/>
        </w:rPr>
        <w:t xml:space="preserve"> custodiado pela Custodiante e tem sua carteira de valores mobiliários gerida pela Gestora;</w:t>
      </w:r>
    </w:p>
    <w:p w14:paraId="238DA544"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o Titular, no exercício de suas atividades regulares, é capaz de originar direitos creditórios derivados das referidas atividades (“</w:t>
      </w:r>
      <w:r>
        <w:rPr>
          <w:rFonts w:ascii="Arial" w:eastAsia="Arial" w:hAnsi="Arial" w:cs="Arial"/>
          <w:sz w:val="22"/>
          <w:szCs w:val="22"/>
          <w:u w:val="single"/>
        </w:rPr>
        <w:t>Direitos Creditórios</w:t>
      </w:r>
      <w:r>
        <w:rPr>
          <w:rFonts w:ascii="Arial" w:eastAsia="Arial" w:hAnsi="Arial" w:cs="Arial"/>
          <w:sz w:val="22"/>
          <w:szCs w:val="22"/>
        </w:rPr>
        <w:t xml:space="preserve">”), com obrigação de pagamento em </w:t>
      </w:r>
      <w:r>
        <w:rPr>
          <w:rFonts w:ascii="Arial" w:eastAsia="Arial" w:hAnsi="Arial" w:cs="Arial"/>
          <w:sz w:val="22"/>
          <w:szCs w:val="22"/>
        </w:rPr>
        <w:lastRenderedPageBreak/>
        <w:t>face de terceiros (“</w:t>
      </w:r>
      <w:r>
        <w:rPr>
          <w:rFonts w:ascii="Arial" w:eastAsia="Arial" w:hAnsi="Arial" w:cs="Arial"/>
          <w:sz w:val="22"/>
          <w:szCs w:val="22"/>
          <w:u w:val="single"/>
        </w:rPr>
        <w:t>Devedores</w:t>
      </w:r>
      <w:r>
        <w:rPr>
          <w:rFonts w:ascii="Arial" w:eastAsia="Arial" w:hAnsi="Arial" w:cs="Arial"/>
          <w:sz w:val="22"/>
          <w:szCs w:val="22"/>
        </w:rPr>
        <w:t>”);</w:t>
      </w:r>
    </w:p>
    <w:p w14:paraId="713E2C21"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pPr>
    </w:p>
    <w:p w14:paraId="792FE07A" w14:textId="570759DD"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 xml:space="preserve">o(s) Fundo(s) relacionados no Anexo I deste contrato, no âmbito de suas atividades recorrentes de aquisição de direitos creditórios oriundos do segmento mercantil, financeiro e industrial tem interesse em adquirir os direitos creditórios do </w:t>
      </w:r>
      <w:r>
        <w:rPr>
          <w:rFonts w:ascii="Arial" w:eastAsia="Arial" w:hAnsi="Arial" w:cs="Arial"/>
          <w:i/>
          <w:color w:val="000000"/>
          <w:sz w:val="22"/>
          <w:szCs w:val="22"/>
        </w:rPr>
        <w:t xml:space="preserve">Titular, e o Titular, </w:t>
      </w:r>
      <w:r>
        <w:rPr>
          <w:rFonts w:ascii="Arial" w:eastAsia="Arial" w:hAnsi="Arial" w:cs="Arial"/>
          <w:color w:val="000000"/>
          <w:sz w:val="22"/>
          <w:szCs w:val="22"/>
          <w:highlight w:val="yellow"/>
        </w:rPr>
        <w:t xml:space="preserve">no âmbito de suas atividades regulares de prestação de serviços de </w:t>
      </w:r>
      <w:r w:rsidR="00AA648B">
        <w:rPr>
          <w:rFonts w:ascii="Arial" w:eastAsia="Arial" w:hAnsi="Arial" w:cs="Arial"/>
          <w:color w:val="000000"/>
          <w:sz w:val="22"/>
          <w:szCs w:val="22"/>
          <w:highlight w:val="yellow"/>
        </w:rPr>
        <w:t>(informar)</w:t>
      </w:r>
      <w:r>
        <w:rPr>
          <w:rFonts w:ascii="Arial" w:eastAsia="Arial" w:hAnsi="Arial" w:cs="Arial"/>
          <w:color w:val="000000"/>
          <w:sz w:val="22"/>
          <w:szCs w:val="22"/>
          <w:highlight w:val="yellow"/>
        </w:rPr>
        <w:t>, tem interesse em ceder seus direitos creditórios ao</w:t>
      </w:r>
      <w:r>
        <w:rPr>
          <w:rFonts w:ascii="Arial" w:eastAsia="Arial" w:hAnsi="Arial" w:cs="Arial"/>
          <w:color w:val="000000"/>
          <w:sz w:val="22"/>
          <w:szCs w:val="22"/>
        </w:rPr>
        <w:t>(s) Fundo(s),</w:t>
      </w:r>
      <w:r>
        <w:rPr>
          <w:rFonts w:ascii="Arial" w:eastAsia="Arial" w:hAnsi="Arial" w:cs="Arial"/>
          <w:i/>
          <w:color w:val="000000"/>
          <w:sz w:val="22"/>
          <w:szCs w:val="22"/>
        </w:rPr>
        <w:t xml:space="preserve"> </w:t>
      </w:r>
      <w:r>
        <w:rPr>
          <w:rFonts w:ascii="Arial" w:eastAsia="Arial" w:hAnsi="Arial" w:cs="Arial"/>
          <w:color w:val="000000"/>
          <w:sz w:val="22"/>
          <w:szCs w:val="22"/>
        </w:rPr>
        <w:t>mediante regularização dos títulos cedidos em conta cobrança a ser constituída com a QI SCD, a qual fará o controle do fluxo de recebimento dos Direitos Creditórios (“Recursos”) de forma a resguardar os interesses do Credor;</w:t>
      </w:r>
    </w:p>
    <w:p w14:paraId="3CC39724" w14:textId="77777777" w:rsidR="00747ACF" w:rsidRDefault="00747ACF">
      <w:pPr>
        <w:pBdr>
          <w:top w:val="nil"/>
          <w:left w:val="nil"/>
          <w:bottom w:val="nil"/>
          <w:right w:val="nil"/>
          <w:between w:val="nil"/>
        </w:pBdr>
        <w:ind w:hanging="720"/>
      </w:pPr>
    </w:p>
    <w:p w14:paraId="368A0C6E"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Para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t>
      </w:r>
    </w:p>
    <w:p w14:paraId="690BB552"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137F112" w14:textId="77777777" w:rsidR="00747ACF"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Serviços de Administração de Recursos decorrentes de Cobrança de Terceiros e Outras Avenças Nº </w:t>
      </w:r>
      <w:r>
        <w:rPr>
          <w:rFonts w:ascii="Arial" w:eastAsia="Arial" w:hAnsi="Arial" w:cs="Arial"/>
          <w:color w:val="000000"/>
          <w:sz w:val="22"/>
          <w:szCs w:val="22"/>
          <w:highlight w:val="yellow"/>
        </w:rPr>
        <w:t>00000</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27F0B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271187DF"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77777777"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color w:val="000000"/>
        </w:rPr>
      </w:pPr>
      <w:r>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 do Titular ou do Credor,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2AD385CC"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77777777"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Pr>
          <w:rFonts w:ascii="Arial" w:eastAsia="Arial" w:hAnsi="Arial" w:cs="Arial"/>
          <w:color w:val="000000"/>
          <w:sz w:val="22"/>
          <w:szCs w:val="22"/>
          <w:u w:val="single"/>
        </w:rPr>
        <w:t>Transferência</w:t>
      </w:r>
      <w:r>
        <w:rPr>
          <w:rFonts w:ascii="Arial" w:eastAsia="Arial" w:hAnsi="Arial" w:cs="Arial"/>
          <w:color w:val="000000"/>
          <w:sz w:val="22"/>
          <w:szCs w:val="22"/>
        </w:rPr>
        <w:t>”) pelos Devedores dos respectivos Direitos Creditórios.</w:t>
      </w:r>
    </w:p>
    <w:p w14:paraId="6EDE764D"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color w:val="000000"/>
        </w:rPr>
      </w:pPr>
    </w:p>
    <w:p w14:paraId="676D64CD" w14:textId="77777777" w:rsidR="00747ACF"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oriundos do pagamento dos Direitos Creditórios, pelos respectivos Devedores, em decorrência da prestação dos Serviços deverão ser creditados na conta cobrança aberta em nome do Titular, a qual será  administrada pela QI SCD </w:t>
      </w:r>
      <w:r>
        <w:rPr>
          <w:rFonts w:ascii="Arial" w:eastAsia="Arial" w:hAnsi="Arial" w:cs="Arial"/>
          <w:sz w:val="22"/>
          <w:szCs w:val="22"/>
        </w:rPr>
        <w:t xml:space="preserve">conforme instruções </w:t>
      </w:r>
      <w:r>
        <w:rPr>
          <w:rFonts w:ascii="Arial" w:eastAsia="Arial" w:hAnsi="Arial" w:cs="Arial"/>
          <w:color w:val="000000"/>
          <w:sz w:val="22"/>
          <w:szCs w:val="22"/>
        </w:rPr>
        <w:t>do Custodiante:</w:t>
      </w:r>
    </w:p>
    <w:p w14:paraId="6AC0FDFD"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47ACF"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Instituiçã</w:t>
            </w:r>
            <w:r>
              <w:rPr>
                <w:rFonts w:ascii="Arial" w:eastAsia="Arial" w:hAnsi="Arial" w:cs="Arial"/>
                <w:b w:val="0"/>
                <w:color w:val="000000"/>
                <w:sz w:val="22"/>
                <w:szCs w:val="22"/>
              </w:rPr>
              <w:t>o</w:t>
            </w:r>
          </w:p>
        </w:tc>
        <w:tc>
          <w:tcPr>
            <w:tcW w:w="1938" w:type="dxa"/>
          </w:tcPr>
          <w:p w14:paraId="46033B3D"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Agência</w:t>
            </w:r>
          </w:p>
        </w:tc>
        <w:tc>
          <w:tcPr>
            <w:tcW w:w="1938" w:type="dxa"/>
          </w:tcPr>
          <w:p w14:paraId="05045E9E"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 xml:space="preserve">Conta </w:t>
            </w:r>
          </w:p>
        </w:tc>
        <w:tc>
          <w:tcPr>
            <w:tcW w:w="1938" w:type="dxa"/>
          </w:tcPr>
          <w:p w14:paraId="13AE8381"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Identificação da Conta</w:t>
            </w:r>
          </w:p>
        </w:tc>
      </w:tr>
      <w:tr w:rsidR="00747ACF"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sz w:val="22"/>
                <w:szCs w:val="22"/>
              </w:rPr>
              <w:t>QI SCD S.A. (329)</w:t>
            </w:r>
          </w:p>
        </w:tc>
        <w:tc>
          <w:tcPr>
            <w:tcW w:w="1938" w:type="dxa"/>
          </w:tcPr>
          <w:p w14:paraId="0BCEAFF9"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sz w:val="22"/>
                <w:szCs w:val="22"/>
              </w:rPr>
              <w:t>0001</w:t>
            </w:r>
          </w:p>
        </w:tc>
        <w:tc>
          <w:tcPr>
            <w:tcW w:w="1938" w:type="dxa"/>
          </w:tcPr>
          <w:p w14:paraId="13418F98"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pP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tc>
        <w:tc>
          <w:tcPr>
            <w:tcW w:w="1938" w:type="dxa"/>
          </w:tcPr>
          <w:p w14:paraId="552E6D2B"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u w:val="single"/>
              </w:rPr>
              <w:t>Conta Fiduciária ou Conta</w:t>
            </w:r>
            <w:r>
              <w:rPr>
                <w:rFonts w:ascii="Arial" w:eastAsia="Arial" w:hAnsi="Arial" w:cs="Arial"/>
                <w:color w:val="000000"/>
                <w:sz w:val="22"/>
                <w:szCs w:val="22"/>
              </w:rPr>
              <w:t>”</w:t>
            </w:r>
          </w:p>
        </w:tc>
      </w:tr>
    </w:tbl>
    <w:p w14:paraId="4C263266"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0" w:name="_heading=h.gjdgxs" w:colFirst="0" w:colLast="0"/>
      <w:bookmarkEnd w:id="0"/>
    </w:p>
    <w:p w14:paraId="70683ECE" w14:textId="77777777" w:rsidR="00747ACF"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color w:val="000000"/>
        </w:rPr>
      </w:pPr>
    </w:p>
    <w:p w14:paraId="6A3E572D" w14:textId="77777777" w:rsidR="00747ACF"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 Conta Fiduciária é de titularidade do Titular e de movimentação exclusiva do Credor, representado pelo Custodiante, observados os procedimentos descritos na </w:t>
      </w:r>
      <w:r>
        <w:rPr>
          <w:rFonts w:ascii="Arial" w:eastAsia="Arial" w:hAnsi="Arial" w:cs="Arial"/>
          <w:color w:val="000000"/>
          <w:sz w:val="22"/>
          <w:szCs w:val="22"/>
        </w:rPr>
        <w:lastRenderedPageBreak/>
        <w:t>Cláusula 3, mantida junto à QI SCD com o objetivo de centralização e administração dos valores oriundos da cobrança dos Direitos Creditórios.</w:t>
      </w:r>
    </w:p>
    <w:p w14:paraId="74A33A60"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35037DB2" w14:textId="77777777" w:rsidR="00747ACF" w:rsidRDefault="00747AC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bookmarkStart w:id="1" w:name="_heading=h.30j0zll" w:colFirst="0" w:colLast="0"/>
      <w:bookmarkEnd w:id="1"/>
    </w:p>
    <w:p w14:paraId="61F9E337" w14:textId="77777777" w:rsidR="00747ACF"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5A070017"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599B4FDD"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77777777" w:rsidR="00747ACF"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77777777"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todos e quaisquer Recursos creditado na Conta, nos termos deste Instrumento.</w:t>
      </w:r>
    </w:p>
    <w:p w14:paraId="57CEDA99" w14:textId="77777777" w:rsidR="00747ACF"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77777777"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 na Conta para qualquer pagamento ou transferência a terceiros, salvo nos termos e condições contidas neste Instrumento. </w:t>
      </w:r>
    </w:p>
    <w:p w14:paraId="16D8E0B3" w14:textId="77777777" w:rsidR="00747ACF"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77777777" w:rsidR="00747ACF"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A QI SCD deverá disponibilizar ao Custodiante e à Gestora, em tempo real e por meio da Plataforma QI, os extratos de movimentação da Conta Fiduciária, compreendendo créditos, débitos e saldo. </w:t>
      </w:r>
    </w:p>
    <w:p w14:paraId="032D0AA6" w14:textId="77777777" w:rsidR="00747ACF"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77777777" w:rsidR="00747ACF"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Custodiante ou Gestora disponibilizar os extratos da Conta Fiduciária ao Titular, na forma e periodicidade que vierem a ser acordadas entre ambas.</w:t>
      </w:r>
    </w:p>
    <w:p w14:paraId="417BBEA8"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3" w:name="_heading=h.3znysh7" w:colFirst="0" w:colLast="0"/>
      <w:bookmarkEnd w:id="3"/>
      <w:r>
        <w:rPr>
          <w:rFonts w:ascii="Arial" w:eastAsia="Arial" w:hAnsi="Arial" w:cs="Arial"/>
          <w:b/>
          <w:color w:val="000000"/>
          <w:sz w:val="22"/>
          <w:szCs w:val="22"/>
        </w:rPr>
        <w:t xml:space="preserve">ADMINISTRAÇÃO E MOVIMENTAÇÃO DAS CONTAS </w:t>
      </w:r>
    </w:p>
    <w:p w14:paraId="1A18BA72"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77777777" w:rsidR="00747ACF"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e os Recursos nela mantidos em conformidade com as regras e procedimentos descritos nesta Cláusula 3.</w:t>
      </w:r>
    </w:p>
    <w:p w14:paraId="696C0075"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F5A7EF7" w14:textId="77777777" w:rsidR="00747ACF"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 w:name="_heading=h.2et92p0" w:colFirst="0" w:colLast="0"/>
      <w:bookmarkEnd w:id="4"/>
      <w:r>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320BE34"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na medida em que os valores decorrentes dos Direitos Creditórios forem sendo creditados na Conta Fiduciária, o Titular poderá solicitar à </w:t>
      </w:r>
      <w:r>
        <w:t xml:space="preserve">Gestora </w:t>
      </w:r>
      <w:r>
        <w:rPr>
          <w:rFonts w:ascii="Arial" w:eastAsia="Arial" w:hAnsi="Arial" w:cs="Arial"/>
          <w:sz w:val="22"/>
          <w:szCs w:val="22"/>
        </w:rPr>
        <w:t>que transmita uma solicitação de saque a fim de que determinando montante seja transferido para uma Conta Autorizada (conforme definição abaixo) (“</w:t>
      </w:r>
      <w:r>
        <w:rPr>
          <w:rFonts w:ascii="Arial" w:eastAsia="Arial" w:hAnsi="Arial" w:cs="Arial"/>
          <w:sz w:val="22"/>
          <w:szCs w:val="22"/>
          <w:u w:val="single"/>
        </w:rPr>
        <w:t>Solicitação do Titular</w:t>
      </w:r>
      <w:r>
        <w:rPr>
          <w:rFonts w:ascii="Arial" w:eastAsia="Arial" w:hAnsi="Arial" w:cs="Arial"/>
          <w:sz w:val="22"/>
          <w:szCs w:val="22"/>
        </w:rPr>
        <w:t xml:space="preserve">”); </w:t>
      </w:r>
    </w:p>
    <w:p w14:paraId="3A2D94DA" w14:textId="77777777" w:rsidR="00747ACF"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1B43F5F"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a Custodiante poderá aprovar, ou não, a solicitação de saque realizada na Plataforma pela Gestora, (“Solicitação do Titular”), com base nos critérios descritos nos respectivos instrumentos firmados entre Credor e Titular, conforme aplicáveis; </w:t>
      </w:r>
    </w:p>
    <w:p w14:paraId="7AEFE09F" w14:textId="77777777" w:rsidR="00747ACF" w:rsidRDefault="00747ACF">
      <w:pPr>
        <w:pBdr>
          <w:top w:val="nil"/>
          <w:left w:val="nil"/>
          <w:bottom w:val="nil"/>
          <w:right w:val="nil"/>
          <w:between w:val="nil"/>
        </w:pBdr>
        <w:ind w:left="708"/>
        <w:rPr>
          <w:rFonts w:ascii="Arial" w:eastAsia="Arial" w:hAnsi="Arial" w:cs="Arial"/>
          <w:color w:val="000000"/>
          <w:sz w:val="22"/>
          <w:szCs w:val="22"/>
        </w:rPr>
      </w:pPr>
    </w:p>
    <w:p w14:paraId="5F892E0C"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rFonts w:ascii="Arial" w:eastAsia="Arial" w:hAnsi="Arial" w:cs="Arial"/>
          <w:color w:val="000000"/>
          <w:sz w:val="22"/>
          <w:szCs w:val="22"/>
        </w:rPr>
      </w:pPr>
    </w:p>
    <w:p w14:paraId="2CB85DB3"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caso a Solicitação do Titular seja aprovada, nos termos do item acima, a Gestora transmitirá, via Plataforma QI, uma ordem de saque especificando o valor e a(s) Conta(s) Autorizada(s) relativas ao saque (“</w:t>
      </w:r>
      <w:r>
        <w:rPr>
          <w:rFonts w:ascii="Arial" w:eastAsia="Arial" w:hAnsi="Arial" w:cs="Arial"/>
          <w:sz w:val="22"/>
          <w:szCs w:val="22"/>
          <w:u w:val="single"/>
        </w:rPr>
        <w:t>Ordem de Saque</w:t>
      </w:r>
      <w:r>
        <w:rPr>
          <w:rFonts w:ascii="Arial" w:eastAsia="Arial" w:hAnsi="Arial" w:cs="Arial"/>
          <w:sz w:val="22"/>
          <w:szCs w:val="22"/>
        </w:rPr>
        <w:t xml:space="preserve">”). Adicionalmente, o Custodiante deverá confirmar via Plataforma QI a transferência (“Confirmação a Ordem de Saque”); </w:t>
      </w:r>
    </w:p>
    <w:p w14:paraId="37EF5F9D"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independente de Solicitação do Titular, a Gestora poderá, sob sua exclusiva responsabilidade, emitir Ordem de Saque e o Custodiante, confirmar a transferência, para pagamento das obrigações decorrentes dos créditos cedidos ao Credor; </w:t>
      </w:r>
    </w:p>
    <w:p w14:paraId="61CE24A6" w14:textId="77777777" w:rsidR="00747ACF"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e confirmação da Ordem de Saque, promoverá a transferência dos respectivos valores para a(s) Conta(s) Autorizada(s);</w:t>
      </w:r>
    </w:p>
    <w:p w14:paraId="6D65FE59"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5" w:name="_heading=h.tyjcwt" w:colFirst="0" w:colLast="0"/>
      <w:bookmarkEnd w:id="5"/>
    </w:p>
    <w:p w14:paraId="7CDB7C50" w14:textId="77777777" w:rsidR="00747ACF"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II, conforme atualizado de tempos em tempos pelas Partes, sem a necessidade de aditamento do presente Instrumento. </w:t>
      </w:r>
    </w:p>
    <w:p w14:paraId="0B3CFD21"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C79C67" w14:textId="77777777" w:rsidR="00747ACF"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à Gestora, no qual, transmitirá a instrução via Plataforma QI, para que o Custodiante realize a movimentação,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77777777" w:rsidR="00747ACF"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e o Credor, desde já, autorizam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77777777" w:rsidR="00747ACF"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sempre que uma Remuneração for devida, independentemente do recebimento de ordens dos Contratantes, nos termos da Cláusula 5.</w:t>
      </w:r>
    </w:p>
    <w:p w14:paraId="41E8D9C5" w14:textId="77777777" w:rsidR="00747ACF"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77777777" w:rsidR="00747ACF"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na mesma data, desde que a instrução seja recebida até às 15 horas, ou no 1º (primeiro) dia útil subsequente, se a instrução for recebida após o referido horário, a contar do recebimento da </w:t>
      </w:r>
      <w:r>
        <w:rPr>
          <w:rFonts w:ascii="Arial" w:eastAsia="Arial" w:hAnsi="Arial" w:cs="Arial"/>
          <w:color w:val="000000"/>
          <w:sz w:val="22"/>
          <w:szCs w:val="22"/>
        </w:rPr>
        <w:lastRenderedPageBreak/>
        <w:t>respectiva ordem.</w:t>
      </w:r>
    </w:p>
    <w:p w14:paraId="542939DD" w14:textId="77777777" w:rsidR="00747ACF"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77777777" w:rsidR="00747ACF"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77777777" w:rsidR="00747ACF"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Credor, por meio do Custodiante e Gestora, se obriga neste ato, em caráter irrevogável e irretratável, a cumprir integralmente o acordado com o Titular nos Instrumentos de Garantia com relação à movimentação da Conta Fiduciária, e, ainda, a somente transmitir à QI SCD ordens de movimentação que estejam de acordo com o estabelecidos no instrumentos celebrados entre Credor e Titular.</w:t>
      </w:r>
    </w:p>
    <w:p w14:paraId="35B76490"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3FB76F7B" w14:textId="77777777" w:rsidR="00747ACF"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3dy6vkm" w:colFirst="0" w:colLast="0"/>
      <w:bookmarkEnd w:id="6"/>
      <w:r>
        <w:rPr>
          <w:rFonts w:ascii="Arial" w:eastAsia="Arial" w:hAnsi="Arial" w:cs="Arial"/>
          <w:color w:val="000000"/>
          <w:sz w:val="22"/>
          <w:szCs w:val="22"/>
        </w:rPr>
        <w:t>Para cumprimento do disposto neste Instrumento, a QI SCD realizará as seguintes atividades:</w:t>
      </w:r>
    </w:p>
    <w:p w14:paraId="5D2D4C1D" w14:textId="77777777" w:rsidR="00747ACF"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conforme as regras estabelecidas neste Instrumento; e</w:t>
      </w:r>
    </w:p>
    <w:p w14:paraId="720CF8EE" w14:textId="77777777" w:rsidR="00747ACF"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 w:name="_heading=h.1t3h5sf" w:colFirst="0" w:colLast="0"/>
      <w:bookmarkEnd w:id="7"/>
      <w:r>
        <w:rPr>
          <w:rFonts w:ascii="Arial" w:eastAsia="Arial" w:hAnsi="Arial" w:cs="Arial"/>
          <w:color w:val="000000"/>
          <w:sz w:val="22"/>
          <w:szCs w:val="22"/>
        </w:rPr>
        <w:t xml:space="preserve">disponibilização dos extratos das Conta. </w:t>
      </w:r>
    </w:p>
    <w:p w14:paraId="58ECECD2"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w:t>
      </w:r>
      <w:r>
        <w:rPr>
          <w:rFonts w:ascii="Arial" w:eastAsia="Arial" w:hAnsi="Arial" w:cs="Arial"/>
          <w:color w:val="000000"/>
          <w:sz w:val="22"/>
          <w:szCs w:val="22"/>
        </w:rPr>
        <w:t>da Cláusula 3.2 acima, especialmente nos termos da alínea “iv”, eximindo a QI SCD de qualquer reponsabilidade pela execução da referida Ordem de Saque.</w:t>
      </w:r>
    </w:p>
    <w:p w14:paraId="5D9BE50A"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58CB868"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os Contratantes por qualquer ordem que, de boa-fé e no estrito cumprimento do disposto neste Instrumento, vier a acatar dos Contratantes, ainda que de tal ordem resultar perdas para o Titular para o Credor ou para qualquer terceiro.</w:t>
      </w:r>
    </w:p>
    <w:p w14:paraId="2E282AE2"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consistir em conta aberta com o propósito de receber valores relativos a negócio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w:t>
      </w:r>
      <w:r>
        <w:rPr>
          <w:rFonts w:ascii="Arial" w:eastAsia="Arial" w:hAnsi="Arial" w:cs="Arial"/>
          <w:color w:val="000000"/>
          <w:sz w:val="22"/>
          <w:szCs w:val="22"/>
        </w:rPr>
        <w:lastRenderedPageBreak/>
        <w:t>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24C48563"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3F6F937C"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ou insuficiência de Recursos nas respectivas Contas ou das garantias prestadas pelo Titular ao Credor.</w:t>
      </w:r>
    </w:p>
    <w:p w14:paraId="77F2FAF5"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 w:name="_heading=h.4d34og8" w:colFirst="0" w:colLast="0"/>
      <w:bookmarkEnd w:id="8"/>
      <w:r>
        <w:rPr>
          <w:rFonts w:ascii="Arial" w:eastAsia="Arial" w:hAnsi="Arial" w:cs="Arial"/>
          <w:sz w:val="22"/>
          <w:szCs w:val="22"/>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22DF8DD"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71DD4738"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7777777" w:rsidR="00747ACF"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durante a vigência deste Instrumento; </w:t>
      </w:r>
    </w:p>
    <w:p w14:paraId="5C067E42"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77777777" w:rsidR="00747ACF"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 e</w:t>
      </w:r>
    </w:p>
    <w:p w14:paraId="6195CF58" w14:textId="77777777" w:rsidR="00747ACF"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77777777" w:rsidR="00747ACF" w:rsidRDefault="0031623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Sem prejuízo das demais obrigações previstas ao longo deste Instrumento, a Gestora obriga-se a:  </w:t>
      </w:r>
    </w:p>
    <w:p w14:paraId="7E1B66B5" w14:textId="77777777" w:rsidR="00747ACF"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26FA183"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emitir ordens, conforme o caso, de boa-fé e em conformidade com este Instrumento;</w:t>
      </w:r>
    </w:p>
    <w:p w14:paraId="4F93EBD7"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 xml:space="preserve">fornecer os extratos da Conta Fiduciária ao Titular, no caso da Gestora; e </w:t>
      </w:r>
    </w:p>
    <w:p w14:paraId="78CB7B5B"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Pr>
          <w:rFonts w:ascii="Arial" w:eastAsia="Arial" w:hAnsi="Arial" w:cs="Arial"/>
          <w:color w:val="000000"/>
          <w:sz w:val="22"/>
          <w:szCs w:val="22"/>
        </w:rPr>
        <w:t>não fornecer suas senhas e logins de acesso a terceiros e adotar todas as providências necessárias de forma a manter a segurança das informações disponibilizadas por meio da Plataforma QI.</w:t>
      </w:r>
    </w:p>
    <w:p w14:paraId="3148539C" w14:textId="77777777" w:rsidR="00747ACF"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fornecer os extratos da Conta Fiduciária à Custodiante , ao Credor e à Gestora bem como </w:t>
      </w:r>
      <w:r>
        <w:rPr>
          <w:rFonts w:ascii="Arial" w:eastAsia="Arial" w:hAnsi="Arial" w:cs="Arial"/>
          <w:sz w:val="22"/>
          <w:szCs w:val="22"/>
        </w:rPr>
        <w:t>permitir o acesso da Custodiante, da Gestora e do Credor</w:t>
      </w:r>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exclusivamente para consulta da movimentação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r>
        <w:rPr>
          <w:rFonts w:ascii="Arial" w:eastAsia="Arial" w:hAnsi="Arial" w:cs="Arial"/>
          <w:color w:val="000000"/>
          <w:sz w:val="22"/>
          <w:szCs w:val="22"/>
          <w:highlight w:val="yellow"/>
        </w:rPr>
        <w:t>Agente de Garantia</w:t>
      </w:r>
      <w:r>
        <w:rPr>
          <w:rFonts w:ascii="Arial" w:eastAsia="Arial" w:hAnsi="Arial" w:cs="Arial"/>
          <w:color w:val="000000"/>
          <w:sz w:val="22"/>
          <w:szCs w:val="22"/>
        </w:rPr>
        <w:t xml:space="preserve"> e confirmadas pelo </w:t>
      </w:r>
      <w:r>
        <w:rPr>
          <w:rFonts w:ascii="Arial" w:eastAsia="Arial" w:hAnsi="Arial" w:cs="Arial"/>
          <w:color w:val="000000"/>
          <w:sz w:val="22"/>
          <w:szCs w:val="22"/>
          <w:highlight w:val="yellow"/>
        </w:rPr>
        <w:t>Custodiante</w:t>
      </w:r>
      <w:r>
        <w:rPr>
          <w:rFonts w:ascii="Arial" w:eastAsia="Arial" w:hAnsi="Arial" w:cs="Arial"/>
          <w:color w:val="000000"/>
          <w:sz w:val="22"/>
          <w:szCs w:val="22"/>
        </w:rPr>
        <w:t>, de acordo com o disposto na Cláusula 3.2 e com os demais termos e condições deste Instrumento.</w:t>
      </w:r>
    </w:p>
    <w:p w14:paraId="21F3E13E"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O Titular, de forma irrevogável e irretratável, nomeia e constitui a Custodiante como sua procuradora,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F644679"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autoriza expressamente, de forma irrevogável e irretratável, o Credor, a qualquer tempo, a ceder e transferir os direitos e obrigações estabelecidas no presente Instrumento a quaisquer fundos de investimento aos quais tenham sido transferidos os créditos cedidos, desde que sob gestão da Gestora e administração da Administradora, sendo que, neste caso, o Titular se compromete a celebrar os aditamentos ao Anexo I a este Instrumento necessários para refletir tal cessão e transferência. [não teríamos problema de parte vinculada?] Dado que estamos restringindo que a cessão deve ocorrer para fundos que tenham a mesma gestora e administradora, não vemos problemas.</w:t>
      </w:r>
    </w:p>
    <w:p w14:paraId="29D1DDD9"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Default="0031623F">
      <w:pPr>
        <w:widowControl w:val="0"/>
        <w:numPr>
          <w:ilvl w:val="0"/>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9" w:name="_heading=h.2s8eyo1" w:colFirst="0" w:colLast="0"/>
      <w:bookmarkEnd w:id="9"/>
      <w:r>
        <w:rPr>
          <w:rFonts w:ascii="Arial" w:eastAsia="Arial" w:hAnsi="Arial" w:cs="Arial"/>
          <w:b/>
          <w:color w:val="000000"/>
          <w:sz w:val="22"/>
          <w:szCs w:val="22"/>
        </w:rPr>
        <w:t>REMUNERAÇÃO</w:t>
      </w:r>
    </w:p>
    <w:p w14:paraId="38244B32"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77777777" w:rsidR="00747ACF" w:rsidRDefault="0031623F">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 w:name="_heading=h.17dp8vu" w:colFirst="0" w:colLast="0"/>
      <w:bookmarkEnd w:id="10"/>
      <w:r>
        <w:rPr>
          <w:rFonts w:ascii="Arial" w:eastAsia="Arial" w:hAnsi="Arial" w:cs="Arial"/>
          <w:color w:val="000000"/>
          <w:sz w:val="22"/>
          <w:szCs w:val="22"/>
        </w:rPr>
        <w:t xml:space="preserve">Em contraprestação aos Serviços prestados nos termos deste Instrumento, a QI SCD fará jus a (i) taxa de administração de </w:t>
      </w:r>
      <w:r>
        <w:rPr>
          <w:rFonts w:ascii="Arial" w:eastAsia="Arial" w:hAnsi="Arial" w:cs="Arial"/>
          <w:color w:val="000000"/>
          <w:sz w:val="22"/>
          <w:szCs w:val="22"/>
          <w:highlight w:val="yellow"/>
        </w:rPr>
        <w:t>R$</w:t>
      </w:r>
      <w:r>
        <w:rPr>
          <w:rFonts w:ascii="Arial" w:eastAsia="Arial" w:hAnsi="Arial" w:cs="Arial"/>
          <w:sz w:val="22"/>
          <w:szCs w:val="22"/>
          <w:highlight w:val="yellow"/>
        </w:rPr>
        <w:t xml:space="preserve"> 550,00</w:t>
      </w:r>
      <w:r>
        <w:rPr>
          <w:rFonts w:ascii="Arial" w:eastAsia="Arial" w:hAnsi="Arial" w:cs="Arial"/>
          <w:sz w:val="22"/>
          <w:szCs w:val="22"/>
        </w:rPr>
        <w:t xml:space="preserve"> (Quinhentos e cinquenta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Taxas de Administração</w:t>
      </w:r>
      <w:r>
        <w:rPr>
          <w:rFonts w:ascii="Arial" w:eastAsia="Arial" w:hAnsi="Arial" w:cs="Arial"/>
          <w:color w:val="000000"/>
          <w:sz w:val="22"/>
          <w:szCs w:val="22"/>
        </w:rPr>
        <w:t xml:space="preserve">”), sem prejuízo das tarifas por serviço, conforme tabela de tarifas disponível em </w:t>
      </w:r>
      <w:hyperlink r:id="rId8">
        <w:r>
          <w:rPr>
            <w:rFonts w:ascii="Arial" w:eastAsia="Arial" w:hAnsi="Arial" w:cs="Arial"/>
            <w:color w:val="000000"/>
            <w:sz w:val="22"/>
            <w:szCs w:val="22"/>
          </w:rPr>
          <w:t>www.qitech.work</w:t>
        </w:r>
      </w:hyperlink>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as Taxas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4CEE610F"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Os Contratantes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77777777" w:rsidR="00747ACF" w:rsidRDefault="0031623F">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em relação a cada uma das Contas será debitada da </w:t>
      </w:r>
      <w:r>
        <w:rPr>
          <w:rFonts w:ascii="Arial" w:eastAsia="Arial" w:hAnsi="Arial" w:cs="Arial"/>
          <w:color w:val="000000"/>
          <w:sz w:val="22"/>
          <w:szCs w:val="22"/>
        </w:rPr>
        <w:lastRenderedPageBreak/>
        <w:t xml:space="preserve">respectiva Conta, ou, alternativamente, em qualquer das Contas em que houver saldo disponível, ou ainda, em outras contas de titularidade do Titular mantidas junto à QI SCD. </w:t>
      </w:r>
    </w:p>
    <w:p w14:paraId="37747DE5"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 e debitar sua respectiva remuneração da Conta Fiduciária quando a referida conta apresentar saldo positivo, procedimento este que o Credor declara-se ciente e de acordo.</w:t>
      </w:r>
    </w:p>
    <w:p w14:paraId="468EA864" w14:textId="77777777" w:rsidR="00747ACF"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Default="0031623F">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285F4DE1" w14:textId="77777777" w:rsidR="00747ACF" w:rsidRDefault="00747ACF">
      <w:pPr>
        <w:rPr>
          <w:rFonts w:ascii="Arial" w:eastAsia="Arial" w:hAnsi="Arial" w:cs="Arial"/>
          <w:sz w:val="22"/>
          <w:szCs w:val="22"/>
        </w:rPr>
      </w:pPr>
    </w:p>
    <w:p w14:paraId="6B3B6C74" w14:textId="77777777" w:rsidR="00747ACF" w:rsidRDefault="0031623F">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Caso o Titular não venha a aportar recursos na Conta ou caso os recursos aportados não sejam suficientes para quitar o valor da Remuneração devida, então o Titular deverá paga-la à QI SCD na forma que vier a ser por esta indicada, ou ainda , no caso da Conta Fiduciária, tais valores poderão ser cobrados do Credor, o qual se compromete a realizar o pagamento no prazo de 5 (cinco) dias da comunicação da QI SCD neste sentido.</w:t>
      </w:r>
    </w:p>
    <w:p w14:paraId="61BC956D" w14:textId="77777777" w:rsidR="00747ACF"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77777777" w:rsidR="00747ACF" w:rsidRDefault="0031623F">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Pr>
          <w:rFonts w:ascii="Arial" w:eastAsia="Arial" w:hAnsi="Arial" w:cs="Arial"/>
          <w:i/>
          <w:sz w:val="22"/>
          <w:szCs w:val="22"/>
        </w:rPr>
        <w:t>pro rata temporis</w:t>
      </w:r>
      <w:r>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6CC09EFA" w14:textId="77777777" w:rsidR="00747ACF" w:rsidRDefault="00747ACF">
      <w:pPr>
        <w:jc w:val="both"/>
        <w:rPr>
          <w:rFonts w:ascii="Arial" w:eastAsia="Arial" w:hAnsi="Arial" w:cs="Arial"/>
          <w:sz w:val="22"/>
          <w:szCs w:val="22"/>
        </w:rPr>
      </w:pPr>
      <w:bookmarkStart w:id="11" w:name="_heading=h.3rdcrjn" w:colFirst="0" w:colLast="0"/>
      <w:bookmarkEnd w:id="11"/>
    </w:p>
    <w:p w14:paraId="349FCB31"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Default="0031623F">
      <w:pPr>
        <w:widowControl w:val="0"/>
        <w:numPr>
          <w:ilvl w:val="0"/>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2D8CF27B"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764940FA"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a Gestora, o Custodiante ou Administradora,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26in1rg" w:colFirst="0" w:colLast="0"/>
      <w:bookmarkEnd w:id="12"/>
      <w:r>
        <w:rPr>
          <w:rFonts w:ascii="Arial" w:eastAsia="Arial" w:hAnsi="Arial" w:cs="Arial"/>
          <w:sz w:val="22"/>
          <w:szCs w:val="22"/>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a resilição for de iniciativa da QI SCD, nos termos da Cláusula 6.3, caberá a ela fornecer os extratos da Conta e receber a importância a que eventualmente fizer jus.</w:t>
      </w:r>
    </w:p>
    <w:p w14:paraId="729DD8E1" w14:textId="77777777" w:rsidR="00747ACF"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dos Contratantes a iniciativa de resilir o Instrumento, serão devidos somente os valores em relação aos Serviços das etapas já concluídas e que estejam, ainda, pendentes de pagamento.</w:t>
      </w:r>
    </w:p>
    <w:p w14:paraId="18E2407D" w14:textId="77777777" w:rsidR="00747ACF"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3" w:name="_heading=h.lnxbz9" w:colFirst="0" w:colLast="0"/>
      <w:bookmarkEnd w:id="13"/>
    </w:p>
    <w:p w14:paraId="3AD0C870"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nas Contas serão transferidos conforme a Cláusula 3.2, sendo as Contas encerradas em seguida pela QI SCD.</w:t>
      </w:r>
    </w:p>
    <w:p w14:paraId="76A64009" w14:textId="77777777" w:rsidR="00747ACF" w:rsidRDefault="00747ACF">
      <w:pPr>
        <w:jc w:val="both"/>
        <w:rPr>
          <w:rFonts w:ascii="Arial" w:eastAsia="Arial" w:hAnsi="Arial" w:cs="Arial"/>
          <w:i/>
          <w:sz w:val="22"/>
          <w:szCs w:val="22"/>
        </w:rPr>
      </w:pPr>
    </w:p>
    <w:p w14:paraId="62F380D2"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nas Contas.</w:t>
      </w:r>
    </w:p>
    <w:p w14:paraId="32A1D354" w14:textId="77777777" w:rsidR="00747ACF" w:rsidRDefault="00747ACF">
      <w:pPr>
        <w:jc w:val="both"/>
        <w:rPr>
          <w:rFonts w:ascii="Arial" w:eastAsia="Arial" w:hAnsi="Arial" w:cs="Arial"/>
          <w:sz w:val="22"/>
          <w:szCs w:val="22"/>
        </w:rPr>
      </w:pPr>
    </w:p>
    <w:p w14:paraId="05350B98"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Default="00747ACF">
      <w:pPr>
        <w:ind w:left="567"/>
        <w:jc w:val="both"/>
        <w:rPr>
          <w:rFonts w:ascii="Arial" w:eastAsia="Arial" w:hAnsi="Arial" w:cs="Arial"/>
          <w:sz w:val="22"/>
          <w:szCs w:val="22"/>
        </w:rPr>
      </w:pPr>
    </w:p>
    <w:p w14:paraId="3178217D" w14:textId="77777777" w:rsidR="00747ACF"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nas Contas; e</w:t>
      </w:r>
    </w:p>
    <w:p w14:paraId="68A9988A"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Default="0031623F">
      <w:pPr>
        <w:widowControl w:val="0"/>
        <w:numPr>
          <w:ilvl w:val="0"/>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09483D58" w14:textId="77777777" w:rsidR="00747ACF" w:rsidRDefault="00747ACF">
      <w:pPr>
        <w:pStyle w:val="Ttulo4"/>
        <w:rPr>
          <w:rFonts w:ascii="Arial" w:eastAsia="Arial" w:hAnsi="Arial" w:cs="Arial"/>
          <w:sz w:val="22"/>
          <w:szCs w:val="22"/>
        </w:rPr>
      </w:pPr>
    </w:p>
    <w:p w14:paraId="33661417"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w:t>
      </w:r>
      <w:r>
        <w:rPr>
          <w:rFonts w:ascii="Arial" w:eastAsia="Arial" w:hAnsi="Arial" w:cs="Arial"/>
          <w:sz w:val="22"/>
          <w:szCs w:val="22"/>
        </w:rPr>
        <w:lastRenderedPageBreak/>
        <w:t>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Default="0031623F">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4" w:name="_heading=h.35nkun2" w:colFirst="0" w:colLast="0"/>
      <w:bookmarkEnd w:id="14"/>
      <w:r>
        <w:rPr>
          <w:rFonts w:ascii="Arial" w:eastAsia="Arial" w:hAnsi="Arial" w:cs="Arial"/>
          <w:color w:val="000000"/>
          <w:sz w:val="22"/>
          <w:szCs w:val="22"/>
        </w:rPr>
        <w:t xml:space="preserve"> Excluem-se deste Instrumento as informações:</w:t>
      </w:r>
    </w:p>
    <w:p w14:paraId="7B427E95"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127D24D7"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6A98D860" w14:textId="77777777" w:rsidR="00747ACF"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5" w:name="_heading=h.1ksv4uv" w:colFirst="0" w:colLast="0"/>
      <w:bookmarkEnd w:id="15"/>
    </w:p>
    <w:p w14:paraId="04B1C1FB" w14:textId="77777777" w:rsidR="00747ACF" w:rsidRDefault="0031623F">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Default="0031623F">
      <w:pPr>
        <w:widowControl w:val="0"/>
        <w:numPr>
          <w:ilvl w:val="0"/>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16D2F11" w14:textId="77777777" w:rsidR="00747ACF"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77777777" w:rsidR="00747ACF" w:rsidRDefault="0031623F">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Contratantes declaram e garantem, individualmente e conforme aplicável, que:</w:t>
      </w:r>
    </w:p>
    <w:p w14:paraId="10ACE8DE"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08B78FF6"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645231DF"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21BA7561"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77777777" w:rsidR="00747ACF" w:rsidRDefault="0031623F">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Credor, conforme o caso, comprometem-se a não utilizar os Recursos </w:t>
      </w:r>
      <w:r>
        <w:rPr>
          <w:rFonts w:ascii="Arial" w:eastAsia="Arial" w:hAnsi="Arial" w:cs="Arial"/>
          <w:sz w:val="22"/>
          <w:szCs w:val="22"/>
        </w:rPr>
        <w:lastRenderedPageBreak/>
        <w:t>depositados nas Contas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71AFB9A0"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7777777" w:rsidR="00747ACF"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 Titular e o Credor se obrigam, ainda, a (i) monitorar suas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77777777" w:rsidR="00747ACF" w:rsidRDefault="0031623F">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 Titular e o Credor declaram e garantem, em relação a si próprios e a seus administradores, diretores, funcionários e agentes, bem como seus sócios, controladores e sociedades controladas e coligadas, conforme aplicável, que:</w:t>
      </w:r>
    </w:p>
    <w:p w14:paraId="3FB64454"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 e</w:t>
      </w:r>
    </w:p>
    <w:p w14:paraId="454BFBED" w14:textId="77777777" w:rsidR="00747ACF"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7777777" w:rsidR="00747ACF" w:rsidRDefault="0031623F">
      <w:pPr>
        <w:numPr>
          <w:ilvl w:val="1"/>
          <w:numId w:val="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77777777" w:rsidR="00747ACF" w:rsidRDefault="0031623F">
      <w:pPr>
        <w:numPr>
          <w:ilvl w:val="1"/>
          <w:numId w:val="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 Titular e do Credor contidas neste Instrumento deverão permanecer verdadeiras, completas e suficientes durante toda a vigência deste Instrumento.</w:t>
      </w:r>
    </w:p>
    <w:p w14:paraId="033FBBD9" w14:textId="77777777" w:rsidR="00747ACF"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77777777" w:rsidR="00747ACF" w:rsidRDefault="0031623F">
      <w:pPr>
        <w:numPr>
          <w:ilvl w:val="1"/>
          <w:numId w:val="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4F875807" w14:textId="77777777" w:rsidR="00747ACF"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Default="0031623F">
      <w:pPr>
        <w:numPr>
          <w:ilvl w:val="0"/>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0725E925" w14:textId="77777777" w:rsidR="00747ACF" w:rsidRDefault="00747ACF">
      <w:pPr>
        <w:keepNext/>
        <w:tabs>
          <w:tab w:val="left" w:pos="2835"/>
        </w:tabs>
        <w:spacing w:line="276" w:lineRule="auto"/>
        <w:jc w:val="both"/>
        <w:rPr>
          <w:rFonts w:ascii="Arial" w:eastAsia="Arial" w:hAnsi="Arial" w:cs="Arial"/>
          <w:b/>
          <w:sz w:val="22"/>
          <w:szCs w:val="22"/>
        </w:rPr>
      </w:pPr>
    </w:p>
    <w:p w14:paraId="546DE258" w14:textId="77777777" w:rsidR="00747ACF" w:rsidRDefault="0031623F">
      <w:pPr>
        <w:keepNext/>
        <w:numPr>
          <w:ilvl w:val="1"/>
          <w:numId w:val="7"/>
        </w:numPr>
        <w:tabs>
          <w:tab w:val="left" w:pos="0"/>
          <w:tab w:val="left" w:pos="851"/>
        </w:tabs>
        <w:spacing w:line="276" w:lineRule="auto"/>
        <w:ind w:left="0" w:firstLine="0"/>
        <w:jc w:val="both"/>
        <w:rPr>
          <w:rFonts w:ascii="Arial" w:eastAsia="Arial" w:hAnsi="Arial" w:cs="Arial"/>
          <w:sz w:val="22"/>
          <w:szCs w:val="22"/>
        </w:rPr>
      </w:pPr>
      <w:bookmarkStart w:id="16" w:name="_heading=h.44sinio" w:colFirst="0" w:colLast="0"/>
      <w:bookmarkEnd w:id="16"/>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Default="00747ACF">
      <w:pPr>
        <w:tabs>
          <w:tab w:val="left" w:pos="2835"/>
        </w:tabs>
        <w:spacing w:line="276" w:lineRule="auto"/>
        <w:jc w:val="both"/>
        <w:rPr>
          <w:rFonts w:ascii="Arial" w:eastAsia="Arial" w:hAnsi="Arial" w:cs="Arial"/>
          <w:sz w:val="22"/>
          <w:szCs w:val="22"/>
        </w:rPr>
      </w:pPr>
      <w:bookmarkStart w:id="17" w:name="_heading=h.2jxsxqh" w:colFirst="0" w:colLast="0"/>
      <w:bookmarkEnd w:id="17"/>
    </w:p>
    <w:p w14:paraId="58EF4FAE"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6FD0B2EE"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Razão social:</w:t>
      </w:r>
      <w:r>
        <w:rPr>
          <w:rFonts w:ascii="Arial" w:eastAsia="Arial" w:hAnsi="Arial" w:cs="Arial"/>
          <w:color w:val="000000"/>
          <w:sz w:val="22"/>
          <w:szCs w:val="22"/>
        </w:rPr>
        <w:t>.</w:t>
      </w:r>
      <w:r>
        <w:rPr>
          <w:rFonts w:ascii="Arial" w:eastAsia="Arial" w:hAnsi="Arial" w:cs="Arial"/>
          <w:sz w:val="22"/>
          <w:szCs w:val="22"/>
        </w:rPr>
        <w:t xml:space="preserve"> </w:t>
      </w:r>
    </w:p>
    <w:p w14:paraId="346D43CE"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5ECF0CAD"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At.: </w:t>
      </w:r>
    </w:p>
    <w:p w14:paraId="482636B1"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Tel.: </w:t>
      </w:r>
    </w:p>
    <w:p w14:paraId="7D0D0913"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E-mail: </w:t>
      </w:r>
    </w:p>
    <w:p w14:paraId="782229DE" w14:textId="77777777" w:rsidR="00747ACF" w:rsidRDefault="00747ACF">
      <w:pPr>
        <w:tabs>
          <w:tab w:val="left" w:pos="709"/>
          <w:tab w:val="left" w:pos="1701"/>
        </w:tabs>
        <w:spacing w:line="276" w:lineRule="auto"/>
        <w:ind w:left="851"/>
        <w:jc w:val="both"/>
        <w:rPr>
          <w:rFonts w:ascii="Arial" w:eastAsia="Arial" w:hAnsi="Arial" w:cs="Arial"/>
          <w:sz w:val="22"/>
          <w:szCs w:val="22"/>
        </w:rPr>
      </w:pPr>
    </w:p>
    <w:p w14:paraId="51AD0F2D"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Credor:</w:t>
      </w:r>
    </w:p>
    <w:p w14:paraId="772C0FFB"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Fundos listados </w:t>
      </w:r>
      <w:r>
        <w:rPr>
          <w:rFonts w:ascii="Arial" w:eastAsia="Arial" w:hAnsi="Arial" w:cs="Arial"/>
          <w:b/>
          <w:sz w:val="22"/>
          <w:szCs w:val="22"/>
        </w:rPr>
        <w:t>conforme anexo I</w:t>
      </w:r>
    </w:p>
    <w:p w14:paraId="706DF9D4" w14:textId="77777777" w:rsidR="00747ACF" w:rsidRDefault="0031623F">
      <w:pPr>
        <w:tabs>
          <w:tab w:val="left" w:pos="709"/>
          <w:tab w:val="left" w:pos="1701"/>
        </w:tabs>
        <w:spacing w:line="276" w:lineRule="auto"/>
        <w:ind w:left="1701"/>
        <w:jc w:val="both"/>
      </w:pPr>
      <w:r>
        <w:rPr>
          <w:rFonts w:ascii="Arial" w:eastAsia="Arial" w:hAnsi="Arial" w:cs="Arial"/>
          <w:sz w:val="22"/>
          <w:szCs w:val="22"/>
        </w:rPr>
        <w:t xml:space="preserve">Representado pelo Administrador: </w:t>
      </w:r>
    </w:p>
    <w:p w14:paraId="46163EB7" w14:textId="77777777" w:rsidR="00747ACF" w:rsidRDefault="0031623F">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A/C:  </w:t>
      </w:r>
    </w:p>
    <w:p w14:paraId="5E70C054" w14:textId="77777777" w:rsidR="00747ACF" w:rsidRDefault="0031623F">
      <w:pPr>
        <w:tabs>
          <w:tab w:val="left" w:pos="1701"/>
        </w:tabs>
        <w:spacing w:line="276" w:lineRule="auto"/>
        <w:ind w:left="851"/>
        <w:jc w:val="both"/>
      </w:pPr>
      <w:r>
        <w:rPr>
          <w:rFonts w:ascii="Arial" w:eastAsia="Arial" w:hAnsi="Arial" w:cs="Arial"/>
          <w:sz w:val="22"/>
          <w:szCs w:val="22"/>
        </w:rPr>
        <w:tab/>
        <w:t xml:space="preserve">Endereço: </w:t>
      </w:r>
    </w:p>
    <w:p w14:paraId="268F4C28"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p>
    <w:p w14:paraId="626954C0"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p>
    <w:p w14:paraId="7DE528C1" w14:textId="77777777" w:rsidR="00747ACF" w:rsidRDefault="00747ACF">
      <w:pPr>
        <w:tabs>
          <w:tab w:val="left" w:pos="1701"/>
        </w:tabs>
        <w:spacing w:line="276" w:lineRule="auto"/>
        <w:ind w:left="851"/>
        <w:jc w:val="both"/>
        <w:rPr>
          <w:rFonts w:ascii="Arial" w:eastAsia="Arial" w:hAnsi="Arial" w:cs="Arial"/>
          <w:sz w:val="22"/>
          <w:szCs w:val="22"/>
        </w:rPr>
      </w:pPr>
    </w:p>
    <w:p w14:paraId="5B59809A" w14:textId="77777777" w:rsidR="00747ACF" w:rsidRDefault="0031623F">
      <w:pPr>
        <w:numPr>
          <w:ilvl w:val="0"/>
          <w:numId w:val="1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Custodiante:</w:t>
      </w:r>
    </w:p>
    <w:p w14:paraId="13A783F7"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p>
    <w:p w14:paraId="1C7E636A"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37B89454" w14:textId="77777777" w:rsidR="00747ACF" w:rsidRDefault="0031623F">
      <w:pPr>
        <w:tabs>
          <w:tab w:val="left" w:pos="1701"/>
        </w:tabs>
        <w:spacing w:line="276" w:lineRule="auto"/>
        <w:jc w:val="both"/>
      </w:pPr>
      <w:r>
        <w:rPr>
          <w:rFonts w:ascii="Arial" w:eastAsia="Arial" w:hAnsi="Arial" w:cs="Arial"/>
          <w:sz w:val="22"/>
          <w:szCs w:val="22"/>
        </w:rPr>
        <w:tab/>
        <w:t xml:space="preserve">Tel.: </w:t>
      </w:r>
    </w:p>
    <w:p w14:paraId="3F1F248C" w14:textId="77777777" w:rsidR="00747ACF" w:rsidRDefault="0031623F">
      <w:pPr>
        <w:tabs>
          <w:tab w:val="left" w:pos="709"/>
          <w:tab w:val="left" w:pos="1701"/>
        </w:tabs>
        <w:spacing w:line="276" w:lineRule="auto"/>
        <w:ind w:left="851"/>
        <w:jc w:val="both"/>
        <w:rPr>
          <w:rFonts w:ascii="Arial" w:eastAsia="Arial" w:hAnsi="Arial" w:cs="Arial"/>
          <w:sz w:val="22"/>
          <w:szCs w:val="22"/>
        </w:rPr>
      </w:pPr>
      <w:r>
        <w:t xml:space="preserve"> </w:t>
      </w:r>
      <w:r>
        <w:tab/>
      </w:r>
      <w:r>
        <w:rPr>
          <w:rFonts w:ascii="Arial" w:eastAsia="Arial" w:hAnsi="Arial" w:cs="Arial"/>
          <w:sz w:val="22"/>
          <w:szCs w:val="22"/>
        </w:rPr>
        <w:t xml:space="preserve">E-mail: </w:t>
      </w:r>
    </w:p>
    <w:p w14:paraId="28C9D405" w14:textId="77777777" w:rsidR="00747ACF" w:rsidRDefault="00747ACF">
      <w:pPr>
        <w:tabs>
          <w:tab w:val="left" w:pos="-11"/>
          <w:tab w:val="left" w:pos="1701"/>
        </w:tabs>
        <w:spacing w:line="276" w:lineRule="auto"/>
        <w:ind w:left="851"/>
        <w:jc w:val="both"/>
        <w:rPr>
          <w:rFonts w:ascii="Arial" w:eastAsia="Arial" w:hAnsi="Arial" w:cs="Arial"/>
          <w:sz w:val="22"/>
          <w:szCs w:val="22"/>
        </w:rPr>
      </w:pPr>
    </w:p>
    <w:p w14:paraId="61D79064"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a Gestora </w:t>
      </w:r>
    </w:p>
    <w:p w14:paraId="25CB3E98"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p>
    <w:p w14:paraId="012D2723" w14:textId="77777777" w:rsidR="00747ACF" w:rsidRDefault="0031623F">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Endereço: </w:t>
      </w:r>
    </w:p>
    <w:p w14:paraId="3C431BFE" w14:textId="77777777" w:rsidR="00747ACF" w:rsidRDefault="0031623F">
      <w:pPr>
        <w:tabs>
          <w:tab w:val="left" w:pos="1701"/>
        </w:tabs>
        <w:spacing w:line="276" w:lineRule="auto"/>
        <w:jc w:val="both"/>
      </w:pPr>
      <w:r>
        <w:rPr>
          <w:rFonts w:ascii="Arial" w:eastAsia="Arial" w:hAnsi="Arial" w:cs="Arial"/>
          <w:sz w:val="22"/>
          <w:szCs w:val="22"/>
        </w:rPr>
        <w:tab/>
        <w:t xml:space="preserve">Tel.: </w:t>
      </w:r>
    </w:p>
    <w:p w14:paraId="7595B48A"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E-mail: </w:t>
      </w:r>
    </w:p>
    <w:p w14:paraId="0B3C1290" w14:textId="77777777" w:rsidR="00747ACF" w:rsidRDefault="00747ACF">
      <w:pPr>
        <w:tabs>
          <w:tab w:val="left" w:pos="1701"/>
        </w:tabs>
        <w:spacing w:line="276" w:lineRule="auto"/>
        <w:ind w:left="851"/>
        <w:jc w:val="both"/>
        <w:rPr>
          <w:rFonts w:ascii="Arial" w:eastAsia="Arial" w:hAnsi="Arial" w:cs="Arial"/>
          <w:sz w:val="22"/>
          <w:szCs w:val="22"/>
        </w:rPr>
      </w:pPr>
    </w:p>
    <w:p w14:paraId="1AA0DEAE" w14:textId="77777777" w:rsidR="00747ACF" w:rsidRDefault="0031623F">
      <w:pPr>
        <w:numPr>
          <w:ilvl w:val="0"/>
          <w:numId w:val="2"/>
        </w:numPr>
        <w:tabs>
          <w:tab w:val="left" w:pos="-11"/>
          <w:tab w:val="left" w:pos="1701"/>
        </w:tabs>
        <w:spacing w:line="276" w:lineRule="auto"/>
        <w:ind w:left="851" w:firstLine="0"/>
        <w:jc w:val="both"/>
        <w:rPr>
          <w:rFonts w:ascii="Arial" w:eastAsia="Arial" w:hAnsi="Arial" w:cs="Arial"/>
          <w:sz w:val="22"/>
          <w:szCs w:val="22"/>
        </w:rPr>
      </w:pPr>
      <w:bookmarkStart w:id="18" w:name="_heading=h.z337ya" w:colFirst="0" w:colLast="0"/>
      <w:bookmarkEnd w:id="18"/>
      <w:r>
        <w:rPr>
          <w:rFonts w:ascii="Arial" w:eastAsia="Arial" w:hAnsi="Arial" w:cs="Arial"/>
          <w:sz w:val="22"/>
          <w:szCs w:val="22"/>
        </w:rPr>
        <w:t>Se para a QI SCD:</w:t>
      </w:r>
    </w:p>
    <w:p w14:paraId="288B6DD0" w14:textId="77777777" w:rsidR="00747ACF" w:rsidRDefault="0031623F">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8008BAC" w14:textId="77777777" w:rsidR="00747ACF" w:rsidRDefault="0031623F">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lastRenderedPageBreak/>
        <w:t>Avenida Brigadeiro Faria Lima, nº 2.391, 1º andar, conjunto 12, sala A, Jardim Paulistano</w:t>
      </w:r>
    </w:p>
    <w:p w14:paraId="17FB076D"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14588E15"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244F78EC"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(11) 2626-0447</w:t>
      </w:r>
    </w:p>
    <w:p w14:paraId="17DEBF8B" w14:textId="77777777" w:rsidR="00747ACF" w:rsidRDefault="0031623F">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E-mail: suporte@qitech.work</w:t>
      </w:r>
    </w:p>
    <w:p w14:paraId="5766E7C0" w14:textId="77777777" w:rsidR="00747ACF"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9" w:name="_heading=h.3j2qqm3" w:colFirst="0" w:colLast="0"/>
      <w:bookmarkEnd w:id="19"/>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Default="0031623F">
      <w:pPr>
        <w:numPr>
          <w:ilvl w:val="0"/>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7A80261D" w14:textId="77777777" w:rsidR="00747ACF"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21431C8D"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acordam que os Anexos II e III poderão ser atualizados, de tempos em tempos, sem a necessidade de aditamento ao presente Instrumento, bastando o encaminhamento do referido Anexo atualizado pela Gestora à QI SCD.</w:t>
      </w:r>
    </w:p>
    <w:p w14:paraId="26AB03FF"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9C51F03" w14:textId="77777777" w:rsidR="00747ACF" w:rsidRDefault="0031623F">
      <w:pPr>
        <w:numPr>
          <w:ilvl w:val="2"/>
          <w:numId w:val="7"/>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dos Anexos atualizado nos termos da Cláusula 10.1 acima substituirá o antigo, para todos os efeitos, a partir da data de recebimento pela QI SCD.</w:t>
      </w:r>
    </w:p>
    <w:p w14:paraId="6A43739B" w14:textId="77777777" w:rsidR="00747ACF" w:rsidRDefault="00747ACF">
      <w:pPr>
        <w:jc w:val="both"/>
        <w:rPr>
          <w:rFonts w:ascii="Arial" w:eastAsia="Arial" w:hAnsi="Arial" w:cs="Arial"/>
          <w:sz w:val="22"/>
          <w:szCs w:val="22"/>
        </w:rPr>
      </w:pPr>
    </w:p>
    <w:p w14:paraId="38B6E005"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5C2C146A"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Default="00747ACF">
      <w:pPr>
        <w:jc w:val="both"/>
        <w:rPr>
          <w:rFonts w:ascii="Arial" w:eastAsia="Arial" w:hAnsi="Arial" w:cs="Arial"/>
          <w:sz w:val="22"/>
          <w:szCs w:val="22"/>
        </w:rPr>
      </w:pPr>
    </w:p>
    <w:p w14:paraId="7BBB9A60"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671E4078" w14:textId="77777777" w:rsidR="00747ACF"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20" w:name="_heading=h.1y810tw" w:colFirst="0" w:colLast="0"/>
      <w:bookmarkEnd w:id="20"/>
    </w:p>
    <w:p w14:paraId="10BE5D3C"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Default="0031623F">
      <w:pPr>
        <w:numPr>
          <w:ilvl w:val="0"/>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2B7B756B" w14:textId="77777777" w:rsidR="00747ACF"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77777777" w:rsidR="00747ACF" w:rsidRDefault="0031623F">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w:t>
      </w:r>
    </w:p>
    <w:p w14:paraId="18792F14" w14:textId="77777777" w:rsidR="00747ACF"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[Documento assinado digitalmente]</w:t>
      </w:r>
    </w:p>
    <w:p w14:paraId="069FFEFD"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São Paulo </w:t>
      </w:r>
      <w:r>
        <w:rPr>
          <w:rFonts w:ascii="Arial" w:eastAsia="Arial" w:hAnsi="Arial" w:cs="Arial"/>
          <w:color w:val="000000"/>
          <w:sz w:val="22"/>
          <w:szCs w:val="22"/>
          <w:highlight w:val="yellow"/>
        </w:rPr>
        <w:t>xxx</w:t>
      </w:r>
      <w:r>
        <w:rPr>
          <w:rFonts w:ascii="Arial" w:eastAsia="Arial" w:hAnsi="Arial" w:cs="Arial"/>
          <w:color w:val="000000"/>
          <w:sz w:val="22"/>
          <w:szCs w:val="22"/>
        </w:rPr>
        <w:t xml:space="preserve"> de </w:t>
      </w:r>
      <w:r>
        <w:rPr>
          <w:rFonts w:ascii="Arial" w:eastAsia="Arial" w:hAnsi="Arial" w:cs="Arial"/>
          <w:color w:val="000000"/>
          <w:sz w:val="22"/>
          <w:szCs w:val="22"/>
          <w:highlight w:val="yellow"/>
        </w:rPr>
        <w:t>xxx</w:t>
      </w:r>
      <w:r>
        <w:rPr>
          <w:rFonts w:ascii="Arial" w:eastAsia="Arial" w:hAnsi="Arial" w:cs="Arial"/>
          <w:color w:val="000000"/>
          <w:sz w:val="22"/>
          <w:szCs w:val="22"/>
        </w:rPr>
        <w:t xml:space="preserve"> de 2020</w:t>
      </w:r>
    </w:p>
    <w:p w14:paraId="4305E8C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14:paraId="4C5F3E9F" w14:textId="77777777">
        <w:trPr>
          <w:jc w:val="center"/>
        </w:trPr>
        <w:tc>
          <w:tcPr>
            <w:tcW w:w="4810" w:type="dxa"/>
          </w:tcPr>
          <w:p w14:paraId="54C01553"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67FEF4BB"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Pr>
                <w:rFonts w:ascii="Arial" w:eastAsia="Arial" w:hAnsi="Arial" w:cs="Arial"/>
                <w:sz w:val="22"/>
                <w:szCs w:val="22"/>
                <w:highlight w:val="yellow"/>
              </w:rPr>
              <w:t>[*]</w:t>
            </w:r>
          </w:p>
          <w:p w14:paraId="3AFF932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9BC5A1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46BB83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Credor: Fundos </w:t>
            </w:r>
            <w:r>
              <w:rPr>
                <w:rFonts w:ascii="Arial" w:eastAsia="Arial" w:hAnsi="Arial" w:cs="Arial"/>
                <w:b/>
                <w:sz w:val="22"/>
                <w:szCs w:val="22"/>
              </w:rPr>
              <w:t>conforme anexo I</w:t>
            </w:r>
            <w:r>
              <w:rPr>
                <w:rFonts w:ascii="Arial" w:eastAsia="Arial" w:hAnsi="Arial" w:cs="Arial"/>
                <w:sz w:val="22"/>
                <w:szCs w:val="22"/>
              </w:rPr>
              <w:t xml:space="preserve">. </w:t>
            </w:r>
          </w:p>
          <w:p w14:paraId="5385C3BB"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Neste ato representado por sua instituição Administradora </w:t>
            </w:r>
          </w:p>
          <w:p w14:paraId="4DB2C2E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highlight w:val="yellow"/>
              </w:rPr>
              <w:t>[*]</w:t>
            </w:r>
          </w:p>
          <w:p w14:paraId="5DEC46A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14:paraId="5E9E4F95" w14:textId="77777777">
        <w:trPr>
          <w:jc w:val="center"/>
        </w:trPr>
        <w:tc>
          <w:tcPr>
            <w:tcW w:w="4810" w:type="dxa"/>
          </w:tcPr>
          <w:p w14:paraId="7CF23E5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744D7A1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Gestora: </w:t>
            </w:r>
            <w:r>
              <w:rPr>
                <w:rFonts w:ascii="Arial" w:eastAsia="Arial" w:hAnsi="Arial" w:cs="Arial"/>
                <w:sz w:val="22"/>
                <w:szCs w:val="22"/>
                <w:highlight w:val="yellow"/>
              </w:rPr>
              <w:t>[*]</w:t>
            </w:r>
          </w:p>
          <w:p w14:paraId="5B52E93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B83A17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53D6483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14:paraId="7C2153F7" w14:textId="77777777">
        <w:trPr>
          <w:jc w:val="center"/>
        </w:trPr>
        <w:tc>
          <w:tcPr>
            <w:tcW w:w="4810" w:type="dxa"/>
          </w:tcPr>
          <w:p w14:paraId="7A5FF7E5"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4EB5F43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Administradora: </w:t>
            </w:r>
            <w:r>
              <w:rPr>
                <w:rFonts w:ascii="Arial" w:eastAsia="Arial" w:hAnsi="Arial" w:cs="Arial"/>
                <w:sz w:val="22"/>
                <w:szCs w:val="22"/>
                <w:highlight w:val="yellow"/>
              </w:rPr>
              <w:t>[*]</w:t>
            </w:r>
          </w:p>
        </w:tc>
        <w:tc>
          <w:tcPr>
            <w:tcW w:w="333" w:type="dxa"/>
          </w:tcPr>
          <w:p w14:paraId="3565DA2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F6E3E7E"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63603014"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 xml:space="preserve">Custodiante: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tc>
      </w:tr>
    </w:tbl>
    <w:p w14:paraId="259F2FB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B3B19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EB0A24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94F69D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69D5A3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D99DCE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2BC27E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753227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5E9BA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854C4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FCB082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04459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DED822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BA6C7A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46B92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38B77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6E3754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F17C45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DD5293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59BA98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C38BD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D985B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2EC5F3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10E1D6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58B7A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2E91D2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5411631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Serviços de Administração de Recursos decorrentes de Cobrança de Terceiros e Outras Avenças Nº </w:t>
      </w:r>
      <w:r>
        <w:rPr>
          <w:rFonts w:ascii="Arial" w:eastAsia="Arial" w:hAnsi="Arial" w:cs="Arial"/>
          <w:b/>
          <w:sz w:val="22"/>
          <w:szCs w:val="22"/>
          <w:highlight w:val="yellow"/>
        </w:rPr>
        <w:t>[]</w:t>
      </w:r>
    </w:p>
    <w:p w14:paraId="3A148E4E" w14:textId="77777777" w:rsidR="00747ACF" w:rsidRDefault="00747ACF">
      <w:pPr>
        <w:widowControl w:val="0"/>
        <w:spacing w:line="276" w:lineRule="auto"/>
        <w:jc w:val="center"/>
        <w:rPr>
          <w:rFonts w:ascii="Arial" w:eastAsia="Arial" w:hAnsi="Arial" w:cs="Arial"/>
          <w:b/>
          <w:sz w:val="22"/>
          <w:szCs w:val="22"/>
        </w:rPr>
      </w:pPr>
    </w:p>
    <w:p w14:paraId="41A40B58" w14:textId="77777777" w:rsidR="00747ACF" w:rsidRDefault="0031623F">
      <w:pPr>
        <w:widowControl w:val="0"/>
        <w:spacing w:line="276" w:lineRule="auto"/>
        <w:jc w:val="center"/>
        <w:rPr>
          <w:rFonts w:ascii="Arial" w:eastAsia="Arial" w:hAnsi="Arial" w:cs="Arial"/>
          <w:b/>
          <w:sz w:val="22"/>
          <w:szCs w:val="22"/>
        </w:rPr>
      </w:pPr>
      <w:r>
        <w:rPr>
          <w:rFonts w:ascii="Arial" w:eastAsia="Arial" w:hAnsi="Arial" w:cs="Arial"/>
          <w:b/>
          <w:sz w:val="22"/>
          <w:szCs w:val="22"/>
        </w:rPr>
        <w:t>RELAÇÃO DE FUNDOS DE INVESTIMENTO CREDORES</w:t>
      </w:r>
    </w:p>
    <w:p w14:paraId="4D5413F9" w14:textId="77777777" w:rsidR="00747ACF" w:rsidRDefault="00747ACF">
      <w:pPr>
        <w:widowControl w:val="0"/>
        <w:spacing w:line="276" w:lineRule="auto"/>
        <w:jc w:val="center"/>
        <w:rPr>
          <w:rFonts w:ascii="Arial" w:eastAsia="Arial" w:hAnsi="Arial" w:cs="Arial"/>
          <w:sz w:val="22"/>
          <w:szCs w:val="22"/>
        </w:rPr>
      </w:pPr>
    </w:p>
    <w:p w14:paraId="2D8F0B9A" w14:textId="77777777" w:rsidR="00747ACF" w:rsidRDefault="00747ACF">
      <w:pPr>
        <w:widowControl w:val="0"/>
        <w:spacing w:line="276" w:lineRule="auto"/>
        <w:jc w:val="center"/>
        <w:rPr>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14:paraId="59D711B3" w14:textId="77777777">
        <w:trPr>
          <w:trHeight w:val="40"/>
          <w:jc w:val="center"/>
        </w:trPr>
        <w:tc>
          <w:tcPr>
            <w:tcW w:w="556" w:type="dxa"/>
          </w:tcPr>
          <w:p w14:paraId="63BCEC1C"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lastRenderedPageBreak/>
              <w:t>#</w:t>
            </w:r>
          </w:p>
        </w:tc>
        <w:tc>
          <w:tcPr>
            <w:tcW w:w="5398" w:type="dxa"/>
          </w:tcPr>
          <w:p w14:paraId="61BACDDB"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t>Denominação</w:t>
            </w:r>
          </w:p>
        </w:tc>
        <w:tc>
          <w:tcPr>
            <w:tcW w:w="2551" w:type="dxa"/>
          </w:tcPr>
          <w:p w14:paraId="567822AC" w14:textId="77777777" w:rsidR="00747ACF" w:rsidRDefault="0031623F">
            <w:pPr>
              <w:spacing w:line="276" w:lineRule="auto"/>
              <w:jc w:val="center"/>
              <w:rPr>
                <w:rFonts w:ascii="Arial" w:eastAsia="Arial" w:hAnsi="Arial" w:cs="Arial"/>
                <w:b/>
                <w:sz w:val="22"/>
                <w:szCs w:val="22"/>
              </w:rPr>
            </w:pPr>
            <w:r>
              <w:rPr>
                <w:rFonts w:ascii="Arial" w:eastAsia="Arial" w:hAnsi="Arial" w:cs="Arial"/>
                <w:b/>
                <w:sz w:val="22"/>
                <w:szCs w:val="22"/>
              </w:rPr>
              <w:t>CNPJ/CPF</w:t>
            </w:r>
          </w:p>
        </w:tc>
      </w:tr>
      <w:tr w:rsidR="00747ACF" w14:paraId="47748C96" w14:textId="77777777">
        <w:trPr>
          <w:jc w:val="center"/>
        </w:trPr>
        <w:tc>
          <w:tcPr>
            <w:tcW w:w="556" w:type="dxa"/>
          </w:tcPr>
          <w:p w14:paraId="2ACEEB7A" w14:textId="77777777" w:rsidR="00747ACF" w:rsidRDefault="0031623F">
            <w:pPr>
              <w:spacing w:line="276" w:lineRule="auto"/>
              <w:jc w:val="center"/>
              <w:rPr>
                <w:rFonts w:ascii="Arial" w:eastAsia="Arial" w:hAnsi="Arial" w:cs="Arial"/>
                <w:sz w:val="22"/>
                <w:szCs w:val="22"/>
              </w:rPr>
            </w:pPr>
            <w:r>
              <w:rPr>
                <w:rFonts w:ascii="Arial" w:eastAsia="Arial" w:hAnsi="Arial" w:cs="Arial"/>
                <w:sz w:val="22"/>
                <w:szCs w:val="22"/>
              </w:rPr>
              <w:t>1</w:t>
            </w:r>
          </w:p>
        </w:tc>
        <w:tc>
          <w:tcPr>
            <w:tcW w:w="5398" w:type="dxa"/>
          </w:tcPr>
          <w:p w14:paraId="5F2C6CED" w14:textId="77777777" w:rsidR="00747ACF" w:rsidRDefault="00747ACF">
            <w:pPr>
              <w:spacing w:line="276" w:lineRule="auto"/>
              <w:jc w:val="center"/>
              <w:rPr>
                <w:rFonts w:ascii="Arial" w:eastAsia="Arial" w:hAnsi="Arial" w:cs="Arial"/>
                <w:sz w:val="22"/>
                <w:szCs w:val="22"/>
              </w:rPr>
            </w:pPr>
          </w:p>
        </w:tc>
        <w:tc>
          <w:tcPr>
            <w:tcW w:w="2551" w:type="dxa"/>
          </w:tcPr>
          <w:p w14:paraId="465BB67C" w14:textId="77777777" w:rsidR="00747ACF" w:rsidRDefault="00747ACF">
            <w:pPr>
              <w:spacing w:line="276" w:lineRule="auto"/>
              <w:jc w:val="center"/>
              <w:rPr>
                <w:rFonts w:ascii="Arial" w:eastAsia="Arial" w:hAnsi="Arial" w:cs="Arial"/>
                <w:sz w:val="22"/>
                <w:szCs w:val="22"/>
              </w:rPr>
            </w:pPr>
          </w:p>
        </w:tc>
      </w:tr>
    </w:tbl>
    <w:p w14:paraId="5D4232A7" w14:textId="77777777" w:rsidR="00747ACF" w:rsidRDefault="00747ACF"/>
    <w:p w14:paraId="4F9E1A8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6D133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74B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F6A0B9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24C19A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817F3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EFAA03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FE0A3F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7FFE41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DF508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822228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092EE0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FC1843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DFA026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B3A195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EEAA07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1B56E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5E22CB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0DB57C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9C3569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5DCDA6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4B2B60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6FEB90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50D5D7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CC79E3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10D3A6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385A75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9721B2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88CA3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FC25D0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E7870B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D88469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009C8B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26683A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D56FB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42B955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0D575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II</w:t>
      </w:r>
    </w:p>
    <w:p w14:paraId="75DB8C0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Serviços de Administração de Recursos decorrentes de Cobrança de Terceiros e Outras Avenças Nº </w:t>
      </w:r>
      <w:r>
        <w:rPr>
          <w:rFonts w:ascii="Arial" w:eastAsia="Arial" w:hAnsi="Arial" w:cs="Arial"/>
          <w:b/>
          <w:sz w:val="22"/>
          <w:szCs w:val="22"/>
          <w:highlight w:val="yellow"/>
        </w:rPr>
        <w:t>[]</w:t>
      </w:r>
    </w:p>
    <w:p w14:paraId="0298AF7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68FE22A"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48E423C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 xml:space="preserve">Data da última atualização: </w:t>
      </w:r>
      <w:r>
        <w:rPr>
          <w:rFonts w:ascii="Arial" w:eastAsia="Arial" w:hAnsi="Arial" w:cs="Arial"/>
          <w:sz w:val="22"/>
          <w:szCs w:val="22"/>
          <w:highlight w:val="yellow"/>
        </w:rPr>
        <w:t>xx/xx/xxxx</w:t>
      </w:r>
    </w:p>
    <w:p w14:paraId="733C59F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14:paraId="67E4609B" w14:textId="77777777">
        <w:trPr>
          <w:trHeight w:val="280"/>
          <w:jc w:val="center"/>
        </w:trPr>
        <w:tc>
          <w:tcPr>
            <w:tcW w:w="485" w:type="dxa"/>
          </w:tcPr>
          <w:p w14:paraId="6D540AB5"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lastRenderedPageBreak/>
              <w:t>#</w:t>
            </w:r>
          </w:p>
        </w:tc>
        <w:tc>
          <w:tcPr>
            <w:tcW w:w="2249" w:type="dxa"/>
            <w:shd w:val="clear" w:color="auto" w:fill="auto"/>
            <w:tcMar>
              <w:top w:w="0" w:type="dxa"/>
              <w:left w:w="108" w:type="dxa"/>
              <w:bottom w:w="0" w:type="dxa"/>
              <w:right w:w="108" w:type="dxa"/>
            </w:tcMar>
          </w:tcPr>
          <w:p w14:paraId="4C2BA196"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tc>
        <w:tc>
          <w:tcPr>
            <w:tcW w:w="1270" w:type="dxa"/>
          </w:tcPr>
          <w:p w14:paraId="40E2DD9F"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Agência</w:t>
            </w:r>
          </w:p>
        </w:tc>
        <w:tc>
          <w:tcPr>
            <w:tcW w:w="1281" w:type="dxa"/>
            <w:shd w:val="clear" w:color="auto" w:fill="auto"/>
            <w:tcMar>
              <w:top w:w="0" w:type="dxa"/>
              <w:left w:w="108" w:type="dxa"/>
              <w:bottom w:w="0" w:type="dxa"/>
              <w:right w:w="108" w:type="dxa"/>
            </w:tcMar>
          </w:tcPr>
          <w:p w14:paraId="5A5CE657"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75" w:type="dxa"/>
          </w:tcPr>
          <w:p w14:paraId="38FD7FAE"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541" w:type="dxa"/>
          </w:tcPr>
          <w:p w14:paraId="70181B83"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747ACF" w14:paraId="6CD6EBF8" w14:textId="77777777">
        <w:trPr>
          <w:trHeight w:val="100"/>
          <w:jc w:val="center"/>
        </w:trPr>
        <w:tc>
          <w:tcPr>
            <w:tcW w:w="485" w:type="dxa"/>
          </w:tcPr>
          <w:p w14:paraId="3F5B096D"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49" w:type="dxa"/>
            <w:shd w:val="clear" w:color="auto" w:fill="auto"/>
            <w:tcMar>
              <w:top w:w="0" w:type="dxa"/>
              <w:left w:w="108" w:type="dxa"/>
              <w:bottom w:w="0" w:type="dxa"/>
              <w:right w:w="108" w:type="dxa"/>
            </w:tcMar>
          </w:tcPr>
          <w:p w14:paraId="228582C0"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tc>
        <w:tc>
          <w:tcPr>
            <w:tcW w:w="1270" w:type="dxa"/>
          </w:tcPr>
          <w:p w14:paraId="76F5C5A8"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tc>
        <w:tc>
          <w:tcPr>
            <w:tcW w:w="1281" w:type="dxa"/>
            <w:shd w:val="clear" w:color="auto" w:fill="auto"/>
            <w:tcMar>
              <w:top w:w="0" w:type="dxa"/>
              <w:left w:w="108" w:type="dxa"/>
              <w:bottom w:w="0" w:type="dxa"/>
              <w:right w:w="108" w:type="dxa"/>
            </w:tcMar>
          </w:tcPr>
          <w:p w14:paraId="4DACA9ED"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tc>
        <w:tc>
          <w:tcPr>
            <w:tcW w:w="2375" w:type="dxa"/>
          </w:tcPr>
          <w:p w14:paraId="73FFD883"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2541" w:type="dxa"/>
          </w:tcPr>
          <w:p w14:paraId="39221D9D"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tc>
      </w:tr>
    </w:tbl>
    <w:p w14:paraId="0C27846E" w14:textId="77777777" w:rsidR="00747ACF" w:rsidRDefault="00747ACF">
      <w:pPr>
        <w:rPr>
          <w:rFonts w:ascii="Arial" w:eastAsia="Arial" w:hAnsi="Arial" w:cs="Arial"/>
          <w:sz w:val="22"/>
          <w:szCs w:val="22"/>
        </w:rPr>
      </w:pPr>
    </w:p>
    <w:p w14:paraId="631022D6" w14:textId="77777777" w:rsidR="00747ACF" w:rsidRDefault="00747ACF"/>
    <w:p w14:paraId="7D155264" w14:textId="77777777" w:rsidR="00747ACF" w:rsidRDefault="00747ACF">
      <w:pPr>
        <w:widowControl w:val="0"/>
        <w:spacing w:line="276" w:lineRule="auto"/>
        <w:jc w:val="center"/>
      </w:pPr>
    </w:p>
    <w:p w14:paraId="3606C0B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C1AEB3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FBF720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sectPr w:rsidR="00747ACF">
      <w:headerReference w:type="default" r:id="rId9"/>
      <w:footerReference w:type="default" r:id="rId10"/>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2161" w14:textId="77777777" w:rsidR="00584626" w:rsidRDefault="00584626">
      <w:r>
        <w:separator/>
      </w:r>
    </w:p>
  </w:endnote>
  <w:endnote w:type="continuationSeparator" w:id="0">
    <w:p w14:paraId="7B978675" w14:textId="77777777" w:rsidR="00584626" w:rsidRDefault="005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389E" w14:textId="77777777" w:rsidR="00584626" w:rsidRDefault="00584626">
      <w:r>
        <w:separator/>
      </w:r>
    </w:p>
  </w:footnote>
  <w:footnote w:type="continuationSeparator" w:id="0">
    <w:p w14:paraId="5D7385F8" w14:textId="77777777" w:rsidR="00584626" w:rsidRDefault="0058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4BE7BBA"/>
    <w:multiLevelType w:val="multilevel"/>
    <w:tmpl w:val="A49453B2"/>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8"/>
  </w:num>
  <w:num w:numId="2" w16cid:durableId="575482560">
    <w:abstractNumId w:val="6"/>
  </w:num>
  <w:num w:numId="3" w16cid:durableId="524905311">
    <w:abstractNumId w:val="2"/>
  </w:num>
  <w:num w:numId="4" w16cid:durableId="1355616261">
    <w:abstractNumId w:val="14"/>
  </w:num>
  <w:num w:numId="5" w16cid:durableId="1014235433">
    <w:abstractNumId w:val="3"/>
  </w:num>
  <w:num w:numId="6" w16cid:durableId="30113632">
    <w:abstractNumId w:val="10"/>
  </w:num>
  <w:num w:numId="7" w16cid:durableId="1352104958">
    <w:abstractNumId w:val="13"/>
  </w:num>
  <w:num w:numId="8" w16cid:durableId="1491797265">
    <w:abstractNumId w:val="7"/>
  </w:num>
  <w:num w:numId="9" w16cid:durableId="2112236370">
    <w:abstractNumId w:val="12"/>
  </w:num>
  <w:num w:numId="10" w16cid:durableId="976422734">
    <w:abstractNumId w:val="11"/>
  </w:num>
  <w:num w:numId="11" w16cid:durableId="2015302499">
    <w:abstractNumId w:val="9"/>
  </w:num>
  <w:num w:numId="12" w16cid:durableId="853961696">
    <w:abstractNumId w:val="4"/>
  </w:num>
  <w:num w:numId="13" w16cid:durableId="1671788698">
    <w:abstractNumId w:val="5"/>
  </w:num>
  <w:num w:numId="14" w16cid:durableId="982780993">
    <w:abstractNumId w:val="1"/>
  </w:num>
  <w:num w:numId="15" w16cid:durableId="211918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304102"/>
    <w:rsid w:val="0031623F"/>
    <w:rsid w:val="00584626"/>
    <w:rsid w:val="00747ACF"/>
    <w:rsid w:val="00A36869"/>
    <w:rsid w:val="00AA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itech.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6212</Words>
  <Characters>33548</Characters>
  <Application>Microsoft Office Word</Application>
  <DocSecurity>0</DocSecurity>
  <Lines>279</Lines>
  <Paragraphs>79</Paragraphs>
  <ScaleCrop>false</ScaleCrop>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Valquiria Matsui | QI Tech</cp:lastModifiedBy>
  <cp:revision>4</cp:revision>
  <dcterms:created xsi:type="dcterms:W3CDTF">2020-05-18T15:59:00Z</dcterms:created>
  <dcterms:modified xsi:type="dcterms:W3CDTF">2022-04-14T18:49:00Z</dcterms:modified>
</cp:coreProperties>
</file>