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7C" w:rsidRDefault="0028167C" w:rsidP="0028167C">
      <w:pPr>
        <w:spacing w:line="320" w:lineRule="exact"/>
        <w:jc w:val="center"/>
        <w:rPr>
          <w:rFonts w:ascii="Verdana" w:hAnsi="Verdana"/>
          <w:b/>
          <w:sz w:val="20"/>
          <w:szCs w:val="20"/>
        </w:rPr>
      </w:pPr>
      <w:r w:rsidRPr="004211CD">
        <w:rPr>
          <w:rFonts w:ascii="Verdana" w:hAnsi="Verdana"/>
          <w:b/>
          <w:sz w:val="20"/>
          <w:szCs w:val="20"/>
        </w:rPr>
        <w:t>ODEBRECHT S.A.</w:t>
      </w:r>
      <w:r>
        <w:rPr>
          <w:rFonts w:ascii="Verdana" w:hAnsi="Verdana"/>
          <w:b/>
          <w:sz w:val="20"/>
          <w:szCs w:val="20"/>
        </w:rPr>
        <w:t xml:space="preserve"> - </w:t>
      </w:r>
      <w:r w:rsidRPr="00B216E5">
        <w:rPr>
          <w:rFonts w:ascii="Verdana" w:hAnsi="Verdana"/>
          <w:b/>
          <w:sz w:val="20"/>
          <w:szCs w:val="20"/>
        </w:rPr>
        <w:t>EM RECUPERAÇÃO JUDICIAL</w:t>
      </w:r>
    </w:p>
    <w:p w:rsidR="0028167C" w:rsidRPr="004211CD" w:rsidRDefault="0028167C" w:rsidP="0028167C">
      <w:pPr>
        <w:spacing w:line="320" w:lineRule="exact"/>
        <w:jc w:val="center"/>
        <w:rPr>
          <w:rFonts w:ascii="Verdana" w:hAnsi="Verdana"/>
          <w:sz w:val="20"/>
          <w:szCs w:val="20"/>
        </w:rPr>
      </w:pPr>
      <w:r w:rsidRPr="004211CD">
        <w:rPr>
          <w:rFonts w:ascii="Verdana" w:hAnsi="Verdana"/>
          <w:sz w:val="20"/>
          <w:szCs w:val="20"/>
        </w:rPr>
        <w:t>NIRE 29300025593</w:t>
      </w:r>
    </w:p>
    <w:p w:rsidR="0028167C" w:rsidRPr="004211CD" w:rsidRDefault="0028167C" w:rsidP="0028167C">
      <w:pPr>
        <w:spacing w:line="320" w:lineRule="exact"/>
        <w:jc w:val="center"/>
        <w:rPr>
          <w:rFonts w:ascii="Verdana" w:hAnsi="Verdana"/>
          <w:sz w:val="20"/>
          <w:szCs w:val="20"/>
        </w:rPr>
      </w:pPr>
      <w:r w:rsidRPr="004211CD">
        <w:rPr>
          <w:rFonts w:ascii="Verdana" w:hAnsi="Verdana"/>
          <w:sz w:val="20"/>
          <w:szCs w:val="20"/>
        </w:rPr>
        <w:t>CNPJ/MF 05.144.757/0001-72</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spacing w:line="320" w:lineRule="exact"/>
        <w:jc w:val="both"/>
        <w:rPr>
          <w:rFonts w:ascii="Verdana" w:hAnsi="Verdana"/>
          <w:b/>
          <w:sz w:val="20"/>
          <w:szCs w:val="20"/>
        </w:rPr>
      </w:pPr>
      <w:r w:rsidRPr="004211CD">
        <w:rPr>
          <w:rFonts w:ascii="Verdana" w:hAnsi="Verdana"/>
          <w:b/>
          <w:sz w:val="20"/>
          <w:szCs w:val="20"/>
        </w:rPr>
        <w:t xml:space="preserve">ATA DA ASSEMBLEIA GERAL DE DEBENTURISTAS DA PRIMEIRA (1ª) EMISSÃO DE DEBÊNTURES SIMPLES, NÃO CONVERSÍVEIS EM AÇÕES, EM DUAS SÉRIES, PARA DISTRIBUIÇÃO PÚBLICA COM ESFORÇOS RESTRITOS DE DISTRIBUIÇÃO, DA ESPÉCIE COM GARANTIA REAL DA ODEBRECHT S.A., REALIZADA EM </w:t>
      </w:r>
      <w:r w:rsidR="00DE2C6A">
        <w:rPr>
          <w:rFonts w:ascii="Verdana" w:hAnsi="Verdana"/>
          <w:b/>
          <w:sz w:val="20"/>
          <w:szCs w:val="20"/>
        </w:rPr>
        <w:t>26 DE DEZEMBRO DE 2019</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autoSpaceDE/>
        <w:autoSpaceDN/>
        <w:adjustRightInd/>
        <w:spacing w:line="320" w:lineRule="exact"/>
        <w:jc w:val="both"/>
        <w:rPr>
          <w:rFonts w:ascii="Verdana" w:hAnsi="Verdana"/>
          <w:sz w:val="20"/>
          <w:szCs w:val="20"/>
        </w:rPr>
      </w:pPr>
      <w:r w:rsidRPr="004211CD">
        <w:rPr>
          <w:rFonts w:ascii="Verdana" w:hAnsi="Verdana"/>
          <w:b/>
          <w:sz w:val="20"/>
          <w:szCs w:val="20"/>
        </w:rPr>
        <w:t>1. Local, Data e Hora:</w:t>
      </w:r>
      <w:r w:rsidRPr="004211CD">
        <w:rPr>
          <w:rFonts w:ascii="Verdana" w:hAnsi="Verdana"/>
          <w:sz w:val="20"/>
          <w:szCs w:val="20"/>
        </w:rPr>
        <w:t xml:space="preserve"> </w:t>
      </w:r>
      <w:r w:rsidR="00DE2C6A">
        <w:rPr>
          <w:rFonts w:ascii="Verdana" w:hAnsi="Verdana"/>
          <w:sz w:val="20"/>
          <w:szCs w:val="20"/>
        </w:rPr>
        <w:t>26 de dezembro de 2019</w:t>
      </w:r>
      <w:r w:rsidRPr="004211CD">
        <w:rPr>
          <w:rFonts w:ascii="Verdana" w:hAnsi="Verdana"/>
          <w:sz w:val="20"/>
          <w:szCs w:val="20"/>
        </w:rPr>
        <w:t xml:space="preserve">, às </w:t>
      </w:r>
      <w:r>
        <w:rPr>
          <w:rFonts w:ascii="Verdana" w:hAnsi="Verdana"/>
          <w:sz w:val="20"/>
          <w:szCs w:val="20"/>
        </w:rPr>
        <w:t>1</w:t>
      </w:r>
      <w:r w:rsidR="00DE2C6A">
        <w:rPr>
          <w:rFonts w:ascii="Verdana" w:hAnsi="Verdana"/>
          <w:sz w:val="20"/>
          <w:szCs w:val="20"/>
        </w:rPr>
        <w:t>1</w:t>
      </w:r>
      <w:r w:rsidRPr="004211CD">
        <w:rPr>
          <w:rFonts w:ascii="Verdana" w:hAnsi="Verdana"/>
          <w:sz w:val="20"/>
          <w:szCs w:val="20"/>
        </w:rPr>
        <w:t>:</w:t>
      </w:r>
      <w:r w:rsidR="00DE2C6A">
        <w:rPr>
          <w:rFonts w:ascii="Verdana" w:hAnsi="Verdana"/>
          <w:sz w:val="20"/>
          <w:szCs w:val="20"/>
        </w:rPr>
        <w:t>3</w:t>
      </w:r>
      <w:r w:rsidRPr="004211CD">
        <w:rPr>
          <w:rFonts w:ascii="Verdana" w:hAnsi="Verdana"/>
          <w:sz w:val="20"/>
          <w:szCs w:val="20"/>
        </w:rPr>
        <w:t>0 horas, n</w:t>
      </w:r>
      <w:r>
        <w:rPr>
          <w:rFonts w:ascii="Verdana" w:hAnsi="Verdana"/>
          <w:sz w:val="20"/>
          <w:szCs w:val="20"/>
        </w:rPr>
        <w:t>o</w:t>
      </w:r>
      <w:r w:rsidRPr="004211CD">
        <w:rPr>
          <w:rFonts w:ascii="Verdana" w:hAnsi="Verdana"/>
          <w:sz w:val="20"/>
          <w:szCs w:val="20"/>
        </w:rPr>
        <w:t xml:space="preserve"> </w:t>
      </w:r>
      <w:r>
        <w:rPr>
          <w:rFonts w:ascii="Verdana" w:hAnsi="Verdana"/>
          <w:sz w:val="20"/>
          <w:szCs w:val="20"/>
        </w:rPr>
        <w:t>Escritório</w:t>
      </w:r>
      <w:r w:rsidRPr="004211CD">
        <w:rPr>
          <w:rFonts w:ascii="Verdana" w:hAnsi="Verdana"/>
          <w:sz w:val="20"/>
          <w:szCs w:val="20"/>
        </w:rPr>
        <w:t xml:space="preserve"> da Simplific </w:t>
      </w:r>
      <w:proofErr w:type="spellStart"/>
      <w:r w:rsidRPr="004211CD">
        <w:rPr>
          <w:rFonts w:ascii="Verdana" w:hAnsi="Verdana"/>
          <w:sz w:val="20"/>
          <w:szCs w:val="20"/>
        </w:rPr>
        <w:t>Pavarini</w:t>
      </w:r>
      <w:proofErr w:type="spellEnd"/>
      <w:r w:rsidRPr="004211CD">
        <w:rPr>
          <w:rFonts w:ascii="Verdana" w:hAnsi="Verdana"/>
          <w:sz w:val="20"/>
          <w:szCs w:val="20"/>
        </w:rPr>
        <w:t xml:space="preserve"> Distribuidora de Títulos e Valores Mobiliários Ltda. (“</w:t>
      </w:r>
      <w:r w:rsidRPr="004211CD">
        <w:rPr>
          <w:rFonts w:ascii="Verdana" w:hAnsi="Verdana"/>
          <w:sz w:val="20"/>
          <w:szCs w:val="20"/>
          <w:u w:val="single"/>
        </w:rPr>
        <w:t>Agente Fiduciário</w:t>
      </w:r>
      <w:r w:rsidRPr="004211CD">
        <w:rPr>
          <w:rFonts w:ascii="Verdana" w:hAnsi="Verdana"/>
          <w:sz w:val="20"/>
          <w:szCs w:val="20"/>
        </w:rPr>
        <w:t>”) localizada na Rua Joaquim Floriano, 466, São Paulo/SP, CEP: 04534-002.</w:t>
      </w:r>
    </w:p>
    <w:p w:rsidR="0028167C" w:rsidRPr="004211CD" w:rsidRDefault="0028167C" w:rsidP="0028167C">
      <w:pPr>
        <w:spacing w:line="320" w:lineRule="exact"/>
        <w:jc w:val="both"/>
        <w:rPr>
          <w:rFonts w:ascii="Verdana" w:hAnsi="Verdana"/>
          <w:sz w:val="20"/>
          <w:szCs w:val="20"/>
        </w:rPr>
      </w:pPr>
    </w:p>
    <w:p w:rsidR="0028167C" w:rsidRDefault="0028167C" w:rsidP="0028167C">
      <w:pPr>
        <w:spacing w:line="320" w:lineRule="exact"/>
        <w:jc w:val="both"/>
        <w:rPr>
          <w:rFonts w:ascii="Verdana" w:hAnsi="Verdana"/>
          <w:sz w:val="20"/>
          <w:szCs w:val="20"/>
        </w:rPr>
      </w:pPr>
      <w:r w:rsidRPr="004211CD">
        <w:rPr>
          <w:rFonts w:ascii="Verdana" w:hAnsi="Verdana"/>
          <w:b/>
          <w:sz w:val="20"/>
          <w:szCs w:val="20"/>
        </w:rPr>
        <w:t>2. Convocação:</w:t>
      </w:r>
      <w:r w:rsidRPr="004211CD">
        <w:rPr>
          <w:rFonts w:ascii="Verdana" w:hAnsi="Verdana"/>
          <w:sz w:val="20"/>
          <w:szCs w:val="20"/>
        </w:rPr>
        <w:t xml:space="preserve"> conforme previsto nos artigos 71 e 124, parágrafo 4.º, da Lei n.º 6.404, de 15 de dezembro de 1976, conforme alterada</w:t>
      </w:r>
      <w:r>
        <w:rPr>
          <w:rFonts w:ascii="Verdana" w:hAnsi="Verdana"/>
          <w:sz w:val="20"/>
          <w:szCs w:val="20"/>
        </w:rPr>
        <w:t xml:space="preserve"> (“</w:t>
      </w:r>
      <w:r w:rsidRPr="00B216E5">
        <w:rPr>
          <w:rFonts w:ascii="Verdana" w:hAnsi="Verdana"/>
          <w:sz w:val="20"/>
          <w:szCs w:val="20"/>
          <w:u w:val="single"/>
        </w:rPr>
        <w:t>Lei das Sociedades por Ações</w:t>
      </w:r>
      <w:r>
        <w:rPr>
          <w:rFonts w:ascii="Verdana" w:hAnsi="Verdana"/>
          <w:sz w:val="20"/>
          <w:szCs w:val="20"/>
        </w:rPr>
        <w:t>”)</w:t>
      </w:r>
      <w:r w:rsidRPr="004211CD">
        <w:rPr>
          <w:rFonts w:ascii="Verdana" w:hAnsi="Verdana"/>
          <w:sz w:val="20"/>
          <w:szCs w:val="20"/>
        </w:rPr>
        <w:t>, foi dispensada a convocação por edital, visto estarem presentes os titulares da totalidade das Debêntures (conforme definido abaixo) em circulação (“</w:t>
      </w:r>
      <w:r w:rsidRPr="004211CD">
        <w:rPr>
          <w:rFonts w:ascii="Verdana" w:hAnsi="Verdana"/>
          <w:sz w:val="20"/>
          <w:szCs w:val="20"/>
          <w:u w:val="single"/>
        </w:rPr>
        <w:t>Debenturistas</w:t>
      </w:r>
      <w:r w:rsidRPr="004211CD">
        <w:rPr>
          <w:rFonts w:ascii="Verdana" w:hAnsi="Verdana"/>
          <w:sz w:val="20"/>
          <w:szCs w:val="20"/>
        </w:rPr>
        <w:t xml:space="preserve">”) da primeira emissão de debêntures simples, não conversíveis em ações, em duas séries, para distribuição pública com esforços restritos de distribuição, da espécie com garantia real da </w:t>
      </w:r>
      <w:r>
        <w:rPr>
          <w:rFonts w:ascii="Verdana" w:hAnsi="Verdana"/>
          <w:sz w:val="20"/>
          <w:szCs w:val="20"/>
        </w:rPr>
        <w:t>Odebrecht S.A. – Em Recuperação Judicial (“</w:t>
      </w:r>
      <w:r w:rsidRPr="005938F2">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w:t>
      </w:r>
      <w:r w:rsidRPr="004211CD">
        <w:rPr>
          <w:rFonts w:ascii="Verdana" w:hAnsi="Verdana"/>
          <w:sz w:val="20"/>
          <w:szCs w:val="20"/>
        </w:rPr>
        <w:t xml:space="preserve"> </w:t>
      </w:r>
      <w:r>
        <w:rPr>
          <w:rFonts w:ascii="Verdana" w:hAnsi="Verdana"/>
          <w:sz w:val="20"/>
          <w:szCs w:val="20"/>
        </w:rPr>
        <w:t xml:space="preserve">e </w:t>
      </w:r>
      <w:r w:rsidRPr="004211CD">
        <w:rPr>
          <w:rFonts w:ascii="Verdana" w:hAnsi="Verdana"/>
          <w:sz w:val="20"/>
          <w:szCs w:val="20"/>
        </w:rPr>
        <w:t>“</w:t>
      </w:r>
      <w:r w:rsidRPr="004211CD">
        <w:rPr>
          <w:rFonts w:ascii="Verdana" w:hAnsi="Verdana"/>
          <w:sz w:val="20"/>
          <w:szCs w:val="20"/>
          <w:u w:val="single"/>
        </w:rPr>
        <w:t>Emissão</w:t>
      </w:r>
      <w:r w:rsidRPr="004211CD">
        <w:rPr>
          <w:rFonts w:ascii="Verdana" w:hAnsi="Verdana"/>
          <w:sz w:val="20"/>
          <w:szCs w:val="20"/>
        </w:rPr>
        <w:t>”</w:t>
      </w:r>
      <w:r>
        <w:rPr>
          <w:rFonts w:ascii="Verdana" w:hAnsi="Verdana"/>
          <w:sz w:val="20"/>
          <w:szCs w:val="20"/>
        </w:rPr>
        <w:t>, respectivamente</w:t>
      </w:r>
      <w:r w:rsidRPr="004211CD">
        <w:rPr>
          <w:rFonts w:ascii="Verdana" w:hAnsi="Verdana"/>
          <w:sz w:val="20"/>
          <w:szCs w:val="20"/>
        </w:rPr>
        <w:t>), de acordo com o previsto na Cláusula 9.1 (</w:t>
      </w:r>
      <w:proofErr w:type="spellStart"/>
      <w:r w:rsidRPr="004211CD">
        <w:rPr>
          <w:rFonts w:ascii="Verdana" w:hAnsi="Verdana"/>
          <w:sz w:val="20"/>
          <w:szCs w:val="20"/>
        </w:rPr>
        <w:t>ii</w:t>
      </w:r>
      <w:proofErr w:type="spellEnd"/>
      <w:r w:rsidRPr="004211CD">
        <w:rPr>
          <w:rFonts w:ascii="Verdana" w:hAnsi="Verdana"/>
          <w:sz w:val="20"/>
          <w:szCs w:val="20"/>
        </w:rPr>
        <w:t>) da Escritura de Emissão (conforme definido abaixo).</w:t>
      </w:r>
    </w:p>
    <w:p w:rsidR="0028167C" w:rsidRPr="004211CD" w:rsidRDefault="0028167C" w:rsidP="0028167C">
      <w:pPr>
        <w:spacing w:line="320" w:lineRule="exact"/>
        <w:jc w:val="both"/>
        <w:rPr>
          <w:rFonts w:ascii="Verdana" w:hAnsi="Verdana"/>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sz w:val="20"/>
          <w:szCs w:val="20"/>
        </w:rPr>
        <w:t>Para os fins desta assembleia, “</w:t>
      </w:r>
      <w:r w:rsidRPr="004211CD">
        <w:rPr>
          <w:rFonts w:ascii="Verdana" w:hAnsi="Verdana"/>
          <w:sz w:val="20"/>
          <w:szCs w:val="20"/>
          <w:u w:val="single"/>
        </w:rPr>
        <w:t>Debêntures</w:t>
      </w:r>
      <w:r w:rsidRPr="004211CD">
        <w:rPr>
          <w:rFonts w:ascii="Verdana" w:hAnsi="Verdana"/>
          <w:sz w:val="20"/>
          <w:szCs w:val="20"/>
        </w:rPr>
        <w:t>” significam as debêntures</w:t>
      </w:r>
      <w:r>
        <w:rPr>
          <w:rFonts w:ascii="Verdana" w:hAnsi="Verdana"/>
          <w:sz w:val="20"/>
          <w:szCs w:val="20"/>
        </w:rPr>
        <w:t xml:space="preserve"> da 1ª e 2ª séries</w:t>
      </w:r>
      <w:r w:rsidRPr="004211CD">
        <w:rPr>
          <w:rFonts w:ascii="Verdana" w:hAnsi="Verdana"/>
          <w:sz w:val="20"/>
          <w:szCs w:val="20"/>
        </w:rPr>
        <w:t xml:space="preserve"> emitidas nos termos do Instrumento Particular de Escritura da 1ª (Primeira) Emissão de Debêntures Simples, Não Conversíveis em Ações, em Duas Séries, para Distribuição Pública com Esforços Restritos de Distribuição, da Espécie com Garantia Real celebrada em 28 de novembro de 2017, conforme aditada (“</w:t>
      </w:r>
      <w:r w:rsidRPr="004211CD">
        <w:rPr>
          <w:rFonts w:ascii="Verdana" w:hAnsi="Verdana"/>
          <w:sz w:val="20"/>
          <w:szCs w:val="20"/>
          <w:u w:val="single"/>
        </w:rPr>
        <w:t>Escritura de Emissão</w:t>
      </w:r>
      <w:r w:rsidRPr="004211CD">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b/>
          <w:sz w:val="20"/>
          <w:szCs w:val="20"/>
        </w:rPr>
        <w:t>3. Presença:</w:t>
      </w:r>
      <w:r w:rsidRPr="004211CD">
        <w:rPr>
          <w:rFonts w:ascii="Verdana" w:hAnsi="Verdana"/>
          <w:sz w:val="20"/>
          <w:szCs w:val="20"/>
        </w:rPr>
        <w:t xml:space="preserve"> nos termos da Cláusula 9.1 (</w:t>
      </w:r>
      <w:proofErr w:type="spellStart"/>
      <w:r w:rsidRPr="004211CD">
        <w:rPr>
          <w:rFonts w:ascii="Verdana" w:hAnsi="Verdana"/>
          <w:sz w:val="20"/>
          <w:szCs w:val="20"/>
        </w:rPr>
        <w:t>ii</w:t>
      </w:r>
      <w:proofErr w:type="spellEnd"/>
      <w:r w:rsidRPr="004211CD">
        <w:rPr>
          <w:rFonts w:ascii="Verdana" w:hAnsi="Verdana"/>
          <w:sz w:val="20"/>
          <w:szCs w:val="20"/>
        </w:rPr>
        <w:t xml:space="preserve">) da Escritura de Emissão, estão presentes (i) representantes dos Debenturistas representando a totalidade das Debêntures da Primeira Série em circulação e a totalidade das Debêntures da Segunda Série em circulação, conforme </w:t>
      </w:r>
      <w:r w:rsidRPr="007F207E">
        <w:rPr>
          <w:rFonts w:ascii="Verdana" w:hAnsi="Verdana"/>
          <w:sz w:val="20"/>
          <w:szCs w:val="20"/>
        </w:rPr>
        <w:t>se atesta pela assinatura dos presentes nesta ata</w:t>
      </w:r>
      <w:r>
        <w:rPr>
          <w:rFonts w:ascii="Verdana" w:hAnsi="Verdana"/>
          <w:sz w:val="20"/>
          <w:szCs w:val="20"/>
        </w:rPr>
        <w:t xml:space="preserve">; </w:t>
      </w:r>
      <w:r w:rsidRPr="004211CD">
        <w:rPr>
          <w:rFonts w:ascii="Verdana" w:hAnsi="Verdana"/>
          <w:sz w:val="20"/>
          <w:szCs w:val="20"/>
        </w:rPr>
        <w:t>(</w:t>
      </w:r>
      <w:proofErr w:type="spellStart"/>
      <w:r w:rsidRPr="004211CD">
        <w:rPr>
          <w:rFonts w:ascii="Verdana" w:hAnsi="Verdana"/>
          <w:sz w:val="20"/>
          <w:szCs w:val="20"/>
        </w:rPr>
        <w:t>ii</w:t>
      </w:r>
      <w:proofErr w:type="spellEnd"/>
      <w:r w:rsidRPr="004211CD">
        <w:rPr>
          <w:rFonts w:ascii="Verdana" w:hAnsi="Verdana"/>
          <w:sz w:val="20"/>
          <w:szCs w:val="20"/>
        </w:rPr>
        <w:t>)</w:t>
      </w:r>
      <w:r>
        <w:rPr>
          <w:rFonts w:ascii="Verdana" w:hAnsi="Verdana"/>
          <w:sz w:val="20"/>
          <w:szCs w:val="20"/>
        </w:rPr>
        <w:t> representante do Agente Fiduciário; e (</w:t>
      </w:r>
      <w:proofErr w:type="spellStart"/>
      <w:r>
        <w:rPr>
          <w:rFonts w:ascii="Verdana" w:hAnsi="Verdana"/>
          <w:sz w:val="20"/>
          <w:szCs w:val="20"/>
        </w:rPr>
        <w:t>iii</w:t>
      </w:r>
      <w:proofErr w:type="spellEnd"/>
      <w:r>
        <w:rPr>
          <w:rFonts w:ascii="Verdana" w:hAnsi="Verdana"/>
          <w:sz w:val="20"/>
          <w:szCs w:val="20"/>
        </w:rPr>
        <w:t>) representantes da Companhia, da OSP Investimentos S.A. – Em Recuperação Judicial (“</w:t>
      </w:r>
      <w:r>
        <w:rPr>
          <w:rFonts w:ascii="Verdana" w:hAnsi="Verdana"/>
          <w:sz w:val="20"/>
          <w:szCs w:val="20"/>
          <w:u w:val="single"/>
        </w:rPr>
        <w:t>OSP Investimentos</w:t>
      </w:r>
      <w:r>
        <w:rPr>
          <w:rFonts w:ascii="Verdana" w:hAnsi="Verdana"/>
          <w:sz w:val="20"/>
          <w:szCs w:val="20"/>
        </w:rPr>
        <w:t>”) e da Odebrecht Serviços e Participações S.A. – Em Recuperação Judicial (“</w:t>
      </w:r>
      <w:r>
        <w:rPr>
          <w:rFonts w:ascii="Verdana" w:hAnsi="Verdana"/>
          <w:sz w:val="20"/>
          <w:szCs w:val="20"/>
          <w:u w:val="single"/>
        </w:rPr>
        <w:t>OSP</w:t>
      </w:r>
      <w:r>
        <w:rPr>
          <w:rFonts w:ascii="Verdana" w:hAnsi="Verdana"/>
          <w:sz w:val="20"/>
          <w:szCs w:val="20"/>
        </w:rPr>
        <w:t>” e, em conjunto com a OSP Investimentos, as “</w:t>
      </w:r>
      <w:r>
        <w:rPr>
          <w:rFonts w:ascii="Verdana" w:hAnsi="Verdana"/>
          <w:sz w:val="20"/>
          <w:szCs w:val="20"/>
          <w:u w:val="single"/>
        </w:rPr>
        <w:t>Fiadoras</w:t>
      </w:r>
      <w:r>
        <w:rPr>
          <w:rFonts w:ascii="Verdana" w:hAnsi="Verdana"/>
          <w:sz w:val="20"/>
          <w:szCs w:val="20"/>
        </w:rPr>
        <w:t>”)</w:t>
      </w:r>
      <w:r w:rsidRPr="004211CD">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4211CD" w:rsidRDefault="0028167C" w:rsidP="0028167C">
      <w:pPr>
        <w:spacing w:line="320" w:lineRule="exact"/>
        <w:jc w:val="both"/>
        <w:rPr>
          <w:rFonts w:ascii="Verdana" w:hAnsi="Verdana"/>
          <w:sz w:val="20"/>
          <w:szCs w:val="20"/>
        </w:rPr>
      </w:pPr>
      <w:r w:rsidRPr="004211CD">
        <w:rPr>
          <w:rFonts w:ascii="Verdana" w:hAnsi="Verdana"/>
          <w:b/>
          <w:sz w:val="20"/>
          <w:szCs w:val="20"/>
        </w:rPr>
        <w:lastRenderedPageBreak/>
        <w:t>4. Composição da Mesa:</w:t>
      </w:r>
      <w:r w:rsidRPr="004211CD">
        <w:rPr>
          <w:rFonts w:ascii="Verdana" w:hAnsi="Verdana"/>
          <w:sz w:val="20"/>
          <w:szCs w:val="20"/>
        </w:rPr>
        <w:t xml:space="preserve"> os trabalhos foram presididos pelo Sr. </w:t>
      </w:r>
      <w:r w:rsidR="00D34163" w:rsidRPr="00D34163">
        <w:rPr>
          <w:rFonts w:ascii="Verdana" w:hAnsi="Verdana"/>
          <w:sz w:val="20"/>
          <w:szCs w:val="20"/>
        </w:rPr>
        <w:t>Eduardo Alves Franco Ferreira</w:t>
      </w:r>
      <w:r>
        <w:rPr>
          <w:rFonts w:ascii="Verdana" w:hAnsi="Verdana"/>
          <w:sz w:val="20"/>
          <w:szCs w:val="20"/>
        </w:rPr>
        <w:t xml:space="preserve"> </w:t>
      </w:r>
      <w:r w:rsidRPr="004211CD">
        <w:rPr>
          <w:rFonts w:ascii="Verdana" w:hAnsi="Verdana"/>
          <w:sz w:val="20"/>
          <w:szCs w:val="20"/>
        </w:rPr>
        <w:t>e secretariados pel</w:t>
      </w:r>
      <w:r>
        <w:rPr>
          <w:rFonts w:ascii="Verdana" w:hAnsi="Verdana"/>
          <w:sz w:val="20"/>
          <w:szCs w:val="20"/>
        </w:rPr>
        <w:t>o</w:t>
      </w:r>
      <w:r w:rsidRPr="004211CD">
        <w:rPr>
          <w:rFonts w:ascii="Verdana" w:hAnsi="Verdana"/>
          <w:sz w:val="20"/>
          <w:szCs w:val="20"/>
        </w:rPr>
        <w:t xml:space="preserve"> Sr. </w:t>
      </w:r>
      <w:r w:rsidR="008C1FCF">
        <w:rPr>
          <w:rFonts w:ascii="Verdana" w:hAnsi="Verdana"/>
          <w:sz w:val="20"/>
          <w:szCs w:val="20"/>
        </w:rPr>
        <w:t>Márcio de Oliveira</w:t>
      </w:r>
      <w:r w:rsidRPr="004211CD">
        <w:rPr>
          <w:rFonts w:ascii="Verdana" w:hAnsi="Verdana"/>
          <w:sz w:val="20"/>
          <w:szCs w:val="20"/>
        </w:rPr>
        <w:t xml:space="preserve">. </w:t>
      </w:r>
    </w:p>
    <w:p w:rsidR="0028167C" w:rsidRDefault="0028167C" w:rsidP="0028167C">
      <w:pPr>
        <w:spacing w:line="320" w:lineRule="exact"/>
        <w:jc w:val="both"/>
        <w:rPr>
          <w:rFonts w:ascii="Verdana" w:hAnsi="Verdana"/>
          <w:b/>
          <w:sz w:val="20"/>
          <w:szCs w:val="20"/>
        </w:rPr>
      </w:pPr>
    </w:p>
    <w:p w:rsidR="0028167C" w:rsidRDefault="0028167C" w:rsidP="0028167C">
      <w:pPr>
        <w:autoSpaceDE/>
        <w:autoSpaceDN/>
        <w:adjustRightInd/>
        <w:spacing w:line="320" w:lineRule="exact"/>
        <w:jc w:val="both"/>
        <w:rPr>
          <w:rFonts w:ascii="Verdana" w:hAnsi="Verdana"/>
          <w:sz w:val="20"/>
          <w:szCs w:val="20"/>
        </w:rPr>
      </w:pPr>
      <w:r w:rsidRPr="004211CD">
        <w:rPr>
          <w:rFonts w:ascii="Verdana" w:hAnsi="Verdana"/>
          <w:b/>
          <w:sz w:val="20"/>
          <w:szCs w:val="20"/>
        </w:rPr>
        <w:t>5. Ordem do Dia:</w:t>
      </w:r>
      <w:r w:rsidRPr="004211CD">
        <w:rPr>
          <w:rFonts w:ascii="Verdana" w:hAnsi="Verdana"/>
          <w:sz w:val="20"/>
          <w:szCs w:val="20"/>
        </w:rPr>
        <w:t xml:space="preserve"> </w:t>
      </w:r>
      <w:r w:rsidR="00620C5B" w:rsidRPr="00620C5B">
        <w:rPr>
          <w:rFonts w:ascii="Verdana" w:hAnsi="Verdana"/>
          <w:bCs/>
          <w:sz w:val="20"/>
          <w:szCs w:val="20"/>
        </w:rPr>
        <w:t>Em razão da solicitação encaminhada pela Emissora e Fiadoras na presente data, deliberar sobre as propostas de</w:t>
      </w:r>
      <w:r>
        <w:rPr>
          <w:rFonts w:ascii="Verdana" w:hAnsi="Verdana"/>
          <w:sz w:val="20"/>
          <w:szCs w:val="20"/>
        </w:rPr>
        <w:t>:</w:t>
      </w:r>
    </w:p>
    <w:p w:rsidR="0028167C" w:rsidRDefault="0028167C" w:rsidP="0028167C">
      <w:pPr>
        <w:autoSpaceDE/>
        <w:autoSpaceDN/>
        <w:adjustRightInd/>
        <w:spacing w:line="320" w:lineRule="exact"/>
        <w:jc w:val="both"/>
        <w:rPr>
          <w:rFonts w:ascii="Verdana" w:hAnsi="Verdana"/>
          <w:sz w:val="20"/>
          <w:szCs w:val="20"/>
        </w:rPr>
      </w:pPr>
    </w:p>
    <w:p w:rsidR="0028167C" w:rsidRDefault="0028167C" w:rsidP="0028167C">
      <w:pPr>
        <w:pStyle w:val="PargrafodaLista"/>
        <w:numPr>
          <w:ilvl w:val="0"/>
          <w:numId w:val="1"/>
        </w:numPr>
        <w:autoSpaceDE/>
        <w:autoSpaceDN/>
        <w:adjustRightInd/>
        <w:spacing w:line="320" w:lineRule="exact"/>
        <w:ind w:left="0" w:firstLine="0"/>
        <w:jc w:val="both"/>
        <w:rPr>
          <w:rFonts w:ascii="Verdana" w:hAnsi="Verdana"/>
          <w:sz w:val="20"/>
          <w:szCs w:val="20"/>
        </w:rPr>
      </w:pPr>
      <w:r w:rsidRPr="0028167C">
        <w:rPr>
          <w:rFonts w:ascii="Verdana" w:hAnsi="Verdana"/>
          <w:sz w:val="20"/>
          <w:szCs w:val="20"/>
        </w:rPr>
        <w:t>(a)</w:t>
      </w:r>
      <w:r w:rsidR="00620C5B">
        <w:rPr>
          <w:rFonts w:ascii="Verdana" w:hAnsi="Verdana"/>
          <w:sz w:val="20"/>
          <w:szCs w:val="20"/>
        </w:rPr>
        <w:t xml:space="preserve"> não realização do pagamento das Debêntures em decorrência da</w:t>
      </w:r>
      <w:r w:rsidRPr="0028167C">
        <w:rPr>
          <w:rFonts w:ascii="Verdana" w:hAnsi="Verdana"/>
          <w:sz w:val="20"/>
          <w:szCs w:val="20"/>
        </w:rPr>
        <w:t xml:space="preserve"> distribuição de dividendos da Braskem S.A. relativos ao ano fiscal encerrado em 3</w:t>
      </w:r>
      <w:r w:rsidR="006448D3">
        <w:rPr>
          <w:rFonts w:ascii="Verdana" w:hAnsi="Verdana"/>
          <w:sz w:val="20"/>
          <w:szCs w:val="20"/>
        </w:rPr>
        <w:t>1</w:t>
      </w:r>
      <w:r w:rsidRPr="0028167C">
        <w:rPr>
          <w:rFonts w:ascii="Verdana" w:hAnsi="Verdana"/>
          <w:sz w:val="20"/>
          <w:szCs w:val="20"/>
        </w:rPr>
        <w:t xml:space="preserve"> de dezembro de 2018 (“</w:t>
      </w:r>
      <w:r w:rsidRPr="0028167C">
        <w:rPr>
          <w:rFonts w:ascii="Verdana" w:hAnsi="Verdana"/>
          <w:sz w:val="20"/>
          <w:szCs w:val="20"/>
          <w:u w:val="single"/>
        </w:rPr>
        <w:t>Distribuição Braskem 2018</w:t>
      </w:r>
      <w:r w:rsidRPr="0028167C">
        <w:rPr>
          <w:rFonts w:ascii="Verdana" w:hAnsi="Verdana"/>
          <w:sz w:val="20"/>
          <w:szCs w:val="20"/>
        </w:rPr>
        <w:t>”</w:t>
      </w:r>
      <w:r w:rsidR="007720E8">
        <w:rPr>
          <w:rFonts w:ascii="Verdana" w:hAnsi="Verdana"/>
          <w:sz w:val="20"/>
          <w:szCs w:val="20"/>
        </w:rPr>
        <w:t>) mediante a suspensão d</w:t>
      </w:r>
      <w:r w:rsidR="007720E8" w:rsidRPr="0028167C">
        <w:rPr>
          <w:rFonts w:ascii="Verdana" w:hAnsi="Verdana"/>
          <w:sz w:val="20"/>
          <w:szCs w:val="20"/>
        </w:rPr>
        <w:t xml:space="preserve">a obrigação da Emissora e das Fiadoras de realizar o </w:t>
      </w:r>
      <w:r w:rsidR="007720E8">
        <w:rPr>
          <w:rFonts w:ascii="Verdana" w:hAnsi="Verdana"/>
          <w:sz w:val="20"/>
          <w:szCs w:val="20"/>
        </w:rPr>
        <w:t>pagamento da Cascata de Afetação dos Direitos Creditórios Ações Braskem</w:t>
      </w:r>
      <w:r w:rsidR="007720E8" w:rsidRPr="0028167C">
        <w:rPr>
          <w:rFonts w:ascii="Verdana" w:hAnsi="Verdana"/>
          <w:sz w:val="20"/>
          <w:szCs w:val="20"/>
        </w:rPr>
        <w:t xml:space="preserve">, conforme previsto na Cláusula </w:t>
      </w:r>
      <w:r w:rsidR="007720E8">
        <w:rPr>
          <w:rFonts w:ascii="Verdana" w:hAnsi="Verdana"/>
          <w:sz w:val="20"/>
          <w:szCs w:val="20"/>
        </w:rPr>
        <w:t>5.1</w:t>
      </w:r>
      <w:r w:rsidR="007720E8" w:rsidRPr="0028167C">
        <w:rPr>
          <w:rFonts w:ascii="Verdana" w:hAnsi="Verdana"/>
          <w:sz w:val="20"/>
          <w:szCs w:val="20"/>
        </w:rPr>
        <w:t xml:space="preserve"> d</w:t>
      </w:r>
      <w:r w:rsidR="007720E8">
        <w:rPr>
          <w:rFonts w:ascii="Verdana" w:hAnsi="Verdana"/>
          <w:sz w:val="20"/>
          <w:szCs w:val="20"/>
        </w:rPr>
        <w:t>o</w:t>
      </w:r>
      <w:r w:rsidR="007720E8" w:rsidRPr="0028167C">
        <w:rPr>
          <w:rFonts w:ascii="Verdana" w:hAnsi="Verdana"/>
          <w:sz w:val="20"/>
          <w:szCs w:val="20"/>
        </w:rPr>
        <w:t xml:space="preserve"> </w:t>
      </w:r>
      <w:r w:rsidR="007720E8">
        <w:rPr>
          <w:rFonts w:ascii="Verdana" w:hAnsi="Verdana"/>
          <w:sz w:val="20"/>
          <w:szCs w:val="20"/>
        </w:rPr>
        <w:t>Instrumento Particular de Contrato de Cessão Fiduciária de Bens e Ativos Financeiros em Garantia,</w:t>
      </w:r>
      <w:r w:rsidR="007720E8" w:rsidRPr="0028167C">
        <w:rPr>
          <w:rFonts w:ascii="Verdana" w:hAnsi="Verdana"/>
          <w:sz w:val="20"/>
          <w:szCs w:val="20"/>
        </w:rPr>
        <w:t xml:space="preserve"> até </w:t>
      </w:r>
      <w:r w:rsidR="00870A56">
        <w:rPr>
          <w:rFonts w:ascii="Verdana" w:hAnsi="Verdana"/>
          <w:sz w:val="20"/>
          <w:szCs w:val="20"/>
        </w:rPr>
        <w:t>19 de fevereiro</w:t>
      </w:r>
      <w:r w:rsidR="007720E8" w:rsidRPr="0028167C">
        <w:rPr>
          <w:rFonts w:ascii="Verdana" w:hAnsi="Verdana"/>
          <w:sz w:val="20"/>
          <w:szCs w:val="20"/>
        </w:rPr>
        <w:t xml:space="preserve"> de 2020</w:t>
      </w:r>
      <w:r w:rsidR="007720E8">
        <w:rPr>
          <w:rFonts w:ascii="Verdana" w:hAnsi="Verdana"/>
          <w:sz w:val="20"/>
          <w:szCs w:val="20"/>
        </w:rPr>
        <w:t xml:space="preserve"> (“</w:t>
      </w:r>
      <w:r w:rsidR="007720E8">
        <w:rPr>
          <w:rFonts w:ascii="Verdana" w:hAnsi="Verdana"/>
          <w:sz w:val="20"/>
          <w:szCs w:val="20"/>
          <w:u w:val="single"/>
        </w:rPr>
        <w:t>Data Limite</w:t>
      </w:r>
      <w:r w:rsidR="007720E8">
        <w:rPr>
          <w:rFonts w:ascii="Verdana" w:hAnsi="Verdana"/>
          <w:sz w:val="20"/>
          <w:szCs w:val="20"/>
        </w:rPr>
        <w:t>”)</w:t>
      </w:r>
      <w:r w:rsidR="007720E8" w:rsidRPr="0028167C">
        <w:rPr>
          <w:rFonts w:ascii="Verdana" w:hAnsi="Verdana"/>
          <w:sz w:val="20"/>
          <w:szCs w:val="20"/>
        </w:rPr>
        <w:t xml:space="preserve">, com relação aos recursos a serem recebidos pela </w:t>
      </w:r>
      <w:r w:rsidR="007720E8">
        <w:rPr>
          <w:rFonts w:ascii="Verdana" w:hAnsi="Verdana"/>
          <w:sz w:val="20"/>
          <w:szCs w:val="20"/>
        </w:rPr>
        <w:t>OSP Investimentos</w:t>
      </w:r>
      <w:r w:rsidR="007720E8" w:rsidRPr="0028167C">
        <w:rPr>
          <w:rFonts w:ascii="Verdana" w:hAnsi="Verdana"/>
          <w:sz w:val="20"/>
          <w:szCs w:val="20"/>
        </w:rPr>
        <w:t xml:space="preserve"> </w:t>
      </w:r>
      <w:r w:rsidR="007720E8">
        <w:rPr>
          <w:rFonts w:ascii="Verdana" w:hAnsi="Verdana"/>
          <w:sz w:val="20"/>
          <w:szCs w:val="20"/>
        </w:rPr>
        <w:t xml:space="preserve">referentes à Distribuição Braskem 2018, de modo que a totalidade dos recursos oriundos da Distribuição Braskem 2018 deverão permanecer retidos na </w:t>
      </w:r>
      <w:r w:rsidR="007720E8" w:rsidRPr="0028167C">
        <w:rPr>
          <w:rFonts w:ascii="Verdana" w:hAnsi="Verdana"/>
          <w:sz w:val="20"/>
          <w:szCs w:val="20"/>
        </w:rPr>
        <w:t>Conta Vinculada OSP da OSP Investimentos (conforme definido nos Contratos de Garantia)</w:t>
      </w:r>
      <w:r w:rsidR="007720E8">
        <w:rPr>
          <w:rFonts w:ascii="Verdana" w:hAnsi="Verdana"/>
          <w:sz w:val="20"/>
          <w:szCs w:val="20"/>
        </w:rPr>
        <w:t xml:space="preserve"> até a Data Limite</w:t>
      </w:r>
      <w:r w:rsidRPr="0028167C">
        <w:rPr>
          <w:rFonts w:ascii="Verdana" w:hAnsi="Verdana"/>
          <w:sz w:val="20"/>
          <w:szCs w:val="20"/>
        </w:rPr>
        <w:t xml:space="preserve">; e, por consequência, (b) </w:t>
      </w:r>
      <w:r w:rsidR="007720E8">
        <w:rPr>
          <w:rFonts w:ascii="Verdana" w:hAnsi="Verdana"/>
          <w:sz w:val="20"/>
          <w:szCs w:val="20"/>
        </w:rPr>
        <w:t>não declaração do</w:t>
      </w:r>
      <w:r w:rsidRPr="0028167C">
        <w:rPr>
          <w:rFonts w:ascii="Verdana" w:hAnsi="Verdana"/>
          <w:sz w:val="20"/>
          <w:szCs w:val="20"/>
        </w:rPr>
        <w:t xml:space="preserve"> vencimento antecipado das Debêntures nos termos do subitem (</w:t>
      </w:r>
      <w:r w:rsidR="004F74C3">
        <w:rPr>
          <w:rFonts w:ascii="Verdana" w:hAnsi="Verdana"/>
          <w:sz w:val="20"/>
          <w:szCs w:val="20"/>
        </w:rPr>
        <w:t>c</w:t>
      </w:r>
      <w:r w:rsidRPr="0028167C">
        <w:rPr>
          <w:rFonts w:ascii="Verdana" w:hAnsi="Verdana"/>
          <w:sz w:val="20"/>
          <w:szCs w:val="20"/>
        </w:rPr>
        <w:t>) da Cláusula 5.1</w:t>
      </w:r>
      <w:r w:rsidR="004F74C3">
        <w:rPr>
          <w:rFonts w:ascii="Verdana" w:hAnsi="Verdana"/>
          <w:sz w:val="20"/>
          <w:szCs w:val="20"/>
        </w:rPr>
        <w:t xml:space="preserve"> </w:t>
      </w:r>
      <w:r w:rsidRPr="0028167C">
        <w:rPr>
          <w:rFonts w:ascii="Verdana" w:hAnsi="Verdana"/>
          <w:sz w:val="20"/>
          <w:szCs w:val="20"/>
        </w:rPr>
        <w:t xml:space="preserve">da Escritura de Emissão por força da dispensa específica de tal obrigação </w:t>
      </w:r>
      <w:r w:rsidR="007720E8">
        <w:rPr>
          <w:rFonts w:ascii="Verdana" w:hAnsi="Verdana"/>
          <w:sz w:val="20"/>
          <w:szCs w:val="20"/>
        </w:rPr>
        <w:t>até a Data Limite</w:t>
      </w:r>
      <w:r w:rsidR="00FF49A3">
        <w:rPr>
          <w:rFonts w:ascii="Verdana" w:hAnsi="Verdana"/>
          <w:sz w:val="20"/>
          <w:szCs w:val="20"/>
        </w:rPr>
        <w:t xml:space="preserve"> ou até nova deliberação pelos Debenturistas, o que ocorrer primeiro</w:t>
      </w:r>
      <w:r w:rsidRPr="0028167C">
        <w:rPr>
          <w:rFonts w:ascii="Verdana" w:hAnsi="Verdana"/>
          <w:sz w:val="20"/>
          <w:szCs w:val="20"/>
        </w:rPr>
        <w:t>;</w:t>
      </w:r>
    </w:p>
    <w:p w:rsidR="0028167C" w:rsidRDefault="0028167C" w:rsidP="0028167C">
      <w:pPr>
        <w:pStyle w:val="PargrafodaLista"/>
        <w:autoSpaceDE/>
        <w:autoSpaceDN/>
        <w:adjustRightInd/>
        <w:spacing w:line="320" w:lineRule="exact"/>
        <w:ind w:left="0"/>
        <w:jc w:val="both"/>
        <w:rPr>
          <w:rFonts w:ascii="Verdana" w:hAnsi="Verdana"/>
          <w:sz w:val="20"/>
          <w:szCs w:val="20"/>
        </w:rPr>
      </w:pPr>
    </w:p>
    <w:p w:rsidR="0028167C" w:rsidRDefault="0028167C" w:rsidP="0028167C">
      <w:pPr>
        <w:pStyle w:val="PargrafodaLista"/>
        <w:numPr>
          <w:ilvl w:val="0"/>
          <w:numId w:val="1"/>
        </w:numPr>
        <w:autoSpaceDE/>
        <w:autoSpaceDN/>
        <w:adjustRightInd/>
        <w:spacing w:line="320" w:lineRule="exact"/>
        <w:ind w:left="0" w:firstLine="0"/>
        <w:jc w:val="both"/>
        <w:rPr>
          <w:rFonts w:ascii="Verdana" w:hAnsi="Verdana"/>
          <w:sz w:val="20"/>
          <w:szCs w:val="20"/>
        </w:rPr>
      </w:pPr>
      <w:r w:rsidRPr="0028167C">
        <w:rPr>
          <w:rFonts w:ascii="Verdana" w:hAnsi="Verdana"/>
          <w:sz w:val="20"/>
          <w:szCs w:val="20"/>
        </w:rPr>
        <w:t>condicionar a eficácia das deliberações</w:t>
      </w:r>
      <w:r w:rsidRPr="0028167C">
        <w:rPr>
          <w:rFonts w:ascii="Verdana" w:hAnsi="Verdana"/>
          <w:bCs/>
          <w:sz w:val="20"/>
          <w:szCs w:val="20"/>
        </w:rPr>
        <w:t xml:space="preserve"> previstas no item (i) acima,</w:t>
      </w:r>
      <w:r w:rsidRPr="0028167C">
        <w:rPr>
          <w:rFonts w:ascii="Verdana" w:hAnsi="Verdana"/>
          <w:sz w:val="20"/>
          <w:szCs w:val="20"/>
        </w:rPr>
        <w:t xml:space="preserve"> à efetiva Distribuição Braskem 2018 até o dia 31 de dezembro de 2019; e</w:t>
      </w:r>
    </w:p>
    <w:p w:rsidR="0028167C" w:rsidRPr="0028167C" w:rsidRDefault="0028167C" w:rsidP="0028167C">
      <w:pPr>
        <w:pStyle w:val="PargrafodaLista"/>
        <w:rPr>
          <w:rFonts w:ascii="Verdana" w:hAnsi="Verdana"/>
          <w:sz w:val="20"/>
          <w:szCs w:val="20"/>
        </w:rPr>
      </w:pPr>
    </w:p>
    <w:p w:rsidR="0028167C" w:rsidRDefault="0028167C" w:rsidP="0028167C">
      <w:pPr>
        <w:pStyle w:val="PargrafodaLista"/>
        <w:numPr>
          <w:ilvl w:val="0"/>
          <w:numId w:val="1"/>
        </w:numPr>
        <w:autoSpaceDE/>
        <w:autoSpaceDN/>
        <w:adjustRightInd/>
        <w:spacing w:line="320" w:lineRule="exact"/>
        <w:ind w:left="0" w:firstLine="0"/>
        <w:jc w:val="both"/>
        <w:rPr>
          <w:rFonts w:ascii="Verdana" w:hAnsi="Verdana"/>
          <w:sz w:val="20"/>
          <w:szCs w:val="20"/>
        </w:rPr>
      </w:pPr>
      <w:r w:rsidRPr="0028167C">
        <w:rPr>
          <w:rFonts w:ascii="Verdana" w:hAnsi="Verdana"/>
          <w:sz w:val="20"/>
          <w:szCs w:val="20"/>
        </w:rPr>
        <w:t>autorizar o Agente Fiduciário a assinar todos e quaisquer documentos e ratificar todos os demais atos necessários para o cumprimento integral das deliberações objeto desta Assembleia</w:t>
      </w:r>
      <w:r>
        <w:rPr>
          <w:rFonts w:ascii="Verdana" w:hAnsi="Verdana"/>
          <w:sz w:val="20"/>
          <w:szCs w:val="20"/>
        </w:rPr>
        <w:t>.</w:t>
      </w:r>
    </w:p>
    <w:p w:rsidR="0028167C" w:rsidRDefault="0028167C" w:rsidP="0028167C">
      <w:pPr>
        <w:spacing w:line="320" w:lineRule="exact"/>
        <w:jc w:val="both"/>
        <w:rPr>
          <w:rFonts w:ascii="Verdana" w:hAnsi="Verdana"/>
          <w:b/>
          <w:sz w:val="20"/>
          <w:szCs w:val="20"/>
        </w:rPr>
      </w:pPr>
    </w:p>
    <w:p w:rsidR="0028167C" w:rsidRPr="0028167C" w:rsidRDefault="0028167C" w:rsidP="0028167C">
      <w:pPr>
        <w:pStyle w:val="PargrafodaLista"/>
        <w:autoSpaceDE/>
        <w:autoSpaceDN/>
        <w:adjustRightInd/>
        <w:spacing w:line="300" w:lineRule="exact"/>
        <w:ind w:left="0"/>
        <w:contextualSpacing w:val="0"/>
        <w:jc w:val="both"/>
        <w:rPr>
          <w:rFonts w:ascii="Verdana" w:hAnsi="Verdana"/>
          <w:sz w:val="20"/>
          <w:szCs w:val="20"/>
        </w:rPr>
      </w:pPr>
      <w:r w:rsidRPr="004211CD">
        <w:rPr>
          <w:rFonts w:ascii="Verdana" w:hAnsi="Verdana"/>
          <w:b/>
          <w:sz w:val="20"/>
          <w:szCs w:val="20"/>
        </w:rPr>
        <w:t>6. Deliberações:</w:t>
      </w:r>
      <w:r w:rsidRPr="004211CD">
        <w:rPr>
          <w:rFonts w:ascii="Verdana" w:hAnsi="Verdana"/>
          <w:sz w:val="20"/>
          <w:szCs w:val="20"/>
        </w:rPr>
        <w:t xml:space="preserve"> </w:t>
      </w:r>
      <w:r w:rsidRPr="00B216E5">
        <w:rPr>
          <w:rFonts w:ascii="Verdana" w:hAnsi="Verdana"/>
          <w:sz w:val="20"/>
          <w:szCs w:val="20"/>
        </w:rPr>
        <w:t xml:space="preserve">Dando início aos trabalhos, o representante do Agente Fiduciário </w:t>
      </w:r>
      <w:r w:rsidR="00870A56">
        <w:rPr>
          <w:rFonts w:ascii="Verdana" w:hAnsi="Verdana"/>
          <w:sz w:val="20"/>
          <w:szCs w:val="20"/>
        </w:rPr>
        <w:t>verificou</w:t>
      </w:r>
      <w:r w:rsidRPr="00B216E5">
        <w:rPr>
          <w:rFonts w:ascii="Verdana" w:hAnsi="Verdana"/>
          <w:sz w:val="20"/>
          <w:szCs w:val="20"/>
        </w:rPr>
        <w:t xml:space="preserve"> os quóruns de instalação e de deliberação, sendo ambos devida e legalmente </w:t>
      </w:r>
      <w:r w:rsidRPr="0028167C">
        <w:rPr>
          <w:rFonts w:ascii="Verdana" w:hAnsi="Verdana"/>
          <w:sz w:val="20"/>
          <w:szCs w:val="20"/>
        </w:rPr>
        <w:t>atingidos. Em seguida, examinadas as matérias constantes da Ordem do Dia, foi deliberado, por unanimidade de votos dos Debenturistas presentes, representando a totalidade das Debêntures da Primeira Série em circulação e a totalidade das Debêntures da Segunda Série em circulação, a aprovação dos seguintes temas:</w:t>
      </w:r>
    </w:p>
    <w:p w:rsidR="0028167C" w:rsidRPr="0028167C" w:rsidRDefault="0028167C" w:rsidP="0028167C">
      <w:pPr>
        <w:pStyle w:val="PargrafodaLista"/>
        <w:autoSpaceDE/>
        <w:autoSpaceDN/>
        <w:adjustRightInd/>
        <w:spacing w:line="300" w:lineRule="exact"/>
        <w:ind w:left="0"/>
        <w:contextualSpacing w:val="0"/>
        <w:jc w:val="both"/>
        <w:rPr>
          <w:rFonts w:ascii="Verdana" w:hAnsi="Verdana"/>
          <w:sz w:val="20"/>
          <w:szCs w:val="20"/>
        </w:rPr>
      </w:pPr>
    </w:p>
    <w:p w:rsidR="0028167C" w:rsidRPr="0028167C" w:rsidRDefault="00870A56" w:rsidP="0028167C">
      <w:pPr>
        <w:pStyle w:val="PargrafodaLista"/>
        <w:numPr>
          <w:ilvl w:val="0"/>
          <w:numId w:val="2"/>
        </w:numPr>
        <w:autoSpaceDE/>
        <w:autoSpaceDN/>
        <w:adjustRightInd/>
        <w:spacing w:line="300" w:lineRule="exact"/>
        <w:ind w:left="0" w:firstLine="0"/>
        <w:contextualSpacing w:val="0"/>
        <w:jc w:val="both"/>
        <w:rPr>
          <w:rFonts w:ascii="Verdana" w:hAnsi="Verdana"/>
          <w:sz w:val="20"/>
          <w:szCs w:val="20"/>
        </w:rPr>
      </w:pPr>
      <w:r w:rsidRPr="00870A56">
        <w:rPr>
          <w:rFonts w:ascii="Verdana" w:hAnsi="Verdana"/>
          <w:b/>
          <w:sz w:val="20"/>
          <w:szCs w:val="20"/>
        </w:rPr>
        <w:t>(a)</w:t>
      </w:r>
      <w:r>
        <w:rPr>
          <w:rFonts w:ascii="Verdana" w:hAnsi="Verdana"/>
          <w:sz w:val="20"/>
          <w:szCs w:val="20"/>
        </w:rPr>
        <w:t xml:space="preserve"> </w:t>
      </w:r>
      <w:r w:rsidR="0028167C" w:rsidRPr="0028167C">
        <w:rPr>
          <w:rFonts w:ascii="Verdana" w:hAnsi="Verdana"/>
          <w:sz w:val="20"/>
          <w:szCs w:val="20"/>
        </w:rPr>
        <w:t xml:space="preserve">suspensão da obrigação da Emissora e das Fiadoras de </w:t>
      </w:r>
      <w:r w:rsidR="004F74C3" w:rsidRPr="0028167C">
        <w:rPr>
          <w:rFonts w:ascii="Verdana" w:hAnsi="Verdana"/>
          <w:sz w:val="20"/>
          <w:szCs w:val="20"/>
        </w:rPr>
        <w:t xml:space="preserve">realizar o </w:t>
      </w:r>
      <w:r w:rsidR="004F74C3">
        <w:rPr>
          <w:rFonts w:ascii="Verdana" w:hAnsi="Verdana"/>
          <w:sz w:val="20"/>
          <w:szCs w:val="20"/>
        </w:rPr>
        <w:t>pagamento da Cascata de Afetação dos Direitos Creditórios Ações Braskem</w:t>
      </w:r>
      <w:r w:rsidR="004F74C3" w:rsidRPr="0028167C">
        <w:rPr>
          <w:rFonts w:ascii="Verdana" w:hAnsi="Verdana"/>
          <w:sz w:val="20"/>
          <w:szCs w:val="20"/>
        </w:rPr>
        <w:t xml:space="preserve">, conforme previsto na Cláusula </w:t>
      </w:r>
      <w:r w:rsidR="004F74C3">
        <w:rPr>
          <w:rFonts w:ascii="Verdana" w:hAnsi="Verdana"/>
          <w:sz w:val="20"/>
          <w:szCs w:val="20"/>
        </w:rPr>
        <w:t>5.1</w:t>
      </w:r>
      <w:r w:rsidR="004F74C3" w:rsidRPr="0028167C">
        <w:rPr>
          <w:rFonts w:ascii="Verdana" w:hAnsi="Verdana"/>
          <w:sz w:val="20"/>
          <w:szCs w:val="20"/>
        </w:rPr>
        <w:t xml:space="preserve"> d</w:t>
      </w:r>
      <w:r w:rsidR="004F74C3">
        <w:rPr>
          <w:rFonts w:ascii="Verdana" w:hAnsi="Verdana"/>
          <w:sz w:val="20"/>
          <w:szCs w:val="20"/>
        </w:rPr>
        <w:t>o</w:t>
      </w:r>
      <w:r w:rsidR="004F74C3" w:rsidRPr="0028167C">
        <w:rPr>
          <w:rFonts w:ascii="Verdana" w:hAnsi="Verdana"/>
          <w:sz w:val="20"/>
          <w:szCs w:val="20"/>
        </w:rPr>
        <w:t xml:space="preserve"> </w:t>
      </w:r>
      <w:r w:rsidR="004F74C3">
        <w:rPr>
          <w:rFonts w:ascii="Verdana" w:hAnsi="Verdana"/>
          <w:sz w:val="20"/>
          <w:szCs w:val="20"/>
        </w:rPr>
        <w:t>Instrumento Particular de Contrato de Cessão Fiduciária de Bens e Ativos Financeiros em Garantia</w:t>
      </w:r>
      <w:r w:rsidR="0028167C" w:rsidRPr="0028167C">
        <w:rPr>
          <w:rFonts w:ascii="Verdana" w:hAnsi="Verdana"/>
          <w:sz w:val="20"/>
          <w:szCs w:val="20"/>
        </w:rPr>
        <w:t>, relativamente aos recursos oriundos da Distribuição Braskem 2018, até a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0028167C" w:rsidRPr="0028167C">
        <w:rPr>
          <w:rFonts w:ascii="Verdana" w:hAnsi="Verdana"/>
          <w:sz w:val="20"/>
          <w:szCs w:val="20"/>
        </w:rPr>
        <w:t xml:space="preserve">; e, por conseguinte, </w:t>
      </w:r>
      <w:r w:rsidR="0028167C" w:rsidRPr="00870A56">
        <w:rPr>
          <w:rFonts w:ascii="Verdana" w:hAnsi="Verdana"/>
          <w:b/>
          <w:sz w:val="20"/>
          <w:szCs w:val="20"/>
        </w:rPr>
        <w:t>(b)</w:t>
      </w:r>
      <w:r w:rsidR="0028167C" w:rsidRPr="0028167C">
        <w:rPr>
          <w:rFonts w:ascii="Verdana" w:hAnsi="Verdana"/>
          <w:sz w:val="20"/>
          <w:szCs w:val="20"/>
        </w:rPr>
        <w:t xml:space="preserve"> autorização ao Agente Fiduciário a não declarar o </w:t>
      </w:r>
      <w:r w:rsidR="0028167C" w:rsidRPr="0028167C">
        <w:rPr>
          <w:rFonts w:ascii="Verdana" w:hAnsi="Verdana"/>
          <w:sz w:val="20"/>
          <w:szCs w:val="20"/>
        </w:rPr>
        <w:lastRenderedPageBreak/>
        <w:t>vencimento antecipado das Debêntures nos termos do subitem (</w:t>
      </w:r>
      <w:r w:rsidR="004F74C3">
        <w:rPr>
          <w:rFonts w:ascii="Verdana" w:hAnsi="Verdana"/>
          <w:sz w:val="20"/>
          <w:szCs w:val="20"/>
        </w:rPr>
        <w:t>c</w:t>
      </w:r>
      <w:r w:rsidR="0028167C" w:rsidRPr="0028167C">
        <w:rPr>
          <w:rFonts w:ascii="Verdana" w:hAnsi="Verdana"/>
          <w:sz w:val="20"/>
          <w:szCs w:val="20"/>
        </w:rPr>
        <w:t xml:space="preserve">) da Cláusula 5.1 da Escritura de Emissão por força da dispensa específica de tal obrigação </w:t>
      </w:r>
      <w:r w:rsidR="007720E8">
        <w:rPr>
          <w:rFonts w:ascii="Verdana" w:hAnsi="Verdana"/>
          <w:sz w:val="20"/>
          <w:szCs w:val="20"/>
        </w:rPr>
        <w:t>até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0028167C" w:rsidRPr="0028167C">
        <w:rPr>
          <w:rFonts w:ascii="Verdana" w:hAnsi="Verdana"/>
          <w:sz w:val="20"/>
          <w:szCs w:val="20"/>
        </w:rPr>
        <w:t>.</w:t>
      </w:r>
    </w:p>
    <w:p w:rsidR="0028167C" w:rsidRPr="0028167C" w:rsidRDefault="0028167C" w:rsidP="0028167C">
      <w:pPr>
        <w:pStyle w:val="PargrafodaLista"/>
        <w:spacing w:line="300" w:lineRule="exact"/>
        <w:ind w:left="0"/>
        <w:jc w:val="both"/>
        <w:rPr>
          <w:rFonts w:ascii="Verdana" w:hAnsi="Verdana"/>
          <w:sz w:val="20"/>
          <w:szCs w:val="20"/>
        </w:rPr>
      </w:pPr>
    </w:p>
    <w:p w:rsidR="0028167C" w:rsidRPr="0028167C" w:rsidRDefault="0028167C" w:rsidP="0028167C">
      <w:pPr>
        <w:pStyle w:val="PargrafodaLista"/>
        <w:spacing w:line="300" w:lineRule="exact"/>
        <w:ind w:left="0"/>
        <w:jc w:val="both"/>
        <w:rPr>
          <w:rFonts w:ascii="Verdana" w:hAnsi="Verdana"/>
          <w:sz w:val="20"/>
          <w:szCs w:val="20"/>
        </w:rPr>
      </w:pPr>
      <w:r w:rsidRPr="0028167C">
        <w:rPr>
          <w:rFonts w:ascii="Verdana" w:hAnsi="Verdana"/>
          <w:sz w:val="20"/>
          <w:szCs w:val="20"/>
        </w:rPr>
        <w:t>Adicionalmente, fica acordado que, para fins da dispensa constante do item (i) acima, a totalidade dos recursos eventualmente distribuídos no âmbito da Distribuição Braskem 2018 deverão permanecer retidos na Conta Vinculada OSP da OSP Investimentos (conforme definido nos Contratos de Garantia), até a Data Limite</w:t>
      </w:r>
      <w:r w:rsidR="00FF49A3" w:rsidRPr="00FF49A3">
        <w:rPr>
          <w:rFonts w:ascii="Verdana" w:hAnsi="Verdana"/>
          <w:sz w:val="20"/>
          <w:szCs w:val="20"/>
        </w:rPr>
        <w:t xml:space="preserve"> </w:t>
      </w:r>
      <w:r w:rsidR="00FF49A3">
        <w:rPr>
          <w:rFonts w:ascii="Verdana" w:hAnsi="Verdana"/>
          <w:sz w:val="20"/>
          <w:szCs w:val="20"/>
        </w:rPr>
        <w:t>ou até nova deliberação pelos Debenturistas, o que ocorrer primeiro</w:t>
      </w:r>
      <w:r w:rsidRPr="0028167C">
        <w:rPr>
          <w:rFonts w:ascii="Verdana" w:hAnsi="Verdana"/>
          <w:sz w:val="20"/>
          <w:szCs w:val="20"/>
        </w:rPr>
        <w:t>.</w:t>
      </w:r>
    </w:p>
    <w:p w:rsidR="0028167C" w:rsidRPr="00D34163" w:rsidRDefault="0028167C" w:rsidP="0028167C">
      <w:pPr>
        <w:pStyle w:val="PargrafodaLista"/>
        <w:spacing w:line="300" w:lineRule="exact"/>
        <w:ind w:left="0"/>
        <w:jc w:val="both"/>
        <w:rPr>
          <w:rFonts w:ascii="Verdana" w:hAnsi="Verdana"/>
          <w:sz w:val="20"/>
          <w:szCs w:val="20"/>
          <w:lang w:val=""/>
        </w:rPr>
      </w:pPr>
    </w:p>
    <w:p w:rsidR="00D34163" w:rsidRPr="00D34163" w:rsidRDefault="00D34163" w:rsidP="00D34163">
      <w:pPr>
        <w:pStyle w:val="PargrafodaLista"/>
        <w:spacing w:line="300" w:lineRule="exact"/>
        <w:ind w:left="0"/>
        <w:jc w:val="both"/>
        <w:rPr>
          <w:rFonts w:ascii="Verdana" w:hAnsi="Verdana"/>
          <w:sz w:val="20"/>
          <w:szCs w:val="20"/>
        </w:rPr>
      </w:pPr>
      <w:r w:rsidRPr="00D34163">
        <w:rPr>
          <w:rFonts w:ascii="Verdana" w:hAnsi="Verdana"/>
          <w:sz w:val="20"/>
          <w:szCs w:val="20"/>
        </w:rPr>
        <w:t>No primeiro dia útil após a Data Limite</w:t>
      </w:r>
      <w:bookmarkStart w:id="0" w:name="_DV_C5"/>
      <w:r w:rsidRPr="00D34163">
        <w:rPr>
          <w:rFonts w:ascii="Verdana" w:hAnsi="Verdana"/>
          <w:sz w:val="20"/>
          <w:szCs w:val="20"/>
        </w:rPr>
        <w:t xml:space="preserve"> ou após nova deliberação pelos Debenturistas motivada por qualquer ato ou fato superveniente que coloque em risco de forma concreta a validade, eficácia e higidez das garantias sobre as Ações Braskem e respectivos dividendos, a exclusivo critério dos Debenturistas, o que ocorrer primeiro</w:t>
      </w:r>
      <w:bookmarkStart w:id="1" w:name="_DV_M20"/>
      <w:bookmarkEnd w:id="0"/>
      <w:bookmarkEnd w:id="1"/>
      <w:r w:rsidRPr="00D34163">
        <w:rPr>
          <w:rFonts w:ascii="Verdana" w:hAnsi="Verdana"/>
          <w:sz w:val="20"/>
          <w:szCs w:val="20"/>
        </w:rPr>
        <w:t>, a totalidade dos recursos oriundos da Distribuição Braskem 2018 deverá ser utilizada em conformidade com o disposto nos Contratos de Garantia.</w:t>
      </w:r>
    </w:p>
    <w:p w:rsidR="0028167C" w:rsidRPr="00D34163" w:rsidRDefault="0028167C" w:rsidP="0028167C">
      <w:pPr>
        <w:pStyle w:val="PargrafodaLista"/>
        <w:spacing w:line="300" w:lineRule="exact"/>
        <w:ind w:left="0"/>
        <w:jc w:val="both"/>
        <w:rPr>
          <w:rFonts w:ascii="Verdana" w:hAnsi="Verdana"/>
          <w:color w:val="000000"/>
          <w:sz w:val="20"/>
          <w:szCs w:val="20"/>
          <w:lang w:val=""/>
        </w:rPr>
      </w:pPr>
    </w:p>
    <w:p w:rsidR="00D34163" w:rsidRPr="00D34163" w:rsidRDefault="009121CD" w:rsidP="00D34163">
      <w:pPr>
        <w:pStyle w:val="PargrafodaLista"/>
        <w:spacing w:line="300" w:lineRule="exact"/>
        <w:ind w:left="0"/>
        <w:jc w:val="both"/>
        <w:rPr>
          <w:rFonts w:ascii="Verdana" w:hAnsi="Verdana"/>
          <w:color w:val="000000"/>
          <w:sz w:val="20"/>
          <w:szCs w:val="20"/>
          <w:lang w:val=""/>
        </w:rPr>
      </w:pPr>
      <w:r w:rsidRPr="009121CD">
        <w:rPr>
          <w:rFonts w:ascii="Verdana" w:hAnsi="Verdana"/>
          <w:color w:val="000000"/>
          <w:sz w:val="20"/>
          <w:szCs w:val="20"/>
        </w:rPr>
        <w:t>A suspensão aprovada na Deliberação (i) acima será automaticamente revogada e considerada ineficaz, para todos os fins de direito, na hipótese de a Emissora e/ou a</w:t>
      </w:r>
      <w:r>
        <w:rPr>
          <w:rFonts w:ascii="Verdana" w:hAnsi="Verdana"/>
          <w:color w:val="000000"/>
          <w:sz w:val="20"/>
          <w:szCs w:val="20"/>
        </w:rPr>
        <w:t>s</w:t>
      </w:r>
      <w:r w:rsidRPr="009121CD">
        <w:rPr>
          <w:rFonts w:ascii="Verdana" w:hAnsi="Verdana"/>
          <w:color w:val="000000"/>
          <w:sz w:val="20"/>
          <w:szCs w:val="20"/>
        </w:rPr>
        <w:t xml:space="preserve"> Fiadora</w:t>
      </w:r>
      <w:r>
        <w:rPr>
          <w:rFonts w:ascii="Verdana" w:hAnsi="Verdana"/>
          <w:color w:val="000000"/>
          <w:sz w:val="20"/>
          <w:szCs w:val="20"/>
        </w:rPr>
        <w:t>s</w:t>
      </w:r>
      <w:r w:rsidRPr="009121CD">
        <w:rPr>
          <w:rFonts w:ascii="Verdana" w:hAnsi="Verdana"/>
          <w:color w:val="000000"/>
          <w:sz w:val="20"/>
          <w:szCs w:val="20"/>
        </w:rPr>
        <w:t xml:space="preserve"> apresentarem, de forma individual ou conjunta, qualquer pretensão na esfera judicial </w:t>
      </w:r>
      <w:r w:rsidR="00FF49A3">
        <w:rPr>
          <w:rFonts w:ascii="Verdana" w:hAnsi="Verdana"/>
          <w:color w:val="000000"/>
          <w:sz w:val="20"/>
          <w:szCs w:val="20"/>
        </w:rPr>
        <w:t xml:space="preserve">ou por qualquer outro meio, que tenha como objetivo </w:t>
      </w:r>
      <w:r w:rsidRPr="009121CD">
        <w:rPr>
          <w:rFonts w:ascii="Verdana" w:hAnsi="Verdana"/>
          <w:color w:val="000000"/>
          <w:sz w:val="20"/>
          <w:szCs w:val="20"/>
        </w:rPr>
        <w:t>impor restrições a todo e qualquer direito dos credores dos Contratos d</w:t>
      </w:r>
      <w:r>
        <w:rPr>
          <w:rFonts w:ascii="Verdana" w:hAnsi="Verdana"/>
          <w:color w:val="000000"/>
          <w:sz w:val="20"/>
          <w:szCs w:val="20"/>
        </w:rPr>
        <w:t>e</w:t>
      </w:r>
      <w:r w:rsidRPr="009121CD">
        <w:rPr>
          <w:rFonts w:ascii="Verdana" w:hAnsi="Verdana"/>
          <w:color w:val="000000"/>
          <w:sz w:val="20"/>
          <w:szCs w:val="20"/>
        </w:rPr>
        <w:t xml:space="preserve"> Garantia estabelecido nos respectivos contratos</w:t>
      </w:r>
      <w:bookmarkStart w:id="2" w:name="_DV_C7"/>
      <w:r w:rsidR="00870A56" w:rsidRPr="00870A56">
        <w:rPr>
          <w:rFonts w:ascii="Verdana" w:hAnsi="Verdana"/>
          <w:color w:val="000000"/>
          <w:sz w:val="20"/>
          <w:szCs w:val="20"/>
        </w:rPr>
        <w:t>,</w:t>
      </w:r>
      <w:bookmarkEnd w:id="2"/>
      <w:r w:rsidR="00870A56" w:rsidRPr="00870A56">
        <w:rPr>
          <w:rFonts w:ascii="Verdana" w:hAnsi="Verdana"/>
          <w:color w:val="000000"/>
          <w:sz w:val="20"/>
          <w:szCs w:val="20"/>
        </w:rPr>
        <w:t xml:space="preserve"> </w:t>
      </w:r>
      <w:r w:rsidR="00D34163" w:rsidRPr="00D34163">
        <w:rPr>
          <w:rFonts w:ascii="Verdana" w:hAnsi="Verdana"/>
          <w:color w:val="000000"/>
          <w:sz w:val="20"/>
          <w:szCs w:val="20"/>
        </w:rPr>
        <w:t>ressalvado o pedido já efetuado, por ocasião do ajuizamento da recuperação judicial (Processo nº 1057756-77.2019.8.26.0100, em trâmite perante a 1ª Vara de Falências e Recuperações Judiciais da Comarca de São Paulo), no item 133 (</w:t>
      </w:r>
      <w:proofErr w:type="spellStart"/>
      <w:r w:rsidR="00D34163" w:rsidRPr="00D34163">
        <w:rPr>
          <w:rFonts w:ascii="Verdana" w:hAnsi="Verdana"/>
          <w:color w:val="000000"/>
          <w:sz w:val="20"/>
          <w:szCs w:val="20"/>
        </w:rPr>
        <w:t>iii</w:t>
      </w:r>
      <w:proofErr w:type="spellEnd"/>
      <w:r w:rsidR="00D34163" w:rsidRPr="00D34163">
        <w:rPr>
          <w:rFonts w:ascii="Verdana" w:hAnsi="Verdana"/>
          <w:color w:val="000000"/>
          <w:sz w:val="20"/>
          <w:szCs w:val="20"/>
        </w:rPr>
        <w:t>) da petição inicial, também objeto dos agravos de instrumento números 2145603-12.2019.8.26.0000, 2147641-94.2019.8.26.0000, 2149918-83.2019.8.26.0000, 2150071-19.2019.8.26.0000 e 2150017-53.2019.8.26.0000, em trâmite perante a 1ª Câmara Reservada de Direito Empresarial do Tribunal de Justiça do Estado de São Paulo (“</w:t>
      </w:r>
      <w:r w:rsidR="00D34163" w:rsidRPr="00D34163">
        <w:rPr>
          <w:rFonts w:ascii="Verdana" w:hAnsi="Verdana"/>
          <w:color w:val="000000"/>
          <w:sz w:val="20"/>
          <w:szCs w:val="20"/>
          <w:u w:val="single"/>
        </w:rPr>
        <w:t>Agravos</w:t>
      </w:r>
      <w:r w:rsidR="00D34163" w:rsidRPr="00D34163">
        <w:rPr>
          <w:rFonts w:ascii="Verdana" w:hAnsi="Verdana"/>
          <w:color w:val="000000"/>
          <w:sz w:val="20"/>
          <w:szCs w:val="20"/>
        </w:rPr>
        <w:t>”) e outras manifestações e desdobramentos processuais relacionados aos pedidos e Agravos desde que não com o objetivo de liberar ou apropriar-se dos dividendos relacionados às Ações Braskem. Nesse caso, não obstante os termos e condições contemplados na presente ata,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p>
    <w:p w:rsidR="009121CD" w:rsidRPr="00D34163" w:rsidRDefault="009121CD" w:rsidP="0028167C">
      <w:pPr>
        <w:pStyle w:val="PargrafodaLista"/>
        <w:spacing w:line="300" w:lineRule="exact"/>
        <w:ind w:left="0"/>
        <w:jc w:val="both"/>
        <w:rPr>
          <w:rFonts w:ascii="Verdana" w:hAnsi="Verdana"/>
          <w:color w:val="000000"/>
          <w:sz w:val="20"/>
          <w:szCs w:val="20"/>
          <w:lang w:val=""/>
        </w:rPr>
      </w:pPr>
    </w:p>
    <w:p w:rsidR="0028167C" w:rsidRPr="0028167C" w:rsidRDefault="0028167C" w:rsidP="004F74C3">
      <w:pPr>
        <w:pStyle w:val="PargrafodaLista"/>
        <w:numPr>
          <w:ilvl w:val="0"/>
          <w:numId w:val="2"/>
        </w:numPr>
        <w:autoSpaceDE/>
        <w:autoSpaceDN/>
        <w:adjustRightInd/>
        <w:spacing w:line="300" w:lineRule="exact"/>
        <w:ind w:left="0" w:firstLine="0"/>
        <w:contextualSpacing w:val="0"/>
        <w:jc w:val="both"/>
        <w:rPr>
          <w:rFonts w:ascii="Verdana" w:hAnsi="Verdana"/>
          <w:sz w:val="20"/>
          <w:szCs w:val="20"/>
        </w:rPr>
      </w:pPr>
      <w:r w:rsidRPr="0028167C">
        <w:rPr>
          <w:rFonts w:ascii="Verdana" w:hAnsi="Verdana"/>
          <w:sz w:val="20"/>
          <w:szCs w:val="20"/>
        </w:rPr>
        <w:t>condicionar</w:t>
      </w:r>
      <w:r w:rsidRPr="0028167C">
        <w:rPr>
          <w:rFonts w:ascii="Verdana" w:hAnsi="Verdana"/>
          <w:sz w:val="20"/>
          <w:szCs w:val="20"/>
          <w:shd w:val="clear" w:color="auto" w:fill="FFFFFF"/>
        </w:rPr>
        <w:t xml:space="preserve"> a eficácia das deliberações</w:t>
      </w:r>
      <w:r w:rsidRPr="0028167C">
        <w:rPr>
          <w:rFonts w:ascii="Verdana" w:hAnsi="Verdana"/>
          <w:bCs/>
          <w:sz w:val="20"/>
          <w:szCs w:val="20"/>
        </w:rPr>
        <w:t xml:space="preserve"> previstas no item (i) acima,</w:t>
      </w:r>
      <w:r w:rsidRPr="0028167C">
        <w:rPr>
          <w:rFonts w:ascii="Verdana" w:hAnsi="Verdana"/>
          <w:sz w:val="20"/>
          <w:szCs w:val="20"/>
          <w:shd w:val="clear" w:color="auto" w:fill="FFFFFF"/>
        </w:rPr>
        <w:t xml:space="preserve"> à efetiva </w:t>
      </w:r>
      <w:r w:rsidRPr="0028167C">
        <w:rPr>
          <w:rFonts w:ascii="Verdana" w:hAnsi="Verdana"/>
          <w:sz w:val="20"/>
          <w:szCs w:val="20"/>
        </w:rPr>
        <w:t xml:space="preserve">Distribuição Braskem 2018 até o dia 31 de dezembro de 2019, de modo que, caso a Distribuição Braskem 2018 não ocorra até o dia 31 de dezembro de 2019, as </w:t>
      </w:r>
      <w:r w:rsidRPr="0028167C">
        <w:rPr>
          <w:rFonts w:ascii="Verdana" w:hAnsi="Verdana"/>
          <w:sz w:val="20"/>
          <w:szCs w:val="20"/>
        </w:rPr>
        <w:lastRenderedPageBreak/>
        <w:t>deliberações da presente assembleia ser</w:t>
      </w:r>
      <w:r w:rsidR="00FF49A3">
        <w:rPr>
          <w:rFonts w:ascii="Verdana" w:hAnsi="Verdana"/>
          <w:sz w:val="20"/>
          <w:szCs w:val="20"/>
        </w:rPr>
        <w:t>ão</w:t>
      </w:r>
      <w:r w:rsidRPr="0028167C">
        <w:rPr>
          <w:rFonts w:ascii="Verdana" w:hAnsi="Verdana"/>
          <w:sz w:val="20"/>
          <w:szCs w:val="20"/>
        </w:rPr>
        <w:t xml:space="preserve"> consideradas </w:t>
      </w:r>
      <w:r w:rsidR="00C165DC">
        <w:rPr>
          <w:rFonts w:ascii="Verdana" w:hAnsi="Verdana"/>
          <w:sz w:val="20"/>
          <w:szCs w:val="20"/>
        </w:rPr>
        <w:t xml:space="preserve">automaticamente </w:t>
      </w:r>
      <w:r w:rsidRPr="0028167C">
        <w:rPr>
          <w:rFonts w:ascii="Verdana" w:hAnsi="Verdana"/>
          <w:sz w:val="20"/>
          <w:szCs w:val="20"/>
        </w:rPr>
        <w:t>resolvidas e sem efeito, nos termos do artigo 127 do Código Civil; e</w:t>
      </w:r>
    </w:p>
    <w:p w:rsidR="0028167C" w:rsidRPr="0028167C" w:rsidRDefault="0028167C" w:rsidP="0028167C">
      <w:pPr>
        <w:tabs>
          <w:tab w:val="num" w:pos="0"/>
        </w:tabs>
        <w:spacing w:line="300" w:lineRule="exact"/>
        <w:jc w:val="both"/>
        <w:rPr>
          <w:rFonts w:ascii="Verdana" w:hAnsi="Verdana"/>
          <w:sz w:val="20"/>
          <w:szCs w:val="20"/>
          <w:shd w:val="clear" w:color="auto" w:fill="FFFFFF"/>
        </w:rPr>
      </w:pPr>
    </w:p>
    <w:p w:rsidR="0028167C" w:rsidRPr="0028167C" w:rsidRDefault="0028167C" w:rsidP="004F74C3">
      <w:pPr>
        <w:pStyle w:val="PargrafodaLista"/>
        <w:numPr>
          <w:ilvl w:val="0"/>
          <w:numId w:val="2"/>
        </w:numPr>
        <w:autoSpaceDE/>
        <w:autoSpaceDN/>
        <w:adjustRightInd/>
        <w:spacing w:line="300" w:lineRule="exact"/>
        <w:ind w:left="0" w:firstLine="0"/>
        <w:contextualSpacing w:val="0"/>
        <w:jc w:val="both"/>
        <w:rPr>
          <w:rFonts w:ascii="Verdana" w:hAnsi="Verdana"/>
          <w:sz w:val="20"/>
          <w:szCs w:val="20"/>
          <w:shd w:val="clear" w:color="auto" w:fill="FFFFFF"/>
        </w:rPr>
      </w:pPr>
      <w:r w:rsidRPr="004F74C3">
        <w:rPr>
          <w:rFonts w:ascii="Verdana" w:hAnsi="Verdana"/>
          <w:sz w:val="20"/>
          <w:szCs w:val="20"/>
        </w:rPr>
        <w:t>autorização</w:t>
      </w:r>
      <w:r w:rsidRPr="0028167C">
        <w:rPr>
          <w:rFonts w:ascii="Verdana" w:hAnsi="Verdana"/>
          <w:sz w:val="20"/>
          <w:szCs w:val="20"/>
          <w:shd w:val="clear" w:color="auto" w:fill="FFFFFF"/>
        </w:rPr>
        <w:t xml:space="preserve"> ao Agente Fiduciário para assinar todos e quaisquer documentos e ratificar todos os demais atos necessários para o cumprimento integral das deliberações objeto desta Assembleia.</w:t>
      </w:r>
    </w:p>
    <w:p w:rsidR="0028167C" w:rsidRPr="0028167C" w:rsidRDefault="0028167C" w:rsidP="0028167C">
      <w:pPr>
        <w:pStyle w:val="PargrafodaLista"/>
        <w:tabs>
          <w:tab w:val="num" w:pos="0"/>
        </w:tabs>
        <w:spacing w:line="300" w:lineRule="exact"/>
        <w:ind w:left="0"/>
        <w:jc w:val="both"/>
        <w:rPr>
          <w:rFonts w:ascii="Verdana" w:hAnsi="Verdana"/>
          <w:sz w:val="20"/>
          <w:szCs w:val="20"/>
        </w:rPr>
      </w:pPr>
    </w:p>
    <w:p w:rsidR="0028167C" w:rsidRPr="0028167C" w:rsidRDefault="0028167C" w:rsidP="0028167C">
      <w:pPr>
        <w:pStyle w:val="PargrafodaLista"/>
        <w:spacing w:line="300" w:lineRule="exact"/>
        <w:ind w:left="0"/>
        <w:jc w:val="both"/>
        <w:rPr>
          <w:rFonts w:ascii="Verdana" w:hAnsi="Verdana"/>
          <w:sz w:val="20"/>
          <w:szCs w:val="20"/>
        </w:rPr>
      </w:pPr>
      <w:r w:rsidRPr="0028167C">
        <w:rPr>
          <w:rFonts w:ascii="Verdana" w:hAnsi="Verdana"/>
          <w:sz w:val="20"/>
          <w:szCs w:val="20"/>
        </w:rPr>
        <w:t>Nada nesta ata ser</w:t>
      </w:r>
      <w:r w:rsidR="00C165DC">
        <w:rPr>
          <w:rFonts w:ascii="Verdana" w:hAnsi="Verdana"/>
          <w:sz w:val="20"/>
          <w:szCs w:val="20"/>
        </w:rPr>
        <w:t>á</w:t>
      </w:r>
      <w:r w:rsidRPr="0028167C">
        <w:rPr>
          <w:rFonts w:ascii="Verdana" w:hAnsi="Verdana"/>
          <w:sz w:val="20"/>
          <w:szCs w:val="20"/>
        </w:rPr>
        <w:t xml:space="preserve"> interpretado como novação</w:t>
      </w:r>
      <w:r w:rsidR="00C165DC">
        <w:rPr>
          <w:rFonts w:ascii="Verdana" w:hAnsi="Verdana"/>
          <w:sz w:val="20"/>
          <w:szCs w:val="20"/>
        </w:rPr>
        <w:t>,</w:t>
      </w:r>
      <w:r w:rsidRPr="0028167C">
        <w:rPr>
          <w:rFonts w:ascii="Verdana" w:hAnsi="Verdana"/>
          <w:sz w:val="20"/>
          <w:szCs w:val="20"/>
        </w:rPr>
        <w:t xml:space="preserve"> renúncia de direitos </w:t>
      </w:r>
      <w:r w:rsidR="00C165DC">
        <w:rPr>
          <w:rFonts w:ascii="Verdana" w:hAnsi="Verdana"/>
          <w:sz w:val="20"/>
          <w:szCs w:val="20"/>
        </w:rPr>
        <w:t xml:space="preserve">ou de garantias ou reconhecimento quanto à essencialidade das ações ou dos dividendos da Braskem </w:t>
      </w:r>
      <w:r w:rsidRPr="0028167C">
        <w:rPr>
          <w:rFonts w:ascii="Verdana" w:hAnsi="Verdana"/>
          <w:sz w:val="20"/>
          <w:szCs w:val="20"/>
        </w:rPr>
        <w:t>pelos Debenturista</w:t>
      </w:r>
      <w:r w:rsidR="00C165DC">
        <w:rPr>
          <w:rFonts w:ascii="Verdana" w:hAnsi="Verdana"/>
          <w:sz w:val="20"/>
          <w:szCs w:val="20"/>
        </w:rPr>
        <w:t>s</w:t>
      </w:r>
      <w:r w:rsidRPr="0028167C">
        <w:rPr>
          <w:rFonts w:ascii="Verdana" w:hAnsi="Verdana"/>
          <w:sz w:val="20"/>
          <w:szCs w:val="20"/>
        </w:rPr>
        <w:t>. Ratificam</w:t>
      </w:r>
      <w:bookmarkStart w:id="3" w:name="_GoBack"/>
      <w:bookmarkEnd w:id="3"/>
      <w:r w:rsidRPr="0028167C">
        <w:rPr>
          <w:rFonts w:ascii="Verdana" w:hAnsi="Verdana"/>
          <w:sz w:val="20"/>
          <w:szCs w:val="20"/>
        </w:rPr>
        <w:t xml:space="preserve">-se expressamente, para todos os fins de direito, a Escritura de Emissão, os Contratos de Garantia e demais Documentos da Operação, os quais permanecem válidos e exequíveis de acordo com seus termos e condições. </w:t>
      </w:r>
    </w:p>
    <w:p w:rsidR="0028167C" w:rsidRPr="0028167C" w:rsidRDefault="0028167C" w:rsidP="0028167C">
      <w:pPr>
        <w:pStyle w:val="PargrafodaLista"/>
        <w:spacing w:line="300" w:lineRule="exact"/>
        <w:ind w:left="0"/>
        <w:jc w:val="both"/>
        <w:rPr>
          <w:rFonts w:ascii="Verdana" w:hAnsi="Verdana"/>
          <w:sz w:val="20"/>
          <w:szCs w:val="20"/>
        </w:rPr>
      </w:pPr>
    </w:p>
    <w:p w:rsidR="0028167C" w:rsidRPr="0028167C" w:rsidRDefault="0028167C" w:rsidP="0028167C">
      <w:pPr>
        <w:spacing w:line="300" w:lineRule="exact"/>
        <w:jc w:val="both"/>
        <w:rPr>
          <w:rFonts w:ascii="Verdana" w:hAnsi="Verdana"/>
          <w:sz w:val="20"/>
          <w:szCs w:val="20"/>
        </w:rPr>
      </w:pPr>
      <w:r w:rsidRPr="0028167C">
        <w:rPr>
          <w:rFonts w:ascii="Verdana" w:hAnsi="Verdana"/>
          <w:sz w:val="20"/>
          <w:szCs w:val="20"/>
        </w:rPr>
        <w:t xml:space="preserve">Os termos que não estejam expressamente definidos neste instrumento terão o significado a eles atribuídos na Escritura de Emissão. </w:t>
      </w:r>
    </w:p>
    <w:p w:rsidR="0028167C" w:rsidRPr="0028167C" w:rsidRDefault="0028167C" w:rsidP="0028167C">
      <w:pPr>
        <w:spacing w:line="320" w:lineRule="exact"/>
        <w:jc w:val="both"/>
        <w:rPr>
          <w:rFonts w:ascii="Verdana" w:hAnsi="Verdana"/>
          <w:b/>
          <w:sz w:val="20"/>
          <w:szCs w:val="20"/>
        </w:rPr>
      </w:pPr>
    </w:p>
    <w:p w:rsidR="0028167C" w:rsidRPr="0028167C" w:rsidRDefault="0028167C" w:rsidP="0028167C">
      <w:pPr>
        <w:spacing w:line="320" w:lineRule="exact"/>
        <w:rPr>
          <w:rFonts w:ascii="Verdana" w:hAnsi="Verdana"/>
          <w:sz w:val="20"/>
          <w:szCs w:val="20"/>
        </w:rPr>
      </w:pPr>
      <w:r w:rsidRPr="0028167C">
        <w:rPr>
          <w:rFonts w:ascii="Verdana" w:hAnsi="Verdana"/>
          <w:b/>
          <w:sz w:val="20"/>
          <w:szCs w:val="20"/>
        </w:rPr>
        <w:t>7. Encerramento:</w:t>
      </w:r>
      <w:r w:rsidRPr="002816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jc w:val="center"/>
        <w:rPr>
          <w:rFonts w:ascii="Verdana" w:hAnsi="Verdana"/>
          <w:sz w:val="20"/>
          <w:szCs w:val="20"/>
        </w:rPr>
      </w:pPr>
      <w:r>
        <w:rPr>
          <w:rFonts w:ascii="Verdana" w:hAnsi="Verdana"/>
          <w:sz w:val="20"/>
          <w:szCs w:val="20"/>
        </w:rPr>
        <w:t>São Paulo</w:t>
      </w:r>
      <w:r w:rsidRPr="004211CD">
        <w:rPr>
          <w:rFonts w:ascii="Verdana" w:hAnsi="Verdana"/>
          <w:sz w:val="20"/>
          <w:szCs w:val="20"/>
        </w:rPr>
        <w:t xml:space="preserve">, </w:t>
      </w:r>
      <w:r w:rsidR="003050F3">
        <w:rPr>
          <w:rFonts w:ascii="Verdana" w:hAnsi="Verdana"/>
          <w:sz w:val="20"/>
          <w:szCs w:val="20"/>
        </w:rPr>
        <w:t>26 de dezembro de 2019</w:t>
      </w:r>
      <w:r w:rsidRPr="004211CD">
        <w:rPr>
          <w:rFonts w:ascii="Verdana" w:hAnsi="Verdana"/>
          <w:sz w:val="20"/>
          <w:szCs w:val="20"/>
        </w:rPr>
        <w:t>.</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rPr>
          <w:rFonts w:ascii="Verdana" w:hAnsi="Verdana"/>
          <w:sz w:val="20"/>
          <w:szCs w:val="20"/>
        </w:rPr>
      </w:pPr>
      <w:r w:rsidRPr="004211CD">
        <w:rPr>
          <w:rFonts w:ascii="Verdana" w:hAnsi="Verdana"/>
          <w:sz w:val="20"/>
          <w:szCs w:val="20"/>
        </w:rPr>
        <w:t>Mesa:</w:t>
      </w:r>
    </w:p>
    <w:p w:rsidR="0028167C" w:rsidRPr="004211CD" w:rsidRDefault="0028167C" w:rsidP="0028167C">
      <w:pPr>
        <w:spacing w:line="320" w:lineRule="exact"/>
        <w:rPr>
          <w:rFonts w:ascii="Verdana" w:hAnsi="Verdana"/>
          <w:sz w:val="20"/>
          <w:szCs w:val="20"/>
        </w:rPr>
      </w:pPr>
    </w:p>
    <w:p w:rsidR="0028167C" w:rsidRPr="004211CD" w:rsidRDefault="0028167C" w:rsidP="0028167C">
      <w:pPr>
        <w:spacing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28167C" w:rsidRPr="004211CD" w:rsidTr="00F00120">
        <w:trPr>
          <w:cantSplit/>
          <w:trHeight w:val="411"/>
        </w:trPr>
        <w:tc>
          <w:tcPr>
            <w:tcW w:w="4253" w:type="dxa"/>
            <w:tcBorders>
              <w:top w:val="single" w:sz="6" w:space="0" w:color="auto"/>
            </w:tcBorders>
          </w:tcPr>
          <w:p w:rsidR="0028167C" w:rsidRPr="004211CD" w:rsidRDefault="003050F3" w:rsidP="00F00120">
            <w:pPr>
              <w:spacing w:line="320" w:lineRule="exact"/>
              <w:jc w:val="center"/>
              <w:rPr>
                <w:rFonts w:ascii="Verdana" w:hAnsi="Verdana"/>
                <w:sz w:val="20"/>
                <w:szCs w:val="20"/>
              </w:rPr>
            </w:pPr>
            <w:r>
              <w:rPr>
                <w:rFonts w:ascii="Verdana" w:hAnsi="Verdana"/>
                <w:sz w:val="20"/>
                <w:szCs w:val="20"/>
              </w:rPr>
              <w:t>Eduardo Alves Franco Ferreira</w:t>
            </w:r>
            <w:r w:rsidR="0028167C" w:rsidRPr="004211CD">
              <w:rPr>
                <w:rFonts w:ascii="Verdana" w:hAnsi="Verdana"/>
                <w:sz w:val="20"/>
                <w:szCs w:val="20"/>
              </w:rPr>
              <w:br/>
              <w:t>Presidente</w:t>
            </w:r>
          </w:p>
        </w:tc>
        <w:tc>
          <w:tcPr>
            <w:tcW w:w="567" w:type="dxa"/>
          </w:tcPr>
          <w:p w:rsidR="0028167C" w:rsidRPr="004211CD" w:rsidRDefault="0028167C" w:rsidP="00F00120">
            <w:pPr>
              <w:spacing w:line="320" w:lineRule="exact"/>
              <w:rPr>
                <w:rFonts w:ascii="Verdana" w:hAnsi="Verdana"/>
                <w:sz w:val="20"/>
                <w:szCs w:val="20"/>
              </w:rPr>
            </w:pPr>
          </w:p>
        </w:tc>
        <w:tc>
          <w:tcPr>
            <w:tcW w:w="4253" w:type="dxa"/>
            <w:tcBorders>
              <w:top w:val="single" w:sz="6" w:space="0" w:color="auto"/>
            </w:tcBorders>
          </w:tcPr>
          <w:p w:rsidR="0028167C" w:rsidRPr="004211CD" w:rsidRDefault="008C1FCF" w:rsidP="00F00120">
            <w:pPr>
              <w:spacing w:line="320" w:lineRule="exact"/>
              <w:jc w:val="center"/>
              <w:rPr>
                <w:rFonts w:ascii="Verdana" w:hAnsi="Verdana"/>
                <w:sz w:val="20"/>
                <w:szCs w:val="20"/>
              </w:rPr>
            </w:pPr>
            <w:r>
              <w:rPr>
                <w:rFonts w:ascii="Verdana" w:hAnsi="Verdana"/>
                <w:sz w:val="20"/>
                <w:szCs w:val="20"/>
              </w:rPr>
              <w:t>Márcio de Oliveira</w:t>
            </w:r>
            <w:r w:rsidR="0028167C" w:rsidRPr="004211CD">
              <w:rPr>
                <w:rFonts w:ascii="Verdana" w:hAnsi="Verdana"/>
                <w:sz w:val="20"/>
                <w:szCs w:val="20"/>
              </w:rPr>
              <w:br/>
              <w:t>Secretário</w:t>
            </w:r>
          </w:p>
          <w:p w:rsidR="0028167C" w:rsidRPr="004211CD" w:rsidRDefault="0028167C" w:rsidP="00F00120">
            <w:pPr>
              <w:spacing w:line="320" w:lineRule="exact"/>
              <w:rPr>
                <w:rFonts w:ascii="Verdana" w:hAnsi="Verdana"/>
                <w:sz w:val="20"/>
                <w:szCs w:val="20"/>
              </w:rPr>
            </w:pPr>
          </w:p>
        </w:tc>
      </w:tr>
    </w:tbl>
    <w:p w:rsidR="0028167C" w:rsidRPr="004211CD" w:rsidRDefault="0028167C" w:rsidP="0028167C">
      <w:pPr>
        <w:autoSpaceDE/>
        <w:autoSpaceDN/>
        <w:adjustRightInd/>
        <w:spacing w:line="280" w:lineRule="exact"/>
        <w:rPr>
          <w:rFonts w:ascii="Verdana" w:hAnsi="Verdana"/>
          <w:sz w:val="20"/>
          <w:szCs w:val="20"/>
        </w:rPr>
      </w:pPr>
      <w:r w:rsidRPr="004211CD">
        <w:rPr>
          <w:rFonts w:ascii="Verdana" w:hAnsi="Verdana"/>
          <w:sz w:val="20"/>
          <w:szCs w:val="20"/>
        </w:rPr>
        <w:br w:type="page"/>
      </w:r>
    </w:p>
    <w:p w:rsidR="0028167C" w:rsidRDefault="0028167C" w:rsidP="0028167C">
      <w:pPr>
        <w:spacing w:line="300" w:lineRule="exact"/>
        <w:jc w:val="both"/>
        <w:rPr>
          <w:sz w:val="22"/>
          <w:szCs w:val="22"/>
        </w:rPr>
      </w:pPr>
      <w:r>
        <w:rPr>
          <w:rFonts w:ascii="Verdana" w:hAnsi="Verdana"/>
          <w:b/>
          <w:i/>
          <w:sz w:val="20"/>
          <w:szCs w:val="20"/>
        </w:rPr>
        <w:lastRenderedPageBreak/>
        <w:t>[</w:t>
      </w:r>
      <w:r w:rsidRPr="00A66D75">
        <w:rPr>
          <w:rFonts w:ascii="Verdana" w:hAnsi="Verdana"/>
          <w:b/>
          <w:i/>
          <w:sz w:val="20"/>
          <w:szCs w:val="20"/>
        </w:rPr>
        <w:t xml:space="preserve">Página de assinaturas </w:t>
      </w:r>
      <w:r>
        <w:rPr>
          <w:rFonts w:ascii="Verdana" w:hAnsi="Verdana"/>
          <w:b/>
          <w:i/>
          <w:sz w:val="20"/>
          <w:szCs w:val="20"/>
        </w:rPr>
        <w:t>(1</w:t>
      </w:r>
      <w:r w:rsidRPr="00A66D75">
        <w:rPr>
          <w:rFonts w:ascii="Verdana" w:hAnsi="Verdana"/>
          <w:b/>
          <w:i/>
          <w:sz w:val="20"/>
          <w:szCs w:val="20"/>
        </w:rPr>
        <w:t>/</w:t>
      </w:r>
      <w:r w:rsidR="004F74C3">
        <w:rPr>
          <w:rFonts w:ascii="Verdana" w:hAnsi="Verdana"/>
          <w:b/>
          <w:i/>
          <w:sz w:val="20"/>
          <w:szCs w:val="20"/>
        </w:rPr>
        <w:t>4</w:t>
      </w:r>
      <w:r>
        <w:rPr>
          <w:rFonts w:ascii="Verdana" w:hAnsi="Verdana"/>
          <w:b/>
          <w:i/>
          <w:sz w:val="20"/>
          <w:szCs w:val="20"/>
        </w:rPr>
        <w:t>)</w:t>
      </w:r>
      <w:r w:rsidRPr="00A66D75">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A66D75">
        <w:rPr>
          <w:rFonts w:ascii="Verdana" w:hAnsi="Verdana"/>
          <w:b/>
          <w:i/>
          <w:sz w:val="20"/>
          <w:szCs w:val="20"/>
        </w:rPr>
        <w:t>Em Recuperação Judicial</w:t>
      </w:r>
      <w:r>
        <w:rPr>
          <w:rFonts w:ascii="Verdana" w:hAnsi="Verdana"/>
          <w:b/>
          <w:i/>
          <w:sz w:val="20"/>
          <w:szCs w:val="20"/>
        </w:rPr>
        <w:t>]</w:t>
      </w:r>
    </w:p>
    <w:p w:rsidR="0028167C" w:rsidRDefault="0028167C" w:rsidP="0028167C">
      <w:pPr>
        <w:autoSpaceDE/>
        <w:autoSpaceDN/>
        <w:adjustRightInd/>
        <w:spacing w:line="280" w:lineRule="exact"/>
        <w:rPr>
          <w:rFonts w:ascii="Verdana" w:hAnsi="Verdana"/>
          <w:sz w:val="20"/>
          <w:szCs w:val="20"/>
        </w:rPr>
      </w:pPr>
    </w:p>
    <w:p w:rsidR="0028167C"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
          <w:bCs/>
          <w:sz w:val="20"/>
          <w:szCs w:val="20"/>
        </w:rPr>
      </w:pPr>
      <w:r w:rsidRPr="00622B84">
        <w:rPr>
          <w:rFonts w:ascii="Verdana" w:hAnsi="Verdana"/>
          <w:b/>
          <w:bCs/>
          <w:sz w:val="20"/>
          <w:szCs w:val="20"/>
        </w:rPr>
        <w:t xml:space="preserve">Simplific </w:t>
      </w:r>
      <w:proofErr w:type="spellStart"/>
      <w:r w:rsidRPr="00622B84">
        <w:rPr>
          <w:rFonts w:ascii="Verdana" w:hAnsi="Verdana"/>
          <w:b/>
          <w:bCs/>
          <w:sz w:val="20"/>
          <w:szCs w:val="20"/>
        </w:rPr>
        <w:t>Pavarini</w:t>
      </w:r>
      <w:proofErr w:type="spellEnd"/>
      <w:r w:rsidRPr="00622B84">
        <w:rPr>
          <w:rFonts w:ascii="Verdana" w:hAnsi="Verdana"/>
          <w:b/>
          <w:bCs/>
          <w:sz w:val="20"/>
          <w:szCs w:val="20"/>
        </w:rPr>
        <w:t xml:space="preserve"> Distribuidora de Títulos e Valores Mobiliários Ltda.</w:t>
      </w:r>
    </w:p>
    <w:p w:rsidR="0028167C" w:rsidRPr="00622B84" w:rsidRDefault="0028167C" w:rsidP="0028167C">
      <w:pPr>
        <w:spacing w:line="280" w:lineRule="exact"/>
        <w:jc w:val="center"/>
        <w:rPr>
          <w:rFonts w:ascii="Verdana" w:hAnsi="Verdana"/>
          <w:b/>
          <w:bCs/>
          <w:sz w:val="20"/>
          <w:szCs w:val="20"/>
        </w:rPr>
      </w:pPr>
      <w:r w:rsidRPr="00622B84">
        <w:rPr>
          <w:rFonts w:ascii="Verdana" w:hAnsi="Verdana"/>
          <w:bCs/>
          <w:sz w:val="20"/>
          <w:szCs w:val="20"/>
        </w:rPr>
        <w:t>(na qualidade de Agente Fiduciário)</w:t>
      </w: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bCs/>
          <w:sz w:val="20"/>
          <w:szCs w:val="20"/>
        </w:rPr>
      </w:pPr>
    </w:p>
    <w:p w:rsidR="0028167C" w:rsidRPr="00622B84" w:rsidRDefault="0028167C" w:rsidP="0028167C">
      <w:pPr>
        <w:spacing w:line="280" w:lineRule="exact"/>
        <w:jc w:val="center"/>
        <w:rPr>
          <w:rFonts w:ascii="Verdana" w:hAnsi="Verdana"/>
          <w:sz w:val="20"/>
          <w:szCs w:val="20"/>
        </w:rPr>
      </w:pPr>
    </w:p>
    <w:p w:rsidR="0028167C" w:rsidRPr="00622B84" w:rsidRDefault="0028167C" w:rsidP="0028167C">
      <w:pPr>
        <w:spacing w:line="280" w:lineRule="exact"/>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28167C" w:rsidRPr="00622B84" w:rsidTr="00F00120">
        <w:trPr>
          <w:cantSplit/>
          <w:jc w:val="center"/>
        </w:trPr>
        <w:tc>
          <w:tcPr>
            <w:tcW w:w="5443" w:type="dxa"/>
            <w:tcBorders>
              <w:top w:val="single" w:sz="6" w:space="0" w:color="auto"/>
            </w:tcBorders>
          </w:tcPr>
          <w:p w:rsidR="0028167C" w:rsidRPr="00622B84" w:rsidRDefault="0028167C" w:rsidP="00F00120">
            <w:pPr>
              <w:spacing w:line="280" w:lineRule="exact"/>
              <w:contextualSpacing/>
              <w:rPr>
                <w:rFonts w:ascii="Verdana" w:hAnsi="Verdana"/>
                <w:sz w:val="20"/>
                <w:szCs w:val="20"/>
              </w:rPr>
            </w:pPr>
            <w:r w:rsidRPr="00622B84">
              <w:rPr>
                <w:rFonts w:ascii="Verdana" w:hAnsi="Verdana"/>
                <w:sz w:val="20"/>
                <w:szCs w:val="20"/>
              </w:rPr>
              <w:t>Nome:</w:t>
            </w:r>
            <w:r w:rsidRPr="00622B84">
              <w:rPr>
                <w:rFonts w:ascii="Verdana" w:hAnsi="Verdana"/>
                <w:sz w:val="20"/>
                <w:szCs w:val="20"/>
              </w:rPr>
              <w:br/>
              <w:t>Cargo:</w:t>
            </w:r>
          </w:p>
        </w:tc>
      </w:tr>
    </w:tbl>
    <w:p w:rsidR="0028167C" w:rsidRPr="00622B84" w:rsidRDefault="0028167C" w:rsidP="0028167C">
      <w:pPr>
        <w:spacing w:line="280" w:lineRule="exact"/>
        <w:contextualSpacing/>
        <w:rPr>
          <w:rFonts w:ascii="Verdana" w:hAnsi="Verdana"/>
          <w:sz w:val="20"/>
          <w:szCs w:val="20"/>
        </w:rPr>
      </w:pPr>
    </w:p>
    <w:p w:rsidR="0028167C" w:rsidRPr="00622B84" w:rsidRDefault="0028167C" w:rsidP="0028167C">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28167C" w:rsidRPr="00622B84" w:rsidRDefault="0028167C" w:rsidP="0028167C">
      <w:pPr>
        <w:spacing w:line="300" w:lineRule="exact"/>
        <w:jc w:val="both"/>
        <w:rPr>
          <w:rFonts w:ascii="Verdana" w:hAnsi="Verdana"/>
          <w:sz w:val="20"/>
          <w:szCs w:val="20"/>
        </w:rPr>
      </w:pPr>
      <w:r w:rsidRPr="00622B84">
        <w:rPr>
          <w:rFonts w:ascii="Verdana" w:hAnsi="Verdana"/>
          <w:b/>
          <w:i/>
          <w:sz w:val="20"/>
          <w:szCs w:val="20"/>
        </w:rPr>
        <w:lastRenderedPageBreak/>
        <w:t>[Página de assinaturas (2/</w:t>
      </w:r>
      <w:r w:rsidR="004F74C3">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622B84">
        <w:rPr>
          <w:rFonts w:ascii="Verdana" w:hAnsi="Verdana"/>
          <w:b/>
          <w:i/>
          <w:sz w:val="20"/>
          <w:szCs w:val="20"/>
        </w:rPr>
        <w:t>Em Recuperação Judicial]</w:t>
      </w: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spacing w:line="300" w:lineRule="exact"/>
        <w:jc w:val="center"/>
        <w:rPr>
          <w:rFonts w:ascii="Verdana" w:hAnsi="Verdana"/>
          <w:sz w:val="20"/>
          <w:szCs w:val="20"/>
        </w:rPr>
      </w:pPr>
    </w:p>
    <w:p w:rsidR="0028167C" w:rsidRPr="00622B84" w:rsidRDefault="0028167C" w:rsidP="0028167C">
      <w:pPr>
        <w:spacing w:line="300" w:lineRule="exact"/>
        <w:jc w:val="center"/>
        <w:rPr>
          <w:rFonts w:ascii="Verdana" w:hAnsi="Verdana"/>
          <w:sz w:val="20"/>
          <w:szCs w:val="20"/>
          <w:lang w:val="x-none"/>
        </w:rPr>
      </w:pP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28167C" w:rsidRPr="00622B84" w:rsidRDefault="0028167C" w:rsidP="0028167C">
      <w:pPr>
        <w:spacing w:line="300" w:lineRule="exact"/>
        <w:jc w:val="center"/>
        <w:rPr>
          <w:rFonts w:ascii="Verdana" w:hAnsi="Verdana"/>
          <w:sz w:val="20"/>
          <w:szCs w:val="20"/>
        </w:rPr>
      </w:pPr>
      <w:r w:rsidRPr="00622B84">
        <w:rPr>
          <w:rFonts w:ascii="Verdana" w:hAnsi="Verdana"/>
          <w:b/>
          <w:sz w:val="20"/>
          <w:szCs w:val="20"/>
        </w:rPr>
        <w:t>BANCO BRADESCO S.A.</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Titular de 880.000 Debêntures da 1ª Série</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Representando 100,00% das Debêntures da 1ª Série em Circulação</w:t>
      </w:r>
    </w:p>
    <w:p w:rsidR="0028167C" w:rsidRPr="00622B84" w:rsidRDefault="0028167C" w:rsidP="0028167C">
      <w:pPr>
        <w:autoSpaceDE/>
        <w:autoSpaceDN/>
        <w:adjustRightInd/>
        <w:spacing w:after="160" w:line="259" w:lineRule="auto"/>
        <w:rPr>
          <w:rFonts w:ascii="Verdana" w:hAnsi="Verdana"/>
          <w:sz w:val="20"/>
          <w:szCs w:val="20"/>
        </w:rPr>
      </w:pPr>
      <w:r w:rsidRPr="00622B84">
        <w:rPr>
          <w:rFonts w:ascii="Verdana" w:hAnsi="Verdana"/>
          <w:sz w:val="20"/>
          <w:szCs w:val="20"/>
        </w:rPr>
        <w:br w:type="page"/>
      </w:r>
    </w:p>
    <w:p w:rsidR="0028167C" w:rsidRPr="00622B84" w:rsidRDefault="0028167C" w:rsidP="0028167C">
      <w:pPr>
        <w:spacing w:line="300" w:lineRule="exact"/>
        <w:jc w:val="both"/>
        <w:rPr>
          <w:rFonts w:ascii="Verdana" w:hAnsi="Verdana"/>
          <w:sz w:val="20"/>
          <w:szCs w:val="20"/>
        </w:rPr>
      </w:pPr>
      <w:r w:rsidRPr="00622B84">
        <w:rPr>
          <w:rFonts w:ascii="Verdana" w:hAnsi="Verdana"/>
          <w:b/>
          <w:i/>
          <w:sz w:val="20"/>
          <w:szCs w:val="20"/>
        </w:rPr>
        <w:lastRenderedPageBreak/>
        <w:t>[Página de assinaturas (3/</w:t>
      </w:r>
      <w:r w:rsidR="004F74C3">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sidR="004F74C3">
        <w:rPr>
          <w:rFonts w:ascii="Verdana" w:hAnsi="Verdana"/>
          <w:b/>
          <w:i/>
          <w:sz w:val="20"/>
          <w:szCs w:val="20"/>
        </w:rPr>
        <w:t xml:space="preserve">- </w:t>
      </w:r>
      <w:r w:rsidRPr="00622B84">
        <w:rPr>
          <w:rFonts w:ascii="Verdana" w:hAnsi="Verdana"/>
          <w:b/>
          <w:i/>
          <w:sz w:val="20"/>
          <w:szCs w:val="20"/>
        </w:rPr>
        <w:t>Em Recuperação Judicial]</w:t>
      </w: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autoSpaceDE/>
        <w:autoSpaceDN/>
        <w:adjustRightInd/>
        <w:spacing w:line="280" w:lineRule="exact"/>
        <w:rPr>
          <w:rFonts w:ascii="Verdana" w:hAnsi="Verdana"/>
          <w:sz w:val="20"/>
          <w:szCs w:val="20"/>
        </w:rPr>
      </w:pP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___________________________________________________________</w:t>
      </w:r>
    </w:p>
    <w:p w:rsidR="0028167C" w:rsidRPr="00622B84" w:rsidRDefault="0028167C" w:rsidP="0028167C">
      <w:pPr>
        <w:spacing w:line="300" w:lineRule="exact"/>
        <w:jc w:val="center"/>
        <w:rPr>
          <w:rFonts w:ascii="Verdana" w:hAnsi="Verdana"/>
          <w:sz w:val="20"/>
          <w:szCs w:val="20"/>
        </w:rPr>
      </w:pPr>
      <w:r w:rsidRPr="00622B84">
        <w:rPr>
          <w:rFonts w:ascii="Verdana" w:hAnsi="Verdana"/>
          <w:b/>
          <w:sz w:val="20"/>
          <w:szCs w:val="20"/>
        </w:rPr>
        <w:t>BANCO DO BRASIL S.A.</w:t>
      </w:r>
    </w:p>
    <w:p w:rsidR="0028167C" w:rsidRPr="00622B84" w:rsidRDefault="0028167C" w:rsidP="0028167C">
      <w:pPr>
        <w:spacing w:line="300" w:lineRule="exact"/>
        <w:jc w:val="center"/>
        <w:rPr>
          <w:rFonts w:ascii="Verdana" w:hAnsi="Verdana"/>
          <w:sz w:val="20"/>
          <w:szCs w:val="20"/>
        </w:rPr>
      </w:pPr>
      <w:r w:rsidRPr="00622B84">
        <w:rPr>
          <w:rFonts w:ascii="Verdana" w:hAnsi="Verdana"/>
          <w:sz w:val="20"/>
          <w:szCs w:val="20"/>
        </w:rPr>
        <w:t>Titular de 1.037.337 Debêntures da 2ª Série</w:t>
      </w:r>
    </w:p>
    <w:p w:rsidR="0028167C" w:rsidRPr="00622B84" w:rsidRDefault="0028167C" w:rsidP="0028167C">
      <w:pPr>
        <w:autoSpaceDE/>
        <w:autoSpaceDN/>
        <w:adjustRightInd/>
        <w:spacing w:line="280" w:lineRule="exact"/>
        <w:jc w:val="center"/>
        <w:rPr>
          <w:rFonts w:ascii="Verdana" w:hAnsi="Verdana"/>
          <w:sz w:val="20"/>
          <w:szCs w:val="20"/>
        </w:rPr>
      </w:pPr>
      <w:r w:rsidRPr="00622B84">
        <w:rPr>
          <w:rFonts w:ascii="Verdana" w:hAnsi="Verdana"/>
          <w:sz w:val="20"/>
          <w:szCs w:val="20"/>
        </w:rPr>
        <w:t>Representando 100% das Debêntures da 2ª Série em Circulação</w:t>
      </w:r>
    </w:p>
    <w:p w:rsidR="0028167C" w:rsidRPr="00622B84" w:rsidRDefault="0028167C" w:rsidP="0028167C">
      <w:pPr>
        <w:autoSpaceDE/>
        <w:autoSpaceDN/>
        <w:adjustRightInd/>
        <w:spacing w:line="280" w:lineRule="exact"/>
        <w:rPr>
          <w:rFonts w:ascii="Verdana" w:hAnsi="Verdana"/>
          <w:sz w:val="20"/>
          <w:szCs w:val="20"/>
        </w:rPr>
      </w:pPr>
    </w:p>
    <w:p w:rsidR="004F74C3" w:rsidRDefault="004F74C3">
      <w:pPr>
        <w:autoSpaceDE/>
        <w:autoSpaceDN/>
        <w:adjustRightInd/>
        <w:spacing w:after="160" w:line="259" w:lineRule="auto"/>
      </w:pPr>
      <w:r>
        <w:br w:type="page"/>
      </w:r>
    </w:p>
    <w:p w:rsidR="004F74C3" w:rsidRPr="00622B84" w:rsidRDefault="004F74C3" w:rsidP="004F74C3">
      <w:pPr>
        <w:spacing w:line="300" w:lineRule="exact"/>
        <w:jc w:val="both"/>
        <w:rPr>
          <w:rFonts w:ascii="Verdana" w:hAnsi="Verdana"/>
          <w:sz w:val="20"/>
          <w:szCs w:val="20"/>
        </w:rPr>
      </w:pPr>
      <w:r w:rsidRPr="00622B84">
        <w:rPr>
          <w:rFonts w:ascii="Verdana" w:hAnsi="Verdana"/>
          <w:b/>
          <w:i/>
          <w:sz w:val="20"/>
          <w:szCs w:val="20"/>
        </w:rPr>
        <w:lastRenderedPageBreak/>
        <w:t>[Página de assinaturas (</w:t>
      </w:r>
      <w:r>
        <w:rPr>
          <w:rFonts w:ascii="Verdana" w:hAnsi="Verdana"/>
          <w:b/>
          <w:i/>
          <w:sz w:val="20"/>
          <w:szCs w:val="20"/>
        </w:rPr>
        <w:t>4</w:t>
      </w:r>
      <w:r w:rsidRPr="00622B84">
        <w:rPr>
          <w:rFonts w:ascii="Verdana" w:hAnsi="Verdana"/>
          <w:b/>
          <w:i/>
          <w:sz w:val="20"/>
          <w:szCs w:val="20"/>
        </w:rPr>
        <w:t>/</w:t>
      </w:r>
      <w:r>
        <w:rPr>
          <w:rFonts w:ascii="Verdana" w:hAnsi="Verdana"/>
          <w:b/>
          <w:i/>
          <w:sz w:val="20"/>
          <w:szCs w:val="20"/>
        </w:rPr>
        <w:t>4</w:t>
      </w:r>
      <w:r w:rsidRPr="00622B84">
        <w:rPr>
          <w:rFonts w:ascii="Verdana" w:hAnsi="Verdana"/>
          <w:b/>
          <w:i/>
          <w:sz w:val="20"/>
          <w:szCs w:val="20"/>
        </w:rPr>
        <w:t xml:space="preserve">) da Ata da Assembleia Geral de Debenturistas da 1ª Emissão da Odebrecht S.A. </w:t>
      </w:r>
      <w:r>
        <w:rPr>
          <w:rFonts w:ascii="Verdana" w:hAnsi="Verdana"/>
          <w:b/>
          <w:i/>
          <w:sz w:val="20"/>
          <w:szCs w:val="20"/>
        </w:rPr>
        <w:t xml:space="preserve">- </w:t>
      </w:r>
      <w:r w:rsidRPr="00622B84">
        <w:rPr>
          <w:rFonts w:ascii="Verdana" w:hAnsi="Verdana"/>
          <w:b/>
          <w:i/>
          <w:sz w:val="20"/>
          <w:szCs w:val="20"/>
        </w:rPr>
        <w:t>Em Recuperação Judicial]</w:t>
      </w: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622B84" w:rsidRDefault="004F74C3" w:rsidP="004F74C3">
      <w:pPr>
        <w:autoSpaceDE/>
        <w:autoSpaceDN/>
        <w:adjustRightInd/>
        <w:spacing w:line="280" w:lineRule="exact"/>
        <w:rPr>
          <w:rFonts w:ascii="Verdana" w:hAnsi="Verdana"/>
          <w:sz w:val="20"/>
          <w:szCs w:val="20"/>
        </w:rPr>
      </w:pPr>
    </w:p>
    <w:p w:rsidR="004F74C3" w:rsidRPr="004F74C3" w:rsidRDefault="004F74C3" w:rsidP="004F74C3">
      <w:pPr>
        <w:rPr>
          <w:rFonts w:ascii="Verdana" w:hAnsi="Verdana"/>
          <w:b/>
          <w:sz w:val="20"/>
          <w:szCs w:val="20"/>
        </w:rPr>
      </w:pPr>
      <w:r w:rsidRPr="004F74C3">
        <w:rPr>
          <w:rFonts w:ascii="Verdana" w:hAnsi="Verdana"/>
          <w:b/>
          <w:sz w:val="20"/>
          <w:szCs w:val="20"/>
        </w:rPr>
        <w:t xml:space="preserve">ODEBRECHT S.A. </w:t>
      </w:r>
      <w:r w:rsidRPr="004F74C3">
        <w:rPr>
          <w:rFonts w:ascii="Verdana" w:hAnsi="Verdana"/>
          <w:b/>
          <w:bCs/>
          <w:sz w:val="20"/>
          <w:szCs w:val="20"/>
        </w:rPr>
        <w:t>–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4F74C3">
        <w:trPr>
          <w:cantSplit/>
        </w:trPr>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4F74C3">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p>
    <w:p w:rsidR="004F74C3" w:rsidRPr="004F74C3" w:rsidRDefault="004F74C3" w:rsidP="004F74C3">
      <w:pPr>
        <w:rPr>
          <w:rFonts w:ascii="Verdana" w:hAnsi="Verdana"/>
          <w:b/>
          <w:sz w:val="20"/>
          <w:szCs w:val="20"/>
        </w:rPr>
      </w:pPr>
      <w:r w:rsidRPr="004F74C3">
        <w:rPr>
          <w:rFonts w:ascii="Verdana" w:hAnsi="Verdana"/>
          <w:b/>
          <w:sz w:val="20"/>
          <w:szCs w:val="20"/>
        </w:rPr>
        <w:t xml:space="preserve">ODEBRECHT SERVIÇOS E PARTICIPAÇÕES S.A. </w:t>
      </w:r>
      <w:r w:rsidRPr="004F74C3">
        <w:rPr>
          <w:rFonts w:ascii="Verdana" w:hAnsi="Verdana"/>
          <w:b/>
          <w:bCs/>
          <w:sz w:val="20"/>
          <w:szCs w:val="20"/>
        </w:rPr>
        <w:t>–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4F74C3">
        <w:trPr>
          <w:cantSplit/>
        </w:trPr>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4F74C3">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4F74C3">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914418" w:rsidRDefault="00914418"/>
    <w:p w:rsidR="004F74C3" w:rsidRDefault="004F74C3"/>
    <w:p w:rsidR="004F74C3" w:rsidRPr="004F74C3" w:rsidRDefault="004F74C3" w:rsidP="004F74C3">
      <w:pPr>
        <w:rPr>
          <w:rFonts w:ascii="Verdana" w:hAnsi="Verdana"/>
          <w:b/>
          <w:sz w:val="20"/>
          <w:szCs w:val="20"/>
        </w:rPr>
      </w:pPr>
      <w:r w:rsidRPr="004F74C3">
        <w:rPr>
          <w:rFonts w:ascii="Verdana" w:hAnsi="Verdana"/>
          <w:b/>
          <w:sz w:val="20"/>
          <w:szCs w:val="20"/>
        </w:rPr>
        <w:t>OSP INVESTIMENTOS S.A – EM RECUPERAÇÃO JUDICIAL</w:t>
      </w: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p w:rsidR="004F74C3" w:rsidRPr="004F74C3" w:rsidRDefault="004F74C3" w:rsidP="004F74C3">
      <w:pPr>
        <w:rPr>
          <w:rFonts w:ascii="Verdana" w:hAnsi="Verdana"/>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F74C3" w:rsidRPr="004F74C3" w:rsidTr="00F00120">
        <w:trPr>
          <w:cantSplit/>
        </w:trPr>
        <w:tc>
          <w:tcPr>
            <w:tcW w:w="4253" w:type="dxa"/>
            <w:tcBorders>
              <w:top w:val="single" w:sz="6" w:space="0" w:color="auto"/>
              <w:left w:val="nil"/>
              <w:bottom w:val="nil"/>
              <w:right w:val="nil"/>
            </w:tcBorders>
            <w:hideMark/>
          </w:tcPr>
          <w:p w:rsidR="004F74C3" w:rsidRPr="004F74C3" w:rsidRDefault="004F74C3" w:rsidP="00F00120">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c>
          <w:tcPr>
            <w:tcW w:w="567" w:type="dxa"/>
          </w:tcPr>
          <w:p w:rsidR="004F74C3" w:rsidRPr="004F74C3" w:rsidRDefault="004F74C3" w:rsidP="00F00120">
            <w:pPr>
              <w:rPr>
                <w:rFonts w:ascii="Verdana" w:hAnsi="Verdana"/>
                <w:sz w:val="20"/>
                <w:szCs w:val="20"/>
                <w:lang w:val="x-none"/>
              </w:rPr>
            </w:pPr>
          </w:p>
        </w:tc>
        <w:tc>
          <w:tcPr>
            <w:tcW w:w="4253" w:type="dxa"/>
            <w:tcBorders>
              <w:top w:val="single" w:sz="6" w:space="0" w:color="auto"/>
              <w:left w:val="nil"/>
              <w:bottom w:val="nil"/>
              <w:right w:val="nil"/>
            </w:tcBorders>
            <w:hideMark/>
          </w:tcPr>
          <w:p w:rsidR="004F74C3" w:rsidRPr="004F74C3" w:rsidRDefault="004F74C3" w:rsidP="00F00120">
            <w:pPr>
              <w:rPr>
                <w:rFonts w:ascii="Verdana" w:hAnsi="Verdana"/>
                <w:sz w:val="20"/>
                <w:szCs w:val="20"/>
              </w:rPr>
            </w:pPr>
            <w:r w:rsidRPr="004F74C3">
              <w:rPr>
                <w:rFonts w:ascii="Verdana" w:hAnsi="Verdana"/>
                <w:sz w:val="20"/>
                <w:szCs w:val="20"/>
              </w:rPr>
              <w:t>Nome:</w:t>
            </w:r>
            <w:r w:rsidRPr="004F74C3">
              <w:rPr>
                <w:rFonts w:ascii="Verdana" w:hAnsi="Verdana"/>
                <w:sz w:val="20"/>
                <w:szCs w:val="20"/>
              </w:rPr>
              <w:br/>
              <w:t>Cargo:</w:t>
            </w:r>
          </w:p>
        </w:tc>
      </w:tr>
    </w:tbl>
    <w:p w:rsidR="004F74C3" w:rsidRPr="004F74C3" w:rsidRDefault="004F74C3" w:rsidP="004F74C3">
      <w:pPr>
        <w:rPr>
          <w:rFonts w:ascii="Verdana" w:hAnsi="Verdana"/>
          <w:b/>
          <w:sz w:val="20"/>
          <w:szCs w:val="20"/>
        </w:rPr>
      </w:pPr>
    </w:p>
    <w:p w:rsidR="004F74C3" w:rsidRPr="004F74C3" w:rsidRDefault="004F74C3">
      <w:pPr>
        <w:rPr>
          <w:rFonts w:ascii="Verdana" w:hAnsi="Verdana"/>
          <w:b/>
          <w:sz w:val="20"/>
          <w:szCs w:val="20"/>
        </w:rPr>
      </w:pPr>
    </w:p>
    <w:sectPr w:rsidR="004F74C3" w:rsidRPr="004F74C3" w:rsidSect="00DE2C6A">
      <w:headerReference w:type="even" r:id="rId7"/>
      <w:headerReference w:type="default" r:id="rId8"/>
      <w:footerReference w:type="even" r:id="rId9"/>
      <w:footerReference w:type="default" r:id="rId10"/>
      <w:headerReference w:type="first" r:id="rId11"/>
      <w:footerReference w:type="first" r:id="rId12"/>
      <w:pgSz w:w="12240" w:h="15840"/>
      <w:pgMar w:top="1560"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05D" w:rsidRDefault="00B4305D" w:rsidP="004F74C3">
      <w:r>
        <w:separator/>
      </w:r>
    </w:p>
  </w:endnote>
  <w:endnote w:type="continuationSeparator" w:id="0">
    <w:p w:rsidR="00B4305D" w:rsidRDefault="00B4305D" w:rsidP="004F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F3E" w:rsidRDefault="00B4305D" w:rsidP="00EF6FF8">
    <w:pPr>
      <w:pStyle w:val="Rodap"/>
    </w:pPr>
  </w:p>
  <w:p w:rsidR="00F90F3E" w:rsidRDefault="00B4305D">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Pr="00A529DB" w:rsidRDefault="00DE2C6A" w:rsidP="00A529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05D" w:rsidRDefault="00B4305D" w:rsidP="004F74C3">
      <w:r>
        <w:separator/>
      </w:r>
    </w:p>
  </w:footnote>
  <w:footnote w:type="continuationSeparator" w:id="0">
    <w:p w:rsidR="00B4305D" w:rsidRDefault="00B4305D" w:rsidP="004F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6A" w:rsidRDefault="00DE2C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6B8"/>
    <w:multiLevelType w:val="hybridMultilevel"/>
    <w:tmpl w:val="139813B6"/>
    <w:lvl w:ilvl="0" w:tplc="272411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91FA5"/>
    <w:multiLevelType w:val="hybridMultilevel"/>
    <w:tmpl w:val="0A720D56"/>
    <w:lvl w:ilvl="0" w:tplc="C498B6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F0CF5"/>
    <w:multiLevelType w:val="hybridMultilevel"/>
    <w:tmpl w:val="987A2DEE"/>
    <w:lvl w:ilvl="0" w:tplc="D99A7232">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C"/>
    <w:rsid w:val="0001712F"/>
    <w:rsid w:val="000F5FFD"/>
    <w:rsid w:val="00234E37"/>
    <w:rsid w:val="0028167C"/>
    <w:rsid w:val="003011CF"/>
    <w:rsid w:val="003050F3"/>
    <w:rsid w:val="004F74C3"/>
    <w:rsid w:val="00620C5B"/>
    <w:rsid w:val="006448D3"/>
    <w:rsid w:val="006818AE"/>
    <w:rsid w:val="007720E8"/>
    <w:rsid w:val="00870A56"/>
    <w:rsid w:val="008C1FCF"/>
    <w:rsid w:val="009100C5"/>
    <w:rsid w:val="009121CD"/>
    <w:rsid w:val="00914418"/>
    <w:rsid w:val="009A2D93"/>
    <w:rsid w:val="009E7028"/>
    <w:rsid w:val="00A529DB"/>
    <w:rsid w:val="00A566AD"/>
    <w:rsid w:val="00A65C81"/>
    <w:rsid w:val="00AF38A8"/>
    <w:rsid w:val="00B4305D"/>
    <w:rsid w:val="00C165DC"/>
    <w:rsid w:val="00C40C71"/>
    <w:rsid w:val="00C800D1"/>
    <w:rsid w:val="00D34163"/>
    <w:rsid w:val="00DE2C6A"/>
    <w:rsid w:val="00EF6FF8"/>
    <w:rsid w:val="00F231F5"/>
    <w:rsid w:val="00FF49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6F64"/>
  <w15:chartTrackingRefBased/>
  <w15:docId w15:val="{EC39A9C3-ABCA-4F43-A045-D3ECB02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67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167C"/>
    <w:pPr>
      <w:ind w:left="720"/>
      <w:contextualSpacing/>
    </w:pPr>
  </w:style>
  <w:style w:type="paragraph" w:styleId="Cabealho">
    <w:name w:val="header"/>
    <w:aliases w:val="encabezado"/>
    <w:basedOn w:val="Normal"/>
    <w:link w:val="CabealhoChar"/>
    <w:uiPriority w:val="99"/>
    <w:unhideWhenUsed/>
    <w:rsid w:val="0028167C"/>
    <w:pPr>
      <w:tabs>
        <w:tab w:val="center" w:pos="4252"/>
        <w:tab w:val="right" w:pos="8504"/>
      </w:tabs>
    </w:pPr>
  </w:style>
  <w:style w:type="character" w:customStyle="1" w:styleId="CabealhoChar">
    <w:name w:val="Cabeçalho Char"/>
    <w:aliases w:val="encabezado Char"/>
    <w:basedOn w:val="Fontepargpadro"/>
    <w:link w:val="Cabealho"/>
    <w:uiPriority w:val="99"/>
    <w:rsid w:val="002816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8167C"/>
    <w:pPr>
      <w:tabs>
        <w:tab w:val="center" w:pos="4252"/>
        <w:tab w:val="right" w:pos="8504"/>
      </w:tabs>
    </w:pPr>
  </w:style>
  <w:style w:type="character" w:customStyle="1" w:styleId="RodapChar">
    <w:name w:val="Rodapé Char"/>
    <w:basedOn w:val="Fontepargpadro"/>
    <w:link w:val="Rodap"/>
    <w:uiPriority w:val="99"/>
    <w:rsid w:val="0028167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7897">
      <w:bodyDiv w:val="1"/>
      <w:marLeft w:val="0"/>
      <w:marRight w:val="0"/>
      <w:marTop w:val="0"/>
      <w:marBottom w:val="0"/>
      <w:divBdr>
        <w:top w:val="none" w:sz="0" w:space="0" w:color="auto"/>
        <w:left w:val="none" w:sz="0" w:space="0" w:color="auto"/>
        <w:bottom w:val="none" w:sz="0" w:space="0" w:color="auto"/>
        <w:right w:val="none" w:sz="0" w:space="0" w:color="auto"/>
      </w:divBdr>
    </w:div>
    <w:div w:id="619068791">
      <w:bodyDiv w:val="1"/>
      <w:marLeft w:val="0"/>
      <w:marRight w:val="0"/>
      <w:marTop w:val="0"/>
      <w:marBottom w:val="0"/>
      <w:divBdr>
        <w:top w:val="none" w:sz="0" w:space="0" w:color="auto"/>
        <w:left w:val="none" w:sz="0" w:space="0" w:color="auto"/>
        <w:bottom w:val="none" w:sz="0" w:space="0" w:color="auto"/>
        <w:right w:val="none" w:sz="0" w:space="0" w:color="auto"/>
      </w:divBdr>
    </w:div>
    <w:div w:id="1161195980">
      <w:bodyDiv w:val="1"/>
      <w:marLeft w:val="0"/>
      <w:marRight w:val="0"/>
      <w:marTop w:val="0"/>
      <w:marBottom w:val="0"/>
      <w:divBdr>
        <w:top w:val="none" w:sz="0" w:space="0" w:color="auto"/>
        <w:left w:val="none" w:sz="0" w:space="0" w:color="auto"/>
        <w:bottom w:val="none" w:sz="0" w:space="0" w:color="auto"/>
        <w:right w:val="none" w:sz="0" w:space="0" w:color="auto"/>
      </w:divBdr>
    </w:div>
    <w:div w:id="16548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1638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Andre Moretti de Gois | Machado Meyer Advogados</cp:lastModifiedBy>
  <cp:revision>7</cp:revision>
  <cp:lastPrinted>2019-12-26T14:45:00Z</cp:lastPrinted>
  <dcterms:created xsi:type="dcterms:W3CDTF">2019-12-26T14:18:00Z</dcterms:created>
  <dcterms:modified xsi:type="dcterms:W3CDTF">2019-12-26T14:46:00Z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- 51394733v3 5043.63 </vt:lpwstr>
  </property>
</Properties>
</file>