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97218" w14:textId="77777777" w:rsidR="008D5626" w:rsidRDefault="008D5626" w:rsidP="009258A9">
      <w:pPr>
        <w:tabs>
          <w:tab w:val="num" w:pos="0"/>
        </w:tabs>
        <w:spacing w:line="300" w:lineRule="exact"/>
        <w:jc w:val="right"/>
        <w:rPr>
          <w:rFonts w:ascii="Verdana" w:hAnsi="Verdana"/>
          <w:sz w:val="18"/>
          <w:szCs w:val="18"/>
          <w:shd w:val="clear" w:color="auto" w:fill="FFFFFF"/>
        </w:rPr>
      </w:pPr>
    </w:p>
    <w:p w14:paraId="7ADBD32D" w14:textId="77777777" w:rsidR="00094514" w:rsidRDefault="00094514" w:rsidP="009258A9">
      <w:pPr>
        <w:tabs>
          <w:tab w:val="num" w:pos="0"/>
        </w:tabs>
        <w:spacing w:line="300" w:lineRule="exact"/>
        <w:jc w:val="right"/>
        <w:rPr>
          <w:rFonts w:ascii="Verdana" w:hAnsi="Verdana"/>
          <w:sz w:val="18"/>
          <w:szCs w:val="18"/>
          <w:shd w:val="clear" w:color="auto" w:fill="FFFFFF"/>
        </w:rPr>
      </w:pPr>
    </w:p>
    <w:p w14:paraId="5CD7BA53" w14:textId="2F63B71D" w:rsidR="0017480E" w:rsidRPr="0017480E" w:rsidRDefault="0017480E" w:rsidP="0017480E">
      <w:pPr>
        <w:tabs>
          <w:tab w:val="num" w:pos="0"/>
        </w:tabs>
        <w:spacing w:line="300" w:lineRule="exact"/>
        <w:jc w:val="center"/>
        <w:rPr>
          <w:rFonts w:ascii="Verdana" w:hAnsi="Verdana"/>
          <w:b/>
          <w:sz w:val="18"/>
          <w:szCs w:val="18"/>
          <w:shd w:val="clear" w:color="auto" w:fill="FFFFFF"/>
        </w:rPr>
      </w:pPr>
      <w:r w:rsidRPr="0017480E">
        <w:rPr>
          <w:rFonts w:ascii="Verdana" w:hAnsi="Verdana"/>
          <w:b/>
          <w:sz w:val="18"/>
          <w:szCs w:val="18"/>
          <w:shd w:val="clear" w:color="auto" w:fill="FFFFFF"/>
        </w:rPr>
        <w:t>CARTA DE DESTINAÇÃO DE RECURSOS</w:t>
      </w:r>
    </w:p>
    <w:p w14:paraId="5B13F4CB" w14:textId="77777777" w:rsidR="0017480E" w:rsidRDefault="0017480E" w:rsidP="009258A9">
      <w:pPr>
        <w:tabs>
          <w:tab w:val="num" w:pos="0"/>
        </w:tabs>
        <w:spacing w:line="300" w:lineRule="exact"/>
        <w:jc w:val="right"/>
        <w:rPr>
          <w:rFonts w:ascii="Verdana" w:hAnsi="Verdana"/>
          <w:sz w:val="18"/>
          <w:szCs w:val="18"/>
          <w:shd w:val="clear" w:color="auto" w:fill="FFFFFF"/>
        </w:rPr>
      </w:pPr>
    </w:p>
    <w:p w14:paraId="2FDAD06C" w14:textId="7158F568" w:rsidR="009258A9" w:rsidRPr="00A50A8B" w:rsidRDefault="009258A9" w:rsidP="0017480E">
      <w:pPr>
        <w:tabs>
          <w:tab w:val="num" w:pos="0"/>
        </w:tabs>
        <w:spacing w:line="260" w:lineRule="exact"/>
        <w:jc w:val="right"/>
        <w:rPr>
          <w:rFonts w:ascii="Verdana" w:hAnsi="Verdana"/>
          <w:sz w:val="18"/>
          <w:szCs w:val="18"/>
          <w:shd w:val="clear" w:color="auto" w:fill="FFFFFF"/>
        </w:rPr>
      </w:pPr>
      <w:r w:rsidRPr="00A50A8B">
        <w:rPr>
          <w:rFonts w:ascii="Verdana" w:hAnsi="Verdana"/>
          <w:sz w:val="18"/>
          <w:szCs w:val="18"/>
          <w:shd w:val="clear" w:color="auto" w:fill="FFFFFF"/>
        </w:rPr>
        <w:t xml:space="preserve">São Paulo, </w:t>
      </w:r>
      <w:r w:rsidR="00EF1020">
        <w:rPr>
          <w:rFonts w:ascii="Verdana" w:hAnsi="Verdana"/>
          <w:sz w:val="18"/>
          <w:szCs w:val="18"/>
          <w:shd w:val="clear" w:color="auto" w:fill="FFFFFF"/>
        </w:rPr>
        <w:t xml:space="preserve">[__] </w:t>
      </w:r>
      <w:r w:rsidR="00B46976">
        <w:rPr>
          <w:rFonts w:ascii="Verdana" w:hAnsi="Verdana"/>
          <w:sz w:val="18"/>
          <w:szCs w:val="18"/>
          <w:shd w:val="clear" w:color="auto" w:fill="FFFFFF"/>
        </w:rPr>
        <w:t xml:space="preserve">de </w:t>
      </w:r>
      <w:r w:rsidR="00EF1020">
        <w:rPr>
          <w:rFonts w:ascii="Verdana" w:hAnsi="Verdana"/>
          <w:sz w:val="18"/>
          <w:szCs w:val="18"/>
          <w:shd w:val="clear" w:color="auto" w:fill="FFFFFF"/>
        </w:rPr>
        <w:t xml:space="preserve">[__] </w:t>
      </w:r>
      <w:r w:rsidR="00B46976">
        <w:rPr>
          <w:rFonts w:ascii="Verdana" w:hAnsi="Verdana"/>
          <w:sz w:val="18"/>
          <w:szCs w:val="18"/>
          <w:shd w:val="clear" w:color="auto" w:fill="FFFFFF"/>
        </w:rPr>
        <w:t>de 201</w:t>
      </w:r>
      <w:r w:rsidR="00EF1020">
        <w:rPr>
          <w:rFonts w:ascii="Verdana" w:hAnsi="Verdana"/>
          <w:sz w:val="18"/>
          <w:szCs w:val="18"/>
          <w:shd w:val="clear" w:color="auto" w:fill="FFFFFF"/>
        </w:rPr>
        <w:t>9</w:t>
      </w:r>
    </w:p>
    <w:p w14:paraId="5E414E52" w14:textId="77777777" w:rsidR="00094514" w:rsidRDefault="00094514" w:rsidP="0017480E">
      <w:pPr>
        <w:tabs>
          <w:tab w:val="num" w:pos="0"/>
        </w:tabs>
        <w:spacing w:line="260" w:lineRule="exact"/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787A8092" w14:textId="2B06381E" w:rsidR="009258A9" w:rsidRPr="00A50A8B" w:rsidRDefault="00A50A8B" w:rsidP="0017480E">
      <w:pPr>
        <w:tabs>
          <w:tab w:val="num" w:pos="0"/>
        </w:tabs>
        <w:spacing w:line="260" w:lineRule="exact"/>
        <w:jc w:val="both"/>
        <w:rPr>
          <w:rFonts w:ascii="Verdana" w:hAnsi="Verdana"/>
          <w:sz w:val="18"/>
          <w:szCs w:val="18"/>
          <w:shd w:val="clear" w:color="auto" w:fill="FFFFFF"/>
        </w:rPr>
      </w:pPr>
      <w:r w:rsidRPr="00A50A8B">
        <w:rPr>
          <w:rFonts w:ascii="Verdana" w:hAnsi="Verdana"/>
          <w:sz w:val="18"/>
          <w:szCs w:val="18"/>
          <w:shd w:val="clear" w:color="auto" w:fill="FFFFFF"/>
        </w:rPr>
        <w:t>Ao</w:t>
      </w:r>
    </w:p>
    <w:p w14:paraId="0EA349DE" w14:textId="77777777" w:rsidR="00A50A8B" w:rsidRPr="00A50A8B" w:rsidRDefault="00A50A8B" w:rsidP="0017480E">
      <w:pPr>
        <w:tabs>
          <w:tab w:val="num" w:pos="0"/>
        </w:tabs>
        <w:spacing w:line="260" w:lineRule="exact"/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2955819F" w14:textId="747B2B93" w:rsidR="00A50A8B" w:rsidRPr="00A50A8B" w:rsidRDefault="00BA4D96" w:rsidP="0017480E">
      <w:pPr>
        <w:tabs>
          <w:tab w:val="num" w:pos="0"/>
        </w:tabs>
        <w:spacing w:line="260" w:lineRule="exact"/>
        <w:jc w:val="both"/>
        <w:rPr>
          <w:rFonts w:ascii="Verdana" w:hAnsi="Verdana"/>
          <w:b/>
          <w:sz w:val="18"/>
          <w:szCs w:val="18"/>
          <w:shd w:val="clear" w:color="auto" w:fill="FFFFFF"/>
        </w:rPr>
      </w:pPr>
      <w:r>
        <w:rPr>
          <w:rFonts w:ascii="Verdana" w:hAnsi="Verdana"/>
          <w:b/>
          <w:sz w:val="18"/>
          <w:szCs w:val="18"/>
          <w:shd w:val="clear" w:color="auto" w:fill="FFFFFF"/>
        </w:rPr>
        <w:t xml:space="preserve">Itaú Unibanco </w:t>
      </w:r>
      <w:r w:rsidR="00A50A8B" w:rsidRPr="00A50A8B">
        <w:rPr>
          <w:rFonts w:ascii="Verdana" w:hAnsi="Verdana"/>
          <w:b/>
          <w:sz w:val="18"/>
          <w:szCs w:val="18"/>
          <w:shd w:val="clear" w:color="auto" w:fill="FFFFFF"/>
        </w:rPr>
        <w:t xml:space="preserve">S.A. </w:t>
      </w:r>
      <w:r w:rsidR="0012074C">
        <w:rPr>
          <w:rFonts w:ascii="Verdana" w:hAnsi="Verdana"/>
          <w:b/>
          <w:sz w:val="18"/>
          <w:szCs w:val="18"/>
          <w:shd w:val="clear" w:color="auto" w:fill="FFFFFF"/>
        </w:rPr>
        <w:t>(“</w:t>
      </w:r>
      <w:r w:rsidR="00CB098E" w:rsidRPr="00CB098E">
        <w:rPr>
          <w:rFonts w:ascii="Verdana" w:hAnsi="Verdana"/>
          <w:b/>
          <w:sz w:val="18"/>
          <w:szCs w:val="18"/>
          <w:u w:val="single"/>
          <w:shd w:val="clear" w:color="auto" w:fill="FFFFFF"/>
        </w:rPr>
        <w:t>Itaú</w:t>
      </w:r>
      <w:r w:rsidR="0012074C">
        <w:rPr>
          <w:rFonts w:ascii="Verdana" w:hAnsi="Verdana"/>
          <w:b/>
          <w:sz w:val="18"/>
          <w:szCs w:val="18"/>
          <w:shd w:val="clear" w:color="auto" w:fill="FFFFFF"/>
        </w:rPr>
        <w:t>”)</w:t>
      </w:r>
    </w:p>
    <w:p w14:paraId="481CF61B" w14:textId="77777777" w:rsidR="00BA4D96" w:rsidRDefault="00BA4D96" w:rsidP="0017480E">
      <w:pPr>
        <w:pStyle w:val="SombreamentoColorido-nfase31"/>
        <w:keepNext w:val="0"/>
        <w:widowControl w:val="0"/>
        <w:suppressAutoHyphens w:val="0"/>
        <w:spacing w:before="0" w:after="0" w:line="260" w:lineRule="exact"/>
        <w:ind w:left="0"/>
        <w:rPr>
          <w:rFonts w:ascii="Verdana" w:eastAsia="Arial Unicode MS" w:hAnsi="Verdana"/>
          <w:sz w:val="18"/>
          <w:szCs w:val="18"/>
        </w:rPr>
      </w:pPr>
      <w:r w:rsidRPr="00BA4D96">
        <w:rPr>
          <w:rFonts w:ascii="Verdana" w:eastAsia="Arial Unicode MS" w:hAnsi="Verdana"/>
          <w:sz w:val="18"/>
          <w:szCs w:val="18"/>
        </w:rPr>
        <w:t>Praça Alfredo Egydio de Souza Aranha, nº 100, Torre Olavo Setúbal, Jardim Jabaquara</w:t>
      </w:r>
      <w:r w:rsidRPr="00A50A8B">
        <w:rPr>
          <w:rFonts w:ascii="Verdana" w:eastAsia="Arial Unicode MS" w:hAnsi="Verdana"/>
          <w:sz w:val="18"/>
          <w:szCs w:val="18"/>
        </w:rPr>
        <w:t xml:space="preserve"> </w:t>
      </w:r>
    </w:p>
    <w:p w14:paraId="3AB53C70" w14:textId="0975729F" w:rsidR="00A50A8B" w:rsidRPr="00A50A8B" w:rsidRDefault="00A50A8B" w:rsidP="0017480E">
      <w:pPr>
        <w:pStyle w:val="SombreamentoColorido-nfase31"/>
        <w:keepNext w:val="0"/>
        <w:widowControl w:val="0"/>
        <w:suppressAutoHyphens w:val="0"/>
        <w:spacing w:before="0" w:after="0" w:line="260" w:lineRule="exact"/>
        <w:ind w:left="0"/>
        <w:rPr>
          <w:rFonts w:ascii="Verdana" w:eastAsia="Arial Unicode MS" w:hAnsi="Verdana"/>
          <w:sz w:val="18"/>
          <w:szCs w:val="18"/>
        </w:rPr>
      </w:pPr>
      <w:r w:rsidRPr="00A50A8B">
        <w:rPr>
          <w:rFonts w:ascii="Verdana" w:eastAsia="Arial Unicode MS" w:hAnsi="Verdana"/>
          <w:sz w:val="18"/>
          <w:szCs w:val="18"/>
        </w:rPr>
        <w:t>São Paulo – SP</w:t>
      </w:r>
      <w:r w:rsidR="00BA4D96">
        <w:rPr>
          <w:rFonts w:ascii="Verdana" w:eastAsia="Arial Unicode MS" w:hAnsi="Verdana"/>
          <w:sz w:val="18"/>
          <w:szCs w:val="18"/>
        </w:rPr>
        <w:t xml:space="preserve"> – CEP 04344-030</w:t>
      </w:r>
    </w:p>
    <w:p w14:paraId="0629CFF7" w14:textId="5F6F01A5" w:rsidR="00A50A8B" w:rsidRPr="00A50A8B" w:rsidRDefault="00A50A8B" w:rsidP="0017480E">
      <w:pPr>
        <w:pStyle w:val="SombreamentoColorido-nfase31"/>
        <w:keepNext w:val="0"/>
        <w:widowControl w:val="0"/>
        <w:tabs>
          <w:tab w:val="left" w:pos="3495"/>
        </w:tabs>
        <w:suppressAutoHyphens w:val="0"/>
        <w:spacing w:before="0" w:after="0" w:line="260" w:lineRule="exact"/>
        <w:ind w:left="0"/>
        <w:rPr>
          <w:rFonts w:ascii="Verdana" w:eastAsia="Arial Unicode MS" w:hAnsi="Verdana"/>
          <w:sz w:val="18"/>
          <w:szCs w:val="18"/>
        </w:rPr>
      </w:pPr>
      <w:proofErr w:type="gramStart"/>
      <w:r w:rsidRPr="00A50A8B">
        <w:rPr>
          <w:rFonts w:ascii="Verdana" w:eastAsia="Arial Unicode MS" w:hAnsi="Verdana"/>
          <w:sz w:val="18"/>
          <w:szCs w:val="18"/>
        </w:rPr>
        <w:t>At.:</w:t>
      </w:r>
      <w:proofErr w:type="gramEnd"/>
      <w:r w:rsidRPr="00A50A8B">
        <w:rPr>
          <w:rFonts w:ascii="Verdana" w:eastAsia="Arial Unicode MS" w:hAnsi="Verdana"/>
          <w:sz w:val="18"/>
          <w:szCs w:val="18"/>
        </w:rPr>
        <w:t xml:space="preserve"> </w:t>
      </w:r>
      <w:r w:rsidR="00BA4D96">
        <w:rPr>
          <w:rFonts w:ascii="Verdana" w:eastAsia="Arial Unicode MS" w:hAnsi="Verdana"/>
          <w:sz w:val="18"/>
          <w:szCs w:val="18"/>
        </w:rPr>
        <w:t>[__]</w:t>
      </w:r>
      <w:r w:rsidRPr="00A50A8B">
        <w:rPr>
          <w:rFonts w:ascii="Verdana" w:eastAsia="Arial Unicode MS" w:hAnsi="Verdana"/>
          <w:sz w:val="18"/>
          <w:szCs w:val="18"/>
        </w:rPr>
        <w:tab/>
      </w:r>
    </w:p>
    <w:p w14:paraId="0D1BFA05" w14:textId="47D8FEEA" w:rsidR="00A50A8B" w:rsidRPr="00A50A8B" w:rsidRDefault="00A50A8B" w:rsidP="0017480E">
      <w:pPr>
        <w:pStyle w:val="SombreamentoColorido-nfase31"/>
        <w:keepNext w:val="0"/>
        <w:widowControl w:val="0"/>
        <w:suppressAutoHyphens w:val="0"/>
        <w:spacing w:before="0" w:after="0" w:line="260" w:lineRule="exact"/>
        <w:ind w:left="0"/>
        <w:rPr>
          <w:rFonts w:ascii="Verdana" w:eastAsia="Arial Unicode MS" w:hAnsi="Verdana"/>
          <w:sz w:val="18"/>
          <w:szCs w:val="18"/>
        </w:rPr>
      </w:pPr>
      <w:r w:rsidRPr="00A50A8B">
        <w:rPr>
          <w:rFonts w:ascii="Verdana" w:eastAsia="Arial Unicode MS" w:hAnsi="Verdana"/>
          <w:sz w:val="18"/>
          <w:szCs w:val="18"/>
        </w:rPr>
        <w:t xml:space="preserve">E-mail: </w:t>
      </w:r>
      <w:r w:rsidR="00BA4D96">
        <w:rPr>
          <w:rFonts w:ascii="Verdana" w:eastAsia="Arial Unicode MS" w:hAnsi="Verdana"/>
          <w:sz w:val="18"/>
          <w:szCs w:val="18"/>
        </w:rPr>
        <w:t>[__]</w:t>
      </w:r>
    </w:p>
    <w:p w14:paraId="055349A4" w14:textId="77777777" w:rsidR="00A50A8B" w:rsidRPr="00A50A8B" w:rsidRDefault="00A50A8B" w:rsidP="0017480E">
      <w:pPr>
        <w:tabs>
          <w:tab w:val="num" w:pos="0"/>
        </w:tabs>
        <w:spacing w:line="260" w:lineRule="exact"/>
        <w:jc w:val="both"/>
        <w:rPr>
          <w:rFonts w:ascii="Verdana" w:hAnsi="Verdana"/>
          <w:b/>
          <w:sz w:val="18"/>
          <w:szCs w:val="18"/>
          <w:shd w:val="clear" w:color="auto" w:fill="FFFFFF"/>
        </w:rPr>
      </w:pPr>
    </w:p>
    <w:p w14:paraId="2123D00D" w14:textId="77777777" w:rsidR="00234624" w:rsidRPr="00A50A8B" w:rsidRDefault="00234624" w:rsidP="00234624">
      <w:pPr>
        <w:spacing w:line="260" w:lineRule="exact"/>
        <w:rPr>
          <w:rFonts w:ascii="Verdana" w:eastAsia="Arial Unicode MS" w:hAnsi="Verdana"/>
          <w:color w:val="000000"/>
          <w:sz w:val="18"/>
          <w:szCs w:val="18"/>
        </w:rPr>
      </w:pPr>
      <w:r w:rsidRPr="00A50A8B">
        <w:rPr>
          <w:rFonts w:ascii="Verdana" w:eastAsia="Arial Unicode MS" w:hAnsi="Verdana"/>
          <w:b/>
          <w:color w:val="000000"/>
          <w:sz w:val="18"/>
          <w:szCs w:val="18"/>
        </w:rPr>
        <w:t>Banco Bradesco</w:t>
      </w:r>
      <w:r>
        <w:rPr>
          <w:rFonts w:ascii="Verdana" w:eastAsia="Arial Unicode MS" w:hAnsi="Verdana"/>
          <w:b/>
          <w:color w:val="000000"/>
          <w:sz w:val="18"/>
          <w:szCs w:val="18"/>
        </w:rPr>
        <w:t xml:space="preserve"> S.</w:t>
      </w:r>
      <w:r w:rsidRPr="00A50A8B">
        <w:rPr>
          <w:rFonts w:ascii="Verdana" w:eastAsia="Arial Unicode MS" w:hAnsi="Verdana"/>
          <w:b/>
          <w:color w:val="000000"/>
          <w:sz w:val="18"/>
          <w:szCs w:val="18"/>
        </w:rPr>
        <w:t>A.</w:t>
      </w:r>
      <w:r>
        <w:rPr>
          <w:rFonts w:ascii="Verdana" w:eastAsia="Arial Unicode MS" w:hAnsi="Verdana"/>
          <w:b/>
          <w:color w:val="000000"/>
          <w:sz w:val="18"/>
          <w:szCs w:val="18"/>
        </w:rPr>
        <w:t xml:space="preserve"> (“</w:t>
      </w:r>
      <w:r w:rsidRPr="0012074C">
        <w:rPr>
          <w:rFonts w:ascii="Verdana" w:eastAsia="Arial Unicode MS" w:hAnsi="Verdana"/>
          <w:b/>
          <w:color w:val="000000"/>
          <w:sz w:val="18"/>
          <w:szCs w:val="18"/>
          <w:u w:val="single"/>
        </w:rPr>
        <w:t>Bradesco</w:t>
      </w:r>
      <w:r>
        <w:rPr>
          <w:rFonts w:ascii="Verdana" w:eastAsia="Arial Unicode MS" w:hAnsi="Verdana"/>
          <w:b/>
          <w:color w:val="000000"/>
          <w:sz w:val="18"/>
          <w:szCs w:val="18"/>
        </w:rPr>
        <w:t>”)</w:t>
      </w:r>
    </w:p>
    <w:p w14:paraId="75F14C4D" w14:textId="77777777" w:rsidR="00234624" w:rsidRPr="00A50A8B" w:rsidRDefault="00234624" w:rsidP="00234624">
      <w:pPr>
        <w:spacing w:line="260" w:lineRule="exact"/>
        <w:rPr>
          <w:rFonts w:ascii="Verdana" w:eastAsia="Arial Unicode MS" w:hAnsi="Verdana"/>
          <w:color w:val="000000"/>
          <w:sz w:val="18"/>
          <w:szCs w:val="18"/>
        </w:rPr>
      </w:pPr>
      <w:r w:rsidRPr="00A50A8B">
        <w:rPr>
          <w:rFonts w:ascii="Verdana" w:eastAsia="Arial Unicode MS" w:hAnsi="Verdana"/>
          <w:color w:val="000000"/>
          <w:sz w:val="18"/>
          <w:szCs w:val="18"/>
        </w:rPr>
        <w:t xml:space="preserve">Avenida Brigadeiro Faria Lima, 3064, </w:t>
      </w:r>
      <w:r>
        <w:rPr>
          <w:rFonts w:ascii="Verdana" w:eastAsia="Arial Unicode MS" w:hAnsi="Verdana"/>
          <w:color w:val="000000"/>
          <w:sz w:val="18"/>
          <w:szCs w:val="18"/>
        </w:rPr>
        <w:t>10</w:t>
      </w:r>
      <w:r w:rsidRPr="00A50A8B">
        <w:rPr>
          <w:rFonts w:ascii="Verdana" w:eastAsia="Arial Unicode MS" w:hAnsi="Verdana"/>
          <w:color w:val="000000"/>
          <w:sz w:val="18"/>
          <w:szCs w:val="18"/>
        </w:rPr>
        <w:t>º andar – Itaim Bibi,</w:t>
      </w:r>
    </w:p>
    <w:p w14:paraId="45090E0C" w14:textId="77777777" w:rsidR="00234624" w:rsidRPr="00A50A8B" w:rsidRDefault="00234624" w:rsidP="00234624">
      <w:pPr>
        <w:spacing w:line="260" w:lineRule="exact"/>
        <w:rPr>
          <w:rFonts w:ascii="Verdana" w:eastAsia="Arial Unicode MS" w:hAnsi="Verdana"/>
          <w:color w:val="000000"/>
          <w:sz w:val="18"/>
          <w:szCs w:val="18"/>
        </w:rPr>
      </w:pPr>
      <w:r w:rsidRPr="00A50A8B">
        <w:rPr>
          <w:rFonts w:ascii="Verdana" w:eastAsia="Arial Unicode MS" w:hAnsi="Verdana"/>
          <w:color w:val="000000"/>
          <w:sz w:val="18"/>
          <w:szCs w:val="18"/>
        </w:rPr>
        <w:t>São Paulo</w:t>
      </w:r>
      <w:r>
        <w:rPr>
          <w:rFonts w:ascii="Verdana" w:eastAsia="Arial Unicode MS" w:hAnsi="Verdana"/>
          <w:color w:val="000000"/>
          <w:sz w:val="18"/>
          <w:szCs w:val="18"/>
        </w:rPr>
        <w:t xml:space="preserve"> - </w:t>
      </w:r>
      <w:r w:rsidRPr="00A50A8B">
        <w:rPr>
          <w:rFonts w:ascii="Verdana" w:eastAsia="Arial Unicode MS" w:hAnsi="Verdana"/>
          <w:color w:val="000000"/>
          <w:sz w:val="18"/>
          <w:szCs w:val="18"/>
        </w:rPr>
        <w:t>01452-002</w:t>
      </w:r>
    </w:p>
    <w:p w14:paraId="076CC7BE" w14:textId="77777777" w:rsidR="00234624" w:rsidRPr="00A50A8B" w:rsidRDefault="00234624" w:rsidP="00234624">
      <w:pPr>
        <w:spacing w:line="260" w:lineRule="exact"/>
        <w:rPr>
          <w:rFonts w:ascii="Verdana" w:eastAsia="Arial Unicode MS" w:hAnsi="Verdana"/>
          <w:color w:val="000000"/>
          <w:sz w:val="18"/>
          <w:szCs w:val="18"/>
        </w:rPr>
      </w:pPr>
      <w:proofErr w:type="gramStart"/>
      <w:r w:rsidRPr="00A50A8B">
        <w:rPr>
          <w:rFonts w:ascii="Verdana" w:eastAsia="Arial Unicode MS" w:hAnsi="Verdana"/>
          <w:color w:val="000000"/>
          <w:sz w:val="18"/>
          <w:szCs w:val="18"/>
        </w:rPr>
        <w:t>At.:</w:t>
      </w:r>
      <w:proofErr w:type="gramEnd"/>
      <w:r w:rsidRPr="00A50A8B">
        <w:rPr>
          <w:rFonts w:ascii="Verdana" w:eastAsia="Arial Unicode MS" w:hAnsi="Verdana"/>
          <w:color w:val="000000"/>
          <w:sz w:val="18"/>
          <w:szCs w:val="18"/>
        </w:rPr>
        <w:t xml:space="preserve"> </w:t>
      </w:r>
      <w:r>
        <w:rPr>
          <w:rFonts w:ascii="Verdana" w:eastAsia="Arial Unicode MS" w:hAnsi="Verdana"/>
          <w:color w:val="000000"/>
          <w:sz w:val="18"/>
          <w:szCs w:val="18"/>
        </w:rPr>
        <w:t>Danilo Elias Goulart de Andrade</w:t>
      </w:r>
    </w:p>
    <w:p w14:paraId="73376E48" w14:textId="77777777" w:rsidR="00234624" w:rsidRPr="00A50A8B" w:rsidRDefault="00234624" w:rsidP="00234624">
      <w:pPr>
        <w:spacing w:line="260" w:lineRule="exact"/>
        <w:rPr>
          <w:rFonts w:ascii="Verdana" w:eastAsia="Arial Unicode MS" w:hAnsi="Verdana"/>
          <w:color w:val="000000"/>
          <w:sz w:val="18"/>
          <w:szCs w:val="18"/>
        </w:rPr>
      </w:pPr>
      <w:r w:rsidRPr="00A50A8B">
        <w:rPr>
          <w:rFonts w:ascii="Verdana" w:eastAsia="Arial Unicode MS" w:hAnsi="Verdana"/>
          <w:color w:val="000000"/>
          <w:sz w:val="18"/>
          <w:szCs w:val="18"/>
        </w:rPr>
        <w:t xml:space="preserve">Tel.: (11) </w:t>
      </w:r>
      <w:r>
        <w:rPr>
          <w:rFonts w:ascii="Verdana" w:eastAsia="Arial Unicode MS" w:hAnsi="Verdana"/>
          <w:color w:val="000000"/>
          <w:sz w:val="18"/>
          <w:szCs w:val="18"/>
        </w:rPr>
        <w:t>3847-5375</w:t>
      </w:r>
    </w:p>
    <w:p w14:paraId="308EAB15" w14:textId="4F735020" w:rsidR="00234624" w:rsidRPr="00A50A8B" w:rsidRDefault="00234624" w:rsidP="00234624">
      <w:pPr>
        <w:spacing w:line="260" w:lineRule="exact"/>
        <w:rPr>
          <w:rFonts w:ascii="Verdana" w:eastAsia="Arial Unicode MS" w:hAnsi="Verdana"/>
          <w:color w:val="000000"/>
          <w:sz w:val="18"/>
          <w:szCs w:val="18"/>
        </w:rPr>
      </w:pPr>
      <w:r w:rsidRPr="00A50A8B">
        <w:rPr>
          <w:rFonts w:ascii="Verdana" w:eastAsia="Arial Unicode MS" w:hAnsi="Verdana"/>
          <w:color w:val="000000"/>
          <w:sz w:val="18"/>
          <w:szCs w:val="18"/>
        </w:rPr>
        <w:t xml:space="preserve">E-mail: </w:t>
      </w:r>
      <w:hyperlink r:id="rId8" w:history="1">
        <w:r w:rsidRPr="00EE4504">
          <w:rPr>
            <w:rStyle w:val="Hyperlink"/>
            <w:rFonts w:ascii="Verdana" w:eastAsia="Arial Unicode MS" w:hAnsi="Verdana"/>
            <w:sz w:val="18"/>
            <w:szCs w:val="18"/>
          </w:rPr>
          <w:t>danilo.goulart@bradesco.com.br</w:t>
        </w:r>
      </w:hyperlink>
      <w:r>
        <w:rPr>
          <w:rFonts w:ascii="Verdana" w:eastAsia="Arial Unicode MS" w:hAnsi="Verdana"/>
          <w:color w:val="000000"/>
          <w:sz w:val="18"/>
          <w:szCs w:val="18"/>
        </w:rPr>
        <w:t xml:space="preserve"> </w:t>
      </w:r>
    </w:p>
    <w:p w14:paraId="26342F2D" w14:textId="77777777" w:rsidR="009258A9" w:rsidRDefault="009258A9" w:rsidP="0017480E">
      <w:pPr>
        <w:tabs>
          <w:tab w:val="num" w:pos="0"/>
        </w:tabs>
        <w:spacing w:line="260" w:lineRule="exact"/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6324AB2E" w14:textId="77777777" w:rsidR="00EF1020" w:rsidRPr="008270F4" w:rsidRDefault="00EF1020" w:rsidP="0017480E">
      <w:pPr>
        <w:spacing w:line="260" w:lineRule="exact"/>
        <w:rPr>
          <w:rFonts w:ascii="Verdana" w:eastAsia="Arial Unicode MS" w:hAnsi="Verdana"/>
          <w:b/>
          <w:color w:val="000000"/>
          <w:sz w:val="18"/>
          <w:szCs w:val="18"/>
        </w:rPr>
      </w:pPr>
      <w:r w:rsidRPr="00F633E9">
        <w:rPr>
          <w:rFonts w:ascii="Verdana" w:eastAsia="Arial Unicode MS" w:hAnsi="Verdana"/>
          <w:b/>
          <w:color w:val="000000"/>
          <w:sz w:val="18"/>
          <w:szCs w:val="18"/>
        </w:rPr>
        <w:t>Banco do Brasil S.A.</w:t>
      </w:r>
      <w:r>
        <w:rPr>
          <w:rFonts w:ascii="Verdana" w:eastAsia="Arial Unicode MS" w:hAnsi="Verdana"/>
          <w:b/>
          <w:color w:val="000000"/>
          <w:sz w:val="18"/>
          <w:szCs w:val="18"/>
        </w:rPr>
        <w:t xml:space="preserve"> (“</w:t>
      </w:r>
      <w:r w:rsidRPr="00D1575C">
        <w:rPr>
          <w:rFonts w:ascii="Verdana" w:eastAsia="Arial Unicode MS" w:hAnsi="Verdana"/>
          <w:b/>
          <w:color w:val="000000"/>
          <w:sz w:val="18"/>
          <w:szCs w:val="18"/>
          <w:u w:val="single"/>
        </w:rPr>
        <w:t>BB</w:t>
      </w:r>
      <w:r>
        <w:rPr>
          <w:rFonts w:ascii="Verdana" w:eastAsia="Arial Unicode MS" w:hAnsi="Verdana"/>
          <w:b/>
          <w:color w:val="000000"/>
          <w:sz w:val="18"/>
          <w:szCs w:val="18"/>
        </w:rPr>
        <w:t>”)</w:t>
      </w:r>
    </w:p>
    <w:p w14:paraId="10C7DD1B" w14:textId="77777777" w:rsidR="00EF1020" w:rsidRPr="00F633E9" w:rsidRDefault="00EF1020" w:rsidP="0017480E">
      <w:pPr>
        <w:spacing w:line="260" w:lineRule="exact"/>
        <w:rPr>
          <w:rFonts w:ascii="Verdana" w:eastAsia="Arial Unicode MS" w:hAnsi="Verdana"/>
          <w:color w:val="000000"/>
          <w:sz w:val="18"/>
          <w:szCs w:val="18"/>
        </w:rPr>
      </w:pPr>
      <w:r w:rsidRPr="00F633E9">
        <w:rPr>
          <w:rFonts w:ascii="Verdana" w:eastAsia="Arial Unicode MS" w:hAnsi="Verdana"/>
          <w:color w:val="000000"/>
          <w:sz w:val="18"/>
          <w:szCs w:val="18"/>
        </w:rPr>
        <w:t>Av. Paulista, 2.300. Recepção 1º andar.</w:t>
      </w:r>
    </w:p>
    <w:p w14:paraId="5E79FCAB" w14:textId="77777777" w:rsidR="00EF1020" w:rsidRPr="00F633E9" w:rsidRDefault="00EF1020" w:rsidP="0017480E">
      <w:pPr>
        <w:spacing w:line="260" w:lineRule="exact"/>
        <w:rPr>
          <w:rFonts w:ascii="Verdana" w:eastAsia="Arial Unicode MS" w:hAnsi="Verdana"/>
          <w:color w:val="000000"/>
          <w:sz w:val="18"/>
          <w:szCs w:val="18"/>
        </w:rPr>
      </w:pPr>
      <w:r w:rsidRPr="00F633E9">
        <w:rPr>
          <w:rFonts w:ascii="Verdana" w:eastAsia="Arial Unicode MS" w:hAnsi="Verdana"/>
          <w:color w:val="000000"/>
          <w:sz w:val="18"/>
          <w:szCs w:val="18"/>
        </w:rPr>
        <w:t>Cerqueira Cesar. São Paulo (SP). CEP 01.310-300</w:t>
      </w:r>
    </w:p>
    <w:p w14:paraId="08DF1E3E" w14:textId="77777777" w:rsidR="00EF1020" w:rsidRPr="00F633E9" w:rsidRDefault="00EF1020" w:rsidP="0017480E">
      <w:pPr>
        <w:spacing w:line="260" w:lineRule="exact"/>
        <w:rPr>
          <w:rFonts w:ascii="Verdana" w:eastAsia="Arial Unicode MS" w:hAnsi="Verdana"/>
          <w:color w:val="000000"/>
          <w:sz w:val="18"/>
          <w:szCs w:val="18"/>
        </w:rPr>
      </w:pPr>
      <w:proofErr w:type="gramStart"/>
      <w:r w:rsidRPr="00F633E9">
        <w:rPr>
          <w:rFonts w:ascii="Verdana" w:eastAsia="Arial Unicode MS" w:hAnsi="Verdana"/>
          <w:color w:val="000000"/>
          <w:sz w:val="18"/>
          <w:szCs w:val="18"/>
        </w:rPr>
        <w:t>At.:</w:t>
      </w:r>
      <w:proofErr w:type="gramEnd"/>
      <w:r w:rsidRPr="00F633E9">
        <w:rPr>
          <w:rFonts w:ascii="Verdana" w:eastAsia="Arial Unicode MS" w:hAnsi="Verdana"/>
          <w:color w:val="000000"/>
          <w:sz w:val="18"/>
          <w:szCs w:val="18"/>
        </w:rPr>
        <w:t xml:space="preserve"> Paulo Arruda</w:t>
      </w:r>
    </w:p>
    <w:p w14:paraId="7297D622" w14:textId="77777777" w:rsidR="00EF1020" w:rsidRPr="00F633E9" w:rsidRDefault="00EF1020" w:rsidP="0017480E">
      <w:pPr>
        <w:spacing w:line="260" w:lineRule="exact"/>
        <w:rPr>
          <w:rFonts w:ascii="Verdana" w:eastAsia="Arial Unicode MS" w:hAnsi="Verdana"/>
          <w:color w:val="000000"/>
          <w:sz w:val="18"/>
          <w:szCs w:val="18"/>
        </w:rPr>
      </w:pPr>
      <w:proofErr w:type="spellStart"/>
      <w:r w:rsidRPr="00F633E9">
        <w:rPr>
          <w:rFonts w:ascii="Verdana" w:eastAsia="Arial Unicode MS" w:hAnsi="Verdana"/>
          <w:color w:val="000000"/>
          <w:sz w:val="18"/>
          <w:szCs w:val="18"/>
        </w:rPr>
        <w:t>Tel</w:t>
      </w:r>
      <w:proofErr w:type="spellEnd"/>
      <w:r w:rsidRPr="00F633E9">
        <w:rPr>
          <w:rFonts w:ascii="Verdana" w:eastAsia="Arial Unicode MS" w:hAnsi="Verdana"/>
          <w:color w:val="000000"/>
          <w:sz w:val="18"/>
          <w:szCs w:val="18"/>
        </w:rPr>
        <w:t>: (11) 2128-7828</w:t>
      </w:r>
    </w:p>
    <w:p w14:paraId="45FEDD99" w14:textId="77777777" w:rsidR="00EF1020" w:rsidRDefault="00EF1020" w:rsidP="0017480E">
      <w:pPr>
        <w:spacing w:line="260" w:lineRule="exact"/>
        <w:rPr>
          <w:rFonts w:ascii="Verdana" w:eastAsia="Arial Unicode MS" w:hAnsi="Verdana"/>
          <w:color w:val="000000"/>
          <w:sz w:val="18"/>
          <w:szCs w:val="18"/>
        </w:rPr>
      </w:pPr>
      <w:proofErr w:type="gramStart"/>
      <w:r w:rsidRPr="00F633E9">
        <w:rPr>
          <w:rFonts w:ascii="Verdana" w:eastAsia="Arial Unicode MS" w:hAnsi="Verdana"/>
          <w:color w:val="000000"/>
          <w:sz w:val="18"/>
          <w:szCs w:val="18"/>
        </w:rPr>
        <w:t>E-mail:</w:t>
      </w:r>
      <w:hyperlink r:id="rId9" w:history="1">
        <w:r w:rsidRPr="00F633E9">
          <w:rPr>
            <w:rFonts w:ascii="Verdana" w:eastAsia="Arial Unicode MS" w:hAnsi="Verdana"/>
            <w:color w:val="000000"/>
            <w:sz w:val="18"/>
            <w:szCs w:val="18"/>
          </w:rPr>
          <w:t>AGE3132@bb.com.br</w:t>
        </w:r>
        <w:proofErr w:type="gramEnd"/>
      </w:hyperlink>
    </w:p>
    <w:p w14:paraId="10E0D9C5" w14:textId="77777777" w:rsidR="00F633E9" w:rsidRDefault="00F633E9" w:rsidP="0017480E">
      <w:pPr>
        <w:spacing w:line="260" w:lineRule="exact"/>
        <w:rPr>
          <w:rFonts w:ascii="Verdana" w:eastAsia="Arial Unicode MS" w:hAnsi="Verdana"/>
          <w:color w:val="000000"/>
          <w:sz w:val="18"/>
          <w:szCs w:val="18"/>
        </w:rPr>
      </w:pPr>
    </w:p>
    <w:p w14:paraId="057A320F" w14:textId="0C24B927" w:rsidR="00EF1020" w:rsidRPr="00D076F6" w:rsidRDefault="00EF1020" w:rsidP="0017480E">
      <w:pPr>
        <w:spacing w:line="260" w:lineRule="exact"/>
        <w:rPr>
          <w:rFonts w:ascii="Verdana" w:eastAsia="Arial Unicode MS" w:hAnsi="Verdana"/>
          <w:b/>
          <w:color w:val="000000"/>
          <w:sz w:val="18"/>
          <w:szCs w:val="18"/>
        </w:rPr>
      </w:pPr>
      <w:r w:rsidRPr="00D076F6">
        <w:rPr>
          <w:rFonts w:ascii="Verdana" w:eastAsia="Arial Unicode MS" w:hAnsi="Verdana"/>
          <w:b/>
          <w:color w:val="000000"/>
          <w:sz w:val="18"/>
          <w:szCs w:val="18"/>
        </w:rPr>
        <w:t>Banco Santander (Brasil) S.A.</w:t>
      </w:r>
      <w:r>
        <w:rPr>
          <w:rFonts w:ascii="Verdana" w:eastAsia="Arial Unicode MS" w:hAnsi="Verdana"/>
          <w:b/>
          <w:color w:val="000000"/>
          <w:sz w:val="18"/>
          <w:szCs w:val="18"/>
        </w:rPr>
        <w:t xml:space="preserve"> (“</w:t>
      </w:r>
      <w:r w:rsidRPr="00EF1020">
        <w:rPr>
          <w:rFonts w:ascii="Verdana" w:eastAsia="Arial Unicode MS" w:hAnsi="Verdana"/>
          <w:b/>
          <w:color w:val="000000"/>
          <w:sz w:val="18"/>
          <w:szCs w:val="18"/>
          <w:u w:val="single"/>
        </w:rPr>
        <w:t>Santander</w:t>
      </w:r>
      <w:r>
        <w:rPr>
          <w:rFonts w:ascii="Verdana" w:eastAsia="Arial Unicode MS" w:hAnsi="Verdana"/>
          <w:b/>
          <w:color w:val="000000"/>
          <w:sz w:val="18"/>
          <w:szCs w:val="18"/>
        </w:rPr>
        <w:t>”)</w:t>
      </w:r>
    </w:p>
    <w:p w14:paraId="3BDF113D" w14:textId="77777777" w:rsidR="00EF1020" w:rsidRPr="00D076F6" w:rsidRDefault="00EF1020" w:rsidP="0017480E">
      <w:pPr>
        <w:spacing w:line="260" w:lineRule="exact"/>
        <w:rPr>
          <w:rFonts w:ascii="Verdana" w:eastAsia="Arial Unicode MS" w:hAnsi="Verdana"/>
          <w:color w:val="000000"/>
          <w:sz w:val="18"/>
          <w:szCs w:val="18"/>
        </w:rPr>
      </w:pPr>
      <w:r w:rsidRPr="00D076F6">
        <w:rPr>
          <w:rFonts w:ascii="Verdana" w:eastAsia="Arial Unicode MS" w:hAnsi="Verdana"/>
          <w:color w:val="000000"/>
          <w:sz w:val="18"/>
          <w:szCs w:val="18"/>
        </w:rPr>
        <w:t>Avenida Juscelino Kubitscheck, 2235 – 24°andar – Estação 488</w:t>
      </w:r>
    </w:p>
    <w:p w14:paraId="77A515F1" w14:textId="77777777" w:rsidR="00EF1020" w:rsidRPr="00D076F6" w:rsidRDefault="00EF1020" w:rsidP="0017480E">
      <w:pPr>
        <w:spacing w:line="260" w:lineRule="exact"/>
        <w:rPr>
          <w:rFonts w:ascii="Verdana" w:eastAsia="Arial Unicode MS" w:hAnsi="Verdana"/>
          <w:color w:val="000000"/>
          <w:sz w:val="18"/>
          <w:szCs w:val="18"/>
        </w:rPr>
      </w:pPr>
      <w:r w:rsidRPr="00D076F6">
        <w:rPr>
          <w:rFonts w:ascii="Verdana" w:eastAsia="Arial Unicode MS" w:hAnsi="Verdana"/>
          <w:color w:val="000000"/>
          <w:sz w:val="18"/>
          <w:szCs w:val="18"/>
        </w:rPr>
        <w:t>São Paulo – SP</w:t>
      </w:r>
    </w:p>
    <w:p w14:paraId="1347B504" w14:textId="77777777" w:rsidR="00EF1020" w:rsidRPr="00D076F6" w:rsidRDefault="00EF1020" w:rsidP="0017480E">
      <w:pPr>
        <w:spacing w:line="260" w:lineRule="exact"/>
        <w:rPr>
          <w:rFonts w:ascii="Verdana" w:eastAsia="Arial Unicode MS" w:hAnsi="Verdana"/>
          <w:color w:val="000000"/>
          <w:sz w:val="18"/>
          <w:szCs w:val="18"/>
        </w:rPr>
      </w:pPr>
      <w:r w:rsidRPr="00D076F6">
        <w:rPr>
          <w:rFonts w:ascii="Verdana" w:eastAsia="Arial Unicode MS" w:hAnsi="Verdana"/>
          <w:color w:val="000000"/>
          <w:sz w:val="18"/>
          <w:szCs w:val="18"/>
        </w:rPr>
        <w:t>CEP:04543-011</w:t>
      </w:r>
    </w:p>
    <w:p w14:paraId="40F814AC" w14:textId="77777777" w:rsidR="00EF1020" w:rsidRPr="00D076F6" w:rsidRDefault="00EF1020" w:rsidP="0017480E">
      <w:pPr>
        <w:spacing w:line="260" w:lineRule="exact"/>
        <w:rPr>
          <w:rFonts w:ascii="Verdana" w:eastAsia="Arial Unicode MS" w:hAnsi="Verdana"/>
          <w:color w:val="000000"/>
          <w:sz w:val="18"/>
          <w:szCs w:val="18"/>
        </w:rPr>
      </w:pPr>
      <w:proofErr w:type="gramStart"/>
      <w:r w:rsidRPr="00D076F6">
        <w:rPr>
          <w:rFonts w:ascii="Verdana" w:eastAsia="Arial Unicode MS" w:hAnsi="Verdana"/>
          <w:color w:val="000000"/>
          <w:sz w:val="18"/>
          <w:szCs w:val="18"/>
        </w:rPr>
        <w:t>At.:</w:t>
      </w:r>
      <w:proofErr w:type="gramEnd"/>
      <w:r w:rsidRPr="00D076F6">
        <w:rPr>
          <w:rFonts w:ascii="Verdana" w:eastAsia="Arial Unicode MS" w:hAnsi="Verdana"/>
          <w:color w:val="000000"/>
          <w:sz w:val="18"/>
          <w:szCs w:val="18"/>
        </w:rPr>
        <w:t xml:space="preserve"> Thiago Sollero Figueira, Paulo Fernando Alves Lima e Marcelo Carvalho Cardoso</w:t>
      </w:r>
    </w:p>
    <w:p w14:paraId="083DE97F" w14:textId="036F23C3" w:rsidR="00EF1020" w:rsidRPr="00D076F6" w:rsidRDefault="00EF1020" w:rsidP="0017480E">
      <w:pPr>
        <w:spacing w:line="260" w:lineRule="exact"/>
        <w:rPr>
          <w:rFonts w:ascii="Verdana" w:eastAsia="Arial Unicode MS" w:hAnsi="Verdana"/>
          <w:color w:val="000000"/>
          <w:sz w:val="18"/>
          <w:szCs w:val="18"/>
        </w:rPr>
      </w:pPr>
      <w:proofErr w:type="spellStart"/>
      <w:r w:rsidRPr="00D076F6">
        <w:rPr>
          <w:rFonts w:ascii="Verdana" w:eastAsia="Arial Unicode MS" w:hAnsi="Verdana"/>
          <w:color w:val="000000"/>
          <w:sz w:val="18"/>
          <w:szCs w:val="18"/>
        </w:rPr>
        <w:t>Tel</w:t>
      </w:r>
      <w:proofErr w:type="spellEnd"/>
      <w:proofErr w:type="gramStart"/>
      <w:r w:rsidRPr="00D076F6">
        <w:rPr>
          <w:rFonts w:ascii="Verdana" w:eastAsia="Arial Unicode MS" w:hAnsi="Verdana"/>
          <w:color w:val="000000"/>
          <w:sz w:val="18"/>
          <w:szCs w:val="18"/>
        </w:rPr>
        <w:t xml:space="preserve">:  </w:t>
      </w:r>
      <w:r w:rsidR="00BA4D96">
        <w:rPr>
          <w:rFonts w:ascii="Verdana" w:eastAsia="Arial Unicode MS" w:hAnsi="Verdana"/>
          <w:color w:val="000000"/>
          <w:sz w:val="18"/>
          <w:szCs w:val="18"/>
        </w:rPr>
        <w:t>(</w:t>
      </w:r>
      <w:proofErr w:type="gramEnd"/>
      <w:r w:rsidR="00BA4D96">
        <w:rPr>
          <w:rFonts w:ascii="Verdana" w:eastAsia="Arial Unicode MS" w:hAnsi="Verdana"/>
          <w:color w:val="000000"/>
          <w:sz w:val="18"/>
          <w:szCs w:val="18"/>
        </w:rPr>
        <w:t xml:space="preserve">11) </w:t>
      </w:r>
      <w:r w:rsidRPr="00D076F6">
        <w:rPr>
          <w:rFonts w:ascii="Verdana" w:eastAsia="Arial Unicode MS" w:hAnsi="Verdana"/>
          <w:color w:val="000000"/>
          <w:sz w:val="18"/>
          <w:szCs w:val="18"/>
        </w:rPr>
        <w:t>3012.6039.</w:t>
      </w:r>
    </w:p>
    <w:p w14:paraId="4A336CE7" w14:textId="7E61CBF5" w:rsidR="00EF1020" w:rsidRPr="00D076F6" w:rsidRDefault="00EF1020" w:rsidP="0017480E">
      <w:pPr>
        <w:spacing w:line="260" w:lineRule="exact"/>
        <w:rPr>
          <w:rFonts w:ascii="Verdana" w:eastAsia="Arial Unicode MS" w:hAnsi="Verdana"/>
          <w:color w:val="000000"/>
          <w:sz w:val="18"/>
          <w:szCs w:val="18"/>
        </w:rPr>
      </w:pPr>
      <w:r w:rsidRPr="00D076F6">
        <w:rPr>
          <w:rFonts w:ascii="Verdana" w:eastAsia="Arial Unicode MS" w:hAnsi="Verdana"/>
          <w:color w:val="000000"/>
          <w:sz w:val="18"/>
          <w:szCs w:val="18"/>
        </w:rPr>
        <w:t xml:space="preserve">E-mail: </w:t>
      </w:r>
      <w:hyperlink r:id="rId10" w:history="1">
        <w:r w:rsidRPr="00D076F6">
          <w:rPr>
            <w:rFonts w:ascii="Verdana" w:eastAsia="Arial Unicode MS" w:hAnsi="Verdana"/>
            <w:color w:val="000000"/>
            <w:sz w:val="18"/>
            <w:szCs w:val="18"/>
          </w:rPr>
          <w:t>tsfigueira@santander.com.br</w:t>
        </w:r>
      </w:hyperlink>
      <w:r w:rsidRPr="00D076F6">
        <w:rPr>
          <w:rFonts w:ascii="Verdana" w:eastAsia="Arial Unicode MS" w:hAnsi="Verdana"/>
          <w:color w:val="000000"/>
          <w:sz w:val="18"/>
          <w:szCs w:val="18"/>
        </w:rPr>
        <w:t xml:space="preserve">; </w:t>
      </w:r>
      <w:hyperlink r:id="rId11" w:history="1">
        <w:r w:rsidRPr="00D076F6">
          <w:rPr>
            <w:rFonts w:ascii="Verdana" w:eastAsia="Arial Unicode MS" w:hAnsi="Verdana"/>
            <w:color w:val="000000"/>
            <w:sz w:val="18"/>
            <w:szCs w:val="18"/>
          </w:rPr>
          <w:t>plima@santander.com.br</w:t>
        </w:r>
      </w:hyperlink>
      <w:r w:rsidRPr="00D076F6">
        <w:rPr>
          <w:rFonts w:ascii="Verdana" w:eastAsia="Arial Unicode MS" w:hAnsi="Verdana"/>
          <w:color w:val="000000"/>
          <w:sz w:val="18"/>
          <w:szCs w:val="18"/>
        </w:rPr>
        <w:t xml:space="preserve">; </w:t>
      </w:r>
      <w:hyperlink r:id="rId12" w:history="1">
        <w:r w:rsidRPr="00D076F6">
          <w:rPr>
            <w:rFonts w:ascii="Verdana" w:eastAsia="Arial Unicode MS" w:hAnsi="Verdana"/>
            <w:color w:val="000000"/>
            <w:sz w:val="18"/>
            <w:szCs w:val="18"/>
          </w:rPr>
          <w:t>macardoso@santander.com.br</w:t>
        </w:r>
      </w:hyperlink>
      <w:r w:rsidR="00BA4D96">
        <w:rPr>
          <w:rFonts w:ascii="Verdana" w:eastAsia="Arial Unicode MS" w:hAnsi="Verdana"/>
          <w:color w:val="000000"/>
          <w:sz w:val="18"/>
          <w:szCs w:val="18"/>
        </w:rPr>
        <w:t xml:space="preserve"> </w:t>
      </w:r>
    </w:p>
    <w:p w14:paraId="6C84A75F" w14:textId="77777777" w:rsidR="00EF1020" w:rsidRDefault="00EF1020" w:rsidP="0017480E">
      <w:pPr>
        <w:spacing w:line="260" w:lineRule="exact"/>
        <w:rPr>
          <w:rFonts w:ascii="Verdana" w:eastAsia="Arial Unicode MS" w:hAnsi="Verdana"/>
          <w:color w:val="000000"/>
          <w:sz w:val="18"/>
          <w:szCs w:val="18"/>
        </w:rPr>
      </w:pPr>
    </w:p>
    <w:p w14:paraId="1D4419E3" w14:textId="77777777" w:rsidR="001A6A82" w:rsidRDefault="001A6A82" w:rsidP="001A6A82">
      <w:pPr>
        <w:spacing w:line="260" w:lineRule="exact"/>
        <w:rPr>
          <w:rFonts w:ascii="Verdana" w:eastAsia="Arial Unicode MS" w:hAnsi="Verdana"/>
          <w:b/>
          <w:color w:val="000000"/>
          <w:sz w:val="18"/>
          <w:szCs w:val="18"/>
        </w:rPr>
      </w:pPr>
      <w:r>
        <w:rPr>
          <w:rFonts w:ascii="Verdana" w:eastAsia="Arial Unicode MS" w:hAnsi="Verdana"/>
          <w:b/>
          <w:color w:val="000000"/>
          <w:sz w:val="18"/>
          <w:szCs w:val="18"/>
        </w:rPr>
        <w:t>Banco Nacional de Desenvolvimento Econômico e Social (BNDES)</w:t>
      </w:r>
    </w:p>
    <w:p w14:paraId="58A1DCD3" w14:textId="77777777" w:rsidR="001A6A82" w:rsidRPr="00D076F6" w:rsidRDefault="001A6A82" w:rsidP="001A6A82">
      <w:pPr>
        <w:spacing w:line="260" w:lineRule="exact"/>
        <w:rPr>
          <w:rFonts w:ascii="Verdana" w:eastAsia="Arial Unicode MS" w:hAnsi="Verdana"/>
          <w:color w:val="000000"/>
          <w:sz w:val="18"/>
          <w:szCs w:val="18"/>
        </w:rPr>
      </w:pPr>
      <w:r w:rsidRPr="00D076F6">
        <w:rPr>
          <w:rFonts w:ascii="Verdana" w:eastAsia="Arial Unicode MS" w:hAnsi="Verdana"/>
          <w:color w:val="000000"/>
          <w:sz w:val="18"/>
          <w:szCs w:val="18"/>
        </w:rPr>
        <w:t>Av. República do Chile, nº 100, Centro</w:t>
      </w:r>
    </w:p>
    <w:p w14:paraId="54A16FCE" w14:textId="77777777" w:rsidR="001A6A82" w:rsidRPr="00D076F6" w:rsidRDefault="001A6A82" w:rsidP="001A6A82">
      <w:pPr>
        <w:spacing w:line="260" w:lineRule="exact"/>
        <w:rPr>
          <w:rFonts w:ascii="Verdana" w:eastAsia="Arial Unicode MS" w:hAnsi="Verdana"/>
          <w:color w:val="000000"/>
          <w:sz w:val="18"/>
          <w:szCs w:val="18"/>
        </w:rPr>
      </w:pPr>
      <w:r w:rsidRPr="00D076F6">
        <w:rPr>
          <w:rFonts w:ascii="Verdana" w:eastAsia="Arial Unicode MS" w:hAnsi="Verdana"/>
          <w:color w:val="000000"/>
          <w:sz w:val="18"/>
          <w:szCs w:val="18"/>
        </w:rPr>
        <w:t>Rio de Janeiro – RJ - CEP 20.031-917</w:t>
      </w:r>
    </w:p>
    <w:p w14:paraId="504B13EB" w14:textId="77777777" w:rsidR="001A6A82" w:rsidRPr="00D076F6" w:rsidRDefault="001A6A82" w:rsidP="001A6A82">
      <w:pPr>
        <w:spacing w:line="260" w:lineRule="exact"/>
        <w:rPr>
          <w:rFonts w:ascii="Verdana" w:eastAsia="Arial Unicode MS" w:hAnsi="Verdana"/>
          <w:color w:val="000000"/>
          <w:sz w:val="18"/>
          <w:szCs w:val="18"/>
        </w:rPr>
      </w:pPr>
      <w:r w:rsidRPr="00D076F6">
        <w:rPr>
          <w:rFonts w:ascii="Verdana" w:eastAsia="Arial Unicode MS" w:hAnsi="Verdana"/>
          <w:color w:val="000000"/>
          <w:sz w:val="18"/>
          <w:szCs w:val="18"/>
        </w:rPr>
        <w:t xml:space="preserve">Tel.: (21) 2052-7163 - E-mail: </w:t>
      </w:r>
      <w:hyperlink r:id="rId13" w:history="1">
        <w:r w:rsidRPr="00BF4889">
          <w:rPr>
            <w:rStyle w:val="Hyperlink"/>
            <w:rFonts w:ascii="Verdana" w:eastAsia="Arial Unicode MS" w:hAnsi="Verdana"/>
            <w:sz w:val="18"/>
            <w:szCs w:val="18"/>
          </w:rPr>
          <w:t>cprates@bndes.com.br</w:t>
        </w:r>
      </w:hyperlink>
    </w:p>
    <w:p w14:paraId="6B47EF4B" w14:textId="77777777" w:rsidR="001A6A82" w:rsidRPr="00D076F6" w:rsidRDefault="001A6A82" w:rsidP="001A6A82">
      <w:pPr>
        <w:spacing w:line="260" w:lineRule="exact"/>
        <w:rPr>
          <w:rFonts w:ascii="Verdana" w:eastAsia="Arial Unicode MS" w:hAnsi="Verdana"/>
          <w:color w:val="000000"/>
          <w:sz w:val="18"/>
          <w:szCs w:val="18"/>
        </w:rPr>
      </w:pPr>
      <w:r w:rsidRPr="00D076F6">
        <w:rPr>
          <w:rFonts w:ascii="Verdana" w:eastAsia="Arial Unicode MS" w:hAnsi="Verdana"/>
          <w:color w:val="000000"/>
          <w:sz w:val="18"/>
          <w:szCs w:val="18"/>
        </w:rPr>
        <w:t xml:space="preserve">At: Cláudia Prates </w:t>
      </w:r>
    </w:p>
    <w:p w14:paraId="41B3F0AE" w14:textId="77777777" w:rsidR="001A6A82" w:rsidRDefault="001A6A82" w:rsidP="001A6A82">
      <w:pPr>
        <w:spacing w:line="260" w:lineRule="exact"/>
        <w:rPr>
          <w:rFonts w:ascii="Verdana" w:eastAsia="Arial Unicode MS" w:hAnsi="Verdana"/>
          <w:b/>
          <w:color w:val="000000"/>
          <w:sz w:val="18"/>
          <w:szCs w:val="18"/>
        </w:rPr>
      </w:pPr>
    </w:p>
    <w:p w14:paraId="2F25145C" w14:textId="77777777" w:rsidR="001A6A82" w:rsidRPr="007104E8" w:rsidRDefault="001A6A82" w:rsidP="001A6A82">
      <w:pPr>
        <w:spacing w:line="260" w:lineRule="exact"/>
        <w:rPr>
          <w:rFonts w:ascii="Verdana" w:eastAsia="Arial Unicode MS" w:hAnsi="Verdana"/>
          <w:b/>
          <w:color w:val="000000"/>
          <w:sz w:val="18"/>
          <w:szCs w:val="18"/>
        </w:rPr>
      </w:pPr>
      <w:r>
        <w:rPr>
          <w:rFonts w:ascii="Verdana" w:eastAsia="Arial Unicode MS" w:hAnsi="Verdana"/>
          <w:b/>
          <w:color w:val="000000"/>
          <w:sz w:val="18"/>
          <w:szCs w:val="18"/>
        </w:rPr>
        <w:t xml:space="preserve">BNDESPAR: </w:t>
      </w:r>
      <w:r w:rsidRPr="007104E8">
        <w:rPr>
          <w:rFonts w:ascii="Verdana" w:eastAsia="Arial Unicode MS" w:hAnsi="Verdana"/>
          <w:b/>
          <w:color w:val="000000"/>
          <w:sz w:val="18"/>
          <w:szCs w:val="18"/>
        </w:rPr>
        <w:t>BNDES Participações S.A.</w:t>
      </w:r>
    </w:p>
    <w:p w14:paraId="3C8ADC66" w14:textId="77777777" w:rsidR="001A6A82" w:rsidRPr="00D076F6" w:rsidRDefault="001A6A82" w:rsidP="001A6A82">
      <w:pPr>
        <w:spacing w:line="260" w:lineRule="exact"/>
        <w:rPr>
          <w:rFonts w:ascii="Verdana" w:eastAsia="Arial Unicode MS" w:hAnsi="Verdana"/>
          <w:color w:val="000000"/>
          <w:sz w:val="18"/>
          <w:szCs w:val="18"/>
        </w:rPr>
      </w:pPr>
      <w:r w:rsidRPr="00D076F6">
        <w:rPr>
          <w:rFonts w:ascii="Verdana" w:eastAsia="Arial Unicode MS" w:hAnsi="Verdana"/>
          <w:color w:val="000000"/>
          <w:sz w:val="18"/>
          <w:szCs w:val="18"/>
        </w:rPr>
        <w:t>Av. República do Chile, nº 100, Centro</w:t>
      </w:r>
    </w:p>
    <w:p w14:paraId="3635F9C4" w14:textId="77777777" w:rsidR="001A6A82" w:rsidRPr="00D076F6" w:rsidRDefault="001A6A82" w:rsidP="001A6A82">
      <w:pPr>
        <w:spacing w:line="260" w:lineRule="exact"/>
        <w:rPr>
          <w:rFonts w:ascii="Verdana" w:eastAsia="Arial Unicode MS" w:hAnsi="Verdana"/>
          <w:color w:val="000000"/>
          <w:sz w:val="18"/>
          <w:szCs w:val="18"/>
        </w:rPr>
      </w:pPr>
      <w:r w:rsidRPr="00D076F6">
        <w:rPr>
          <w:rFonts w:ascii="Verdana" w:eastAsia="Arial Unicode MS" w:hAnsi="Verdana"/>
          <w:color w:val="000000"/>
          <w:sz w:val="18"/>
          <w:szCs w:val="18"/>
        </w:rPr>
        <w:t>Rio de Janeiro – RJ - CEP 20.031-917</w:t>
      </w:r>
    </w:p>
    <w:p w14:paraId="4FBB9D55" w14:textId="77777777" w:rsidR="001A6A82" w:rsidRPr="00D076F6" w:rsidRDefault="001A6A82" w:rsidP="001A6A82">
      <w:pPr>
        <w:spacing w:line="260" w:lineRule="exact"/>
        <w:rPr>
          <w:rFonts w:ascii="Verdana" w:eastAsia="Arial Unicode MS" w:hAnsi="Verdana"/>
          <w:color w:val="000000"/>
          <w:sz w:val="18"/>
          <w:szCs w:val="18"/>
        </w:rPr>
      </w:pPr>
      <w:r w:rsidRPr="00D076F6">
        <w:rPr>
          <w:rFonts w:ascii="Verdana" w:eastAsia="Arial Unicode MS" w:hAnsi="Verdana"/>
          <w:color w:val="000000"/>
          <w:sz w:val="18"/>
          <w:szCs w:val="18"/>
        </w:rPr>
        <w:t xml:space="preserve">Tel.: (21) 2052-7163 - E-mail: </w:t>
      </w:r>
      <w:hyperlink r:id="rId14" w:history="1">
        <w:r w:rsidRPr="00BF4889">
          <w:rPr>
            <w:rStyle w:val="Hyperlink"/>
            <w:rFonts w:ascii="Verdana" w:eastAsia="Arial Unicode MS" w:hAnsi="Verdana"/>
            <w:sz w:val="18"/>
            <w:szCs w:val="18"/>
          </w:rPr>
          <w:t>carpena@bndes.com.br</w:t>
        </w:r>
      </w:hyperlink>
      <w:r>
        <w:rPr>
          <w:rFonts w:ascii="Verdana" w:eastAsia="Arial Unicode MS" w:hAnsi="Verdana"/>
          <w:color w:val="000000"/>
          <w:sz w:val="18"/>
          <w:szCs w:val="18"/>
        </w:rPr>
        <w:t xml:space="preserve"> </w:t>
      </w:r>
    </w:p>
    <w:p w14:paraId="6B8FAA81" w14:textId="77777777" w:rsidR="001A6A82" w:rsidRDefault="001A6A82" w:rsidP="001A6A82">
      <w:pPr>
        <w:spacing w:line="260" w:lineRule="exact"/>
        <w:rPr>
          <w:rFonts w:ascii="Verdana" w:eastAsia="Arial Unicode MS" w:hAnsi="Verdana"/>
          <w:color w:val="000000"/>
          <w:sz w:val="18"/>
          <w:szCs w:val="18"/>
        </w:rPr>
      </w:pPr>
      <w:r w:rsidRPr="00D076F6">
        <w:rPr>
          <w:rFonts w:ascii="Verdana" w:eastAsia="Arial Unicode MS" w:hAnsi="Verdana"/>
          <w:color w:val="000000"/>
          <w:sz w:val="18"/>
          <w:szCs w:val="18"/>
        </w:rPr>
        <w:t>At: Luciane Carpena</w:t>
      </w:r>
    </w:p>
    <w:p w14:paraId="7D180350" w14:textId="77777777" w:rsidR="001A6A82" w:rsidRDefault="001A6A82" w:rsidP="0017480E">
      <w:pPr>
        <w:spacing w:line="260" w:lineRule="exact"/>
        <w:rPr>
          <w:rFonts w:ascii="Verdana" w:eastAsia="Arial Unicode MS" w:hAnsi="Verdana"/>
          <w:color w:val="000000"/>
          <w:sz w:val="18"/>
          <w:szCs w:val="18"/>
        </w:rPr>
      </w:pPr>
    </w:p>
    <w:p w14:paraId="0A668C10" w14:textId="77777777" w:rsidR="00094514" w:rsidRDefault="00094514" w:rsidP="0017480E">
      <w:pPr>
        <w:spacing w:line="260" w:lineRule="exact"/>
        <w:rPr>
          <w:rFonts w:ascii="Verdana" w:eastAsia="Arial Unicode MS" w:hAnsi="Verdana"/>
          <w:color w:val="000000"/>
          <w:sz w:val="18"/>
          <w:szCs w:val="18"/>
        </w:rPr>
      </w:pPr>
    </w:p>
    <w:p w14:paraId="1B180759" w14:textId="77777777" w:rsidR="00094514" w:rsidRDefault="00094514" w:rsidP="0017480E">
      <w:pPr>
        <w:spacing w:line="260" w:lineRule="exact"/>
        <w:rPr>
          <w:rFonts w:ascii="Verdana" w:eastAsia="Arial Unicode MS" w:hAnsi="Verdana"/>
          <w:color w:val="000000"/>
          <w:sz w:val="18"/>
          <w:szCs w:val="18"/>
        </w:rPr>
      </w:pPr>
    </w:p>
    <w:p w14:paraId="03DEAA64" w14:textId="77777777" w:rsidR="00094514" w:rsidRDefault="00094514" w:rsidP="0017480E">
      <w:pPr>
        <w:spacing w:line="260" w:lineRule="exact"/>
        <w:rPr>
          <w:rFonts w:ascii="Verdana" w:eastAsia="Arial Unicode MS" w:hAnsi="Verdana"/>
          <w:color w:val="000000"/>
          <w:sz w:val="18"/>
          <w:szCs w:val="18"/>
        </w:rPr>
      </w:pPr>
    </w:p>
    <w:p w14:paraId="103B75A1" w14:textId="77777777" w:rsidR="00094514" w:rsidRDefault="00094514" w:rsidP="0017480E">
      <w:pPr>
        <w:spacing w:line="260" w:lineRule="exact"/>
        <w:rPr>
          <w:rFonts w:ascii="Verdana" w:eastAsia="Arial Unicode MS" w:hAnsi="Verdana"/>
          <w:color w:val="000000"/>
          <w:sz w:val="18"/>
          <w:szCs w:val="18"/>
        </w:rPr>
      </w:pPr>
    </w:p>
    <w:p w14:paraId="1D0F1AC8" w14:textId="77777777" w:rsidR="00EA3C78" w:rsidRDefault="00EA3C78" w:rsidP="0017480E">
      <w:pPr>
        <w:spacing w:line="260" w:lineRule="exact"/>
        <w:rPr>
          <w:rFonts w:ascii="Verdana" w:eastAsia="Arial Unicode MS" w:hAnsi="Verdana"/>
          <w:color w:val="000000"/>
          <w:sz w:val="18"/>
          <w:szCs w:val="18"/>
        </w:rPr>
      </w:pPr>
      <w:proofErr w:type="gramStart"/>
      <w:r>
        <w:rPr>
          <w:rFonts w:ascii="Verdana" w:eastAsia="Arial Unicode MS" w:hAnsi="Verdana"/>
          <w:color w:val="000000"/>
          <w:sz w:val="18"/>
          <w:szCs w:val="18"/>
        </w:rPr>
        <w:lastRenderedPageBreak/>
        <w:t>c</w:t>
      </w:r>
      <w:proofErr w:type="gramEnd"/>
      <w:r>
        <w:rPr>
          <w:rFonts w:ascii="Verdana" w:eastAsia="Arial Unicode MS" w:hAnsi="Verdana"/>
          <w:color w:val="000000"/>
          <w:sz w:val="18"/>
          <w:szCs w:val="18"/>
        </w:rPr>
        <w:t>/c</w:t>
      </w:r>
    </w:p>
    <w:p w14:paraId="3E811D94" w14:textId="77777777" w:rsidR="00D1575C" w:rsidRDefault="00D1575C" w:rsidP="0017480E">
      <w:pPr>
        <w:spacing w:line="260" w:lineRule="exact"/>
        <w:rPr>
          <w:rFonts w:ascii="Verdana" w:eastAsia="Arial Unicode MS" w:hAnsi="Verdana"/>
          <w:b/>
          <w:color w:val="000000"/>
          <w:sz w:val="18"/>
          <w:szCs w:val="18"/>
        </w:rPr>
      </w:pPr>
    </w:p>
    <w:p w14:paraId="7A589001" w14:textId="77777777" w:rsidR="00EA3C78" w:rsidRPr="00EA3C78" w:rsidRDefault="00EA3C78" w:rsidP="0017480E">
      <w:pPr>
        <w:spacing w:line="260" w:lineRule="exact"/>
        <w:rPr>
          <w:rFonts w:ascii="Verdana" w:eastAsia="Arial Unicode MS" w:hAnsi="Verdana"/>
          <w:b/>
          <w:color w:val="000000"/>
          <w:sz w:val="18"/>
          <w:szCs w:val="18"/>
        </w:rPr>
      </w:pPr>
      <w:r w:rsidRPr="00AE450E">
        <w:rPr>
          <w:rFonts w:ascii="Verdana" w:eastAsia="Arial Unicode MS" w:hAnsi="Verdana"/>
          <w:b/>
          <w:color w:val="000000"/>
          <w:sz w:val="18"/>
          <w:szCs w:val="18"/>
        </w:rPr>
        <w:t>Simplific Pavarini Distribuidora de Títulos e Valores Mobiliários Ltda.</w:t>
      </w:r>
      <w:r>
        <w:rPr>
          <w:rFonts w:ascii="Verdana" w:eastAsia="Arial Unicode MS" w:hAnsi="Verdana"/>
          <w:b/>
          <w:color w:val="000000"/>
          <w:sz w:val="18"/>
          <w:szCs w:val="18"/>
        </w:rPr>
        <w:t xml:space="preserve"> (“</w:t>
      </w:r>
      <w:r>
        <w:rPr>
          <w:rFonts w:ascii="Verdana" w:eastAsia="Arial Unicode MS" w:hAnsi="Verdana"/>
          <w:b/>
          <w:color w:val="000000"/>
          <w:sz w:val="18"/>
          <w:szCs w:val="18"/>
          <w:u w:val="single"/>
        </w:rPr>
        <w:t>Agente Fiduciário</w:t>
      </w:r>
      <w:r>
        <w:rPr>
          <w:rFonts w:ascii="Verdana" w:eastAsia="Arial Unicode MS" w:hAnsi="Verdana"/>
          <w:b/>
          <w:color w:val="000000"/>
          <w:sz w:val="18"/>
          <w:szCs w:val="18"/>
        </w:rPr>
        <w:t>”)</w:t>
      </w:r>
    </w:p>
    <w:p w14:paraId="32995D04" w14:textId="77777777" w:rsidR="00EA3C78" w:rsidRPr="00C1346F" w:rsidRDefault="00EA3C78" w:rsidP="0017480E">
      <w:pPr>
        <w:spacing w:line="260" w:lineRule="exact"/>
        <w:rPr>
          <w:rFonts w:ascii="Verdana" w:eastAsia="Arial Unicode MS" w:hAnsi="Verdana"/>
          <w:color w:val="000000"/>
          <w:sz w:val="18"/>
          <w:szCs w:val="18"/>
        </w:rPr>
      </w:pPr>
      <w:r w:rsidRPr="00C1346F">
        <w:rPr>
          <w:rFonts w:ascii="Verdana" w:eastAsia="Arial Unicode MS" w:hAnsi="Verdana"/>
          <w:color w:val="000000"/>
          <w:sz w:val="18"/>
          <w:szCs w:val="18"/>
        </w:rPr>
        <w:t>Rua Joaquim Floriano, 466 – Bloco B, Sala 1401</w:t>
      </w:r>
    </w:p>
    <w:p w14:paraId="40923699" w14:textId="77777777" w:rsidR="00EA3C78" w:rsidRPr="00C1346F" w:rsidRDefault="00EA3C78" w:rsidP="0017480E">
      <w:pPr>
        <w:spacing w:line="260" w:lineRule="exact"/>
        <w:rPr>
          <w:rFonts w:ascii="Verdana" w:eastAsia="Arial Unicode MS" w:hAnsi="Verdana"/>
          <w:color w:val="000000"/>
          <w:sz w:val="18"/>
          <w:szCs w:val="18"/>
        </w:rPr>
      </w:pPr>
      <w:r w:rsidRPr="00C1346F">
        <w:rPr>
          <w:rFonts w:ascii="Verdana" w:eastAsia="Arial Unicode MS" w:hAnsi="Verdana"/>
          <w:color w:val="000000"/>
          <w:sz w:val="18"/>
          <w:szCs w:val="18"/>
        </w:rPr>
        <w:t>São Paulo - SP</w:t>
      </w:r>
    </w:p>
    <w:p w14:paraId="444564BF" w14:textId="77777777" w:rsidR="00EA3C78" w:rsidRPr="00C1346F" w:rsidRDefault="00EA3C78" w:rsidP="0017480E">
      <w:pPr>
        <w:spacing w:line="260" w:lineRule="exact"/>
        <w:rPr>
          <w:rFonts w:ascii="Verdana" w:eastAsia="Arial Unicode MS" w:hAnsi="Verdana"/>
          <w:color w:val="000000"/>
          <w:sz w:val="18"/>
          <w:szCs w:val="18"/>
        </w:rPr>
      </w:pPr>
      <w:r w:rsidRPr="00C1346F">
        <w:rPr>
          <w:rFonts w:ascii="Verdana" w:eastAsia="Arial Unicode MS" w:hAnsi="Verdana"/>
          <w:color w:val="000000"/>
          <w:sz w:val="18"/>
          <w:szCs w:val="18"/>
        </w:rPr>
        <w:t>CEP: 04.534-002</w:t>
      </w:r>
    </w:p>
    <w:p w14:paraId="3536D312" w14:textId="77777777" w:rsidR="00EA3C78" w:rsidRPr="00C1346F" w:rsidRDefault="00EA3C78" w:rsidP="0017480E">
      <w:pPr>
        <w:spacing w:line="260" w:lineRule="exact"/>
        <w:rPr>
          <w:rFonts w:ascii="Verdana" w:eastAsia="Arial Unicode MS" w:hAnsi="Verdana"/>
          <w:color w:val="000000"/>
          <w:sz w:val="18"/>
          <w:szCs w:val="18"/>
        </w:rPr>
      </w:pPr>
      <w:proofErr w:type="spellStart"/>
      <w:r w:rsidRPr="00C1346F">
        <w:rPr>
          <w:rFonts w:ascii="Verdana" w:eastAsia="Arial Unicode MS" w:hAnsi="Verdana"/>
          <w:color w:val="000000"/>
          <w:sz w:val="18"/>
          <w:szCs w:val="18"/>
        </w:rPr>
        <w:t>Tel</w:t>
      </w:r>
      <w:proofErr w:type="spellEnd"/>
      <w:r w:rsidRPr="00C1346F">
        <w:rPr>
          <w:rFonts w:ascii="Verdana" w:eastAsia="Arial Unicode MS" w:hAnsi="Verdana"/>
          <w:color w:val="000000"/>
          <w:sz w:val="18"/>
          <w:szCs w:val="18"/>
        </w:rPr>
        <w:t>: (11) 3104-6676 e (21) 2507-1949</w:t>
      </w:r>
    </w:p>
    <w:p w14:paraId="134C31A8" w14:textId="77777777" w:rsidR="00EA3C78" w:rsidRPr="00C1346F" w:rsidRDefault="00EA3C78" w:rsidP="0017480E">
      <w:pPr>
        <w:spacing w:line="260" w:lineRule="exact"/>
        <w:rPr>
          <w:rFonts w:ascii="Verdana" w:eastAsia="Arial Unicode MS" w:hAnsi="Verdana"/>
          <w:color w:val="000000"/>
          <w:sz w:val="18"/>
          <w:szCs w:val="18"/>
        </w:rPr>
      </w:pPr>
      <w:proofErr w:type="gramStart"/>
      <w:r w:rsidRPr="00C1346F">
        <w:rPr>
          <w:rFonts w:ascii="Verdana" w:eastAsia="Arial Unicode MS" w:hAnsi="Verdana"/>
          <w:color w:val="000000"/>
          <w:sz w:val="18"/>
          <w:szCs w:val="18"/>
        </w:rPr>
        <w:t>At.:</w:t>
      </w:r>
      <w:proofErr w:type="gramEnd"/>
      <w:r w:rsidRPr="00C1346F">
        <w:rPr>
          <w:rFonts w:ascii="Verdana" w:eastAsia="Arial Unicode MS" w:hAnsi="Verdana"/>
          <w:color w:val="000000"/>
          <w:sz w:val="18"/>
          <w:szCs w:val="18"/>
        </w:rPr>
        <w:t xml:space="preserve"> Sr. Carlos Alberto Bacha; Rinaldo Rabello Ferreira e Matheus Gomes Faria</w:t>
      </w:r>
    </w:p>
    <w:p w14:paraId="6D19C4E2" w14:textId="77777777" w:rsidR="00EA3C78" w:rsidRDefault="00EA3C78" w:rsidP="0017480E">
      <w:pPr>
        <w:tabs>
          <w:tab w:val="num" w:pos="0"/>
        </w:tabs>
        <w:spacing w:line="260" w:lineRule="exact"/>
        <w:jc w:val="both"/>
        <w:rPr>
          <w:rFonts w:ascii="Verdana" w:hAnsi="Verdana"/>
          <w:sz w:val="18"/>
          <w:szCs w:val="18"/>
          <w:shd w:val="clear" w:color="auto" w:fill="FFFFFF"/>
        </w:rPr>
      </w:pPr>
      <w:r w:rsidRPr="00C1346F">
        <w:rPr>
          <w:rFonts w:ascii="Verdana" w:eastAsia="Arial Unicode MS" w:hAnsi="Verdana"/>
          <w:color w:val="000000"/>
          <w:sz w:val="18"/>
          <w:szCs w:val="18"/>
        </w:rPr>
        <w:t xml:space="preserve">E-mail: </w:t>
      </w:r>
      <w:hyperlink r:id="rId15" w:history="1">
        <w:r w:rsidR="00BD1915" w:rsidRPr="00652B32">
          <w:rPr>
            <w:rStyle w:val="Hyperlink"/>
            <w:rFonts w:ascii="Verdana" w:eastAsia="Arial Unicode MS" w:hAnsi="Verdana"/>
            <w:sz w:val="18"/>
            <w:szCs w:val="18"/>
          </w:rPr>
          <w:t>carlos.bacha@simplificpavarini.com.br</w:t>
        </w:r>
      </w:hyperlink>
      <w:r w:rsidRPr="00C1346F">
        <w:rPr>
          <w:rFonts w:ascii="Verdana" w:eastAsia="Arial Unicode MS" w:hAnsi="Verdana"/>
          <w:color w:val="000000"/>
          <w:sz w:val="18"/>
          <w:szCs w:val="18"/>
        </w:rPr>
        <w:t xml:space="preserve">; </w:t>
      </w:r>
      <w:hyperlink r:id="rId16" w:history="1">
        <w:r w:rsidR="00BD1915" w:rsidRPr="00652B32">
          <w:rPr>
            <w:rStyle w:val="Hyperlink"/>
            <w:rFonts w:ascii="Verdana" w:eastAsia="Arial Unicode MS" w:hAnsi="Verdana"/>
            <w:sz w:val="18"/>
            <w:szCs w:val="18"/>
          </w:rPr>
          <w:t>rinaldo@simplificpavarini.com.br</w:t>
        </w:r>
      </w:hyperlink>
      <w:r w:rsidRPr="00C1346F">
        <w:rPr>
          <w:rFonts w:ascii="Verdana" w:eastAsia="Arial Unicode MS" w:hAnsi="Verdana"/>
          <w:color w:val="000000"/>
          <w:sz w:val="18"/>
          <w:szCs w:val="18"/>
        </w:rPr>
        <w:t xml:space="preserve">; </w:t>
      </w:r>
      <w:hyperlink r:id="rId17" w:history="1">
        <w:r w:rsidR="00BD1915" w:rsidRPr="00652B32">
          <w:rPr>
            <w:rStyle w:val="Hyperlink"/>
            <w:rFonts w:ascii="Verdana" w:eastAsia="Arial Unicode MS" w:hAnsi="Verdana"/>
            <w:sz w:val="18"/>
            <w:szCs w:val="18"/>
          </w:rPr>
          <w:t>matheus@simplificpavarini.com.br</w:t>
        </w:r>
      </w:hyperlink>
      <w:r w:rsidR="00BD1915">
        <w:rPr>
          <w:rFonts w:ascii="Verdana" w:eastAsia="Arial Unicode MS" w:hAnsi="Verdana"/>
          <w:color w:val="000000"/>
          <w:sz w:val="18"/>
          <w:szCs w:val="18"/>
        </w:rPr>
        <w:t xml:space="preserve"> </w:t>
      </w:r>
      <w:r w:rsidRPr="00C1346F">
        <w:rPr>
          <w:rFonts w:ascii="Verdana" w:eastAsia="Arial Unicode MS" w:hAnsi="Verdana"/>
          <w:color w:val="000000"/>
          <w:sz w:val="18"/>
          <w:szCs w:val="18"/>
        </w:rPr>
        <w:t xml:space="preserve">e </w:t>
      </w:r>
      <w:hyperlink r:id="rId18" w:history="1">
        <w:r w:rsidR="00BD1915" w:rsidRPr="00652B32">
          <w:rPr>
            <w:rStyle w:val="Hyperlink"/>
            <w:rFonts w:ascii="Verdana" w:eastAsia="Arial Unicode MS" w:hAnsi="Verdana"/>
            <w:sz w:val="18"/>
            <w:szCs w:val="18"/>
          </w:rPr>
          <w:t>fiduciário@simplificpavarini.com.br</w:t>
        </w:r>
      </w:hyperlink>
      <w:r w:rsidR="00BD1915">
        <w:rPr>
          <w:rFonts w:ascii="Verdana" w:eastAsia="Arial Unicode MS" w:hAnsi="Verdana"/>
          <w:color w:val="000000"/>
          <w:sz w:val="18"/>
          <w:szCs w:val="18"/>
        </w:rPr>
        <w:t xml:space="preserve"> </w:t>
      </w:r>
    </w:p>
    <w:p w14:paraId="10A2FD8D" w14:textId="77777777" w:rsidR="00EA3C78" w:rsidRPr="00A50A8B" w:rsidRDefault="00EA3C78" w:rsidP="0017480E">
      <w:pPr>
        <w:tabs>
          <w:tab w:val="num" w:pos="0"/>
        </w:tabs>
        <w:spacing w:line="260" w:lineRule="exact"/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78BC5B5F" w14:textId="1EA35747" w:rsidR="00094514" w:rsidRPr="00094514" w:rsidRDefault="009258A9" w:rsidP="00094514">
      <w:pPr>
        <w:tabs>
          <w:tab w:val="num" w:pos="709"/>
        </w:tabs>
        <w:spacing w:line="260" w:lineRule="exact"/>
        <w:ind w:left="709" w:hanging="709"/>
        <w:jc w:val="both"/>
        <w:rPr>
          <w:rFonts w:ascii="Verdana" w:hAnsi="Verdana"/>
          <w:b/>
          <w:sz w:val="18"/>
          <w:szCs w:val="18"/>
          <w:u w:val="single"/>
          <w:shd w:val="clear" w:color="auto" w:fill="FFFFFF"/>
        </w:rPr>
      </w:pPr>
      <w:r w:rsidRPr="009258A9">
        <w:rPr>
          <w:rFonts w:ascii="Verdana" w:hAnsi="Verdana"/>
          <w:b/>
          <w:sz w:val="18"/>
          <w:szCs w:val="18"/>
          <w:u w:val="single"/>
          <w:shd w:val="clear" w:color="auto" w:fill="FFFFFF"/>
        </w:rPr>
        <w:t>Ref.</w:t>
      </w:r>
      <w:r w:rsidR="008634E6">
        <w:rPr>
          <w:rFonts w:ascii="Verdana" w:hAnsi="Verdana"/>
          <w:b/>
          <w:sz w:val="18"/>
          <w:szCs w:val="18"/>
          <w:u w:val="single"/>
          <w:shd w:val="clear" w:color="auto" w:fill="FFFFFF"/>
        </w:rPr>
        <w:t>:</w:t>
      </w:r>
      <w:r w:rsidR="008634E6">
        <w:rPr>
          <w:rFonts w:ascii="Verdana" w:hAnsi="Verdana"/>
          <w:b/>
          <w:sz w:val="18"/>
          <w:szCs w:val="18"/>
          <w:u w:val="single"/>
          <w:shd w:val="clear" w:color="auto" w:fill="FFFFFF"/>
        </w:rPr>
        <w:tab/>
      </w:r>
      <w:r w:rsidR="000B2C3C">
        <w:rPr>
          <w:rFonts w:ascii="Verdana" w:hAnsi="Verdana"/>
          <w:b/>
          <w:sz w:val="18"/>
          <w:szCs w:val="18"/>
          <w:u w:val="single"/>
          <w:shd w:val="clear" w:color="auto" w:fill="FFFFFF"/>
        </w:rPr>
        <w:t xml:space="preserve">Carta de </w:t>
      </w:r>
      <w:r w:rsidR="000B2C3C" w:rsidRPr="009258A9">
        <w:rPr>
          <w:rFonts w:ascii="Verdana" w:hAnsi="Verdana"/>
          <w:b/>
          <w:sz w:val="18"/>
          <w:szCs w:val="18"/>
          <w:u w:val="single"/>
          <w:shd w:val="clear" w:color="auto" w:fill="FFFFFF"/>
        </w:rPr>
        <w:t xml:space="preserve">utilização de recursos </w:t>
      </w:r>
      <w:r w:rsidR="000B2C3C">
        <w:rPr>
          <w:rFonts w:ascii="Verdana" w:hAnsi="Verdana"/>
          <w:b/>
          <w:sz w:val="18"/>
          <w:szCs w:val="18"/>
          <w:u w:val="single"/>
          <w:shd w:val="clear" w:color="auto" w:fill="FFFFFF"/>
        </w:rPr>
        <w:t xml:space="preserve">oriundos da Distribuição Braskem 2018, no âmbito (i) </w:t>
      </w:r>
      <w:r w:rsidR="00094514">
        <w:rPr>
          <w:rFonts w:ascii="Verdana" w:hAnsi="Verdana"/>
          <w:b/>
          <w:sz w:val="18"/>
          <w:szCs w:val="18"/>
          <w:u w:val="single"/>
          <w:shd w:val="clear" w:color="auto" w:fill="FFFFFF"/>
        </w:rPr>
        <w:t xml:space="preserve">da </w:t>
      </w:r>
      <w:r w:rsidR="000B2C3C" w:rsidRPr="00EF1020">
        <w:rPr>
          <w:rFonts w:ascii="Verdana" w:hAnsi="Verdana"/>
          <w:b/>
          <w:sz w:val="18"/>
          <w:szCs w:val="18"/>
          <w:u w:val="single"/>
          <w:shd w:val="clear" w:color="auto" w:fill="FFFFFF"/>
        </w:rPr>
        <w:t xml:space="preserve">1ª (primeira) emissão pública de Debêntures Simples, Não Conversíveis </w:t>
      </w:r>
      <w:r w:rsidR="000B2C3C">
        <w:rPr>
          <w:rFonts w:ascii="Verdana" w:hAnsi="Verdana"/>
          <w:b/>
          <w:sz w:val="18"/>
          <w:szCs w:val="18"/>
          <w:u w:val="single"/>
          <w:shd w:val="clear" w:color="auto" w:fill="FFFFFF"/>
        </w:rPr>
        <w:t>e</w:t>
      </w:r>
      <w:r w:rsidR="000B2C3C" w:rsidRPr="00EF1020">
        <w:rPr>
          <w:rFonts w:ascii="Verdana" w:hAnsi="Verdana"/>
          <w:b/>
          <w:sz w:val="18"/>
          <w:szCs w:val="18"/>
          <w:u w:val="single"/>
          <w:shd w:val="clear" w:color="auto" w:fill="FFFFFF"/>
        </w:rPr>
        <w:t xml:space="preserve">m Ações, </w:t>
      </w:r>
      <w:r w:rsidR="000B2C3C">
        <w:rPr>
          <w:rFonts w:ascii="Verdana" w:hAnsi="Verdana"/>
          <w:b/>
          <w:sz w:val="18"/>
          <w:szCs w:val="18"/>
          <w:u w:val="single"/>
          <w:shd w:val="clear" w:color="auto" w:fill="FFFFFF"/>
        </w:rPr>
        <w:t>e</w:t>
      </w:r>
      <w:r w:rsidR="000B2C3C" w:rsidRPr="00EF1020">
        <w:rPr>
          <w:rFonts w:ascii="Verdana" w:hAnsi="Verdana"/>
          <w:b/>
          <w:sz w:val="18"/>
          <w:szCs w:val="18"/>
          <w:u w:val="single"/>
          <w:shd w:val="clear" w:color="auto" w:fill="FFFFFF"/>
        </w:rPr>
        <w:t xml:space="preserve">m Duas Séries </w:t>
      </w:r>
      <w:r w:rsidR="000B2C3C">
        <w:rPr>
          <w:rFonts w:ascii="Verdana" w:hAnsi="Verdana"/>
          <w:b/>
          <w:sz w:val="18"/>
          <w:szCs w:val="18"/>
          <w:u w:val="single"/>
          <w:shd w:val="clear" w:color="auto" w:fill="FFFFFF"/>
        </w:rPr>
        <w:t>p</w:t>
      </w:r>
      <w:r w:rsidR="000B2C3C" w:rsidRPr="00EF1020">
        <w:rPr>
          <w:rFonts w:ascii="Verdana" w:hAnsi="Verdana"/>
          <w:b/>
          <w:sz w:val="18"/>
          <w:szCs w:val="18"/>
          <w:u w:val="single"/>
          <w:shd w:val="clear" w:color="auto" w:fill="FFFFFF"/>
        </w:rPr>
        <w:t xml:space="preserve">ara Distribuição Pública </w:t>
      </w:r>
      <w:r w:rsidR="000B2C3C">
        <w:rPr>
          <w:rFonts w:ascii="Verdana" w:hAnsi="Verdana"/>
          <w:b/>
          <w:sz w:val="18"/>
          <w:szCs w:val="18"/>
          <w:u w:val="single"/>
          <w:shd w:val="clear" w:color="auto" w:fill="FFFFFF"/>
        </w:rPr>
        <w:t>c</w:t>
      </w:r>
      <w:r w:rsidR="000B2C3C" w:rsidRPr="00EF1020">
        <w:rPr>
          <w:rFonts w:ascii="Verdana" w:hAnsi="Verdana"/>
          <w:b/>
          <w:sz w:val="18"/>
          <w:szCs w:val="18"/>
          <w:u w:val="single"/>
          <w:shd w:val="clear" w:color="auto" w:fill="FFFFFF"/>
        </w:rPr>
        <w:t xml:space="preserve">om Esforços Restritos e Uma Série </w:t>
      </w:r>
      <w:r w:rsidR="000B2C3C">
        <w:rPr>
          <w:rFonts w:ascii="Verdana" w:hAnsi="Verdana"/>
          <w:b/>
          <w:sz w:val="18"/>
          <w:szCs w:val="18"/>
          <w:u w:val="single"/>
          <w:shd w:val="clear" w:color="auto" w:fill="FFFFFF"/>
        </w:rPr>
        <w:t>p</w:t>
      </w:r>
      <w:r w:rsidR="000B2C3C" w:rsidRPr="00EF1020">
        <w:rPr>
          <w:rFonts w:ascii="Verdana" w:hAnsi="Verdana"/>
          <w:b/>
          <w:sz w:val="18"/>
          <w:szCs w:val="18"/>
          <w:u w:val="single"/>
          <w:shd w:val="clear" w:color="auto" w:fill="FFFFFF"/>
        </w:rPr>
        <w:t xml:space="preserve">ara Colocação Privada, </w:t>
      </w:r>
      <w:r w:rsidR="000B2C3C">
        <w:rPr>
          <w:rFonts w:ascii="Verdana" w:hAnsi="Verdana"/>
          <w:b/>
          <w:sz w:val="18"/>
          <w:szCs w:val="18"/>
          <w:u w:val="single"/>
          <w:shd w:val="clear" w:color="auto" w:fill="FFFFFF"/>
        </w:rPr>
        <w:t>d</w:t>
      </w:r>
      <w:r w:rsidR="000B2C3C" w:rsidRPr="00EF1020">
        <w:rPr>
          <w:rFonts w:ascii="Verdana" w:hAnsi="Verdana"/>
          <w:b/>
          <w:sz w:val="18"/>
          <w:szCs w:val="18"/>
          <w:u w:val="single"/>
          <w:shd w:val="clear" w:color="auto" w:fill="FFFFFF"/>
        </w:rPr>
        <w:t xml:space="preserve">a Espécie </w:t>
      </w:r>
      <w:r w:rsidR="000B2C3C">
        <w:rPr>
          <w:rFonts w:ascii="Verdana" w:hAnsi="Verdana"/>
          <w:b/>
          <w:sz w:val="18"/>
          <w:szCs w:val="18"/>
          <w:u w:val="single"/>
          <w:shd w:val="clear" w:color="auto" w:fill="FFFFFF"/>
        </w:rPr>
        <w:t>c</w:t>
      </w:r>
      <w:r w:rsidR="000B2C3C" w:rsidRPr="00EF1020">
        <w:rPr>
          <w:rFonts w:ascii="Verdana" w:hAnsi="Verdana"/>
          <w:b/>
          <w:sz w:val="18"/>
          <w:szCs w:val="18"/>
          <w:u w:val="single"/>
          <w:shd w:val="clear" w:color="auto" w:fill="FFFFFF"/>
        </w:rPr>
        <w:t>om Garantia Real e Garantia Fidejussória Adicional da OSP Investimentos S.A.</w:t>
      </w:r>
      <w:r w:rsidR="000B2C3C">
        <w:rPr>
          <w:rFonts w:ascii="Verdana" w:hAnsi="Verdana"/>
          <w:b/>
          <w:sz w:val="18"/>
          <w:szCs w:val="18"/>
          <w:u w:val="single"/>
          <w:shd w:val="clear" w:color="auto" w:fill="FFFFFF"/>
        </w:rPr>
        <w:t>, (</w:t>
      </w:r>
      <w:proofErr w:type="spellStart"/>
      <w:r w:rsidR="000B2C3C">
        <w:rPr>
          <w:rFonts w:ascii="Verdana" w:hAnsi="Verdana"/>
          <w:b/>
          <w:sz w:val="18"/>
          <w:szCs w:val="18"/>
          <w:u w:val="single"/>
          <w:shd w:val="clear" w:color="auto" w:fill="FFFFFF"/>
        </w:rPr>
        <w:t>ii</w:t>
      </w:r>
      <w:proofErr w:type="spellEnd"/>
      <w:r w:rsidR="000B2C3C">
        <w:rPr>
          <w:rFonts w:ascii="Verdana" w:hAnsi="Verdana"/>
          <w:b/>
          <w:sz w:val="18"/>
          <w:szCs w:val="18"/>
          <w:u w:val="single"/>
          <w:shd w:val="clear" w:color="auto" w:fill="FFFFFF"/>
        </w:rPr>
        <w:t xml:space="preserve">) </w:t>
      </w:r>
      <w:r w:rsidR="00094514">
        <w:rPr>
          <w:rFonts w:ascii="Verdana" w:hAnsi="Verdana"/>
          <w:b/>
          <w:sz w:val="18"/>
          <w:szCs w:val="18"/>
          <w:u w:val="single"/>
          <w:shd w:val="clear" w:color="auto" w:fill="FFFFFF"/>
        </w:rPr>
        <w:t xml:space="preserve">da </w:t>
      </w:r>
      <w:r w:rsidR="000B2C3C">
        <w:rPr>
          <w:rFonts w:ascii="Verdana" w:hAnsi="Verdana"/>
          <w:b/>
          <w:sz w:val="18"/>
          <w:szCs w:val="18"/>
          <w:u w:val="single"/>
          <w:shd w:val="clear" w:color="auto" w:fill="FFFFFF"/>
        </w:rPr>
        <w:t>2</w:t>
      </w:r>
      <w:r w:rsidR="000B2C3C" w:rsidRPr="00EF1020">
        <w:rPr>
          <w:rFonts w:ascii="Verdana" w:hAnsi="Verdana"/>
          <w:b/>
          <w:sz w:val="18"/>
          <w:szCs w:val="18"/>
          <w:u w:val="single"/>
          <w:shd w:val="clear" w:color="auto" w:fill="FFFFFF"/>
        </w:rPr>
        <w:t>ª (</w:t>
      </w:r>
      <w:r w:rsidR="000B2C3C">
        <w:rPr>
          <w:rFonts w:ascii="Verdana" w:hAnsi="Verdana"/>
          <w:b/>
          <w:sz w:val="18"/>
          <w:szCs w:val="18"/>
          <w:u w:val="single"/>
          <w:shd w:val="clear" w:color="auto" w:fill="FFFFFF"/>
        </w:rPr>
        <w:t>segunda</w:t>
      </w:r>
      <w:r w:rsidR="000B2C3C" w:rsidRPr="00EF1020">
        <w:rPr>
          <w:rFonts w:ascii="Verdana" w:hAnsi="Verdana"/>
          <w:b/>
          <w:sz w:val="18"/>
          <w:szCs w:val="18"/>
          <w:u w:val="single"/>
          <w:shd w:val="clear" w:color="auto" w:fill="FFFFFF"/>
        </w:rPr>
        <w:t xml:space="preserve">) emissão pública de Debêntures Simples, Não Conversíveis </w:t>
      </w:r>
      <w:r w:rsidR="000B2C3C">
        <w:rPr>
          <w:rFonts w:ascii="Verdana" w:hAnsi="Verdana"/>
          <w:b/>
          <w:sz w:val="18"/>
          <w:szCs w:val="18"/>
          <w:u w:val="single"/>
          <w:shd w:val="clear" w:color="auto" w:fill="FFFFFF"/>
        </w:rPr>
        <w:t>e</w:t>
      </w:r>
      <w:r w:rsidR="000B2C3C" w:rsidRPr="00EF1020">
        <w:rPr>
          <w:rFonts w:ascii="Verdana" w:hAnsi="Verdana"/>
          <w:b/>
          <w:sz w:val="18"/>
          <w:szCs w:val="18"/>
          <w:u w:val="single"/>
          <w:shd w:val="clear" w:color="auto" w:fill="FFFFFF"/>
        </w:rPr>
        <w:t xml:space="preserve">m Ações, </w:t>
      </w:r>
      <w:r w:rsidR="000B2C3C">
        <w:rPr>
          <w:rFonts w:ascii="Verdana" w:hAnsi="Verdana"/>
          <w:b/>
          <w:sz w:val="18"/>
          <w:szCs w:val="18"/>
          <w:u w:val="single"/>
          <w:shd w:val="clear" w:color="auto" w:fill="FFFFFF"/>
        </w:rPr>
        <w:t>e</w:t>
      </w:r>
      <w:r w:rsidR="000B2C3C" w:rsidRPr="00EF1020">
        <w:rPr>
          <w:rFonts w:ascii="Verdana" w:hAnsi="Verdana"/>
          <w:b/>
          <w:sz w:val="18"/>
          <w:szCs w:val="18"/>
          <w:u w:val="single"/>
          <w:shd w:val="clear" w:color="auto" w:fill="FFFFFF"/>
        </w:rPr>
        <w:t xml:space="preserve">m </w:t>
      </w:r>
      <w:r w:rsidR="000B2C3C">
        <w:rPr>
          <w:rFonts w:ascii="Verdana" w:hAnsi="Verdana"/>
          <w:b/>
          <w:sz w:val="18"/>
          <w:szCs w:val="18"/>
          <w:u w:val="single"/>
          <w:shd w:val="clear" w:color="auto" w:fill="FFFFFF"/>
        </w:rPr>
        <w:t>Onze</w:t>
      </w:r>
      <w:r w:rsidR="000B2C3C" w:rsidRPr="00EF1020">
        <w:rPr>
          <w:rFonts w:ascii="Verdana" w:hAnsi="Verdana"/>
          <w:b/>
          <w:sz w:val="18"/>
          <w:szCs w:val="18"/>
          <w:u w:val="single"/>
          <w:shd w:val="clear" w:color="auto" w:fill="FFFFFF"/>
        </w:rPr>
        <w:t xml:space="preserve"> Séries </w:t>
      </w:r>
      <w:r w:rsidR="000B2C3C">
        <w:rPr>
          <w:rFonts w:ascii="Verdana" w:hAnsi="Verdana"/>
          <w:b/>
          <w:sz w:val="18"/>
          <w:szCs w:val="18"/>
          <w:u w:val="single"/>
          <w:shd w:val="clear" w:color="auto" w:fill="FFFFFF"/>
        </w:rPr>
        <w:t>p</w:t>
      </w:r>
      <w:r w:rsidR="000B2C3C" w:rsidRPr="00EF1020">
        <w:rPr>
          <w:rFonts w:ascii="Verdana" w:hAnsi="Verdana"/>
          <w:b/>
          <w:sz w:val="18"/>
          <w:szCs w:val="18"/>
          <w:u w:val="single"/>
          <w:shd w:val="clear" w:color="auto" w:fill="FFFFFF"/>
        </w:rPr>
        <w:t xml:space="preserve">ara Distribuição Pública </w:t>
      </w:r>
      <w:r w:rsidR="000B2C3C">
        <w:rPr>
          <w:rFonts w:ascii="Verdana" w:hAnsi="Verdana"/>
          <w:b/>
          <w:sz w:val="18"/>
          <w:szCs w:val="18"/>
          <w:u w:val="single"/>
          <w:shd w:val="clear" w:color="auto" w:fill="FFFFFF"/>
        </w:rPr>
        <w:t>c</w:t>
      </w:r>
      <w:r w:rsidR="000B2C3C" w:rsidRPr="00EF1020">
        <w:rPr>
          <w:rFonts w:ascii="Verdana" w:hAnsi="Verdana"/>
          <w:b/>
          <w:sz w:val="18"/>
          <w:szCs w:val="18"/>
          <w:u w:val="single"/>
          <w:shd w:val="clear" w:color="auto" w:fill="FFFFFF"/>
        </w:rPr>
        <w:t>om Esforços Restritos</w:t>
      </w:r>
      <w:r w:rsidR="000B2C3C">
        <w:rPr>
          <w:rFonts w:ascii="Verdana" w:hAnsi="Verdana"/>
          <w:b/>
          <w:sz w:val="18"/>
          <w:szCs w:val="18"/>
          <w:u w:val="single"/>
          <w:shd w:val="clear" w:color="auto" w:fill="FFFFFF"/>
        </w:rPr>
        <w:t xml:space="preserve"> de Distribuição</w:t>
      </w:r>
      <w:r w:rsidR="000B2C3C" w:rsidRPr="00094514">
        <w:rPr>
          <w:rFonts w:ascii="Verdana" w:hAnsi="Verdana"/>
          <w:b/>
          <w:sz w:val="18"/>
          <w:szCs w:val="18"/>
          <w:u w:val="single"/>
          <w:shd w:val="clear" w:color="auto" w:fill="FFFFFF"/>
        </w:rPr>
        <w:t>, da Espécie com Garantia Real e Garantia Fidejussória Adicional da OSP Investimentos S.A.</w:t>
      </w:r>
      <w:r w:rsidR="00094514" w:rsidRPr="00094514">
        <w:rPr>
          <w:rFonts w:ascii="Verdana" w:hAnsi="Verdana"/>
          <w:b/>
          <w:sz w:val="18"/>
          <w:szCs w:val="18"/>
          <w:u w:val="single"/>
          <w:shd w:val="clear" w:color="auto" w:fill="FFFFFF"/>
        </w:rPr>
        <w:t>, (</w:t>
      </w:r>
      <w:proofErr w:type="spellStart"/>
      <w:r w:rsidR="00094514" w:rsidRPr="00094514">
        <w:rPr>
          <w:rFonts w:ascii="Verdana" w:hAnsi="Verdana"/>
          <w:b/>
          <w:sz w:val="18"/>
          <w:szCs w:val="18"/>
          <w:u w:val="single"/>
          <w:shd w:val="clear" w:color="auto" w:fill="FFFFFF"/>
        </w:rPr>
        <w:t>iii</w:t>
      </w:r>
      <w:proofErr w:type="spellEnd"/>
      <w:r w:rsidR="00094514" w:rsidRPr="00094514">
        <w:rPr>
          <w:rFonts w:ascii="Verdana" w:hAnsi="Verdana"/>
          <w:b/>
          <w:sz w:val="18"/>
          <w:szCs w:val="18"/>
          <w:u w:val="single"/>
          <w:shd w:val="clear" w:color="auto" w:fill="FFFFFF"/>
        </w:rPr>
        <w:t xml:space="preserve">) do </w:t>
      </w:r>
      <w:r w:rsidR="00094514" w:rsidRPr="00094514">
        <w:rPr>
          <w:rFonts w:ascii="Verdana" w:hAnsi="Verdana"/>
          <w:b/>
          <w:sz w:val="18"/>
          <w:szCs w:val="18"/>
        </w:rPr>
        <w:t>Instrumento Particular de Constituição de Garantia – Alienação Fiduciária de Ações Ordinárias de Emissão da Braskem S.A. e Outras Avenças, datado de 23 de maio de 2018</w:t>
      </w:r>
      <w:r w:rsidR="00094514" w:rsidRPr="00094514">
        <w:rPr>
          <w:rFonts w:ascii="Verdana" w:hAnsi="Verdana"/>
          <w:b/>
          <w:sz w:val="18"/>
          <w:szCs w:val="18"/>
        </w:rPr>
        <w:t xml:space="preserve"> e conforme aditado de tempos em tempos (“</w:t>
      </w:r>
      <w:r w:rsidR="00094514" w:rsidRPr="00094514">
        <w:rPr>
          <w:rFonts w:ascii="Verdana" w:hAnsi="Verdana"/>
          <w:b/>
          <w:sz w:val="18"/>
          <w:szCs w:val="18"/>
          <w:u w:val="single"/>
        </w:rPr>
        <w:t>Contrato de Alienação Fiduciária de Ações ON</w:t>
      </w:r>
      <w:r w:rsidR="00094514" w:rsidRPr="00094514">
        <w:rPr>
          <w:rFonts w:ascii="Verdana" w:hAnsi="Verdana"/>
          <w:b/>
          <w:sz w:val="18"/>
          <w:szCs w:val="18"/>
        </w:rPr>
        <w:t>”)</w:t>
      </w:r>
      <w:r w:rsidR="00094514" w:rsidRPr="00094514">
        <w:rPr>
          <w:rFonts w:ascii="Verdana" w:hAnsi="Verdana"/>
          <w:b/>
          <w:sz w:val="18"/>
          <w:szCs w:val="18"/>
        </w:rPr>
        <w:t>; (</w:t>
      </w:r>
      <w:proofErr w:type="spellStart"/>
      <w:r w:rsidR="00094514" w:rsidRPr="00094514">
        <w:rPr>
          <w:rFonts w:ascii="Verdana" w:hAnsi="Verdana"/>
          <w:b/>
          <w:sz w:val="18"/>
          <w:szCs w:val="18"/>
        </w:rPr>
        <w:t>ii</w:t>
      </w:r>
      <w:proofErr w:type="spellEnd"/>
      <w:r w:rsidR="00094514" w:rsidRPr="00094514">
        <w:rPr>
          <w:rFonts w:ascii="Verdana" w:hAnsi="Verdana"/>
          <w:b/>
          <w:sz w:val="18"/>
          <w:szCs w:val="18"/>
        </w:rPr>
        <w:t xml:space="preserve">) </w:t>
      </w:r>
      <w:r w:rsidR="00094514" w:rsidRPr="00094514">
        <w:rPr>
          <w:rFonts w:ascii="Verdana" w:hAnsi="Verdana"/>
          <w:b/>
          <w:sz w:val="18"/>
          <w:szCs w:val="18"/>
        </w:rPr>
        <w:t xml:space="preserve">do </w:t>
      </w:r>
      <w:r w:rsidR="00094514" w:rsidRPr="00094514">
        <w:rPr>
          <w:rFonts w:ascii="Verdana" w:hAnsi="Verdana"/>
          <w:b/>
          <w:sz w:val="18"/>
          <w:szCs w:val="18"/>
        </w:rPr>
        <w:t>Instrumento Particular de Constituição de Garantia – Alienação Fiduciária de Ações Preferenciais de Emissão da Braskem S.A. e Outras Avenças, datado de 27 de novembro de 2013</w:t>
      </w:r>
      <w:r w:rsidR="00094514" w:rsidRPr="00094514">
        <w:rPr>
          <w:rFonts w:ascii="Verdana" w:hAnsi="Verdana"/>
          <w:b/>
          <w:sz w:val="18"/>
          <w:szCs w:val="18"/>
        </w:rPr>
        <w:t xml:space="preserve"> e</w:t>
      </w:r>
      <w:r w:rsidR="00094514" w:rsidRPr="00094514">
        <w:rPr>
          <w:rFonts w:ascii="Verdana" w:hAnsi="Verdana"/>
          <w:b/>
          <w:sz w:val="18"/>
          <w:szCs w:val="18"/>
        </w:rPr>
        <w:t xml:space="preserve"> conforme aditado </w:t>
      </w:r>
      <w:r w:rsidR="00094514" w:rsidRPr="00094514">
        <w:rPr>
          <w:rFonts w:ascii="Verdana" w:hAnsi="Verdana"/>
          <w:b/>
          <w:sz w:val="18"/>
          <w:szCs w:val="18"/>
        </w:rPr>
        <w:t xml:space="preserve">de tempos em tempos </w:t>
      </w:r>
      <w:r w:rsidR="00094514" w:rsidRPr="00094514">
        <w:rPr>
          <w:rFonts w:ascii="Verdana" w:hAnsi="Verdana"/>
          <w:b/>
          <w:sz w:val="18"/>
          <w:szCs w:val="18"/>
        </w:rPr>
        <w:t>(“</w:t>
      </w:r>
      <w:r w:rsidR="00094514" w:rsidRPr="00094514">
        <w:rPr>
          <w:rFonts w:ascii="Verdana" w:hAnsi="Verdana"/>
          <w:b/>
          <w:sz w:val="18"/>
          <w:szCs w:val="18"/>
          <w:u w:val="single"/>
        </w:rPr>
        <w:t xml:space="preserve">Contrato de Alienação Fiduciária de </w:t>
      </w:r>
      <w:r w:rsidR="00094514" w:rsidRPr="00094514">
        <w:rPr>
          <w:rFonts w:ascii="Verdana" w:hAnsi="Verdana"/>
          <w:b/>
          <w:sz w:val="18"/>
          <w:szCs w:val="18"/>
          <w:u w:val="single"/>
        </w:rPr>
        <w:t>Ações PN</w:t>
      </w:r>
      <w:r w:rsidR="00094514" w:rsidRPr="00094514">
        <w:rPr>
          <w:rFonts w:ascii="Verdana" w:hAnsi="Verdana"/>
          <w:b/>
          <w:sz w:val="18"/>
          <w:szCs w:val="18"/>
        </w:rPr>
        <w:t>”); e (</w:t>
      </w:r>
      <w:proofErr w:type="spellStart"/>
      <w:r w:rsidR="00094514" w:rsidRPr="00094514">
        <w:rPr>
          <w:rFonts w:ascii="Verdana" w:hAnsi="Verdana"/>
          <w:b/>
          <w:sz w:val="18"/>
          <w:szCs w:val="18"/>
        </w:rPr>
        <w:t>iii</w:t>
      </w:r>
      <w:proofErr w:type="spellEnd"/>
      <w:r w:rsidR="00094514" w:rsidRPr="00094514">
        <w:rPr>
          <w:rFonts w:ascii="Verdana" w:hAnsi="Verdana"/>
          <w:b/>
          <w:sz w:val="18"/>
          <w:szCs w:val="18"/>
        </w:rPr>
        <w:t>) Instrumento Particular de Contrato de Cessão Fiduciária de Bens e Ativos Financeiros em Garantia, em 27 de novembro de 2013</w:t>
      </w:r>
      <w:r w:rsidR="00094514" w:rsidRPr="00094514">
        <w:rPr>
          <w:rFonts w:ascii="Verdana" w:hAnsi="Verdana"/>
          <w:b/>
          <w:sz w:val="18"/>
          <w:szCs w:val="18"/>
        </w:rPr>
        <w:t xml:space="preserve"> </w:t>
      </w:r>
      <w:r w:rsidR="00094514" w:rsidRPr="00094514">
        <w:rPr>
          <w:rFonts w:ascii="Verdana" w:hAnsi="Verdana"/>
          <w:b/>
          <w:sz w:val="18"/>
          <w:szCs w:val="18"/>
        </w:rPr>
        <w:t>e conforme aditado de tempos em tempos</w:t>
      </w:r>
      <w:r w:rsidR="00094514" w:rsidRPr="00094514">
        <w:rPr>
          <w:rFonts w:ascii="Verdana" w:hAnsi="Verdana"/>
          <w:b/>
          <w:sz w:val="18"/>
          <w:szCs w:val="18"/>
        </w:rPr>
        <w:t xml:space="preserve"> (“</w:t>
      </w:r>
      <w:r w:rsidR="00094514" w:rsidRPr="00094514">
        <w:rPr>
          <w:rFonts w:ascii="Verdana" w:hAnsi="Verdana"/>
          <w:b/>
          <w:sz w:val="18"/>
          <w:szCs w:val="18"/>
          <w:u w:val="single"/>
        </w:rPr>
        <w:t>Contrato de Cessão Fiduciária de Direitos</w:t>
      </w:r>
      <w:r w:rsidR="00094514" w:rsidRPr="00094514">
        <w:rPr>
          <w:rFonts w:ascii="Verdana" w:hAnsi="Verdana"/>
          <w:b/>
          <w:sz w:val="18"/>
          <w:szCs w:val="18"/>
        </w:rPr>
        <w:t xml:space="preserve">”, em conjunto com o </w:t>
      </w:r>
      <w:r w:rsidR="00094514" w:rsidRPr="00094514">
        <w:rPr>
          <w:rFonts w:ascii="Verdana" w:hAnsi="Verdana"/>
          <w:b/>
          <w:sz w:val="18"/>
          <w:szCs w:val="18"/>
        </w:rPr>
        <w:t>Contrato de Alienação Fiduciária de Ações ON</w:t>
      </w:r>
      <w:r w:rsidR="00094514" w:rsidRPr="00094514">
        <w:rPr>
          <w:rFonts w:ascii="Verdana" w:hAnsi="Verdana"/>
          <w:b/>
          <w:sz w:val="18"/>
          <w:szCs w:val="18"/>
        </w:rPr>
        <w:t xml:space="preserve"> e o </w:t>
      </w:r>
      <w:r w:rsidR="00094514" w:rsidRPr="00094514">
        <w:rPr>
          <w:rFonts w:ascii="Verdana" w:hAnsi="Verdana"/>
          <w:b/>
          <w:sz w:val="18"/>
          <w:szCs w:val="18"/>
        </w:rPr>
        <w:t xml:space="preserve">Contrato de Alienação Fiduciária de Ações </w:t>
      </w:r>
      <w:r w:rsidR="00094514" w:rsidRPr="00094514">
        <w:rPr>
          <w:rFonts w:ascii="Verdana" w:hAnsi="Verdana"/>
          <w:b/>
          <w:sz w:val="18"/>
          <w:szCs w:val="18"/>
        </w:rPr>
        <w:t>P</w:t>
      </w:r>
      <w:r w:rsidR="00094514" w:rsidRPr="00094514">
        <w:rPr>
          <w:rFonts w:ascii="Verdana" w:hAnsi="Verdana"/>
          <w:b/>
          <w:sz w:val="18"/>
          <w:szCs w:val="18"/>
        </w:rPr>
        <w:t>N</w:t>
      </w:r>
      <w:r w:rsidR="00094514" w:rsidRPr="00094514">
        <w:rPr>
          <w:rFonts w:ascii="Verdana" w:hAnsi="Verdana"/>
          <w:b/>
          <w:sz w:val="18"/>
          <w:szCs w:val="18"/>
        </w:rPr>
        <w:t>, os “</w:t>
      </w:r>
      <w:r w:rsidR="00094514" w:rsidRPr="00094514">
        <w:rPr>
          <w:rFonts w:ascii="Verdana" w:hAnsi="Verdana"/>
          <w:b/>
          <w:sz w:val="18"/>
          <w:szCs w:val="18"/>
          <w:u w:val="single"/>
        </w:rPr>
        <w:t>Contratos de Garantia</w:t>
      </w:r>
      <w:r w:rsidR="00094514" w:rsidRPr="00094514">
        <w:rPr>
          <w:rFonts w:ascii="Verdana" w:hAnsi="Verdana"/>
          <w:b/>
          <w:sz w:val="18"/>
          <w:szCs w:val="18"/>
        </w:rPr>
        <w:t xml:space="preserve">”) </w:t>
      </w:r>
    </w:p>
    <w:p w14:paraId="3DB44C7D" w14:textId="77777777" w:rsidR="00094514" w:rsidRDefault="00094514" w:rsidP="0017480E">
      <w:pPr>
        <w:tabs>
          <w:tab w:val="num" w:pos="2694"/>
        </w:tabs>
        <w:spacing w:line="260" w:lineRule="exact"/>
        <w:jc w:val="both"/>
        <w:rPr>
          <w:rFonts w:ascii="Verdana" w:hAnsi="Verdana"/>
          <w:b/>
          <w:sz w:val="18"/>
          <w:szCs w:val="18"/>
          <w:u w:val="single"/>
          <w:shd w:val="clear" w:color="auto" w:fill="FFFFFF"/>
        </w:rPr>
      </w:pPr>
    </w:p>
    <w:p w14:paraId="18ED92BE" w14:textId="77777777" w:rsidR="00E97222" w:rsidRPr="009258A9" w:rsidRDefault="00832AF3" w:rsidP="0017480E">
      <w:pPr>
        <w:tabs>
          <w:tab w:val="num" w:pos="0"/>
        </w:tabs>
        <w:spacing w:line="260" w:lineRule="exact"/>
        <w:jc w:val="both"/>
        <w:rPr>
          <w:rFonts w:ascii="Verdana" w:hAnsi="Verdana"/>
          <w:sz w:val="18"/>
          <w:szCs w:val="18"/>
          <w:shd w:val="clear" w:color="auto" w:fill="FFFFFF"/>
        </w:rPr>
      </w:pPr>
      <w:r>
        <w:rPr>
          <w:rFonts w:ascii="Verdana" w:hAnsi="Verdana"/>
          <w:sz w:val="18"/>
          <w:szCs w:val="18"/>
          <w:shd w:val="clear" w:color="auto" w:fill="FFFFFF"/>
        </w:rPr>
        <w:tab/>
      </w:r>
      <w:r w:rsidR="00E97222" w:rsidRPr="009258A9">
        <w:rPr>
          <w:rFonts w:ascii="Verdana" w:hAnsi="Verdana"/>
          <w:sz w:val="18"/>
          <w:szCs w:val="18"/>
          <w:shd w:val="clear" w:color="auto" w:fill="FFFFFF"/>
        </w:rPr>
        <w:t xml:space="preserve">Prezados Senhores, </w:t>
      </w:r>
    </w:p>
    <w:p w14:paraId="6D233992" w14:textId="77777777" w:rsidR="00B10EEE" w:rsidRPr="006F1121" w:rsidRDefault="00B10EEE" w:rsidP="0017480E">
      <w:pPr>
        <w:tabs>
          <w:tab w:val="num" w:pos="0"/>
        </w:tabs>
        <w:spacing w:line="260" w:lineRule="exact"/>
        <w:jc w:val="both"/>
        <w:rPr>
          <w:rFonts w:ascii="Verdana" w:hAnsi="Verdana"/>
          <w:sz w:val="18"/>
          <w:szCs w:val="18"/>
        </w:rPr>
      </w:pPr>
    </w:p>
    <w:p w14:paraId="7B6478DE" w14:textId="79B39EB1" w:rsidR="006F1121" w:rsidRPr="006F1121" w:rsidRDefault="00832AF3" w:rsidP="0017480E">
      <w:pPr>
        <w:tabs>
          <w:tab w:val="num" w:pos="0"/>
        </w:tabs>
        <w:spacing w:line="260" w:lineRule="exact"/>
        <w:jc w:val="both"/>
        <w:rPr>
          <w:rFonts w:ascii="Verdana" w:hAnsi="Verdana"/>
          <w:sz w:val="18"/>
          <w:szCs w:val="18"/>
        </w:rPr>
      </w:pPr>
      <w:r w:rsidRPr="006F1121">
        <w:rPr>
          <w:rFonts w:ascii="Verdana" w:hAnsi="Verdana"/>
          <w:sz w:val="18"/>
          <w:szCs w:val="18"/>
        </w:rPr>
        <w:tab/>
      </w:r>
      <w:r w:rsidR="00A50A8B" w:rsidRPr="006F1121">
        <w:rPr>
          <w:rFonts w:ascii="Verdana" w:hAnsi="Verdana"/>
          <w:sz w:val="18"/>
          <w:szCs w:val="18"/>
        </w:rPr>
        <w:t xml:space="preserve">Fazemos referência à </w:t>
      </w:r>
      <w:r w:rsidR="00F222A6">
        <w:rPr>
          <w:rFonts w:ascii="Verdana" w:hAnsi="Verdana"/>
          <w:sz w:val="18"/>
          <w:szCs w:val="18"/>
        </w:rPr>
        <w:t xml:space="preserve">(i) </w:t>
      </w:r>
      <w:r w:rsidR="00EF1020">
        <w:rPr>
          <w:rFonts w:ascii="Verdana" w:hAnsi="Verdana"/>
          <w:sz w:val="18"/>
          <w:szCs w:val="18"/>
        </w:rPr>
        <w:t>1</w:t>
      </w:r>
      <w:r w:rsidR="00A50A8B" w:rsidRPr="006F1121">
        <w:rPr>
          <w:rFonts w:ascii="Verdana" w:hAnsi="Verdana"/>
          <w:sz w:val="18"/>
          <w:szCs w:val="18"/>
        </w:rPr>
        <w:t>ª (</w:t>
      </w:r>
      <w:r w:rsidR="008634E6">
        <w:rPr>
          <w:rFonts w:ascii="Verdana" w:hAnsi="Verdana"/>
          <w:sz w:val="18"/>
          <w:szCs w:val="18"/>
        </w:rPr>
        <w:t>primeira</w:t>
      </w:r>
      <w:r w:rsidR="00A50A8B" w:rsidRPr="006F1121">
        <w:rPr>
          <w:rFonts w:ascii="Verdana" w:hAnsi="Verdana"/>
          <w:sz w:val="18"/>
          <w:szCs w:val="18"/>
        </w:rPr>
        <w:t xml:space="preserve">) emissão pública de </w:t>
      </w:r>
      <w:r w:rsidR="00A50A8B" w:rsidRPr="006F1121">
        <w:rPr>
          <w:rFonts w:ascii="Verdana" w:hAnsi="Verdana"/>
          <w:iCs/>
          <w:sz w:val="18"/>
          <w:szCs w:val="18"/>
        </w:rPr>
        <w:t xml:space="preserve">debêntures simples, não conversíveis em ações, </w:t>
      </w:r>
      <w:r w:rsidR="00EF1020" w:rsidRPr="00EF1020">
        <w:rPr>
          <w:rFonts w:ascii="Verdana" w:hAnsi="Verdana"/>
          <w:sz w:val="18"/>
          <w:szCs w:val="18"/>
          <w:shd w:val="clear" w:color="auto" w:fill="FFFFFF"/>
        </w:rPr>
        <w:t>em duas séries para distribuição pública com esforços restritos e uma série para colocação privada</w:t>
      </w:r>
      <w:r w:rsidR="00A50A8B" w:rsidRPr="00EF1020">
        <w:rPr>
          <w:rFonts w:ascii="Verdana" w:hAnsi="Verdana"/>
          <w:iCs/>
          <w:sz w:val="18"/>
          <w:szCs w:val="18"/>
        </w:rPr>
        <w:t>, da espécie com garantia real e garantia fidejussória adicional</w:t>
      </w:r>
      <w:r w:rsidR="00A50A8B" w:rsidRPr="00EF1020">
        <w:rPr>
          <w:rFonts w:ascii="Verdana" w:hAnsi="Verdana"/>
          <w:sz w:val="18"/>
          <w:szCs w:val="18"/>
        </w:rPr>
        <w:t xml:space="preserve"> </w:t>
      </w:r>
      <w:r w:rsidR="00C9175D" w:rsidRPr="00EF1020">
        <w:rPr>
          <w:rFonts w:ascii="Verdana" w:hAnsi="Verdana"/>
          <w:sz w:val="18"/>
          <w:szCs w:val="18"/>
        </w:rPr>
        <w:t>da OSP Investimentos S.A. (“</w:t>
      </w:r>
      <w:r w:rsidR="00F222A6" w:rsidRPr="00F222A6">
        <w:rPr>
          <w:rFonts w:ascii="Verdana" w:hAnsi="Verdana"/>
          <w:sz w:val="18"/>
          <w:szCs w:val="18"/>
          <w:u w:val="single"/>
        </w:rPr>
        <w:t xml:space="preserve">Primeira </w:t>
      </w:r>
      <w:r w:rsidR="00C9175D" w:rsidRPr="00F222A6">
        <w:rPr>
          <w:rFonts w:ascii="Verdana" w:hAnsi="Verdana"/>
          <w:sz w:val="18"/>
          <w:szCs w:val="18"/>
          <w:u w:val="single"/>
        </w:rPr>
        <w:t>E</w:t>
      </w:r>
      <w:r w:rsidR="00C9175D" w:rsidRPr="00EF1020">
        <w:rPr>
          <w:rFonts w:ascii="Verdana" w:hAnsi="Verdana"/>
          <w:sz w:val="18"/>
          <w:szCs w:val="18"/>
          <w:u w:val="single"/>
        </w:rPr>
        <w:t>missão</w:t>
      </w:r>
      <w:r w:rsidR="00C9175D" w:rsidRPr="00EF1020">
        <w:rPr>
          <w:rFonts w:ascii="Verdana" w:hAnsi="Verdana"/>
          <w:sz w:val="18"/>
          <w:szCs w:val="18"/>
        </w:rPr>
        <w:t>”</w:t>
      </w:r>
      <w:r w:rsidR="00595DFD">
        <w:rPr>
          <w:rFonts w:ascii="Verdana" w:hAnsi="Verdana"/>
          <w:sz w:val="18"/>
          <w:szCs w:val="18"/>
        </w:rPr>
        <w:t>, “</w:t>
      </w:r>
      <w:r w:rsidR="00595DFD" w:rsidRPr="00595DFD">
        <w:rPr>
          <w:rFonts w:ascii="Verdana" w:hAnsi="Verdana"/>
          <w:sz w:val="18"/>
          <w:szCs w:val="18"/>
          <w:u w:val="single"/>
        </w:rPr>
        <w:t>Debêntures 2016</w:t>
      </w:r>
      <w:r w:rsidR="00595DFD">
        <w:rPr>
          <w:rFonts w:ascii="Verdana" w:hAnsi="Verdana"/>
          <w:sz w:val="18"/>
          <w:szCs w:val="18"/>
        </w:rPr>
        <w:t>”</w:t>
      </w:r>
      <w:r w:rsidR="00C9175D" w:rsidRPr="00EF1020">
        <w:rPr>
          <w:rFonts w:ascii="Verdana" w:hAnsi="Verdana"/>
          <w:sz w:val="18"/>
          <w:szCs w:val="18"/>
        </w:rPr>
        <w:t xml:space="preserve"> e “</w:t>
      </w:r>
      <w:r w:rsidR="00C9175D" w:rsidRPr="00EF1020">
        <w:rPr>
          <w:rFonts w:ascii="Verdana" w:hAnsi="Verdana"/>
          <w:sz w:val="18"/>
          <w:szCs w:val="18"/>
          <w:u w:val="single"/>
        </w:rPr>
        <w:t>Companhia</w:t>
      </w:r>
      <w:r w:rsidR="00C9175D" w:rsidRPr="00EF1020">
        <w:rPr>
          <w:rFonts w:ascii="Verdana" w:hAnsi="Verdana"/>
          <w:sz w:val="18"/>
          <w:szCs w:val="18"/>
        </w:rPr>
        <w:t>”, respectivamente)</w:t>
      </w:r>
      <w:r w:rsidR="006F1121" w:rsidRPr="00EF1020">
        <w:rPr>
          <w:rFonts w:ascii="Verdana" w:hAnsi="Verdana"/>
          <w:sz w:val="18"/>
          <w:szCs w:val="18"/>
        </w:rPr>
        <w:t xml:space="preserve">, formalizada pelo </w:t>
      </w:r>
      <w:r w:rsidR="00EF1020" w:rsidRPr="00EF1020">
        <w:rPr>
          <w:rFonts w:ascii="Verdana" w:hAnsi="Verdana"/>
          <w:color w:val="000000"/>
          <w:sz w:val="18"/>
          <w:szCs w:val="18"/>
        </w:rPr>
        <w:t xml:space="preserve">Instrumento Particular de Escritura da </w:t>
      </w:r>
      <w:r w:rsidR="00EF1020" w:rsidRPr="00EF1020">
        <w:rPr>
          <w:rFonts w:ascii="Verdana" w:hAnsi="Verdana"/>
          <w:sz w:val="18"/>
          <w:szCs w:val="18"/>
        </w:rPr>
        <w:t xml:space="preserve">1ª (primeira) Emissão Pública da Emissora de </w:t>
      </w:r>
      <w:r w:rsidR="00EF1020" w:rsidRPr="00EF1020">
        <w:rPr>
          <w:rFonts w:ascii="Verdana" w:hAnsi="Verdana"/>
          <w:iCs/>
          <w:sz w:val="18"/>
          <w:szCs w:val="18"/>
        </w:rPr>
        <w:t>Debêntures Simples, Não Conversíveis em Ações, em Duas Séries Para Distribuição Pública Com Esforços Restritos e Uma Série Para Colocação Privada, da Espécie com Garantia Real e Garantia Fidejussória Adicional</w:t>
      </w:r>
      <w:r w:rsidR="00EF1020" w:rsidRPr="00EF1020">
        <w:rPr>
          <w:rFonts w:ascii="Verdana" w:hAnsi="Verdana"/>
          <w:color w:val="000000"/>
          <w:sz w:val="18"/>
          <w:szCs w:val="18"/>
        </w:rPr>
        <w:t>, celebrado em 15 de julho de 2016 e registrado na Junta Comercial do Estado de São Paulo (“</w:t>
      </w:r>
      <w:r w:rsidR="00EF1020" w:rsidRPr="00EF1020">
        <w:rPr>
          <w:rFonts w:ascii="Verdana" w:hAnsi="Verdana"/>
          <w:color w:val="000000"/>
          <w:sz w:val="18"/>
          <w:szCs w:val="18"/>
          <w:u w:val="single"/>
        </w:rPr>
        <w:t>JUCESP</w:t>
      </w:r>
      <w:r w:rsidR="00EF1020" w:rsidRPr="00EF1020">
        <w:rPr>
          <w:rFonts w:ascii="Verdana" w:hAnsi="Verdana"/>
          <w:color w:val="000000"/>
          <w:sz w:val="18"/>
          <w:szCs w:val="18"/>
        </w:rPr>
        <w:t xml:space="preserve">”) sob o nº ED001938-0/000, em sessão de 22 de julho de 2016, conforme alterada de tempos em tempos </w:t>
      </w:r>
      <w:r w:rsidR="006F1121" w:rsidRPr="00EF1020">
        <w:rPr>
          <w:rFonts w:ascii="Verdana" w:eastAsiaTheme="minorHAnsi" w:hAnsi="Verdana" w:cs="TimesNewRoman"/>
          <w:sz w:val="18"/>
          <w:szCs w:val="18"/>
          <w:lang w:eastAsia="en-US"/>
        </w:rPr>
        <w:t>(“</w:t>
      </w:r>
      <w:r w:rsidR="006F1121" w:rsidRPr="00EF1020">
        <w:rPr>
          <w:rFonts w:ascii="Verdana" w:eastAsiaTheme="minorHAnsi" w:hAnsi="Verdana" w:cs="TimesNewRoman"/>
          <w:sz w:val="18"/>
          <w:szCs w:val="18"/>
          <w:u w:val="single"/>
          <w:lang w:eastAsia="en-US"/>
        </w:rPr>
        <w:t>Escritura</w:t>
      </w:r>
      <w:r w:rsidR="00F1542D">
        <w:rPr>
          <w:rFonts w:ascii="Verdana" w:eastAsiaTheme="minorHAnsi" w:hAnsi="Verdana" w:cs="TimesNewRoman"/>
          <w:sz w:val="18"/>
          <w:szCs w:val="18"/>
          <w:u w:val="single"/>
          <w:lang w:eastAsia="en-US"/>
        </w:rPr>
        <w:t xml:space="preserve"> da Primeira Emissão</w:t>
      </w:r>
      <w:r w:rsidR="006F1121" w:rsidRPr="00EF1020">
        <w:rPr>
          <w:rFonts w:ascii="Verdana" w:eastAsiaTheme="minorHAnsi" w:hAnsi="Verdana" w:cs="TimesNewRoman"/>
          <w:sz w:val="18"/>
          <w:szCs w:val="18"/>
          <w:lang w:eastAsia="en-US"/>
        </w:rPr>
        <w:t>”)</w:t>
      </w:r>
      <w:r w:rsidR="00EF1020">
        <w:rPr>
          <w:rFonts w:ascii="Verdana" w:eastAsiaTheme="minorHAnsi" w:hAnsi="Verdana" w:cs="TimesNewRoman"/>
          <w:sz w:val="18"/>
          <w:szCs w:val="18"/>
          <w:lang w:eastAsia="en-US"/>
        </w:rPr>
        <w:t xml:space="preserve">, </w:t>
      </w:r>
      <w:r w:rsidR="00F222A6">
        <w:rPr>
          <w:rFonts w:ascii="Verdana" w:eastAsiaTheme="minorHAnsi" w:hAnsi="Verdana" w:cs="TimesNewRoman"/>
          <w:sz w:val="18"/>
          <w:szCs w:val="18"/>
          <w:lang w:eastAsia="en-US"/>
        </w:rPr>
        <w:t>(</w:t>
      </w:r>
      <w:proofErr w:type="spellStart"/>
      <w:r w:rsidR="00F222A6">
        <w:rPr>
          <w:rFonts w:ascii="Verdana" w:eastAsiaTheme="minorHAnsi" w:hAnsi="Verdana" w:cs="TimesNewRoman"/>
          <w:sz w:val="18"/>
          <w:szCs w:val="18"/>
          <w:lang w:eastAsia="en-US"/>
        </w:rPr>
        <w:t>ii</w:t>
      </w:r>
      <w:proofErr w:type="spellEnd"/>
      <w:r w:rsidR="00F222A6">
        <w:rPr>
          <w:rFonts w:ascii="Verdana" w:eastAsiaTheme="minorHAnsi" w:hAnsi="Verdana" w:cs="TimesNewRoman"/>
          <w:sz w:val="18"/>
          <w:szCs w:val="18"/>
          <w:lang w:eastAsia="en-US"/>
        </w:rPr>
        <w:t xml:space="preserve">) </w:t>
      </w:r>
      <w:r w:rsidR="00EF1020">
        <w:rPr>
          <w:rFonts w:ascii="Verdana" w:eastAsiaTheme="minorHAnsi" w:hAnsi="Verdana" w:cs="TimesNewRoman"/>
          <w:sz w:val="18"/>
          <w:szCs w:val="18"/>
          <w:lang w:eastAsia="en-US"/>
        </w:rPr>
        <w:t xml:space="preserve">assembleia geral de debenturistas da </w:t>
      </w:r>
      <w:r w:rsidR="00F222A6">
        <w:rPr>
          <w:rFonts w:ascii="Verdana" w:eastAsiaTheme="minorHAnsi" w:hAnsi="Verdana" w:cs="TimesNewRoman"/>
          <w:sz w:val="18"/>
          <w:szCs w:val="18"/>
          <w:lang w:eastAsia="en-US"/>
        </w:rPr>
        <w:t xml:space="preserve">Primeira </w:t>
      </w:r>
      <w:r w:rsidR="00EF1020">
        <w:rPr>
          <w:rFonts w:ascii="Verdana" w:eastAsiaTheme="minorHAnsi" w:hAnsi="Verdana" w:cs="TimesNewRoman"/>
          <w:sz w:val="18"/>
          <w:szCs w:val="18"/>
          <w:lang w:eastAsia="en-US"/>
        </w:rPr>
        <w:t>Emissão realizada em [__] de [__] de 2019 (“</w:t>
      </w:r>
      <w:r w:rsidR="00EF1020" w:rsidRPr="00EF1020">
        <w:rPr>
          <w:rFonts w:ascii="Verdana" w:eastAsiaTheme="minorHAnsi" w:hAnsi="Verdana" w:cs="TimesNewRoman"/>
          <w:sz w:val="18"/>
          <w:szCs w:val="18"/>
          <w:u w:val="single"/>
          <w:lang w:eastAsia="en-US"/>
        </w:rPr>
        <w:t>AGD</w:t>
      </w:r>
      <w:r w:rsidR="00F222A6">
        <w:rPr>
          <w:rFonts w:ascii="Verdana" w:eastAsiaTheme="minorHAnsi" w:hAnsi="Verdana" w:cs="TimesNewRoman"/>
          <w:sz w:val="18"/>
          <w:szCs w:val="18"/>
          <w:u w:val="single"/>
          <w:lang w:eastAsia="en-US"/>
        </w:rPr>
        <w:t xml:space="preserve"> Primeira Emissão</w:t>
      </w:r>
      <w:r w:rsidR="00EF1020">
        <w:rPr>
          <w:rFonts w:ascii="Verdana" w:eastAsiaTheme="minorHAnsi" w:hAnsi="Verdana" w:cs="TimesNewRoman"/>
          <w:sz w:val="18"/>
          <w:szCs w:val="18"/>
          <w:lang w:eastAsia="en-US"/>
        </w:rPr>
        <w:t>”)</w:t>
      </w:r>
      <w:r w:rsidR="00F222A6">
        <w:rPr>
          <w:rFonts w:ascii="Verdana" w:eastAsiaTheme="minorHAnsi" w:hAnsi="Verdana" w:cs="TimesNewRoman"/>
          <w:sz w:val="18"/>
          <w:szCs w:val="18"/>
          <w:lang w:eastAsia="en-US"/>
        </w:rPr>
        <w:t>, (</w:t>
      </w:r>
      <w:proofErr w:type="spellStart"/>
      <w:r w:rsidR="00F222A6">
        <w:rPr>
          <w:rFonts w:ascii="Verdana" w:eastAsiaTheme="minorHAnsi" w:hAnsi="Verdana" w:cs="TimesNewRoman"/>
          <w:sz w:val="18"/>
          <w:szCs w:val="18"/>
          <w:lang w:eastAsia="en-US"/>
        </w:rPr>
        <w:t>iii</w:t>
      </w:r>
      <w:proofErr w:type="spellEnd"/>
      <w:r w:rsidR="00F222A6">
        <w:rPr>
          <w:rFonts w:ascii="Verdana" w:eastAsiaTheme="minorHAnsi" w:hAnsi="Verdana" w:cs="TimesNewRoman"/>
          <w:sz w:val="18"/>
          <w:szCs w:val="18"/>
          <w:lang w:eastAsia="en-US"/>
        </w:rPr>
        <w:t>) 2</w:t>
      </w:r>
      <w:r w:rsidR="00F222A6" w:rsidRPr="006F1121">
        <w:rPr>
          <w:rFonts w:ascii="Verdana" w:hAnsi="Verdana"/>
          <w:sz w:val="18"/>
          <w:szCs w:val="18"/>
        </w:rPr>
        <w:t>ª (</w:t>
      </w:r>
      <w:r w:rsidR="00F222A6">
        <w:rPr>
          <w:rFonts w:ascii="Verdana" w:hAnsi="Verdana"/>
          <w:sz w:val="18"/>
          <w:szCs w:val="18"/>
        </w:rPr>
        <w:t>segunda</w:t>
      </w:r>
      <w:r w:rsidR="00F222A6" w:rsidRPr="006F1121">
        <w:rPr>
          <w:rFonts w:ascii="Verdana" w:hAnsi="Verdana"/>
          <w:sz w:val="18"/>
          <w:szCs w:val="18"/>
        </w:rPr>
        <w:t xml:space="preserve">) emissão pública de </w:t>
      </w:r>
      <w:r w:rsidR="00F222A6" w:rsidRPr="006F1121">
        <w:rPr>
          <w:rFonts w:ascii="Verdana" w:hAnsi="Verdana"/>
          <w:iCs/>
          <w:sz w:val="18"/>
          <w:szCs w:val="18"/>
        </w:rPr>
        <w:t xml:space="preserve">debêntures simples, não conversíveis em ações, </w:t>
      </w:r>
      <w:r w:rsidR="00F222A6" w:rsidRPr="00EF1020">
        <w:rPr>
          <w:rFonts w:ascii="Verdana" w:hAnsi="Verdana"/>
          <w:sz w:val="18"/>
          <w:szCs w:val="18"/>
          <w:shd w:val="clear" w:color="auto" w:fill="FFFFFF"/>
        </w:rPr>
        <w:t>em</w:t>
      </w:r>
      <w:r w:rsidR="00F222A6" w:rsidRPr="00F1542D">
        <w:rPr>
          <w:rFonts w:ascii="Verdana" w:hAnsi="Verdana"/>
          <w:sz w:val="18"/>
          <w:szCs w:val="18"/>
          <w:shd w:val="clear" w:color="auto" w:fill="FFFFFF"/>
        </w:rPr>
        <w:t xml:space="preserve"> onze séries para distribuição pública com esforços restritos</w:t>
      </w:r>
      <w:r w:rsidR="00F222A6" w:rsidRPr="00F1542D">
        <w:rPr>
          <w:rFonts w:ascii="Verdana" w:hAnsi="Verdana"/>
          <w:iCs/>
          <w:sz w:val="18"/>
          <w:szCs w:val="18"/>
        </w:rPr>
        <w:t>, da espécie com garantia real e garantia fidejussória adicional</w:t>
      </w:r>
      <w:r w:rsidR="00F222A6" w:rsidRPr="00F1542D">
        <w:rPr>
          <w:rFonts w:ascii="Verdana" w:hAnsi="Verdana"/>
          <w:sz w:val="18"/>
          <w:szCs w:val="18"/>
        </w:rPr>
        <w:t xml:space="preserve"> da Companhia (“</w:t>
      </w:r>
      <w:r w:rsidR="00F222A6" w:rsidRPr="00F1542D">
        <w:rPr>
          <w:rFonts w:ascii="Verdana" w:hAnsi="Verdana"/>
          <w:sz w:val="18"/>
          <w:szCs w:val="18"/>
          <w:u w:val="single"/>
        </w:rPr>
        <w:t>Segunda Emissão</w:t>
      </w:r>
      <w:r w:rsidR="00F222A6" w:rsidRPr="00F1542D">
        <w:rPr>
          <w:rFonts w:ascii="Verdana" w:hAnsi="Verdana"/>
          <w:sz w:val="18"/>
          <w:szCs w:val="18"/>
        </w:rPr>
        <w:t>”</w:t>
      </w:r>
      <w:r w:rsidR="00595DFD">
        <w:rPr>
          <w:rFonts w:ascii="Verdana" w:hAnsi="Verdana"/>
          <w:sz w:val="18"/>
          <w:szCs w:val="18"/>
        </w:rPr>
        <w:t xml:space="preserve"> e “</w:t>
      </w:r>
      <w:r w:rsidR="00595DFD" w:rsidRPr="00595DFD">
        <w:rPr>
          <w:rFonts w:ascii="Verdana" w:hAnsi="Verdana"/>
          <w:sz w:val="18"/>
          <w:szCs w:val="18"/>
          <w:u w:val="single"/>
        </w:rPr>
        <w:t>Debêntures 2018</w:t>
      </w:r>
      <w:r w:rsidR="00595DFD">
        <w:rPr>
          <w:rFonts w:ascii="Verdana" w:hAnsi="Verdana"/>
          <w:sz w:val="18"/>
          <w:szCs w:val="18"/>
        </w:rPr>
        <w:t>”</w:t>
      </w:r>
      <w:r w:rsidR="00F1542D" w:rsidRPr="00F1542D">
        <w:rPr>
          <w:rFonts w:ascii="Verdana" w:hAnsi="Verdana"/>
          <w:sz w:val="18"/>
          <w:szCs w:val="18"/>
        </w:rPr>
        <w:t xml:space="preserve">, </w:t>
      </w:r>
      <w:r w:rsidR="00595DFD">
        <w:rPr>
          <w:rFonts w:ascii="Verdana" w:hAnsi="Verdana"/>
          <w:sz w:val="18"/>
          <w:szCs w:val="18"/>
        </w:rPr>
        <w:t xml:space="preserve">respectivamente, sendo a Segunda Emissão, </w:t>
      </w:r>
      <w:r w:rsidR="00F1542D" w:rsidRPr="00F1542D">
        <w:rPr>
          <w:rFonts w:ascii="Verdana" w:hAnsi="Verdana"/>
          <w:sz w:val="18"/>
          <w:szCs w:val="18"/>
        </w:rPr>
        <w:t>em conjunto com a Primeira Emissão, as “</w:t>
      </w:r>
      <w:r w:rsidR="00F1542D" w:rsidRPr="00F1542D">
        <w:rPr>
          <w:rFonts w:ascii="Verdana" w:hAnsi="Verdana"/>
          <w:sz w:val="18"/>
          <w:szCs w:val="18"/>
          <w:u w:val="single"/>
        </w:rPr>
        <w:t>Emissões</w:t>
      </w:r>
      <w:r w:rsidR="00F1542D" w:rsidRPr="00F1542D">
        <w:rPr>
          <w:rFonts w:ascii="Verdana" w:hAnsi="Verdana"/>
          <w:sz w:val="18"/>
          <w:szCs w:val="18"/>
        </w:rPr>
        <w:t>”</w:t>
      </w:r>
      <w:r w:rsidR="00595DFD">
        <w:rPr>
          <w:rFonts w:ascii="Verdana" w:hAnsi="Verdana"/>
          <w:sz w:val="18"/>
          <w:szCs w:val="18"/>
        </w:rPr>
        <w:t xml:space="preserve">, e as Debêntures 2018, em conjunto com as </w:t>
      </w:r>
      <w:r w:rsidR="00595DFD">
        <w:rPr>
          <w:rFonts w:ascii="Verdana" w:hAnsi="Verdana"/>
          <w:sz w:val="18"/>
          <w:szCs w:val="18"/>
        </w:rPr>
        <w:lastRenderedPageBreak/>
        <w:t>Debêntures 2016, as “</w:t>
      </w:r>
      <w:r w:rsidR="00595DFD" w:rsidRPr="00595DFD">
        <w:rPr>
          <w:rFonts w:ascii="Verdana" w:hAnsi="Verdana"/>
          <w:sz w:val="18"/>
          <w:szCs w:val="18"/>
          <w:u w:val="single"/>
        </w:rPr>
        <w:t>Debêntures</w:t>
      </w:r>
      <w:r w:rsidR="00595DFD">
        <w:rPr>
          <w:rFonts w:ascii="Verdana" w:hAnsi="Verdana"/>
          <w:sz w:val="18"/>
          <w:szCs w:val="18"/>
        </w:rPr>
        <w:t>”</w:t>
      </w:r>
      <w:r w:rsidR="00F222A6" w:rsidRPr="00F1542D">
        <w:rPr>
          <w:rFonts w:ascii="Verdana" w:hAnsi="Verdana"/>
          <w:sz w:val="18"/>
          <w:szCs w:val="18"/>
        </w:rPr>
        <w:t xml:space="preserve">), formalizada pelo </w:t>
      </w:r>
      <w:r w:rsidR="00F1542D" w:rsidRPr="00F1542D">
        <w:rPr>
          <w:rFonts w:ascii="Verdana" w:hAnsi="Verdana"/>
          <w:color w:val="000000"/>
          <w:sz w:val="18"/>
          <w:szCs w:val="18"/>
        </w:rPr>
        <w:t>Instrumento Particular de Escritura da 2</w:t>
      </w:r>
      <w:r w:rsidR="00F1542D" w:rsidRPr="00F1542D">
        <w:rPr>
          <w:rFonts w:ascii="Verdana" w:hAnsi="Verdana"/>
          <w:sz w:val="18"/>
          <w:szCs w:val="18"/>
        </w:rPr>
        <w:t xml:space="preserve">ª (segunda) Emissão de </w:t>
      </w:r>
      <w:r w:rsidR="00F1542D" w:rsidRPr="00F1542D">
        <w:rPr>
          <w:rFonts w:ascii="Verdana" w:hAnsi="Verdana"/>
          <w:iCs/>
          <w:sz w:val="18"/>
          <w:szCs w:val="18"/>
        </w:rPr>
        <w:t>Debêntures Simples, Não Conversíveis em Ações, em 11 (Onze) Séries Para Distribuição Pública Com Esforços Restritos de Distribuição, da Espécie com Garantia Real e Garantia Fidejussória Adicional, da Companhia</w:t>
      </w:r>
      <w:r w:rsidR="00F1542D" w:rsidRPr="00F1542D">
        <w:rPr>
          <w:rFonts w:ascii="Verdana" w:hAnsi="Verdana"/>
          <w:color w:val="000000"/>
          <w:sz w:val="18"/>
          <w:szCs w:val="18"/>
        </w:rPr>
        <w:t>, celebrado em 13 de abril de 2018 e registrado na JUCESP sob o nº ED002479-0/000, em sessão de 20 de abril de 2018, conforme aditado de tempos em tempos (“</w:t>
      </w:r>
      <w:r w:rsidR="00F1542D" w:rsidRPr="00F1542D">
        <w:rPr>
          <w:rFonts w:ascii="Verdana" w:hAnsi="Verdana"/>
          <w:color w:val="000000"/>
          <w:sz w:val="18"/>
          <w:szCs w:val="18"/>
          <w:u w:val="single"/>
        </w:rPr>
        <w:t>Escritura da Segunda Emissão</w:t>
      </w:r>
      <w:r w:rsidR="00F1542D" w:rsidRPr="00F1542D">
        <w:rPr>
          <w:rFonts w:ascii="Verdana" w:hAnsi="Verdana"/>
          <w:color w:val="000000"/>
          <w:sz w:val="18"/>
          <w:szCs w:val="18"/>
        </w:rPr>
        <w:t>”, em conjunto com a Escritura da Primeira Emissão, as “</w:t>
      </w:r>
      <w:r w:rsidR="00F1542D" w:rsidRPr="00F1542D">
        <w:rPr>
          <w:rFonts w:ascii="Verdana" w:hAnsi="Verdana"/>
          <w:color w:val="000000"/>
          <w:sz w:val="18"/>
          <w:szCs w:val="18"/>
          <w:u w:val="single"/>
        </w:rPr>
        <w:t>Escrituras</w:t>
      </w:r>
      <w:r w:rsidR="00F1542D" w:rsidRPr="00F1542D">
        <w:rPr>
          <w:rFonts w:ascii="Verdana" w:hAnsi="Verdana"/>
          <w:color w:val="000000"/>
          <w:sz w:val="18"/>
          <w:szCs w:val="18"/>
        </w:rPr>
        <w:t>”)</w:t>
      </w:r>
      <w:r w:rsidR="00F222A6" w:rsidRPr="00F1542D">
        <w:rPr>
          <w:rFonts w:ascii="Verdana" w:eastAsiaTheme="minorHAnsi" w:hAnsi="Verdana" w:cs="TimesNewRoman"/>
          <w:sz w:val="18"/>
          <w:szCs w:val="18"/>
          <w:lang w:eastAsia="en-US"/>
        </w:rPr>
        <w:t xml:space="preserve">, </w:t>
      </w:r>
      <w:r w:rsidR="00F1542D" w:rsidRPr="00F1542D">
        <w:rPr>
          <w:rFonts w:ascii="Verdana" w:eastAsiaTheme="minorHAnsi" w:hAnsi="Verdana" w:cs="TimesNewRoman"/>
          <w:sz w:val="18"/>
          <w:szCs w:val="18"/>
          <w:lang w:eastAsia="en-US"/>
        </w:rPr>
        <w:t xml:space="preserve">e </w:t>
      </w:r>
      <w:r w:rsidR="00F222A6" w:rsidRPr="00F1542D">
        <w:rPr>
          <w:rFonts w:ascii="Verdana" w:eastAsiaTheme="minorHAnsi" w:hAnsi="Verdana" w:cs="TimesNewRoman"/>
          <w:sz w:val="18"/>
          <w:szCs w:val="18"/>
          <w:lang w:eastAsia="en-US"/>
        </w:rPr>
        <w:t>(</w:t>
      </w:r>
      <w:proofErr w:type="spellStart"/>
      <w:r w:rsidR="00F222A6" w:rsidRPr="00F1542D">
        <w:rPr>
          <w:rFonts w:ascii="Verdana" w:eastAsiaTheme="minorHAnsi" w:hAnsi="Verdana" w:cs="TimesNewRoman"/>
          <w:sz w:val="18"/>
          <w:szCs w:val="18"/>
          <w:lang w:eastAsia="en-US"/>
        </w:rPr>
        <w:t>i</w:t>
      </w:r>
      <w:r w:rsidR="00F1542D" w:rsidRPr="00F1542D">
        <w:rPr>
          <w:rFonts w:ascii="Verdana" w:eastAsiaTheme="minorHAnsi" w:hAnsi="Verdana" w:cs="TimesNewRoman"/>
          <w:sz w:val="18"/>
          <w:szCs w:val="18"/>
          <w:lang w:eastAsia="en-US"/>
        </w:rPr>
        <w:t>v</w:t>
      </w:r>
      <w:proofErr w:type="spellEnd"/>
      <w:r w:rsidR="00F222A6" w:rsidRPr="00F1542D">
        <w:rPr>
          <w:rFonts w:ascii="Verdana" w:eastAsiaTheme="minorHAnsi" w:hAnsi="Verdana" w:cs="TimesNewRoman"/>
          <w:sz w:val="18"/>
          <w:szCs w:val="18"/>
          <w:lang w:eastAsia="en-US"/>
        </w:rPr>
        <w:t xml:space="preserve">) assembleia geral de debenturistas da </w:t>
      </w:r>
      <w:r w:rsidR="00F1542D" w:rsidRPr="00F1542D">
        <w:rPr>
          <w:rFonts w:ascii="Verdana" w:eastAsiaTheme="minorHAnsi" w:hAnsi="Verdana" w:cs="TimesNewRoman"/>
          <w:sz w:val="18"/>
          <w:szCs w:val="18"/>
          <w:lang w:eastAsia="en-US"/>
        </w:rPr>
        <w:t xml:space="preserve">Segunda </w:t>
      </w:r>
      <w:r w:rsidR="00F222A6" w:rsidRPr="00F1542D">
        <w:rPr>
          <w:rFonts w:ascii="Verdana" w:eastAsiaTheme="minorHAnsi" w:hAnsi="Verdana" w:cs="TimesNewRoman"/>
          <w:sz w:val="18"/>
          <w:szCs w:val="18"/>
          <w:lang w:eastAsia="en-US"/>
        </w:rPr>
        <w:t>Emissão realizada em [__] de [__] de 2019 (“</w:t>
      </w:r>
      <w:r w:rsidR="00F222A6" w:rsidRPr="00F1542D">
        <w:rPr>
          <w:rFonts w:ascii="Verdana" w:eastAsiaTheme="minorHAnsi" w:hAnsi="Verdana" w:cs="TimesNewRoman"/>
          <w:sz w:val="18"/>
          <w:szCs w:val="18"/>
          <w:u w:val="single"/>
          <w:lang w:eastAsia="en-US"/>
        </w:rPr>
        <w:t xml:space="preserve">AGD </w:t>
      </w:r>
      <w:r w:rsidR="00F1542D" w:rsidRPr="00F1542D">
        <w:rPr>
          <w:rFonts w:ascii="Verdana" w:eastAsiaTheme="minorHAnsi" w:hAnsi="Verdana" w:cs="TimesNewRoman"/>
          <w:sz w:val="18"/>
          <w:szCs w:val="18"/>
          <w:u w:val="single"/>
          <w:lang w:eastAsia="en-US"/>
        </w:rPr>
        <w:t xml:space="preserve">Segunda </w:t>
      </w:r>
      <w:r w:rsidR="00F222A6" w:rsidRPr="00F1542D">
        <w:rPr>
          <w:rFonts w:ascii="Verdana" w:eastAsiaTheme="minorHAnsi" w:hAnsi="Verdana" w:cs="TimesNewRoman"/>
          <w:sz w:val="18"/>
          <w:szCs w:val="18"/>
          <w:u w:val="single"/>
          <w:lang w:eastAsia="en-US"/>
        </w:rPr>
        <w:t>Emissão</w:t>
      </w:r>
      <w:r w:rsidR="00F222A6" w:rsidRPr="00F1542D">
        <w:rPr>
          <w:rFonts w:ascii="Verdana" w:eastAsiaTheme="minorHAnsi" w:hAnsi="Verdana" w:cs="TimesNewRoman"/>
          <w:sz w:val="18"/>
          <w:szCs w:val="18"/>
          <w:lang w:eastAsia="en-US"/>
        </w:rPr>
        <w:t>”</w:t>
      </w:r>
      <w:r w:rsidR="00F1542D" w:rsidRPr="00F1542D">
        <w:rPr>
          <w:rFonts w:ascii="Verdana" w:eastAsiaTheme="minorHAnsi" w:hAnsi="Verdana" w:cs="TimesNewRoman"/>
          <w:sz w:val="18"/>
          <w:szCs w:val="18"/>
          <w:lang w:eastAsia="en-US"/>
        </w:rPr>
        <w:t>, em conjunto com a AGD Primeira Emissão, as “</w:t>
      </w:r>
      <w:proofErr w:type="spellStart"/>
      <w:r w:rsidR="00F1542D" w:rsidRPr="00F1542D">
        <w:rPr>
          <w:rFonts w:ascii="Verdana" w:eastAsiaTheme="minorHAnsi" w:hAnsi="Verdana" w:cs="TimesNewRoman"/>
          <w:sz w:val="18"/>
          <w:szCs w:val="18"/>
          <w:u w:val="single"/>
          <w:lang w:eastAsia="en-US"/>
        </w:rPr>
        <w:t>AGDs</w:t>
      </w:r>
      <w:proofErr w:type="spellEnd"/>
      <w:r w:rsidR="00F1542D" w:rsidRPr="00F1542D">
        <w:rPr>
          <w:rFonts w:ascii="Verdana" w:eastAsiaTheme="minorHAnsi" w:hAnsi="Verdana" w:cs="TimesNewRoman"/>
          <w:sz w:val="18"/>
          <w:szCs w:val="18"/>
          <w:lang w:eastAsia="en-US"/>
        </w:rPr>
        <w:t>”</w:t>
      </w:r>
      <w:r w:rsidR="00F222A6" w:rsidRPr="00F1542D">
        <w:rPr>
          <w:rFonts w:ascii="Verdana" w:eastAsiaTheme="minorHAnsi" w:hAnsi="Verdana" w:cs="TimesNewRoman"/>
          <w:sz w:val="18"/>
          <w:szCs w:val="18"/>
          <w:lang w:eastAsia="en-US"/>
        </w:rPr>
        <w:t>)</w:t>
      </w:r>
      <w:r w:rsidR="001A6A82">
        <w:rPr>
          <w:rFonts w:ascii="Verdana" w:eastAsiaTheme="minorHAnsi" w:hAnsi="Verdana" w:cs="TimesNewRoman"/>
          <w:sz w:val="18"/>
          <w:szCs w:val="18"/>
          <w:lang w:eastAsia="en-US"/>
        </w:rPr>
        <w:t>, e (</w:t>
      </w:r>
      <w:proofErr w:type="spellStart"/>
      <w:r w:rsidR="001A6A82">
        <w:rPr>
          <w:rFonts w:ascii="Verdana" w:eastAsiaTheme="minorHAnsi" w:hAnsi="Verdana" w:cs="TimesNewRoman"/>
          <w:sz w:val="18"/>
          <w:szCs w:val="18"/>
          <w:lang w:eastAsia="en-US"/>
        </w:rPr>
        <w:t>iii</w:t>
      </w:r>
      <w:proofErr w:type="spellEnd"/>
      <w:r w:rsidR="001A6A82">
        <w:rPr>
          <w:rFonts w:ascii="Verdana" w:eastAsiaTheme="minorHAnsi" w:hAnsi="Verdana" w:cs="TimesNewRoman"/>
          <w:sz w:val="18"/>
          <w:szCs w:val="18"/>
          <w:lang w:eastAsia="en-US"/>
        </w:rPr>
        <w:t>) aos Contratos de Garantia</w:t>
      </w:r>
      <w:r w:rsidR="006F1121" w:rsidRPr="00F1542D">
        <w:rPr>
          <w:rFonts w:ascii="Verdana" w:eastAsiaTheme="minorHAnsi" w:hAnsi="Verdana" w:cs="TimesNewRoman"/>
          <w:sz w:val="18"/>
          <w:szCs w:val="18"/>
          <w:lang w:eastAsia="en-US"/>
        </w:rPr>
        <w:t>.</w:t>
      </w:r>
    </w:p>
    <w:p w14:paraId="587DCCF7" w14:textId="77777777" w:rsidR="006F1121" w:rsidRDefault="006F1121" w:rsidP="0017480E">
      <w:pPr>
        <w:tabs>
          <w:tab w:val="num" w:pos="0"/>
        </w:tabs>
        <w:spacing w:line="260" w:lineRule="exact"/>
        <w:jc w:val="both"/>
        <w:rPr>
          <w:rFonts w:ascii="Verdana" w:hAnsi="Verdana"/>
          <w:sz w:val="18"/>
          <w:szCs w:val="18"/>
        </w:rPr>
      </w:pPr>
    </w:p>
    <w:p w14:paraId="6D2D045B" w14:textId="50020262" w:rsidR="005C2D09" w:rsidRPr="00EF1020" w:rsidRDefault="00832AF3" w:rsidP="0017480E">
      <w:pPr>
        <w:tabs>
          <w:tab w:val="num" w:pos="0"/>
        </w:tabs>
        <w:spacing w:line="260" w:lineRule="exac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="0061144B">
        <w:rPr>
          <w:rFonts w:ascii="Verdana" w:hAnsi="Verdana"/>
          <w:sz w:val="18"/>
          <w:szCs w:val="18"/>
        </w:rPr>
        <w:t xml:space="preserve">Conforme </w:t>
      </w:r>
      <w:r w:rsidR="006F1121" w:rsidRPr="00EF1020">
        <w:rPr>
          <w:rFonts w:ascii="Verdana" w:hAnsi="Verdana"/>
          <w:sz w:val="18"/>
          <w:szCs w:val="18"/>
        </w:rPr>
        <w:t>previsto n</w:t>
      </w:r>
      <w:r w:rsidR="00EF1020" w:rsidRPr="00EF1020">
        <w:rPr>
          <w:rFonts w:ascii="Verdana" w:hAnsi="Verdana"/>
          <w:sz w:val="18"/>
          <w:szCs w:val="18"/>
        </w:rPr>
        <w:t>o item [__] da</w:t>
      </w:r>
      <w:r w:rsidR="00F1542D">
        <w:rPr>
          <w:rFonts w:ascii="Verdana" w:hAnsi="Verdana"/>
          <w:sz w:val="18"/>
          <w:szCs w:val="18"/>
        </w:rPr>
        <w:t>s</w:t>
      </w:r>
      <w:r w:rsidR="00EF1020" w:rsidRPr="00EF1020">
        <w:rPr>
          <w:rFonts w:ascii="Verdana" w:hAnsi="Verdana"/>
          <w:sz w:val="18"/>
          <w:szCs w:val="18"/>
        </w:rPr>
        <w:t xml:space="preserve"> </w:t>
      </w:r>
      <w:proofErr w:type="spellStart"/>
      <w:r w:rsidR="00EF1020" w:rsidRPr="00EF1020">
        <w:rPr>
          <w:rFonts w:ascii="Verdana" w:hAnsi="Verdana"/>
          <w:sz w:val="18"/>
          <w:szCs w:val="18"/>
        </w:rPr>
        <w:t>AGD</w:t>
      </w:r>
      <w:r w:rsidR="00F1542D">
        <w:rPr>
          <w:rFonts w:ascii="Verdana" w:hAnsi="Verdana"/>
          <w:sz w:val="18"/>
          <w:szCs w:val="18"/>
        </w:rPr>
        <w:t>s</w:t>
      </w:r>
      <w:proofErr w:type="spellEnd"/>
      <w:r w:rsidR="00D25E85" w:rsidRPr="00EF1020">
        <w:rPr>
          <w:rFonts w:ascii="Verdana" w:hAnsi="Verdana"/>
          <w:sz w:val="18"/>
          <w:szCs w:val="18"/>
        </w:rPr>
        <w:t xml:space="preserve">, </w:t>
      </w:r>
      <w:r w:rsidR="00EF1020" w:rsidRPr="00EF1020">
        <w:rPr>
          <w:rFonts w:ascii="Verdana" w:hAnsi="Verdana"/>
          <w:sz w:val="18"/>
          <w:szCs w:val="18"/>
        </w:rPr>
        <w:t xml:space="preserve">tendo em vista </w:t>
      </w:r>
      <w:r w:rsidR="0061144B" w:rsidRPr="00EF1020">
        <w:rPr>
          <w:rFonts w:ascii="Verdana" w:hAnsi="Verdana"/>
          <w:sz w:val="18"/>
          <w:szCs w:val="18"/>
        </w:rPr>
        <w:t>as obrigações assumidas pela Companhia</w:t>
      </w:r>
      <w:r w:rsidR="00C26F2A" w:rsidRPr="00EF1020">
        <w:rPr>
          <w:rFonts w:ascii="Verdana" w:hAnsi="Verdana"/>
          <w:sz w:val="18"/>
          <w:szCs w:val="18"/>
        </w:rPr>
        <w:t xml:space="preserve"> </w:t>
      </w:r>
      <w:r w:rsidR="0061144B" w:rsidRPr="00EF1020">
        <w:rPr>
          <w:rFonts w:ascii="Verdana" w:hAnsi="Verdana"/>
          <w:sz w:val="18"/>
          <w:szCs w:val="18"/>
        </w:rPr>
        <w:t>em referido</w:t>
      </w:r>
      <w:r w:rsidR="00F1542D">
        <w:rPr>
          <w:rFonts w:ascii="Verdana" w:hAnsi="Verdana"/>
          <w:sz w:val="18"/>
          <w:szCs w:val="18"/>
        </w:rPr>
        <w:t>s</w:t>
      </w:r>
      <w:r w:rsidR="0061144B" w:rsidRPr="00EF1020">
        <w:rPr>
          <w:rFonts w:ascii="Verdana" w:hAnsi="Verdana"/>
          <w:sz w:val="18"/>
          <w:szCs w:val="18"/>
        </w:rPr>
        <w:t xml:space="preserve"> documento</w:t>
      </w:r>
      <w:r w:rsidR="00F1542D">
        <w:rPr>
          <w:rFonts w:ascii="Verdana" w:hAnsi="Verdana"/>
          <w:sz w:val="18"/>
          <w:szCs w:val="18"/>
        </w:rPr>
        <w:t>s</w:t>
      </w:r>
      <w:r w:rsidR="0061144B" w:rsidRPr="00EF1020">
        <w:rPr>
          <w:rFonts w:ascii="Verdana" w:hAnsi="Verdana"/>
          <w:sz w:val="18"/>
          <w:szCs w:val="18"/>
        </w:rPr>
        <w:t xml:space="preserve">, </w:t>
      </w:r>
      <w:r w:rsidR="0061144B" w:rsidRPr="00EF1020">
        <w:rPr>
          <w:rFonts w:ascii="Verdana" w:hAnsi="Verdana"/>
          <w:sz w:val="18"/>
          <w:szCs w:val="18"/>
          <w:shd w:val="clear" w:color="auto" w:fill="FFFFFF"/>
        </w:rPr>
        <w:t>servimo-no</w:t>
      </w:r>
      <w:r w:rsidR="005E5CF1" w:rsidRPr="00EF1020">
        <w:rPr>
          <w:rFonts w:ascii="Verdana" w:hAnsi="Verdana"/>
          <w:sz w:val="18"/>
          <w:szCs w:val="18"/>
          <w:shd w:val="clear" w:color="auto" w:fill="FFFFFF"/>
        </w:rPr>
        <w:t>s</w:t>
      </w:r>
      <w:r w:rsidR="0061144B" w:rsidRPr="00EF1020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proofErr w:type="gramStart"/>
      <w:r w:rsidR="0061144B" w:rsidRPr="00EF1020">
        <w:rPr>
          <w:rFonts w:ascii="Verdana" w:hAnsi="Verdana"/>
          <w:sz w:val="18"/>
          <w:szCs w:val="18"/>
          <w:shd w:val="clear" w:color="auto" w:fill="FFFFFF"/>
        </w:rPr>
        <w:t>da presente</w:t>
      </w:r>
      <w:proofErr w:type="gramEnd"/>
      <w:r w:rsidR="0061144B" w:rsidRPr="00EF1020">
        <w:rPr>
          <w:rFonts w:ascii="Verdana" w:hAnsi="Verdana"/>
          <w:sz w:val="18"/>
          <w:szCs w:val="18"/>
          <w:shd w:val="clear" w:color="auto" w:fill="FFFFFF"/>
        </w:rPr>
        <w:t xml:space="preserve">, na qualidade de administradores da Companhia, para </w:t>
      </w:r>
      <w:r w:rsidR="00811019" w:rsidRPr="00EF1020">
        <w:rPr>
          <w:rFonts w:ascii="Verdana" w:hAnsi="Verdana"/>
          <w:sz w:val="18"/>
          <w:szCs w:val="18"/>
          <w:shd w:val="clear" w:color="auto" w:fill="FFFFFF"/>
        </w:rPr>
        <w:t>apresentar</w:t>
      </w:r>
      <w:r w:rsidR="0061144B" w:rsidRPr="00EF1020">
        <w:rPr>
          <w:rFonts w:ascii="Verdana" w:hAnsi="Verdana"/>
          <w:sz w:val="18"/>
          <w:szCs w:val="18"/>
          <w:shd w:val="clear" w:color="auto" w:fill="FFFFFF"/>
        </w:rPr>
        <w:t xml:space="preserve"> a V.Sas. </w:t>
      </w:r>
      <w:proofErr w:type="gramStart"/>
      <w:r w:rsidR="0061144B" w:rsidRPr="00EF1020">
        <w:rPr>
          <w:rFonts w:ascii="Verdana" w:hAnsi="Verdana"/>
          <w:sz w:val="18"/>
          <w:szCs w:val="18"/>
        </w:rPr>
        <w:t>a</w:t>
      </w:r>
      <w:proofErr w:type="gramEnd"/>
      <w:r w:rsidR="0061144B" w:rsidRPr="00EF1020">
        <w:rPr>
          <w:rFonts w:ascii="Verdana" w:hAnsi="Verdana"/>
          <w:sz w:val="18"/>
          <w:szCs w:val="18"/>
        </w:rPr>
        <w:t xml:space="preserve"> </w:t>
      </w:r>
      <w:r w:rsidR="008E00FE" w:rsidRPr="00EF1020">
        <w:rPr>
          <w:rFonts w:ascii="Verdana" w:hAnsi="Verdana"/>
          <w:sz w:val="18"/>
          <w:szCs w:val="18"/>
        </w:rPr>
        <w:t>forma</w:t>
      </w:r>
      <w:r w:rsidR="0061144B" w:rsidRPr="00EF1020">
        <w:rPr>
          <w:rFonts w:ascii="Verdana" w:hAnsi="Verdana"/>
          <w:sz w:val="18"/>
          <w:szCs w:val="18"/>
        </w:rPr>
        <w:t xml:space="preserve"> de utilização dos recursos </w:t>
      </w:r>
      <w:r w:rsidR="008634E6">
        <w:rPr>
          <w:rFonts w:ascii="Verdana" w:hAnsi="Verdana"/>
          <w:sz w:val="18"/>
          <w:szCs w:val="18"/>
        </w:rPr>
        <w:t xml:space="preserve">a serem recebidos pela Emissora oriundos </w:t>
      </w:r>
      <w:r w:rsidR="00C26F2A" w:rsidRPr="00EF1020">
        <w:rPr>
          <w:rFonts w:ascii="Verdana" w:hAnsi="Verdana"/>
          <w:sz w:val="18"/>
          <w:szCs w:val="18"/>
        </w:rPr>
        <w:t xml:space="preserve">da </w:t>
      </w:r>
      <w:r w:rsidR="00EF1020" w:rsidRPr="00EF1020">
        <w:rPr>
          <w:rFonts w:ascii="Verdana" w:hAnsi="Verdana"/>
          <w:sz w:val="18"/>
          <w:szCs w:val="18"/>
        </w:rPr>
        <w:t>Distribuição Braskem relativa à apuração de resultados com base no ano fiscal encerrado em 31.12.2018 (“</w:t>
      </w:r>
      <w:r w:rsidR="00EF1020" w:rsidRPr="00EF1020">
        <w:rPr>
          <w:rFonts w:ascii="Verdana" w:hAnsi="Verdana"/>
          <w:sz w:val="18"/>
          <w:szCs w:val="18"/>
          <w:u w:val="single"/>
        </w:rPr>
        <w:t>Distribuição Braskem 2018</w:t>
      </w:r>
      <w:r w:rsidR="00EF1020" w:rsidRPr="00EF1020">
        <w:rPr>
          <w:rFonts w:ascii="Verdana" w:hAnsi="Verdana"/>
          <w:sz w:val="18"/>
          <w:szCs w:val="18"/>
        </w:rPr>
        <w:t>”),</w:t>
      </w:r>
      <w:r w:rsidR="0061144B" w:rsidRPr="00EF1020">
        <w:rPr>
          <w:rFonts w:ascii="Verdana" w:hAnsi="Verdana"/>
          <w:sz w:val="18"/>
          <w:szCs w:val="18"/>
        </w:rPr>
        <w:t xml:space="preserve"> na forma do </w:t>
      </w:r>
      <w:r w:rsidR="0061144B" w:rsidRPr="00EF1020">
        <w:rPr>
          <w:rFonts w:ascii="Verdana" w:hAnsi="Verdana"/>
          <w:sz w:val="18"/>
          <w:szCs w:val="18"/>
          <w:u w:val="single"/>
        </w:rPr>
        <w:t>Anexo I</w:t>
      </w:r>
      <w:r w:rsidR="0061144B" w:rsidRPr="00EF1020">
        <w:rPr>
          <w:rFonts w:ascii="Verdana" w:hAnsi="Verdana"/>
          <w:sz w:val="18"/>
          <w:szCs w:val="18"/>
        </w:rPr>
        <w:t xml:space="preserve"> à presente</w:t>
      </w:r>
      <w:r w:rsidR="005C2D09" w:rsidRPr="00EF1020">
        <w:rPr>
          <w:rFonts w:ascii="Verdana" w:hAnsi="Verdana"/>
          <w:sz w:val="18"/>
          <w:szCs w:val="18"/>
        </w:rPr>
        <w:t xml:space="preserve">. </w:t>
      </w:r>
    </w:p>
    <w:p w14:paraId="730D1516" w14:textId="77777777" w:rsidR="005C2D09" w:rsidRPr="00EF1020" w:rsidRDefault="005C2D09" w:rsidP="0017480E">
      <w:pPr>
        <w:tabs>
          <w:tab w:val="num" w:pos="0"/>
        </w:tabs>
        <w:spacing w:line="260" w:lineRule="exact"/>
        <w:jc w:val="both"/>
        <w:rPr>
          <w:rFonts w:ascii="Verdana" w:hAnsi="Verdana"/>
          <w:sz w:val="18"/>
          <w:szCs w:val="18"/>
        </w:rPr>
      </w:pPr>
    </w:p>
    <w:p w14:paraId="28777F03" w14:textId="50712416" w:rsidR="005336C2" w:rsidRDefault="005C2D09" w:rsidP="0017480E">
      <w:pPr>
        <w:tabs>
          <w:tab w:val="num" w:pos="0"/>
        </w:tabs>
        <w:spacing w:line="260" w:lineRule="exact"/>
        <w:jc w:val="both"/>
        <w:rPr>
          <w:rFonts w:ascii="Verdana" w:hAnsi="Verdana"/>
          <w:sz w:val="18"/>
          <w:szCs w:val="18"/>
        </w:rPr>
      </w:pPr>
      <w:r w:rsidRPr="00EF1020">
        <w:rPr>
          <w:rFonts w:ascii="Verdana" w:hAnsi="Verdana"/>
          <w:sz w:val="18"/>
          <w:szCs w:val="18"/>
        </w:rPr>
        <w:tab/>
        <w:t>A Companhia</w:t>
      </w:r>
      <w:r w:rsidR="008634E6">
        <w:rPr>
          <w:rFonts w:ascii="Verdana" w:hAnsi="Verdana"/>
          <w:sz w:val="18"/>
          <w:szCs w:val="18"/>
        </w:rPr>
        <w:t>, nesse sentido,</w:t>
      </w:r>
      <w:r w:rsidRPr="00EF1020">
        <w:rPr>
          <w:rFonts w:ascii="Verdana" w:hAnsi="Verdana"/>
          <w:sz w:val="18"/>
          <w:szCs w:val="18"/>
        </w:rPr>
        <w:t xml:space="preserve"> </w:t>
      </w:r>
      <w:r w:rsidR="0012074C" w:rsidRPr="00EF1020">
        <w:rPr>
          <w:rFonts w:ascii="Verdana" w:hAnsi="Verdana"/>
          <w:sz w:val="18"/>
          <w:szCs w:val="18"/>
        </w:rPr>
        <w:t>obriga</w:t>
      </w:r>
      <w:r w:rsidR="0012074C">
        <w:rPr>
          <w:rFonts w:ascii="Verdana" w:hAnsi="Verdana"/>
          <w:sz w:val="18"/>
          <w:szCs w:val="18"/>
        </w:rPr>
        <w:t xml:space="preserve">-se a (i) utilizar os </w:t>
      </w:r>
      <w:r w:rsidR="009D791C">
        <w:rPr>
          <w:rFonts w:ascii="Verdana" w:hAnsi="Verdana"/>
          <w:sz w:val="18"/>
          <w:szCs w:val="18"/>
        </w:rPr>
        <w:t xml:space="preserve">recursos a que fizer jus da Distribuição Braskem 2018 </w:t>
      </w:r>
      <w:r w:rsidR="00595DFD">
        <w:rPr>
          <w:rFonts w:ascii="Verdana" w:hAnsi="Verdana"/>
          <w:sz w:val="18"/>
          <w:szCs w:val="18"/>
        </w:rPr>
        <w:t xml:space="preserve">estritamente </w:t>
      </w:r>
      <w:r w:rsidR="0012074C">
        <w:rPr>
          <w:rFonts w:ascii="Verdana" w:hAnsi="Verdana"/>
          <w:sz w:val="18"/>
          <w:szCs w:val="18"/>
        </w:rPr>
        <w:t>conforme</w:t>
      </w:r>
      <w:r w:rsidR="00811019">
        <w:rPr>
          <w:rFonts w:ascii="Verdana" w:hAnsi="Verdana"/>
          <w:sz w:val="18"/>
          <w:szCs w:val="18"/>
        </w:rPr>
        <w:t xml:space="preserve"> indicado no Anexo I à presente</w:t>
      </w:r>
      <w:r w:rsidR="00BA4D96">
        <w:rPr>
          <w:rFonts w:ascii="Verdana" w:hAnsi="Verdana"/>
          <w:sz w:val="18"/>
          <w:szCs w:val="18"/>
        </w:rPr>
        <w:t>, conforme os termos dos respectivos instrumentos a que tais pagamentos façam jus</w:t>
      </w:r>
      <w:r w:rsidR="00811019">
        <w:rPr>
          <w:rFonts w:ascii="Verdana" w:hAnsi="Verdana"/>
          <w:sz w:val="18"/>
          <w:szCs w:val="18"/>
        </w:rPr>
        <w:t>;</w:t>
      </w:r>
      <w:r w:rsidR="0012074C">
        <w:rPr>
          <w:rFonts w:ascii="Verdana" w:hAnsi="Verdana"/>
          <w:sz w:val="18"/>
          <w:szCs w:val="18"/>
        </w:rPr>
        <w:t xml:space="preserve"> </w:t>
      </w:r>
      <w:r w:rsidR="00C26F2A">
        <w:rPr>
          <w:rFonts w:ascii="Verdana" w:hAnsi="Verdana"/>
          <w:sz w:val="18"/>
          <w:szCs w:val="18"/>
        </w:rPr>
        <w:t>e (</w:t>
      </w:r>
      <w:proofErr w:type="spellStart"/>
      <w:r w:rsidR="00C26F2A">
        <w:rPr>
          <w:rFonts w:ascii="Verdana" w:hAnsi="Verdana"/>
          <w:sz w:val="18"/>
          <w:szCs w:val="18"/>
        </w:rPr>
        <w:t>i</w:t>
      </w:r>
      <w:r w:rsidR="00EA3C78">
        <w:rPr>
          <w:rFonts w:ascii="Verdana" w:hAnsi="Verdana"/>
          <w:sz w:val="18"/>
          <w:szCs w:val="18"/>
        </w:rPr>
        <w:t>i</w:t>
      </w:r>
      <w:proofErr w:type="spellEnd"/>
      <w:r w:rsidR="00C26F2A">
        <w:rPr>
          <w:rFonts w:ascii="Verdana" w:hAnsi="Verdana"/>
          <w:sz w:val="18"/>
          <w:szCs w:val="18"/>
        </w:rPr>
        <w:t xml:space="preserve">) </w:t>
      </w:r>
      <w:r w:rsidR="0012074C">
        <w:rPr>
          <w:rFonts w:ascii="Verdana" w:hAnsi="Verdana"/>
          <w:sz w:val="18"/>
          <w:szCs w:val="18"/>
        </w:rPr>
        <w:t xml:space="preserve">não utilizar </w:t>
      </w:r>
      <w:r w:rsidR="009D791C">
        <w:rPr>
          <w:rFonts w:ascii="Verdana" w:hAnsi="Verdana"/>
          <w:sz w:val="18"/>
          <w:szCs w:val="18"/>
        </w:rPr>
        <w:t xml:space="preserve">quaisquer valores </w:t>
      </w:r>
      <w:r w:rsidR="008E00FE">
        <w:rPr>
          <w:rFonts w:ascii="Verdana" w:hAnsi="Verdana"/>
          <w:sz w:val="18"/>
          <w:szCs w:val="18"/>
        </w:rPr>
        <w:t>de forma diversa do Anexo I à presente</w:t>
      </w:r>
      <w:r w:rsidR="009708A6" w:rsidRPr="009708A6">
        <w:rPr>
          <w:rFonts w:ascii="Verdana" w:hAnsi="Verdana"/>
          <w:sz w:val="18"/>
          <w:szCs w:val="18"/>
        </w:rPr>
        <w:t xml:space="preserve">. </w:t>
      </w:r>
    </w:p>
    <w:p w14:paraId="2356478A" w14:textId="77777777" w:rsidR="005336C2" w:rsidRDefault="005336C2" w:rsidP="0017480E">
      <w:pPr>
        <w:tabs>
          <w:tab w:val="num" w:pos="0"/>
        </w:tabs>
        <w:spacing w:line="260" w:lineRule="exact"/>
        <w:jc w:val="both"/>
        <w:rPr>
          <w:rFonts w:ascii="Verdana" w:hAnsi="Verdana"/>
          <w:sz w:val="18"/>
          <w:szCs w:val="18"/>
        </w:rPr>
      </w:pPr>
    </w:p>
    <w:p w14:paraId="57EEDAE9" w14:textId="45522E56" w:rsidR="009708A6" w:rsidRDefault="005336C2" w:rsidP="0017480E">
      <w:pPr>
        <w:tabs>
          <w:tab w:val="num" w:pos="0"/>
        </w:tabs>
        <w:spacing w:line="260" w:lineRule="exac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="00FB0047">
        <w:rPr>
          <w:rFonts w:ascii="Verdana" w:hAnsi="Verdana"/>
          <w:sz w:val="18"/>
          <w:szCs w:val="18"/>
        </w:rPr>
        <w:t>Observados os termos da presente carta, f</w:t>
      </w:r>
      <w:r w:rsidR="008E00FE">
        <w:rPr>
          <w:rFonts w:ascii="Verdana" w:hAnsi="Verdana"/>
          <w:sz w:val="18"/>
          <w:szCs w:val="18"/>
        </w:rPr>
        <w:t>icam ainda autorizad</w:t>
      </w:r>
      <w:r>
        <w:rPr>
          <w:rFonts w:ascii="Verdana" w:hAnsi="Verdana"/>
          <w:sz w:val="18"/>
          <w:szCs w:val="18"/>
        </w:rPr>
        <w:t xml:space="preserve">os </w:t>
      </w:r>
      <w:r w:rsidR="000B2C3C">
        <w:rPr>
          <w:rFonts w:ascii="Verdana" w:hAnsi="Verdana"/>
          <w:sz w:val="18"/>
          <w:szCs w:val="18"/>
        </w:rPr>
        <w:t xml:space="preserve">o Agente Fiduciário e </w:t>
      </w:r>
      <w:r>
        <w:rPr>
          <w:rFonts w:ascii="Verdana" w:hAnsi="Verdana"/>
          <w:sz w:val="18"/>
          <w:szCs w:val="18"/>
        </w:rPr>
        <w:t xml:space="preserve">o </w:t>
      </w:r>
      <w:r w:rsidR="008E00FE">
        <w:rPr>
          <w:rFonts w:ascii="Verdana" w:hAnsi="Verdana"/>
          <w:sz w:val="18"/>
          <w:szCs w:val="18"/>
        </w:rPr>
        <w:t xml:space="preserve">banco detentor das contas bancárias em que </w:t>
      </w:r>
      <w:r w:rsidR="009D791C">
        <w:rPr>
          <w:rFonts w:ascii="Verdana" w:hAnsi="Verdana"/>
          <w:sz w:val="18"/>
          <w:szCs w:val="18"/>
        </w:rPr>
        <w:t xml:space="preserve">serão feitos os depósitos/transferências da </w:t>
      </w:r>
      <w:r w:rsidR="009D791C" w:rsidRPr="009D791C">
        <w:rPr>
          <w:rFonts w:ascii="Verdana" w:hAnsi="Verdana"/>
          <w:sz w:val="18"/>
          <w:szCs w:val="18"/>
        </w:rPr>
        <w:t>Distribuição Braskem 2018</w:t>
      </w:r>
      <w:r w:rsidR="009D791C">
        <w:rPr>
          <w:rFonts w:ascii="Verdana" w:hAnsi="Verdana"/>
          <w:sz w:val="18"/>
          <w:szCs w:val="18"/>
        </w:rPr>
        <w:t xml:space="preserve"> </w:t>
      </w:r>
      <w:r w:rsidR="00FB0047">
        <w:rPr>
          <w:rFonts w:ascii="Verdana" w:hAnsi="Verdana"/>
          <w:sz w:val="18"/>
          <w:szCs w:val="18"/>
        </w:rPr>
        <w:t>(“</w:t>
      </w:r>
      <w:r w:rsidR="00FB0047" w:rsidRPr="00FB0047">
        <w:rPr>
          <w:rFonts w:ascii="Verdana" w:hAnsi="Verdana"/>
          <w:sz w:val="18"/>
          <w:szCs w:val="18"/>
          <w:u w:val="single"/>
        </w:rPr>
        <w:t>Agentes</w:t>
      </w:r>
      <w:r w:rsidR="00FB0047">
        <w:rPr>
          <w:rFonts w:ascii="Verdana" w:hAnsi="Verdana"/>
          <w:sz w:val="18"/>
          <w:szCs w:val="18"/>
        </w:rPr>
        <w:t xml:space="preserve">”) </w:t>
      </w:r>
      <w:r>
        <w:rPr>
          <w:rFonts w:ascii="Verdana" w:hAnsi="Verdana"/>
          <w:sz w:val="18"/>
          <w:szCs w:val="18"/>
        </w:rPr>
        <w:t xml:space="preserve">a efetuar as transações necessárias (débito, transferências etc.) para implementar a utilização dos </w:t>
      </w:r>
      <w:r w:rsidR="009D791C">
        <w:rPr>
          <w:rFonts w:ascii="Verdana" w:hAnsi="Verdana"/>
          <w:sz w:val="18"/>
          <w:szCs w:val="18"/>
        </w:rPr>
        <w:t xml:space="preserve">mesmos </w:t>
      </w:r>
      <w:r>
        <w:rPr>
          <w:rFonts w:ascii="Verdana" w:hAnsi="Verdana"/>
          <w:sz w:val="18"/>
          <w:szCs w:val="18"/>
        </w:rPr>
        <w:t xml:space="preserve">conforme indicado </w:t>
      </w:r>
      <w:r w:rsidR="00FB0047">
        <w:rPr>
          <w:rFonts w:ascii="Verdana" w:hAnsi="Verdana"/>
          <w:sz w:val="18"/>
          <w:szCs w:val="18"/>
        </w:rPr>
        <w:t>na Tabela A d</w:t>
      </w:r>
      <w:r>
        <w:rPr>
          <w:rFonts w:ascii="Verdana" w:hAnsi="Verdana"/>
          <w:sz w:val="18"/>
          <w:szCs w:val="18"/>
        </w:rPr>
        <w:t>o Anexo I</w:t>
      </w:r>
      <w:r w:rsidR="00FB0047">
        <w:rPr>
          <w:rFonts w:ascii="Verdana" w:hAnsi="Verdana"/>
          <w:sz w:val="18"/>
          <w:szCs w:val="18"/>
        </w:rPr>
        <w:t xml:space="preserve"> à presente</w:t>
      </w:r>
      <w:r w:rsidR="00945A7B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 xml:space="preserve"> </w:t>
      </w:r>
      <w:r w:rsidR="008B39DE">
        <w:rPr>
          <w:rFonts w:ascii="Verdana" w:hAnsi="Verdana"/>
          <w:sz w:val="18"/>
          <w:szCs w:val="18"/>
        </w:rPr>
        <w:t>Nesse sentido, uma vez que os recursos da Distribuição Braskem 2018</w:t>
      </w:r>
      <w:r>
        <w:rPr>
          <w:rFonts w:ascii="Verdana" w:hAnsi="Verdana"/>
          <w:sz w:val="18"/>
          <w:szCs w:val="18"/>
        </w:rPr>
        <w:t xml:space="preserve"> </w:t>
      </w:r>
      <w:r w:rsidR="008B39DE">
        <w:rPr>
          <w:rFonts w:ascii="Verdana" w:hAnsi="Verdana"/>
          <w:sz w:val="18"/>
          <w:szCs w:val="18"/>
        </w:rPr>
        <w:t>sejam depositados nas contas vinculadas previstas nas Escrituras</w:t>
      </w:r>
      <w:r w:rsidR="00FB0047">
        <w:rPr>
          <w:rFonts w:ascii="Verdana" w:hAnsi="Verdana"/>
          <w:sz w:val="18"/>
          <w:szCs w:val="18"/>
        </w:rPr>
        <w:t xml:space="preserve"> e demais documentos das Emissões</w:t>
      </w:r>
      <w:r w:rsidR="008B39DE">
        <w:rPr>
          <w:rFonts w:ascii="Verdana" w:hAnsi="Verdana"/>
          <w:sz w:val="18"/>
          <w:szCs w:val="18"/>
        </w:rPr>
        <w:t>, o</w:t>
      </w:r>
      <w:r w:rsidR="00FB0047">
        <w:rPr>
          <w:rFonts w:ascii="Verdana" w:hAnsi="Verdana"/>
          <w:sz w:val="18"/>
          <w:szCs w:val="18"/>
        </w:rPr>
        <w:t>s</w:t>
      </w:r>
      <w:r w:rsidR="008B39DE">
        <w:rPr>
          <w:rFonts w:ascii="Verdana" w:hAnsi="Verdana"/>
          <w:sz w:val="18"/>
          <w:szCs w:val="18"/>
        </w:rPr>
        <w:t xml:space="preserve"> </w:t>
      </w:r>
      <w:r w:rsidR="00FB0047">
        <w:rPr>
          <w:rFonts w:ascii="Verdana" w:hAnsi="Verdana"/>
          <w:sz w:val="18"/>
          <w:szCs w:val="18"/>
        </w:rPr>
        <w:t xml:space="preserve">Agentes </w:t>
      </w:r>
      <w:r w:rsidR="008B39DE">
        <w:rPr>
          <w:rFonts w:ascii="Verdana" w:hAnsi="Verdana"/>
          <w:sz w:val="18"/>
          <w:szCs w:val="18"/>
        </w:rPr>
        <w:t>dever</w:t>
      </w:r>
      <w:r w:rsidR="00FB0047">
        <w:rPr>
          <w:rFonts w:ascii="Verdana" w:hAnsi="Verdana"/>
          <w:sz w:val="18"/>
          <w:szCs w:val="18"/>
        </w:rPr>
        <w:t>ão</w:t>
      </w:r>
      <w:r w:rsidR="008B39DE">
        <w:rPr>
          <w:rFonts w:ascii="Verdana" w:hAnsi="Verdana"/>
          <w:sz w:val="18"/>
          <w:szCs w:val="18"/>
        </w:rPr>
        <w:t xml:space="preserve">, imediatamente, cursar as transações necessárias indicadas no Anexo I diretamente nas contas bancárias </w:t>
      </w:r>
      <w:r w:rsidR="00FB0047">
        <w:rPr>
          <w:rFonts w:ascii="Verdana" w:hAnsi="Verdana"/>
          <w:sz w:val="18"/>
          <w:szCs w:val="18"/>
        </w:rPr>
        <w:t>descritas na Tabela B do Anexo I</w:t>
      </w:r>
      <w:r w:rsidR="008B39DE">
        <w:rPr>
          <w:rFonts w:ascii="Verdana" w:hAnsi="Verdana"/>
          <w:sz w:val="18"/>
          <w:szCs w:val="18"/>
        </w:rPr>
        <w:t>.</w:t>
      </w:r>
    </w:p>
    <w:p w14:paraId="351B2F37" w14:textId="77777777" w:rsidR="00FB0047" w:rsidRDefault="00FB0047" w:rsidP="0017480E">
      <w:pPr>
        <w:tabs>
          <w:tab w:val="num" w:pos="0"/>
        </w:tabs>
        <w:spacing w:line="260" w:lineRule="exact"/>
        <w:jc w:val="both"/>
        <w:rPr>
          <w:rFonts w:ascii="Verdana" w:hAnsi="Verdana"/>
          <w:sz w:val="18"/>
          <w:szCs w:val="18"/>
        </w:rPr>
      </w:pPr>
    </w:p>
    <w:p w14:paraId="6EEF33E2" w14:textId="15439E73" w:rsidR="00FB0047" w:rsidRPr="009708A6" w:rsidRDefault="00FB0047" w:rsidP="0017480E">
      <w:pPr>
        <w:tabs>
          <w:tab w:val="num" w:pos="0"/>
        </w:tabs>
        <w:spacing w:line="260" w:lineRule="exac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 xml:space="preserve">Os Agentes deverão, inicialmente, cursar as operações e transferências indicadas nos itens 1 a 6 da Tabela A do Anexo I, e somente após a confirmação, por escrito, dos respectivos titulares das contas bancárias indicadas na Tabela B do Anexo I, </w:t>
      </w:r>
      <w:r w:rsidR="00C070FC">
        <w:rPr>
          <w:rFonts w:ascii="Verdana" w:hAnsi="Verdana"/>
          <w:sz w:val="18"/>
          <w:szCs w:val="18"/>
        </w:rPr>
        <w:t>a respeito do recebimento/compensação de tais valores, os Agentes poderão cursar as operações e transferências indicadas nos itens 7 a 16 da Tabela A do Anexo I.</w:t>
      </w:r>
    </w:p>
    <w:p w14:paraId="11E5D0F6" w14:textId="77777777" w:rsidR="00D359FD" w:rsidRPr="009708A6" w:rsidRDefault="00D359FD" w:rsidP="0017480E">
      <w:pPr>
        <w:tabs>
          <w:tab w:val="num" w:pos="0"/>
        </w:tabs>
        <w:spacing w:line="260" w:lineRule="exact"/>
        <w:jc w:val="both"/>
        <w:rPr>
          <w:rFonts w:ascii="Verdana" w:hAnsi="Verdana"/>
          <w:sz w:val="18"/>
          <w:szCs w:val="18"/>
        </w:rPr>
      </w:pPr>
    </w:p>
    <w:p w14:paraId="1CBEA5AF" w14:textId="53BAD1D6" w:rsidR="009708A6" w:rsidRPr="009708A6" w:rsidRDefault="009708A6" w:rsidP="0017480E">
      <w:pPr>
        <w:pStyle w:val="PargrafodaLista"/>
        <w:spacing w:line="260" w:lineRule="exact"/>
        <w:ind w:left="0" w:firstLine="720"/>
        <w:contextualSpacing w:val="0"/>
        <w:jc w:val="both"/>
        <w:rPr>
          <w:rFonts w:ascii="Verdana" w:hAnsi="Verdana"/>
          <w:sz w:val="18"/>
          <w:szCs w:val="18"/>
        </w:rPr>
      </w:pPr>
      <w:r w:rsidRPr="009708A6">
        <w:rPr>
          <w:rFonts w:ascii="Verdana" w:hAnsi="Verdana"/>
          <w:sz w:val="18"/>
          <w:szCs w:val="18"/>
        </w:rPr>
        <w:t xml:space="preserve">A </w:t>
      </w:r>
      <w:r w:rsidR="001A6A82">
        <w:rPr>
          <w:rFonts w:ascii="Verdana" w:hAnsi="Verdana"/>
          <w:sz w:val="18"/>
          <w:szCs w:val="18"/>
        </w:rPr>
        <w:t xml:space="preserve">Fiadora e a </w:t>
      </w:r>
      <w:r w:rsidRPr="009708A6">
        <w:rPr>
          <w:rFonts w:ascii="Verdana" w:hAnsi="Verdana"/>
          <w:sz w:val="18"/>
          <w:szCs w:val="18"/>
        </w:rPr>
        <w:t>Emissora desde já reconhece</w:t>
      </w:r>
      <w:r w:rsidR="001A6A82">
        <w:rPr>
          <w:rFonts w:ascii="Verdana" w:hAnsi="Verdana"/>
          <w:sz w:val="18"/>
          <w:szCs w:val="18"/>
        </w:rPr>
        <w:t>m</w:t>
      </w:r>
      <w:r w:rsidRPr="009708A6">
        <w:rPr>
          <w:rFonts w:ascii="Verdana" w:hAnsi="Verdana"/>
          <w:sz w:val="18"/>
          <w:szCs w:val="18"/>
        </w:rPr>
        <w:t xml:space="preserve">, de forma irrevogável e irretratável, </w:t>
      </w:r>
      <w:r w:rsidR="00F2082E">
        <w:rPr>
          <w:rFonts w:ascii="Verdana" w:hAnsi="Verdana"/>
          <w:sz w:val="18"/>
          <w:szCs w:val="18"/>
        </w:rPr>
        <w:t xml:space="preserve">para todos os fins de direito, que </w:t>
      </w:r>
      <w:r w:rsidRPr="009708A6">
        <w:rPr>
          <w:rFonts w:ascii="Verdana" w:hAnsi="Verdana"/>
          <w:sz w:val="18"/>
          <w:szCs w:val="18"/>
        </w:rPr>
        <w:t xml:space="preserve">o descumprimento de qualquer das disposições aqui indicadas </w:t>
      </w:r>
      <w:r w:rsidR="00F2082E">
        <w:rPr>
          <w:rFonts w:ascii="Verdana" w:hAnsi="Verdana"/>
          <w:sz w:val="18"/>
          <w:szCs w:val="18"/>
        </w:rPr>
        <w:t xml:space="preserve">acarretará, de forma automática, a revogação expressa das dispensas </w:t>
      </w:r>
      <w:r w:rsidR="00595DFD">
        <w:rPr>
          <w:rFonts w:ascii="Verdana" w:hAnsi="Verdana"/>
          <w:sz w:val="18"/>
          <w:szCs w:val="18"/>
        </w:rPr>
        <w:t xml:space="preserve">das </w:t>
      </w:r>
      <w:r w:rsidR="00F2082E">
        <w:rPr>
          <w:rFonts w:ascii="Verdana" w:hAnsi="Verdana"/>
          <w:sz w:val="18"/>
          <w:szCs w:val="18"/>
        </w:rPr>
        <w:t xml:space="preserve">obrigações previstas nas Escrituras aprovadas no âmbito das </w:t>
      </w:r>
      <w:proofErr w:type="spellStart"/>
      <w:r w:rsidR="00F2082E">
        <w:rPr>
          <w:rFonts w:ascii="Verdana" w:hAnsi="Verdana"/>
          <w:sz w:val="18"/>
          <w:szCs w:val="18"/>
        </w:rPr>
        <w:t>AGDs</w:t>
      </w:r>
      <w:proofErr w:type="spellEnd"/>
      <w:r w:rsidR="00F2082E">
        <w:rPr>
          <w:rFonts w:ascii="Verdana" w:hAnsi="Verdana"/>
          <w:sz w:val="18"/>
          <w:szCs w:val="18"/>
        </w:rPr>
        <w:t xml:space="preserve"> e, nesse sentido</w:t>
      </w:r>
      <w:r w:rsidR="00595DFD">
        <w:rPr>
          <w:rFonts w:ascii="Verdana" w:hAnsi="Verdana"/>
          <w:sz w:val="18"/>
          <w:szCs w:val="18"/>
        </w:rPr>
        <w:t>,</w:t>
      </w:r>
      <w:r w:rsidR="00F2082E">
        <w:rPr>
          <w:rFonts w:ascii="Verdana" w:hAnsi="Verdana"/>
          <w:sz w:val="18"/>
          <w:szCs w:val="18"/>
        </w:rPr>
        <w:t xml:space="preserve"> acarretará no vencimento antecipado automático das Debêntures</w:t>
      </w:r>
      <w:r w:rsidRPr="00C26F2A">
        <w:rPr>
          <w:rFonts w:ascii="Verdana" w:hAnsi="Verdana"/>
          <w:sz w:val="18"/>
          <w:szCs w:val="18"/>
        </w:rPr>
        <w:t>, nos termos da</w:t>
      </w:r>
      <w:r w:rsidR="00595DFD">
        <w:rPr>
          <w:rFonts w:ascii="Verdana" w:hAnsi="Verdana"/>
          <w:sz w:val="18"/>
          <w:szCs w:val="18"/>
        </w:rPr>
        <w:t>s</w:t>
      </w:r>
      <w:r w:rsidRPr="00C26F2A">
        <w:rPr>
          <w:rFonts w:ascii="Verdana" w:hAnsi="Verdana"/>
          <w:sz w:val="18"/>
          <w:szCs w:val="18"/>
        </w:rPr>
        <w:t xml:space="preserve"> Escritura</w:t>
      </w:r>
      <w:r w:rsidR="00595DFD">
        <w:rPr>
          <w:rFonts w:ascii="Verdana" w:hAnsi="Verdana"/>
          <w:sz w:val="18"/>
          <w:szCs w:val="18"/>
        </w:rPr>
        <w:t>s</w:t>
      </w:r>
      <w:r w:rsidRPr="00C26F2A">
        <w:rPr>
          <w:rFonts w:ascii="Verdana" w:hAnsi="Verdana"/>
          <w:sz w:val="18"/>
          <w:szCs w:val="18"/>
        </w:rPr>
        <w:t xml:space="preserve">, ficando o </w:t>
      </w:r>
      <w:r w:rsidR="0061144B" w:rsidRPr="00745A91">
        <w:rPr>
          <w:rFonts w:ascii="Verdana" w:hAnsi="Verdana"/>
          <w:sz w:val="18"/>
          <w:szCs w:val="18"/>
        </w:rPr>
        <w:t>A</w:t>
      </w:r>
      <w:r w:rsidRPr="00745A91">
        <w:rPr>
          <w:rFonts w:ascii="Verdana" w:hAnsi="Verdana"/>
          <w:sz w:val="18"/>
          <w:szCs w:val="18"/>
        </w:rPr>
        <w:t xml:space="preserve">gente </w:t>
      </w:r>
      <w:r w:rsidR="0061144B" w:rsidRPr="00745A91">
        <w:rPr>
          <w:rFonts w:ascii="Verdana" w:hAnsi="Verdana"/>
          <w:sz w:val="18"/>
          <w:szCs w:val="18"/>
        </w:rPr>
        <w:t>F</w:t>
      </w:r>
      <w:r w:rsidRPr="00745A91">
        <w:rPr>
          <w:rFonts w:ascii="Verdana" w:hAnsi="Verdana"/>
          <w:sz w:val="18"/>
          <w:szCs w:val="18"/>
        </w:rPr>
        <w:t>iduciário</w:t>
      </w:r>
      <w:r w:rsidRPr="00C26F2A">
        <w:rPr>
          <w:rFonts w:ascii="Verdana" w:hAnsi="Verdana"/>
          <w:sz w:val="18"/>
          <w:szCs w:val="18"/>
        </w:rPr>
        <w:t xml:space="preserve"> autorizado a tomar </w:t>
      </w:r>
      <w:r w:rsidR="00F2082E">
        <w:rPr>
          <w:rFonts w:ascii="Verdana" w:hAnsi="Verdana"/>
          <w:sz w:val="18"/>
          <w:szCs w:val="18"/>
        </w:rPr>
        <w:t xml:space="preserve">todas e quaisquer </w:t>
      </w:r>
      <w:r w:rsidRPr="00C26F2A">
        <w:rPr>
          <w:rFonts w:ascii="Verdana" w:hAnsi="Verdana"/>
          <w:sz w:val="18"/>
          <w:szCs w:val="18"/>
        </w:rPr>
        <w:t>providências necessárias para a declaração do vencimento antecipado das Debêntures e excussão das garantias outorgadas aos Debenturistas</w:t>
      </w:r>
      <w:r w:rsidR="00811019" w:rsidRPr="00C26F2A">
        <w:rPr>
          <w:rFonts w:ascii="Verdana" w:hAnsi="Verdana"/>
          <w:sz w:val="18"/>
          <w:szCs w:val="18"/>
        </w:rPr>
        <w:t>, observado</w:t>
      </w:r>
      <w:r w:rsidR="00811019">
        <w:rPr>
          <w:rFonts w:ascii="Verdana" w:hAnsi="Verdana"/>
          <w:sz w:val="18"/>
          <w:szCs w:val="18"/>
        </w:rPr>
        <w:t xml:space="preserve"> o disposto na</w:t>
      </w:r>
      <w:r w:rsidR="00F2082E">
        <w:rPr>
          <w:rFonts w:ascii="Verdana" w:hAnsi="Verdana"/>
          <w:sz w:val="18"/>
          <w:szCs w:val="18"/>
        </w:rPr>
        <w:t>s</w:t>
      </w:r>
      <w:r w:rsidR="00811019">
        <w:rPr>
          <w:rFonts w:ascii="Verdana" w:hAnsi="Verdana"/>
          <w:sz w:val="18"/>
          <w:szCs w:val="18"/>
        </w:rPr>
        <w:t xml:space="preserve"> Escritura</w:t>
      </w:r>
      <w:r w:rsidR="00F2082E">
        <w:rPr>
          <w:rFonts w:ascii="Verdana" w:hAnsi="Verdana"/>
          <w:sz w:val="18"/>
          <w:szCs w:val="18"/>
        </w:rPr>
        <w:t xml:space="preserve">s e </w:t>
      </w:r>
      <w:r w:rsidR="00595DFD">
        <w:rPr>
          <w:rFonts w:ascii="Verdana" w:hAnsi="Verdana"/>
          <w:sz w:val="18"/>
          <w:szCs w:val="18"/>
        </w:rPr>
        <w:t xml:space="preserve">nos </w:t>
      </w:r>
      <w:r w:rsidR="00F2082E">
        <w:rPr>
          <w:rFonts w:ascii="Verdana" w:hAnsi="Verdana"/>
          <w:sz w:val="18"/>
          <w:szCs w:val="18"/>
        </w:rPr>
        <w:t>Contratos de Garantia</w:t>
      </w:r>
      <w:r w:rsidRPr="009708A6">
        <w:rPr>
          <w:rFonts w:ascii="Verdana" w:hAnsi="Verdana"/>
          <w:sz w:val="18"/>
          <w:szCs w:val="18"/>
        </w:rPr>
        <w:t xml:space="preserve">. </w:t>
      </w:r>
    </w:p>
    <w:p w14:paraId="58E6E5FE" w14:textId="77777777" w:rsidR="009258A9" w:rsidRDefault="009258A9" w:rsidP="0017480E">
      <w:pPr>
        <w:tabs>
          <w:tab w:val="num" w:pos="0"/>
        </w:tabs>
        <w:spacing w:line="260" w:lineRule="exact"/>
        <w:jc w:val="both"/>
        <w:rPr>
          <w:rFonts w:ascii="Verdana" w:hAnsi="Verdana"/>
          <w:sz w:val="18"/>
          <w:szCs w:val="18"/>
        </w:rPr>
      </w:pPr>
    </w:p>
    <w:p w14:paraId="4C019E42" w14:textId="08392ACF" w:rsidR="009D791C" w:rsidRPr="009D791C" w:rsidRDefault="009D791C" w:rsidP="0017480E">
      <w:pPr>
        <w:spacing w:line="260" w:lineRule="exact"/>
        <w:ind w:firstLine="720"/>
        <w:jc w:val="both"/>
        <w:rPr>
          <w:rFonts w:ascii="Verdana" w:hAnsi="Verdana"/>
          <w:sz w:val="18"/>
          <w:szCs w:val="18"/>
        </w:rPr>
      </w:pPr>
      <w:r w:rsidRPr="009D791C">
        <w:rPr>
          <w:rFonts w:ascii="Verdana" w:hAnsi="Verdana"/>
          <w:sz w:val="18"/>
          <w:szCs w:val="18"/>
        </w:rPr>
        <w:t>Os termos que não estejam expressamente definidos neste instrumento terão o significado a eles atribuídos na Escritura</w:t>
      </w:r>
      <w:r w:rsidR="00F2082E">
        <w:rPr>
          <w:rFonts w:ascii="Verdana" w:hAnsi="Verdana"/>
          <w:sz w:val="18"/>
          <w:szCs w:val="18"/>
        </w:rPr>
        <w:t>s</w:t>
      </w:r>
      <w:r w:rsidRPr="009D791C">
        <w:rPr>
          <w:rFonts w:ascii="Verdana" w:hAnsi="Verdana"/>
          <w:sz w:val="18"/>
          <w:szCs w:val="18"/>
        </w:rPr>
        <w:t xml:space="preserve"> e/ou na</w:t>
      </w:r>
      <w:r w:rsidR="00F2082E">
        <w:rPr>
          <w:rFonts w:ascii="Verdana" w:hAnsi="Verdana"/>
          <w:sz w:val="18"/>
          <w:szCs w:val="18"/>
        </w:rPr>
        <w:t>s</w:t>
      </w:r>
      <w:r w:rsidRPr="009D791C">
        <w:rPr>
          <w:rFonts w:ascii="Verdana" w:hAnsi="Verdana"/>
          <w:sz w:val="18"/>
          <w:szCs w:val="18"/>
        </w:rPr>
        <w:t xml:space="preserve"> </w:t>
      </w:r>
      <w:proofErr w:type="spellStart"/>
      <w:r w:rsidRPr="009D791C">
        <w:rPr>
          <w:rFonts w:ascii="Verdana" w:hAnsi="Verdana"/>
          <w:sz w:val="18"/>
          <w:szCs w:val="18"/>
        </w:rPr>
        <w:t>AGD</w:t>
      </w:r>
      <w:r w:rsidR="00F2082E">
        <w:rPr>
          <w:rFonts w:ascii="Verdana" w:hAnsi="Verdana"/>
          <w:sz w:val="18"/>
          <w:szCs w:val="18"/>
        </w:rPr>
        <w:t>s</w:t>
      </w:r>
      <w:proofErr w:type="spellEnd"/>
      <w:r w:rsidRPr="009D791C">
        <w:rPr>
          <w:rFonts w:ascii="Verdana" w:hAnsi="Verdana"/>
          <w:sz w:val="18"/>
          <w:szCs w:val="18"/>
        </w:rPr>
        <w:t xml:space="preserve">. </w:t>
      </w:r>
    </w:p>
    <w:p w14:paraId="535A587D" w14:textId="77777777" w:rsidR="009D791C" w:rsidRPr="009708A6" w:rsidRDefault="009D791C" w:rsidP="0017480E">
      <w:pPr>
        <w:tabs>
          <w:tab w:val="num" w:pos="0"/>
        </w:tabs>
        <w:spacing w:line="260" w:lineRule="exact"/>
        <w:jc w:val="both"/>
        <w:rPr>
          <w:rFonts w:ascii="Verdana" w:hAnsi="Verdana"/>
          <w:sz w:val="18"/>
          <w:szCs w:val="18"/>
        </w:rPr>
      </w:pPr>
    </w:p>
    <w:p w14:paraId="2D122830" w14:textId="1BBCD619" w:rsidR="009258A9" w:rsidRDefault="009708A6" w:rsidP="0017480E">
      <w:pPr>
        <w:tabs>
          <w:tab w:val="num" w:pos="0"/>
        </w:tabs>
        <w:spacing w:line="260" w:lineRule="exac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>A</w:t>
      </w:r>
      <w:r w:rsidR="009258A9" w:rsidRPr="009708A6">
        <w:rPr>
          <w:rFonts w:ascii="Verdana" w:hAnsi="Verdana"/>
          <w:sz w:val="18"/>
          <w:szCs w:val="18"/>
        </w:rPr>
        <w:t xml:space="preserve">dicionalmente, ressaltamos que </w:t>
      </w:r>
      <w:r w:rsidR="00426ECF">
        <w:rPr>
          <w:rFonts w:ascii="Verdana" w:hAnsi="Verdana"/>
          <w:sz w:val="18"/>
          <w:szCs w:val="18"/>
        </w:rPr>
        <w:t>a presente</w:t>
      </w:r>
      <w:r w:rsidR="009258A9" w:rsidRPr="009708A6">
        <w:rPr>
          <w:rFonts w:ascii="Verdana" w:hAnsi="Verdana"/>
          <w:sz w:val="18"/>
          <w:szCs w:val="18"/>
        </w:rPr>
        <w:t xml:space="preserve"> ficará arquivada na sede da</w:t>
      </w:r>
      <w:r w:rsidR="009258A9" w:rsidRPr="009258A9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Emissora</w:t>
      </w:r>
      <w:r w:rsidR="00910EE2">
        <w:rPr>
          <w:rFonts w:ascii="Verdana" w:hAnsi="Verdana"/>
          <w:sz w:val="18"/>
          <w:szCs w:val="18"/>
        </w:rPr>
        <w:t xml:space="preserve"> e do Agente Fiduciário</w:t>
      </w:r>
      <w:r w:rsidR="009258A9" w:rsidRPr="009258A9">
        <w:rPr>
          <w:rFonts w:ascii="Verdana" w:hAnsi="Verdana"/>
          <w:sz w:val="18"/>
          <w:szCs w:val="18"/>
        </w:rPr>
        <w:t>.</w:t>
      </w:r>
    </w:p>
    <w:p w14:paraId="2C9C929B" w14:textId="77777777" w:rsidR="009258A9" w:rsidRDefault="009258A9" w:rsidP="0017480E">
      <w:pPr>
        <w:tabs>
          <w:tab w:val="num" w:pos="0"/>
        </w:tabs>
        <w:spacing w:line="260" w:lineRule="exact"/>
        <w:jc w:val="both"/>
        <w:rPr>
          <w:rFonts w:ascii="Verdana" w:hAnsi="Verdana"/>
          <w:sz w:val="18"/>
          <w:szCs w:val="18"/>
        </w:rPr>
      </w:pPr>
    </w:p>
    <w:p w14:paraId="0DB0FDA2" w14:textId="77777777" w:rsidR="009258A9" w:rsidRDefault="009258A9" w:rsidP="0017480E">
      <w:pPr>
        <w:tabs>
          <w:tab w:val="num" w:pos="0"/>
        </w:tabs>
        <w:spacing w:line="260" w:lineRule="exact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Atenciosamente,</w:t>
      </w:r>
    </w:p>
    <w:p w14:paraId="59FEE19A" w14:textId="77777777" w:rsidR="009708A6" w:rsidRPr="009708A6" w:rsidRDefault="009708A6" w:rsidP="0017480E">
      <w:pPr>
        <w:tabs>
          <w:tab w:val="num" w:pos="0"/>
        </w:tabs>
        <w:spacing w:line="260" w:lineRule="exact"/>
        <w:jc w:val="both"/>
        <w:rPr>
          <w:rFonts w:ascii="Verdana" w:hAnsi="Verdana"/>
          <w:sz w:val="18"/>
          <w:szCs w:val="18"/>
        </w:rPr>
      </w:pPr>
    </w:p>
    <w:p w14:paraId="2221C22A" w14:textId="77777777" w:rsidR="005C2D09" w:rsidRPr="009708A6" w:rsidRDefault="005C2D09" w:rsidP="0017480E">
      <w:pPr>
        <w:spacing w:line="260" w:lineRule="exact"/>
        <w:jc w:val="center"/>
        <w:rPr>
          <w:rFonts w:ascii="Verdana" w:hAnsi="Verdana"/>
          <w:b/>
          <w:bCs/>
          <w:sz w:val="18"/>
          <w:szCs w:val="18"/>
        </w:rPr>
      </w:pPr>
      <w:r w:rsidRPr="009708A6">
        <w:rPr>
          <w:rFonts w:ascii="Verdana" w:hAnsi="Verdana"/>
          <w:b/>
          <w:bCs/>
          <w:sz w:val="18"/>
          <w:szCs w:val="18"/>
        </w:rPr>
        <w:t>OSP INVESTIMENTOS S.A</w:t>
      </w:r>
    </w:p>
    <w:p w14:paraId="04228A58" w14:textId="77777777" w:rsidR="005C2D09" w:rsidRDefault="005C2D09" w:rsidP="0017480E">
      <w:pPr>
        <w:spacing w:line="260" w:lineRule="exact"/>
        <w:jc w:val="center"/>
        <w:rPr>
          <w:rFonts w:ascii="Verdana" w:hAnsi="Verdana"/>
          <w:b/>
          <w:sz w:val="18"/>
          <w:szCs w:val="18"/>
        </w:rPr>
      </w:pPr>
    </w:p>
    <w:p w14:paraId="3C221794" w14:textId="77777777" w:rsidR="005E5CF1" w:rsidRPr="009708A6" w:rsidRDefault="005E5CF1" w:rsidP="0017480E">
      <w:pPr>
        <w:spacing w:line="260" w:lineRule="exact"/>
        <w:jc w:val="center"/>
        <w:rPr>
          <w:rFonts w:ascii="Verdana" w:hAnsi="Verdana"/>
          <w:b/>
          <w:sz w:val="18"/>
          <w:szCs w:val="18"/>
        </w:rPr>
      </w:pPr>
    </w:p>
    <w:p w14:paraId="02EF58CB" w14:textId="77777777" w:rsidR="005C2D09" w:rsidRPr="009708A6" w:rsidRDefault="005C2D09" w:rsidP="0017480E">
      <w:pPr>
        <w:spacing w:line="260" w:lineRule="exact"/>
        <w:jc w:val="center"/>
        <w:rPr>
          <w:rFonts w:ascii="Verdana" w:hAnsi="Verdana"/>
          <w:b/>
          <w:sz w:val="18"/>
          <w:szCs w:val="18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5C2D09" w:rsidRPr="009708A6" w14:paraId="1E746F34" w14:textId="77777777" w:rsidTr="005336C2">
        <w:trPr>
          <w:cantSplit/>
          <w:trHeight w:val="55"/>
        </w:trPr>
        <w:tc>
          <w:tcPr>
            <w:tcW w:w="4253" w:type="dxa"/>
            <w:tcBorders>
              <w:top w:val="single" w:sz="6" w:space="0" w:color="auto"/>
            </w:tcBorders>
          </w:tcPr>
          <w:p w14:paraId="332E16EC" w14:textId="77777777" w:rsidR="005C2D09" w:rsidRPr="009708A6" w:rsidRDefault="005C2D09" w:rsidP="0017480E">
            <w:pPr>
              <w:spacing w:line="260" w:lineRule="exact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9708A6">
              <w:rPr>
                <w:rFonts w:ascii="Verdana" w:hAnsi="Verdana"/>
                <w:sz w:val="18"/>
                <w:szCs w:val="18"/>
              </w:rPr>
              <w:t>Nome:</w:t>
            </w:r>
            <w:r w:rsidRPr="009708A6">
              <w:rPr>
                <w:rFonts w:ascii="Verdana" w:hAnsi="Verdana"/>
                <w:sz w:val="18"/>
                <w:szCs w:val="18"/>
              </w:rPr>
              <w:br/>
              <w:t>Cargo</w:t>
            </w:r>
            <w:proofErr w:type="gramEnd"/>
            <w:r w:rsidRPr="009708A6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567" w:type="dxa"/>
          </w:tcPr>
          <w:p w14:paraId="0A3237E7" w14:textId="77777777" w:rsidR="005C2D09" w:rsidRPr="009708A6" w:rsidRDefault="005C2D09" w:rsidP="0017480E">
            <w:pPr>
              <w:spacing w:line="260" w:lineRule="exact"/>
              <w:rPr>
                <w:rFonts w:ascii="Verdana" w:hAnsi="Verdana"/>
                <w:sz w:val="18"/>
                <w:szCs w:val="18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43974D11" w14:textId="77777777" w:rsidR="005C2D09" w:rsidRPr="009708A6" w:rsidRDefault="005C2D09" w:rsidP="0017480E">
            <w:pPr>
              <w:spacing w:line="260" w:lineRule="exact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9708A6">
              <w:rPr>
                <w:rFonts w:ascii="Verdana" w:hAnsi="Verdana"/>
                <w:sz w:val="18"/>
                <w:szCs w:val="18"/>
              </w:rPr>
              <w:t>Nome:</w:t>
            </w:r>
            <w:r w:rsidRPr="009708A6">
              <w:rPr>
                <w:rFonts w:ascii="Verdana" w:hAnsi="Verdana"/>
                <w:sz w:val="18"/>
                <w:szCs w:val="18"/>
              </w:rPr>
              <w:br/>
              <w:t>Cargo</w:t>
            </w:r>
            <w:proofErr w:type="gramEnd"/>
            <w:r w:rsidRPr="009708A6">
              <w:rPr>
                <w:rFonts w:ascii="Verdana" w:hAnsi="Verdana"/>
                <w:sz w:val="18"/>
                <w:szCs w:val="18"/>
              </w:rPr>
              <w:t>:</w:t>
            </w:r>
          </w:p>
        </w:tc>
      </w:tr>
    </w:tbl>
    <w:p w14:paraId="26F737AD" w14:textId="77777777" w:rsidR="008B39DE" w:rsidRDefault="008B39DE" w:rsidP="00A43DAC">
      <w:pPr>
        <w:spacing w:line="280" w:lineRule="exact"/>
        <w:rPr>
          <w:rFonts w:ascii="Verdana" w:hAnsi="Verdana"/>
          <w:sz w:val="18"/>
          <w:szCs w:val="18"/>
        </w:rPr>
      </w:pPr>
    </w:p>
    <w:p w14:paraId="751FB9AB" w14:textId="77777777" w:rsidR="008B39DE" w:rsidRDefault="008B39DE" w:rsidP="00A43DAC">
      <w:pPr>
        <w:spacing w:line="280" w:lineRule="exact"/>
        <w:rPr>
          <w:rFonts w:ascii="Verdana" w:hAnsi="Verdana"/>
          <w:sz w:val="18"/>
          <w:szCs w:val="18"/>
        </w:rPr>
      </w:pPr>
    </w:p>
    <w:p w14:paraId="18A44DD7" w14:textId="670BB178" w:rsidR="008B39DE" w:rsidRPr="009708A6" w:rsidRDefault="008B39DE" w:rsidP="008B39DE">
      <w:pPr>
        <w:spacing w:line="260" w:lineRule="exact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ODEBRECHT </w:t>
      </w:r>
      <w:r w:rsidRPr="009708A6">
        <w:rPr>
          <w:rFonts w:ascii="Verdana" w:hAnsi="Verdana"/>
          <w:b/>
          <w:bCs/>
          <w:sz w:val="18"/>
          <w:szCs w:val="18"/>
        </w:rPr>
        <w:t>S.A</w:t>
      </w:r>
    </w:p>
    <w:p w14:paraId="724ADE36" w14:textId="77777777" w:rsidR="008B39DE" w:rsidRDefault="008B39DE" w:rsidP="008B39DE">
      <w:pPr>
        <w:spacing w:line="260" w:lineRule="exact"/>
        <w:jc w:val="center"/>
        <w:rPr>
          <w:rFonts w:ascii="Verdana" w:hAnsi="Verdana"/>
          <w:b/>
          <w:sz w:val="18"/>
          <w:szCs w:val="18"/>
        </w:rPr>
      </w:pPr>
    </w:p>
    <w:p w14:paraId="3D3BA4CB" w14:textId="77777777" w:rsidR="008B39DE" w:rsidRPr="009708A6" w:rsidRDefault="008B39DE" w:rsidP="008B39DE">
      <w:pPr>
        <w:spacing w:line="260" w:lineRule="exact"/>
        <w:jc w:val="center"/>
        <w:rPr>
          <w:rFonts w:ascii="Verdana" w:hAnsi="Verdana"/>
          <w:b/>
          <w:sz w:val="18"/>
          <w:szCs w:val="18"/>
        </w:rPr>
      </w:pPr>
    </w:p>
    <w:p w14:paraId="342DDE3B" w14:textId="77777777" w:rsidR="008B39DE" w:rsidRPr="009708A6" w:rsidRDefault="008B39DE" w:rsidP="008B39DE">
      <w:pPr>
        <w:spacing w:line="260" w:lineRule="exact"/>
        <w:jc w:val="center"/>
        <w:rPr>
          <w:rFonts w:ascii="Verdana" w:hAnsi="Verdana"/>
          <w:b/>
          <w:sz w:val="18"/>
          <w:szCs w:val="18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B39DE" w:rsidRPr="009708A6" w14:paraId="55027509" w14:textId="77777777" w:rsidTr="00123312">
        <w:trPr>
          <w:cantSplit/>
          <w:trHeight w:val="55"/>
        </w:trPr>
        <w:tc>
          <w:tcPr>
            <w:tcW w:w="4253" w:type="dxa"/>
            <w:tcBorders>
              <w:top w:val="single" w:sz="6" w:space="0" w:color="auto"/>
            </w:tcBorders>
          </w:tcPr>
          <w:p w14:paraId="5EB35925" w14:textId="77777777" w:rsidR="008B39DE" w:rsidRPr="009708A6" w:rsidRDefault="008B39DE" w:rsidP="00123312">
            <w:pPr>
              <w:spacing w:line="260" w:lineRule="exact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9708A6">
              <w:rPr>
                <w:rFonts w:ascii="Verdana" w:hAnsi="Verdana"/>
                <w:sz w:val="18"/>
                <w:szCs w:val="18"/>
              </w:rPr>
              <w:t>Nome:</w:t>
            </w:r>
            <w:r w:rsidRPr="009708A6">
              <w:rPr>
                <w:rFonts w:ascii="Verdana" w:hAnsi="Verdana"/>
                <w:sz w:val="18"/>
                <w:szCs w:val="18"/>
              </w:rPr>
              <w:br/>
              <w:t>Cargo</w:t>
            </w:r>
            <w:proofErr w:type="gramEnd"/>
            <w:r w:rsidRPr="009708A6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567" w:type="dxa"/>
          </w:tcPr>
          <w:p w14:paraId="216FC6DF" w14:textId="77777777" w:rsidR="008B39DE" w:rsidRPr="009708A6" w:rsidRDefault="008B39DE" w:rsidP="00123312">
            <w:pPr>
              <w:spacing w:line="260" w:lineRule="exact"/>
              <w:rPr>
                <w:rFonts w:ascii="Verdana" w:hAnsi="Verdana"/>
                <w:sz w:val="18"/>
                <w:szCs w:val="18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582D181A" w14:textId="77777777" w:rsidR="008B39DE" w:rsidRPr="009708A6" w:rsidRDefault="008B39DE" w:rsidP="00123312">
            <w:pPr>
              <w:spacing w:line="260" w:lineRule="exact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9708A6">
              <w:rPr>
                <w:rFonts w:ascii="Verdana" w:hAnsi="Verdana"/>
                <w:sz w:val="18"/>
                <w:szCs w:val="18"/>
              </w:rPr>
              <w:t>Nome:</w:t>
            </w:r>
            <w:r w:rsidRPr="009708A6">
              <w:rPr>
                <w:rFonts w:ascii="Verdana" w:hAnsi="Verdana"/>
                <w:sz w:val="18"/>
                <w:szCs w:val="18"/>
              </w:rPr>
              <w:br/>
              <w:t>Cargo</w:t>
            </w:r>
            <w:proofErr w:type="gramEnd"/>
            <w:r w:rsidRPr="009708A6">
              <w:rPr>
                <w:rFonts w:ascii="Verdana" w:hAnsi="Verdana"/>
                <w:sz w:val="18"/>
                <w:szCs w:val="18"/>
              </w:rPr>
              <w:t>:</w:t>
            </w:r>
          </w:p>
        </w:tc>
      </w:tr>
    </w:tbl>
    <w:p w14:paraId="215DE28E" w14:textId="77777777" w:rsidR="009258A9" w:rsidRPr="009708A6" w:rsidRDefault="009258A9" w:rsidP="00A43DAC">
      <w:pPr>
        <w:spacing w:line="280" w:lineRule="exact"/>
        <w:rPr>
          <w:rFonts w:ascii="Verdana" w:hAnsi="Verdana"/>
          <w:sz w:val="18"/>
          <w:szCs w:val="18"/>
        </w:rPr>
      </w:pPr>
      <w:r w:rsidRPr="009708A6">
        <w:rPr>
          <w:rFonts w:ascii="Verdana" w:hAnsi="Verdana"/>
          <w:sz w:val="18"/>
          <w:szCs w:val="18"/>
        </w:rPr>
        <w:br w:type="page"/>
      </w:r>
    </w:p>
    <w:p w14:paraId="29C9148A" w14:textId="77777777" w:rsidR="009258A9" w:rsidRPr="009258A9" w:rsidRDefault="009258A9" w:rsidP="009258A9">
      <w:pPr>
        <w:tabs>
          <w:tab w:val="num" w:pos="0"/>
        </w:tabs>
        <w:spacing w:line="300" w:lineRule="exact"/>
        <w:jc w:val="center"/>
        <w:rPr>
          <w:rFonts w:ascii="Verdana" w:hAnsi="Verdana"/>
          <w:b/>
          <w:sz w:val="18"/>
          <w:szCs w:val="18"/>
          <w:u w:val="single"/>
        </w:rPr>
      </w:pPr>
      <w:r w:rsidRPr="007D2146">
        <w:rPr>
          <w:rFonts w:ascii="Verdana" w:hAnsi="Verdana"/>
          <w:b/>
          <w:sz w:val="18"/>
          <w:szCs w:val="18"/>
          <w:u w:val="single"/>
        </w:rPr>
        <w:lastRenderedPageBreak/>
        <w:t>ANEXO I</w:t>
      </w:r>
    </w:p>
    <w:p w14:paraId="2225B964" w14:textId="77777777" w:rsidR="00A83CA6" w:rsidRDefault="00A83CA6" w:rsidP="00E97222">
      <w:pPr>
        <w:tabs>
          <w:tab w:val="num" w:pos="0"/>
        </w:tabs>
        <w:spacing w:line="300" w:lineRule="exact"/>
        <w:jc w:val="both"/>
        <w:rPr>
          <w:sz w:val="22"/>
          <w:szCs w:val="22"/>
          <w:shd w:val="clear" w:color="auto" w:fill="FFFFFF"/>
        </w:rPr>
      </w:pPr>
    </w:p>
    <w:p w14:paraId="1C460134" w14:textId="77777777" w:rsidR="00666A0C" w:rsidRDefault="00666A0C" w:rsidP="00E97222">
      <w:pPr>
        <w:tabs>
          <w:tab w:val="num" w:pos="0"/>
        </w:tabs>
        <w:spacing w:line="300" w:lineRule="exact"/>
        <w:jc w:val="both"/>
        <w:rPr>
          <w:sz w:val="22"/>
          <w:szCs w:val="22"/>
          <w:shd w:val="clear" w:color="auto" w:fill="FFFFFF"/>
        </w:rPr>
      </w:pPr>
    </w:p>
    <w:p w14:paraId="4BA2EC79" w14:textId="77777777" w:rsidR="00FB0047" w:rsidRDefault="00FB0047" w:rsidP="0017480E">
      <w:pPr>
        <w:jc w:val="center"/>
        <w:rPr>
          <w:rFonts w:ascii="Verdana" w:hAnsi="Verdana"/>
          <w:b/>
          <w:bCs/>
          <w:sz w:val="18"/>
          <w:szCs w:val="18"/>
          <w:u w:val="single"/>
        </w:rPr>
      </w:pPr>
      <w:r>
        <w:rPr>
          <w:rFonts w:ascii="Verdana" w:hAnsi="Verdana"/>
          <w:b/>
          <w:bCs/>
          <w:sz w:val="18"/>
          <w:szCs w:val="18"/>
          <w:u w:val="single"/>
        </w:rPr>
        <w:t>Tabela A -</w:t>
      </w:r>
      <w:r w:rsidR="00666A0C">
        <w:rPr>
          <w:rFonts w:ascii="Verdana" w:hAnsi="Verdana"/>
          <w:b/>
          <w:bCs/>
          <w:sz w:val="18"/>
          <w:szCs w:val="18"/>
          <w:u w:val="single"/>
        </w:rPr>
        <w:t>D</w:t>
      </w:r>
      <w:r w:rsidR="00666A0C" w:rsidRPr="00D43EBB">
        <w:rPr>
          <w:rFonts w:ascii="Verdana" w:hAnsi="Verdana"/>
          <w:b/>
          <w:bCs/>
          <w:sz w:val="18"/>
          <w:szCs w:val="18"/>
          <w:u w:val="single"/>
        </w:rPr>
        <w:t xml:space="preserve">estinação dos recursos </w:t>
      </w:r>
      <w:r w:rsidR="009D791C">
        <w:rPr>
          <w:rFonts w:ascii="Verdana" w:hAnsi="Verdana"/>
          <w:b/>
          <w:bCs/>
          <w:sz w:val="18"/>
          <w:szCs w:val="18"/>
          <w:u w:val="single"/>
        </w:rPr>
        <w:t xml:space="preserve">devidos decorrentes </w:t>
      </w:r>
    </w:p>
    <w:p w14:paraId="44A8F37E" w14:textId="4456AF7B" w:rsidR="00666A0C" w:rsidRPr="00D43EBB" w:rsidRDefault="009D791C" w:rsidP="0017480E">
      <w:pPr>
        <w:jc w:val="center"/>
        <w:rPr>
          <w:rFonts w:ascii="Verdana" w:hAnsi="Verdana"/>
          <w:b/>
          <w:bCs/>
          <w:sz w:val="18"/>
          <w:szCs w:val="18"/>
          <w:u w:val="single"/>
        </w:rPr>
      </w:pPr>
      <w:proofErr w:type="gramStart"/>
      <w:r>
        <w:rPr>
          <w:rFonts w:ascii="Verdana" w:hAnsi="Verdana"/>
          <w:b/>
          <w:bCs/>
          <w:sz w:val="18"/>
          <w:szCs w:val="18"/>
          <w:u w:val="single"/>
        </w:rPr>
        <w:t>da</w:t>
      </w:r>
      <w:proofErr w:type="gramEnd"/>
      <w:r>
        <w:rPr>
          <w:rFonts w:ascii="Verdana" w:hAnsi="Verdana"/>
          <w:b/>
          <w:bCs/>
          <w:sz w:val="18"/>
          <w:szCs w:val="18"/>
          <w:u w:val="single"/>
        </w:rPr>
        <w:t xml:space="preserve"> Distribuição Braskem 2018</w:t>
      </w:r>
    </w:p>
    <w:p w14:paraId="20920D2E" w14:textId="77777777" w:rsidR="00666A0C" w:rsidRDefault="00666A0C" w:rsidP="00666A0C">
      <w:pPr>
        <w:tabs>
          <w:tab w:val="num" w:pos="0"/>
        </w:tabs>
        <w:spacing w:line="300" w:lineRule="exact"/>
        <w:jc w:val="both"/>
        <w:rPr>
          <w:rFonts w:ascii="Verdana" w:hAnsi="Verdana"/>
          <w:sz w:val="18"/>
          <w:szCs w:val="18"/>
          <w:shd w:val="clear" w:color="auto" w:fill="FFFFFF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"/>
        <w:gridCol w:w="5150"/>
        <w:gridCol w:w="1419"/>
        <w:gridCol w:w="1547"/>
      </w:tblGrid>
      <w:tr w:rsidR="000B2C3C" w:rsidRPr="00463770" w14:paraId="45558C1C" w14:textId="6BCB5D02" w:rsidTr="003C0E70">
        <w:trPr>
          <w:trHeight w:val="315"/>
        </w:trPr>
        <w:tc>
          <w:tcPr>
            <w:tcW w:w="217" w:type="pct"/>
            <w:tcBorders>
              <w:top w:val="single" w:sz="8" w:space="0" w:color="666666"/>
              <w:left w:val="single" w:sz="8" w:space="0" w:color="666666"/>
              <w:bottom w:val="single" w:sz="12" w:space="0" w:color="666666"/>
              <w:right w:val="single" w:sz="8" w:space="0" w:color="666666"/>
            </w:tcBorders>
            <w:shd w:val="pct25" w:color="auto" w:fill="auto"/>
          </w:tcPr>
          <w:p w14:paraId="3B19DCD6" w14:textId="77777777" w:rsidR="000B2C3C" w:rsidRPr="00463770" w:rsidRDefault="000B2C3C" w:rsidP="00123312">
            <w:pPr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35" w:type="pct"/>
            <w:tcBorders>
              <w:top w:val="single" w:sz="8" w:space="0" w:color="666666"/>
              <w:left w:val="single" w:sz="8" w:space="0" w:color="666666"/>
              <w:bottom w:val="single" w:sz="12" w:space="0" w:color="666666"/>
              <w:right w:val="single" w:sz="8" w:space="0" w:color="666666"/>
            </w:tcBorders>
            <w:shd w:val="pct25" w:color="auto" w:fill="auto"/>
            <w:vAlign w:val="center"/>
            <w:hideMark/>
          </w:tcPr>
          <w:p w14:paraId="6A39DB07" w14:textId="77777777" w:rsidR="000B2C3C" w:rsidRPr="00463770" w:rsidRDefault="000B2C3C" w:rsidP="00123312">
            <w:pPr>
              <w:jc w:val="both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463770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Descrição da Utilização de Recursos da Distribuição Braskem 2018 </w:t>
            </w:r>
          </w:p>
        </w:tc>
        <w:tc>
          <w:tcPr>
            <w:tcW w:w="836" w:type="pct"/>
            <w:tcBorders>
              <w:top w:val="single" w:sz="8" w:space="0" w:color="666666"/>
              <w:left w:val="nil"/>
              <w:bottom w:val="single" w:sz="12" w:space="0" w:color="666666"/>
              <w:right w:val="single" w:sz="8" w:space="0" w:color="666666"/>
            </w:tcBorders>
            <w:shd w:val="pct25" w:color="auto" w:fill="auto"/>
            <w:vAlign w:val="center"/>
            <w:hideMark/>
          </w:tcPr>
          <w:p w14:paraId="48948651" w14:textId="205AECF2" w:rsidR="000B2C3C" w:rsidRDefault="000B2C3C" w:rsidP="00123312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463770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Valor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3C0E70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a ser utilizado em 2019 </w:t>
            </w:r>
          </w:p>
          <w:p w14:paraId="04F1A50D" w14:textId="5B40CD3D" w:rsidR="000B2C3C" w:rsidRPr="00463770" w:rsidRDefault="000B2C3C" w:rsidP="003C0E70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(</w:t>
            </w:r>
            <w:proofErr w:type="gramStart"/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em</w:t>
            </w:r>
            <w:proofErr w:type="gramEnd"/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milhares de reais) </w:t>
            </w:r>
          </w:p>
        </w:tc>
        <w:tc>
          <w:tcPr>
            <w:tcW w:w="912" w:type="pct"/>
            <w:tcBorders>
              <w:top w:val="single" w:sz="8" w:space="0" w:color="666666"/>
              <w:left w:val="nil"/>
              <w:bottom w:val="single" w:sz="12" w:space="0" w:color="666666"/>
              <w:right w:val="single" w:sz="8" w:space="0" w:color="666666"/>
            </w:tcBorders>
            <w:shd w:val="pct25" w:color="auto" w:fill="auto"/>
          </w:tcPr>
          <w:p w14:paraId="2438040D" w14:textId="15963DA5" w:rsidR="000B2C3C" w:rsidRDefault="000B2C3C" w:rsidP="000B2C3C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463770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Valor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3C0E70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a ser utilizado em</w:t>
            </w:r>
            <w:r w:rsidR="003C0E70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2020</w:t>
            </w:r>
          </w:p>
          <w:p w14:paraId="73BC0897" w14:textId="3FC7A34E" w:rsidR="000B2C3C" w:rsidRPr="00463770" w:rsidRDefault="000B2C3C" w:rsidP="003C0E70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(</w:t>
            </w:r>
            <w:proofErr w:type="gramStart"/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em</w:t>
            </w:r>
            <w:proofErr w:type="gramEnd"/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milhares de reais) </w:t>
            </w:r>
          </w:p>
        </w:tc>
      </w:tr>
      <w:tr w:rsidR="000B2C3C" w:rsidRPr="00463770" w14:paraId="1DF0A199" w14:textId="0FA2743B" w:rsidTr="003C0E70">
        <w:trPr>
          <w:trHeight w:val="315"/>
        </w:trPr>
        <w:tc>
          <w:tcPr>
            <w:tcW w:w="217" w:type="pct"/>
            <w:tcBorders>
              <w:top w:val="single" w:sz="12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</w:tcPr>
          <w:p w14:paraId="7DECE456" w14:textId="77777777" w:rsidR="000B2C3C" w:rsidRPr="00463770" w:rsidRDefault="000B2C3C" w:rsidP="00123312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035" w:type="pct"/>
            <w:tcBorders>
              <w:top w:val="single" w:sz="12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14:paraId="0400B31A" w14:textId="77777777" w:rsidR="000B2C3C" w:rsidRPr="00463770" w:rsidRDefault="000B2C3C" w:rsidP="00123312">
            <w:pPr>
              <w:jc w:val="both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463770">
              <w:rPr>
                <w:rFonts w:ascii="Verdana" w:hAnsi="Verdana"/>
                <w:sz w:val="16"/>
                <w:szCs w:val="16"/>
              </w:rPr>
              <w:t>Amortização Parcial Antecipada Obrigatória das Debêntures</w:t>
            </w:r>
            <w:r w:rsidRPr="00463770">
              <w:rPr>
                <w:rStyle w:val="Refdenotaderodap"/>
                <w:rFonts w:ascii="Verdana" w:hAnsi="Verdana"/>
                <w:sz w:val="16"/>
                <w:szCs w:val="16"/>
              </w:rPr>
              <w:footnoteReference w:id="1"/>
            </w:r>
          </w:p>
        </w:tc>
        <w:tc>
          <w:tcPr>
            <w:tcW w:w="836" w:type="pct"/>
            <w:tcBorders>
              <w:top w:val="single" w:sz="12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14:paraId="29E3A9AA" w14:textId="77777777" w:rsidR="000B2C3C" w:rsidRPr="00463770" w:rsidRDefault="000B2C3C" w:rsidP="001233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63770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2" w:type="pct"/>
            <w:tcBorders>
              <w:top w:val="single" w:sz="12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</w:tcPr>
          <w:p w14:paraId="6651BA26" w14:textId="48B4EB5B" w:rsidR="000B2C3C" w:rsidRPr="00463770" w:rsidRDefault="000B2C3C" w:rsidP="00123312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--</w:t>
            </w:r>
          </w:p>
        </w:tc>
      </w:tr>
      <w:tr w:rsidR="000B2C3C" w:rsidRPr="00463770" w14:paraId="30DE4C54" w14:textId="685F1EEA" w:rsidTr="003C0E70">
        <w:trPr>
          <w:trHeight w:val="315"/>
        </w:trPr>
        <w:tc>
          <w:tcPr>
            <w:tcW w:w="217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</w:tcPr>
          <w:p w14:paraId="33741EF5" w14:textId="77777777" w:rsidR="000B2C3C" w:rsidRPr="00463770" w:rsidRDefault="000B2C3C" w:rsidP="00123312">
            <w:pPr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035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hideMark/>
          </w:tcPr>
          <w:p w14:paraId="08D47593" w14:textId="77777777" w:rsidR="000B2C3C" w:rsidRPr="000B2C3C" w:rsidRDefault="000B2C3C" w:rsidP="00123312">
            <w:pPr>
              <w:jc w:val="both"/>
              <w:rPr>
                <w:rFonts w:ascii="Verdana" w:hAnsi="Verdana"/>
                <w:color w:val="000000"/>
                <w:sz w:val="16"/>
                <w:highlight w:val="yellow"/>
              </w:rPr>
            </w:pPr>
            <w:r w:rsidRPr="000B2C3C">
              <w:rPr>
                <w:rFonts w:ascii="Verdana" w:hAnsi="Verdana"/>
                <w:bCs/>
                <w:color w:val="000000"/>
                <w:sz w:val="16"/>
                <w:szCs w:val="16"/>
                <w:highlight w:val="yellow"/>
              </w:rPr>
              <w:t>[Dívidas Itaú]</w:t>
            </w:r>
          </w:p>
        </w:tc>
        <w:tc>
          <w:tcPr>
            <w:tcW w:w="836" w:type="pct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hideMark/>
          </w:tcPr>
          <w:p w14:paraId="59AF3056" w14:textId="77777777" w:rsidR="000B2C3C" w:rsidRPr="00463770" w:rsidRDefault="000B2C3C" w:rsidP="001233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63770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[__]</w:t>
            </w:r>
          </w:p>
        </w:tc>
        <w:tc>
          <w:tcPr>
            <w:tcW w:w="912" w:type="pct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</w:tcPr>
          <w:p w14:paraId="2431F26B" w14:textId="5594B007" w:rsidR="000B2C3C" w:rsidRPr="00463770" w:rsidRDefault="000B2C3C" w:rsidP="00123312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--</w:t>
            </w:r>
          </w:p>
        </w:tc>
      </w:tr>
      <w:tr w:rsidR="000B2C3C" w:rsidRPr="00463770" w14:paraId="5AF960B6" w14:textId="2B2DAC91" w:rsidTr="003C0E70">
        <w:trPr>
          <w:trHeight w:val="315"/>
        </w:trPr>
        <w:tc>
          <w:tcPr>
            <w:tcW w:w="217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</w:tcPr>
          <w:p w14:paraId="5B22FA5F" w14:textId="77777777" w:rsidR="000B2C3C" w:rsidRPr="00463770" w:rsidRDefault="000B2C3C" w:rsidP="00123312">
            <w:pPr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035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hideMark/>
          </w:tcPr>
          <w:p w14:paraId="67EBEFC4" w14:textId="77777777" w:rsidR="000B2C3C" w:rsidRPr="000B2C3C" w:rsidRDefault="000B2C3C" w:rsidP="00123312">
            <w:pPr>
              <w:jc w:val="both"/>
              <w:rPr>
                <w:rFonts w:ascii="Verdana" w:hAnsi="Verdana"/>
                <w:color w:val="000000"/>
                <w:sz w:val="16"/>
                <w:highlight w:val="yellow"/>
              </w:rPr>
            </w:pPr>
            <w:r w:rsidRPr="000B2C3C">
              <w:rPr>
                <w:rFonts w:ascii="Verdana" w:hAnsi="Verdana"/>
                <w:bCs/>
                <w:color w:val="000000"/>
                <w:sz w:val="16"/>
                <w:szCs w:val="16"/>
                <w:highlight w:val="yellow"/>
              </w:rPr>
              <w:t>[Dívidas Bradesco]</w:t>
            </w:r>
          </w:p>
        </w:tc>
        <w:tc>
          <w:tcPr>
            <w:tcW w:w="836" w:type="pct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hideMark/>
          </w:tcPr>
          <w:p w14:paraId="615A2990" w14:textId="77777777" w:rsidR="000B2C3C" w:rsidRPr="00463770" w:rsidRDefault="000B2C3C" w:rsidP="001233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63770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[__]</w:t>
            </w:r>
          </w:p>
        </w:tc>
        <w:tc>
          <w:tcPr>
            <w:tcW w:w="912" w:type="pct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</w:tcPr>
          <w:p w14:paraId="12420B46" w14:textId="55585126" w:rsidR="000B2C3C" w:rsidRPr="00463770" w:rsidRDefault="000B2C3C" w:rsidP="00123312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--</w:t>
            </w:r>
          </w:p>
        </w:tc>
      </w:tr>
      <w:tr w:rsidR="000B2C3C" w:rsidRPr="00463770" w14:paraId="066E2854" w14:textId="0AB732AE" w:rsidTr="003C0E70">
        <w:trPr>
          <w:trHeight w:val="315"/>
        </w:trPr>
        <w:tc>
          <w:tcPr>
            <w:tcW w:w="217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</w:tcPr>
          <w:p w14:paraId="2C00196F" w14:textId="77777777" w:rsidR="000B2C3C" w:rsidRPr="00463770" w:rsidRDefault="000B2C3C" w:rsidP="00123312">
            <w:pPr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035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hideMark/>
          </w:tcPr>
          <w:p w14:paraId="1ADC7FB5" w14:textId="77777777" w:rsidR="000B2C3C" w:rsidRPr="000B2C3C" w:rsidRDefault="000B2C3C" w:rsidP="00123312">
            <w:pPr>
              <w:jc w:val="both"/>
              <w:rPr>
                <w:rFonts w:ascii="Verdana" w:hAnsi="Verdana"/>
                <w:color w:val="000000"/>
                <w:sz w:val="16"/>
                <w:highlight w:val="yellow"/>
              </w:rPr>
            </w:pPr>
            <w:r w:rsidRPr="000B2C3C">
              <w:rPr>
                <w:rFonts w:ascii="Verdana" w:hAnsi="Verdana"/>
                <w:bCs/>
                <w:color w:val="000000"/>
                <w:sz w:val="16"/>
                <w:szCs w:val="16"/>
                <w:highlight w:val="yellow"/>
              </w:rPr>
              <w:t>[Dívidas BB]</w:t>
            </w:r>
          </w:p>
        </w:tc>
        <w:tc>
          <w:tcPr>
            <w:tcW w:w="836" w:type="pct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hideMark/>
          </w:tcPr>
          <w:p w14:paraId="181C0811" w14:textId="77777777" w:rsidR="000B2C3C" w:rsidRPr="00463770" w:rsidRDefault="000B2C3C" w:rsidP="001233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63770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[__]</w:t>
            </w:r>
          </w:p>
        </w:tc>
        <w:tc>
          <w:tcPr>
            <w:tcW w:w="912" w:type="pct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</w:tcPr>
          <w:p w14:paraId="3120042B" w14:textId="3645E756" w:rsidR="000B2C3C" w:rsidRPr="00463770" w:rsidRDefault="000B2C3C" w:rsidP="00123312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--</w:t>
            </w:r>
          </w:p>
        </w:tc>
      </w:tr>
      <w:tr w:rsidR="000B2C3C" w:rsidRPr="00463770" w14:paraId="5E3E716F" w14:textId="344CBFFC" w:rsidTr="003C0E70">
        <w:trPr>
          <w:trHeight w:val="315"/>
        </w:trPr>
        <w:tc>
          <w:tcPr>
            <w:tcW w:w="217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</w:tcPr>
          <w:p w14:paraId="4B0DE22D" w14:textId="77777777" w:rsidR="000B2C3C" w:rsidRPr="00463770" w:rsidRDefault="000B2C3C" w:rsidP="00123312">
            <w:pPr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035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hideMark/>
          </w:tcPr>
          <w:p w14:paraId="6EAAB302" w14:textId="77777777" w:rsidR="000B2C3C" w:rsidRPr="000B2C3C" w:rsidRDefault="000B2C3C" w:rsidP="00123312">
            <w:pPr>
              <w:jc w:val="both"/>
              <w:rPr>
                <w:rFonts w:ascii="Verdana" w:hAnsi="Verdana"/>
                <w:color w:val="000000"/>
                <w:sz w:val="16"/>
                <w:highlight w:val="yellow"/>
              </w:rPr>
            </w:pPr>
            <w:r w:rsidRPr="000B2C3C">
              <w:rPr>
                <w:rFonts w:ascii="Verdana" w:hAnsi="Verdana"/>
                <w:bCs/>
                <w:color w:val="000000"/>
                <w:sz w:val="16"/>
                <w:szCs w:val="16"/>
                <w:highlight w:val="yellow"/>
              </w:rPr>
              <w:t>[Dívidas Santander]</w:t>
            </w:r>
          </w:p>
        </w:tc>
        <w:tc>
          <w:tcPr>
            <w:tcW w:w="836" w:type="pct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hideMark/>
          </w:tcPr>
          <w:p w14:paraId="25A24BB0" w14:textId="77777777" w:rsidR="000B2C3C" w:rsidRPr="00463770" w:rsidRDefault="000B2C3C" w:rsidP="001233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63770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[__]</w:t>
            </w:r>
          </w:p>
        </w:tc>
        <w:tc>
          <w:tcPr>
            <w:tcW w:w="912" w:type="pct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</w:tcPr>
          <w:p w14:paraId="7F6E02A1" w14:textId="1D90EEA0" w:rsidR="000B2C3C" w:rsidRPr="00463770" w:rsidRDefault="000B2C3C" w:rsidP="00123312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--</w:t>
            </w:r>
          </w:p>
        </w:tc>
      </w:tr>
      <w:tr w:rsidR="000B2C3C" w:rsidRPr="00463770" w14:paraId="4EBA8800" w14:textId="3A67E3C2" w:rsidTr="003C0E70">
        <w:trPr>
          <w:trHeight w:val="315"/>
        </w:trPr>
        <w:tc>
          <w:tcPr>
            <w:tcW w:w="217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</w:tcPr>
          <w:p w14:paraId="1C9288A4" w14:textId="77777777" w:rsidR="000B2C3C" w:rsidRPr="00463770" w:rsidRDefault="000B2C3C" w:rsidP="00123312">
            <w:pPr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035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hideMark/>
          </w:tcPr>
          <w:p w14:paraId="3C90C2D6" w14:textId="77777777" w:rsidR="000B2C3C" w:rsidRPr="000B2C3C" w:rsidRDefault="000B2C3C" w:rsidP="00123312">
            <w:pPr>
              <w:jc w:val="both"/>
              <w:rPr>
                <w:rFonts w:ascii="Verdana" w:hAnsi="Verdana"/>
                <w:color w:val="000000"/>
                <w:sz w:val="16"/>
                <w:highlight w:val="yellow"/>
              </w:rPr>
            </w:pPr>
            <w:r w:rsidRPr="000B2C3C">
              <w:rPr>
                <w:rFonts w:ascii="Verdana" w:hAnsi="Verdana"/>
                <w:bCs/>
                <w:color w:val="000000"/>
                <w:sz w:val="16"/>
                <w:szCs w:val="16"/>
                <w:highlight w:val="yellow"/>
              </w:rPr>
              <w:t>[Dívidas BNDES]</w:t>
            </w:r>
          </w:p>
        </w:tc>
        <w:tc>
          <w:tcPr>
            <w:tcW w:w="836" w:type="pct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hideMark/>
          </w:tcPr>
          <w:p w14:paraId="188F5B9E" w14:textId="77777777" w:rsidR="000B2C3C" w:rsidRPr="00463770" w:rsidRDefault="000B2C3C" w:rsidP="001233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63770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[__]</w:t>
            </w:r>
          </w:p>
        </w:tc>
        <w:tc>
          <w:tcPr>
            <w:tcW w:w="912" w:type="pct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</w:tcPr>
          <w:p w14:paraId="3E995A53" w14:textId="685A20BE" w:rsidR="000B2C3C" w:rsidRPr="00463770" w:rsidRDefault="000B2C3C" w:rsidP="00123312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--</w:t>
            </w:r>
          </w:p>
        </w:tc>
      </w:tr>
      <w:tr w:rsidR="000B2C3C" w:rsidRPr="00463770" w14:paraId="2BDBA964" w14:textId="1C2AFB9F" w:rsidTr="003C0E70">
        <w:trPr>
          <w:trHeight w:val="315"/>
        </w:trPr>
        <w:tc>
          <w:tcPr>
            <w:tcW w:w="217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</w:tcPr>
          <w:p w14:paraId="65004C67" w14:textId="77777777" w:rsidR="000B2C3C" w:rsidRPr="00463770" w:rsidRDefault="000B2C3C" w:rsidP="000B2C3C">
            <w:pPr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035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14:paraId="577FF48B" w14:textId="123F7485" w:rsidR="000B2C3C" w:rsidRPr="000B2C3C" w:rsidRDefault="000B2C3C" w:rsidP="000B2C3C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B2C3C">
              <w:rPr>
                <w:rFonts w:ascii="Verdana" w:hAnsi="Verdana"/>
                <w:sz w:val="16"/>
                <w:szCs w:val="16"/>
              </w:rPr>
              <w:t>OLI (Folha + Encargos)</w:t>
            </w:r>
            <w:bookmarkStart w:id="0" w:name="_GoBack"/>
            <w:bookmarkEnd w:id="0"/>
          </w:p>
        </w:tc>
        <w:tc>
          <w:tcPr>
            <w:tcW w:w="836" w:type="pct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14:paraId="62D54C44" w14:textId="5A74CBFD" w:rsidR="000B2C3C" w:rsidRPr="00463770" w:rsidRDefault="000B2C3C" w:rsidP="000B2C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B2C3C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912" w:type="pct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</w:tcPr>
          <w:p w14:paraId="3803B198" w14:textId="700A76C3" w:rsidR="000B2C3C" w:rsidRPr="000B2C3C" w:rsidRDefault="000B2C3C" w:rsidP="000B2C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B2C3C">
              <w:rPr>
                <w:rFonts w:ascii="Verdana" w:hAnsi="Verdana"/>
                <w:sz w:val="16"/>
                <w:szCs w:val="16"/>
              </w:rPr>
              <w:t>7</w:t>
            </w:r>
          </w:p>
        </w:tc>
      </w:tr>
      <w:tr w:rsidR="000B2C3C" w:rsidRPr="00463770" w14:paraId="69692B33" w14:textId="00C0DBDB" w:rsidTr="003C0E70">
        <w:trPr>
          <w:trHeight w:val="315"/>
        </w:trPr>
        <w:tc>
          <w:tcPr>
            <w:tcW w:w="217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</w:tcPr>
          <w:p w14:paraId="24FE2F41" w14:textId="77777777" w:rsidR="000B2C3C" w:rsidRPr="00463770" w:rsidRDefault="000B2C3C" w:rsidP="000B2C3C">
            <w:pPr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035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14:paraId="4667A6DB" w14:textId="5E910157" w:rsidR="000B2C3C" w:rsidRPr="000B2C3C" w:rsidRDefault="000B2C3C" w:rsidP="000B2C3C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B2C3C">
              <w:rPr>
                <w:rFonts w:ascii="Verdana" w:hAnsi="Verdana"/>
                <w:sz w:val="16"/>
                <w:szCs w:val="16"/>
              </w:rPr>
              <w:t>OEP (Impostos - PIS/COFINS)</w:t>
            </w:r>
          </w:p>
        </w:tc>
        <w:tc>
          <w:tcPr>
            <w:tcW w:w="836" w:type="pct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14:paraId="1178FC06" w14:textId="3E887E99" w:rsidR="000B2C3C" w:rsidRPr="00463770" w:rsidRDefault="000B2C3C" w:rsidP="000B2C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B2C3C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912" w:type="pct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</w:tcPr>
          <w:p w14:paraId="01BF068D" w14:textId="381758D0" w:rsidR="000B2C3C" w:rsidRPr="000B2C3C" w:rsidRDefault="000B2C3C" w:rsidP="000B2C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B2C3C">
              <w:rPr>
                <w:rFonts w:ascii="Verdana" w:hAnsi="Verdana"/>
                <w:sz w:val="16"/>
                <w:szCs w:val="16"/>
              </w:rPr>
              <w:t>3</w:t>
            </w:r>
          </w:p>
        </w:tc>
      </w:tr>
      <w:tr w:rsidR="000B2C3C" w:rsidRPr="00463770" w14:paraId="30D0FD3D" w14:textId="186B0639" w:rsidTr="003C0E70">
        <w:trPr>
          <w:trHeight w:val="315"/>
        </w:trPr>
        <w:tc>
          <w:tcPr>
            <w:tcW w:w="217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</w:tcPr>
          <w:p w14:paraId="02AB2623" w14:textId="77777777" w:rsidR="000B2C3C" w:rsidRPr="00463770" w:rsidRDefault="000B2C3C" w:rsidP="000B2C3C">
            <w:pPr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035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14:paraId="7AE2C1B0" w14:textId="556F4BD7" w:rsidR="000B2C3C" w:rsidRPr="000B2C3C" w:rsidRDefault="000B2C3C" w:rsidP="000B2C3C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B2C3C">
              <w:rPr>
                <w:rFonts w:ascii="Verdana" w:hAnsi="Verdana"/>
                <w:sz w:val="16"/>
                <w:szCs w:val="16"/>
              </w:rPr>
              <w:t xml:space="preserve">Fundação ODB (Folha + </w:t>
            </w:r>
            <w:proofErr w:type="spellStart"/>
            <w:r w:rsidRPr="000B2C3C">
              <w:rPr>
                <w:rFonts w:ascii="Verdana" w:hAnsi="Verdana"/>
                <w:sz w:val="16"/>
                <w:szCs w:val="16"/>
              </w:rPr>
              <w:t>Serv</w:t>
            </w:r>
            <w:proofErr w:type="spellEnd"/>
            <w:r w:rsidRPr="000B2C3C">
              <w:rPr>
                <w:rFonts w:ascii="Verdana" w:hAnsi="Verdana"/>
                <w:sz w:val="16"/>
                <w:szCs w:val="16"/>
              </w:rPr>
              <w:t xml:space="preserve"> Terceiros)</w:t>
            </w:r>
          </w:p>
        </w:tc>
        <w:tc>
          <w:tcPr>
            <w:tcW w:w="836" w:type="pct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14:paraId="682D66E3" w14:textId="2586E90A" w:rsidR="000B2C3C" w:rsidRPr="00463770" w:rsidRDefault="000B2C3C" w:rsidP="000B2C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B2C3C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912" w:type="pct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</w:tcPr>
          <w:p w14:paraId="5CDA841E" w14:textId="3A1E23C3" w:rsidR="000B2C3C" w:rsidRPr="000B2C3C" w:rsidRDefault="000B2C3C" w:rsidP="000B2C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B2C3C">
              <w:rPr>
                <w:rFonts w:ascii="Verdana" w:hAnsi="Verdana"/>
                <w:sz w:val="16"/>
                <w:szCs w:val="16"/>
              </w:rPr>
              <w:t>3</w:t>
            </w:r>
          </w:p>
        </w:tc>
      </w:tr>
      <w:tr w:rsidR="000B2C3C" w:rsidRPr="00463770" w14:paraId="64B6BDC5" w14:textId="460B686C" w:rsidTr="003C0E70">
        <w:trPr>
          <w:trHeight w:val="315"/>
        </w:trPr>
        <w:tc>
          <w:tcPr>
            <w:tcW w:w="217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14:paraId="5C8FE0C7" w14:textId="77777777" w:rsidR="000B2C3C" w:rsidRPr="00463770" w:rsidRDefault="000B2C3C" w:rsidP="000B2C3C">
            <w:pPr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035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14:paraId="16AF2769" w14:textId="5C7B0475" w:rsidR="000B2C3C" w:rsidRPr="000B2C3C" w:rsidRDefault="000B2C3C" w:rsidP="000B2C3C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B2C3C">
              <w:rPr>
                <w:rFonts w:ascii="Verdana" w:hAnsi="Verdana"/>
                <w:sz w:val="16"/>
                <w:szCs w:val="16"/>
              </w:rPr>
              <w:t>Demais Negócios</w:t>
            </w:r>
            <w:r>
              <w:rPr>
                <w:rFonts w:ascii="Verdana" w:hAnsi="Verdana"/>
                <w:sz w:val="16"/>
                <w:szCs w:val="16"/>
              </w:rPr>
              <w:t>*</w:t>
            </w:r>
          </w:p>
        </w:tc>
        <w:tc>
          <w:tcPr>
            <w:tcW w:w="836" w:type="pct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14:paraId="588796F3" w14:textId="75F0B6FC" w:rsidR="000B2C3C" w:rsidRPr="00463770" w:rsidRDefault="000B2C3C" w:rsidP="000B2C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B2C3C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912" w:type="pct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vAlign w:val="center"/>
          </w:tcPr>
          <w:p w14:paraId="3EB1E095" w14:textId="2CC411ED" w:rsidR="000B2C3C" w:rsidRPr="000B2C3C" w:rsidRDefault="000B2C3C" w:rsidP="000B2C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B2C3C"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0B2C3C" w:rsidRPr="00463770" w14:paraId="35394142" w14:textId="77777777" w:rsidTr="003C0E70">
        <w:trPr>
          <w:trHeight w:val="315"/>
        </w:trPr>
        <w:tc>
          <w:tcPr>
            <w:tcW w:w="217" w:type="pct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14:paraId="3970990B" w14:textId="10A6C9FB" w:rsidR="000B2C3C" w:rsidRDefault="000B2C3C" w:rsidP="000B2C3C">
            <w:pPr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11 </w:t>
            </w:r>
          </w:p>
        </w:tc>
        <w:tc>
          <w:tcPr>
            <w:tcW w:w="3035" w:type="pct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</w:tcPr>
          <w:p w14:paraId="2FAC0806" w14:textId="7666F2D0" w:rsidR="000B2C3C" w:rsidRPr="000B2C3C" w:rsidRDefault="000B2C3C" w:rsidP="000B2C3C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B2C3C">
              <w:rPr>
                <w:rFonts w:ascii="Verdana" w:hAnsi="Verdana"/>
                <w:sz w:val="16"/>
                <w:szCs w:val="16"/>
              </w:rPr>
              <w:t>Folha de Pagamento + Encargos</w:t>
            </w:r>
            <w:r>
              <w:rPr>
                <w:rFonts w:ascii="Verdana" w:hAnsi="Verdana"/>
                <w:sz w:val="16"/>
                <w:szCs w:val="16"/>
              </w:rPr>
              <w:t>*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</w:tcPr>
          <w:p w14:paraId="75BC9D87" w14:textId="1C4E9E16" w:rsidR="000B2C3C" w:rsidRPr="000B2C3C" w:rsidRDefault="000B2C3C" w:rsidP="000B2C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B2C3C">
              <w:rPr>
                <w:rFonts w:ascii="Verdana" w:hAnsi="Verdana"/>
                <w:sz w:val="16"/>
                <w:szCs w:val="16"/>
              </w:rPr>
              <w:t>66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vAlign w:val="center"/>
          </w:tcPr>
          <w:p w14:paraId="5FF42B98" w14:textId="5D5B6283" w:rsidR="000B2C3C" w:rsidRPr="000B2C3C" w:rsidRDefault="000B2C3C" w:rsidP="000B2C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B2C3C">
              <w:rPr>
                <w:rFonts w:ascii="Verdana" w:hAnsi="Verdana"/>
                <w:sz w:val="16"/>
                <w:szCs w:val="16"/>
              </w:rPr>
              <w:t>30</w:t>
            </w:r>
          </w:p>
        </w:tc>
      </w:tr>
      <w:tr w:rsidR="000B2C3C" w:rsidRPr="00463770" w14:paraId="7664C5DA" w14:textId="77777777" w:rsidTr="003C0E70">
        <w:trPr>
          <w:trHeight w:val="315"/>
        </w:trPr>
        <w:tc>
          <w:tcPr>
            <w:tcW w:w="217" w:type="pct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14:paraId="7C43DF48" w14:textId="699F6072" w:rsidR="000B2C3C" w:rsidRDefault="000B2C3C" w:rsidP="000B2C3C">
            <w:pPr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12 </w:t>
            </w:r>
          </w:p>
        </w:tc>
        <w:tc>
          <w:tcPr>
            <w:tcW w:w="3035" w:type="pct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</w:tcPr>
          <w:p w14:paraId="52D9CC75" w14:textId="667E0E7F" w:rsidR="000B2C3C" w:rsidRPr="000B2C3C" w:rsidRDefault="000B2C3C" w:rsidP="000B2C3C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B2C3C">
              <w:rPr>
                <w:rFonts w:ascii="Verdana" w:hAnsi="Verdana"/>
                <w:sz w:val="16"/>
                <w:szCs w:val="16"/>
              </w:rPr>
              <w:t>Monitores/Conformidade/Governança</w:t>
            </w:r>
            <w:r>
              <w:rPr>
                <w:rFonts w:ascii="Verdana" w:hAnsi="Verdana"/>
                <w:sz w:val="16"/>
                <w:szCs w:val="16"/>
              </w:rPr>
              <w:t>*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</w:tcPr>
          <w:p w14:paraId="088595B9" w14:textId="7AF3E70A" w:rsidR="000B2C3C" w:rsidRPr="000B2C3C" w:rsidRDefault="000B2C3C" w:rsidP="000B2C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B2C3C">
              <w:rPr>
                <w:rFonts w:ascii="Verdana" w:hAnsi="Verdana"/>
                <w:sz w:val="16"/>
                <w:szCs w:val="16"/>
              </w:rPr>
              <w:t>67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vAlign w:val="center"/>
          </w:tcPr>
          <w:p w14:paraId="07CD9F4B" w14:textId="724912C4" w:rsidR="000B2C3C" w:rsidRPr="000B2C3C" w:rsidRDefault="000B2C3C" w:rsidP="000B2C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B2C3C">
              <w:rPr>
                <w:rFonts w:ascii="Verdana" w:hAnsi="Verdana"/>
                <w:sz w:val="16"/>
                <w:szCs w:val="16"/>
              </w:rPr>
              <w:t>30</w:t>
            </w:r>
          </w:p>
        </w:tc>
      </w:tr>
      <w:tr w:rsidR="000B2C3C" w:rsidRPr="00463770" w14:paraId="36C2BDFB" w14:textId="77777777" w:rsidTr="003C0E70">
        <w:trPr>
          <w:trHeight w:val="315"/>
        </w:trPr>
        <w:tc>
          <w:tcPr>
            <w:tcW w:w="217" w:type="pct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14:paraId="76A83345" w14:textId="2243F372" w:rsidR="000B2C3C" w:rsidRDefault="000B2C3C" w:rsidP="000B2C3C">
            <w:pPr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13 </w:t>
            </w:r>
          </w:p>
        </w:tc>
        <w:tc>
          <w:tcPr>
            <w:tcW w:w="3035" w:type="pct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</w:tcPr>
          <w:p w14:paraId="2DC3E790" w14:textId="0CFEFE93" w:rsidR="000B2C3C" w:rsidRPr="000B2C3C" w:rsidRDefault="000B2C3C" w:rsidP="000B2C3C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B2C3C">
              <w:rPr>
                <w:rFonts w:ascii="Verdana" w:hAnsi="Verdana"/>
                <w:sz w:val="16"/>
                <w:szCs w:val="16"/>
              </w:rPr>
              <w:t>Serviços de Terceiros</w:t>
            </w:r>
            <w:r>
              <w:rPr>
                <w:rFonts w:ascii="Verdana" w:hAnsi="Verdana"/>
                <w:sz w:val="16"/>
                <w:szCs w:val="16"/>
              </w:rPr>
              <w:t>*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</w:tcPr>
          <w:p w14:paraId="4F973EC7" w14:textId="0B05BD87" w:rsidR="000B2C3C" w:rsidRPr="000B2C3C" w:rsidRDefault="000B2C3C" w:rsidP="000B2C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B2C3C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vAlign w:val="center"/>
          </w:tcPr>
          <w:p w14:paraId="78502C5C" w14:textId="0CEF1B50" w:rsidR="000B2C3C" w:rsidRPr="000B2C3C" w:rsidRDefault="000B2C3C" w:rsidP="000B2C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B2C3C">
              <w:rPr>
                <w:rFonts w:ascii="Verdana" w:hAnsi="Verdana"/>
                <w:sz w:val="16"/>
                <w:szCs w:val="16"/>
              </w:rPr>
              <w:t>15</w:t>
            </w:r>
          </w:p>
        </w:tc>
      </w:tr>
      <w:tr w:rsidR="000B2C3C" w:rsidRPr="00463770" w14:paraId="6F23BDD7" w14:textId="77777777" w:rsidTr="003C0E70">
        <w:trPr>
          <w:trHeight w:val="315"/>
        </w:trPr>
        <w:tc>
          <w:tcPr>
            <w:tcW w:w="217" w:type="pct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14:paraId="3C631D1F" w14:textId="23DF23D3" w:rsidR="000B2C3C" w:rsidRDefault="000B2C3C" w:rsidP="000B2C3C">
            <w:pPr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14 </w:t>
            </w:r>
          </w:p>
        </w:tc>
        <w:tc>
          <w:tcPr>
            <w:tcW w:w="3035" w:type="pct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</w:tcPr>
          <w:p w14:paraId="41610BB3" w14:textId="2D78F81D" w:rsidR="000B2C3C" w:rsidRPr="000B2C3C" w:rsidRDefault="000B2C3C" w:rsidP="000B2C3C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B2C3C">
              <w:rPr>
                <w:rFonts w:ascii="Verdana" w:hAnsi="Verdana"/>
                <w:sz w:val="16"/>
                <w:szCs w:val="16"/>
              </w:rPr>
              <w:t>PERT Imposto ODB</w:t>
            </w:r>
            <w:r>
              <w:rPr>
                <w:rFonts w:ascii="Verdana" w:hAnsi="Verdana"/>
                <w:sz w:val="16"/>
                <w:szCs w:val="16"/>
              </w:rPr>
              <w:t>*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</w:tcPr>
          <w:p w14:paraId="430A98E9" w14:textId="42F97E05" w:rsidR="000B2C3C" w:rsidRPr="000B2C3C" w:rsidRDefault="000B2C3C" w:rsidP="000B2C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B2C3C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vAlign w:val="center"/>
          </w:tcPr>
          <w:p w14:paraId="0898F60B" w14:textId="0BEFEB64" w:rsidR="000B2C3C" w:rsidRPr="000B2C3C" w:rsidRDefault="000B2C3C" w:rsidP="000B2C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B2C3C">
              <w:rPr>
                <w:rFonts w:ascii="Verdana" w:hAnsi="Verdana"/>
                <w:sz w:val="16"/>
                <w:szCs w:val="16"/>
              </w:rPr>
              <w:t>--</w:t>
            </w:r>
          </w:p>
        </w:tc>
      </w:tr>
      <w:tr w:rsidR="000B2C3C" w:rsidRPr="00463770" w14:paraId="7C355DE2" w14:textId="77777777" w:rsidTr="003C0E70">
        <w:trPr>
          <w:trHeight w:val="315"/>
        </w:trPr>
        <w:tc>
          <w:tcPr>
            <w:tcW w:w="217" w:type="pct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14:paraId="1812244D" w14:textId="426E0D19" w:rsidR="000B2C3C" w:rsidRDefault="000B2C3C" w:rsidP="000B2C3C">
            <w:pPr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3035" w:type="pct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</w:tcPr>
          <w:p w14:paraId="0B075293" w14:textId="14D3388B" w:rsidR="000B2C3C" w:rsidRPr="000B2C3C" w:rsidRDefault="000B2C3C" w:rsidP="000B2C3C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B2C3C">
              <w:rPr>
                <w:rFonts w:ascii="Verdana" w:hAnsi="Verdana"/>
                <w:sz w:val="16"/>
                <w:szCs w:val="16"/>
              </w:rPr>
              <w:t>Demais Despesas</w:t>
            </w:r>
            <w:r>
              <w:rPr>
                <w:rFonts w:ascii="Verdana" w:hAnsi="Verdana"/>
                <w:sz w:val="16"/>
                <w:szCs w:val="16"/>
              </w:rPr>
              <w:t>*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</w:tcPr>
          <w:p w14:paraId="32F79883" w14:textId="3D4F065C" w:rsidR="000B2C3C" w:rsidRPr="000B2C3C" w:rsidRDefault="000B2C3C" w:rsidP="000B2C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B2C3C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vAlign w:val="center"/>
          </w:tcPr>
          <w:p w14:paraId="5FA29B86" w14:textId="5BA0D252" w:rsidR="000B2C3C" w:rsidRPr="000B2C3C" w:rsidRDefault="000B2C3C" w:rsidP="000B2C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B2C3C">
              <w:rPr>
                <w:rFonts w:ascii="Verdana" w:hAnsi="Verdana"/>
                <w:sz w:val="16"/>
                <w:szCs w:val="16"/>
              </w:rPr>
              <w:t>44</w:t>
            </w:r>
          </w:p>
        </w:tc>
      </w:tr>
      <w:tr w:rsidR="000B2C3C" w:rsidRPr="00463770" w14:paraId="5232715E" w14:textId="77777777" w:rsidTr="003C0E70">
        <w:trPr>
          <w:trHeight w:val="315"/>
        </w:trPr>
        <w:tc>
          <w:tcPr>
            <w:tcW w:w="217" w:type="pct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14:paraId="7A3C5BBD" w14:textId="12F961CF" w:rsidR="000B2C3C" w:rsidRDefault="000B2C3C" w:rsidP="000B2C3C">
            <w:pPr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035" w:type="pct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</w:tcPr>
          <w:p w14:paraId="78985413" w14:textId="062CF555" w:rsidR="000B2C3C" w:rsidRPr="000B2C3C" w:rsidRDefault="000B2C3C" w:rsidP="000B2C3C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B2C3C">
              <w:rPr>
                <w:rFonts w:ascii="Verdana" w:hAnsi="Verdana"/>
                <w:sz w:val="16"/>
                <w:szCs w:val="16"/>
              </w:rPr>
              <w:t>[--]</w:t>
            </w:r>
            <w:r>
              <w:rPr>
                <w:rFonts w:ascii="Verdana" w:hAnsi="Verdana"/>
                <w:sz w:val="16"/>
                <w:szCs w:val="16"/>
              </w:rPr>
              <w:t>*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</w:tcPr>
          <w:p w14:paraId="06DE44D5" w14:textId="3F0FA553" w:rsidR="000B2C3C" w:rsidRPr="000B2C3C" w:rsidRDefault="000B2C3C" w:rsidP="000B2C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B2C3C">
              <w:rPr>
                <w:rFonts w:ascii="Verdana" w:hAnsi="Verdana"/>
                <w:sz w:val="16"/>
                <w:szCs w:val="16"/>
              </w:rPr>
              <w:t>[--]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vAlign w:val="center"/>
          </w:tcPr>
          <w:p w14:paraId="18035076" w14:textId="56462F9A" w:rsidR="000B2C3C" w:rsidRPr="000B2C3C" w:rsidRDefault="000B2C3C" w:rsidP="000B2C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B2C3C">
              <w:rPr>
                <w:rFonts w:ascii="Verdana" w:hAnsi="Verdana"/>
                <w:sz w:val="16"/>
                <w:szCs w:val="16"/>
              </w:rPr>
              <w:t>[--]</w:t>
            </w:r>
          </w:p>
        </w:tc>
      </w:tr>
      <w:tr w:rsidR="000B2C3C" w:rsidRPr="00463770" w14:paraId="03F20FCB" w14:textId="49019CCE" w:rsidTr="003C0E70">
        <w:trPr>
          <w:trHeight w:val="315"/>
        </w:trPr>
        <w:tc>
          <w:tcPr>
            <w:tcW w:w="217" w:type="pct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BFBFBF" w:themeFill="background1" w:themeFillShade="BF"/>
          </w:tcPr>
          <w:p w14:paraId="519B1212" w14:textId="77777777" w:rsidR="000B2C3C" w:rsidRPr="00463770" w:rsidRDefault="000B2C3C" w:rsidP="00123312">
            <w:pPr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35" w:type="pct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BFBFBF" w:themeFill="background1" w:themeFillShade="BF"/>
            <w:vAlign w:val="center"/>
            <w:hideMark/>
          </w:tcPr>
          <w:p w14:paraId="45111EC5" w14:textId="77777777" w:rsidR="000B2C3C" w:rsidRPr="00463770" w:rsidRDefault="000B2C3C" w:rsidP="00123312">
            <w:pPr>
              <w:jc w:val="both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463770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BFBFBF" w:themeFill="background1" w:themeFillShade="BF"/>
            <w:vAlign w:val="center"/>
            <w:hideMark/>
          </w:tcPr>
          <w:p w14:paraId="3CD64A6D" w14:textId="1FB3A10A" w:rsidR="000B2C3C" w:rsidRPr="008B39DE" w:rsidRDefault="008B39DE" w:rsidP="0012331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B39DE">
              <w:rPr>
                <w:rFonts w:ascii="Verdana" w:hAnsi="Verdana"/>
                <w:b/>
                <w:sz w:val="16"/>
                <w:szCs w:val="16"/>
              </w:rPr>
              <w:t>[--]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BFBFBF" w:themeFill="background1" w:themeFillShade="BF"/>
          </w:tcPr>
          <w:p w14:paraId="5DE95B28" w14:textId="4935BCB2" w:rsidR="000B2C3C" w:rsidRPr="008B39DE" w:rsidRDefault="008B39DE" w:rsidP="00123312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8B39DE">
              <w:rPr>
                <w:rFonts w:ascii="Verdana" w:hAnsi="Verdana"/>
                <w:b/>
                <w:sz w:val="16"/>
                <w:szCs w:val="16"/>
              </w:rPr>
              <w:t>[--]</w:t>
            </w:r>
          </w:p>
        </w:tc>
      </w:tr>
    </w:tbl>
    <w:p w14:paraId="7B5588FC" w14:textId="77777777" w:rsidR="000B2C3C" w:rsidRDefault="000B2C3C" w:rsidP="00D1575C">
      <w:pPr>
        <w:tabs>
          <w:tab w:val="num" w:pos="0"/>
        </w:tabs>
        <w:spacing w:line="300" w:lineRule="exact"/>
        <w:jc w:val="both"/>
        <w:rPr>
          <w:rFonts w:ascii="Verdana" w:hAnsi="Verdana"/>
          <w:b/>
          <w:bCs/>
          <w:color w:val="000000"/>
          <w:sz w:val="20"/>
        </w:rPr>
      </w:pPr>
    </w:p>
    <w:p w14:paraId="4675DB72" w14:textId="45993BBE" w:rsidR="00D1575C" w:rsidRPr="00D43EBB" w:rsidRDefault="00D1575C" w:rsidP="00D1575C">
      <w:pPr>
        <w:tabs>
          <w:tab w:val="num" w:pos="0"/>
        </w:tabs>
        <w:spacing w:line="300" w:lineRule="exact"/>
        <w:jc w:val="both"/>
        <w:rPr>
          <w:rFonts w:ascii="Verdana" w:hAnsi="Verdana"/>
          <w:sz w:val="18"/>
          <w:szCs w:val="18"/>
          <w:shd w:val="clear" w:color="auto" w:fill="FFFFFF"/>
        </w:rPr>
      </w:pPr>
      <w:r>
        <w:rPr>
          <w:rFonts w:ascii="Verdana" w:hAnsi="Verdana"/>
          <w:sz w:val="18"/>
          <w:szCs w:val="18"/>
          <w:shd w:val="clear" w:color="auto" w:fill="FFFFFF"/>
        </w:rPr>
        <w:t>Destaca-se que</w:t>
      </w:r>
      <w:r w:rsidR="00416A30">
        <w:rPr>
          <w:rFonts w:ascii="Verdana" w:hAnsi="Verdana"/>
          <w:sz w:val="18"/>
          <w:szCs w:val="18"/>
          <w:shd w:val="clear" w:color="auto" w:fill="FFFFFF"/>
        </w:rPr>
        <w:t>, exclusivamente com relação aos itens marcados em (*) na tabela acima,</w:t>
      </w:r>
      <w:r>
        <w:rPr>
          <w:rFonts w:ascii="Verdana" w:hAnsi="Verdana"/>
          <w:sz w:val="18"/>
          <w:szCs w:val="18"/>
          <w:shd w:val="clear" w:color="auto" w:fill="FFFFFF"/>
        </w:rPr>
        <w:t xml:space="preserve"> a Compa</w:t>
      </w:r>
      <w:r w:rsidR="00BB0718">
        <w:rPr>
          <w:rFonts w:ascii="Verdana" w:hAnsi="Verdana"/>
          <w:sz w:val="18"/>
          <w:szCs w:val="18"/>
          <w:shd w:val="clear" w:color="auto" w:fill="FFFFFF"/>
        </w:rPr>
        <w:t xml:space="preserve">nhia dispõe de flexibilidade para utilizar até </w:t>
      </w:r>
      <w:r>
        <w:rPr>
          <w:rFonts w:ascii="Verdana" w:hAnsi="Verdana"/>
          <w:sz w:val="18"/>
          <w:szCs w:val="18"/>
          <w:shd w:val="clear" w:color="auto" w:fill="FFFFFF"/>
        </w:rPr>
        <w:t xml:space="preserve">20% </w:t>
      </w:r>
      <w:r w:rsidR="00BB0718">
        <w:rPr>
          <w:rFonts w:ascii="Verdana" w:hAnsi="Verdana"/>
          <w:sz w:val="18"/>
          <w:szCs w:val="18"/>
          <w:shd w:val="clear" w:color="auto" w:fill="FFFFFF"/>
        </w:rPr>
        <w:t xml:space="preserve">da soma de </w:t>
      </w:r>
      <w:r w:rsidR="00416A30">
        <w:rPr>
          <w:rFonts w:ascii="Verdana" w:hAnsi="Verdana"/>
          <w:sz w:val="18"/>
          <w:szCs w:val="18"/>
          <w:shd w:val="clear" w:color="auto" w:fill="FFFFFF"/>
        </w:rPr>
        <w:t xml:space="preserve">tais valores </w:t>
      </w:r>
      <w:r w:rsidR="00BB0718">
        <w:rPr>
          <w:rFonts w:ascii="Verdana" w:hAnsi="Verdana"/>
          <w:sz w:val="18"/>
          <w:szCs w:val="18"/>
          <w:shd w:val="clear" w:color="auto" w:fill="FFFFFF"/>
        </w:rPr>
        <w:t xml:space="preserve">de forma distinta </w:t>
      </w:r>
      <w:r w:rsidR="00416A30">
        <w:rPr>
          <w:rFonts w:ascii="Verdana" w:hAnsi="Verdana"/>
          <w:sz w:val="18"/>
          <w:szCs w:val="18"/>
          <w:shd w:val="clear" w:color="auto" w:fill="FFFFFF"/>
        </w:rPr>
        <w:t>do acima previsto.</w:t>
      </w:r>
      <w:r w:rsidR="00BB0718">
        <w:rPr>
          <w:rFonts w:ascii="Verdana" w:hAnsi="Verdana"/>
          <w:sz w:val="18"/>
          <w:szCs w:val="18"/>
          <w:shd w:val="clear" w:color="auto" w:fill="FFFFFF"/>
        </w:rPr>
        <w:t xml:space="preserve"> </w:t>
      </w:r>
    </w:p>
    <w:p w14:paraId="327086A5" w14:textId="77777777" w:rsidR="00D1575C" w:rsidRDefault="00D1575C" w:rsidP="00D1575C">
      <w:pPr>
        <w:tabs>
          <w:tab w:val="num" w:pos="0"/>
        </w:tabs>
        <w:spacing w:line="300" w:lineRule="exact"/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1ABF63DA" w14:textId="1302E9F1" w:rsidR="00416A30" w:rsidRDefault="00416A30" w:rsidP="00D1575C">
      <w:pPr>
        <w:tabs>
          <w:tab w:val="num" w:pos="0"/>
        </w:tabs>
        <w:spacing w:line="300" w:lineRule="exact"/>
        <w:jc w:val="both"/>
        <w:rPr>
          <w:rFonts w:ascii="Verdana" w:hAnsi="Verdana"/>
          <w:sz w:val="18"/>
          <w:szCs w:val="18"/>
          <w:shd w:val="clear" w:color="auto" w:fill="FFFFFF"/>
        </w:rPr>
      </w:pPr>
      <w:r>
        <w:rPr>
          <w:rFonts w:ascii="Verdana" w:hAnsi="Verdana"/>
          <w:sz w:val="18"/>
          <w:szCs w:val="18"/>
          <w:shd w:val="clear" w:color="auto" w:fill="FFFFFF"/>
        </w:rPr>
        <w:t>[</w:t>
      </w:r>
      <w:r w:rsidRPr="00B16DEC">
        <w:rPr>
          <w:rFonts w:ascii="Verdana" w:hAnsi="Verdana"/>
          <w:sz w:val="18"/>
          <w:szCs w:val="18"/>
          <w:highlight w:val="yellow"/>
          <w:shd w:val="clear" w:color="auto" w:fill="FFFFFF"/>
        </w:rPr>
        <w:t xml:space="preserve">Bancos e ODB: favor indicar na tabela acima a descrição das operações (e respectivos valores) onde serão utilizados/aportados os recursos objeto do </w:t>
      </w:r>
      <w:proofErr w:type="spellStart"/>
      <w:r w:rsidRPr="00B16DEC">
        <w:rPr>
          <w:rFonts w:ascii="Verdana" w:hAnsi="Verdana"/>
          <w:sz w:val="18"/>
          <w:szCs w:val="18"/>
          <w:highlight w:val="yellow"/>
          <w:shd w:val="clear" w:color="auto" w:fill="FFFFFF"/>
        </w:rPr>
        <w:t>waiver</w:t>
      </w:r>
      <w:proofErr w:type="spellEnd"/>
      <w:r>
        <w:rPr>
          <w:rFonts w:ascii="Verdana" w:hAnsi="Verdana"/>
          <w:sz w:val="18"/>
          <w:szCs w:val="18"/>
          <w:shd w:val="clear" w:color="auto" w:fill="FFFFFF"/>
        </w:rPr>
        <w:t xml:space="preserve">] </w:t>
      </w:r>
    </w:p>
    <w:p w14:paraId="2A1AF9C5" w14:textId="77777777" w:rsidR="008B39DE" w:rsidRDefault="008B39DE" w:rsidP="00D1575C">
      <w:pPr>
        <w:tabs>
          <w:tab w:val="num" w:pos="0"/>
        </w:tabs>
        <w:spacing w:line="300" w:lineRule="exact"/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051ABD1C" w14:textId="0A836C15" w:rsidR="008B39DE" w:rsidRPr="008B39DE" w:rsidRDefault="00FB0047" w:rsidP="008B39DE">
      <w:pPr>
        <w:jc w:val="center"/>
        <w:rPr>
          <w:rFonts w:ascii="Verdana" w:hAnsi="Verdana"/>
          <w:b/>
          <w:sz w:val="18"/>
          <w:szCs w:val="18"/>
          <w:u w:val="single"/>
          <w:shd w:val="clear" w:color="auto" w:fill="FFFFFF"/>
        </w:rPr>
      </w:pPr>
      <w:r>
        <w:rPr>
          <w:rFonts w:ascii="Verdana" w:hAnsi="Verdana"/>
          <w:b/>
          <w:sz w:val="18"/>
          <w:szCs w:val="18"/>
          <w:u w:val="single"/>
          <w:shd w:val="clear" w:color="auto" w:fill="FFFFFF"/>
        </w:rPr>
        <w:t xml:space="preserve">Tabela B- </w:t>
      </w:r>
      <w:r w:rsidR="008B39DE" w:rsidRPr="008B39DE">
        <w:rPr>
          <w:rFonts w:ascii="Verdana" w:hAnsi="Verdana"/>
          <w:b/>
          <w:sz w:val="18"/>
          <w:szCs w:val="18"/>
          <w:u w:val="single"/>
          <w:shd w:val="clear" w:color="auto" w:fill="FFFFFF"/>
        </w:rPr>
        <w:t>Contas Bancárias para depósito/transferência Distribuição Braskem 2018</w:t>
      </w:r>
    </w:p>
    <w:p w14:paraId="6DD57EFC" w14:textId="77777777" w:rsidR="008B39DE" w:rsidRDefault="008B39DE" w:rsidP="008B39DE">
      <w:pPr>
        <w:tabs>
          <w:tab w:val="num" w:pos="0"/>
        </w:tabs>
        <w:spacing w:line="300" w:lineRule="exact"/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692E1DAC" w14:textId="3F21488C" w:rsidR="008B39DE" w:rsidRDefault="008B39DE" w:rsidP="00D1575C">
      <w:pPr>
        <w:tabs>
          <w:tab w:val="num" w:pos="0"/>
        </w:tabs>
        <w:spacing w:line="300" w:lineRule="exact"/>
        <w:jc w:val="both"/>
        <w:rPr>
          <w:rFonts w:ascii="Verdana" w:hAnsi="Verdana"/>
          <w:sz w:val="18"/>
          <w:szCs w:val="18"/>
          <w:shd w:val="clear" w:color="auto" w:fill="FFFFFF"/>
        </w:rPr>
      </w:pPr>
      <w:proofErr w:type="gramStart"/>
      <w:r>
        <w:rPr>
          <w:rFonts w:ascii="Verdana" w:hAnsi="Verdana"/>
          <w:sz w:val="18"/>
          <w:szCs w:val="18"/>
          <w:shd w:val="clear" w:color="auto" w:fill="FFFFFF"/>
        </w:rPr>
        <w:t>Um vez</w:t>
      </w:r>
      <w:proofErr w:type="gramEnd"/>
      <w:r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/>
          <w:sz w:val="18"/>
          <w:szCs w:val="18"/>
        </w:rPr>
        <w:t>uma vez que os recursos da Distribuição Braskem 2018 acima indicados sejam depositados nas contas vinculadas previstas nas Escrituras, o Agente Fiduciário deverá, imediatamente, cursar as transações necessárias diretamente nas contas bancárias abaixo:</w:t>
      </w:r>
    </w:p>
    <w:p w14:paraId="29354DD1" w14:textId="77777777" w:rsidR="008B39DE" w:rsidRDefault="008B39DE" w:rsidP="00D1575C">
      <w:pPr>
        <w:tabs>
          <w:tab w:val="num" w:pos="0"/>
        </w:tabs>
        <w:spacing w:line="300" w:lineRule="exact"/>
        <w:jc w:val="both"/>
        <w:rPr>
          <w:rFonts w:ascii="Verdana" w:hAnsi="Verdana"/>
          <w:sz w:val="18"/>
          <w:szCs w:val="18"/>
          <w:shd w:val="clear" w:color="auto" w:fill="FFFFFF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"/>
        <w:gridCol w:w="3167"/>
        <w:gridCol w:w="2550"/>
        <w:gridCol w:w="2398"/>
      </w:tblGrid>
      <w:tr w:rsidR="008B39DE" w:rsidRPr="00463770" w14:paraId="754C2728" w14:textId="77777777" w:rsidTr="00FB0047">
        <w:trPr>
          <w:trHeight w:val="315"/>
        </w:trPr>
        <w:tc>
          <w:tcPr>
            <w:tcW w:w="217" w:type="pct"/>
            <w:tcBorders>
              <w:top w:val="single" w:sz="8" w:space="0" w:color="666666"/>
              <w:left w:val="single" w:sz="8" w:space="0" w:color="666666"/>
              <w:bottom w:val="single" w:sz="12" w:space="0" w:color="666666"/>
              <w:right w:val="single" w:sz="8" w:space="0" w:color="666666"/>
            </w:tcBorders>
            <w:shd w:val="pct25" w:color="auto" w:fill="auto"/>
          </w:tcPr>
          <w:p w14:paraId="2A3C004E" w14:textId="77777777" w:rsidR="008B39DE" w:rsidRPr="00463770" w:rsidRDefault="008B39DE" w:rsidP="00123312">
            <w:pPr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6" w:type="pct"/>
            <w:tcBorders>
              <w:top w:val="single" w:sz="8" w:space="0" w:color="666666"/>
              <w:left w:val="single" w:sz="8" w:space="0" w:color="666666"/>
              <w:bottom w:val="single" w:sz="12" w:space="0" w:color="666666"/>
              <w:right w:val="single" w:sz="8" w:space="0" w:color="666666"/>
            </w:tcBorders>
            <w:shd w:val="pct25" w:color="auto" w:fill="auto"/>
            <w:vAlign w:val="center"/>
            <w:hideMark/>
          </w:tcPr>
          <w:p w14:paraId="5AE47DA9" w14:textId="77777777" w:rsidR="008B39DE" w:rsidRPr="00463770" w:rsidRDefault="008B39DE" w:rsidP="00123312">
            <w:pPr>
              <w:jc w:val="both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463770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Descrição da Utilização de Recursos da Distribuição Braskem 2018 </w:t>
            </w:r>
          </w:p>
        </w:tc>
        <w:tc>
          <w:tcPr>
            <w:tcW w:w="1503" w:type="pct"/>
            <w:tcBorders>
              <w:top w:val="single" w:sz="8" w:space="0" w:color="666666"/>
              <w:left w:val="nil"/>
              <w:bottom w:val="single" w:sz="12" w:space="0" w:color="666666"/>
              <w:right w:val="single" w:sz="8" w:space="0" w:color="666666"/>
            </w:tcBorders>
            <w:shd w:val="pct25" w:color="auto" w:fill="auto"/>
            <w:vAlign w:val="center"/>
            <w:hideMark/>
          </w:tcPr>
          <w:p w14:paraId="0AB5A79F" w14:textId="77777777" w:rsidR="008B39DE" w:rsidRDefault="008B39DE" w:rsidP="00123312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463770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Valor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75EC2F76" w14:textId="77777777" w:rsidR="008B39DE" w:rsidRPr="00463770" w:rsidRDefault="008B39DE" w:rsidP="00123312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(</w:t>
            </w:r>
            <w:proofErr w:type="gramStart"/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em</w:t>
            </w:r>
            <w:proofErr w:type="gramEnd"/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milhares de reais) em 2019</w:t>
            </w:r>
          </w:p>
        </w:tc>
        <w:tc>
          <w:tcPr>
            <w:tcW w:w="1413" w:type="pct"/>
            <w:tcBorders>
              <w:top w:val="single" w:sz="8" w:space="0" w:color="666666"/>
              <w:left w:val="nil"/>
              <w:bottom w:val="single" w:sz="12" w:space="0" w:color="666666"/>
              <w:right w:val="single" w:sz="8" w:space="0" w:color="666666"/>
            </w:tcBorders>
            <w:shd w:val="pct25" w:color="auto" w:fill="auto"/>
          </w:tcPr>
          <w:p w14:paraId="09B4B9E4" w14:textId="107A0B96" w:rsidR="008B39DE" w:rsidRPr="00463770" w:rsidRDefault="00FB0047" w:rsidP="00FB0047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Conta Bancária </w:t>
            </w:r>
          </w:p>
        </w:tc>
      </w:tr>
      <w:tr w:rsidR="008B39DE" w:rsidRPr="00463770" w14:paraId="520A9039" w14:textId="77777777" w:rsidTr="00FB0047">
        <w:trPr>
          <w:trHeight w:val="315"/>
        </w:trPr>
        <w:tc>
          <w:tcPr>
            <w:tcW w:w="217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</w:tcPr>
          <w:p w14:paraId="7B3394FC" w14:textId="667C42C6" w:rsidR="008B39DE" w:rsidRPr="00463770" w:rsidRDefault="00FB0047" w:rsidP="00123312">
            <w:pPr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866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hideMark/>
          </w:tcPr>
          <w:p w14:paraId="04E77193" w14:textId="77777777" w:rsidR="008B39DE" w:rsidRPr="000B2C3C" w:rsidRDefault="008B39DE" w:rsidP="00123312">
            <w:pPr>
              <w:jc w:val="both"/>
              <w:rPr>
                <w:rFonts w:ascii="Verdana" w:hAnsi="Verdana"/>
                <w:color w:val="000000"/>
                <w:sz w:val="16"/>
                <w:highlight w:val="yellow"/>
              </w:rPr>
            </w:pPr>
            <w:r w:rsidRPr="000B2C3C">
              <w:rPr>
                <w:rFonts w:ascii="Verdana" w:hAnsi="Verdana"/>
                <w:bCs/>
                <w:color w:val="000000"/>
                <w:sz w:val="16"/>
                <w:szCs w:val="16"/>
                <w:highlight w:val="yellow"/>
              </w:rPr>
              <w:t>[Dívidas Itaú]</w:t>
            </w:r>
          </w:p>
        </w:tc>
        <w:tc>
          <w:tcPr>
            <w:tcW w:w="1503" w:type="pct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hideMark/>
          </w:tcPr>
          <w:p w14:paraId="3DFCC8C7" w14:textId="77777777" w:rsidR="008B39DE" w:rsidRPr="00463770" w:rsidRDefault="008B39DE" w:rsidP="001233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63770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[__]</w:t>
            </w:r>
          </w:p>
        </w:tc>
        <w:tc>
          <w:tcPr>
            <w:tcW w:w="1413" w:type="pct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</w:tcPr>
          <w:p w14:paraId="3C5981B0" w14:textId="77777777" w:rsidR="008B39DE" w:rsidRPr="00FB0047" w:rsidRDefault="00FB0047" w:rsidP="0012331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FB0047">
              <w:rPr>
                <w:rFonts w:ascii="Verdana" w:hAnsi="Verdana"/>
                <w:bCs/>
                <w:color w:val="000000"/>
                <w:sz w:val="16"/>
                <w:szCs w:val="16"/>
              </w:rPr>
              <w:t>Titular: [--]</w:t>
            </w:r>
          </w:p>
          <w:p w14:paraId="5AC6D549" w14:textId="1135A0A1" w:rsidR="00FB0047" w:rsidRPr="00FB0047" w:rsidRDefault="00FB0047" w:rsidP="0012331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FB0047">
              <w:rPr>
                <w:rFonts w:ascii="Verdana" w:hAnsi="Verdana"/>
                <w:bCs/>
                <w:color w:val="000000"/>
                <w:sz w:val="16"/>
                <w:szCs w:val="16"/>
              </w:rPr>
              <w:lastRenderedPageBreak/>
              <w:t>CNPJ: [--]</w:t>
            </w:r>
          </w:p>
          <w:p w14:paraId="6A8F0BD9" w14:textId="77777777" w:rsidR="00FB0047" w:rsidRPr="00FB0047" w:rsidRDefault="00FB0047" w:rsidP="0012331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FB0047">
              <w:rPr>
                <w:rFonts w:ascii="Verdana" w:hAnsi="Verdana"/>
                <w:bCs/>
                <w:color w:val="000000"/>
                <w:sz w:val="16"/>
                <w:szCs w:val="16"/>
              </w:rPr>
              <w:t>Agência: [--]</w:t>
            </w:r>
          </w:p>
          <w:p w14:paraId="25AF52DC" w14:textId="32631161" w:rsidR="00FB0047" w:rsidRPr="00463770" w:rsidRDefault="00FB0047" w:rsidP="00123312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B0047">
              <w:rPr>
                <w:rFonts w:ascii="Verdana" w:hAnsi="Verdana"/>
                <w:bCs/>
                <w:color w:val="000000"/>
                <w:sz w:val="16"/>
                <w:szCs w:val="16"/>
              </w:rPr>
              <w:t>Conta Corrente: [--]</w:t>
            </w:r>
          </w:p>
        </w:tc>
      </w:tr>
      <w:tr w:rsidR="008B39DE" w:rsidRPr="00463770" w14:paraId="5DDD86D4" w14:textId="77777777" w:rsidTr="00FB0047">
        <w:trPr>
          <w:trHeight w:val="315"/>
        </w:trPr>
        <w:tc>
          <w:tcPr>
            <w:tcW w:w="217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</w:tcPr>
          <w:p w14:paraId="7A4BAD6D" w14:textId="50D116B3" w:rsidR="008B39DE" w:rsidRPr="00463770" w:rsidRDefault="00FB0047" w:rsidP="00123312">
            <w:pPr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1866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hideMark/>
          </w:tcPr>
          <w:p w14:paraId="44491CD1" w14:textId="77777777" w:rsidR="008B39DE" w:rsidRPr="000B2C3C" w:rsidRDefault="008B39DE" w:rsidP="00123312">
            <w:pPr>
              <w:jc w:val="both"/>
              <w:rPr>
                <w:rFonts w:ascii="Verdana" w:hAnsi="Verdana"/>
                <w:color w:val="000000"/>
                <w:sz w:val="16"/>
                <w:highlight w:val="yellow"/>
              </w:rPr>
            </w:pPr>
            <w:r w:rsidRPr="000B2C3C">
              <w:rPr>
                <w:rFonts w:ascii="Verdana" w:hAnsi="Verdana"/>
                <w:bCs/>
                <w:color w:val="000000"/>
                <w:sz w:val="16"/>
                <w:szCs w:val="16"/>
                <w:highlight w:val="yellow"/>
              </w:rPr>
              <w:t>[Dívidas Bradesco]</w:t>
            </w:r>
          </w:p>
        </w:tc>
        <w:tc>
          <w:tcPr>
            <w:tcW w:w="1503" w:type="pct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hideMark/>
          </w:tcPr>
          <w:p w14:paraId="43E35F42" w14:textId="77777777" w:rsidR="008B39DE" w:rsidRPr="00463770" w:rsidRDefault="008B39DE" w:rsidP="001233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63770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[__]</w:t>
            </w:r>
          </w:p>
        </w:tc>
        <w:tc>
          <w:tcPr>
            <w:tcW w:w="1413" w:type="pct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</w:tcPr>
          <w:p w14:paraId="56E65114" w14:textId="77777777" w:rsidR="00FB0047" w:rsidRPr="00FB0047" w:rsidRDefault="00FB0047" w:rsidP="00FB0047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FB0047">
              <w:rPr>
                <w:rFonts w:ascii="Verdana" w:hAnsi="Verdana"/>
                <w:bCs/>
                <w:color w:val="000000"/>
                <w:sz w:val="16"/>
                <w:szCs w:val="16"/>
              </w:rPr>
              <w:t>Titular: [--]</w:t>
            </w:r>
          </w:p>
          <w:p w14:paraId="5CC16366" w14:textId="77777777" w:rsidR="00FB0047" w:rsidRPr="00FB0047" w:rsidRDefault="00FB0047" w:rsidP="00FB0047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FB0047">
              <w:rPr>
                <w:rFonts w:ascii="Verdana" w:hAnsi="Verdana"/>
                <w:bCs/>
                <w:color w:val="000000"/>
                <w:sz w:val="16"/>
                <w:szCs w:val="16"/>
              </w:rPr>
              <w:t>CNPJ: [--]</w:t>
            </w:r>
          </w:p>
          <w:p w14:paraId="020F38EB" w14:textId="77777777" w:rsidR="00FB0047" w:rsidRPr="00FB0047" w:rsidRDefault="00FB0047" w:rsidP="00FB0047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FB0047">
              <w:rPr>
                <w:rFonts w:ascii="Verdana" w:hAnsi="Verdana"/>
                <w:bCs/>
                <w:color w:val="000000"/>
                <w:sz w:val="16"/>
                <w:szCs w:val="16"/>
              </w:rPr>
              <w:t>Agência: [--]</w:t>
            </w:r>
          </w:p>
          <w:p w14:paraId="04CA3EF2" w14:textId="1D074253" w:rsidR="008B39DE" w:rsidRPr="00463770" w:rsidRDefault="00FB0047" w:rsidP="00FB0047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B0047">
              <w:rPr>
                <w:rFonts w:ascii="Verdana" w:hAnsi="Verdana"/>
                <w:bCs/>
                <w:color w:val="000000"/>
                <w:sz w:val="16"/>
                <w:szCs w:val="16"/>
              </w:rPr>
              <w:t>Conta Corrente: [--]</w:t>
            </w:r>
          </w:p>
        </w:tc>
      </w:tr>
      <w:tr w:rsidR="008B39DE" w:rsidRPr="00463770" w14:paraId="2BCB68CC" w14:textId="77777777" w:rsidTr="00FB0047">
        <w:trPr>
          <w:trHeight w:val="315"/>
        </w:trPr>
        <w:tc>
          <w:tcPr>
            <w:tcW w:w="217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</w:tcPr>
          <w:p w14:paraId="168A66B5" w14:textId="6B2DF862" w:rsidR="008B39DE" w:rsidRPr="00463770" w:rsidRDefault="00FB0047" w:rsidP="00123312">
            <w:pPr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66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hideMark/>
          </w:tcPr>
          <w:p w14:paraId="5692F29D" w14:textId="77777777" w:rsidR="008B39DE" w:rsidRPr="000B2C3C" w:rsidRDefault="008B39DE" w:rsidP="00123312">
            <w:pPr>
              <w:jc w:val="both"/>
              <w:rPr>
                <w:rFonts w:ascii="Verdana" w:hAnsi="Verdana"/>
                <w:color w:val="000000"/>
                <w:sz w:val="16"/>
                <w:highlight w:val="yellow"/>
              </w:rPr>
            </w:pPr>
            <w:r w:rsidRPr="000B2C3C">
              <w:rPr>
                <w:rFonts w:ascii="Verdana" w:hAnsi="Verdana"/>
                <w:bCs/>
                <w:color w:val="000000"/>
                <w:sz w:val="16"/>
                <w:szCs w:val="16"/>
                <w:highlight w:val="yellow"/>
              </w:rPr>
              <w:t>[Dívidas BB]</w:t>
            </w:r>
          </w:p>
        </w:tc>
        <w:tc>
          <w:tcPr>
            <w:tcW w:w="1503" w:type="pct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hideMark/>
          </w:tcPr>
          <w:p w14:paraId="5E72481A" w14:textId="77777777" w:rsidR="008B39DE" w:rsidRPr="00463770" w:rsidRDefault="008B39DE" w:rsidP="001233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63770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[__]</w:t>
            </w:r>
          </w:p>
        </w:tc>
        <w:tc>
          <w:tcPr>
            <w:tcW w:w="1413" w:type="pct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</w:tcPr>
          <w:p w14:paraId="15DC7006" w14:textId="77777777" w:rsidR="00FB0047" w:rsidRPr="00FB0047" w:rsidRDefault="00FB0047" w:rsidP="00FB0047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FB0047">
              <w:rPr>
                <w:rFonts w:ascii="Verdana" w:hAnsi="Verdana"/>
                <w:bCs/>
                <w:color w:val="000000"/>
                <w:sz w:val="16"/>
                <w:szCs w:val="16"/>
              </w:rPr>
              <w:t>Titular: [--]</w:t>
            </w:r>
          </w:p>
          <w:p w14:paraId="44C258B7" w14:textId="77777777" w:rsidR="00FB0047" w:rsidRPr="00FB0047" w:rsidRDefault="00FB0047" w:rsidP="00FB0047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FB0047">
              <w:rPr>
                <w:rFonts w:ascii="Verdana" w:hAnsi="Verdana"/>
                <w:bCs/>
                <w:color w:val="000000"/>
                <w:sz w:val="16"/>
                <w:szCs w:val="16"/>
              </w:rPr>
              <w:t>CNPJ: [--]</w:t>
            </w:r>
          </w:p>
          <w:p w14:paraId="6ED249B5" w14:textId="77777777" w:rsidR="00FB0047" w:rsidRPr="00FB0047" w:rsidRDefault="00FB0047" w:rsidP="00FB0047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FB0047">
              <w:rPr>
                <w:rFonts w:ascii="Verdana" w:hAnsi="Verdana"/>
                <w:bCs/>
                <w:color w:val="000000"/>
                <w:sz w:val="16"/>
                <w:szCs w:val="16"/>
              </w:rPr>
              <w:t>Agência: [--]</w:t>
            </w:r>
          </w:p>
          <w:p w14:paraId="6144E9D5" w14:textId="14628DCE" w:rsidR="008B39DE" w:rsidRPr="00463770" w:rsidRDefault="00FB0047" w:rsidP="00FB0047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B0047">
              <w:rPr>
                <w:rFonts w:ascii="Verdana" w:hAnsi="Verdana"/>
                <w:bCs/>
                <w:color w:val="000000"/>
                <w:sz w:val="16"/>
                <w:szCs w:val="16"/>
              </w:rPr>
              <w:t>Conta Corrente: [--]</w:t>
            </w:r>
          </w:p>
        </w:tc>
      </w:tr>
      <w:tr w:rsidR="008B39DE" w:rsidRPr="00463770" w14:paraId="552773A0" w14:textId="77777777" w:rsidTr="00FB0047">
        <w:trPr>
          <w:trHeight w:val="315"/>
        </w:trPr>
        <w:tc>
          <w:tcPr>
            <w:tcW w:w="217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</w:tcPr>
          <w:p w14:paraId="35801A79" w14:textId="2AE06F93" w:rsidR="008B39DE" w:rsidRPr="00463770" w:rsidRDefault="00FB0047" w:rsidP="00123312">
            <w:pPr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866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hideMark/>
          </w:tcPr>
          <w:p w14:paraId="0E846EEC" w14:textId="77777777" w:rsidR="008B39DE" w:rsidRPr="000B2C3C" w:rsidRDefault="008B39DE" w:rsidP="00123312">
            <w:pPr>
              <w:jc w:val="both"/>
              <w:rPr>
                <w:rFonts w:ascii="Verdana" w:hAnsi="Verdana"/>
                <w:color w:val="000000"/>
                <w:sz w:val="16"/>
                <w:highlight w:val="yellow"/>
              </w:rPr>
            </w:pPr>
            <w:r w:rsidRPr="000B2C3C">
              <w:rPr>
                <w:rFonts w:ascii="Verdana" w:hAnsi="Verdana"/>
                <w:bCs/>
                <w:color w:val="000000"/>
                <w:sz w:val="16"/>
                <w:szCs w:val="16"/>
                <w:highlight w:val="yellow"/>
              </w:rPr>
              <w:t>[Dívidas Santander]</w:t>
            </w:r>
          </w:p>
        </w:tc>
        <w:tc>
          <w:tcPr>
            <w:tcW w:w="1503" w:type="pct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hideMark/>
          </w:tcPr>
          <w:p w14:paraId="09A01AD8" w14:textId="77777777" w:rsidR="008B39DE" w:rsidRPr="00463770" w:rsidRDefault="008B39DE" w:rsidP="001233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63770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[__]</w:t>
            </w:r>
          </w:p>
        </w:tc>
        <w:tc>
          <w:tcPr>
            <w:tcW w:w="1413" w:type="pct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</w:tcPr>
          <w:p w14:paraId="6BE3E1C3" w14:textId="77777777" w:rsidR="00FB0047" w:rsidRPr="00FB0047" w:rsidRDefault="00FB0047" w:rsidP="00FB0047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FB0047">
              <w:rPr>
                <w:rFonts w:ascii="Verdana" w:hAnsi="Verdana"/>
                <w:bCs/>
                <w:color w:val="000000"/>
                <w:sz w:val="16"/>
                <w:szCs w:val="16"/>
              </w:rPr>
              <w:t>Titular: [--]</w:t>
            </w:r>
          </w:p>
          <w:p w14:paraId="2058E184" w14:textId="77777777" w:rsidR="00FB0047" w:rsidRPr="00FB0047" w:rsidRDefault="00FB0047" w:rsidP="00FB0047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FB0047">
              <w:rPr>
                <w:rFonts w:ascii="Verdana" w:hAnsi="Verdana"/>
                <w:bCs/>
                <w:color w:val="000000"/>
                <w:sz w:val="16"/>
                <w:szCs w:val="16"/>
              </w:rPr>
              <w:t>CNPJ: [--]</w:t>
            </w:r>
          </w:p>
          <w:p w14:paraId="0CD0392E" w14:textId="77777777" w:rsidR="00FB0047" w:rsidRPr="00FB0047" w:rsidRDefault="00FB0047" w:rsidP="00FB0047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FB0047">
              <w:rPr>
                <w:rFonts w:ascii="Verdana" w:hAnsi="Verdana"/>
                <w:bCs/>
                <w:color w:val="000000"/>
                <w:sz w:val="16"/>
                <w:szCs w:val="16"/>
              </w:rPr>
              <w:t>Agência: [--]</w:t>
            </w:r>
          </w:p>
          <w:p w14:paraId="5E329267" w14:textId="2B2E6457" w:rsidR="008B39DE" w:rsidRPr="00463770" w:rsidRDefault="00FB0047" w:rsidP="00FB0047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B0047">
              <w:rPr>
                <w:rFonts w:ascii="Verdana" w:hAnsi="Verdana"/>
                <w:bCs/>
                <w:color w:val="000000"/>
                <w:sz w:val="16"/>
                <w:szCs w:val="16"/>
              </w:rPr>
              <w:t>Conta Corrente: [--]</w:t>
            </w:r>
          </w:p>
        </w:tc>
      </w:tr>
      <w:tr w:rsidR="008B39DE" w:rsidRPr="00463770" w14:paraId="195568B1" w14:textId="77777777" w:rsidTr="00FB0047">
        <w:trPr>
          <w:trHeight w:val="315"/>
        </w:trPr>
        <w:tc>
          <w:tcPr>
            <w:tcW w:w="217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</w:tcPr>
          <w:p w14:paraId="658BA4C7" w14:textId="4D9A8B00" w:rsidR="008B39DE" w:rsidRPr="00463770" w:rsidRDefault="00FB0047" w:rsidP="00123312">
            <w:pPr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866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hideMark/>
          </w:tcPr>
          <w:p w14:paraId="393D5676" w14:textId="77777777" w:rsidR="008B39DE" w:rsidRPr="000B2C3C" w:rsidRDefault="008B39DE" w:rsidP="00123312">
            <w:pPr>
              <w:jc w:val="both"/>
              <w:rPr>
                <w:rFonts w:ascii="Verdana" w:hAnsi="Verdana"/>
                <w:color w:val="000000"/>
                <w:sz w:val="16"/>
                <w:highlight w:val="yellow"/>
              </w:rPr>
            </w:pPr>
            <w:r w:rsidRPr="000B2C3C">
              <w:rPr>
                <w:rFonts w:ascii="Verdana" w:hAnsi="Verdana"/>
                <w:bCs/>
                <w:color w:val="000000"/>
                <w:sz w:val="16"/>
                <w:szCs w:val="16"/>
                <w:highlight w:val="yellow"/>
              </w:rPr>
              <w:t>[Dívidas BNDES]</w:t>
            </w:r>
          </w:p>
        </w:tc>
        <w:tc>
          <w:tcPr>
            <w:tcW w:w="1503" w:type="pct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hideMark/>
          </w:tcPr>
          <w:p w14:paraId="012AC37D" w14:textId="77777777" w:rsidR="008B39DE" w:rsidRPr="00463770" w:rsidRDefault="008B39DE" w:rsidP="001233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63770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[__]</w:t>
            </w:r>
          </w:p>
        </w:tc>
        <w:tc>
          <w:tcPr>
            <w:tcW w:w="1413" w:type="pct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</w:tcPr>
          <w:p w14:paraId="0DF967C8" w14:textId="77777777" w:rsidR="00FB0047" w:rsidRPr="00FB0047" w:rsidRDefault="00FB0047" w:rsidP="00FB0047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FB0047">
              <w:rPr>
                <w:rFonts w:ascii="Verdana" w:hAnsi="Verdana"/>
                <w:bCs/>
                <w:color w:val="000000"/>
                <w:sz w:val="16"/>
                <w:szCs w:val="16"/>
              </w:rPr>
              <w:t>Titular: [--]</w:t>
            </w:r>
          </w:p>
          <w:p w14:paraId="340F0C32" w14:textId="77777777" w:rsidR="00FB0047" w:rsidRPr="00FB0047" w:rsidRDefault="00FB0047" w:rsidP="00FB0047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FB0047">
              <w:rPr>
                <w:rFonts w:ascii="Verdana" w:hAnsi="Verdana"/>
                <w:bCs/>
                <w:color w:val="000000"/>
                <w:sz w:val="16"/>
                <w:szCs w:val="16"/>
              </w:rPr>
              <w:t>CNPJ: [--]</w:t>
            </w:r>
          </w:p>
          <w:p w14:paraId="405397E8" w14:textId="77777777" w:rsidR="00FB0047" w:rsidRPr="00FB0047" w:rsidRDefault="00FB0047" w:rsidP="00FB0047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FB0047">
              <w:rPr>
                <w:rFonts w:ascii="Verdana" w:hAnsi="Verdana"/>
                <w:bCs/>
                <w:color w:val="000000"/>
                <w:sz w:val="16"/>
                <w:szCs w:val="16"/>
              </w:rPr>
              <w:t>Agência: [--]</w:t>
            </w:r>
          </w:p>
          <w:p w14:paraId="609A44FC" w14:textId="61F76C88" w:rsidR="008B39DE" w:rsidRPr="00463770" w:rsidRDefault="00FB0047" w:rsidP="00FB0047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B0047">
              <w:rPr>
                <w:rFonts w:ascii="Verdana" w:hAnsi="Verdana"/>
                <w:bCs/>
                <w:color w:val="000000"/>
                <w:sz w:val="16"/>
                <w:szCs w:val="16"/>
              </w:rPr>
              <w:t>Conta Corrente: [--]</w:t>
            </w:r>
          </w:p>
        </w:tc>
      </w:tr>
      <w:tr w:rsidR="008B39DE" w:rsidRPr="00463770" w14:paraId="293242F0" w14:textId="77777777" w:rsidTr="00FB0047">
        <w:trPr>
          <w:trHeight w:val="315"/>
        </w:trPr>
        <w:tc>
          <w:tcPr>
            <w:tcW w:w="217" w:type="pct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BFBFBF" w:themeFill="background1" w:themeFillShade="BF"/>
          </w:tcPr>
          <w:p w14:paraId="0F6A7E54" w14:textId="77777777" w:rsidR="008B39DE" w:rsidRPr="00463770" w:rsidRDefault="008B39DE" w:rsidP="00123312">
            <w:pPr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6" w:type="pct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BFBFBF" w:themeFill="background1" w:themeFillShade="BF"/>
            <w:vAlign w:val="center"/>
            <w:hideMark/>
          </w:tcPr>
          <w:p w14:paraId="037D12B1" w14:textId="77777777" w:rsidR="008B39DE" w:rsidRPr="00463770" w:rsidRDefault="008B39DE" w:rsidP="00123312">
            <w:pPr>
              <w:jc w:val="both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463770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BFBFBF" w:themeFill="background1" w:themeFillShade="BF"/>
            <w:vAlign w:val="center"/>
            <w:hideMark/>
          </w:tcPr>
          <w:p w14:paraId="7042D049" w14:textId="77777777" w:rsidR="008B39DE" w:rsidRPr="008B39DE" w:rsidRDefault="008B39DE" w:rsidP="0012331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B39DE">
              <w:rPr>
                <w:rFonts w:ascii="Verdana" w:hAnsi="Verdana"/>
                <w:b/>
                <w:sz w:val="16"/>
                <w:szCs w:val="16"/>
              </w:rPr>
              <w:t>[--]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BFBFBF" w:themeFill="background1" w:themeFillShade="BF"/>
          </w:tcPr>
          <w:p w14:paraId="4E3D855E" w14:textId="38C8DA12" w:rsidR="008B39DE" w:rsidRPr="008B39DE" w:rsidRDefault="00FB0047" w:rsidP="00123312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--</w:t>
            </w:r>
          </w:p>
        </w:tc>
      </w:tr>
    </w:tbl>
    <w:p w14:paraId="67ECB35C" w14:textId="77777777" w:rsidR="008B39DE" w:rsidRDefault="008B39DE" w:rsidP="00D1575C">
      <w:pPr>
        <w:tabs>
          <w:tab w:val="num" w:pos="0"/>
        </w:tabs>
        <w:spacing w:line="300" w:lineRule="exact"/>
        <w:jc w:val="both"/>
        <w:rPr>
          <w:rFonts w:ascii="Verdana" w:hAnsi="Verdana"/>
          <w:sz w:val="18"/>
          <w:szCs w:val="18"/>
          <w:shd w:val="clear" w:color="auto" w:fill="FFFFFF"/>
        </w:rPr>
      </w:pPr>
    </w:p>
    <w:sectPr w:rsidR="008B39DE" w:rsidSect="008B39D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C5D784" w14:textId="77777777" w:rsidR="00510861" w:rsidRDefault="00510861" w:rsidP="009258A9">
      <w:r>
        <w:separator/>
      </w:r>
    </w:p>
  </w:endnote>
  <w:endnote w:type="continuationSeparator" w:id="0">
    <w:p w14:paraId="10673BA8" w14:textId="77777777" w:rsidR="00510861" w:rsidRDefault="00510861" w:rsidP="0092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DBEEB" w14:textId="77777777" w:rsidR="00C070FC" w:rsidRDefault="00C070F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57078" w14:textId="77777777" w:rsidR="00C070FC" w:rsidRDefault="00C070FC" w:rsidP="00C070FC">
    <w:pPr>
      <w:pStyle w:val="Rodap"/>
      <w:rPr>
        <w:rFonts w:ascii="Verdana" w:hAnsi="Verdana"/>
        <w:sz w:val="14"/>
      </w:rPr>
    </w:pPr>
    <w:r>
      <w:rPr>
        <w:rFonts w:ascii="Verdana" w:hAnsi="Verdana"/>
        <w:sz w:val="14"/>
      </w:rPr>
      <w:fldChar w:fldCharType="begin"/>
    </w:r>
    <w:r>
      <w:rPr>
        <w:rFonts w:ascii="Verdana" w:hAnsi="Verdana"/>
        <w:sz w:val="14"/>
      </w:rPr>
      <w:instrText xml:space="preserve"> DOCPROPERTY "iManageFooter"  \* MERGEFORMAT </w:instrText>
    </w:r>
    <w:r>
      <w:rPr>
        <w:rFonts w:ascii="Verdana" w:hAnsi="Verdana"/>
        <w:sz w:val="14"/>
      </w:rPr>
      <w:fldChar w:fldCharType="separate"/>
    </w:r>
  </w:p>
  <w:p w14:paraId="07C66F43" w14:textId="56D19EC9" w:rsidR="00EF1020" w:rsidRPr="00C070FC" w:rsidRDefault="00C070FC" w:rsidP="00C070FC">
    <w:pPr>
      <w:pStyle w:val="Rodap"/>
      <w:rPr>
        <w:rFonts w:ascii="Verdana" w:hAnsi="Verdana"/>
        <w:sz w:val="14"/>
      </w:rPr>
    </w:pPr>
    <w:r>
      <w:rPr>
        <w:rFonts w:ascii="Verdana" w:hAnsi="Verdana"/>
        <w:sz w:val="14"/>
      </w:rPr>
      <w:t xml:space="preserve">TEXT_SP - 50129114v3 2041.139 </w:t>
    </w:r>
    <w:r>
      <w:rPr>
        <w:rFonts w:ascii="Verdana" w:hAnsi="Verdana"/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B5533" w14:textId="77777777" w:rsidR="00C070FC" w:rsidRDefault="00C070F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8E99FC" w14:textId="77777777" w:rsidR="00510861" w:rsidRDefault="00510861" w:rsidP="009258A9">
      <w:r>
        <w:separator/>
      </w:r>
    </w:p>
  </w:footnote>
  <w:footnote w:type="continuationSeparator" w:id="0">
    <w:p w14:paraId="52F533FB" w14:textId="77777777" w:rsidR="00510861" w:rsidRDefault="00510861" w:rsidP="009258A9">
      <w:r>
        <w:continuationSeparator/>
      </w:r>
    </w:p>
  </w:footnote>
  <w:footnote w:id="1">
    <w:p w14:paraId="78548A34" w14:textId="77777777" w:rsidR="000B2C3C" w:rsidRDefault="000B2C3C" w:rsidP="000B2C3C">
      <w:pPr>
        <w:pStyle w:val="Textodenotaderodap"/>
      </w:pPr>
      <w:r>
        <w:rPr>
          <w:rStyle w:val="Refdenotaderodap"/>
        </w:rPr>
        <w:footnoteRef/>
      </w:r>
      <w:r>
        <w:t xml:space="preserve"> Conforme definido nas Escrituras.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1FB34" w14:textId="77777777" w:rsidR="00C070FC" w:rsidRDefault="00C070F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087B5" w14:textId="07F1D4DC" w:rsidR="00EF1020" w:rsidRPr="00231759" w:rsidRDefault="00EF1020" w:rsidP="00EF1020">
    <w:pPr>
      <w:pStyle w:val="ListaColorida-nfase11"/>
      <w:spacing w:before="0" w:after="0" w:line="240" w:lineRule="auto"/>
      <w:ind w:left="0"/>
      <w:jc w:val="right"/>
      <w:rPr>
        <w:b/>
        <w:sz w:val="20"/>
        <w:szCs w:val="20"/>
      </w:rPr>
    </w:pPr>
    <w:r w:rsidRPr="00231759">
      <w:rPr>
        <w:b/>
        <w:sz w:val="20"/>
        <w:szCs w:val="20"/>
      </w:rPr>
      <w:t xml:space="preserve">MINUTA </w:t>
    </w:r>
  </w:p>
  <w:p w14:paraId="2652D551" w14:textId="1A76E3F3" w:rsidR="00EF1020" w:rsidRPr="00231759" w:rsidRDefault="00F222A6" w:rsidP="00EF1020">
    <w:pPr>
      <w:pStyle w:val="ListaColorida-nfase11"/>
      <w:spacing w:before="0" w:after="0" w:line="240" w:lineRule="auto"/>
      <w:ind w:left="0"/>
      <w:jc w:val="right"/>
      <w:rPr>
        <w:b/>
        <w:sz w:val="20"/>
      </w:rPr>
    </w:pPr>
    <w:r>
      <w:rPr>
        <w:b/>
        <w:sz w:val="20"/>
        <w:szCs w:val="20"/>
      </w:rPr>
      <w:t>0</w:t>
    </w:r>
    <w:r w:rsidR="000B2C3C">
      <w:rPr>
        <w:b/>
        <w:sz w:val="20"/>
        <w:szCs w:val="20"/>
      </w:rPr>
      <w:t>8</w:t>
    </w:r>
    <w:r w:rsidR="00EF1020" w:rsidRPr="00231759">
      <w:rPr>
        <w:b/>
        <w:sz w:val="20"/>
        <w:szCs w:val="20"/>
      </w:rPr>
      <w:t>.0</w:t>
    </w:r>
    <w:r w:rsidR="000B2C3C">
      <w:rPr>
        <w:b/>
        <w:sz w:val="20"/>
        <w:szCs w:val="20"/>
      </w:rPr>
      <w:t>3</w:t>
    </w:r>
    <w:r w:rsidR="00EF1020" w:rsidRPr="00231759">
      <w:rPr>
        <w:b/>
        <w:sz w:val="20"/>
        <w:szCs w:val="20"/>
      </w:rPr>
      <w:t>.2019</w:t>
    </w:r>
  </w:p>
  <w:p w14:paraId="3FA149F1" w14:textId="77777777" w:rsidR="009964E1" w:rsidRDefault="009964E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B37EE" w14:textId="77777777" w:rsidR="00C070FC" w:rsidRDefault="00C070F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029FD"/>
    <w:multiLevelType w:val="hybridMultilevel"/>
    <w:tmpl w:val="688412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C138B"/>
    <w:multiLevelType w:val="hybridMultilevel"/>
    <w:tmpl w:val="E84667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222"/>
    <w:rsid w:val="00032D58"/>
    <w:rsid w:val="00033AB5"/>
    <w:rsid w:val="00061DF8"/>
    <w:rsid w:val="0007008A"/>
    <w:rsid w:val="00070432"/>
    <w:rsid w:val="0008160F"/>
    <w:rsid w:val="00094514"/>
    <w:rsid w:val="000B2C3C"/>
    <w:rsid w:val="00106815"/>
    <w:rsid w:val="0012074C"/>
    <w:rsid w:val="00140838"/>
    <w:rsid w:val="001655E6"/>
    <w:rsid w:val="0017480E"/>
    <w:rsid w:val="001A6A82"/>
    <w:rsid w:val="001C06C0"/>
    <w:rsid w:val="001C699B"/>
    <w:rsid w:val="00203650"/>
    <w:rsid w:val="002112E1"/>
    <w:rsid w:val="00214B8E"/>
    <w:rsid w:val="002159E0"/>
    <w:rsid w:val="00227E64"/>
    <w:rsid w:val="00231D3F"/>
    <w:rsid w:val="00234624"/>
    <w:rsid w:val="002415B5"/>
    <w:rsid w:val="002777B1"/>
    <w:rsid w:val="002E672A"/>
    <w:rsid w:val="003045E1"/>
    <w:rsid w:val="00307EA7"/>
    <w:rsid w:val="00317A19"/>
    <w:rsid w:val="0032358D"/>
    <w:rsid w:val="00334C56"/>
    <w:rsid w:val="00343DC1"/>
    <w:rsid w:val="00372768"/>
    <w:rsid w:val="003A7BFE"/>
    <w:rsid w:val="003C0E70"/>
    <w:rsid w:val="003D0448"/>
    <w:rsid w:val="003D5481"/>
    <w:rsid w:val="003F02A5"/>
    <w:rsid w:val="004001B5"/>
    <w:rsid w:val="004147C8"/>
    <w:rsid w:val="00416A30"/>
    <w:rsid w:val="00426ECF"/>
    <w:rsid w:val="00463770"/>
    <w:rsid w:val="004B7919"/>
    <w:rsid w:val="004D41E7"/>
    <w:rsid w:val="004E5E76"/>
    <w:rsid w:val="00510861"/>
    <w:rsid w:val="00514A40"/>
    <w:rsid w:val="005336C2"/>
    <w:rsid w:val="0053639A"/>
    <w:rsid w:val="00585299"/>
    <w:rsid w:val="00590C1B"/>
    <w:rsid w:val="00595DFD"/>
    <w:rsid w:val="005C2D09"/>
    <w:rsid w:val="005C7561"/>
    <w:rsid w:val="005E5CF1"/>
    <w:rsid w:val="0061144B"/>
    <w:rsid w:val="0062294F"/>
    <w:rsid w:val="00645D19"/>
    <w:rsid w:val="00666A0C"/>
    <w:rsid w:val="006D0D99"/>
    <w:rsid w:val="006F1121"/>
    <w:rsid w:val="00700A2A"/>
    <w:rsid w:val="00733139"/>
    <w:rsid w:val="00745A91"/>
    <w:rsid w:val="0075699B"/>
    <w:rsid w:val="0078782A"/>
    <w:rsid w:val="0079489E"/>
    <w:rsid w:val="007D2146"/>
    <w:rsid w:val="00803271"/>
    <w:rsid w:val="00811019"/>
    <w:rsid w:val="00821C17"/>
    <w:rsid w:val="00822290"/>
    <w:rsid w:val="008259EB"/>
    <w:rsid w:val="008270F4"/>
    <w:rsid w:val="00832AF3"/>
    <w:rsid w:val="008634E6"/>
    <w:rsid w:val="00890211"/>
    <w:rsid w:val="008B39DE"/>
    <w:rsid w:val="008C0EFF"/>
    <w:rsid w:val="008D5626"/>
    <w:rsid w:val="008E00FE"/>
    <w:rsid w:val="00910EE2"/>
    <w:rsid w:val="009258A9"/>
    <w:rsid w:val="0094219B"/>
    <w:rsid w:val="00945A7B"/>
    <w:rsid w:val="00954E48"/>
    <w:rsid w:val="009708A6"/>
    <w:rsid w:val="009956B5"/>
    <w:rsid w:val="009964E1"/>
    <w:rsid w:val="009B6E4E"/>
    <w:rsid w:val="009D791C"/>
    <w:rsid w:val="009F3F9D"/>
    <w:rsid w:val="009F7F06"/>
    <w:rsid w:val="00A43DAC"/>
    <w:rsid w:val="00A50A8B"/>
    <w:rsid w:val="00A56431"/>
    <w:rsid w:val="00A83CA6"/>
    <w:rsid w:val="00A93104"/>
    <w:rsid w:val="00AA59AC"/>
    <w:rsid w:val="00AC151F"/>
    <w:rsid w:val="00AD7334"/>
    <w:rsid w:val="00AE6D88"/>
    <w:rsid w:val="00B10EEE"/>
    <w:rsid w:val="00B144DB"/>
    <w:rsid w:val="00B16DEC"/>
    <w:rsid w:val="00B37AD2"/>
    <w:rsid w:val="00B42F4B"/>
    <w:rsid w:val="00B46976"/>
    <w:rsid w:val="00B90FD6"/>
    <w:rsid w:val="00BA4D96"/>
    <w:rsid w:val="00BB0718"/>
    <w:rsid w:val="00BD1915"/>
    <w:rsid w:val="00BF0BF0"/>
    <w:rsid w:val="00C039BA"/>
    <w:rsid w:val="00C070FC"/>
    <w:rsid w:val="00C116E0"/>
    <w:rsid w:val="00C26F2A"/>
    <w:rsid w:val="00C50C98"/>
    <w:rsid w:val="00C9175D"/>
    <w:rsid w:val="00CB098E"/>
    <w:rsid w:val="00CF31F1"/>
    <w:rsid w:val="00D1112E"/>
    <w:rsid w:val="00D1575C"/>
    <w:rsid w:val="00D25E85"/>
    <w:rsid w:val="00D359FD"/>
    <w:rsid w:val="00D6049B"/>
    <w:rsid w:val="00DB750D"/>
    <w:rsid w:val="00DE504C"/>
    <w:rsid w:val="00DF443D"/>
    <w:rsid w:val="00E1173C"/>
    <w:rsid w:val="00E178B1"/>
    <w:rsid w:val="00E34030"/>
    <w:rsid w:val="00E34EBB"/>
    <w:rsid w:val="00E97222"/>
    <w:rsid w:val="00EA3C78"/>
    <w:rsid w:val="00EA4AF2"/>
    <w:rsid w:val="00EB5CAB"/>
    <w:rsid w:val="00EE1543"/>
    <w:rsid w:val="00EF1020"/>
    <w:rsid w:val="00F134CE"/>
    <w:rsid w:val="00F1542D"/>
    <w:rsid w:val="00F2082E"/>
    <w:rsid w:val="00F222A6"/>
    <w:rsid w:val="00F620F1"/>
    <w:rsid w:val="00F633E9"/>
    <w:rsid w:val="00F93EA4"/>
    <w:rsid w:val="00F95F8C"/>
    <w:rsid w:val="00F9606E"/>
    <w:rsid w:val="00FA1DE3"/>
    <w:rsid w:val="00FB0047"/>
    <w:rsid w:val="00FC431B"/>
    <w:rsid w:val="00FE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474C9"/>
  <w15:chartTrackingRefBased/>
  <w15:docId w15:val="{9CA16A68-0B74-4603-AB31-C8269F44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HAnsi"/>
        <w:sz w:val="1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2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58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258A9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9258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258A9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customStyle="1" w:styleId="p0">
    <w:name w:val="p0"/>
    <w:basedOn w:val="Normal"/>
    <w:rsid w:val="00A50A8B"/>
    <w:pPr>
      <w:widowControl w:val="0"/>
      <w:tabs>
        <w:tab w:val="left" w:pos="720"/>
      </w:tabs>
      <w:snapToGrid w:val="0"/>
      <w:spacing w:line="240" w:lineRule="atLeast"/>
      <w:jc w:val="both"/>
    </w:pPr>
    <w:rPr>
      <w:lang w:val="en-US"/>
    </w:rPr>
  </w:style>
  <w:style w:type="paragraph" w:customStyle="1" w:styleId="SombreamentoColorido-nfase31">
    <w:name w:val="Sombreamento Colorido - Ênfase 31"/>
    <w:basedOn w:val="Normal"/>
    <w:uiPriority w:val="34"/>
    <w:qFormat/>
    <w:rsid w:val="00A50A8B"/>
    <w:pPr>
      <w:keepNext/>
      <w:suppressAutoHyphens/>
      <w:spacing w:before="240" w:after="240" w:line="276" w:lineRule="auto"/>
      <w:ind w:left="720"/>
      <w:contextualSpacing/>
      <w:jc w:val="both"/>
      <w:outlineLvl w:val="4"/>
    </w:pPr>
    <w:rPr>
      <w:color w:val="000000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A50A8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708A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2294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294F"/>
    <w:rPr>
      <w:rFonts w:ascii="Segoe UI" w:eastAsia="Times New Roman" w:hAnsi="Segoe UI" w:cs="Segoe UI"/>
      <w:szCs w:val="18"/>
      <w:lang w:val="pt-BR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D1915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D1915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BD1915"/>
    <w:rPr>
      <w:vertAlign w:val="superscript"/>
    </w:rPr>
  </w:style>
  <w:style w:type="table" w:styleId="Tabelacomgrade">
    <w:name w:val="Table Grid"/>
    <w:basedOn w:val="Tabelanormal"/>
    <w:uiPriority w:val="59"/>
    <w:rsid w:val="009B6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3D548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D5481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D5481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D548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D5481"/>
    <w:rPr>
      <w:rFonts w:ascii="Times New Roman" w:eastAsia="Times New Roman" w:hAnsi="Times New Roman" w:cs="Times New Roman"/>
      <w:b/>
      <w:bCs/>
      <w:sz w:val="20"/>
      <w:szCs w:val="20"/>
      <w:lang w:val="pt-BR" w:eastAsia="pt-BR"/>
    </w:rPr>
  </w:style>
  <w:style w:type="paragraph" w:styleId="Reviso">
    <w:name w:val="Revision"/>
    <w:hidden/>
    <w:uiPriority w:val="99"/>
    <w:semiHidden/>
    <w:rsid w:val="008259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customStyle="1" w:styleId="ListaColorida-nfase11">
    <w:name w:val="Lista Colorida - Ênfase 11"/>
    <w:basedOn w:val="Normal"/>
    <w:uiPriority w:val="34"/>
    <w:qFormat/>
    <w:rsid w:val="00EF1020"/>
    <w:pPr>
      <w:keepNext/>
      <w:suppressAutoHyphens/>
      <w:spacing w:before="240" w:after="240" w:line="276" w:lineRule="auto"/>
      <w:ind w:left="708"/>
      <w:jc w:val="both"/>
      <w:outlineLvl w:val="4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lo.goulart@bradesco.com.br" TargetMode="External"/><Relationship Id="rId13" Type="http://schemas.openxmlformats.org/officeDocument/2006/relationships/hyperlink" Target="mailto:cprates@bndes.com.br" TargetMode="External"/><Relationship Id="rId18" Type="http://schemas.openxmlformats.org/officeDocument/2006/relationships/hyperlink" Target="mailto:fiduci&#225;rio@simplificpavarini.com.br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macardoso@santander.com.br" TargetMode="External"/><Relationship Id="rId17" Type="http://schemas.openxmlformats.org/officeDocument/2006/relationships/hyperlink" Target="mailto:matheus@simplificpavarini.com.br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rinaldo@simplificpavarini.com.br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lima@santander.com.br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carlos.bacha@simplificpavarini.com.br" TargetMode="External"/><Relationship Id="rId23" Type="http://schemas.openxmlformats.org/officeDocument/2006/relationships/header" Target="header3.xml"/><Relationship Id="rId10" Type="http://schemas.openxmlformats.org/officeDocument/2006/relationships/hyperlink" Target="mailto:tsfigueira@santander.com.br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GE3132@bb.com.br" TargetMode="External"/><Relationship Id="rId14" Type="http://schemas.openxmlformats.org/officeDocument/2006/relationships/hyperlink" Target="mailto:carpena@bndes.com.br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FB1B9-6378-4D85-8FE3-C83A2BA29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1746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MMSO</Company>
  <LinksUpToDate>false</LinksUpToDate>
  <CharactersWithSpaces>11157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Correia | Machado Meyer Advogados</dc:creator>
  <cp:keywords/>
  <dc:description/>
  <cp:lastModifiedBy>Camilo T. Gerosa Gomes | Machado Meyer Advogados</cp:lastModifiedBy>
  <cp:revision>8</cp:revision>
  <cp:lastPrinted>2018-05-24T19:34:00Z</cp:lastPrinted>
  <dcterms:created xsi:type="dcterms:W3CDTF">2019-03-08T18:03:00Z</dcterms:created>
  <dcterms:modified xsi:type="dcterms:W3CDTF">2019-03-08T18:44:00Z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_x000d_TEXT_SP - 50129114v3 2041.139 </vt:lpwstr>
  </property>
</Properties>
</file>