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BEF" w:rsidRPr="0077533B" w:rsidRDefault="00E82AEB" w:rsidP="002C4BEF">
      <w:pPr>
        <w:widowControl w:val="0"/>
        <w:spacing w:line="276" w:lineRule="auto"/>
        <w:jc w:val="both"/>
        <w:rPr>
          <w:rFonts w:ascii="Verdana" w:hAnsi="Verdana"/>
          <w:b/>
          <w:bCs/>
          <w:smallCaps/>
          <w:sz w:val="20"/>
          <w:szCs w:val="20"/>
        </w:rPr>
      </w:pPr>
      <w:r>
        <w:rPr>
          <w:rFonts w:ascii="Verdana" w:hAnsi="Verdana"/>
          <w:b/>
          <w:bCs/>
          <w:smallCaps/>
          <w:sz w:val="20"/>
          <w:szCs w:val="20"/>
        </w:rPr>
        <w:t>Quarto</w:t>
      </w:r>
      <w:r w:rsidR="0077533B" w:rsidRPr="0077533B">
        <w:rPr>
          <w:rFonts w:ascii="Verdana" w:hAnsi="Verdana"/>
          <w:b/>
          <w:bCs/>
          <w:smallCaps/>
          <w:sz w:val="20"/>
          <w:szCs w:val="20"/>
        </w:rPr>
        <w:t xml:space="preserve"> </w:t>
      </w:r>
      <w:r w:rsidR="002C4BEF" w:rsidRPr="0077533B">
        <w:rPr>
          <w:rFonts w:ascii="Verdana" w:hAnsi="Verdana"/>
          <w:b/>
          <w:bCs/>
          <w:smallCaps/>
          <w:sz w:val="20"/>
          <w:szCs w:val="20"/>
        </w:rPr>
        <w:t xml:space="preserve">Aditamento ao Instrumento Particular de Escritura da 1ª (Primeira) Emissão de Debêntures Simples, Não Conversíveis em Ações, em </w:t>
      </w:r>
      <w:r>
        <w:rPr>
          <w:rFonts w:ascii="Verdana" w:hAnsi="Verdana"/>
          <w:b/>
          <w:bCs/>
          <w:smallCaps/>
          <w:sz w:val="20"/>
          <w:szCs w:val="20"/>
        </w:rPr>
        <w:t>Cinco</w:t>
      </w:r>
      <w:r w:rsidR="002C4BEF" w:rsidRPr="0077533B">
        <w:rPr>
          <w:rFonts w:ascii="Verdana" w:hAnsi="Verdana"/>
          <w:b/>
          <w:bCs/>
          <w:smallCaps/>
          <w:sz w:val="20"/>
          <w:szCs w:val="20"/>
        </w:rPr>
        <w:t xml:space="preserve"> Séries para Distribuição Pública com Esforços Restritos de Colocação e Uma Série para Colocação Privada, da Espécie com Garantia Real e Garantia Fidejussória Adicional,</w:t>
      </w:r>
    </w:p>
    <w:p w:rsidR="00180A7F" w:rsidRPr="00953A5B" w:rsidRDefault="00180A7F" w:rsidP="00180A7F">
      <w:pPr>
        <w:spacing w:line="276" w:lineRule="auto"/>
        <w:rPr>
          <w:rFonts w:ascii="Verdana" w:hAnsi="Verdana"/>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celebrada entre</w:t>
      </w:r>
    </w:p>
    <w:p w:rsidR="0077533B" w:rsidRDefault="0077533B" w:rsidP="0077533B">
      <w:pPr>
        <w:widowControl w:val="0"/>
        <w:tabs>
          <w:tab w:val="left" w:pos="5715"/>
        </w:tabs>
        <w:spacing w:line="276" w:lineRule="auto"/>
        <w:rPr>
          <w:b/>
          <w:bCs/>
          <w:smallCaps/>
          <w:sz w:val="22"/>
          <w:szCs w:val="22"/>
        </w:rPr>
      </w:pPr>
    </w:p>
    <w:p w:rsidR="0077533B" w:rsidRPr="0077533B" w:rsidRDefault="0077533B" w:rsidP="0077533B">
      <w:pPr>
        <w:widowControl w:val="0"/>
        <w:tabs>
          <w:tab w:val="left" w:pos="5715"/>
        </w:tabs>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OSP INVESTIMENTOS S.A. </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Emissora,</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pStyle w:val="Corpodetexto2"/>
        <w:widowControl w:val="0"/>
        <w:spacing w:after="0" w:line="280" w:lineRule="atLeast"/>
        <w:jc w:val="center"/>
        <w:rPr>
          <w:rFonts w:ascii="Verdana" w:hAnsi="Verdana"/>
          <w:b/>
          <w:bCs/>
          <w:smallCaps/>
          <w:sz w:val="20"/>
          <w:szCs w:val="20"/>
        </w:rPr>
      </w:pPr>
      <w:r w:rsidRPr="0077533B">
        <w:rPr>
          <w:rFonts w:ascii="Verdana" w:hAnsi="Verdana"/>
          <w:b/>
          <w:bCs/>
          <w:smallCaps/>
          <w:sz w:val="20"/>
          <w:szCs w:val="20"/>
        </w:rPr>
        <w:t xml:space="preserve">SIMPLIFIC PAVARINI </w:t>
      </w:r>
    </w:p>
    <w:p w:rsidR="0077533B" w:rsidRPr="0077533B" w:rsidRDefault="0077533B" w:rsidP="0077533B">
      <w:pPr>
        <w:pStyle w:val="Corpodetexto2"/>
        <w:widowControl w:val="0"/>
        <w:spacing w:after="140" w:line="280" w:lineRule="atLeast"/>
        <w:jc w:val="center"/>
        <w:rPr>
          <w:rFonts w:ascii="Verdana" w:hAnsi="Verdana"/>
          <w:b/>
          <w:bCs/>
          <w:smallCaps/>
          <w:sz w:val="20"/>
          <w:szCs w:val="20"/>
        </w:rPr>
      </w:pPr>
      <w:r w:rsidRPr="0077533B">
        <w:rPr>
          <w:rFonts w:ascii="Verdana" w:hAnsi="Verdana"/>
          <w:b/>
          <w:bCs/>
          <w:smallCaps/>
          <w:sz w:val="20"/>
          <w:szCs w:val="20"/>
        </w:rPr>
        <w:t>DISTRIBUIDORA DE TÍTULOS E VALORES MOBILIÁRIOS LTDA.,</w:t>
      </w:r>
    </w:p>
    <w:p w:rsidR="0077533B" w:rsidRPr="0077533B" w:rsidRDefault="0077533B" w:rsidP="0077533B">
      <w:pPr>
        <w:pStyle w:val="Commarcadores"/>
        <w:widowControl w:val="0"/>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Agente Fiduciário e Representante dos Debenturistas</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ODEBRECHT SERVIÇOS E PARTICIPAÇÕES S.A, </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ODEBRECHT S.A.,</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Fiadoras</w:t>
      </w:r>
    </w:p>
    <w:p w:rsidR="002C4BEF" w:rsidRDefault="002C4BEF" w:rsidP="002C4BEF">
      <w:pPr>
        <w:spacing w:line="320" w:lineRule="exact"/>
        <w:rPr>
          <w:rFonts w:ascii="Verdana" w:hAnsi="Verdana"/>
          <w:b/>
          <w:bCs/>
          <w:smallCaps/>
          <w:sz w:val="20"/>
          <w:szCs w:val="20"/>
        </w:rPr>
      </w:pPr>
    </w:p>
    <w:p w:rsidR="002C4BEF" w:rsidRDefault="002C4BEF" w:rsidP="002C4BEF">
      <w:pPr>
        <w:spacing w:line="320" w:lineRule="exact"/>
        <w:rPr>
          <w:rFonts w:ascii="Verdana" w:hAnsi="Verdana"/>
          <w:b/>
          <w:bCs/>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rsidR="00180A7F" w:rsidRPr="00953A5B" w:rsidRDefault="00E82AEB" w:rsidP="00180A7F">
      <w:pPr>
        <w:widowControl w:val="0"/>
        <w:spacing w:line="276" w:lineRule="auto"/>
        <w:jc w:val="center"/>
        <w:rPr>
          <w:rFonts w:ascii="Verdana" w:hAnsi="Verdana"/>
          <w:b/>
          <w:bCs/>
          <w:smallCaps/>
          <w:sz w:val="20"/>
          <w:szCs w:val="20"/>
        </w:rPr>
      </w:pPr>
      <w:r>
        <w:rPr>
          <w:rFonts w:ascii="Verdana" w:hAnsi="Verdana"/>
          <w:b/>
          <w:bCs/>
          <w:smallCaps/>
          <w:sz w:val="20"/>
          <w:szCs w:val="20"/>
        </w:rPr>
        <w:t>[__]</w:t>
      </w:r>
      <w:r w:rsidR="00023D6B">
        <w:rPr>
          <w:rFonts w:ascii="Verdana" w:hAnsi="Verdana"/>
          <w:b/>
          <w:bCs/>
          <w:smallCaps/>
          <w:sz w:val="20"/>
          <w:szCs w:val="20"/>
        </w:rPr>
        <w:t xml:space="preserve"> de </w:t>
      </w:r>
      <w:r>
        <w:rPr>
          <w:rFonts w:ascii="Verdana" w:hAnsi="Verdana"/>
          <w:b/>
          <w:bCs/>
          <w:smallCaps/>
          <w:sz w:val="20"/>
          <w:szCs w:val="20"/>
        </w:rPr>
        <w:t>Junho</w:t>
      </w:r>
      <w:r w:rsidR="001A6700">
        <w:rPr>
          <w:rFonts w:ascii="Verdana" w:hAnsi="Verdana"/>
          <w:b/>
          <w:bCs/>
          <w:smallCaps/>
          <w:sz w:val="20"/>
          <w:szCs w:val="20"/>
        </w:rPr>
        <w:t xml:space="preserve"> </w:t>
      </w:r>
      <w:r w:rsidR="00180A7F" w:rsidRPr="00953A5B">
        <w:rPr>
          <w:rFonts w:ascii="Verdana" w:hAnsi="Verdana"/>
          <w:b/>
          <w:bCs/>
          <w:smallCaps/>
          <w:sz w:val="20"/>
          <w:szCs w:val="20"/>
        </w:rPr>
        <w:t xml:space="preserve">de </w:t>
      </w:r>
      <w:r>
        <w:rPr>
          <w:rFonts w:ascii="Verdana" w:hAnsi="Verdana"/>
          <w:b/>
          <w:bCs/>
          <w:smallCaps/>
          <w:sz w:val="20"/>
          <w:szCs w:val="20"/>
        </w:rPr>
        <w:t>2020</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rsidR="0077533B" w:rsidRPr="0077533B" w:rsidRDefault="00E82AEB" w:rsidP="0077533B">
      <w:pPr>
        <w:widowControl w:val="0"/>
        <w:spacing w:line="276" w:lineRule="auto"/>
        <w:jc w:val="both"/>
        <w:rPr>
          <w:rFonts w:ascii="Verdana" w:hAnsi="Verdana"/>
          <w:b/>
          <w:bCs/>
          <w:sz w:val="20"/>
          <w:szCs w:val="20"/>
        </w:rPr>
      </w:pPr>
      <w:r>
        <w:rPr>
          <w:rFonts w:ascii="Verdana" w:hAnsi="Verdana"/>
          <w:b/>
          <w:bCs/>
          <w:sz w:val="20"/>
          <w:szCs w:val="20"/>
        </w:rPr>
        <w:lastRenderedPageBreak/>
        <w:t>QUARTO</w:t>
      </w:r>
      <w:r w:rsidR="0077533B" w:rsidRPr="0077533B">
        <w:rPr>
          <w:rFonts w:ascii="Verdana" w:hAnsi="Verdana"/>
          <w:b/>
          <w:bCs/>
          <w:sz w:val="20"/>
          <w:szCs w:val="20"/>
        </w:rPr>
        <w:t xml:space="preserve"> ADITAMENTO AO INSTRUMENTO PARTICULAR DE ESCRITURA DA 1ª (PRIMEIRA) EMISSÃO DE DEBÊNTURES SIMPLES, NÃO CONVERSÍVEIS EM AÇÕES, EM </w:t>
      </w:r>
      <w:r>
        <w:rPr>
          <w:rFonts w:ascii="Verdana" w:hAnsi="Verdana"/>
          <w:b/>
          <w:bCs/>
          <w:sz w:val="20"/>
          <w:szCs w:val="20"/>
        </w:rPr>
        <w:t>CINCO</w:t>
      </w:r>
      <w:r w:rsidR="0077533B" w:rsidRPr="0077533B">
        <w:rPr>
          <w:rFonts w:ascii="Verdana" w:hAnsi="Verdana"/>
          <w:b/>
          <w:bCs/>
          <w:sz w:val="20"/>
          <w:szCs w:val="20"/>
        </w:rPr>
        <w:t xml:space="preserve"> SÉRIES PARA DISTRIBUIÇÃO PÚBLICA COM ESFORÇOS RESTRITOS DE COLOCAÇÃO E UMA SÉRIE PARA COLOCAÇÃO PRIVADA, DA ESPÉCIE COM GARANTIA REAL E GARANTIA </w:t>
      </w:r>
      <w:r w:rsidR="0077533B" w:rsidRPr="0077533B">
        <w:rPr>
          <w:rFonts w:ascii="Verdana" w:hAnsi="Verdana"/>
          <w:b/>
          <w:sz w:val="20"/>
          <w:szCs w:val="20"/>
        </w:rPr>
        <w:t>FIDEJUSSÓRIA</w:t>
      </w:r>
      <w:r w:rsidR="0077533B" w:rsidRPr="0077533B">
        <w:rPr>
          <w:rFonts w:ascii="Verdana" w:hAnsi="Verdana"/>
          <w:b/>
          <w:bCs/>
          <w:sz w:val="20"/>
          <w:szCs w:val="20"/>
        </w:rPr>
        <w:t xml:space="preserve"> ADICIONAL</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rsidR="00180A7F" w:rsidRPr="00953A5B" w:rsidRDefault="00180A7F" w:rsidP="00180A7F">
      <w:pPr>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caps/>
          <w:sz w:val="20"/>
          <w:szCs w:val="20"/>
        </w:rPr>
        <w:t>OSP INVESTIMENTOS S.A.</w:t>
      </w:r>
      <w:r w:rsidR="00E82AEB">
        <w:rPr>
          <w:rFonts w:ascii="Verdana" w:hAnsi="Verdana"/>
          <w:b/>
          <w:bCs/>
          <w:caps/>
          <w:sz w:val="20"/>
          <w:szCs w:val="20"/>
        </w:rPr>
        <w:t xml:space="preserve"> – em recuperação judicial</w:t>
      </w:r>
      <w:r w:rsidRPr="0077533B">
        <w:rPr>
          <w:rFonts w:ascii="Verdana" w:hAnsi="Verdana"/>
          <w:caps/>
          <w:sz w:val="20"/>
          <w:szCs w:val="20"/>
        </w:rPr>
        <w:t xml:space="preserve">, </w:t>
      </w:r>
      <w:r w:rsidRPr="0077533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77533B">
        <w:rPr>
          <w:rFonts w:ascii="Verdana" w:hAnsi="Verdana"/>
          <w:sz w:val="20"/>
          <w:szCs w:val="20"/>
          <w:u w:val="single"/>
        </w:rPr>
        <w:t>Emissora</w:t>
      </w:r>
      <w:r w:rsidRPr="0077533B">
        <w:rPr>
          <w:rFonts w:ascii="Verdana" w:hAnsi="Verdana"/>
          <w:sz w:val="20"/>
          <w:szCs w:val="20"/>
        </w:rPr>
        <w:t xml:space="preserve">”); </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De outro lado,</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sz w:val="20"/>
          <w:szCs w:val="20"/>
        </w:rPr>
        <w:t>SIMPLIFIC PAVARINI DISTRIBUIDORA DE TÍTULOS E VALORES MOBILIÁRIOS LTDA.</w:t>
      </w:r>
      <w:r w:rsidRPr="0077533B">
        <w:rPr>
          <w:rFonts w:ascii="Verdana" w:hAnsi="Verdana"/>
          <w:bCs/>
          <w:sz w:val="20"/>
          <w:szCs w:val="20"/>
        </w:rPr>
        <w:t>, instituição financeira, atuando por sua Filial na cidade de São Paulo, Estado de São Paulo, Rua São Bento, nº 329, sala 87 – 8º andar, Centro, CEP 01011-100, em fase de alteração de endereço para a Rua Joaquim Floriano, 466 – Bloco B, Sala 1401, Itaim Bibi, CEP 04534-002, inscrita no CNPJ/MF sob n.º15.227.994/0004-01,</w:t>
      </w:r>
      <w:r w:rsidRPr="0077533B">
        <w:rPr>
          <w:rFonts w:ascii="Verdana" w:hAnsi="Verdana"/>
          <w:b/>
          <w:sz w:val="20"/>
          <w:szCs w:val="20"/>
        </w:rPr>
        <w:t xml:space="preserve"> </w:t>
      </w:r>
      <w:r w:rsidRPr="0077533B">
        <w:rPr>
          <w:rFonts w:ascii="Verdana" w:hAnsi="Verdana"/>
          <w:bCs/>
          <w:sz w:val="20"/>
          <w:szCs w:val="20"/>
        </w:rPr>
        <w:t>neste ato representada nos termos do seu contrato social</w:t>
      </w:r>
      <w:r w:rsidRPr="0077533B">
        <w:rPr>
          <w:rFonts w:ascii="Verdana" w:hAnsi="Verdana"/>
          <w:sz w:val="20"/>
          <w:szCs w:val="20"/>
        </w:rPr>
        <w:t>, representando a comunhão dos Debenturistas</w:t>
      </w:r>
      <w:r w:rsidRPr="0077533B">
        <w:rPr>
          <w:rFonts w:ascii="Verdana" w:hAnsi="Verdana"/>
          <w:b/>
          <w:bCs/>
          <w:smallCaps/>
          <w:sz w:val="20"/>
          <w:szCs w:val="20"/>
        </w:rPr>
        <w:t xml:space="preserve"> </w:t>
      </w:r>
      <w:r w:rsidRPr="0077533B">
        <w:rPr>
          <w:rFonts w:ascii="Verdana" w:hAnsi="Verdana"/>
          <w:smallCaps/>
          <w:sz w:val="20"/>
          <w:szCs w:val="20"/>
        </w:rPr>
        <w:t>(“</w:t>
      </w:r>
      <w:r w:rsidRPr="0077533B">
        <w:rPr>
          <w:rFonts w:ascii="Verdana" w:hAnsi="Verdana"/>
          <w:sz w:val="20"/>
          <w:szCs w:val="20"/>
          <w:u w:val="single"/>
        </w:rPr>
        <w:t>Agente Fiduciário</w:t>
      </w:r>
      <w:r w:rsidRPr="0077533B">
        <w:rPr>
          <w:rFonts w:ascii="Verdana" w:hAnsi="Verdana"/>
          <w:sz w:val="20"/>
          <w:szCs w:val="20"/>
        </w:rPr>
        <w:t>”);</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color w:val="000000"/>
          <w:sz w:val="20"/>
          <w:szCs w:val="20"/>
        </w:rPr>
        <w:t>E, como fiadoras,</w:t>
      </w:r>
    </w:p>
    <w:p w:rsidR="0077533B" w:rsidRPr="0077533B" w:rsidRDefault="0077533B" w:rsidP="0077533B">
      <w:pPr>
        <w:widowControl w:val="0"/>
        <w:spacing w:line="276" w:lineRule="auto"/>
        <w:jc w:val="both"/>
        <w:rPr>
          <w:rFonts w:ascii="Verdana" w:hAnsi="Verdana"/>
          <w:color w:val="000000"/>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sidR="00E82AEB">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rsidR="0077533B" w:rsidRPr="0077533B" w:rsidRDefault="0077533B" w:rsidP="0077533B">
      <w:pPr>
        <w:widowControl w:val="0"/>
        <w:spacing w:line="276" w:lineRule="auto"/>
        <w:jc w:val="both"/>
        <w:rPr>
          <w:rFonts w:ascii="Verdana" w:hAnsi="Verdana"/>
          <w:color w:val="000000"/>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sidR="00E82AEB">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Quando referidos em conjunto, a Emissora, o Agente Fiduciário, a OSP e a ODB serão denominados “</w:t>
      </w:r>
      <w:r w:rsidRPr="0077533B">
        <w:rPr>
          <w:rFonts w:ascii="Verdana" w:hAnsi="Verdana"/>
          <w:sz w:val="20"/>
          <w:szCs w:val="20"/>
          <w:u w:val="single"/>
        </w:rPr>
        <w:t>Partes</w:t>
      </w:r>
      <w:r w:rsidRPr="0077533B">
        <w:rPr>
          <w:rFonts w:ascii="Verdana" w:hAnsi="Verdana"/>
          <w:sz w:val="20"/>
          <w:szCs w:val="20"/>
        </w:rPr>
        <w:t>” e, individualmente, “</w:t>
      </w:r>
      <w:r w:rsidRPr="0077533B">
        <w:rPr>
          <w:rFonts w:ascii="Verdana" w:hAnsi="Verdana"/>
          <w:sz w:val="20"/>
          <w:szCs w:val="20"/>
          <w:u w:val="single"/>
        </w:rPr>
        <w:t>Parte</w:t>
      </w:r>
      <w:r w:rsidRPr="0077533B">
        <w:rPr>
          <w:rFonts w:ascii="Verdana" w:hAnsi="Verdana"/>
          <w:sz w:val="20"/>
          <w:szCs w:val="20"/>
        </w:rPr>
        <w:t>”.</w:t>
      </w:r>
    </w:p>
    <w:p w:rsidR="002C4BEF" w:rsidRPr="0077533B" w:rsidRDefault="002C4BEF" w:rsidP="00180A7F">
      <w:pPr>
        <w:spacing w:line="276" w:lineRule="auto"/>
        <w:jc w:val="both"/>
        <w:rPr>
          <w:rFonts w:ascii="Verdana" w:hAnsi="Verdana"/>
          <w:sz w:val="20"/>
          <w:szCs w:val="20"/>
        </w:rPr>
      </w:pPr>
    </w:p>
    <w:p w:rsidR="00180A7F" w:rsidRPr="0077533B" w:rsidRDefault="00180A7F" w:rsidP="00180A7F">
      <w:pPr>
        <w:widowControl w:val="0"/>
        <w:spacing w:line="276" w:lineRule="auto"/>
        <w:jc w:val="both"/>
        <w:rPr>
          <w:rFonts w:ascii="Verdana" w:hAnsi="Verdana"/>
          <w:b/>
          <w:sz w:val="20"/>
          <w:szCs w:val="20"/>
        </w:rPr>
      </w:pPr>
      <w:r w:rsidRPr="0077533B">
        <w:rPr>
          <w:rFonts w:ascii="Verdana" w:hAnsi="Verdana"/>
          <w:b/>
          <w:sz w:val="20"/>
          <w:szCs w:val="20"/>
        </w:rPr>
        <w:t>CONSIDERANDO QUE,</w:t>
      </w:r>
    </w:p>
    <w:p w:rsidR="00180A7F" w:rsidRPr="0077533B" w:rsidRDefault="00180A7F" w:rsidP="00180A7F">
      <w:pPr>
        <w:spacing w:line="276" w:lineRule="auto"/>
        <w:jc w:val="both"/>
        <w:rPr>
          <w:rFonts w:ascii="Verdana" w:hAnsi="Verdana"/>
          <w:smallCaps/>
          <w:sz w:val="20"/>
          <w:szCs w:val="20"/>
        </w:rPr>
      </w:pPr>
    </w:p>
    <w:p w:rsidR="00180A7F" w:rsidRPr="00953A5B" w:rsidRDefault="0077533B" w:rsidP="00180A7F">
      <w:pPr>
        <w:pStyle w:val="PargrafodaLista"/>
        <w:numPr>
          <w:ilvl w:val="0"/>
          <w:numId w:val="1"/>
        </w:numPr>
        <w:spacing w:line="276" w:lineRule="auto"/>
        <w:ind w:hanging="720"/>
        <w:jc w:val="both"/>
        <w:rPr>
          <w:rFonts w:ascii="Verdana" w:hAnsi="Verdana"/>
          <w:sz w:val="20"/>
          <w:szCs w:val="20"/>
        </w:rPr>
      </w:pPr>
      <w:r w:rsidRPr="0077533B">
        <w:rPr>
          <w:rFonts w:ascii="Verdana" w:hAnsi="Verdana"/>
          <w:sz w:val="20"/>
          <w:szCs w:val="20"/>
        </w:rPr>
        <w:t xml:space="preserve">as Partes celebraram, em 15 de julho de 2016, o Instrumento Particular de Escritura da 1ª (Primeira) Emissão Pública de Debêntures Simples, Não Conversíveis em Ações, em Duas Séries para Distribuição Pública com Esforços Restritos e Uma Série para Colocação Privada, da Espécie com Garantia Real e </w:t>
      </w:r>
      <w:r w:rsidRPr="0077533B">
        <w:rPr>
          <w:rFonts w:ascii="Verdana" w:hAnsi="Verdana"/>
          <w:sz w:val="20"/>
          <w:szCs w:val="20"/>
        </w:rPr>
        <w:lastRenderedPageBreak/>
        <w:t>Garantia Fidejussória Adicional</w:t>
      </w:r>
      <w:r w:rsidR="007A15CA" w:rsidRPr="00953A5B">
        <w:rPr>
          <w:rFonts w:ascii="Verdana" w:hAnsi="Verdana"/>
          <w:sz w:val="20"/>
          <w:szCs w:val="20"/>
        </w:rPr>
        <w:t xml:space="preserve">, conforme aditada </w:t>
      </w:r>
      <w:r w:rsidR="00E82AEB">
        <w:rPr>
          <w:rFonts w:ascii="Verdana" w:hAnsi="Verdana"/>
          <w:sz w:val="20"/>
          <w:szCs w:val="20"/>
        </w:rPr>
        <w:t>de tempos em tempos</w:t>
      </w:r>
      <w:r w:rsidR="00180A7F" w:rsidRPr="00953A5B">
        <w:rPr>
          <w:rFonts w:ascii="Verdana" w:hAnsi="Verdana"/>
          <w:sz w:val="20"/>
          <w:szCs w:val="20"/>
        </w:rPr>
        <w:t xml:space="preserve"> (“</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rsidR="007A15CA" w:rsidRPr="00953A5B" w:rsidRDefault="007A15CA" w:rsidP="007A15CA">
      <w:pPr>
        <w:pStyle w:val="PargrafodaLista"/>
        <w:spacing w:line="276" w:lineRule="auto"/>
        <w:jc w:val="both"/>
        <w:rPr>
          <w:rFonts w:ascii="Verdana" w:hAnsi="Verdana"/>
          <w:sz w:val="20"/>
          <w:szCs w:val="20"/>
        </w:rPr>
      </w:pPr>
    </w:p>
    <w:p w:rsidR="000501D5" w:rsidRPr="00F60FA2" w:rsidRDefault="00E82AE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 as Partes realizaram uma assembleia geral de debenturistas (“</w:t>
      </w:r>
      <w:r w:rsidRPr="00F60FA2">
        <w:rPr>
          <w:rFonts w:ascii="Verdana" w:hAnsi="Verdana"/>
          <w:sz w:val="20"/>
          <w:szCs w:val="20"/>
          <w:u w:val="single"/>
        </w:rPr>
        <w:t>AGD</w:t>
      </w:r>
      <w:r>
        <w:rPr>
          <w:rFonts w:ascii="Verdana" w:hAnsi="Verdana"/>
          <w:sz w:val="20"/>
          <w:szCs w:val="20"/>
        </w:rPr>
        <w:t xml:space="preserve">”) </w:t>
      </w:r>
      <w:r w:rsidR="000501D5">
        <w:rPr>
          <w:rFonts w:ascii="Verdana" w:hAnsi="Verdana"/>
          <w:sz w:val="20"/>
          <w:szCs w:val="20"/>
        </w:rPr>
        <w:t xml:space="preserve">na qual </w:t>
      </w:r>
      <w:r>
        <w:rPr>
          <w:rFonts w:ascii="Verdana" w:hAnsi="Verdana"/>
          <w:sz w:val="20"/>
          <w:szCs w:val="20"/>
        </w:rPr>
        <w:t xml:space="preserve">os Debenturistas (conforme definido na Escritura) </w:t>
      </w:r>
      <w:r w:rsidR="000501D5">
        <w:rPr>
          <w:rFonts w:ascii="Verdana" w:hAnsi="Verdana"/>
          <w:sz w:val="20"/>
          <w:szCs w:val="20"/>
        </w:rPr>
        <w:t xml:space="preserve">aprovaram aditar determinadas cláusulas e disposições da Escritura a fim de refletir as </w:t>
      </w:r>
      <w:r w:rsidR="000501D5" w:rsidRPr="00F60FA2">
        <w:rPr>
          <w:rFonts w:ascii="Verdana" w:hAnsi="Verdana"/>
          <w:sz w:val="20"/>
          <w:szCs w:val="20"/>
        </w:rPr>
        <w:t xml:space="preserve">novas Datas de Vencimento das Debêntures, Período de Carência e Data de Pagamento dos Juros aplicáveis às Debêntures da 1ª Série, 4ª Série, 5ª Série e 6ª Série, atualmente </w:t>
      </w:r>
      <w:r w:rsidR="0083514A">
        <w:rPr>
          <w:rFonts w:ascii="Verdana" w:hAnsi="Verdana"/>
          <w:sz w:val="20"/>
          <w:szCs w:val="20"/>
        </w:rPr>
        <w:t>vencidas</w:t>
      </w:r>
      <w:r w:rsidR="000501D5" w:rsidRPr="00F60FA2">
        <w:rPr>
          <w:rFonts w:ascii="Verdana" w:hAnsi="Verdana"/>
          <w:sz w:val="20"/>
          <w:szCs w:val="20"/>
        </w:rPr>
        <w:t xml:space="preserve"> e/ou devidas em 31 de maio de 2020, para 31 de agosto de 2020; </w:t>
      </w:r>
      <w:r w:rsidR="000501D5">
        <w:rPr>
          <w:rFonts w:ascii="Verdana" w:hAnsi="Verdana"/>
          <w:sz w:val="20"/>
          <w:szCs w:val="20"/>
        </w:rPr>
        <w:t xml:space="preserve">e </w:t>
      </w:r>
    </w:p>
    <w:p w:rsidR="00180A7F" w:rsidRPr="00953A5B" w:rsidRDefault="00180A7F" w:rsidP="00180A7F">
      <w:pPr>
        <w:spacing w:line="276" w:lineRule="auto"/>
        <w:jc w:val="both"/>
        <w:rPr>
          <w:rFonts w:ascii="Verdana" w:hAnsi="Verdana"/>
          <w:sz w:val="20"/>
          <w:szCs w:val="20"/>
        </w:rPr>
      </w:pPr>
    </w:p>
    <w:p w:rsidR="00180A7F" w:rsidRPr="00023D6B" w:rsidRDefault="008B08FE" w:rsidP="00023D6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00180A7F" w:rsidRPr="00953A5B">
        <w:rPr>
          <w:rFonts w:ascii="Verdana" w:hAnsi="Verdana"/>
          <w:sz w:val="20"/>
          <w:szCs w:val="20"/>
        </w:rPr>
        <w:t>as Partes desejam alterar certos termos e con</w:t>
      </w:r>
      <w:r w:rsidR="00023D6B">
        <w:rPr>
          <w:rFonts w:ascii="Verdana" w:hAnsi="Verdana"/>
          <w:sz w:val="20"/>
          <w:szCs w:val="20"/>
        </w:rPr>
        <w:t>dições previstos na Escritura.</w:t>
      </w:r>
    </w:p>
    <w:p w:rsidR="00180A7F" w:rsidRPr="00953A5B" w:rsidRDefault="00180A7F" w:rsidP="00180A7F">
      <w:pPr>
        <w:widowControl w:val="0"/>
        <w:spacing w:line="276" w:lineRule="auto"/>
        <w:jc w:val="both"/>
        <w:rPr>
          <w:rFonts w:ascii="Verdana" w:hAnsi="Verdana"/>
          <w:sz w:val="20"/>
          <w:szCs w:val="20"/>
        </w:rPr>
      </w:pPr>
    </w:p>
    <w:p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0501D5">
        <w:rPr>
          <w:rFonts w:ascii="Verdana" w:hAnsi="Verdana"/>
          <w:sz w:val="20"/>
          <w:szCs w:val="20"/>
        </w:rPr>
        <w:t>Quarto</w:t>
      </w:r>
      <w:r w:rsidR="00823FD7">
        <w:rPr>
          <w:rFonts w:ascii="Verdana" w:hAnsi="Verdana"/>
          <w:sz w:val="20"/>
          <w:szCs w:val="20"/>
        </w:rPr>
        <w:t xml:space="preserve"> Aditamento ao Instrumento Particular de Escritura da 1ª (Primeira) Emissão de Debêntures Simples, Não Conversíveis em Ações, em </w:t>
      </w:r>
      <w:r w:rsidR="000501D5">
        <w:rPr>
          <w:rFonts w:ascii="Verdana" w:hAnsi="Verdana"/>
          <w:sz w:val="20"/>
          <w:szCs w:val="20"/>
        </w:rPr>
        <w:t>Cinco</w:t>
      </w:r>
      <w:r w:rsidR="00823FD7">
        <w:rPr>
          <w:rFonts w:ascii="Verdana" w:hAnsi="Verdana"/>
          <w:sz w:val="20"/>
          <w:szCs w:val="20"/>
        </w:rPr>
        <w:t xml:space="preserve"> Séries para Distribuição Pública com Esforços Restritos de Colocação e Uma Série para Colocação Privada, da Espécie com Garantia Real e Garantia Fidejussória Adicional</w:t>
      </w:r>
      <w:r w:rsidR="00180A7F" w:rsidRPr="00953A5B">
        <w:rPr>
          <w:rFonts w:ascii="Verdana" w:hAnsi="Verdana"/>
          <w:sz w:val="20"/>
          <w:szCs w:val="20"/>
        </w:rPr>
        <w:t xml:space="preserve">” </w:t>
      </w:r>
      <w:r w:rsidR="00180A7F" w:rsidRPr="00953A5B">
        <w:rPr>
          <w:rFonts w:ascii="Verdana" w:hAnsi="Verdana"/>
          <w:color w:val="000000"/>
          <w:sz w:val="20"/>
          <w:szCs w:val="20"/>
        </w:rPr>
        <w:t>(“</w:t>
      </w:r>
      <w:r w:rsidR="000501D5" w:rsidRPr="00F60FA2">
        <w:rPr>
          <w:rFonts w:ascii="Verdana" w:hAnsi="Verdana"/>
          <w:color w:val="000000"/>
          <w:sz w:val="20"/>
          <w:szCs w:val="20"/>
          <w:u w:val="single"/>
        </w:rPr>
        <w:t>Quarto</w:t>
      </w:r>
      <w:r w:rsidR="00823FD7" w:rsidRPr="006F5A95">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rsidR="00180A7F" w:rsidRPr="00953A5B" w:rsidRDefault="00180A7F" w:rsidP="00180A7F">
      <w:pPr>
        <w:spacing w:line="276" w:lineRule="auto"/>
        <w:jc w:val="both"/>
        <w:rPr>
          <w:rFonts w:ascii="Verdana" w:hAnsi="Verdana"/>
          <w:smallCaps/>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0501D5">
        <w:rPr>
          <w:rFonts w:ascii="Verdana" w:hAnsi="Verdana"/>
          <w:sz w:val="20"/>
          <w:szCs w:val="20"/>
        </w:rPr>
        <w:t>Quarto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rsidR="00180A7F" w:rsidRPr="00953A5B" w:rsidRDefault="00180A7F" w:rsidP="00180A7F">
      <w:pPr>
        <w:widowControl w:val="0"/>
        <w:spacing w:line="276" w:lineRule="auto"/>
        <w:jc w:val="both"/>
        <w:rPr>
          <w:rFonts w:ascii="Verdana" w:hAnsi="Verdana"/>
          <w:caps/>
          <w:sz w:val="20"/>
          <w:szCs w:val="20"/>
        </w:rPr>
      </w:pPr>
    </w:p>
    <w:p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0" w:name="_Toc496756628"/>
      <w:bookmarkStart w:id="1" w:name="_Toc499906585"/>
      <w:r w:rsidRPr="00953A5B">
        <w:rPr>
          <w:rFonts w:ascii="Verdana" w:hAnsi="Verdana"/>
          <w:b/>
          <w:bCs/>
          <w:caps/>
          <w:color w:val="000000"/>
          <w:sz w:val="20"/>
          <w:szCs w:val="20"/>
        </w:rPr>
        <w:t xml:space="preserve">Cláusula I - </w:t>
      </w:r>
      <w:bookmarkEnd w:id="0"/>
      <w:r w:rsidRPr="00953A5B">
        <w:rPr>
          <w:rFonts w:ascii="Verdana" w:hAnsi="Verdana"/>
          <w:b/>
          <w:bCs/>
          <w:caps/>
          <w:color w:val="000000"/>
          <w:sz w:val="20"/>
          <w:szCs w:val="20"/>
        </w:rPr>
        <w:t>Alterações</w:t>
      </w:r>
      <w:bookmarkEnd w:id="1"/>
    </w:p>
    <w:p w:rsidR="00180A7F" w:rsidRPr="00953A5B" w:rsidRDefault="00180A7F" w:rsidP="00180A7F">
      <w:pPr>
        <w:spacing w:line="276" w:lineRule="auto"/>
        <w:jc w:val="both"/>
        <w:rPr>
          <w:rFonts w:ascii="Verdana" w:hAnsi="Verdana"/>
          <w:sz w:val="20"/>
          <w:szCs w:val="20"/>
        </w:rPr>
      </w:pPr>
    </w:p>
    <w:p w:rsidR="00C37937"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e </w:t>
      </w:r>
      <w:r w:rsidR="000501D5">
        <w:rPr>
          <w:rFonts w:ascii="Verdana" w:hAnsi="Verdana"/>
          <w:sz w:val="20"/>
          <w:szCs w:val="20"/>
        </w:rPr>
        <w:t>conforme previsto na AGD</w:t>
      </w:r>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0501D5">
        <w:rPr>
          <w:rFonts w:ascii="Verdana" w:hAnsi="Verdana"/>
          <w:sz w:val="20"/>
          <w:szCs w:val="20"/>
        </w:rPr>
        <w:t xml:space="preserve"> alterar </w:t>
      </w:r>
      <w:r w:rsidR="000501D5" w:rsidRPr="00F60FA2">
        <w:rPr>
          <w:rFonts w:ascii="Verdana" w:hAnsi="Verdana"/>
          <w:sz w:val="20"/>
          <w:szCs w:val="20"/>
        </w:rPr>
        <w:t xml:space="preserve">as Cláusulas 4.1.7, 4.3.2, 4.3.2.1 e 4.4.1 da Escritura a fim de refletir as novas Datas de Vencimento das Debêntures, Período de Carência e Data de Pagamento dos Juros aplicáveis às Debêntures da 1ª Série, 4ª Série, 5ª Série e 6ª Série, atualmente </w:t>
      </w:r>
      <w:r w:rsidR="0083514A">
        <w:rPr>
          <w:rFonts w:ascii="Verdana" w:hAnsi="Verdana"/>
          <w:sz w:val="20"/>
          <w:szCs w:val="20"/>
        </w:rPr>
        <w:t>vencidas</w:t>
      </w:r>
      <w:r w:rsidR="000501D5" w:rsidRPr="00F60FA2">
        <w:rPr>
          <w:rFonts w:ascii="Verdana" w:hAnsi="Verdana"/>
          <w:sz w:val="20"/>
          <w:szCs w:val="20"/>
        </w:rPr>
        <w:t xml:space="preserve"> e/ou devidas em 31 de maio de 2020, para 31 de agosto de 2020, de forma que tais cláusulas passam a viger com a seguinte nova redação: </w:t>
      </w:r>
    </w:p>
    <w:p w:rsidR="000501D5" w:rsidRDefault="000501D5" w:rsidP="000501D5">
      <w:pPr>
        <w:pStyle w:val="PargrafodaLista"/>
        <w:tabs>
          <w:tab w:val="left" w:pos="851"/>
        </w:tabs>
        <w:spacing w:line="276" w:lineRule="auto"/>
        <w:ind w:left="360"/>
        <w:jc w:val="both"/>
        <w:rPr>
          <w:rFonts w:ascii="Verdana" w:hAnsi="Verdana"/>
          <w:sz w:val="20"/>
          <w:szCs w:val="20"/>
        </w:rPr>
      </w:pPr>
    </w:p>
    <w:p w:rsidR="000501D5" w:rsidRPr="00F60FA2" w:rsidRDefault="000501D5" w:rsidP="000501D5">
      <w:pPr>
        <w:pStyle w:val="PargrafodaLista"/>
        <w:numPr>
          <w:ilvl w:val="0"/>
          <w:numId w:val="10"/>
        </w:numPr>
        <w:tabs>
          <w:tab w:val="left" w:pos="0"/>
        </w:tabs>
        <w:spacing w:line="300" w:lineRule="exact"/>
        <w:ind w:left="0" w:firstLine="0"/>
        <w:jc w:val="both"/>
        <w:rPr>
          <w:rFonts w:ascii="Verdana" w:hAnsi="Verdana"/>
          <w:sz w:val="20"/>
          <w:szCs w:val="20"/>
        </w:rPr>
      </w:pPr>
      <w:r w:rsidRPr="00F60FA2">
        <w:rPr>
          <w:rFonts w:ascii="Verdana" w:hAnsi="Verdana"/>
          <w:sz w:val="20"/>
          <w:szCs w:val="20"/>
        </w:rPr>
        <w:t xml:space="preserve">alterar as Cláusulas 4.1.7, 4.3.2, 4.3.2.1 e 4.4.1 da Escritura de Emissão, a fim de refletir as novas Datas de Vencimento das Debêntures, Período de Carência e Data de Pagamento dos Juros das Debêntures da 1ª Série, 4ª Série, 5ª Série e 6ª Série, que passam a vigorar com a seguinte nova redação: </w:t>
      </w:r>
    </w:p>
    <w:p w:rsidR="000501D5" w:rsidRPr="00F60FA2" w:rsidRDefault="000501D5" w:rsidP="000501D5">
      <w:pPr>
        <w:tabs>
          <w:tab w:val="left" w:pos="0"/>
        </w:tabs>
        <w:spacing w:line="300" w:lineRule="exact"/>
        <w:jc w:val="both"/>
        <w:rPr>
          <w:rFonts w:ascii="Verdana" w:hAnsi="Verdana"/>
          <w:sz w:val="20"/>
          <w:szCs w:val="20"/>
        </w:rPr>
      </w:pPr>
    </w:p>
    <w:p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iCs/>
          <w:sz w:val="20"/>
          <w:szCs w:val="20"/>
        </w:rPr>
        <w:t>“4.1.7.</w:t>
      </w:r>
      <w:r w:rsidRPr="00F60FA2">
        <w:rPr>
          <w:rFonts w:ascii="Verdana" w:hAnsi="Verdana"/>
          <w:i/>
          <w:iCs/>
          <w:sz w:val="20"/>
          <w:szCs w:val="20"/>
        </w:rPr>
        <w:tab/>
      </w:r>
      <w:r w:rsidRPr="00F60FA2">
        <w:rPr>
          <w:rFonts w:ascii="Verdana" w:hAnsi="Verdana"/>
          <w:i/>
          <w:iCs/>
          <w:sz w:val="20"/>
          <w:szCs w:val="20"/>
          <w:u w:val="single"/>
        </w:rPr>
        <w:t>Prazo e Data de Vencimento</w:t>
      </w:r>
      <w:r w:rsidRPr="00F60FA2">
        <w:rPr>
          <w:rFonts w:ascii="Verdana" w:hAnsi="Verdana"/>
          <w:i/>
          <w:sz w:val="20"/>
          <w:szCs w:val="20"/>
        </w:rPr>
        <w:t xml:space="preserve">. Ressalvadas as hipóteses de resgate antecipado, amortização antecipada ou vencimento antecipado conforme previsto na presente Escritura, (a) as Debêntures da 1ª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1ª Série</w:t>
      </w:r>
      <w:r w:rsidRPr="00F60FA2">
        <w:rPr>
          <w:rFonts w:ascii="Verdana" w:hAnsi="Verdana"/>
          <w:i/>
          <w:sz w:val="20"/>
          <w:szCs w:val="20"/>
        </w:rPr>
        <w:t xml:space="preserve">”); (b) as Debêntures da 2ª Série terão prazo de vigência de 4642 (quatro mil, seiscentos e quarenta e dois) dias corridos, vencendo-se, portanto, em </w:t>
      </w:r>
      <w:r w:rsidRPr="00F60FA2">
        <w:rPr>
          <w:rFonts w:ascii="Verdana" w:hAnsi="Verdana"/>
          <w:i/>
          <w:color w:val="000000"/>
          <w:sz w:val="20"/>
          <w:szCs w:val="20"/>
        </w:rPr>
        <w:t xml:space="preserve">31 </w:t>
      </w:r>
      <w:r w:rsidRPr="00F60FA2">
        <w:rPr>
          <w:rFonts w:ascii="Verdana" w:hAnsi="Verdana"/>
          <w:i/>
          <w:sz w:val="20"/>
          <w:szCs w:val="20"/>
        </w:rPr>
        <w:t>de março</w:t>
      </w:r>
      <w:r w:rsidRPr="00F60FA2">
        <w:rPr>
          <w:rFonts w:ascii="Verdana" w:hAnsi="Verdana"/>
          <w:i/>
          <w:color w:val="000000"/>
          <w:sz w:val="20"/>
          <w:szCs w:val="20"/>
        </w:rPr>
        <w:t xml:space="preserve"> </w:t>
      </w:r>
      <w:r w:rsidRPr="00F60FA2">
        <w:rPr>
          <w:rFonts w:ascii="Verdana" w:hAnsi="Verdana"/>
          <w:i/>
          <w:sz w:val="20"/>
          <w:szCs w:val="20"/>
        </w:rPr>
        <w:t>de 2029 (“</w:t>
      </w:r>
      <w:r w:rsidRPr="00F60FA2">
        <w:rPr>
          <w:rFonts w:ascii="Verdana" w:hAnsi="Verdana"/>
          <w:i/>
          <w:sz w:val="20"/>
          <w:szCs w:val="20"/>
          <w:u w:val="single"/>
        </w:rPr>
        <w:t>Data de Vencimento das Debêntures da 2ª Série</w:t>
      </w:r>
      <w:r w:rsidRPr="00F60FA2">
        <w:rPr>
          <w:rFonts w:ascii="Verdana" w:hAnsi="Verdana"/>
          <w:i/>
          <w:sz w:val="20"/>
          <w:szCs w:val="20"/>
        </w:rPr>
        <w:t>”); (c) as Debêntures da 3ª Série (conforme abaixo definido) terão prazo de vigência de 4642 (quatro mil, seiscentos e quarenta e dois) dias corridos, vencendo-se, portanto, em 31 de março de 2029 (“</w:t>
      </w:r>
      <w:r w:rsidRPr="00F60FA2">
        <w:rPr>
          <w:rFonts w:ascii="Verdana" w:hAnsi="Verdana"/>
          <w:i/>
          <w:sz w:val="20"/>
          <w:szCs w:val="20"/>
          <w:u w:val="single"/>
        </w:rPr>
        <w:t>Data de Vencimento das Debêntures da 3ª Série</w:t>
      </w:r>
      <w:r w:rsidRPr="00F60FA2">
        <w:rPr>
          <w:rFonts w:ascii="Verdana" w:hAnsi="Verdana"/>
          <w:i/>
          <w:sz w:val="20"/>
          <w:szCs w:val="20"/>
        </w:rPr>
        <w:t xml:space="preserve">”); as Debêntures da 4ª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4ª Série</w:t>
      </w:r>
      <w:r w:rsidRPr="00F60FA2">
        <w:rPr>
          <w:rFonts w:ascii="Verdana" w:hAnsi="Verdana"/>
          <w:i/>
          <w:sz w:val="20"/>
          <w:szCs w:val="20"/>
        </w:rPr>
        <w:t xml:space="preserve">”); as Debêntures da 5ª Série terão vencimento em </w:t>
      </w:r>
      <w:r w:rsidRPr="00F60FA2">
        <w:rPr>
          <w:rFonts w:ascii="Verdana" w:hAnsi="Verdana"/>
          <w:i/>
          <w:color w:val="000000"/>
          <w:sz w:val="20"/>
          <w:szCs w:val="20"/>
        </w:rPr>
        <w:t xml:space="preserve">31 </w:t>
      </w:r>
      <w:r w:rsidRPr="00F60FA2">
        <w:rPr>
          <w:rFonts w:ascii="Verdana" w:hAnsi="Verdana"/>
          <w:i/>
          <w:sz w:val="20"/>
          <w:szCs w:val="20"/>
        </w:rPr>
        <w:t xml:space="preserve">de </w:t>
      </w:r>
      <w:r w:rsidRPr="00F60FA2">
        <w:rPr>
          <w:rFonts w:ascii="Verdana" w:hAnsi="Verdana"/>
          <w:i/>
          <w:sz w:val="20"/>
          <w:szCs w:val="20"/>
        </w:rPr>
        <w:lastRenderedPageBreak/>
        <w:t>agosto de 2020 (“</w:t>
      </w:r>
      <w:r w:rsidRPr="00F60FA2">
        <w:rPr>
          <w:rFonts w:ascii="Verdana" w:hAnsi="Verdana"/>
          <w:i/>
          <w:sz w:val="20"/>
          <w:szCs w:val="20"/>
          <w:u w:val="single"/>
        </w:rPr>
        <w:t>Data de Vencimento das Debêntures da 5ª Série</w:t>
      </w:r>
      <w:r w:rsidRPr="00F60FA2">
        <w:rPr>
          <w:rFonts w:ascii="Verdana" w:hAnsi="Verdana"/>
          <w:i/>
          <w:sz w:val="20"/>
          <w:szCs w:val="20"/>
        </w:rPr>
        <w:t xml:space="preserve">”); e as Debêntures da 6ª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6ª Série</w:t>
      </w:r>
      <w:r w:rsidRPr="00F60FA2">
        <w:rPr>
          <w:rFonts w:ascii="Verdana" w:hAnsi="Verdana"/>
          <w:i/>
          <w:sz w:val="20"/>
          <w:szCs w:val="20"/>
        </w:rPr>
        <w:t>”).</w:t>
      </w:r>
    </w:p>
    <w:p w:rsidR="000501D5" w:rsidRPr="00F60FA2" w:rsidRDefault="000501D5" w:rsidP="000501D5">
      <w:pPr>
        <w:tabs>
          <w:tab w:val="left" w:pos="1260"/>
        </w:tabs>
        <w:spacing w:line="276" w:lineRule="auto"/>
        <w:jc w:val="both"/>
        <w:rPr>
          <w:rFonts w:ascii="Verdana" w:hAnsi="Verdana"/>
          <w:i/>
          <w:sz w:val="20"/>
          <w:szCs w:val="20"/>
        </w:rPr>
      </w:pPr>
    </w:p>
    <w:p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sz w:val="20"/>
          <w:szCs w:val="20"/>
        </w:rPr>
        <w:t>(...)</w:t>
      </w:r>
    </w:p>
    <w:p w:rsidR="000501D5" w:rsidRPr="00F60FA2" w:rsidRDefault="000501D5" w:rsidP="000501D5">
      <w:pPr>
        <w:tabs>
          <w:tab w:val="left" w:pos="0"/>
        </w:tabs>
        <w:spacing w:line="300" w:lineRule="exact"/>
        <w:jc w:val="both"/>
        <w:rPr>
          <w:rFonts w:ascii="Verdana" w:hAnsi="Verdana"/>
          <w:sz w:val="20"/>
          <w:szCs w:val="20"/>
        </w:rPr>
      </w:pPr>
    </w:p>
    <w:p w:rsidR="000501D5" w:rsidRPr="00F60FA2" w:rsidRDefault="000501D5" w:rsidP="000501D5">
      <w:pPr>
        <w:tabs>
          <w:tab w:val="left" w:pos="0"/>
        </w:tabs>
        <w:spacing w:line="300" w:lineRule="exact"/>
        <w:jc w:val="both"/>
        <w:rPr>
          <w:rFonts w:ascii="Verdana" w:hAnsi="Verdana"/>
          <w:i/>
          <w:sz w:val="20"/>
          <w:szCs w:val="20"/>
        </w:rPr>
      </w:pPr>
      <w:r w:rsidRPr="00F60FA2">
        <w:rPr>
          <w:rFonts w:ascii="Verdana" w:hAnsi="Verdana"/>
          <w:i/>
          <w:sz w:val="20"/>
          <w:szCs w:val="20"/>
        </w:rPr>
        <w:t>4.3.2.</w:t>
      </w:r>
      <w:r w:rsidRPr="00F60FA2">
        <w:rPr>
          <w:rFonts w:ascii="Verdana" w:hAnsi="Verdana"/>
          <w:i/>
          <w:sz w:val="20"/>
          <w:szCs w:val="20"/>
        </w:rPr>
        <w:tab/>
      </w:r>
      <w:r w:rsidRPr="00F60FA2">
        <w:rPr>
          <w:rFonts w:ascii="Verdana" w:hAnsi="Verdana"/>
          <w:i/>
          <w:iCs/>
          <w:sz w:val="20"/>
          <w:szCs w:val="20"/>
          <w:u w:val="single"/>
        </w:rPr>
        <w:t>Juros</w:t>
      </w:r>
      <w:r w:rsidRPr="00F60FA2">
        <w:rPr>
          <w:rFonts w:ascii="Verdana" w:hAnsi="Verdana"/>
          <w:i/>
          <w:sz w:val="20"/>
          <w:szCs w:val="20"/>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F60FA2">
        <w:rPr>
          <w:rFonts w:ascii="Verdana" w:hAnsi="Verdana"/>
          <w:i/>
          <w:color w:val="000000"/>
          <w:sz w:val="20"/>
          <w:szCs w:val="20"/>
        </w:rPr>
        <w:t xml:space="preserve"> pagos</w:t>
      </w:r>
      <w:r w:rsidRPr="00F60FA2">
        <w:rPr>
          <w:rFonts w:ascii="Verdana" w:hAnsi="Verdana"/>
          <w:i/>
          <w:sz w:val="20"/>
          <w:szCs w:val="20"/>
        </w:rPr>
        <w:t xml:space="preserve"> na Data de Vencimento das Debêntures da 1ª Série, na Data de Vencimento das Debêntures da 4ª Série, na Data de Vencimento das Debêntures da 5ª Série e na Data de Vencimento das Debêntures da 6ª Série, ou seja, em 31 de agosto de 2020, juntamente com o Valor Nominal Unitário das Debêntures, sem prejuízo do disposto na Cláusula 4.3.2.1 abaixo; (ii) no caso da 2ª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 xml:space="preserve">de 2021 e o último, na Data de Vencimento das Debêntures da 2ª Série; e (iii) no caso da 3ª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 xml:space="preserve">de 2021 e o último, na Data de Vencimento das Debêntures da 3ª Série. Os Juros incorridos, para as Debêntures da 2ª Série, desde a Data de Emissão até 31 de </w:t>
      </w:r>
      <w:r w:rsidRPr="00F60FA2">
        <w:rPr>
          <w:rFonts w:ascii="Verdana" w:hAnsi="Verdana"/>
          <w:i/>
          <w:color w:val="000000"/>
          <w:sz w:val="20"/>
          <w:szCs w:val="20"/>
        </w:rPr>
        <w:t>agosto</w:t>
      </w:r>
      <w:r w:rsidRPr="00F60FA2">
        <w:rPr>
          <w:rFonts w:ascii="Verdana" w:hAnsi="Verdana"/>
          <w:i/>
          <w:sz w:val="20"/>
          <w:szCs w:val="20"/>
        </w:rPr>
        <w:t xml:space="preserve"> de 2020, serão incorporados ao Valor Nominal Unitário das Debêntures da 2ª Série. Os Juros incorridos, para as Debêntures da 3ª Série, desde a Data de Emissão até 31 de agosto de 2020, serão incorporados ao Valor Nominal Unitário das Debêntures da 3ª Série</w:t>
      </w:r>
      <w:r w:rsidRPr="00F60FA2">
        <w:rPr>
          <w:rFonts w:ascii="Verdana" w:hAnsi="Verdana"/>
          <w:i/>
          <w:color w:val="000000"/>
          <w:sz w:val="20"/>
          <w:szCs w:val="20"/>
        </w:rPr>
        <w:t>.</w:t>
      </w:r>
    </w:p>
    <w:p w:rsidR="000501D5" w:rsidRPr="00F60FA2" w:rsidRDefault="000501D5" w:rsidP="000501D5">
      <w:pPr>
        <w:spacing w:line="276" w:lineRule="auto"/>
        <w:rPr>
          <w:rFonts w:ascii="Verdana" w:hAnsi="Verdana"/>
          <w:i/>
          <w:sz w:val="20"/>
          <w:szCs w:val="20"/>
        </w:rPr>
      </w:pPr>
    </w:p>
    <w:p w:rsidR="000501D5" w:rsidRPr="00F60FA2" w:rsidRDefault="00CB3AF3" w:rsidP="00F60FA2">
      <w:pPr>
        <w:pStyle w:val="PargrafodaLista"/>
        <w:numPr>
          <w:ilvl w:val="3"/>
          <w:numId w:val="11"/>
        </w:numPr>
        <w:autoSpaceDE/>
        <w:autoSpaceDN/>
        <w:adjustRightInd/>
        <w:spacing w:line="276" w:lineRule="auto"/>
        <w:ind w:hanging="11"/>
        <w:jc w:val="both"/>
        <w:rPr>
          <w:rFonts w:ascii="Verdana" w:hAnsi="Verdana"/>
          <w:i/>
          <w:sz w:val="20"/>
          <w:szCs w:val="20"/>
        </w:rPr>
      </w:pPr>
      <w:r w:rsidRPr="00F60FA2">
        <w:rPr>
          <w:rFonts w:ascii="Verdana" w:eastAsiaTheme="minorHAnsi" w:hAnsi="Verdana" w:cs="CIDFont+F3"/>
          <w:i/>
          <w:sz w:val="20"/>
          <w:szCs w:val="20"/>
          <w:lang w:eastAsia="en-US"/>
        </w:rPr>
        <w:t>Caso haja prorrogação da Data de Vencimento das Debêntures da 1ª Série, das Debêntures da 4ª Série, das Debêntures da 5ª Série e das Debêntures da 6ª Série nos termos da Cláusula 4.1.7.1, os Juros incorridos desde a respectiva Data de Subscrição ou a última data de pagamento de juros até 31 de maio de 2020 serão incorporados ao Valor Nominal Unitário, conforme percentuais da Taxa DI previstos na tabela abaixo, calculados na base 252 Dias Úteis, sendo os Juros devidos na Data de Vencimento da respectiva Série.</w:t>
      </w:r>
    </w:p>
    <w:p w:rsidR="000501D5" w:rsidRPr="00F60FA2" w:rsidRDefault="000501D5" w:rsidP="000501D5">
      <w:pPr>
        <w:tabs>
          <w:tab w:val="left" w:pos="0"/>
        </w:tabs>
        <w:spacing w:line="300" w:lineRule="exact"/>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
        <w:gridCol w:w="1265"/>
        <w:gridCol w:w="1264"/>
        <w:gridCol w:w="1264"/>
        <w:gridCol w:w="1264"/>
        <w:gridCol w:w="1264"/>
        <w:gridCol w:w="1264"/>
      </w:tblGrid>
      <w:tr w:rsidR="000501D5" w:rsidRPr="006F5A95" w:rsidTr="00F60FA2">
        <w:trPr>
          <w:tblHeader/>
        </w:trPr>
        <w:tc>
          <w:tcPr>
            <w:tcW w:w="794"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Períodos de Capitalização</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1ª Série</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2ª Série</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3ª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4ª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5ª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6ª Série</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(a) Data de Subscrição para as Debêntures da 1ª Série, Debêntures da 4ª Série, Debêntures da 5ª Série e Debêntures da 6ª Série, e (b) Data de Emissão </w:t>
            </w:r>
            <w:r w:rsidRPr="00F60FA2">
              <w:rPr>
                <w:rFonts w:ascii="Verdana" w:hAnsi="Verdana"/>
                <w:i/>
                <w:sz w:val="20"/>
                <w:szCs w:val="20"/>
              </w:rPr>
              <w:lastRenderedPageBreak/>
              <w:t>para as Debêntures da 2ª e 3ª Séries, até 31 de maio de 2017</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2017 até 31 de maio de 2018</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2018 até 31 de maio de 2019</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2019 até 31 de agosto de 2020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agosto de 2020 até 31 de maio de 2021 </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2021 até 31 de maio de 2022</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2022 até 31 de maio de 2023</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2023 até 31 de maio de 2024</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2024 até 31 de maio de 2025</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2025 até 31 de maio de 2026</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2026 até </w:t>
            </w:r>
            <w:r w:rsidRPr="00F60FA2">
              <w:rPr>
                <w:rFonts w:ascii="Verdana" w:hAnsi="Verdana"/>
                <w:i/>
                <w:sz w:val="20"/>
                <w:szCs w:val="20"/>
              </w:rPr>
              <w:lastRenderedPageBreak/>
              <w:t>31 de maio de 2027</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2027 até 31 de maio de 2028</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2028 até 31 de março de 2029</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bl>
    <w:p w:rsidR="000501D5" w:rsidRPr="00F60FA2" w:rsidRDefault="000501D5" w:rsidP="000501D5">
      <w:pPr>
        <w:spacing w:line="276" w:lineRule="auto"/>
        <w:ind w:left="1260"/>
        <w:jc w:val="center"/>
        <w:rPr>
          <w:rFonts w:ascii="Verdana" w:hAnsi="Verdana"/>
          <w:i/>
          <w:sz w:val="20"/>
          <w:szCs w:val="20"/>
        </w:rPr>
      </w:pPr>
    </w:p>
    <w:p w:rsidR="000501D5" w:rsidRPr="00F60FA2" w:rsidRDefault="000501D5" w:rsidP="000501D5">
      <w:pPr>
        <w:spacing w:line="276" w:lineRule="auto"/>
        <w:jc w:val="both"/>
        <w:rPr>
          <w:rFonts w:ascii="Verdana" w:hAnsi="Verdana"/>
          <w:b/>
          <w:bCs/>
          <w:i/>
          <w:sz w:val="20"/>
          <w:szCs w:val="20"/>
        </w:rPr>
      </w:pPr>
      <w:r w:rsidRPr="00F60FA2">
        <w:rPr>
          <w:rFonts w:ascii="Verdana" w:hAnsi="Verdana"/>
          <w:i/>
          <w:sz w:val="20"/>
          <w:szCs w:val="20"/>
        </w:rPr>
        <w:t xml:space="preserve">O cálculo dos Juros </w:t>
      </w:r>
      <w:r w:rsidRPr="00F60FA2">
        <w:rPr>
          <w:rFonts w:ascii="Verdana" w:hAnsi="Verdana"/>
          <w:i/>
          <w:color w:val="000000"/>
          <w:sz w:val="20"/>
          <w:szCs w:val="20"/>
        </w:rPr>
        <w:t>obedecerá</w:t>
      </w:r>
      <w:r w:rsidRPr="00F60FA2">
        <w:rPr>
          <w:rFonts w:ascii="Verdana" w:hAnsi="Verdana"/>
          <w:i/>
          <w:sz w:val="20"/>
          <w:szCs w:val="20"/>
        </w:rPr>
        <w:t xml:space="preserve"> à seguinte fórmula:</w:t>
      </w:r>
    </w:p>
    <w:p w:rsidR="000501D5" w:rsidRPr="00F60FA2" w:rsidRDefault="000501D5" w:rsidP="000501D5">
      <w:pPr>
        <w:pStyle w:val="PargrafodaLista1"/>
        <w:widowControl w:val="0"/>
        <w:spacing w:line="276" w:lineRule="auto"/>
        <w:ind w:left="1260"/>
        <w:rPr>
          <w:rFonts w:ascii="Verdana" w:hAnsi="Verdana"/>
          <w:i/>
          <w:sz w:val="20"/>
          <w:szCs w:val="20"/>
          <w:highlight w:val="green"/>
          <w:lang w:val="pt-BR"/>
        </w:rPr>
      </w:pPr>
    </w:p>
    <w:p w:rsidR="000501D5" w:rsidRPr="00F60FA2" w:rsidRDefault="000501D5" w:rsidP="000501D5">
      <w:pPr>
        <w:spacing w:line="276" w:lineRule="auto"/>
        <w:jc w:val="center"/>
        <w:rPr>
          <w:rFonts w:ascii="Verdana" w:hAnsi="Verdana"/>
          <w:i/>
          <w:sz w:val="20"/>
          <w:szCs w:val="20"/>
        </w:rPr>
      </w:pPr>
      <w:r w:rsidRPr="00F60FA2">
        <w:rPr>
          <w:rFonts w:ascii="Verdana" w:hAnsi="Verdana"/>
          <w:i/>
          <w:sz w:val="20"/>
          <w:szCs w:val="20"/>
        </w:rPr>
        <w:t>J = [(Fator DI) -1] x VN</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r w:rsidRPr="00F60FA2">
        <w:rPr>
          <w:rFonts w:ascii="Verdana" w:hAnsi="Verdana"/>
          <w:i/>
          <w:sz w:val="20"/>
          <w:szCs w:val="20"/>
        </w:rPr>
        <w:t>onde:</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J = valor unitário da Remuneração, acumulado no período, calculado com 8 (oito) casas decimais sem arredondamento, devido no final de cada Período de Capitalização;</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VN = Valor Nominal Unitário no primeiro Período de Capitalização ou saldo do Valor Nominal Unitário nos demais Períodos de Capitalização, informado/calculado com 8 (oito) casas decimais, sem arredondamento; </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Fator DI = produtório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59264" behindDoc="0" locked="0" layoutInCell="1" allowOverlap="1" wp14:anchorId="563879F1" wp14:editId="4FAB0963">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onde:</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nDI = número inteiro que representa o total de Taxas DI consideradas em cada Período de Capitalização, sendo “nDI” um número inteiro.</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p = percentual do DI, informado com duas casas decimais, conforme tabela acima.</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k = número de taxas DI atualizadas, variando de 1 (um) até "nDI".</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TDIk = Taxa DI, de ordem k, expressa ao dia, calculada com arredondamento de 8 (oito) casas decimais</w:t>
      </w:r>
      <w:r w:rsidRPr="00F60FA2">
        <w:rPr>
          <w:rFonts w:ascii="Verdana" w:eastAsia="Calibri" w:hAnsi="Verdana"/>
          <w:i/>
          <w:sz w:val="20"/>
          <w:szCs w:val="20"/>
        </w:rPr>
        <w:t xml:space="preserve"> com arredondamento, </w:t>
      </w:r>
      <w:r w:rsidRPr="00F60FA2">
        <w:rPr>
          <w:rFonts w:ascii="Verdana" w:hAnsi="Verdana"/>
          <w:i/>
          <w:sz w:val="20"/>
          <w:szCs w:val="20"/>
        </w:rPr>
        <w:t>apurada conforme fórmula:</w:t>
      </w:r>
    </w:p>
    <w:p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60288" behindDoc="0" locked="0" layoutInCell="1" allowOverlap="1" wp14:anchorId="6F93F7F3" wp14:editId="1A9C0F14">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onde:</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DIk = Taxa DI-Over, de ordem "k", divulgada pela CETIP, válida por 1 (um) Dia Útil (overnight), utilizada com 2 (duas) casas decimais, considerando sempre a Taxa DI-Over válida para o primeiro Dia Útil anterior à data de cálculo.</w:t>
      </w:r>
    </w:p>
    <w:p w:rsidR="000501D5" w:rsidRPr="00F60FA2" w:rsidRDefault="000501D5">
      <w:pPr>
        <w:spacing w:line="276" w:lineRule="auto"/>
        <w:rPr>
          <w:rFonts w:ascii="Verdana" w:hAnsi="Verdana"/>
          <w:i/>
          <w:sz w:val="20"/>
          <w:szCs w:val="20"/>
        </w:rPr>
      </w:pPr>
    </w:p>
    <w:p w:rsidR="000501D5" w:rsidRPr="00F60FA2" w:rsidRDefault="000501D5">
      <w:pPr>
        <w:spacing w:line="276" w:lineRule="auto"/>
        <w:rPr>
          <w:rFonts w:ascii="Verdana" w:hAnsi="Verdana"/>
          <w:i/>
          <w:sz w:val="20"/>
          <w:szCs w:val="20"/>
        </w:rPr>
      </w:pPr>
      <w:r w:rsidRPr="00F60FA2">
        <w:rPr>
          <w:rFonts w:ascii="Verdana" w:hAnsi="Verdana"/>
          <w:i/>
          <w:sz w:val="20"/>
          <w:szCs w:val="20"/>
        </w:rPr>
        <w:t>Observações:</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ind w:left="2836" w:firstLine="709"/>
        <w:rPr>
          <w:rFonts w:ascii="Verdana" w:hAnsi="Verdana"/>
          <w:i/>
          <w:sz w:val="20"/>
          <w:szCs w:val="20"/>
        </w:rPr>
      </w:pPr>
      <w:r w:rsidRPr="00F60FA2">
        <w:rPr>
          <w:rFonts w:ascii="Verdana" w:hAnsi="Verdana"/>
          <w:i/>
          <w:noProof/>
          <w:sz w:val="20"/>
          <w:szCs w:val="20"/>
          <w:lang w:bidi="si-LK"/>
        </w:rPr>
        <w:drawing>
          <wp:inline distT="0" distB="0" distL="0" distR="0" wp14:anchorId="6FFB3805" wp14:editId="13A11C25">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rsidR="000501D5" w:rsidRPr="00F60FA2" w:rsidRDefault="000501D5" w:rsidP="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O fator resultante da expressão é considerado com 16 (dezesseis) casas decimais, sem arredondamento, assim como seu produtório.</w:t>
      </w:r>
    </w:p>
    <w:p w:rsidR="000501D5" w:rsidRPr="00F60FA2" w:rsidRDefault="000501D5">
      <w:pPr>
        <w:spacing w:line="276" w:lineRule="auto"/>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Efetua-se o produtório dos fatores diários, sendo que a cada fator diário acumulado, trunca-se o resultado com 16 (dezesseis) casas decimais, aplicando-se o próximo fator diário, e assim por diante até o último considerado.</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Considera-se o fator resultante "Fator DI" com arredondamento de 8 (oito) casas decimais.</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highlight w:val="yellow"/>
        </w:rPr>
      </w:pPr>
      <w:r w:rsidRPr="00F60FA2">
        <w:rPr>
          <w:rFonts w:ascii="Verdana" w:hAnsi="Verdana"/>
          <w:i/>
          <w:sz w:val="20"/>
          <w:szCs w:val="20"/>
        </w:rPr>
        <w:t>Para fins de cálculo dos Juros, define-se “</w:t>
      </w:r>
      <w:r w:rsidRPr="00F60FA2">
        <w:rPr>
          <w:rFonts w:ascii="Verdana" w:hAnsi="Verdana"/>
          <w:i/>
          <w:sz w:val="20"/>
          <w:szCs w:val="20"/>
          <w:u w:val="single"/>
        </w:rPr>
        <w:t>Período de Capitalização</w:t>
      </w:r>
      <w:r w:rsidRPr="00F60FA2">
        <w:rPr>
          <w:rFonts w:ascii="Verdana" w:hAnsi="Verdana"/>
          <w:i/>
          <w:sz w:val="20"/>
          <w:szCs w:val="20"/>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rsidR="000501D5" w:rsidRPr="00F60FA2" w:rsidRDefault="000501D5" w:rsidP="00F60FA2">
      <w:pPr>
        <w:tabs>
          <w:tab w:val="left" w:pos="0"/>
        </w:tabs>
        <w:spacing w:line="276" w:lineRule="auto"/>
        <w:jc w:val="both"/>
        <w:rPr>
          <w:rFonts w:ascii="Verdana" w:hAnsi="Verdana"/>
          <w:i/>
          <w:sz w:val="20"/>
          <w:szCs w:val="20"/>
        </w:rPr>
      </w:pPr>
    </w:p>
    <w:p w:rsidR="000501D5" w:rsidRPr="00F60FA2" w:rsidRDefault="000501D5" w:rsidP="00F60FA2">
      <w:pPr>
        <w:tabs>
          <w:tab w:val="left" w:pos="0"/>
        </w:tabs>
        <w:spacing w:line="276" w:lineRule="auto"/>
        <w:jc w:val="both"/>
        <w:rPr>
          <w:rFonts w:ascii="Verdana" w:hAnsi="Verdana"/>
          <w:i/>
          <w:sz w:val="20"/>
          <w:szCs w:val="20"/>
        </w:rPr>
      </w:pPr>
      <w:r w:rsidRPr="00F60FA2">
        <w:rPr>
          <w:rFonts w:ascii="Verdana" w:hAnsi="Verdana"/>
          <w:i/>
          <w:sz w:val="20"/>
          <w:szCs w:val="20"/>
        </w:rPr>
        <w:t>(...)</w:t>
      </w:r>
    </w:p>
    <w:p w:rsidR="000501D5" w:rsidRPr="00F60FA2" w:rsidRDefault="000501D5" w:rsidP="00F60FA2">
      <w:pPr>
        <w:tabs>
          <w:tab w:val="left" w:pos="0"/>
        </w:tabs>
        <w:spacing w:line="276" w:lineRule="auto"/>
        <w:jc w:val="both"/>
        <w:rPr>
          <w:rFonts w:ascii="Verdana" w:hAnsi="Verdana"/>
          <w:i/>
          <w:sz w:val="20"/>
          <w:szCs w:val="20"/>
        </w:rPr>
      </w:pPr>
    </w:p>
    <w:p w:rsidR="000501D5" w:rsidRPr="00F60FA2" w:rsidRDefault="000501D5">
      <w:pPr>
        <w:keepNext/>
        <w:numPr>
          <w:ilvl w:val="0"/>
          <w:numId w:val="12"/>
        </w:numPr>
        <w:tabs>
          <w:tab w:val="num" w:pos="1260"/>
        </w:tabs>
        <w:spacing w:line="276" w:lineRule="auto"/>
        <w:ind w:left="1260" w:hanging="1260"/>
        <w:jc w:val="both"/>
        <w:rPr>
          <w:rFonts w:ascii="Verdana" w:hAnsi="Verdana"/>
          <w:i/>
          <w:sz w:val="20"/>
          <w:szCs w:val="20"/>
          <w:u w:val="single"/>
        </w:rPr>
      </w:pPr>
      <w:r w:rsidRPr="00F60FA2">
        <w:rPr>
          <w:rFonts w:ascii="Verdana" w:hAnsi="Verdana"/>
          <w:i/>
          <w:sz w:val="20"/>
          <w:szCs w:val="20"/>
        </w:rPr>
        <w:t>O pagamento da amortização do Valor Nominal Unitário e Juros das Debêntures do Grupo 1 será realizado na data do seu vencimento, ou seja, 31 de agosto de 2020; as Debêntures da 2ª Série terão carência para pagamento de amortização do Valor Nominal Unitário e Juros até 31 de agosto de 2020; e as Debêntures da 3ª Série terão carência para pagamento de amortização do Valor Nominal Unitário e Juros até 31 de maio de 2020 (“</w:t>
      </w:r>
      <w:r w:rsidRPr="00F60FA2">
        <w:rPr>
          <w:rFonts w:ascii="Verdana" w:hAnsi="Verdana"/>
          <w:i/>
          <w:sz w:val="20"/>
          <w:szCs w:val="20"/>
          <w:u w:val="single"/>
        </w:rPr>
        <w:t>Período de Carência</w:t>
      </w:r>
      <w:r w:rsidRPr="00F60FA2">
        <w:rPr>
          <w:rFonts w:ascii="Verdana" w:hAnsi="Verdana"/>
          <w:i/>
          <w:sz w:val="20"/>
          <w:szCs w:val="20"/>
        </w:rPr>
        <w:t>”).”</w:t>
      </w:r>
    </w:p>
    <w:p w:rsidR="000501D5" w:rsidRPr="00953A5B" w:rsidRDefault="000501D5" w:rsidP="00F60FA2">
      <w:pPr>
        <w:pStyle w:val="PargrafodaLista"/>
        <w:tabs>
          <w:tab w:val="left" w:pos="851"/>
        </w:tabs>
        <w:spacing w:line="276" w:lineRule="auto"/>
        <w:ind w:left="360"/>
        <w:jc w:val="both"/>
        <w:rPr>
          <w:rFonts w:ascii="Verdana" w:hAnsi="Verdana"/>
          <w:sz w:val="20"/>
          <w:szCs w:val="20"/>
        </w:rPr>
      </w:pPr>
    </w:p>
    <w:p w:rsidR="00C37937" w:rsidRPr="00953A5B" w:rsidRDefault="00C37937" w:rsidP="00F60FA2">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 xml:space="preserve">Cláusula II – Ratificação </w:t>
      </w:r>
    </w:p>
    <w:p w:rsidR="00C37937" w:rsidRPr="00953A5B" w:rsidRDefault="00C37937" w:rsidP="00F60FA2">
      <w:pPr>
        <w:widowControl w:val="0"/>
        <w:spacing w:line="276" w:lineRule="auto"/>
        <w:jc w:val="both"/>
        <w:rPr>
          <w:rFonts w:ascii="Verdana" w:hAnsi="Verdana"/>
          <w:sz w:val="20"/>
          <w:szCs w:val="20"/>
        </w:rPr>
      </w:pPr>
    </w:p>
    <w:p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D23CC9">
        <w:rPr>
          <w:rFonts w:ascii="Verdana" w:hAnsi="Verdana"/>
          <w:sz w:val="20"/>
          <w:szCs w:val="20"/>
        </w:rPr>
        <w:t>Quarto</w:t>
      </w:r>
      <w:r w:rsidR="00D23CC9" w:rsidRPr="00953A5B">
        <w:rPr>
          <w:rFonts w:ascii="Verdana" w:hAnsi="Verdana"/>
          <w:sz w:val="20"/>
          <w:szCs w:val="20"/>
        </w:rPr>
        <w:t xml:space="preserve"> </w:t>
      </w:r>
      <w:r w:rsidR="00953A5B" w:rsidRPr="00953A5B">
        <w:rPr>
          <w:rFonts w:ascii="Verdana" w:hAnsi="Verdana"/>
          <w:sz w:val="20"/>
          <w:szCs w:val="20"/>
        </w:rPr>
        <w:t>Aditamento</w:t>
      </w:r>
      <w:r w:rsidRPr="00953A5B">
        <w:rPr>
          <w:rFonts w:ascii="Verdana" w:hAnsi="Verdana"/>
          <w:sz w:val="20"/>
          <w:szCs w:val="20"/>
        </w:rPr>
        <w:t>.</w:t>
      </w:r>
    </w:p>
    <w:p w:rsidR="00C37937" w:rsidRPr="00953A5B" w:rsidRDefault="00C37937" w:rsidP="00F60FA2">
      <w:pPr>
        <w:widowControl w:val="0"/>
        <w:spacing w:line="276" w:lineRule="auto"/>
        <w:jc w:val="both"/>
        <w:rPr>
          <w:rFonts w:ascii="Verdana" w:hAnsi="Verdana"/>
          <w:sz w:val="20"/>
          <w:szCs w:val="20"/>
        </w:rPr>
      </w:pPr>
    </w:p>
    <w:p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Adicionalmente, a Emissora, a OSP e a ODB ratificam a garantia fidejussória prestada nos termos da cláusula 4.6 da Escritura, bem como as disposições referentes às garantias reais a serem prestadas, nos termos da cláusula 4.7 da Escritura.</w:t>
      </w:r>
    </w:p>
    <w:p w:rsidR="00C37937" w:rsidRPr="00953A5B" w:rsidRDefault="00C37937" w:rsidP="00C37937">
      <w:pPr>
        <w:spacing w:line="276" w:lineRule="auto"/>
        <w:jc w:val="both"/>
        <w:rPr>
          <w:rFonts w:ascii="Verdana" w:hAnsi="Verdana"/>
          <w:sz w:val="20"/>
          <w:szCs w:val="20"/>
        </w:rPr>
      </w:pPr>
    </w:p>
    <w:p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D23CC9">
        <w:rPr>
          <w:rFonts w:ascii="Verdana" w:hAnsi="Verdana"/>
          <w:sz w:val="20"/>
          <w:szCs w:val="20"/>
        </w:rPr>
        <w:t>Quarto</w:t>
      </w:r>
      <w:r w:rsidR="00D23CC9" w:rsidRPr="00953A5B">
        <w:rPr>
          <w:rFonts w:ascii="Verdana" w:hAnsi="Verdana"/>
          <w:sz w:val="20"/>
          <w:szCs w:val="20"/>
        </w:rPr>
        <w:t xml:space="preserve"> </w:t>
      </w:r>
      <w:r w:rsidRPr="00953A5B">
        <w:rPr>
          <w:rFonts w:ascii="Verdana" w:hAnsi="Verdana"/>
          <w:sz w:val="20"/>
          <w:szCs w:val="20"/>
        </w:rPr>
        <w:t>Aditamento permanecem válidos e em pleno vigor.</w:t>
      </w:r>
    </w:p>
    <w:p w:rsidR="00C37937" w:rsidRPr="00953A5B" w:rsidRDefault="00C37937" w:rsidP="00C37937">
      <w:pPr>
        <w:widowControl w:val="0"/>
        <w:spacing w:line="276" w:lineRule="auto"/>
        <w:outlineLvl w:val="0"/>
        <w:rPr>
          <w:rFonts w:ascii="Verdana" w:hAnsi="Verdana"/>
          <w:b/>
          <w:bCs/>
          <w:smallCaps/>
          <w:color w:val="000000"/>
          <w:sz w:val="20"/>
          <w:szCs w:val="20"/>
        </w:rPr>
      </w:pPr>
      <w:bookmarkStart w:id="2" w:name="_Toc499906590"/>
    </w:p>
    <w:p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 xml:space="preserve">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D23CC9">
        <w:rPr>
          <w:rFonts w:ascii="Verdana" w:hAnsi="Verdana"/>
          <w:sz w:val="20"/>
          <w:szCs w:val="20"/>
        </w:rPr>
        <w:t>20</w:t>
      </w:r>
      <w:r w:rsidRPr="00953A5B">
        <w:rPr>
          <w:rFonts w:ascii="Verdana" w:hAnsi="Verdana"/>
          <w:sz w:val="20"/>
          <w:szCs w:val="20"/>
        </w:rPr>
        <w:t xml:space="preserve"> </w:t>
      </w:r>
      <w:r w:rsidRPr="00953A5B">
        <w:rPr>
          <w:rFonts w:ascii="Verdana" w:hAnsi="Verdana"/>
          <w:color w:val="000000"/>
          <w:sz w:val="20"/>
          <w:szCs w:val="20"/>
        </w:rPr>
        <w:t>(</w:t>
      </w:r>
      <w:r w:rsidR="00D23CC9">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devidamente inscrito e registrado na JUCESP.</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D23CC9">
        <w:rPr>
          <w:rFonts w:ascii="Verdana" w:hAnsi="Verdana"/>
          <w:color w:val="000000"/>
          <w:sz w:val="20"/>
          <w:szCs w:val="20"/>
        </w:rPr>
        <w:t xml:space="preserve">Quarto </w:t>
      </w:r>
      <w:r w:rsidRPr="00953A5B">
        <w:rPr>
          <w:rFonts w:ascii="Verdana" w:hAnsi="Verdana"/>
          <w:color w:val="000000"/>
          <w:sz w:val="20"/>
          <w:szCs w:val="20"/>
        </w:rPr>
        <w:t>Aditamento no Cartório de Registro de Títulos e Documentos da cidade de São Paulo, Estado de São Paulo. A Emissora entregará ao Agente Fiduciá</w:t>
      </w:r>
      <w:r w:rsidR="00823FD7">
        <w:rPr>
          <w:rFonts w:ascii="Verdana" w:hAnsi="Verdana"/>
          <w:color w:val="000000"/>
          <w:sz w:val="20"/>
          <w:szCs w:val="20"/>
        </w:rPr>
        <w:t xml:space="preserve">rio 1 (uma) via original deste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em até 2 (dois) Dias Úteis após o respectivo registro ou averbação.</w:t>
      </w:r>
    </w:p>
    <w:p w:rsidR="00C37937" w:rsidRPr="00953A5B" w:rsidRDefault="00C37937" w:rsidP="00C37937">
      <w:pPr>
        <w:widowControl w:val="0"/>
        <w:spacing w:line="276" w:lineRule="auto"/>
        <w:jc w:val="both"/>
        <w:rPr>
          <w:rFonts w:ascii="Verdana" w:hAnsi="Verdana"/>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2"/>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D23CC9">
        <w:rPr>
          <w:rFonts w:ascii="Verdana" w:hAnsi="Verdana"/>
          <w:sz w:val="20"/>
          <w:szCs w:val="20"/>
        </w:rPr>
        <w:t xml:space="preserve">Quarto </w:t>
      </w:r>
      <w:r w:rsidRPr="00953A5B">
        <w:rPr>
          <w:rFonts w:ascii="Verdana" w:hAnsi="Verdana"/>
          <w:sz w:val="20"/>
          <w:szCs w:val="20"/>
        </w:rPr>
        <w:t>Aditamento têm caráter irrevogável e irretratável, obrigando as Partes e seus sucessores, a qualquer título, ao seu integral cumprimento.</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w:t>
      </w:r>
      <w:bookmarkStart w:id="3" w:name="_GoBack"/>
      <w:bookmarkEnd w:id="3"/>
      <w:r w:rsidRPr="00953A5B">
        <w:rPr>
          <w:rFonts w:ascii="Verdana" w:hAnsi="Verdana"/>
          <w:sz w:val="20"/>
          <w:szCs w:val="20"/>
        </w:rPr>
        <w:t>.2.</w:t>
      </w:r>
      <w:r w:rsidRPr="00953A5B">
        <w:rPr>
          <w:rFonts w:ascii="Verdana" w:hAnsi="Verdana"/>
          <w:sz w:val="20"/>
          <w:szCs w:val="20"/>
        </w:rPr>
        <w:tab/>
        <w:t xml:space="preserve">Qualquer alteração a este </w:t>
      </w:r>
      <w:r w:rsidR="00D23CC9">
        <w:rPr>
          <w:rFonts w:ascii="Verdana" w:hAnsi="Verdana"/>
          <w:sz w:val="20"/>
          <w:szCs w:val="20"/>
        </w:rPr>
        <w:t xml:space="preserve">Quarto </w:t>
      </w:r>
      <w:r w:rsidRPr="00953A5B">
        <w:rPr>
          <w:rFonts w:ascii="Verdana" w:hAnsi="Verdana"/>
          <w:sz w:val="20"/>
          <w:szCs w:val="20"/>
        </w:rPr>
        <w:t>Aditamento somente será considerada válida se formalizada por escrito, em instrumento próprio assinado por todas as Partes.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D23CC9">
        <w:rPr>
          <w:rFonts w:ascii="Verdana" w:hAnsi="Verdana"/>
          <w:sz w:val="20"/>
          <w:szCs w:val="20"/>
        </w:rPr>
        <w:t xml:space="preserve">Quarto </w:t>
      </w:r>
      <w:r w:rsidRPr="00953A5B">
        <w:rPr>
          <w:rFonts w:ascii="Verdana" w:hAnsi="Verdana"/>
          <w:sz w:val="20"/>
          <w:szCs w:val="20"/>
        </w:rPr>
        <w:t>Aditamento não afetará as demais, que permanecerão válidas e eficazes até o cumprimento, pelas Partes, de todas as suas obrigações aqui previstas.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D23CC9">
        <w:rPr>
          <w:rFonts w:ascii="Verdana" w:hAnsi="Verdana"/>
          <w:sz w:val="20"/>
          <w:szCs w:val="20"/>
        </w:rPr>
        <w:t>Quarto</w:t>
      </w:r>
      <w:r w:rsidR="00D23CC9" w:rsidDel="00D23CC9">
        <w:rPr>
          <w:rFonts w:ascii="Verdana" w:hAnsi="Verdana"/>
          <w:sz w:val="20"/>
          <w:szCs w:val="20"/>
        </w:rPr>
        <w:t xml:space="preserve"> </w:t>
      </w:r>
      <w:r w:rsidRPr="00953A5B">
        <w:rPr>
          <w:rFonts w:ascii="Verdana" w:hAnsi="Verdana"/>
          <w:sz w:val="20"/>
          <w:szCs w:val="20"/>
        </w:rPr>
        <w:t>Aditamento é regido pelas leis da República Federativa do Brasil.</w:t>
      </w:r>
    </w:p>
    <w:p w:rsidR="00C37937" w:rsidRPr="00953A5B" w:rsidRDefault="00C37937" w:rsidP="00C37937">
      <w:pPr>
        <w:widowControl w:val="0"/>
        <w:spacing w:line="276" w:lineRule="auto"/>
        <w:ind w:left="709" w:hanging="709"/>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rsidR="00C37937" w:rsidRPr="00953A5B" w:rsidRDefault="00C37937" w:rsidP="00C37937">
      <w:pPr>
        <w:pStyle w:val="Estilo1"/>
        <w:spacing w:line="276" w:lineRule="auto"/>
        <w:ind w:left="0"/>
        <w:rPr>
          <w:rFonts w:cs="Times New Roman"/>
          <w:szCs w:val="20"/>
        </w:rPr>
      </w:pPr>
    </w:p>
    <w:p w:rsidR="00C37937" w:rsidRPr="00953A5B" w:rsidRDefault="00C37937" w:rsidP="00C37937">
      <w:pPr>
        <w:pStyle w:val="Estilo1"/>
        <w:spacing w:line="276" w:lineRule="auto"/>
        <w:ind w:left="0"/>
        <w:rPr>
          <w:rFonts w:cs="Times New Roman"/>
          <w:szCs w:val="20"/>
        </w:rPr>
      </w:pPr>
      <w:r w:rsidRPr="00953A5B">
        <w:rPr>
          <w:rFonts w:cs="Times New Roman"/>
          <w:szCs w:val="20"/>
        </w:rPr>
        <w:lastRenderedPageBreak/>
        <w:t>E, por estarem assim justas e con</w:t>
      </w:r>
      <w:r w:rsidR="00953A5B" w:rsidRPr="00953A5B">
        <w:rPr>
          <w:rFonts w:cs="Times New Roman"/>
          <w:szCs w:val="20"/>
        </w:rPr>
        <w:t xml:space="preserve">tratadas, as partes firmam este </w:t>
      </w:r>
      <w:r w:rsidR="00D23CC9">
        <w:rPr>
          <w:szCs w:val="20"/>
        </w:rPr>
        <w:t>Quarto</w:t>
      </w:r>
      <w:r w:rsidR="00D23CC9" w:rsidDel="00D23CC9">
        <w:rPr>
          <w:rFonts w:cs="Times New Roman"/>
          <w:szCs w:val="20"/>
        </w:rPr>
        <w:t xml:space="preserve"> </w:t>
      </w:r>
      <w:r w:rsidRPr="00953A5B">
        <w:rPr>
          <w:rFonts w:cs="Times New Roman"/>
          <w:szCs w:val="20"/>
        </w:rPr>
        <w:t>Aditamento, em 7 (sete) vias de igual teor e forma, juntamente com as duas testemunhas abaixo assinadas, a tudo presentes.</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D23CC9">
        <w:rPr>
          <w:rFonts w:ascii="Verdana" w:hAnsi="Verdana"/>
          <w:sz w:val="20"/>
          <w:szCs w:val="20"/>
        </w:rPr>
        <w:t>[__]</w:t>
      </w:r>
      <w:r w:rsidRPr="00953A5B">
        <w:rPr>
          <w:rFonts w:ascii="Verdana" w:hAnsi="Verdana"/>
          <w:sz w:val="20"/>
          <w:szCs w:val="20"/>
        </w:rPr>
        <w:t xml:space="preserve"> de </w:t>
      </w:r>
      <w:r w:rsidR="00D23CC9">
        <w:rPr>
          <w:rFonts w:ascii="Verdana" w:hAnsi="Verdana"/>
          <w:sz w:val="20"/>
          <w:szCs w:val="20"/>
        </w:rPr>
        <w:t>junho</w:t>
      </w:r>
      <w:r w:rsidR="001A6700">
        <w:rPr>
          <w:rFonts w:ascii="Verdana" w:hAnsi="Verdana"/>
          <w:sz w:val="20"/>
          <w:szCs w:val="20"/>
        </w:rPr>
        <w:t xml:space="preserve"> </w:t>
      </w:r>
      <w:r w:rsidR="00953A5B" w:rsidRPr="00953A5B">
        <w:rPr>
          <w:rFonts w:ascii="Verdana" w:hAnsi="Verdana"/>
          <w:sz w:val="20"/>
          <w:szCs w:val="20"/>
        </w:rPr>
        <w:t xml:space="preserve">de </w:t>
      </w:r>
      <w:r w:rsidR="00D23CC9">
        <w:rPr>
          <w:rFonts w:ascii="Verdana" w:hAnsi="Verdana"/>
          <w:sz w:val="20"/>
          <w:szCs w:val="20"/>
        </w:rPr>
        <w:t>2020</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rsidR="00C37937" w:rsidRPr="00823FD7" w:rsidRDefault="00C37937" w:rsidP="00C37937">
      <w:pPr>
        <w:spacing w:line="276" w:lineRule="auto"/>
        <w:jc w:val="both"/>
        <w:rPr>
          <w:rFonts w:ascii="Verdana" w:hAnsi="Verdana"/>
          <w:i/>
          <w:iCs/>
          <w:sz w:val="20"/>
          <w:szCs w:val="20"/>
        </w:rPr>
      </w:pPr>
      <w:r w:rsidRPr="00953A5B">
        <w:rPr>
          <w:rFonts w:ascii="Verdana" w:hAnsi="Verdana"/>
          <w:i/>
          <w:iCs/>
          <w:sz w:val="20"/>
          <w:szCs w:val="20"/>
        </w:rPr>
        <w:lastRenderedPageBreak/>
        <w:t xml:space="preserve">Página de assinaturas 1/5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rsidR="00636683" w:rsidRDefault="00636683" w:rsidP="00C37937">
      <w:pPr>
        <w:keepNext/>
        <w:spacing w:line="276" w:lineRule="auto"/>
        <w:jc w:val="center"/>
        <w:rPr>
          <w:rFonts w:ascii="Verdana" w:hAnsi="Verdana"/>
          <w:smallCaps/>
          <w:sz w:val="20"/>
          <w:szCs w:val="20"/>
        </w:rPr>
      </w:pPr>
    </w:p>
    <w:p w:rsidR="00636683" w:rsidRDefault="00636683"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636683">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r>
    </w:tbl>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636683">
      <w:pPr>
        <w:spacing w:line="276" w:lineRule="auto"/>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rsidR="00C37937" w:rsidRPr="00953A5B" w:rsidRDefault="00C37937" w:rsidP="00C37937">
      <w:pPr>
        <w:keepNext/>
        <w:spacing w:line="276" w:lineRule="auto"/>
        <w:jc w:val="center"/>
        <w:rPr>
          <w:rFonts w:ascii="Verdana" w:hAnsi="Verdana"/>
          <w:smallCaps/>
          <w:sz w:val="20"/>
          <w:szCs w:val="20"/>
        </w:rPr>
      </w:pPr>
    </w:p>
    <w:p w:rsidR="00C37937" w:rsidRDefault="00C37937" w:rsidP="00636683">
      <w:pPr>
        <w:keepNext/>
        <w:spacing w:line="276" w:lineRule="auto"/>
        <w:rPr>
          <w:rFonts w:ascii="Verdana" w:hAnsi="Verdana"/>
          <w:smallCaps/>
          <w:sz w:val="20"/>
          <w:szCs w:val="20"/>
        </w:rPr>
      </w:pPr>
    </w:p>
    <w:p w:rsidR="00636683" w:rsidRDefault="00636683" w:rsidP="00636683">
      <w:pPr>
        <w:keepNext/>
        <w:spacing w:line="276" w:lineRule="auto"/>
        <w:rPr>
          <w:rFonts w:ascii="Verdana" w:hAnsi="Verdana"/>
          <w:smallCaps/>
          <w:sz w:val="20"/>
          <w:szCs w:val="20"/>
        </w:rPr>
      </w:pPr>
    </w:p>
    <w:p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3/5 do </w:t>
      </w:r>
      <w:r w:rsidR="00D23CC9">
        <w:rPr>
          <w:rFonts w:ascii="Verdana" w:hAnsi="Verdana"/>
          <w:i/>
          <w:iCs/>
          <w:sz w:val="20"/>
          <w:szCs w:val="20"/>
        </w:rPr>
        <w:t>Qu</w:t>
      </w:r>
      <w:r w:rsidR="00431656">
        <w:rPr>
          <w:rFonts w:ascii="Verdana" w:hAnsi="Verdana"/>
          <w:i/>
          <w:iCs/>
          <w:sz w:val="20"/>
          <w:szCs w:val="20"/>
        </w:rPr>
        <w:t>a</w:t>
      </w:r>
      <w:r w:rsidR="00D23CC9">
        <w:rPr>
          <w:rFonts w:ascii="Verdana" w:hAnsi="Verdana"/>
          <w:i/>
          <w:iCs/>
          <w:sz w:val="20"/>
          <w:szCs w:val="20"/>
        </w:rPr>
        <w:t xml:space="preserve">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rsidR="00C37937" w:rsidRDefault="00C37937"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4/5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rsidR="00C37937" w:rsidRPr="00953A5B" w:rsidRDefault="00C37937" w:rsidP="00C37937">
      <w:pPr>
        <w:spacing w:line="276" w:lineRule="auto"/>
        <w:jc w:val="center"/>
        <w:rPr>
          <w:rFonts w:ascii="Verdana" w:hAnsi="Verdana"/>
          <w:sz w:val="20"/>
          <w:szCs w:val="20"/>
        </w:rPr>
      </w:pPr>
    </w:p>
    <w:p w:rsidR="00C37937" w:rsidRDefault="00C37937" w:rsidP="00C37937">
      <w:pPr>
        <w:spacing w:line="276" w:lineRule="auto"/>
        <w:jc w:val="center"/>
        <w:rPr>
          <w:rFonts w:ascii="Verdana" w:hAnsi="Verdana"/>
          <w:sz w:val="20"/>
          <w:szCs w:val="20"/>
        </w:rPr>
      </w:pPr>
    </w:p>
    <w:p w:rsidR="00636683" w:rsidRPr="00953A5B" w:rsidRDefault="00636683"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p>
    <w:p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83" w:rsidRDefault="00636683" w:rsidP="00636683">
      <w:r>
        <w:separator/>
      </w:r>
    </w:p>
  </w:endnote>
  <w:endnote w:type="continuationSeparator" w:id="0">
    <w:p w:rsidR="00636683" w:rsidRDefault="00636683"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83" w:rsidRDefault="00636683" w:rsidP="00636683">
      <w:r>
        <w:separator/>
      </w:r>
    </w:p>
  </w:footnote>
  <w:footnote w:type="continuationSeparator" w:id="0">
    <w:p w:rsidR="00636683" w:rsidRDefault="00636683" w:rsidP="0063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10"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3"/>
  </w:num>
  <w:num w:numId="7">
    <w:abstractNumId w:val="11"/>
  </w:num>
  <w:num w:numId="8">
    <w:abstractNumId w:val="6"/>
  </w:num>
  <w:num w:numId="9">
    <w:abstractNumId w:val="1"/>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501D5"/>
    <w:rsid w:val="000C2D0D"/>
    <w:rsid w:val="00162709"/>
    <w:rsid w:val="00180A7F"/>
    <w:rsid w:val="001A6700"/>
    <w:rsid w:val="00205A04"/>
    <w:rsid w:val="002B1043"/>
    <w:rsid w:val="002C4BEF"/>
    <w:rsid w:val="00431656"/>
    <w:rsid w:val="005B6DCC"/>
    <w:rsid w:val="00611881"/>
    <w:rsid w:val="00636683"/>
    <w:rsid w:val="006374DE"/>
    <w:rsid w:val="00676488"/>
    <w:rsid w:val="0069038B"/>
    <w:rsid w:val="006F5A95"/>
    <w:rsid w:val="0077533B"/>
    <w:rsid w:val="007A15CA"/>
    <w:rsid w:val="00823FD7"/>
    <w:rsid w:val="0083514A"/>
    <w:rsid w:val="008B08FE"/>
    <w:rsid w:val="008C7F2E"/>
    <w:rsid w:val="00953A5B"/>
    <w:rsid w:val="0098796F"/>
    <w:rsid w:val="009A67B4"/>
    <w:rsid w:val="009E045A"/>
    <w:rsid w:val="00AD4562"/>
    <w:rsid w:val="00B01BD6"/>
    <w:rsid w:val="00C37937"/>
    <w:rsid w:val="00C77271"/>
    <w:rsid w:val="00CB3AF3"/>
    <w:rsid w:val="00D23CC9"/>
    <w:rsid w:val="00DF188A"/>
    <w:rsid w:val="00E82AEB"/>
    <w:rsid w:val="00F55EB6"/>
    <w:rsid w:val="00F60FA2"/>
    <w:rsid w:val="00F83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53E4E"/>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2C4BEF"/>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3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C4BEF"/>
    <w:rPr>
      <w:rFonts w:asciiTheme="majorHAnsi" w:eastAsiaTheme="majorEastAsia" w:hAnsiTheme="majorHAnsi" w:cstheme="majorBidi"/>
      <w:color w:val="1F4D78" w:themeColor="accent1" w:themeShade="7F"/>
      <w:sz w:val="24"/>
      <w:szCs w:val="24"/>
      <w:lang w:eastAsia="pt-BR"/>
    </w:rPr>
  </w:style>
  <w:style w:type="character" w:customStyle="1" w:styleId="PargrafodaListaChar">
    <w:name w:val="Parágrafo da Lista Char"/>
    <w:basedOn w:val="Fontepargpadro"/>
    <w:link w:val="PargrafodaLista"/>
    <w:uiPriority w:val="34"/>
    <w:rsid w:val="000501D5"/>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rsid w:val="000501D5"/>
    <w:pPr>
      <w:autoSpaceDE/>
      <w:autoSpaceDN/>
      <w:adjustRightInd/>
      <w:ind w:left="720"/>
    </w:pPr>
    <w:rPr>
      <w:lang w:val="en-US"/>
    </w:rPr>
  </w:style>
  <w:style w:type="paragraph" w:styleId="Textodebalo">
    <w:name w:val="Balloon Text"/>
    <w:basedOn w:val="Normal"/>
    <w:link w:val="TextodebaloChar"/>
    <w:uiPriority w:val="99"/>
    <w:semiHidden/>
    <w:unhideWhenUsed/>
    <w:rsid w:val="0083514A"/>
    <w:rPr>
      <w:rFonts w:ascii="Segoe UI" w:hAnsi="Segoe UI" w:cs="Segoe UI"/>
      <w:sz w:val="18"/>
      <w:szCs w:val="18"/>
    </w:rPr>
  </w:style>
  <w:style w:type="character" w:customStyle="1" w:styleId="TextodebaloChar">
    <w:name w:val="Texto de balão Char"/>
    <w:basedOn w:val="Fontepargpadro"/>
    <w:link w:val="Textodebalo"/>
    <w:uiPriority w:val="99"/>
    <w:semiHidden/>
    <w:rsid w:val="0083514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 T E X T ! 5 2 2 0 9 2 5 6 . 2 < / d o c u m e n t i d >  
     < s e n d e r i d > C G O < / s e n d e r i d >  
     < s e n d e r e m a i l > C G E R O S A @ M A C H A D O M E Y E R . C O M . B R < / s e n d e r e m a i l >  
     < l a s t m o d i f i e d > 2 0 2 0 - 0 6 - 2 1 T 1 8 : 0 6 : 0 0 . 0 0 0 0 0 0 0 - 0 3 : 0 0 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09545B0-3728-48F4-89E6-EAC58D6F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2946</Words>
  <Characters>16028</Characters>
  <Application>Microsoft Office Word</Application>
  <DocSecurity>0</DocSecurity>
  <Lines>390</Lines>
  <Paragraphs>96</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Andre Moretti de Gois | Machado Meyer Advogados</cp:lastModifiedBy>
  <cp:revision>6</cp:revision>
  <cp:lastPrinted>2019-03-28T21:10:00Z</cp:lastPrinted>
  <dcterms:created xsi:type="dcterms:W3CDTF">2020-06-21T20:47:00Z</dcterms:created>
  <dcterms:modified xsi:type="dcterms:W3CDTF">2020-06-21T21:06:00Z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2020-06-09T17:38:13.5069601Z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f6033757-5e4a-4e21-8dda-4ff854b09986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2020-06-09T17:38:13.5069601Z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f6033757-5e4a-4e21-8dda-4ff854b09986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#52209256v2&lt;TEXT&gt; - OSP Inv - Quarto Aditamento Escritura da 1ª Emissão</vt:lpwstr>
  </property>
</Properties>
</file>