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A7F" w:rsidRPr="00953A5B" w:rsidRDefault="00111F7C" w:rsidP="00180A7F">
      <w:pPr>
        <w:spacing w:line="276" w:lineRule="auto"/>
        <w:jc w:val="both"/>
        <w:rPr>
          <w:rFonts w:ascii="Verdana" w:hAnsi="Verdana"/>
          <w:b/>
          <w:bCs/>
          <w:smallCaps/>
          <w:sz w:val="20"/>
          <w:szCs w:val="20"/>
        </w:rPr>
      </w:pPr>
      <w:r>
        <w:rPr>
          <w:rFonts w:ascii="Verdana" w:hAnsi="Verdana"/>
          <w:b/>
          <w:bCs/>
          <w:smallCaps/>
          <w:sz w:val="20"/>
          <w:szCs w:val="20"/>
        </w:rPr>
        <w:t>Terceiro</w:t>
      </w:r>
      <w:r w:rsidR="00180A7F" w:rsidRPr="00953A5B">
        <w:rPr>
          <w:rFonts w:ascii="Verdana" w:hAnsi="Verdana"/>
          <w:b/>
          <w:bCs/>
          <w:smallCaps/>
          <w:sz w:val="20"/>
          <w:szCs w:val="20"/>
        </w:rPr>
        <w:t xml:space="preserve"> Aditamento ao 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mallCaps/>
          <w:sz w:val="20"/>
          <w:szCs w:val="20"/>
        </w:rPr>
        <w:t>Fidejussória</w:t>
      </w:r>
      <w:r w:rsidR="00180A7F" w:rsidRPr="00953A5B">
        <w:rPr>
          <w:rFonts w:ascii="Verdana" w:hAnsi="Verdana"/>
          <w:b/>
          <w:bCs/>
          <w:smallCaps/>
          <w:sz w:val="20"/>
          <w:szCs w:val="20"/>
        </w:rPr>
        <w:t xml:space="preserve"> Adicional, da OSP Investimentos S.A.,</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celebrada entre</w:t>
      </w:r>
    </w:p>
    <w:p w:rsidR="00180A7F" w:rsidRPr="00953A5B" w:rsidRDefault="00180A7F" w:rsidP="00180A7F">
      <w:pPr>
        <w:spacing w:line="276" w:lineRule="auto"/>
        <w:rPr>
          <w:rFonts w:ascii="Verdana" w:hAnsi="Verdana"/>
          <w:smallCaps/>
          <w:sz w:val="20"/>
          <w:szCs w:val="20"/>
        </w:rPr>
      </w:pPr>
      <w:bookmarkStart w:id="0" w:name="_GoBack"/>
      <w:bookmarkEnd w:id="0"/>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caps/>
          <w:sz w:val="20"/>
          <w:szCs w:val="20"/>
        </w:rPr>
        <w:t xml:space="preserve">OSP INVESTIMENTOS </w:t>
      </w:r>
      <w:r w:rsidRPr="00953A5B">
        <w:rPr>
          <w:rFonts w:ascii="Verdana" w:hAnsi="Verdana"/>
          <w:b/>
          <w:bCs/>
          <w:sz w:val="20"/>
          <w:szCs w:val="20"/>
        </w:rPr>
        <w:t>S.A</w:t>
      </w:r>
      <w:r w:rsidRPr="00953A5B">
        <w:rPr>
          <w:rFonts w:ascii="Verdana" w:hAnsi="Verdana"/>
          <w:b/>
          <w:bCs/>
          <w:caps/>
          <w:sz w:val="20"/>
          <w:szCs w:val="20"/>
        </w:rPr>
        <w:t xml:space="preserve">. </w:t>
      </w: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Emissora, </w:t>
      </w: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pStyle w:val="Corpodetexto2"/>
        <w:spacing w:after="0" w:line="276" w:lineRule="auto"/>
        <w:jc w:val="center"/>
        <w:rPr>
          <w:rFonts w:ascii="Verdana" w:hAnsi="Verdana"/>
          <w:b/>
          <w:smallCaps/>
          <w:sz w:val="20"/>
          <w:szCs w:val="20"/>
        </w:rPr>
      </w:pPr>
      <w:r w:rsidRPr="00953A5B">
        <w:rPr>
          <w:rFonts w:ascii="Verdana" w:hAnsi="Verdana"/>
          <w:b/>
          <w:smallCaps/>
          <w:sz w:val="20"/>
          <w:szCs w:val="20"/>
        </w:rPr>
        <w:t xml:space="preserve">SIMPLIFIC PAVARINI </w:t>
      </w:r>
    </w:p>
    <w:p w:rsidR="00180A7F" w:rsidRPr="00953A5B" w:rsidRDefault="00180A7F" w:rsidP="00180A7F">
      <w:pPr>
        <w:pStyle w:val="Corpodetexto2"/>
        <w:spacing w:after="0" w:line="276" w:lineRule="auto"/>
        <w:jc w:val="center"/>
        <w:rPr>
          <w:rFonts w:ascii="Verdana" w:hAnsi="Verdana"/>
          <w:b/>
          <w:bCs/>
          <w:smallCaps/>
          <w:sz w:val="20"/>
          <w:szCs w:val="20"/>
        </w:rPr>
      </w:pPr>
      <w:r w:rsidRPr="00953A5B">
        <w:rPr>
          <w:rFonts w:ascii="Verdana" w:hAnsi="Verdana"/>
          <w:b/>
          <w:smallCaps/>
          <w:sz w:val="20"/>
          <w:szCs w:val="20"/>
        </w:rPr>
        <w:t>DISTRIBUIDORA DE TÍTULOS E VALORES MOBILIÁRIOS LTDA.</w:t>
      </w:r>
      <w:r w:rsidRPr="00953A5B">
        <w:rPr>
          <w:rFonts w:ascii="Verdana" w:hAnsi="Verdana"/>
          <w:b/>
          <w:bCs/>
          <w:smallCaps/>
          <w:sz w:val="20"/>
          <w:szCs w:val="20"/>
        </w:rPr>
        <w:t>,</w:t>
      </w:r>
    </w:p>
    <w:p w:rsidR="00180A7F" w:rsidRPr="00953A5B" w:rsidRDefault="00180A7F" w:rsidP="00180A7F">
      <w:pPr>
        <w:pStyle w:val="Commarcadores"/>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Agente Fiduciário e Representante dos Debenturistas</w:t>
      </w: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e</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 xml:space="preserve">ODEBRECHT SERVIÇOS E PARTICIPAÇÕES S.A., </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E</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ODEBRECHT S.A.,</w:t>
      </w:r>
    </w:p>
    <w:p w:rsidR="00180A7F" w:rsidRPr="00953A5B" w:rsidRDefault="00180A7F" w:rsidP="00180A7F">
      <w:pPr>
        <w:spacing w:line="276" w:lineRule="auto"/>
        <w:rPr>
          <w:rFonts w:ascii="Verdana" w:hAnsi="Verdana"/>
          <w:sz w:val="20"/>
          <w:szCs w:val="20"/>
        </w:rPr>
      </w:pPr>
    </w:p>
    <w:p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Fiadoras</w:t>
      </w:r>
    </w:p>
    <w:p w:rsidR="00180A7F" w:rsidRPr="00953A5B" w:rsidRDefault="00180A7F" w:rsidP="00180A7F">
      <w:pPr>
        <w:spacing w:line="276" w:lineRule="auto"/>
        <w:rPr>
          <w:rFonts w:ascii="Verdana" w:hAnsi="Verdana"/>
          <w:smallCaps/>
          <w:sz w:val="20"/>
          <w:szCs w:val="20"/>
        </w:rPr>
      </w:pP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rsidR="00180A7F" w:rsidRPr="00953A5B" w:rsidRDefault="00111F7C" w:rsidP="00180A7F">
      <w:pPr>
        <w:widowControl w:val="0"/>
        <w:spacing w:line="276" w:lineRule="auto"/>
        <w:jc w:val="center"/>
        <w:rPr>
          <w:rFonts w:ascii="Verdana" w:hAnsi="Verdana"/>
          <w:b/>
          <w:bCs/>
          <w:smallCaps/>
          <w:sz w:val="20"/>
          <w:szCs w:val="20"/>
        </w:rPr>
      </w:pPr>
      <w:r>
        <w:rPr>
          <w:rFonts w:ascii="Verdana" w:hAnsi="Verdana"/>
          <w:b/>
          <w:bCs/>
          <w:smallCaps/>
          <w:sz w:val="20"/>
          <w:szCs w:val="20"/>
        </w:rPr>
        <w:t>[--]</w:t>
      </w:r>
      <w:r w:rsidR="00422440">
        <w:rPr>
          <w:rFonts w:ascii="Verdana" w:hAnsi="Verdana"/>
          <w:b/>
          <w:bCs/>
          <w:smallCaps/>
          <w:sz w:val="20"/>
          <w:szCs w:val="20"/>
        </w:rPr>
        <w:t xml:space="preserve"> de Junho de 2020</w:t>
      </w:r>
    </w:p>
    <w:p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rsidR="00180A7F" w:rsidRPr="00953A5B" w:rsidRDefault="00656ECE" w:rsidP="00180A7F">
      <w:pPr>
        <w:widowControl w:val="0"/>
        <w:spacing w:line="276" w:lineRule="auto"/>
        <w:jc w:val="both"/>
        <w:rPr>
          <w:rFonts w:ascii="Verdana" w:hAnsi="Verdana"/>
          <w:b/>
          <w:bCs/>
          <w:sz w:val="20"/>
          <w:szCs w:val="20"/>
        </w:rPr>
      </w:pPr>
      <w:r>
        <w:rPr>
          <w:rFonts w:ascii="Verdana" w:hAnsi="Verdana"/>
          <w:b/>
          <w:bCs/>
          <w:sz w:val="20"/>
          <w:szCs w:val="20"/>
        </w:rPr>
        <w:lastRenderedPageBreak/>
        <w:t>TERCEIRO</w:t>
      </w:r>
      <w:r w:rsidR="00180A7F" w:rsidRPr="00953A5B">
        <w:rPr>
          <w:rFonts w:ascii="Verdana" w:hAnsi="Verdana"/>
          <w:b/>
          <w:bCs/>
          <w:sz w:val="20"/>
          <w:szCs w:val="20"/>
        </w:rPr>
        <w:t xml:space="preserve"> ADITAMENTO AO</w:t>
      </w:r>
      <w:r w:rsidR="00180A7F" w:rsidRPr="00953A5B">
        <w:rPr>
          <w:rFonts w:ascii="Verdana" w:hAnsi="Verdana"/>
          <w:sz w:val="20"/>
          <w:szCs w:val="20"/>
        </w:rPr>
        <w:t xml:space="preserve"> </w:t>
      </w:r>
      <w:r w:rsidR="00180A7F" w:rsidRPr="00953A5B">
        <w:rPr>
          <w:rFonts w:ascii="Verdana" w:hAnsi="Verdana"/>
          <w:b/>
          <w:bCs/>
          <w:sz w:val="20"/>
          <w:szCs w:val="20"/>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z w:val="20"/>
          <w:szCs w:val="20"/>
        </w:rPr>
        <w:t>FIDEJUSSÓRIA</w:t>
      </w:r>
      <w:r w:rsidR="00180A7F" w:rsidRPr="00953A5B">
        <w:rPr>
          <w:rFonts w:ascii="Verdana" w:hAnsi="Verdana"/>
          <w:b/>
          <w:bCs/>
          <w:sz w:val="20"/>
          <w:szCs w:val="20"/>
        </w:rPr>
        <w:t xml:space="preserve"> ADICIONAL, DA OSP INVESTIMENTOS S.A.</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 (“</w:t>
      </w:r>
      <w:r w:rsidRPr="00953A5B">
        <w:rPr>
          <w:rFonts w:ascii="Verdana" w:hAnsi="Verdana"/>
          <w:sz w:val="20"/>
          <w:szCs w:val="20"/>
          <w:u w:val="single"/>
        </w:rPr>
        <w:t>Partes</w:t>
      </w:r>
      <w:r w:rsidRPr="00953A5B">
        <w:rPr>
          <w:rFonts w:ascii="Verdana" w:hAnsi="Verdana"/>
          <w:sz w:val="20"/>
          <w:szCs w:val="20"/>
        </w:rPr>
        <w:t>”):</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um lado,</w:t>
      </w:r>
    </w:p>
    <w:p w:rsidR="00180A7F" w:rsidRPr="00953A5B" w:rsidRDefault="00180A7F" w:rsidP="00180A7F">
      <w:pPr>
        <w:spacing w:line="276" w:lineRule="auto"/>
        <w:jc w:val="both"/>
        <w:rPr>
          <w:rFonts w:ascii="Verdana" w:hAnsi="Verdana"/>
          <w:sz w:val="20"/>
          <w:szCs w:val="20"/>
        </w:rPr>
      </w:pPr>
    </w:p>
    <w:p w:rsidR="00180A7F" w:rsidRPr="00953A5B" w:rsidRDefault="00111F7C" w:rsidP="00180A7F">
      <w:pPr>
        <w:spacing w:line="276" w:lineRule="auto"/>
        <w:jc w:val="both"/>
        <w:rPr>
          <w:rFonts w:ascii="Verdana" w:hAnsi="Verdana"/>
          <w:sz w:val="20"/>
          <w:szCs w:val="20"/>
        </w:rPr>
      </w:pPr>
      <w:r w:rsidRPr="0077533B">
        <w:rPr>
          <w:rFonts w:ascii="Verdana" w:hAnsi="Verdana"/>
          <w:b/>
          <w:bCs/>
          <w:caps/>
          <w:sz w:val="20"/>
          <w:szCs w:val="20"/>
        </w:rPr>
        <w:t>OSP INVESTIMENTOS S.A.</w:t>
      </w:r>
      <w:r>
        <w:rPr>
          <w:rFonts w:ascii="Verdana" w:hAnsi="Verdana"/>
          <w:b/>
          <w:bCs/>
          <w:caps/>
          <w:sz w:val="20"/>
          <w:szCs w:val="20"/>
        </w:rPr>
        <w:t xml:space="preserve"> – em recuperação judicial</w:t>
      </w:r>
      <w:r w:rsidR="00180A7F" w:rsidRPr="00953A5B">
        <w:rPr>
          <w:rFonts w:ascii="Verdana" w:hAnsi="Verdana"/>
          <w:b/>
          <w:bCs/>
          <w:caps/>
          <w:sz w:val="20"/>
          <w:szCs w:val="20"/>
        </w:rPr>
        <w:t xml:space="preserve">, </w:t>
      </w:r>
      <w:r w:rsidR="00180A7F" w:rsidRPr="00953A5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00180A7F" w:rsidRPr="00953A5B">
        <w:rPr>
          <w:rFonts w:ascii="Verdana" w:hAnsi="Verdana"/>
          <w:sz w:val="20"/>
          <w:szCs w:val="20"/>
          <w:u w:val="single"/>
        </w:rPr>
        <w:t>Emissora</w:t>
      </w:r>
      <w:r w:rsidR="00180A7F" w:rsidRPr="00953A5B">
        <w:rPr>
          <w:rFonts w:ascii="Verdana" w:hAnsi="Verdana"/>
          <w:sz w:val="20"/>
          <w:szCs w:val="20"/>
        </w:rPr>
        <w:t xml:space="preserve">”); </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outro lado,</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b/>
          <w:bCs/>
          <w:sz w:val="20"/>
          <w:szCs w:val="20"/>
        </w:rPr>
        <w:t>SIMPLIFIC PAVARINI DISTRIBUIDORA DE TÍTULOS E VALORES MOBILIÁRIOS LTDA.</w:t>
      </w:r>
      <w:r w:rsidRPr="00953A5B">
        <w:rPr>
          <w:rFonts w:ascii="Verdana" w:hAnsi="Verdana"/>
          <w:bCs/>
          <w:sz w:val="20"/>
          <w:szCs w:val="20"/>
        </w:rPr>
        <w:t>, instituição financeira, atuando por sua Filial na cidade de São Paulo, Estado de São Paulo, Rua São Bento, nº 329, sala 87 – 8º andar, Centro, CEP 01011-100, em fase de alteração de endereço para a Rua Joaquim Floriano, 466 – Bloco B, Sala 1401, Itaim Bibi, CEP 04534-002, inscrita no CNPJ/MF sob n.º15.227.994/0004-01,</w:t>
      </w:r>
      <w:r w:rsidRPr="00953A5B">
        <w:rPr>
          <w:rFonts w:ascii="Verdana" w:hAnsi="Verdana"/>
          <w:b/>
          <w:sz w:val="20"/>
          <w:szCs w:val="20"/>
        </w:rPr>
        <w:t xml:space="preserve"> </w:t>
      </w:r>
      <w:r w:rsidRPr="00953A5B">
        <w:rPr>
          <w:rFonts w:ascii="Verdana" w:hAnsi="Verdana"/>
          <w:bCs/>
          <w:sz w:val="20"/>
          <w:szCs w:val="20"/>
        </w:rPr>
        <w:t>neste ato representada nos termos do seu contrato social</w:t>
      </w:r>
      <w:r w:rsidRPr="00953A5B">
        <w:rPr>
          <w:rFonts w:ascii="Verdana" w:hAnsi="Verdana"/>
          <w:sz w:val="20"/>
          <w:szCs w:val="20"/>
        </w:rPr>
        <w:t>, representando a comunhão dos Debenturistas</w:t>
      </w:r>
      <w:r w:rsidRPr="00953A5B">
        <w:rPr>
          <w:rFonts w:ascii="Verdana" w:hAnsi="Verdana"/>
          <w:b/>
          <w:bCs/>
          <w:smallCaps/>
          <w:sz w:val="20"/>
          <w:szCs w:val="20"/>
        </w:rPr>
        <w:t xml:space="preserve"> </w:t>
      </w:r>
      <w:r w:rsidRPr="00953A5B">
        <w:rPr>
          <w:rFonts w:ascii="Verdana" w:hAnsi="Verdana"/>
          <w:smallCaps/>
          <w:sz w:val="20"/>
          <w:szCs w:val="20"/>
        </w:rPr>
        <w:t>(“</w:t>
      </w:r>
      <w:r w:rsidRPr="00953A5B">
        <w:rPr>
          <w:rFonts w:ascii="Verdana" w:hAnsi="Verdana"/>
          <w:sz w:val="20"/>
          <w:szCs w:val="20"/>
          <w:u w:val="single"/>
        </w:rPr>
        <w:t>Agente Fiduciário</w:t>
      </w:r>
      <w:r w:rsidRPr="00953A5B">
        <w:rPr>
          <w:rFonts w:ascii="Verdana" w:hAnsi="Verdana"/>
          <w:sz w:val="20"/>
          <w:szCs w:val="20"/>
        </w:rPr>
        <w:t>”);</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widowControl w:val="0"/>
        <w:spacing w:line="276" w:lineRule="auto"/>
        <w:jc w:val="both"/>
        <w:rPr>
          <w:rFonts w:ascii="Verdana" w:hAnsi="Verdana"/>
          <w:color w:val="000000"/>
          <w:sz w:val="20"/>
          <w:szCs w:val="20"/>
        </w:rPr>
      </w:pPr>
      <w:r w:rsidRPr="00953A5B">
        <w:rPr>
          <w:rFonts w:ascii="Verdana" w:hAnsi="Verdana"/>
          <w:color w:val="000000"/>
          <w:sz w:val="20"/>
          <w:szCs w:val="20"/>
        </w:rPr>
        <w:t>E, como fiadoras,</w:t>
      </w:r>
    </w:p>
    <w:p w:rsidR="00180A7F" w:rsidRPr="00953A5B" w:rsidRDefault="00180A7F" w:rsidP="00180A7F">
      <w:pPr>
        <w:widowControl w:val="0"/>
        <w:spacing w:line="276" w:lineRule="auto"/>
        <w:jc w:val="both"/>
        <w:rPr>
          <w:rFonts w:ascii="Verdana" w:hAnsi="Verdana"/>
          <w:color w:val="000000"/>
          <w:sz w:val="20"/>
          <w:szCs w:val="20"/>
        </w:rPr>
      </w:pPr>
    </w:p>
    <w:p w:rsidR="00111F7C" w:rsidRPr="0077533B" w:rsidRDefault="00111F7C" w:rsidP="00111F7C">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rsidR="00111F7C" w:rsidRPr="0077533B" w:rsidRDefault="00111F7C" w:rsidP="00111F7C">
      <w:pPr>
        <w:widowControl w:val="0"/>
        <w:spacing w:line="276" w:lineRule="auto"/>
        <w:jc w:val="both"/>
        <w:rPr>
          <w:rFonts w:ascii="Verdana" w:hAnsi="Verdana"/>
          <w:color w:val="000000"/>
          <w:sz w:val="20"/>
          <w:szCs w:val="20"/>
        </w:rPr>
      </w:pPr>
    </w:p>
    <w:p w:rsidR="00180A7F" w:rsidRPr="00953A5B" w:rsidRDefault="00111F7C" w:rsidP="00111F7C">
      <w:pPr>
        <w:widowControl w:val="0"/>
        <w:spacing w:line="276" w:lineRule="auto"/>
        <w:jc w:val="both"/>
        <w:rPr>
          <w:rFonts w:ascii="Verdana" w:hAnsi="Verdana"/>
          <w:color w:val="000000"/>
          <w:sz w:val="20"/>
          <w:szCs w:val="20"/>
        </w:rPr>
      </w:pPr>
      <w:r w:rsidRPr="0077533B">
        <w:rPr>
          <w:rFonts w:ascii="Verdana" w:hAnsi="Verdana"/>
          <w:b/>
          <w:bCs/>
          <w:color w:val="000000"/>
          <w:sz w:val="20"/>
          <w:szCs w:val="20"/>
        </w:rPr>
        <w:t>ODEBRECHT S.A.</w:t>
      </w:r>
      <w:r>
        <w:rPr>
          <w:rFonts w:ascii="Verdana" w:hAnsi="Verdana"/>
          <w:b/>
          <w:bCs/>
          <w:color w:val="000000"/>
          <w:sz w:val="20"/>
          <w:szCs w:val="20"/>
        </w:rPr>
        <w:t xml:space="preserve"> – EM RECUPERAÇÃO JUDICIAL</w:t>
      </w:r>
      <w:r w:rsidRPr="0077533B">
        <w:rPr>
          <w:rFonts w:ascii="Verdana" w:hAnsi="Verdana"/>
          <w:color w:val="000000"/>
          <w:sz w:val="20"/>
          <w:szCs w:val="20"/>
        </w:rPr>
        <w:t xml:space="preserve">, </w:t>
      </w:r>
      <w:r w:rsidRPr="0077533B">
        <w:rPr>
          <w:rFonts w:ascii="Verdana" w:hAnsi="Verdana"/>
          <w:sz w:val="20"/>
          <w:szCs w:val="20"/>
        </w:rPr>
        <w:t>sociedade por ações</w:t>
      </w:r>
      <w:r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77533B">
        <w:rPr>
          <w:rFonts w:ascii="Verdana" w:hAnsi="Verdana"/>
          <w:color w:val="000000"/>
          <w:sz w:val="20"/>
          <w:szCs w:val="20"/>
          <w:u w:val="single"/>
        </w:rPr>
        <w:t>ODB</w:t>
      </w:r>
      <w:r w:rsidRPr="0077533B">
        <w:rPr>
          <w:rFonts w:ascii="Verdana" w:hAnsi="Verdana"/>
          <w:color w:val="000000"/>
          <w:sz w:val="20"/>
          <w:szCs w:val="20"/>
        </w:rPr>
        <w:t>” ou “</w:t>
      </w:r>
      <w:r w:rsidRPr="0077533B">
        <w:rPr>
          <w:rFonts w:ascii="Verdana" w:hAnsi="Verdana"/>
          <w:color w:val="000000"/>
          <w:sz w:val="20"/>
          <w:szCs w:val="20"/>
          <w:u w:val="single"/>
        </w:rPr>
        <w:t>Odebrecht</w:t>
      </w:r>
      <w:r w:rsidRPr="0077533B">
        <w:rPr>
          <w:rFonts w:ascii="Verdana" w:hAnsi="Verdana"/>
          <w:color w:val="000000"/>
          <w:sz w:val="20"/>
          <w:szCs w:val="20"/>
        </w:rPr>
        <w:t>” e, em conjunto com a OSP, as “</w:t>
      </w:r>
      <w:r w:rsidRPr="0077533B">
        <w:rPr>
          <w:rFonts w:ascii="Verdana" w:hAnsi="Verdana"/>
          <w:color w:val="000000"/>
          <w:sz w:val="20"/>
          <w:szCs w:val="20"/>
          <w:u w:val="single"/>
        </w:rPr>
        <w:t>Fiadoras</w:t>
      </w:r>
      <w:r w:rsidRPr="0077533B">
        <w:rPr>
          <w:rFonts w:ascii="Verdana" w:hAnsi="Verdana"/>
          <w:color w:val="000000"/>
          <w:sz w:val="20"/>
          <w:szCs w:val="20"/>
        </w:rPr>
        <w:t>”).</w:t>
      </w:r>
    </w:p>
    <w:p w:rsidR="00180A7F" w:rsidRPr="00953A5B" w:rsidRDefault="00180A7F" w:rsidP="00180A7F">
      <w:pPr>
        <w:spacing w:line="276" w:lineRule="auto"/>
        <w:jc w:val="both"/>
        <w:rPr>
          <w:rFonts w:ascii="Verdana" w:hAnsi="Verdana"/>
          <w:sz w:val="20"/>
          <w:szCs w:val="20"/>
        </w:rPr>
      </w:pPr>
    </w:p>
    <w:p w:rsidR="00180A7F" w:rsidRPr="00953A5B" w:rsidRDefault="00180A7F" w:rsidP="00180A7F">
      <w:pPr>
        <w:widowControl w:val="0"/>
        <w:spacing w:line="276" w:lineRule="auto"/>
        <w:jc w:val="both"/>
        <w:rPr>
          <w:rFonts w:ascii="Verdana" w:hAnsi="Verdana"/>
          <w:b/>
          <w:sz w:val="20"/>
          <w:szCs w:val="20"/>
        </w:rPr>
      </w:pPr>
      <w:r w:rsidRPr="00953A5B">
        <w:rPr>
          <w:rFonts w:ascii="Verdana" w:hAnsi="Verdana"/>
          <w:b/>
          <w:sz w:val="20"/>
          <w:szCs w:val="20"/>
        </w:rPr>
        <w:t>CONSIDERANDO QUE,</w:t>
      </w:r>
    </w:p>
    <w:p w:rsidR="00180A7F" w:rsidRPr="00953A5B" w:rsidRDefault="00180A7F" w:rsidP="00180A7F">
      <w:pPr>
        <w:spacing w:line="276" w:lineRule="auto"/>
        <w:jc w:val="both"/>
        <w:rPr>
          <w:rFonts w:ascii="Verdana" w:hAnsi="Verdana"/>
          <w:smallCaps/>
          <w:sz w:val="20"/>
          <w:szCs w:val="20"/>
        </w:rPr>
      </w:pPr>
    </w:p>
    <w:p w:rsidR="00180A7F" w:rsidRPr="00953A5B" w:rsidRDefault="00180A7F" w:rsidP="00180A7F">
      <w:pPr>
        <w:pStyle w:val="PargrafodaLista"/>
        <w:numPr>
          <w:ilvl w:val="0"/>
          <w:numId w:val="1"/>
        </w:numPr>
        <w:spacing w:line="276" w:lineRule="auto"/>
        <w:ind w:hanging="720"/>
        <w:jc w:val="both"/>
        <w:rPr>
          <w:rFonts w:ascii="Verdana" w:hAnsi="Verdana"/>
          <w:sz w:val="20"/>
          <w:szCs w:val="20"/>
        </w:rPr>
      </w:pPr>
      <w:r w:rsidRPr="00953A5B">
        <w:rPr>
          <w:rFonts w:ascii="Verdana" w:hAnsi="Verdana"/>
          <w:sz w:val="20"/>
          <w:szCs w:val="20"/>
        </w:rPr>
        <w:t>em 13 de abril de 2018, a Emissora e o Agente Fiduciário celebraram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r w:rsidR="007A15CA" w:rsidRPr="00953A5B">
        <w:rPr>
          <w:rFonts w:ascii="Verdana" w:hAnsi="Verdana"/>
          <w:sz w:val="20"/>
          <w:szCs w:val="20"/>
        </w:rPr>
        <w:t>, conforme aditada em 23 de maio de 2018</w:t>
      </w:r>
      <w:r w:rsidRPr="00953A5B">
        <w:rPr>
          <w:rFonts w:ascii="Verdana" w:hAnsi="Verdana"/>
          <w:sz w:val="20"/>
          <w:szCs w:val="20"/>
        </w:rPr>
        <w:t xml:space="preserve"> (“</w:t>
      </w:r>
      <w:r w:rsidRPr="00953A5B">
        <w:rPr>
          <w:rFonts w:ascii="Verdana" w:hAnsi="Verdana"/>
          <w:sz w:val="20"/>
          <w:szCs w:val="20"/>
          <w:u w:val="single"/>
        </w:rPr>
        <w:t>Escritura</w:t>
      </w:r>
      <w:r w:rsidRPr="00953A5B">
        <w:rPr>
          <w:rFonts w:ascii="Verdana" w:hAnsi="Verdana"/>
          <w:sz w:val="20"/>
          <w:szCs w:val="20"/>
        </w:rPr>
        <w:t>” e “</w:t>
      </w:r>
      <w:r w:rsidRPr="00953A5B">
        <w:rPr>
          <w:rFonts w:ascii="Verdana" w:hAnsi="Verdana"/>
          <w:sz w:val="20"/>
          <w:szCs w:val="20"/>
          <w:u w:val="single"/>
        </w:rPr>
        <w:t>Debêntures</w:t>
      </w:r>
      <w:r w:rsidRPr="00953A5B">
        <w:rPr>
          <w:rFonts w:ascii="Verdana" w:hAnsi="Verdana"/>
          <w:sz w:val="20"/>
          <w:szCs w:val="20"/>
        </w:rPr>
        <w:t>”, respectivamente);</w:t>
      </w:r>
    </w:p>
    <w:p w:rsidR="007A15CA" w:rsidRPr="00953A5B" w:rsidRDefault="007A15CA" w:rsidP="007A15CA">
      <w:pPr>
        <w:pStyle w:val="PargrafodaLista"/>
        <w:spacing w:line="276" w:lineRule="auto"/>
        <w:jc w:val="both"/>
        <w:rPr>
          <w:rFonts w:ascii="Verdana" w:hAnsi="Verdana"/>
          <w:sz w:val="20"/>
          <w:szCs w:val="20"/>
        </w:rPr>
      </w:pPr>
    </w:p>
    <w:p w:rsidR="007A15CA" w:rsidRPr="00953A5B" w:rsidRDefault="00111F7C"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em 1º de junho de 2020, as Partes realizaram uma assembleia geral de debenturistas na qual os Debenturistas (conforme definido na Escritura) aprovaram aditar determinadas cláusulas e disposições da Escritura a fim de refletir as </w:t>
      </w:r>
      <w:r w:rsidRPr="00F60FA2">
        <w:rPr>
          <w:rFonts w:ascii="Verdana" w:hAnsi="Verdana"/>
          <w:sz w:val="20"/>
          <w:szCs w:val="20"/>
        </w:rPr>
        <w:t>novas Datas de Vencimento das Debêntures, Período de Carência e Data de Pagamento dos Juros aplicáveis às Debêntures da 1ª Série,</w:t>
      </w:r>
      <w:r>
        <w:rPr>
          <w:rFonts w:ascii="Verdana" w:hAnsi="Verdana"/>
          <w:sz w:val="20"/>
          <w:szCs w:val="20"/>
        </w:rPr>
        <w:t xml:space="preserve"> 2ª Série, 5ª Série (posteriormente alterado por meio de assembleia de debenturistas da 5ª Série realizada em </w:t>
      </w:r>
      <w:r w:rsidR="002E76D9">
        <w:rPr>
          <w:rFonts w:ascii="Verdana" w:hAnsi="Verdana"/>
          <w:sz w:val="20"/>
          <w:szCs w:val="20"/>
        </w:rPr>
        <w:t>22 de junho de 2020</w:t>
      </w:r>
      <w:r>
        <w:rPr>
          <w:rFonts w:ascii="Verdana" w:hAnsi="Verdana"/>
          <w:sz w:val="20"/>
          <w:szCs w:val="20"/>
        </w:rPr>
        <w:t>), 7ª Série, 8ª Série e 10ª Série</w:t>
      </w:r>
      <w:r w:rsidRPr="00F60FA2">
        <w:rPr>
          <w:rFonts w:ascii="Verdana" w:hAnsi="Verdana"/>
          <w:sz w:val="20"/>
          <w:szCs w:val="20"/>
        </w:rPr>
        <w:t xml:space="preserve">, atualmente </w:t>
      </w:r>
      <w:r>
        <w:rPr>
          <w:rFonts w:ascii="Verdana" w:hAnsi="Verdana"/>
          <w:sz w:val="20"/>
          <w:szCs w:val="20"/>
        </w:rPr>
        <w:t>vencidas</w:t>
      </w:r>
      <w:r w:rsidRPr="00F60FA2">
        <w:rPr>
          <w:rFonts w:ascii="Verdana" w:hAnsi="Verdana"/>
          <w:sz w:val="20"/>
          <w:szCs w:val="20"/>
        </w:rPr>
        <w:t xml:space="preserve"> e/ou devidas em 31 de maio de 2020, para 31 de agosto de 2020; </w:t>
      </w:r>
      <w:r>
        <w:rPr>
          <w:rFonts w:ascii="Verdana" w:hAnsi="Verdana"/>
          <w:sz w:val="20"/>
          <w:szCs w:val="20"/>
        </w:rPr>
        <w:t>e</w:t>
      </w:r>
      <w:r w:rsidR="007A15CA" w:rsidRPr="00953A5B">
        <w:rPr>
          <w:rFonts w:ascii="Verdana" w:hAnsi="Verdana"/>
          <w:sz w:val="20"/>
          <w:szCs w:val="20"/>
        </w:rPr>
        <w:t xml:space="preserve"> </w:t>
      </w:r>
    </w:p>
    <w:p w:rsidR="007A15CA" w:rsidRPr="00953A5B" w:rsidRDefault="007A15CA" w:rsidP="007A15CA">
      <w:pPr>
        <w:pStyle w:val="PargrafodaLista"/>
        <w:rPr>
          <w:rFonts w:ascii="Verdana" w:hAnsi="Verdana"/>
          <w:sz w:val="20"/>
          <w:szCs w:val="20"/>
        </w:rPr>
      </w:pPr>
    </w:p>
    <w:p w:rsidR="007A15CA" w:rsidRPr="00953A5B" w:rsidRDefault="00111F7C" w:rsidP="007A15CA">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Pr="00953A5B">
        <w:rPr>
          <w:rFonts w:ascii="Verdana" w:hAnsi="Verdana"/>
          <w:sz w:val="20"/>
          <w:szCs w:val="20"/>
        </w:rPr>
        <w:t>as Partes desejam alterar certos termos e con</w:t>
      </w:r>
      <w:r>
        <w:rPr>
          <w:rFonts w:ascii="Verdana" w:hAnsi="Verdana"/>
          <w:sz w:val="20"/>
          <w:szCs w:val="20"/>
        </w:rPr>
        <w:t>dições previstos na Escritura.</w:t>
      </w:r>
    </w:p>
    <w:p w:rsidR="00180A7F" w:rsidRPr="00953A5B" w:rsidRDefault="00180A7F" w:rsidP="00180A7F">
      <w:pPr>
        <w:spacing w:line="276" w:lineRule="auto"/>
        <w:jc w:val="both"/>
        <w:rPr>
          <w:rFonts w:ascii="Verdana" w:hAnsi="Verdana"/>
          <w:sz w:val="20"/>
          <w:szCs w:val="20"/>
        </w:rPr>
      </w:pPr>
    </w:p>
    <w:p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111F7C">
        <w:rPr>
          <w:rFonts w:ascii="Verdana" w:hAnsi="Verdana"/>
          <w:sz w:val="20"/>
          <w:szCs w:val="20"/>
        </w:rPr>
        <w:t>Terceiro</w:t>
      </w:r>
      <w:r w:rsidR="00180A7F" w:rsidRPr="00953A5B">
        <w:rPr>
          <w:rFonts w:ascii="Verdana" w:hAnsi="Verdana"/>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00180A7F" w:rsidRPr="00953A5B">
        <w:rPr>
          <w:rFonts w:ascii="Verdana" w:hAnsi="Verdana"/>
          <w:color w:val="000000"/>
          <w:sz w:val="20"/>
          <w:szCs w:val="20"/>
        </w:rPr>
        <w:t>(“</w:t>
      </w:r>
      <w:r w:rsidR="00111F7C">
        <w:rPr>
          <w:rFonts w:ascii="Verdana" w:hAnsi="Verdana"/>
          <w:color w:val="000000"/>
          <w:sz w:val="20"/>
          <w:szCs w:val="20"/>
          <w:u w:val="single"/>
        </w:rPr>
        <w:t>Terceiro</w:t>
      </w:r>
      <w:r w:rsidR="007A15CA" w:rsidRPr="00953A5B">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rsidR="00180A7F" w:rsidRPr="00953A5B" w:rsidRDefault="00180A7F" w:rsidP="00180A7F">
      <w:pPr>
        <w:spacing w:line="276" w:lineRule="auto"/>
        <w:jc w:val="both"/>
        <w:rPr>
          <w:rFonts w:ascii="Verdana" w:hAnsi="Verdana"/>
          <w:smallCaps/>
          <w:sz w:val="20"/>
          <w:szCs w:val="20"/>
        </w:rPr>
      </w:pPr>
    </w:p>
    <w:p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656ECE">
        <w:rPr>
          <w:rFonts w:ascii="Verdana" w:hAnsi="Verdana"/>
          <w:sz w:val="20"/>
          <w:szCs w:val="20"/>
        </w:rPr>
        <w:t>Terceiro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rsidR="00180A7F" w:rsidRPr="00953A5B" w:rsidRDefault="00180A7F" w:rsidP="00180A7F">
      <w:pPr>
        <w:widowControl w:val="0"/>
        <w:spacing w:line="276" w:lineRule="auto"/>
        <w:jc w:val="both"/>
        <w:rPr>
          <w:rFonts w:ascii="Verdana" w:hAnsi="Verdana"/>
          <w:caps/>
          <w:sz w:val="20"/>
          <w:szCs w:val="20"/>
        </w:rPr>
      </w:pPr>
    </w:p>
    <w:p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1" w:name="_Toc496756628"/>
      <w:bookmarkStart w:id="2" w:name="_Toc499906585"/>
      <w:r w:rsidRPr="00953A5B">
        <w:rPr>
          <w:rFonts w:ascii="Verdana" w:hAnsi="Verdana"/>
          <w:b/>
          <w:bCs/>
          <w:caps/>
          <w:color w:val="000000"/>
          <w:sz w:val="20"/>
          <w:szCs w:val="20"/>
        </w:rPr>
        <w:t xml:space="preserve">Cláusula I - </w:t>
      </w:r>
      <w:bookmarkEnd w:id="1"/>
      <w:r w:rsidRPr="00953A5B">
        <w:rPr>
          <w:rFonts w:ascii="Verdana" w:hAnsi="Verdana"/>
          <w:b/>
          <w:bCs/>
          <w:caps/>
          <w:color w:val="000000"/>
          <w:sz w:val="20"/>
          <w:szCs w:val="20"/>
        </w:rPr>
        <w:t>Alterações</w:t>
      </w:r>
      <w:bookmarkEnd w:id="2"/>
    </w:p>
    <w:p w:rsidR="00180A7F" w:rsidRPr="00953A5B" w:rsidRDefault="00180A7F" w:rsidP="00180A7F">
      <w:pPr>
        <w:spacing w:line="276" w:lineRule="auto"/>
        <w:jc w:val="both"/>
        <w:rPr>
          <w:rFonts w:ascii="Verdana" w:hAnsi="Verdana"/>
          <w:sz w:val="20"/>
          <w:szCs w:val="20"/>
        </w:rPr>
      </w:pPr>
    </w:p>
    <w:p w:rsidR="00C37937" w:rsidRPr="00953A5B"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w:t>
      </w:r>
      <w:r w:rsidR="00953A5B">
        <w:rPr>
          <w:rFonts w:ascii="Verdana" w:hAnsi="Verdana"/>
          <w:sz w:val="20"/>
          <w:szCs w:val="20"/>
        </w:rPr>
        <w:t>acima</w:t>
      </w:r>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111F7C" w:rsidRPr="00111F7C">
        <w:rPr>
          <w:sz w:val="22"/>
          <w:szCs w:val="22"/>
        </w:rPr>
        <w:t xml:space="preserve"> </w:t>
      </w:r>
      <w:r w:rsidR="00111F7C" w:rsidRPr="00111F7C">
        <w:rPr>
          <w:rFonts w:ascii="Verdana" w:hAnsi="Verdana"/>
          <w:sz w:val="20"/>
          <w:szCs w:val="20"/>
        </w:rPr>
        <w:t>alterar as Cláusulas 4.1.7, 4.3.2, 4.3.2.2 e 4.4.1 (g) da Escritura de Emissão, a fim de refletir as novas Datas de Vencimento das Debêntures, Período de Carência e Data de Pagamento dos Juros das Debêntures da 1ª Série, 2ª Série, 5ª Série e 7ª Série, que passam a vigorar com a seguinte nova redação</w:t>
      </w:r>
      <w:r w:rsidRPr="00953A5B">
        <w:rPr>
          <w:rFonts w:ascii="Verdana" w:hAnsi="Verdana"/>
          <w:sz w:val="20"/>
          <w:szCs w:val="20"/>
        </w:rPr>
        <w:t>:</w:t>
      </w:r>
    </w:p>
    <w:p w:rsidR="00111F7C" w:rsidRPr="002D69EA" w:rsidRDefault="00111F7C" w:rsidP="00111F7C">
      <w:pPr>
        <w:pStyle w:val="PargrafodaLista"/>
        <w:spacing w:line="320" w:lineRule="exact"/>
        <w:ind w:left="0"/>
        <w:jc w:val="both"/>
        <w:rPr>
          <w:bCs/>
          <w:sz w:val="22"/>
          <w:szCs w:val="22"/>
        </w:rPr>
      </w:pPr>
    </w:p>
    <w:p w:rsidR="00111F7C" w:rsidRPr="00111F7C" w:rsidRDefault="00111F7C" w:rsidP="00111F7C">
      <w:pPr>
        <w:widowControl w:val="0"/>
        <w:tabs>
          <w:tab w:val="left" w:pos="1260"/>
        </w:tabs>
        <w:spacing w:line="276" w:lineRule="auto"/>
        <w:jc w:val="both"/>
        <w:rPr>
          <w:rFonts w:ascii="Verdana" w:hAnsi="Verdana"/>
          <w:i/>
          <w:iCs/>
          <w:sz w:val="20"/>
          <w:szCs w:val="20"/>
        </w:rPr>
      </w:pPr>
      <w:r w:rsidRPr="00111F7C">
        <w:rPr>
          <w:rFonts w:ascii="Verdana" w:hAnsi="Verdana"/>
          <w:bCs/>
          <w:i/>
          <w:iCs/>
          <w:sz w:val="20"/>
          <w:szCs w:val="20"/>
        </w:rPr>
        <w:t>“4.1.7.</w:t>
      </w:r>
      <w:r w:rsidRPr="00111F7C">
        <w:rPr>
          <w:rFonts w:ascii="Verdana" w:hAnsi="Verdana"/>
          <w:bCs/>
          <w:i/>
          <w:iCs/>
          <w:sz w:val="20"/>
          <w:szCs w:val="20"/>
        </w:rPr>
        <w:tab/>
        <w:t>“</w:t>
      </w:r>
      <w:r w:rsidRPr="00111F7C">
        <w:rPr>
          <w:rFonts w:ascii="Verdana" w:hAnsi="Verdana"/>
          <w:i/>
          <w:iCs/>
          <w:sz w:val="20"/>
          <w:szCs w:val="20"/>
          <w:u w:val="single"/>
        </w:rPr>
        <w:t>Prazo e Data de Vencimento</w:t>
      </w:r>
      <w:r w:rsidRPr="00111F7C">
        <w:rPr>
          <w:rFonts w:ascii="Verdana" w:hAnsi="Verdana"/>
          <w:i/>
          <w:iCs/>
          <w:sz w:val="20"/>
          <w:szCs w:val="20"/>
        </w:rPr>
        <w:t xml:space="preserve">. Ressalvadas as hipóteses de resgate antecipado ou vencimento antecipado conforme previsto </w:t>
      </w:r>
      <w:proofErr w:type="spellStart"/>
      <w:r w:rsidRPr="00111F7C">
        <w:rPr>
          <w:rFonts w:ascii="Verdana" w:hAnsi="Verdana"/>
          <w:i/>
          <w:iCs/>
          <w:sz w:val="20"/>
          <w:szCs w:val="20"/>
        </w:rPr>
        <w:t>na</w:t>
      </w:r>
      <w:proofErr w:type="spellEnd"/>
      <w:r w:rsidRPr="00111F7C">
        <w:rPr>
          <w:rFonts w:ascii="Verdana" w:hAnsi="Verdana"/>
          <w:i/>
          <w:iCs/>
          <w:sz w:val="20"/>
          <w:szCs w:val="20"/>
        </w:rPr>
        <w:t xml:space="preserve"> presente Escritura, (a) as Debêntures da 1ª Série terão vencimento em 31 de agosto de 2020 (“</w:t>
      </w:r>
      <w:r w:rsidRPr="00111F7C">
        <w:rPr>
          <w:rFonts w:ascii="Verdana" w:hAnsi="Verdana"/>
          <w:i/>
          <w:iCs/>
          <w:sz w:val="20"/>
          <w:szCs w:val="20"/>
          <w:u w:val="single"/>
        </w:rPr>
        <w:t>Data de Vencimento das Debêntures da 1ª Série</w:t>
      </w:r>
      <w:r w:rsidRPr="00111F7C">
        <w:rPr>
          <w:rFonts w:ascii="Verdana" w:hAnsi="Verdana"/>
          <w:i/>
          <w:iCs/>
          <w:sz w:val="20"/>
          <w:szCs w:val="20"/>
        </w:rPr>
        <w:t>”), (b) as Debêntures da 2ª Série terão vencimento em 31 de agosto de 2020 (“</w:t>
      </w:r>
      <w:r w:rsidRPr="00111F7C">
        <w:rPr>
          <w:rFonts w:ascii="Verdana" w:hAnsi="Verdana"/>
          <w:i/>
          <w:iCs/>
          <w:sz w:val="20"/>
          <w:szCs w:val="20"/>
          <w:u w:val="single"/>
        </w:rPr>
        <w:t>Data de Vencimento das Debêntures da 2ª Série</w:t>
      </w:r>
      <w:r w:rsidRPr="00111F7C">
        <w:rPr>
          <w:rFonts w:ascii="Verdana" w:hAnsi="Verdana"/>
          <w:i/>
          <w:iCs/>
          <w:sz w:val="20"/>
          <w:szCs w:val="20"/>
        </w:rPr>
        <w:t>”), (c) as Debêntures da 3ª Série terão vencimento em 20 de abril de 2028 (“</w:t>
      </w:r>
      <w:r w:rsidRPr="00111F7C">
        <w:rPr>
          <w:rFonts w:ascii="Verdana" w:hAnsi="Verdana"/>
          <w:i/>
          <w:iCs/>
          <w:sz w:val="20"/>
          <w:szCs w:val="20"/>
          <w:u w:val="single"/>
        </w:rPr>
        <w:t>Data de Vencimento das Debêntures da 3ª Série</w:t>
      </w:r>
      <w:r w:rsidRPr="00111F7C">
        <w:rPr>
          <w:rFonts w:ascii="Verdana" w:hAnsi="Verdana"/>
          <w:i/>
          <w:iCs/>
          <w:sz w:val="20"/>
          <w:szCs w:val="20"/>
        </w:rPr>
        <w:t>”), (d) as Debêntures da 4ª Série terão vencimento em 20 de abril de 2028 (“</w:t>
      </w:r>
      <w:r w:rsidRPr="00111F7C">
        <w:rPr>
          <w:rFonts w:ascii="Verdana" w:hAnsi="Verdana"/>
          <w:i/>
          <w:iCs/>
          <w:sz w:val="20"/>
          <w:szCs w:val="20"/>
          <w:u w:val="single"/>
        </w:rPr>
        <w:t>Data de Vencimento das Debêntures da 4ª Série</w:t>
      </w:r>
      <w:r w:rsidRPr="00111F7C">
        <w:rPr>
          <w:rFonts w:ascii="Verdana" w:hAnsi="Verdana"/>
          <w:i/>
          <w:iCs/>
          <w:sz w:val="20"/>
          <w:szCs w:val="20"/>
        </w:rPr>
        <w:t>”), (e) as Debêntures da 5ª Série terão vencimento em 20 de dezembro de 2031 (“</w:t>
      </w:r>
      <w:r w:rsidRPr="00111F7C">
        <w:rPr>
          <w:rFonts w:ascii="Verdana" w:hAnsi="Verdana"/>
          <w:i/>
          <w:iCs/>
          <w:sz w:val="20"/>
          <w:szCs w:val="20"/>
          <w:u w:val="single"/>
        </w:rPr>
        <w:t>Data de Vencimento das Debêntures da 5ª Série</w:t>
      </w:r>
      <w:r w:rsidRPr="00111F7C">
        <w:rPr>
          <w:rFonts w:ascii="Verdana" w:hAnsi="Verdana"/>
          <w:i/>
          <w:iCs/>
          <w:sz w:val="20"/>
          <w:szCs w:val="20"/>
        </w:rPr>
        <w:t>”), (f) as Debêntures da 6ª Série terão vencimento em 20 de abril de 2028 (“</w:t>
      </w:r>
      <w:r w:rsidRPr="00111F7C">
        <w:rPr>
          <w:rFonts w:ascii="Verdana" w:hAnsi="Verdana"/>
          <w:i/>
          <w:iCs/>
          <w:sz w:val="20"/>
          <w:szCs w:val="20"/>
          <w:u w:val="single"/>
        </w:rPr>
        <w:t>Data de Vencimento das Debêntures da 6ª Série</w:t>
      </w:r>
      <w:r w:rsidRPr="00111F7C">
        <w:rPr>
          <w:rFonts w:ascii="Verdana" w:hAnsi="Verdana"/>
          <w:i/>
          <w:iCs/>
          <w:sz w:val="20"/>
          <w:szCs w:val="20"/>
        </w:rPr>
        <w:t>”), (g) as Debêntures da 7ª Série terão vencimento em 20 de janeiro de 2023 (“</w:t>
      </w:r>
      <w:r w:rsidRPr="00111F7C">
        <w:rPr>
          <w:rFonts w:ascii="Verdana" w:hAnsi="Verdana"/>
          <w:i/>
          <w:iCs/>
          <w:sz w:val="20"/>
          <w:szCs w:val="20"/>
          <w:u w:val="single"/>
        </w:rPr>
        <w:t>Data de Vencimento das Debêntures da 7ª Série</w:t>
      </w:r>
      <w:r w:rsidRPr="00111F7C">
        <w:rPr>
          <w:rFonts w:ascii="Verdana" w:hAnsi="Verdana"/>
          <w:i/>
          <w:iCs/>
          <w:sz w:val="20"/>
          <w:szCs w:val="20"/>
        </w:rPr>
        <w:t>”), (h) as Debêntures da 8ª Série terão vencimento em 20 de abril de 2023 (“</w:t>
      </w:r>
      <w:r w:rsidRPr="00111F7C">
        <w:rPr>
          <w:rFonts w:ascii="Verdana" w:hAnsi="Verdana"/>
          <w:i/>
          <w:iCs/>
          <w:sz w:val="20"/>
          <w:szCs w:val="20"/>
          <w:u w:val="single"/>
        </w:rPr>
        <w:t>Data de Vencimento das Debêntures da 8ª Série</w:t>
      </w:r>
      <w:r w:rsidRPr="00111F7C">
        <w:rPr>
          <w:rFonts w:ascii="Verdana" w:hAnsi="Verdana"/>
          <w:i/>
          <w:iCs/>
          <w:sz w:val="20"/>
          <w:szCs w:val="20"/>
        </w:rPr>
        <w:t>”); (i) as Debêntures da 9ª Série terão vencimento em 20 de dezembro de 2018 (“</w:t>
      </w:r>
      <w:r w:rsidRPr="00111F7C">
        <w:rPr>
          <w:rFonts w:ascii="Verdana" w:hAnsi="Verdana"/>
          <w:i/>
          <w:iCs/>
          <w:sz w:val="20"/>
          <w:szCs w:val="20"/>
          <w:u w:val="single"/>
        </w:rPr>
        <w:t>Data de Vencimento das Debêntures da 9ª Série</w:t>
      </w:r>
      <w:r w:rsidRPr="00111F7C">
        <w:rPr>
          <w:rFonts w:ascii="Verdana" w:hAnsi="Verdana"/>
          <w:i/>
          <w:iCs/>
          <w:sz w:val="20"/>
          <w:szCs w:val="20"/>
        </w:rPr>
        <w:t>”); (j) as Debêntures da 10ª Série terão vencimento em 20 de abril de 2023 (“</w:t>
      </w:r>
      <w:r w:rsidRPr="00111F7C">
        <w:rPr>
          <w:rFonts w:ascii="Verdana" w:hAnsi="Verdana"/>
          <w:i/>
          <w:iCs/>
          <w:sz w:val="20"/>
          <w:szCs w:val="20"/>
          <w:u w:val="single"/>
        </w:rPr>
        <w:t>Data de Vencimento das Debêntures da 10ª Série</w:t>
      </w:r>
      <w:r w:rsidRPr="00111F7C">
        <w:rPr>
          <w:rFonts w:ascii="Verdana" w:hAnsi="Verdana"/>
          <w:i/>
          <w:iCs/>
          <w:sz w:val="20"/>
          <w:szCs w:val="20"/>
        </w:rPr>
        <w:t>”); e (k) as Debêntures da 11ª Série terão vencimento em 20 de abril de 2028 (“</w:t>
      </w:r>
      <w:r w:rsidRPr="00111F7C">
        <w:rPr>
          <w:rFonts w:ascii="Verdana" w:hAnsi="Verdana"/>
          <w:i/>
          <w:iCs/>
          <w:sz w:val="20"/>
          <w:szCs w:val="20"/>
          <w:u w:val="single"/>
        </w:rPr>
        <w:t>Data de Vencimento das Debêntures da 11ª Série</w:t>
      </w:r>
      <w:r w:rsidRPr="00111F7C">
        <w:rPr>
          <w:rFonts w:ascii="Verdana" w:hAnsi="Verdana"/>
          <w:i/>
          <w:iCs/>
          <w:sz w:val="20"/>
          <w:szCs w:val="20"/>
        </w:rPr>
        <w:t>”).</w:t>
      </w:r>
    </w:p>
    <w:p w:rsidR="00111F7C" w:rsidRPr="00111F7C" w:rsidRDefault="00111F7C" w:rsidP="00111F7C">
      <w:pPr>
        <w:pStyle w:val="PargrafodaLista"/>
        <w:spacing w:line="320" w:lineRule="exact"/>
        <w:ind w:left="0"/>
        <w:jc w:val="both"/>
        <w:rPr>
          <w:rFonts w:ascii="Verdana" w:hAnsi="Verdana"/>
          <w:bCs/>
          <w:i/>
          <w:iCs/>
          <w:sz w:val="20"/>
          <w:szCs w:val="20"/>
        </w:rPr>
      </w:pPr>
    </w:p>
    <w:p w:rsidR="00111F7C" w:rsidRPr="00111F7C" w:rsidRDefault="00111F7C" w:rsidP="00111F7C">
      <w:pPr>
        <w:pStyle w:val="PargrafodaLista"/>
        <w:spacing w:line="320" w:lineRule="exact"/>
        <w:ind w:left="0"/>
        <w:jc w:val="both"/>
        <w:rPr>
          <w:rFonts w:ascii="Verdana" w:hAnsi="Verdana"/>
          <w:bCs/>
          <w:i/>
          <w:iCs/>
          <w:sz w:val="20"/>
          <w:szCs w:val="20"/>
        </w:rPr>
      </w:pPr>
      <w:r w:rsidRPr="00111F7C">
        <w:rPr>
          <w:rFonts w:ascii="Verdana" w:hAnsi="Verdana"/>
          <w:bCs/>
          <w:i/>
          <w:iCs/>
          <w:sz w:val="20"/>
          <w:szCs w:val="20"/>
        </w:rPr>
        <w:t xml:space="preserve">(...) </w:t>
      </w:r>
    </w:p>
    <w:p w:rsidR="00111F7C" w:rsidRPr="00111F7C" w:rsidRDefault="00111F7C" w:rsidP="00111F7C">
      <w:pPr>
        <w:pStyle w:val="PargrafodaLista"/>
        <w:spacing w:line="320" w:lineRule="exact"/>
        <w:ind w:left="0"/>
        <w:jc w:val="both"/>
        <w:rPr>
          <w:rFonts w:ascii="Verdana" w:hAnsi="Verdana"/>
          <w:bCs/>
          <w:i/>
          <w:iCs/>
          <w:sz w:val="20"/>
          <w:szCs w:val="20"/>
        </w:rPr>
      </w:pPr>
    </w:p>
    <w:p w:rsidR="00111F7C" w:rsidRPr="00111F7C" w:rsidRDefault="00111F7C" w:rsidP="00111F7C">
      <w:pPr>
        <w:pStyle w:val="PargrafodaLista"/>
        <w:widowControl w:val="0"/>
        <w:numPr>
          <w:ilvl w:val="2"/>
          <w:numId w:val="11"/>
        </w:numPr>
        <w:spacing w:line="276" w:lineRule="auto"/>
        <w:ind w:left="851" w:hanging="851"/>
        <w:jc w:val="both"/>
        <w:rPr>
          <w:rFonts w:ascii="Verdana" w:hAnsi="Verdana"/>
          <w:i/>
          <w:iCs/>
          <w:sz w:val="20"/>
          <w:szCs w:val="20"/>
          <w:u w:val="single"/>
        </w:rPr>
      </w:pPr>
      <w:r w:rsidRPr="00111F7C">
        <w:rPr>
          <w:rFonts w:ascii="Verdana" w:hAnsi="Verdana"/>
          <w:i/>
          <w:iCs/>
          <w:sz w:val="20"/>
          <w:szCs w:val="20"/>
          <w:u w:val="single"/>
        </w:rPr>
        <w:t>Juros</w:t>
      </w:r>
      <w:r w:rsidRPr="00111F7C">
        <w:rPr>
          <w:rFonts w:ascii="Verdana" w:hAnsi="Verdana"/>
          <w:i/>
          <w:iCs/>
          <w:sz w:val="20"/>
          <w:szCs w:val="20"/>
        </w:rPr>
        <w:t xml:space="preserve">. </w:t>
      </w:r>
    </w:p>
    <w:p w:rsidR="00111F7C" w:rsidRPr="00111F7C" w:rsidRDefault="00111F7C" w:rsidP="00111F7C">
      <w:pPr>
        <w:rPr>
          <w:rFonts w:ascii="Verdana" w:hAnsi="Verdana"/>
          <w:i/>
          <w:iCs/>
          <w:sz w:val="20"/>
          <w:szCs w:val="20"/>
        </w:rPr>
      </w:pPr>
    </w:p>
    <w:p w:rsidR="00111F7C" w:rsidRPr="00111F7C" w:rsidRDefault="00111F7C" w:rsidP="00111F7C">
      <w:pPr>
        <w:widowControl w:val="0"/>
        <w:spacing w:line="276" w:lineRule="auto"/>
        <w:ind w:left="851"/>
        <w:jc w:val="both"/>
        <w:rPr>
          <w:rFonts w:ascii="Verdana" w:hAnsi="Verdana"/>
          <w:i/>
          <w:iCs/>
          <w:sz w:val="20"/>
          <w:szCs w:val="20"/>
          <w:u w:val="single"/>
        </w:rPr>
      </w:pPr>
      <w:r w:rsidRPr="00111F7C">
        <w:rPr>
          <w:rFonts w:ascii="Verdana" w:hAnsi="Verdana"/>
          <w:i/>
          <w:iCs/>
          <w:sz w:val="20"/>
          <w:szCs w:val="20"/>
        </w:rPr>
        <w:t>4.3.2.1.</w:t>
      </w:r>
      <w:r w:rsidRPr="00111F7C">
        <w:rPr>
          <w:rFonts w:ascii="Verdana" w:hAnsi="Verdana"/>
          <w:i/>
          <w:iCs/>
          <w:sz w:val="20"/>
          <w:szCs w:val="20"/>
        </w:rPr>
        <w:tab/>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111F7C">
        <w:rPr>
          <w:rFonts w:ascii="Verdana" w:hAnsi="Verdana"/>
          <w:i/>
          <w:iCs/>
          <w:sz w:val="20"/>
          <w:szCs w:val="20"/>
        </w:rPr>
        <w:t>ii</w:t>
      </w:r>
      <w:proofErr w:type="spellEnd"/>
      <w:r w:rsidRPr="00111F7C">
        <w:rPr>
          <w:rFonts w:ascii="Verdana" w:hAnsi="Verdana"/>
          <w:i/>
          <w:iCs/>
          <w:sz w:val="20"/>
          <w:szCs w:val="20"/>
        </w:rPr>
        <w:t>)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31 de agosto de 2020, serão pagos em 31 de agosto de 2020.</w:t>
      </w:r>
    </w:p>
    <w:p w:rsidR="00111F7C" w:rsidRPr="00111F7C" w:rsidRDefault="00111F7C" w:rsidP="00111F7C">
      <w:pPr>
        <w:widowControl w:val="0"/>
        <w:spacing w:line="276" w:lineRule="auto"/>
        <w:jc w:val="both"/>
        <w:rPr>
          <w:rFonts w:ascii="Verdana" w:hAnsi="Verdana"/>
          <w:i/>
          <w:iCs/>
          <w:sz w:val="20"/>
          <w:szCs w:val="20"/>
          <w:u w:val="single"/>
        </w:rPr>
      </w:pPr>
    </w:p>
    <w:p w:rsidR="00111F7C" w:rsidRPr="00111F7C" w:rsidRDefault="00111F7C" w:rsidP="00111F7C">
      <w:pPr>
        <w:pStyle w:val="PargrafodaLista"/>
        <w:widowControl w:val="0"/>
        <w:numPr>
          <w:ilvl w:val="3"/>
          <w:numId w:val="12"/>
        </w:numPr>
        <w:spacing w:line="276" w:lineRule="auto"/>
        <w:ind w:left="851" w:hanging="11"/>
        <w:jc w:val="both"/>
        <w:rPr>
          <w:rFonts w:ascii="Verdana" w:hAnsi="Verdana"/>
          <w:i/>
          <w:iCs/>
          <w:sz w:val="20"/>
          <w:szCs w:val="20"/>
          <w:u w:val="single"/>
        </w:rPr>
      </w:pPr>
      <w:r w:rsidRPr="00111F7C">
        <w:rPr>
          <w:rFonts w:ascii="Verdana" w:hAnsi="Verdana"/>
          <w:i/>
          <w:iCs/>
          <w:sz w:val="20"/>
          <w:szCs w:val="20"/>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rsidR="00111F7C" w:rsidRPr="00111F7C" w:rsidRDefault="00111F7C" w:rsidP="00111F7C">
      <w:pPr>
        <w:rPr>
          <w:rFonts w:ascii="Verdana" w:hAnsi="Verdana"/>
          <w:i/>
          <w:iCs/>
          <w:sz w:val="20"/>
          <w:szCs w:val="20"/>
        </w:rPr>
      </w:pPr>
    </w:p>
    <w:p w:rsidR="00111F7C" w:rsidRPr="00111F7C" w:rsidRDefault="00111F7C" w:rsidP="00111F7C">
      <w:pPr>
        <w:ind w:firstLine="851"/>
        <w:rPr>
          <w:rFonts w:ascii="Verdana" w:hAnsi="Verdana"/>
          <w:i/>
          <w:iCs/>
          <w:sz w:val="20"/>
          <w:szCs w:val="20"/>
        </w:rPr>
      </w:pPr>
      <w:r w:rsidRPr="00111F7C">
        <w:rPr>
          <w:rFonts w:ascii="Verdana" w:hAnsi="Verdana"/>
          <w:i/>
          <w:iCs/>
          <w:sz w:val="20"/>
          <w:szCs w:val="20"/>
        </w:rPr>
        <w:t>(...)</w:t>
      </w:r>
    </w:p>
    <w:p w:rsidR="00111F7C" w:rsidRPr="00111F7C" w:rsidRDefault="00111F7C" w:rsidP="00111F7C">
      <w:pPr>
        <w:rPr>
          <w:rFonts w:ascii="Verdana" w:hAnsi="Verdana"/>
          <w:i/>
          <w:iCs/>
          <w:sz w:val="20"/>
          <w:szCs w:val="20"/>
        </w:rPr>
      </w:pPr>
    </w:p>
    <w:p w:rsidR="00111F7C" w:rsidRPr="00111F7C" w:rsidRDefault="00111F7C" w:rsidP="00111F7C">
      <w:pPr>
        <w:pStyle w:val="PargrafodaLista"/>
        <w:widowControl w:val="0"/>
        <w:numPr>
          <w:ilvl w:val="0"/>
          <w:numId w:val="13"/>
        </w:numPr>
        <w:autoSpaceDE/>
        <w:autoSpaceDN/>
        <w:adjustRightInd/>
        <w:spacing w:line="276" w:lineRule="auto"/>
        <w:contextualSpacing w:val="0"/>
        <w:jc w:val="both"/>
        <w:rPr>
          <w:rFonts w:ascii="Verdana" w:hAnsi="Verdana"/>
          <w:i/>
          <w:iCs/>
          <w:sz w:val="20"/>
          <w:szCs w:val="20"/>
          <w:u w:val="single"/>
        </w:rPr>
      </w:pPr>
      <w:r w:rsidRPr="00111F7C">
        <w:rPr>
          <w:rFonts w:ascii="Verdana" w:hAnsi="Verdana"/>
          <w:i/>
          <w:iCs/>
          <w:sz w:val="20"/>
          <w:szCs w:val="20"/>
          <w:u w:val="single"/>
        </w:rPr>
        <w:t>Debêntures da 5ª Série</w:t>
      </w:r>
      <w:r w:rsidRPr="00111F7C">
        <w:rPr>
          <w:rFonts w:ascii="Verdana" w:hAnsi="Verdana"/>
          <w:i/>
          <w:iCs/>
          <w:sz w:val="20"/>
          <w:szCs w:val="20"/>
        </w:rPr>
        <w:t>: os Juros das Debêntures da 5ª Série serão pagos mensalmente, no dia 20 de cada mês a partir da Data de Emissão, sendo o primeiro pagamento em 20 de junho de 2018, da seguinte forma:</w:t>
      </w:r>
    </w:p>
    <w:p w:rsidR="00111F7C" w:rsidRPr="00111F7C" w:rsidRDefault="00111F7C" w:rsidP="00111F7C">
      <w:pPr>
        <w:pStyle w:val="PargrafodaLista"/>
        <w:widowControl w:val="0"/>
        <w:spacing w:line="276" w:lineRule="auto"/>
        <w:ind w:left="2847"/>
        <w:contextualSpacing w:val="0"/>
        <w:jc w:val="both"/>
        <w:rPr>
          <w:rFonts w:ascii="Verdana" w:hAnsi="Verdana"/>
          <w:i/>
          <w:iCs/>
          <w:sz w:val="20"/>
          <w:szCs w:val="20"/>
          <w:u w:val="single"/>
        </w:rPr>
      </w:pPr>
    </w:p>
    <w:p w:rsidR="00111F7C" w:rsidRPr="00111F7C" w:rsidRDefault="00111F7C" w:rsidP="00111F7C">
      <w:pPr>
        <w:pStyle w:val="PargrafodaLista"/>
        <w:widowControl w:val="0"/>
        <w:spacing w:line="276" w:lineRule="auto"/>
        <w:ind w:left="2847"/>
        <w:contextualSpacing w:val="0"/>
        <w:jc w:val="both"/>
        <w:rPr>
          <w:rFonts w:ascii="Verdana" w:hAnsi="Verdana"/>
          <w:i/>
          <w:iCs/>
          <w:sz w:val="20"/>
          <w:szCs w:val="20"/>
          <w:u w:val="single"/>
        </w:rPr>
      </w:pPr>
      <w:r w:rsidRPr="00111F7C">
        <w:rPr>
          <w:rFonts w:ascii="Verdana" w:hAnsi="Verdana"/>
          <w:i/>
          <w:iCs/>
          <w:sz w:val="20"/>
          <w:szCs w:val="20"/>
          <w:u w:val="single"/>
        </w:rPr>
        <w:t>(...)</w:t>
      </w:r>
    </w:p>
    <w:p w:rsidR="00111F7C" w:rsidRPr="00111F7C" w:rsidRDefault="00111F7C" w:rsidP="00111F7C">
      <w:pPr>
        <w:pStyle w:val="PargrafodaLista"/>
        <w:widowControl w:val="0"/>
        <w:spacing w:line="276" w:lineRule="auto"/>
        <w:ind w:left="2847"/>
        <w:contextualSpacing w:val="0"/>
        <w:jc w:val="both"/>
        <w:rPr>
          <w:rFonts w:ascii="Verdana" w:hAnsi="Verdana"/>
          <w:i/>
          <w:iCs/>
          <w:sz w:val="20"/>
          <w:szCs w:val="20"/>
          <w:u w:val="single"/>
        </w:rPr>
      </w:pPr>
    </w:p>
    <w:p w:rsidR="00111F7C" w:rsidRPr="00111F7C" w:rsidRDefault="00111F7C" w:rsidP="000875CA">
      <w:pPr>
        <w:pStyle w:val="PargrafodaLista"/>
        <w:widowControl w:val="0"/>
        <w:spacing w:line="276" w:lineRule="auto"/>
        <w:ind w:left="2835"/>
        <w:contextualSpacing w:val="0"/>
        <w:jc w:val="both"/>
        <w:rPr>
          <w:rFonts w:ascii="Verdana" w:hAnsi="Verdana"/>
          <w:i/>
          <w:iCs/>
          <w:sz w:val="20"/>
          <w:szCs w:val="20"/>
          <w:u w:val="single"/>
        </w:rPr>
      </w:pPr>
      <w:r w:rsidRPr="00111F7C">
        <w:rPr>
          <w:rFonts w:ascii="Verdana" w:hAnsi="Verdana"/>
          <w:i/>
          <w:iCs/>
          <w:sz w:val="20"/>
          <w:szCs w:val="20"/>
        </w:rPr>
        <w:t xml:space="preserve">Entre 20 de fevereiro de 2019 e 20 de janeiro de 2022 (inclusive), serão realizados pagamentos mensais de R$ </w:t>
      </w:r>
      <w:r w:rsidRPr="00111F7C">
        <w:rPr>
          <w:rFonts w:ascii="Verdana" w:hAnsi="Verdana"/>
          <w:i/>
          <w:iCs/>
          <w:sz w:val="20"/>
          <w:szCs w:val="20"/>
        </w:rPr>
        <w:lastRenderedPageBreak/>
        <w:t>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w:t>
      </w:r>
      <w:proofErr w:type="spellStart"/>
      <w:r w:rsidRPr="00111F7C">
        <w:rPr>
          <w:rFonts w:ascii="Verdana" w:hAnsi="Verdana"/>
          <w:i/>
          <w:iCs/>
          <w:sz w:val="20"/>
          <w:szCs w:val="20"/>
        </w:rPr>
        <w:t>ii</w:t>
      </w:r>
      <w:proofErr w:type="spellEnd"/>
      <w:r w:rsidRPr="00111F7C">
        <w:rPr>
          <w:rFonts w:ascii="Verdana" w:hAnsi="Verdana"/>
          <w:i/>
          <w:iCs/>
          <w:sz w:val="20"/>
          <w:szCs w:val="20"/>
        </w:rPr>
        <w:t>) o pagamento relativo ao mês de setembro de 2019 somente será devido e pago em 20 de setembro de 2020, (</w:t>
      </w:r>
      <w:proofErr w:type="spellStart"/>
      <w:r w:rsidRPr="00111F7C">
        <w:rPr>
          <w:rFonts w:ascii="Verdana" w:hAnsi="Verdana"/>
          <w:i/>
          <w:iCs/>
          <w:sz w:val="20"/>
          <w:szCs w:val="20"/>
        </w:rPr>
        <w:t>iii</w:t>
      </w:r>
      <w:proofErr w:type="spellEnd"/>
      <w:r w:rsidRPr="00111F7C">
        <w:rPr>
          <w:rFonts w:ascii="Verdana" w:hAnsi="Verdana"/>
          <w:i/>
          <w:iCs/>
          <w:sz w:val="20"/>
          <w:szCs w:val="20"/>
        </w:rPr>
        <w:t>) o pagamento relativo ao mês de outubro de 2019 somente será devido e pago em 20 de outubro de 2020, (</w:t>
      </w:r>
      <w:proofErr w:type="spellStart"/>
      <w:r w:rsidRPr="00111F7C">
        <w:rPr>
          <w:rFonts w:ascii="Verdana" w:hAnsi="Verdana"/>
          <w:i/>
          <w:iCs/>
          <w:sz w:val="20"/>
          <w:szCs w:val="20"/>
        </w:rPr>
        <w:t>iv</w:t>
      </w:r>
      <w:proofErr w:type="spellEnd"/>
      <w:r w:rsidRPr="00111F7C">
        <w:rPr>
          <w:rFonts w:ascii="Verdana" w:hAnsi="Verdana"/>
          <w:i/>
          <w:iCs/>
          <w:sz w:val="20"/>
          <w:szCs w:val="20"/>
        </w:rPr>
        <w:t>)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w:t>
      </w:r>
      <w:proofErr w:type="spellStart"/>
      <w:r w:rsidRPr="00111F7C">
        <w:rPr>
          <w:rFonts w:ascii="Verdana" w:hAnsi="Verdana"/>
          <w:i/>
          <w:iCs/>
          <w:sz w:val="20"/>
          <w:szCs w:val="20"/>
        </w:rPr>
        <w:t>vii</w:t>
      </w:r>
      <w:proofErr w:type="spellEnd"/>
      <w:r w:rsidRPr="00111F7C">
        <w:rPr>
          <w:rFonts w:ascii="Verdana" w:hAnsi="Verdana"/>
          <w:i/>
          <w:iCs/>
          <w:sz w:val="20"/>
          <w:szCs w:val="20"/>
        </w:rPr>
        <w:t>) o pagamento relativo ao mês de fevereiro de 2020 somente será devido e pago em 20 de fevereiro de 2021. O Período de Capitalização dos Juros relativos aos pagamentos previstos nos itens (</w:t>
      </w:r>
      <w:proofErr w:type="spellStart"/>
      <w:r w:rsidRPr="00111F7C">
        <w:rPr>
          <w:rFonts w:ascii="Verdana" w:hAnsi="Verdana"/>
          <w:i/>
          <w:iCs/>
          <w:sz w:val="20"/>
          <w:szCs w:val="20"/>
        </w:rPr>
        <w:t>ii</w:t>
      </w:r>
      <w:proofErr w:type="spellEnd"/>
      <w:r w:rsidRPr="00111F7C">
        <w:rPr>
          <w:rFonts w:ascii="Verdana" w:hAnsi="Verdana"/>
          <w:i/>
          <w:iCs/>
          <w:sz w:val="20"/>
          <w:szCs w:val="20"/>
        </w:rPr>
        <w:t>) a (</w:t>
      </w:r>
      <w:proofErr w:type="spellStart"/>
      <w:r w:rsidRPr="00111F7C">
        <w:rPr>
          <w:rFonts w:ascii="Verdana" w:hAnsi="Verdana"/>
          <w:i/>
          <w:iCs/>
          <w:sz w:val="20"/>
          <w:szCs w:val="20"/>
        </w:rPr>
        <w:t>vii</w:t>
      </w:r>
      <w:proofErr w:type="spellEnd"/>
      <w:r w:rsidRPr="00111F7C">
        <w:rPr>
          <w:rFonts w:ascii="Verdana" w:hAnsi="Verdana"/>
          <w:i/>
          <w:iCs/>
          <w:sz w:val="20"/>
          <w:szCs w:val="20"/>
        </w:rPr>
        <w:t>) acima será aquele compreendido entre o pagamento dos últimos Juros e a data do efetivo pagamento dos Juros considerados”</w:t>
      </w:r>
    </w:p>
    <w:p w:rsidR="00111F7C" w:rsidRPr="00111F7C" w:rsidRDefault="00111F7C" w:rsidP="00111F7C">
      <w:pPr>
        <w:pStyle w:val="PargrafodaLista"/>
        <w:widowControl w:val="0"/>
        <w:spacing w:line="276" w:lineRule="auto"/>
        <w:ind w:left="2847"/>
        <w:contextualSpacing w:val="0"/>
        <w:jc w:val="both"/>
        <w:rPr>
          <w:rFonts w:ascii="Verdana" w:hAnsi="Verdana"/>
          <w:i/>
          <w:iCs/>
          <w:sz w:val="20"/>
          <w:szCs w:val="20"/>
          <w:u w:val="single"/>
        </w:rPr>
      </w:pPr>
    </w:p>
    <w:p w:rsidR="00111F7C" w:rsidRPr="00111F7C" w:rsidRDefault="00111F7C" w:rsidP="00111F7C">
      <w:pPr>
        <w:pStyle w:val="PargrafodaLista"/>
        <w:widowControl w:val="0"/>
        <w:spacing w:line="276" w:lineRule="auto"/>
        <w:ind w:left="2847"/>
        <w:contextualSpacing w:val="0"/>
        <w:jc w:val="both"/>
        <w:rPr>
          <w:rFonts w:ascii="Verdana" w:hAnsi="Verdana"/>
          <w:i/>
          <w:iCs/>
          <w:sz w:val="20"/>
          <w:szCs w:val="20"/>
          <w:u w:val="single"/>
        </w:rPr>
      </w:pPr>
      <w:r w:rsidRPr="00111F7C">
        <w:rPr>
          <w:rFonts w:ascii="Verdana" w:hAnsi="Verdana"/>
          <w:i/>
          <w:iCs/>
          <w:sz w:val="20"/>
          <w:szCs w:val="20"/>
          <w:u w:val="single"/>
        </w:rPr>
        <w:t>(...)</w:t>
      </w:r>
    </w:p>
    <w:p w:rsidR="00111F7C" w:rsidRPr="00111F7C" w:rsidRDefault="00111F7C" w:rsidP="00111F7C">
      <w:pPr>
        <w:rPr>
          <w:rFonts w:ascii="Verdana" w:hAnsi="Verdana"/>
          <w:i/>
          <w:iCs/>
          <w:sz w:val="20"/>
          <w:szCs w:val="20"/>
        </w:rPr>
      </w:pPr>
    </w:p>
    <w:p w:rsidR="00111F7C" w:rsidRPr="00111F7C" w:rsidRDefault="00111F7C" w:rsidP="00111F7C">
      <w:pPr>
        <w:pStyle w:val="PargrafodaLista"/>
        <w:widowControl w:val="0"/>
        <w:numPr>
          <w:ilvl w:val="0"/>
          <w:numId w:val="14"/>
        </w:numPr>
        <w:autoSpaceDE/>
        <w:autoSpaceDN/>
        <w:adjustRightInd/>
        <w:spacing w:line="276" w:lineRule="auto"/>
        <w:ind w:left="2835" w:hanging="708"/>
        <w:jc w:val="both"/>
        <w:rPr>
          <w:rFonts w:ascii="Verdana" w:hAnsi="Verdana"/>
          <w:i/>
          <w:iCs/>
          <w:sz w:val="20"/>
          <w:szCs w:val="20"/>
          <w:u w:val="single"/>
        </w:rPr>
      </w:pPr>
      <w:r w:rsidRPr="00111F7C">
        <w:rPr>
          <w:rFonts w:ascii="Verdana" w:hAnsi="Verdana"/>
          <w:i/>
          <w:iCs/>
          <w:sz w:val="20"/>
          <w:szCs w:val="20"/>
          <w:u w:val="single"/>
        </w:rPr>
        <w:t>Debêntures da 7ª Série</w:t>
      </w:r>
      <w:r w:rsidRPr="00111F7C">
        <w:rPr>
          <w:rFonts w:ascii="Verdana" w:hAnsi="Verdana"/>
          <w:i/>
          <w:iCs/>
          <w:sz w:val="20"/>
          <w:szCs w:val="20"/>
        </w:rPr>
        <w:t>: conforme a tabela abaixo.</w:t>
      </w:r>
    </w:p>
    <w:p w:rsidR="00111F7C" w:rsidRPr="00111F7C" w:rsidRDefault="00111F7C" w:rsidP="00111F7C">
      <w:pPr>
        <w:widowControl w:val="0"/>
        <w:spacing w:line="276" w:lineRule="auto"/>
        <w:jc w:val="both"/>
        <w:rPr>
          <w:rFonts w:ascii="Verdana" w:hAnsi="Verdana"/>
          <w:i/>
          <w:iCs/>
          <w:sz w:val="20"/>
          <w:szCs w:val="20"/>
          <w:u w:val="single"/>
        </w:rPr>
      </w:pPr>
    </w:p>
    <w:tbl>
      <w:tblPr>
        <w:tblStyle w:val="Tabelacomgrade"/>
        <w:tblW w:w="0" w:type="auto"/>
        <w:jc w:val="center"/>
        <w:tblLook w:val="04A0" w:firstRow="1" w:lastRow="0" w:firstColumn="1" w:lastColumn="0" w:noHBand="0" w:noVBand="1"/>
      </w:tblPr>
      <w:tblGrid>
        <w:gridCol w:w="1049"/>
        <w:gridCol w:w="3437"/>
      </w:tblGrid>
      <w:tr w:rsidR="00111F7C" w:rsidRPr="00111F7C" w:rsidTr="001F2B6D">
        <w:trPr>
          <w:jc w:val="center"/>
        </w:trPr>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31 de agosto de 2020</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Pr>
          <w:p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2021</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Pr>
          <w:p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2022</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Pr>
          <w:p w:rsidR="00111F7C" w:rsidRPr="00111F7C" w:rsidRDefault="00111F7C" w:rsidP="00111F7C">
            <w:pPr>
              <w:pStyle w:val="PargrafodaLista"/>
              <w:numPr>
                <w:ilvl w:val="0"/>
                <w:numId w:val="15"/>
              </w:numPr>
              <w:autoSpaceDE/>
              <w:autoSpaceDN/>
              <w:adjustRightInd/>
              <w:jc w:val="center"/>
              <w:rPr>
                <w:rFonts w:ascii="Verdana" w:hAnsi="Verdana"/>
                <w:i/>
                <w:iCs/>
                <w:sz w:val="20"/>
                <w:szCs w:val="20"/>
              </w:rPr>
            </w:pPr>
            <w:r w:rsidRPr="00111F7C">
              <w:rPr>
                <w:rFonts w:ascii="Verdana" w:hAnsi="Verdana"/>
                <w:i/>
                <w:iCs/>
                <w:sz w:val="20"/>
                <w:szCs w:val="20"/>
              </w:rPr>
              <w:t>e janeiro de 2023</w:t>
            </w:r>
          </w:p>
        </w:tc>
      </w:tr>
    </w:tbl>
    <w:p w:rsidR="00111F7C" w:rsidRPr="00111F7C" w:rsidRDefault="00111F7C" w:rsidP="00111F7C">
      <w:pPr>
        <w:rPr>
          <w:rFonts w:ascii="Verdana" w:hAnsi="Verdana"/>
          <w:i/>
          <w:iCs/>
          <w:sz w:val="20"/>
          <w:szCs w:val="20"/>
        </w:rPr>
      </w:pPr>
    </w:p>
    <w:p w:rsidR="00111F7C" w:rsidRPr="00111F7C" w:rsidRDefault="00111F7C" w:rsidP="00111F7C">
      <w:pPr>
        <w:pStyle w:val="PargrafodaLista"/>
        <w:widowControl w:val="0"/>
        <w:numPr>
          <w:ilvl w:val="0"/>
          <w:numId w:val="14"/>
        </w:numPr>
        <w:autoSpaceDE/>
        <w:autoSpaceDN/>
        <w:adjustRightInd/>
        <w:spacing w:line="276" w:lineRule="auto"/>
        <w:ind w:left="2835" w:hanging="708"/>
        <w:contextualSpacing w:val="0"/>
        <w:jc w:val="both"/>
        <w:rPr>
          <w:rFonts w:ascii="Verdana" w:hAnsi="Verdana"/>
          <w:i/>
          <w:iCs/>
          <w:sz w:val="20"/>
          <w:szCs w:val="20"/>
          <w:u w:val="single"/>
        </w:rPr>
      </w:pPr>
      <w:r w:rsidRPr="00111F7C">
        <w:rPr>
          <w:rFonts w:ascii="Verdana" w:hAnsi="Verdana"/>
          <w:i/>
          <w:iCs/>
          <w:sz w:val="20"/>
          <w:szCs w:val="20"/>
          <w:u w:val="single"/>
        </w:rPr>
        <w:t>Debêntures da 8ª Série</w:t>
      </w:r>
      <w:r w:rsidRPr="00111F7C">
        <w:rPr>
          <w:rFonts w:ascii="Verdana" w:hAnsi="Verdana"/>
          <w:i/>
          <w:iCs/>
          <w:sz w:val="20"/>
          <w:szCs w:val="20"/>
        </w:rPr>
        <w:t>: conforme a tabela abaixo.</w:t>
      </w:r>
    </w:p>
    <w:p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rsidTr="001F2B6D">
        <w:trPr>
          <w:jc w:val="center"/>
        </w:trPr>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31 de agosto de 2020</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2021</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rsidTr="001F2B6D">
        <w:trPr>
          <w:jc w:val="center"/>
        </w:trPr>
        <w:tc>
          <w:tcPr>
            <w:tcW w:w="0" w:type="auto"/>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rsidR="00111F7C" w:rsidRPr="00111F7C" w:rsidRDefault="00111F7C" w:rsidP="00111F7C">
      <w:pPr>
        <w:rPr>
          <w:rFonts w:ascii="Verdana" w:hAnsi="Verdana"/>
          <w:i/>
          <w:iCs/>
          <w:sz w:val="20"/>
          <w:szCs w:val="20"/>
        </w:rPr>
      </w:pPr>
    </w:p>
    <w:p w:rsidR="00111F7C" w:rsidRPr="00111F7C" w:rsidRDefault="00111F7C" w:rsidP="00111F7C">
      <w:pPr>
        <w:pStyle w:val="PargrafodaLista"/>
        <w:widowControl w:val="0"/>
        <w:spacing w:line="276" w:lineRule="auto"/>
        <w:ind w:left="1276"/>
        <w:contextualSpacing w:val="0"/>
        <w:jc w:val="both"/>
        <w:rPr>
          <w:rFonts w:ascii="Verdana" w:hAnsi="Verdana"/>
          <w:i/>
          <w:iCs/>
          <w:sz w:val="20"/>
          <w:szCs w:val="20"/>
          <w:u w:val="single"/>
        </w:rPr>
      </w:pPr>
      <w:r w:rsidRPr="00111F7C">
        <w:rPr>
          <w:rFonts w:ascii="Verdana" w:hAnsi="Verdana"/>
          <w:i/>
          <w:iCs/>
          <w:sz w:val="20"/>
          <w:szCs w:val="20"/>
          <w:u w:val="single"/>
        </w:rPr>
        <w:lastRenderedPageBreak/>
        <w:t>(...)</w:t>
      </w:r>
    </w:p>
    <w:p w:rsidR="00111F7C" w:rsidRPr="00111F7C" w:rsidRDefault="00111F7C" w:rsidP="00111F7C">
      <w:pPr>
        <w:pStyle w:val="PargrafodaLista"/>
        <w:widowControl w:val="0"/>
        <w:spacing w:line="276" w:lineRule="auto"/>
        <w:ind w:left="1276"/>
        <w:contextualSpacing w:val="0"/>
        <w:jc w:val="both"/>
        <w:rPr>
          <w:rFonts w:ascii="Verdana" w:hAnsi="Verdana"/>
          <w:i/>
          <w:iCs/>
          <w:sz w:val="20"/>
          <w:szCs w:val="20"/>
          <w:u w:val="single"/>
        </w:rPr>
      </w:pPr>
    </w:p>
    <w:p w:rsidR="00111F7C" w:rsidRPr="00111F7C" w:rsidRDefault="00111F7C" w:rsidP="00111F7C">
      <w:pPr>
        <w:pStyle w:val="PargrafodaLista"/>
        <w:widowControl w:val="0"/>
        <w:numPr>
          <w:ilvl w:val="0"/>
          <w:numId w:val="16"/>
        </w:numPr>
        <w:autoSpaceDE/>
        <w:autoSpaceDN/>
        <w:adjustRightInd/>
        <w:spacing w:line="276" w:lineRule="auto"/>
        <w:ind w:left="2835" w:hanging="708"/>
        <w:jc w:val="both"/>
        <w:rPr>
          <w:rFonts w:ascii="Verdana" w:hAnsi="Verdana"/>
          <w:i/>
          <w:iCs/>
          <w:sz w:val="20"/>
          <w:szCs w:val="20"/>
          <w:u w:val="single"/>
        </w:rPr>
      </w:pPr>
      <w:r w:rsidRPr="00111F7C">
        <w:rPr>
          <w:rFonts w:ascii="Verdana" w:hAnsi="Verdana"/>
          <w:i/>
          <w:iCs/>
          <w:sz w:val="20"/>
          <w:szCs w:val="20"/>
          <w:u w:val="single"/>
        </w:rPr>
        <w:t>Debêntures da 10ª Série</w:t>
      </w:r>
      <w:r w:rsidRPr="00111F7C">
        <w:rPr>
          <w:rFonts w:ascii="Verdana" w:hAnsi="Verdana"/>
          <w:i/>
          <w:iCs/>
          <w:sz w:val="20"/>
          <w:szCs w:val="20"/>
        </w:rPr>
        <w:t>: conforme a tabela abaixo.</w:t>
      </w:r>
    </w:p>
    <w:p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rsidTr="001F2B6D">
        <w:trPr>
          <w:jc w:val="center"/>
        </w:trPr>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rsidTr="001F2B6D">
        <w:trPr>
          <w:jc w:val="center"/>
        </w:trPr>
        <w:tc>
          <w:tcPr>
            <w:tcW w:w="0" w:type="auto"/>
            <w:tcBorders>
              <w:bottom w:val="single" w:sz="4" w:space="0" w:color="auto"/>
            </w:tcBorders>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Borders>
              <w:bottom w:val="single" w:sz="4" w:space="0" w:color="auto"/>
            </w:tcBorders>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31 de agosto de 2020</w:t>
            </w:r>
          </w:p>
        </w:tc>
      </w:tr>
      <w:tr w:rsidR="00111F7C" w:rsidRPr="00111F7C"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Borders>
              <w:top w:val="single" w:sz="4" w:space="0" w:color="auto"/>
              <w:left w:val="single" w:sz="4" w:space="0" w:color="auto"/>
              <w:bottom w:val="single" w:sz="4" w:space="0" w:color="auto"/>
              <w:right w:val="single" w:sz="4" w:space="0" w:color="auto"/>
            </w:tcBorders>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2021</w:t>
            </w:r>
          </w:p>
        </w:tc>
      </w:tr>
      <w:tr w:rsidR="00111F7C" w:rsidRPr="00111F7C"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Borders>
              <w:top w:val="single" w:sz="4" w:space="0" w:color="auto"/>
              <w:left w:val="single" w:sz="4" w:space="0" w:color="auto"/>
              <w:bottom w:val="single" w:sz="4" w:space="0" w:color="auto"/>
              <w:right w:val="single" w:sz="4" w:space="0" w:color="auto"/>
            </w:tcBorders>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Borders>
              <w:top w:val="single" w:sz="4" w:space="0" w:color="auto"/>
              <w:left w:val="single" w:sz="4" w:space="0" w:color="auto"/>
              <w:bottom w:val="single" w:sz="4" w:space="0" w:color="auto"/>
              <w:right w:val="single" w:sz="4" w:space="0" w:color="auto"/>
            </w:tcBorders>
          </w:tcPr>
          <w:p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rsidR="00111F7C" w:rsidRPr="00111F7C" w:rsidRDefault="00111F7C" w:rsidP="00111F7C">
      <w:pPr>
        <w:widowControl w:val="0"/>
        <w:spacing w:line="276" w:lineRule="auto"/>
        <w:jc w:val="both"/>
        <w:rPr>
          <w:rFonts w:ascii="Verdana" w:hAnsi="Verdana"/>
          <w:i/>
          <w:iCs/>
          <w:sz w:val="20"/>
          <w:szCs w:val="20"/>
          <w:u w:val="single"/>
        </w:rPr>
      </w:pPr>
    </w:p>
    <w:p w:rsidR="00111F7C" w:rsidRPr="00111F7C" w:rsidRDefault="00111F7C" w:rsidP="00111F7C">
      <w:pPr>
        <w:widowControl w:val="0"/>
        <w:spacing w:line="276" w:lineRule="auto"/>
        <w:jc w:val="both"/>
        <w:rPr>
          <w:rFonts w:ascii="Verdana" w:hAnsi="Verdana"/>
          <w:i/>
          <w:iCs/>
          <w:sz w:val="20"/>
          <w:szCs w:val="20"/>
          <w:u w:val="single"/>
        </w:rPr>
      </w:pPr>
      <w:r w:rsidRPr="00111F7C">
        <w:rPr>
          <w:rFonts w:ascii="Verdana" w:hAnsi="Verdana"/>
          <w:i/>
          <w:iCs/>
          <w:sz w:val="20"/>
          <w:szCs w:val="20"/>
          <w:u w:val="single"/>
        </w:rPr>
        <w:t>(...)</w:t>
      </w:r>
    </w:p>
    <w:p w:rsidR="00111F7C" w:rsidRPr="00111F7C" w:rsidRDefault="00111F7C" w:rsidP="00111F7C">
      <w:pPr>
        <w:pStyle w:val="PargrafodaLista"/>
        <w:spacing w:line="320" w:lineRule="exact"/>
        <w:ind w:left="0"/>
        <w:jc w:val="both"/>
        <w:rPr>
          <w:rFonts w:ascii="Verdana" w:hAnsi="Verdana"/>
          <w:bCs/>
          <w:i/>
          <w:iCs/>
          <w:sz w:val="20"/>
          <w:szCs w:val="20"/>
        </w:rPr>
      </w:pPr>
    </w:p>
    <w:p w:rsidR="00111F7C" w:rsidRPr="00111F7C" w:rsidRDefault="00111F7C" w:rsidP="00111F7C">
      <w:pPr>
        <w:pStyle w:val="PargrafodaLista"/>
        <w:spacing w:line="320" w:lineRule="exact"/>
        <w:ind w:left="1276"/>
        <w:jc w:val="both"/>
        <w:rPr>
          <w:rFonts w:ascii="Verdana" w:hAnsi="Verdana"/>
          <w:i/>
          <w:iCs/>
          <w:sz w:val="20"/>
          <w:szCs w:val="20"/>
        </w:rPr>
      </w:pPr>
      <w:r w:rsidRPr="00111F7C">
        <w:rPr>
          <w:rFonts w:ascii="Verdana" w:hAnsi="Verdana"/>
          <w:i/>
          <w:iCs/>
          <w:sz w:val="20"/>
          <w:szCs w:val="20"/>
        </w:rPr>
        <w:t>4.4.1 O Valor Nominal Unitário ou saldo do Valor Nominal Unitário, conforme o caso, das Debêntures será amortizado da seguinte forma:</w:t>
      </w:r>
    </w:p>
    <w:p w:rsidR="00111F7C" w:rsidRPr="00111F7C" w:rsidRDefault="00111F7C" w:rsidP="00111F7C">
      <w:pPr>
        <w:pStyle w:val="PargrafodaLista"/>
        <w:spacing w:line="320" w:lineRule="exact"/>
        <w:ind w:left="1276"/>
        <w:jc w:val="both"/>
        <w:rPr>
          <w:rFonts w:ascii="Verdana" w:hAnsi="Verdana"/>
          <w:i/>
          <w:iCs/>
          <w:sz w:val="20"/>
          <w:szCs w:val="20"/>
        </w:rPr>
      </w:pPr>
      <w:r w:rsidRPr="00111F7C">
        <w:rPr>
          <w:rFonts w:ascii="Verdana" w:hAnsi="Verdana"/>
          <w:i/>
          <w:iCs/>
          <w:sz w:val="20"/>
          <w:szCs w:val="20"/>
        </w:rPr>
        <w:t>(...)</w:t>
      </w:r>
    </w:p>
    <w:p w:rsidR="00111F7C" w:rsidRPr="00111F7C" w:rsidRDefault="00111F7C" w:rsidP="00111F7C">
      <w:pPr>
        <w:pStyle w:val="PargrafodaLista"/>
        <w:numPr>
          <w:ilvl w:val="0"/>
          <w:numId w:val="10"/>
        </w:numPr>
        <w:autoSpaceDE/>
        <w:autoSpaceDN/>
        <w:adjustRightInd/>
        <w:spacing w:line="320" w:lineRule="exact"/>
        <w:jc w:val="both"/>
        <w:rPr>
          <w:rFonts w:ascii="Verdana" w:hAnsi="Verdana"/>
          <w:i/>
          <w:iCs/>
          <w:sz w:val="20"/>
          <w:szCs w:val="20"/>
          <w:u w:val="single"/>
        </w:rPr>
      </w:pPr>
      <w:r w:rsidRPr="00111F7C">
        <w:rPr>
          <w:rFonts w:ascii="Verdana" w:hAnsi="Verdana"/>
          <w:i/>
          <w:iCs/>
          <w:sz w:val="20"/>
          <w:szCs w:val="20"/>
        </w:rPr>
        <w:t>Debêntures da 7ª Série: conforme a tabela abaixo.</w:t>
      </w:r>
    </w:p>
    <w:p w:rsidR="00111F7C" w:rsidRPr="00111F7C" w:rsidRDefault="00111F7C" w:rsidP="00111F7C">
      <w:pPr>
        <w:pStyle w:val="PargrafodaLista"/>
        <w:spacing w:line="240" w:lineRule="exact"/>
        <w:ind w:left="1620"/>
        <w:contextualSpacing w:val="0"/>
        <w:jc w:val="both"/>
        <w:rPr>
          <w:rFonts w:ascii="Verdana" w:hAnsi="Verdana"/>
          <w:i/>
          <w:iCs/>
          <w:sz w:val="20"/>
          <w:szCs w:val="20"/>
        </w:rPr>
      </w:pPr>
    </w:p>
    <w:tbl>
      <w:tblPr>
        <w:tblStyle w:val="Tabelacomgrade"/>
        <w:tblW w:w="0" w:type="auto"/>
        <w:jc w:val="center"/>
        <w:tblLook w:val="04A0" w:firstRow="1" w:lastRow="0" w:firstColumn="1" w:lastColumn="0" w:noHBand="0" w:noVBand="1"/>
      </w:tblPr>
      <w:tblGrid>
        <w:gridCol w:w="2394"/>
        <w:gridCol w:w="2515"/>
        <w:gridCol w:w="2525"/>
      </w:tblGrid>
      <w:tr w:rsidR="00111F7C" w:rsidRPr="00111F7C" w:rsidTr="001F2B6D">
        <w:trPr>
          <w:jc w:val="center"/>
        </w:trPr>
        <w:tc>
          <w:tcPr>
            <w:tcW w:w="2394" w:type="dxa"/>
            <w:shd w:val="clear" w:color="auto" w:fill="D9D9D9" w:themeFill="background1" w:themeFillShade="D9"/>
            <w:vAlign w:val="center"/>
          </w:tcPr>
          <w:p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Parcela</w:t>
            </w:r>
          </w:p>
        </w:tc>
        <w:tc>
          <w:tcPr>
            <w:tcW w:w="2515" w:type="dxa"/>
            <w:shd w:val="clear" w:color="auto" w:fill="D9D9D9" w:themeFill="background1" w:themeFillShade="D9"/>
            <w:vAlign w:val="center"/>
          </w:tcPr>
          <w:p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Data de Vencimento</w:t>
            </w:r>
          </w:p>
        </w:tc>
        <w:tc>
          <w:tcPr>
            <w:tcW w:w="2525" w:type="dxa"/>
            <w:shd w:val="clear" w:color="auto" w:fill="D9D9D9" w:themeFill="background1" w:themeFillShade="D9"/>
            <w:vAlign w:val="center"/>
          </w:tcPr>
          <w:p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 de amortização do Valor Nominal Unitário</w:t>
            </w:r>
          </w:p>
        </w:tc>
      </w:tr>
      <w:tr w:rsidR="00111F7C" w:rsidRPr="00111F7C" w:rsidTr="001F2B6D">
        <w:trPr>
          <w:jc w:val="center"/>
        </w:trPr>
        <w:tc>
          <w:tcPr>
            <w:tcW w:w="2394" w:type="dxa"/>
          </w:tcPr>
          <w:p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1</w:t>
            </w:r>
          </w:p>
        </w:tc>
        <w:tc>
          <w:tcPr>
            <w:tcW w:w="2515" w:type="dxa"/>
            <w:vAlign w:val="center"/>
          </w:tcPr>
          <w:p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31/08/2020</w:t>
            </w:r>
          </w:p>
        </w:tc>
        <w:tc>
          <w:tcPr>
            <w:tcW w:w="2525" w:type="dxa"/>
            <w:vAlign w:val="center"/>
          </w:tcPr>
          <w:p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38,4615%</w:t>
            </w:r>
          </w:p>
        </w:tc>
      </w:tr>
      <w:tr w:rsidR="00111F7C" w:rsidRPr="00111F7C" w:rsidTr="001F2B6D">
        <w:trPr>
          <w:jc w:val="center"/>
        </w:trPr>
        <w:tc>
          <w:tcPr>
            <w:tcW w:w="2394" w:type="dxa"/>
          </w:tcPr>
          <w:p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2</w:t>
            </w:r>
          </w:p>
        </w:tc>
        <w:tc>
          <w:tcPr>
            <w:tcW w:w="2515" w:type="dxa"/>
            <w:vAlign w:val="center"/>
          </w:tcPr>
          <w:p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20/01/2021</w:t>
            </w:r>
          </w:p>
        </w:tc>
        <w:tc>
          <w:tcPr>
            <w:tcW w:w="2525" w:type="dxa"/>
            <w:vAlign w:val="center"/>
          </w:tcPr>
          <w:p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12,8205%</w:t>
            </w:r>
          </w:p>
        </w:tc>
      </w:tr>
      <w:tr w:rsidR="00111F7C" w:rsidRPr="00111F7C" w:rsidTr="001F2B6D">
        <w:trPr>
          <w:jc w:val="center"/>
        </w:trPr>
        <w:tc>
          <w:tcPr>
            <w:tcW w:w="2394" w:type="dxa"/>
          </w:tcPr>
          <w:p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3</w:t>
            </w:r>
          </w:p>
        </w:tc>
        <w:tc>
          <w:tcPr>
            <w:tcW w:w="2515" w:type="dxa"/>
            <w:vAlign w:val="center"/>
          </w:tcPr>
          <w:p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20/01/2022</w:t>
            </w:r>
          </w:p>
        </w:tc>
        <w:tc>
          <w:tcPr>
            <w:tcW w:w="2525" w:type="dxa"/>
            <w:vAlign w:val="center"/>
          </w:tcPr>
          <w:p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r w:rsidR="00111F7C" w:rsidRPr="00111F7C" w:rsidTr="001F2B6D">
        <w:trPr>
          <w:jc w:val="center"/>
        </w:trPr>
        <w:tc>
          <w:tcPr>
            <w:tcW w:w="2394" w:type="dxa"/>
          </w:tcPr>
          <w:p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4</w:t>
            </w:r>
          </w:p>
        </w:tc>
        <w:tc>
          <w:tcPr>
            <w:tcW w:w="2515" w:type="dxa"/>
            <w:vAlign w:val="center"/>
          </w:tcPr>
          <w:p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20/01/2023</w:t>
            </w:r>
          </w:p>
        </w:tc>
        <w:tc>
          <w:tcPr>
            <w:tcW w:w="2525" w:type="dxa"/>
            <w:vAlign w:val="center"/>
          </w:tcPr>
          <w:p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bl>
    <w:p w:rsidR="00111F7C" w:rsidRPr="00111F7C" w:rsidRDefault="00111F7C" w:rsidP="00111F7C">
      <w:pPr>
        <w:pStyle w:val="PargrafodaLista"/>
        <w:spacing w:line="240" w:lineRule="exact"/>
        <w:ind w:left="1276"/>
        <w:jc w:val="both"/>
        <w:rPr>
          <w:rFonts w:ascii="Verdana" w:hAnsi="Verdana"/>
          <w:i/>
          <w:iCs/>
          <w:sz w:val="20"/>
          <w:szCs w:val="20"/>
        </w:rPr>
      </w:pPr>
    </w:p>
    <w:p w:rsidR="00111F7C" w:rsidRPr="00111F7C" w:rsidRDefault="00111F7C" w:rsidP="00111F7C">
      <w:pPr>
        <w:pStyle w:val="PargrafodaLista"/>
        <w:spacing w:line="276" w:lineRule="auto"/>
        <w:ind w:left="0"/>
        <w:jc w:val="both"/>
        <w:rPr>
          <w:rFonts w:ascii="Verdana" w:hAnsi="Verdana"/>
          <w:i/>
          <w:iCs/>
          <w:sz w:val="20"/>
          <w:szCs w:val="20"/>
        </w:rPr>
      </w:pPr>
      <w:r w:rsidRPr="00111F7C">
        <w:rPr>
          <w:rFonts w:ascii="Verdana" w:hAnsi="Verdana"/>
          <w:i/>
          <w:iCs/>
          <w:sz w:val="20"/>
          <w:szCs w:val="20"/>
        </w:rPr>
        <w:t>(...)”</w:t>
      </w:r>
    </w:p>
    <w:p w:rsidR="00953A5B" w:rsidRDefault="00953A5B" w:rsidP="00953A5B">
      <w:pPr>
        <w:pStyle w:val="PargrafodaLista"/>
        <w:numPr>
          <w:ilvl w:val="0"/>
          <w:numId w:val="9"/>
        </w:numPr>
        <w:spacing w:line="276" w:lineRule="auto"/>
        <w:ind w:left="1418" w:hanging="567"/>
        <w:jc w:val="both"/>
        <w:rPr>
          <w:rFonts w:ascii="Verdana" w:hAnsi="Verdana"/>
          <w:sz w:val="20"/>
          <w:szCs w:val="20"/>
        </w:rPr>
      </w:pPr>
      <w:r>
        <w:rPr>
          <w:rFonts w:ascii="Verdana" w:hAnsi="Verdana"/>
          <w:sz w:val="20"/>
          <w:szCs w:val="20"/>
        </w:rPr>
        <w:t>e</w:t>
      </w:r>
      <w:r w:rsidR="00C37937" w:rsidRPr="00953A5B">
        <w:rPr>
          <w:rFonts w:ascii="Verdana" w:hAnsi="Verdana"/>
          <w:sz w:val="20"/>
          <w:szCs w:val="20"/>
        </w:rPr>
        <w:t>xcluir a Cláusula 4.1.7.1 da Escritura, que, a partir da presente data, deixa de produzir efeito</w:t>
      </w:r>
      <w:r w:rsidR="008C7F2E">
        <w:rPr>
          <w:rFonts w:ascii="Verdana" w:hAnsi="Verdana"/>
          <w:sz w:val="20"/>
          <w:szCs w:val="20"/>
        </w:rPr>
        <w:t xml:space="preserve"> entre as Parte</w:t>
      </w:r>
      <w:r w:rsidR="00023D6B">
        <w:rPr>
          <w:rFonts w:ascii="Verdana" w:hAnsi="Verdana"/>
          <w:sz w:val="20"/>
          <w:szCs w:val="20"/>
        </w:rPr>
        <w:t>s</w:t>
      </w:r>
      <w:r w:rsidR="008C7F2E">
        <w:rPr>
          <w:rFonts w:ascii="Verdana" w:hAnsi="Verdana"/>
          <w:sz w:val="20"/>
          <w:szCs w:val="20"/>
        </w:rPr>
        <w:t>, assim como</w:t>
      </w:r>
      <w:r w:rsidR="00C37937" w:rsidRPr="00953A5B">
        <w:rPr>
          <w:rFonts w:ascii="Verdana" w:hAnsi="Verdana"/>
          <w:sz w:val="20"/>
          <w:szCs w:val="20"/>
        </w:rPr>
        <w:t xml:space="preserve"> perante terceiros; </w:t>
      </w:r>
    </w:p>
    <w:p w:rsidR="00953A5B" w:rsidRDefault="00953A5B" w:rsidP="00953A5B">
      <w:pPr>
        <w:pStyle w:val="PargrafodaLista"/>
        <w:spacing w:line="276" w:lineRule="auto"/>
        <w:ind w:left="1418"/>
        <w:jc w:val="both"/>
        <w:rPr>
          <w:rFonts w:ascii="Verdana" w:hAnsi="Verdana"/>
          <w:sz w:val="20"/>
          <w:szCs w:val="20"/>
        </w:rPr>
      </w:pPr>
    </w:p>
    <w:p w:rsidR="002B1043" w:rsidRPr="00953A5B" w:rsidRDefault="00953A5B" w:rsidP="00953A5B">
      <w:pPr>
        <w:pStyle w:val="PargrafodaLista"/>
        <w:numPr>
          <w:ilvl w:val="0"/>
          <w:numId w:val="9"/>
        </w:numPr>
        <w:spacing w:line="276" w:lineRule="auto"/>
        <w:ind w:left="1418" w:hanging="567"/>
        <w:jc w:val="both"/>
        <w:rPr>
          <w:rFonts w:ascii="Verdana" w:hAnsi="Verdana"/>
          <w:sz w:val="20"/>
          <w:szCs w:val="20"/>
        </w:rPr>
      </w:pPr>
      <w:r>
        <w:rPr>
          <w:rFonts w:ascii="Verdana" w:hAnsi="Verdana"/>
          <w:sz w:val="20"/>
          <w:szCs w:val="20"/>
        </w:rPr>
        <w:t>a</w:t>
      </w:r>
      <w:r w:rsidR="00180A7F" w:rsidRPr="00953A5B">
        <w:rPr>
          <w:rFonts w:ascii="Verdana" w:hAnsi="Verdana"/>
          <w:sz w:val="20"/>
          <w:szCs w:val="20"/>
        </w:rPr>
        <w:t xml:space="preserve">lterar </w:t>
      </w:r>
      <w:r w:rsidR="002B1043" w:rsidRPr="00953A5B">
        <w:rPr>
          <w:rFonts w:ascii="Verdana" w:hAnsi="Verdana"/>
          <w:sz w:val="20"/>
          <w:szCs w:val="20"/>
        </w:rPr>
        <w:t xml:space="preserve">a Cláusula 4.1.7 da Escritura, que passará a vigorar com a seguinte </w:t>
      </w:r>
      <w:r w:rsidR="00023D6B">
        <w:rPr>
          <w:rFonts w:ascii="Verdana" w:hAnsi="Verdana"/>
          <w:sz w:val="20"/>
          <w:szCs w:val="20"/>
        </w:rPr>
        <w:t xml:space="preserve">nova </w:t>
      </w:r>
      <w:r w:rsidR="002B1043" w:rsidRPr="00953A5B">
        <w:rPr>
          <w:rFonts w:ascii="Verdana" w:hAnsi="Verdana"/>
          <w:sz w:val="20"/>
          <w:szCs w:val="20"/>
        </w:rPr>
        <w:t>redação</w:t>
      </w:r>
      <w:r w:rsidR="00180A7F" w:rsidRPr="00953A5B">
        <w:rPr>
          <w:rFonts w:ascii="Verdana" w:hAnsi="Verdana"/>
          <w:sz w:val="20"/>
          <w:szCs w:val="20"/>
        </w:rPr>
        <w:t>:</w:t>
      </w:r>
    </w:p>
    <w:p w:rsidR="002B1043" w:rsidRPr="00953A5B" w:rsidRDefault="002B1043" w:rsidP="002B1043">
      <w:pPr>
        <w:pStyle w:val="PargrafodaLista"/>
        <w:spacing w:line="276" w:lineRule="auto"/>
        <w:ind w:left="0"/>
        <w:jc w:val="both"/>
        <w:rPr>
          <w:rFonts w:ascii="Verdana" w:hAnsi="Verdana"/>
          <w:sz w:val="20"/>
          <w:szCs w:val="20"/>
        </w:rPr>
      </w:pPr>
    </w:p>
    <w:p w:rsidR="002B1043" w:rsidRPr="00953A5B" w:rsidRDefault="002B1043" w:rsidP="00953A5B">
      <w:pPr>
        <w:widowControl w:val="0"/>
        <w:spacing w:line="276" w:lineRule="auto"/>
        <w:ind w:left="1418"/>
        <w:jc w:val="both"/>
        <w:rPr>
          <w:rFonts w:ascii="Verdana" w:hAnsi="Verdana"/>
          <w:i/>
          <w:sz w:val="20"/>
          <w:szCs w:val="20"/>
        </w:rPr>
      </w:pPr>
      <w:r w:rsidRPr="00953A5B">
        <w:rPr>
          <w:rFonts w:ascii="Verdana" w:hAnsi="Verdana"/>
          <w:i/>
          <w:sz w:val="20"/>
          <w:szCs w:val="20"/>
        </w:rPr>
        <w:t xml:space="preserve">“4.1.7. </w:t>
      </w:r>
      <w:r w:rsidRPr="00953A5B">
        <w:rPr>
          <w:rFonts w:ascii="Verdana" w:hAnsi="Verdana"/>
          <w:i/>
          <w:iCs/>
          <w:sz w:val="20"/>
          <w:szCs w:val="20"/>
          <w:u w:val="single"/>
        </w:rPr>
        <w:t>Prazo e Data de Vencimento</w:t>
      </w:r>
      <w:r w:rsidRPr="00953A5B">
        <w:rPr>
          <w:rFonts w:ascii="Verdana" w:hAnsi="Verdana"/>
          <w:i/>
          <w:sz w:val="20"/>
          <w:szCs w:val="20"/>
        </w:rPr>
        <w:t xml:space="preserve">. Ressalvadas as hipóteses de resgate antecipado ou vencimento antecipado conforme previsto </w:t>
      </w:r>
      <w:proofErr w:type="spellStart"/>
      <w:r w:rsidRPr="00953A5B">
        <w:rPr>
          <w:rFonts w:ascii="Verdana" w:hAnsi="Verdana"/>
          <w:i/>
          <w:sz w:val="20"/>
          <w:szCs w:val="20"/>
        </w:rPr>
        <w:t>na</w:t>
      </w:r>
      <w:proofErr w:type="spellEnd"/>
      <w:r w:rsidRPr="00953A5B">
        <w:rPr>
          <w:rFonts w:ascii="Verdana" w:hAnsi="Verdana"/>
          <w:i/>
          <w:sz w:val="20"/>
          <w:szCs w:val="20"/>
        </w:rPr>
        <w:t xml:space="preserve"> presente Escritura, (a) as Debêntures da 1ª Série terão vencimento em 31 de maio de 2020 (“</w:t>
      </w:r>
      <w:r w:rsidRPr="00953A5B">
        <w:rPr>
          <w:rFonts w:ascii="Verdana" w:hAnsi="Verdana"/>
          <w:i/>
          <w:sz w:val="20"/>
          <w:szCs w:val="20"/>
          <w:u w:val="single"/>
        </w:rPr>
        <w:t>Data de Vencimento das Debêntures da 1ª Série</w:t>
      </w:r>
      <w:r w:rsidRPr="00953A5B">
        <w:rPr>
          <w:rFonts w:ascii="Verdana" w:hAnsi="Verdana"/>
          <w:i/>
          <w:sz w:val="20"/>
          <w:szCs w:val="20"/>
        </w:rPr>
        <w:t>”), (b) as Debêntures da 2ª Série terão vencimento em 31 de maio de 2020 (“</w:t>
      </w:r>
      <w:r w:rsidRPr="00953A5B">
        <w:rPr>
          <w:rFonts w:ascii="Verdana" w:hAnsi="Verdana"/>
          <w:i/>
          <w:sz w:val="20"/>
          <w:szCs w:val="20"/>
          <w:u w:val="single"/>
        </w:rPr>
        <w:t>Data de Vencimento das Debêntures da 2ª Série</w:t>
      </w:r>
      <w:r w:rsidRPr="00953A5B">
        <w:rPr>
          <w:rFonts w:ascii="Verdana" w:hAnsi="Verdana"/>
          <w:i/>
          <w:sz w:val="20"/>
          <w:szCs w:val="20"/>
        </w:rPr>
        <w:t>”), (c) as Debêntures da 3ª Série terão vencimento em 20 de abril de 2028 (“</w:t>
      </w:r>
      <w:r w:rsidRPr="00953A5B">
        <w:rPr>
          <w:rFonts w:ascii="Verdana" w:hAnsi="Verdana"/>
          <w:i/>
          <w:sz w:val="20"/>
          <w:szCs w:val="20"/>
          <w:u w:val="single"/>
        </w:rPr>
        <w:t>Data de Vencimento das Debêntures da 3ª Série</w:t>
      </w:r>
      <w:r w:rsidRPr="00953A5B">
        <w:rPr>
          <w:rFonts w:ascii="Verdana" w:hAnsi="Verdana"/>
          <w:i/>
          <w:sz w:val="20"/>
          <w:szCs w:val="20"/>
        </w:rPr>
        <w:t>”), (d) as Debêntures da 4ª Série terão vencimento em 20 de abril de 2028 (“</w:t>
      </w:r>
      <w:r w:rsidRPr="00953A5B">
        <w:rPr>
          <w:rFonts w:ascii="Verdana" w:hAnsi="Verdana"/>
          <w:i/>
          <w:sz w:val="20"/>
          <w:szCs w:val="20"/>
          <w:u w:val="single"/>
        </w:rPr>
        <w:t>Data de Vencimento das Debêntures da 4ª Série</w:t>
      </w:r>
      <w:r w:rsidRPr="00953A5B">
        <w:rPr>
          <w:rFonts w:ascii="Verdana" w:hAnsi="Verdana"/>
          <w:i/>
          <w:sz w:val="20"/>
          <w:szCs w:val="20"/>
        </w:rPr>
        <w:t>”), (e) as Debêntures da 5ª Série terão vencimento em 20 de dezembro de 2031 (“</w:t>
      </w:r>
      <w:r w:rsidRPr="00953A5B">
        <w:rPr>
          <w:rFonts w:ascii="Verdana" w:hAnsi="Verdana"/>
          <w:i/>
          <w:sz w:val="20"/>
          <w:szCs w:val="20"/>
          <w:u w:val="single"/>
        </w:rPr>
        <w:t>Data de Vencimento das Debêntures da 5ª Série</w:t>
      </w:r>
      <w:r w:rsidRPr="00953A5B">
        <w:rPr>
          <w:rFonts w:ascii="Verdana" w:hAnsi="Verdana"/>
          <w:i/>
          <w:sz w:val="20"/>
          <w:szCs w:val="20"/>
        </w:rPr>
        <w:t>”), (f) as Debêntures da 6ª Série terão vencimento em 20 de abril de 2028 (“</w:t>
      </w:r>
      <w:r w:rsidRPr="00953A5B">
        <w:rPr>
          <w:rFonts w:ascii="Verdana" w:hAnsi="Verdana"/>
          <w:i/>
          <w:sz w:val="20"/>
          <w:szCs w:val="20"/>
          <w:u w:val="single"/>
        </w:rPr>
        <w:t>Data de Vencimento das Debêntures da 6ª Série</w:t>
      </w:r>
      <w:r w:rsidRPr="00953A5B">
        <w:rPr>
          <w:rFonts w:ascii="Verdana" w:hAnsi="Verdana"/>
          <w:i/>
          <w:sz w:val="20"/>
          <w:szCs w:val="20"/>
        </w:rPr>
        <w:t>”), (g) as Debêntures da 7ª Série terão vencimento em 20 de janeiro de 2023 (“</w:t>
      </w:r>
      <w:r w:rsidRPr="00953A5B">
        <w:rPr>
          <w:rFonts w:ascii="Verdana" w:hAnsi="Verdana"/>
          <w:i/>
          <w:sz w:val="20"/>
          <w:szCs w:val="20"/>
          <w:u w:val="single"/>
        </w:rPr>
        <w:t>Data de Vencimento das Debêntures da 7ª Série</w:t>
      </w:r>
      <w:r w:rsidRPr="00953A5B">
        <w:rPr>
          <w:rFonts w:ascii="Verdana" w:hAnsi="Verdana"/>
          <w:i/>
          <w:sz w:val="20"/>
          <w:szCs w:val="20"/>
        </w:rPr>
        <w:t>”), (h) as Debêntures da 8ª Série terão vencimento em 20 de abril de 2023 (“</w:t>
      </w:r>
      <w:r w:rsidRPr="00953A5B">
        <w:rPr>
          <w:rFonts w:ascii="Verdana" w:hAnsi="Verdana"/>
          <w:i/>
          <w:sz w:val="20"/>
          <w:szCs w:val="20"/>
          <w:u w:val="single"/>
        </w:rPr>
        <w:t>Data de Vencimento das Debêntures da 8ª Série</w:t>
      </w:r>
      <w:r w:rsidRPr="00953A5B">
        <w:rPr>
          <w:rFonts w:ascii="Verdana" w:hAnsi="Verdana"/>
          <w:i/>
          <w:sz w:val="20"/>
          <w:szCs w:val="20"/>
        </w:rPr>
        <w:t>”); (i) as Debêntures da 9ª Série terão vencimento em 20 de dezembro de 2018 (“</w:t>
      </w:r>
      <w:r w:rsidRPr="00953A5B">
        <w:rPr>
          <w:rFonts w:ascii="Verdana" w:hAnsi="Verdana"/>
          <w:i/>
          <w:sz w:val="20"/>
          <w:szCs w:val="20"/>
          <w:u w:val="single"/>
        </w:rPr>
        <w:t>Data de Vencimento das Debêntures da 9ª Série</w:t>
      </w:r>
      <w:r w:rsidRPr="00953A5B">
        <w:rPr>
          <w:rFonts w:ascii="Verdana" w:hAnsi="Verdana"/>
          <w:i/>
          <w:sz w:val="20"/>
          <w:szCs w:val="20"/>
        </w:rPr>
        <w:t xml:space="preserve">”); (j) as Debêntures da </w:t>
      </w:r>
      <w:r w:rsidRPr="00953A5B">
        <w:rPr>
          <w:rFonts w:ascii="Verdana" w:hAnsi="Verdana"/>
          <w:i/>
          <w:sz w:val="20"/>
          <w:szCs w:val="20"/>
        </w:rPr>
        <w:lastRenderedPageBreak/>
        <w:t>10ª Série terão vencimento em 20 de abril de 2023 (“</w:t>
      </w:r>
      <w:r w:rsidRPr="00953A5B">
        <w:rPr>
          <w:rFonts w:ascii="Verdana" w:hAnsi="Verdana"/>
          <w:i/>
          <w:sz w:val="20"/>
          <w:szCs w:val="20"/>
          <w:u w:val="single"/>
        </w:rPr>
        <w:t>Data de Vencimento das Debêntures da 10ª Série</w:t>
      </w:r>
      <w:r w:rsidRPr="00953A5B">
        <w:rPr>
          <w:rFonts w:ascii="Verdana" w:hAnsi="Verdana"/>
          <w:i/>
          <w:sz w:val="20"/>
          <w:szCs w:val="20"/>
        </w:rPr>
        <w:t>”); e (k) as Debêntures da 11ª Série terão vencimento em 20 de abril de 2028 (“</w:t>
      </w:r>
      <w:r w:rsidRPr="00953A5B">
        <w:rPr>
          <w:rFonts w:ascii="Verdana" w:hAnsi="Verdana"/>
          <w:i/>
          <w:sz w:val="20"/>
          <w:szCs w:val="20"/>
          <w:u w:val="single"/>
        </w:rPr>
        <w:t>Data de Vencimento das Debêntures da 11ª Série</w:t>
      </w:r>
      <w:r w:rsidRPr="00953A5B">
        <w:rPr>
          <w:rFonts w:ascii="Verdana" w:hAnsi="Verdana"/>
          <w:i/>
          <w:sz w:val="20"/>
          <w:szCs w:val="20"/>
        </w:rPr>
        <w:t>”).”</w:t>
      </w:r>
    </w:p>
    <w:p w:rsidR="008B08FE" w:rsidRPr="00953A5B" w:rsidRDefault="008B08FE" w:rsidP="00C37937">
      <w:pPr>
        <w:pStyle w:val="PargrafodaLista"/>
        <w:spacing w:line="276" w:lineRule="auto"/>
        <w:ind w:left="360"/>
        <w:jc w:val="both"/>
        <w:rPr>
          <w:rFonts w:ascii="Verdana" w:hAnsi="Verdana"/>
          <w:sz w:val="20"/>
          <w:szCs w:val="20"/>
        </w:rPr>
      </w:pPr>
    </w:p>
    <w:p w:rsidR="00C37937" w:rsidRPr="00953A5B" w:rsidRDefault="00C37937" w:rsidP="00C37937">
      <w:pPr>
        <w:keepNext/>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II – Ratificação e Consolidação</w:t>
      </w:r>
    </w:p>
    <w:p w:rsidR="00C37937" w:rsidRPr="00953A5B" w:rsidRDefault="00C37937" w:rsidP="00C37937">
      <w:pPr>
        <w:keepNext/>
        <w:spacing w:line="276" w:lineRule="auto"/>
        <w:jc w:val="both"/>
        <w:rPr>
          <w:rFonts w:ascii="Verdana" w:hAnsi="Verdana"/>
          <w:sz w:val="20"/>
          <w:szCs w:val="20"/>
        </w:rPr>
      </w:pPr>
    </w:p>
    <w:p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111F7C">
        <w:rPr>
          <w:rFonts w:ascii="Verdana" w:hAnsi="Verdana"/>
          <w:sz w:val="20"/>
          <w:szCs w:val="20"/>
        </w:rPr>
        <w:t>Terceiro</w:t>
      </w:r>
      <w:r w:rsidR="00953A5B" w:rsidRPr="00953A5B">
        <w:rPr>
          <w:rFonts w:ascii="Verdana" w:hAnsi="Verdana"/>
          <w:sz w:val="20"/>
          <w:szCs w:val="20"/>
        </w:rPr>
        <w:t xml:space="preserve"> Aditamento</w:t>
      </w:r>
      <w:r w:rsidRPr="00953A5B">
        <w:rPr>
          <w:rFonts w:ascii="Verdana" w:hAnsi="Verdana"/>
          <w:sz w:val="20"/>
          <w:szCs w:val="20"/>
        </w:rPr>
        <w:t>.</w:t>
      </w:r>
    </w:p>
    <w:p w:rsidR="00C37937" w:rsidRPr="00953A5B" w:rsidRDefault="00C37937" w:rsidP="00C37937">
      <w:pPr>
        <w:keepNext/>
        <w:spacing w:line="276" w:lineRule="auto"/>
        <w:jc w:val="both"/>
        <w:rPr>
          <w:rFonts w:ascii="Verdana" w:hAnsi="Verdana"/>
          <w:sz w:val="20"/>
          <w:szCs w:val="20"/>
        </w:rPr>
      </w:pPr>
    </w:p>
    <w:p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Adicionalmente, a Emissora, a OSP e a ODB ratificam a garantia fidejussória prestada nos termos da cláusula 4.6 da Escritura, bem como as disposições referentes às garantias reais a serem prestadas, nos termos da cláusula 4.7 da Escritura.</w:t>
      </w:r>
    </w:p>
    <w:p w:rsidR="00C37937" w:rsidRPr="00953A5B" w:rsidRDefault="00C37937" w:rsidP="00C37937">
      <w:pPr>
        <w:spacing w:line="276" w:lineRule="auto"/>
        <w:jc w:val="both"/>
        <w:rPr>
          <w:rFonts w:ascii="Verdana" w:hAnsi="Verdana"/>
          <w:sz w:val="20"/>
          <w:szCs w:val="20"/>
        </w:rPr>
      </w:pPr>
    </w:p>
    <w:p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656ECE">
        <w:rPr>
          <w:rFonts w:ascii="Verdana" w:hAnsi="Verdana"/>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permanecem válidos e em pleno vigor.</w:t>
      </w:r>
    </w:p>
    <w:p w:rsidR="00C37937" w:rsidRPr="00953A5B" w:rsidRDefault="00C37937" w:rsidP="00C37937">
      <w:pPr>
        <w:widowControl w:val="0"/>
        <w:spacing w:line="276" w:lineRule="auto"/>
        <w:outlineLvl w:val="0"/>
        <w:rPr>
          <w:rFonts w:ascii="Verdana" w:hAnsi="Verdana"/>
          <w:b/>
          <w:bCs/>
          <w:smallCaps/>
          <w:color w:val="000000"/>
          <w:sz w:val="20"/>
          <w:szCs w:val="20"/>
        </w:rPr>
      </w:pPr>
      <w:bookmarkStart w:id="3" w:name="_Toc499906590"/>
    </w:p>
    <w:p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656ECE">
        <w:rPr>
          <w:rFonts w:ascii="Verdana" w:hAnsi="Verdana"/>
          <w:color w:val="000000"/>
          <w:sz w:val="20"/>
          <w:szCs w:val="20"/>
        </w:rPr>
        <w:t>Terceiro</w:t>
      </w:r>
      <w:r w:rsidRPr="00953A5B">
        <w:rPr>
          <w:rFonts w:ascii="Verdana" w:hAnsi="Verdana"/>
          <w:color w:val="000000"/>
          <w:sz w:val="20"/>
          <w:szCs w:val="20"/>
        </w:rPr>
        <w:t xml:space="preserve"> 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111F7C">
        <w:rPr>
          <w:rFonts w:ascii="Verdana" w:hAnsi="Verdana"/>
          <w:sz w:val="20"/>
          <w:szCs w:val="20"/>
        </w:rPr>
        <w:t>2</w:t>
      </w:r>
      <w:r w:rsidRPr="00953A5B">
        <w:rPr>
          <w:rFonts w:ascii="Verdana" w:hAnsi="Verdana"/>
          <w:sz w:val="20"/>
          <w:szCs w:val="20"/>
        </w:rPr>
        <w:t xml:space="preserve">0 </w:t>
      </w:r>
      <w:r w:rsidRPr="00953A5B">
        <w:rPr>
          <w:rFonts w:ascii="Verdana" w:hAnsi="Verdana"/>
          <w:color w:val="000000"/>
          <w:sz w:val="20"/>
          <w:szCs w:val="20"/>
        </w:rPr>
        <w:t>(dez)</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devidamente inscrito e registrado na JUCESP.</w:t>
      </w:r>
    </w:p>
    <w:p w:rsidR="00C37937" w:rsidRPr="00953A5B" w:rsidRDefault="00C37937" w:rsidP="00C37937">
      <w:pPr>
        <w:widowControl w:val="0"/>
        <w:spacing w:line="276" w:lineRule="auto"/>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no Cartório de Registro de Títulos e Documentos da cidade de São Paulo, Estado de São Paulo. A Emissora entregará ao Agente Fiduciário 1 (uma) via original deste </w:t>
      </w:r>
      <w:r w:rsidR="00656ECE">
        <w:rPr>
          <w:rFonts w:ascii="Verdana" w:hAnsi="Verdana"/>
          <w:color w:val="000000"/>
          <w:sz w:val="20"/>
          <w:szCs w:val="20"/>
        </w:rPr>
        <w:t>Terceiro</w:t>
      </w:r>
      <w:r w:rsidRPr="00953A5B">
        <w:rPr>
          <w:rFonts w:ascii="Verdana" w:hAnsi="Verdana"/>
          <w:color w:val="000000"/>
          <w:sz w:val="20"/>
          <w:szCs w:val="20"/>
        </w:rPr>
        <w:t xml:space="preserve"> Aditamento em até 2 (dois) Dias Úteis após o respectivo registro ou averbação.</w:t>
      </w:r>
    </w:p>
    <w:p w:rsidR="00C37937" w:rsidRPr="00953A5B" w:rsidRDefault="00C37937" w:rsidP="00C37937">
      <w:pPr>
        <w:widowControl w:val="0"/>
        <w:spacing w:line="276" w:lineRule="auto"/>
        <w:jc w:val="both"/>
        <w:rPr>
          <w:rFonts w:ascii="Verdana" w:hAnsi="Verdana"/>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3"/>
    </w:p>
    <w:p w:rsidR="00C37937" w:rsidRPr="00953A5B" w:rsidRDefault="00C37937" w:rsidP="00C37937">
      <w:pPr>
        <w:widowControl w:val="0"/>
        <w:spacing w:line="276" w:lineRule="auto"/>
        <w:outlineLvl w:val="0"/>
        <w:rPr>
          <w:rFonts w:ascii="Verdana" w:hAnsi="Verdana"/>
          <w:smallCaps/>
          <w:color w:val="000000"/>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656ECE">
        <w:rPr>
          <w:rFonts w:ascii="Verdana" w:hAnsi="Verdana"/>
          <w:color w:val="000000"/>
          <w:sz w:val="20"/>
          <w:szCs w:val="20"/>
        </w:rPr>
        <w:t>Terceiro</w:t>
      </w:r>
      <w:r w:rsidRPr="00953A5B">
        <w:rPr>
          <w:rFonts w:ascii="Verdana" w:hAnsi="Verdana"/>
          <w:sz w:val="20"/>
          <w:szCs w:val="20"/>
        </w:rPr>
        <w:t xml:space="preserve"> Aditamento têm caráter irrevogável e irretratável, obrigando as Partes e seus sucessores, a qualquer título, ao seu integral cumprimento.</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656ECE">
        <w:rPr>
          <w:rFonts w:ascii="Verdana" w:hAnsi="Verdana"/>
          <w:color w:val="000000"/>
          <w:sz w:val="20"/>
          <w:szCs w:val="20"/>
        </w:rPr>
        <w:t>Terceiro</w:t>
      </w:r>
      <w:r w:rsidRPr="00953A5B">
        <w:rPr>
          <w:rFonts w:ascii="Verdana" w:hAnsi="Verdana"/>
          <w:sz w:val="20"/>
          <w:szCs w:val="20"/>
        </w:rPr>
        <w:t xml:space="preserve"> Aditamento somente será considerada válida se formalizada por escrito, em instrumento próprio assinado por todas as Partes.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lastRenderedPageBreak/>
        <w:t>4.3.</w:t>
      </w:r>
      <w:r w:rsidRPr="00953A5B">
        <w:rPr>
          <w:rFonts w:ascii="Verdana" w:hAnsi="Verdana"/>
          <w:sz w:val="20"/>
          <w:szCs w:val="20"/>
        </w:rPr>
        <w:tab/>
        <w:t xml:space="preserve">A invalidade ou nulidade, no todo ou em parte, de quaisquer das cláusulas deste </w:t>
      </w:r>
      <w:r w:rsidR="00656ECE">
        <w:rPr>
          <w:rFonts w:ascii="Verdana" w:hAnsi="Verdana"/>
          <w:color w:val="000000"/>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não afetará as demais, que permanecerão válidas e eficazes até o cumprimento, pelas Partes, de todas as suas obrigações aqui previstas.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37937" w:rsidRPr="00953A5B" w:rsidRDefault="00C37937" w:rsidP="00C37937">
      <w:pPr>
        <w:spacing w:line="276" w:lineRule="auto"/>
        <w:ind w:left="709" w:hanging="709"/>
        <w:rPr>
          <w:rFonts w:ascii="Verdana" w:hAnsi="Verdana"/>
          <w:sz w:val="20"/>
          <w:szCs w:val="20"/>
        </w:rPr>
      </w:pPr>
    </w:p>
    <w:p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656ECE">
        <w:rPr>
          <w:rFonts w:ascii="Verdana" w:hAnsi="Verdana"/>
          <w:color w:val="000000"/>
          <w:sz w:val="20"/>
          <w:szCs w:val="20"/>
        </w:rPr>
        <w:t>Terceiro</w:t>
      </w:r>
      <w:r w:rsidRPr="00953A5B">
        <w:rPr>
          <w:rFonts w:ascii="Verdana" w:hAnsi="Verdana"/>
          <w:sz w:val="20"/>
          <w:szCs w:val="20"/>
        </w:rPr>
        <w:t xml:space="preserve"> Aditamento é regido pelas leis da República Federativa do Brasil.</w:t>
      </w:r>
    </w:p>
    <w:p w:rsidR="00C37937" w:rsidRPr="00953A5B" w:rsidRDefault="00C37937" w:rsidP="00C37937">
      <w:pPr>
        <w:widowControl w:val="0"/>
        <w:spacing w:line="276" w:lineRule="auto"/>
        <w:ind w:left="709" w:hanging="709"/>
        <w:jc w:val="both"/>
        <w:rPr>
          <w:rFonts w:ascii="Verdana" w:hAnsi="Verdana"/>
          <w:sz w:val="20"/>
          <w:szCs w:val="20"/>
        </w:rPr>
      </w:pPr>
    </w:p>
    <w:p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rsidR="00C37937" w:rsidRPr="00953A5B" w:rsidRDefault="00C37937" w:rsidP="00C37937">
      <w:pPr>
        <w:pStyle w:val="Estilo1"/>
        <w:spacing w:line="276" w:lineRule="auto"/>
        <w:ind w:left="0"/>
        <w:rPr>
          <w:rFonts w:cs="Times New Roman"/>
          <w:szCs w:val="20"/>
        </w:rPr>
      </w:pPr>
    </w:p>
    <w:p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656ECE">
        <w:rPr>
          <w:color w:val="000000"/>
          <w:szCs w:val="20"/>
        </w:rPr>
        <w:t>Terceiro</w:t>
      </w:r>
      <w:r w:rsidR="00953A5B" w:rsidRPr="00953A5B">
        <w:rPr>
          <w:rFonts w:cs="Times New Roman"/>
          <w:szCs w:val="20"/>
        </w:rPr>
        <w:t xml:space="preserve"> </w:t>
      </w:r>
      <w:r w:rsidRPr="00953A5B">
        <w:rPr>
          <w:rFonts w:cs="Times New Roman"/>
          <w:szCs w:val="20"/>
        </w:rPr>
        <w:t>Aditamento, em 7 (sete) vias de igual teor e forma, juntamente com as duas testemunhas abaixo assinadas, a tudo presentes.</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656ECE">
        <w:rPr>
          <w:rFonts w:ascii="Verdana" w:hAnsi="Verdana"/>
          <w:sz w:val="20"/>
          <w:szCs w:val="20"/>
        </w:rPr>
        <w:t>[--]</w:t>
      </w:r>
      <w:r w:rsidR="000875CA">
        <w:rPr>
          <w:rFonts w:ascii="Verdana" w:hAnsi="Verdana"/>
          <w:sz w:val="20"/>
          <w:szCs w:val="20"/>
        </w:rPr>
        <w:t xml:space="preserve"> de junho de 2020</w:t>
      </w: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rPr>
          <w:rFonts w:ascii="Verdana" w:hAnsi="Verdana"/>
          <w:sz w:val="20"/>
          <w:szCs w:val="20"/>
        </w:rPr>
      </w:pPr>
    </w:p>
    <w:p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rsidR="00C37937" w:rsidRPr="00953A5B" w:rsidRDefault="00C37937" w:rsidP="00C37937">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1/5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656ECE"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Pr>
          <w:rFonts w:ascii="Verdana" w:hAnsi="Verdana"/>
          <w:smallCaps/>
          <w:sz w:val="20"/>
          <w:szCs w:val="20"/>
        </w:rPr>
        <w:t xml:space="preserve"> – EM RECUPERAÇÃO JUDICIAL</w:t>
      </w:r>
    </w:p>
    <w:p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rsidR="00636683" w:rsidRDefault="00636683" w:rsidP="00C37937">
      <w:pPr>
        <w:keepNext/>
        <w:spacing w:line="276" w:lineRule="auto"/>
        <w:jc w:val="center"/>
        <w:rPr>
          <w:rFonts w:ascii="Verdana" w:hAnsi="Verdana"/>
          <w:smallCaps/>
          <w:sz w:val="20"/>
          <w:szCs w:val="20"/>
        </w:rPr>
      </w:pPr>
    </w:p>
    <w:p w:rsidR="00636683" w:rsidRDefault="00636683"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636683">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rsidR="00636683" w:rsidRDefault="00636683" w:rsidP="00C37937">
            <w:pPr>
              <w:keepNext/>
              <w:spacing w:line="276" w:lineRule="auto"/>
              <w:jc w:val="center"/>
              <w:rPr>
                <w:rFonts w:ascii="Verdana" w:hAnsi="Verdana"/>
                <w:smallCaps/>
                <w:sz w:val="20"/>
                <w:szCs w:val="20"/>
              </w:rPr>
            </w:pPr>
          </w:p>
        </w:tc>
      </w:tr>
    </w:tbl>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656ECE" w:rsidRPr="00656ECE">
        <w:rPr>
          <w:rFonts w:ascii="Verdana" w:hAnsi="Verdana"/>
          <w:i/>
          <w:iCs/>
          <w:color w:val="000000"/>
          <w:sz w:val="20"/>
          <w:szCs w:val="20"/>
        </w:rPr>
        <w:t>Terceiro</w:t>
      </w:r>
      <w:r w:rsidR="00953A5B"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636683">
      <w:pPr>
        <w:spacing w:line="276" w:lineRule="auto"/>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na qualidade de Agente Fiduciário e representante dos debenturistas</w:t>
      </w:r>
    </w:p>
    <w:p w:rsidR="00C37937" w:rsidRPr="00953A5B" w:rsidRDefault="00C37937" w:rsidP="00C37937">
      <w:pPr>
        <w:keepNext/>
        <w:spacing w:line="276" w:lineRule="auto"/>
        <w:jc w:val="center"/>
        <w:rPr>
          <w:rFonts w:ascii="Verdana" w:hAnsi="Verdana"/>
          <w:smallCaps/>
          <w:sz w:val="20"/>
          <w:szCs w:val="20"/>
        </w:rPr>
      </w:pPr>
    </w:p>
    <w:p w:rsidR="00C37937" w:rsidRDefault="00C37937" w:rsidP="00636683">
      <w:pPr>
        <w:keepNext/>
        <w:spacing w:line="276" w:lineRule="auto"/>
        <w:rPr>
          <w:rFonts w:ascii="Verdana" w:hAnsi="Verdana"/>
          <w:smallCaps/>
          <w:sz w:val="20"/>
          <w:szCs w:val="20"/>
        </w:rPr>
      </w:pPr>
    </w:p>
    <w:p w:rsidR="00636683" w:rsidRDefault="00636683" w:rsidP="00636683">
      <w:pPr>
        <w:keepNext/>
        <w:spacing w:line="276" w:lineRule="auto"/>
        <w:rPr>
          <w:rFonts w:ascii="Verdana" w:hAnsi="Verdana"/>
          <w:smallCaps/>
          <w:sz w:val="20"/>
          <w:szCs w:val="20"/>
        </w:rPr>
      </w:pPr>
    </w:p>
    <w:p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3/5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S.A.</w:t>
      </w:r>
      <w:r w:rsidR="00656ECE">
        <w:rPr>
          <w:rFonts w:ascii="Verdana" w:hAnsi="Verdana"/>
          <w:smallCaps/>
          <w:sz w:val="20"/>
          <w:szCs w:val="20"/>
        </w:rPr>
        <w:t xml:space="preserve"> –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rsidR="00C37937" w:rsidRDefault="00C37937" w:rsidP="00C37937">
      <w:pPr>
        <w:keepNext/>
        <w:spacing w:line="276" w:lineRule="auto"/>
        <w:jc w:val="center"/>
        <w:rPr>
          <w:rFonts w:ascii="Verdana" w:hAnsi="Verdana"/>
          <w:smallCaps/>
          <w:sz w:val="20"/>
          <w:szCs w:val="20"/>
        </w:rPr>
      </w:pPr>
    </w:p>
    <w:p w:rsidR="00636683" w:rsidRPr="00953A5B" w:rsidRDefault="00636683"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4/5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656ECE" w:rsidRPr="00656ECE">
        <w:rPr>
          <w:rFonts w:ascii="Verdana" w:hAnsi="Verdana"/>
          <w:smallCaps/>
          <w:sz w:val="20"/>
          <w:szCs w:val="20"/>
        </w:rPr>
        <w:t xml:space="preserve"> </w:t>
      </w:r>
      <w:r w:rsidR="00656ECE">
        <w:rPr>
          <w:rFonts w:ascii="Verdana" w:hAnsi="Verdana"/>
          <w:smallCaps/>
          <w:sz w:val="20"/>
          <w:szCs w:val="20"/>
        </w:rPr>
        <w:t>– EM RECUPERAÇÃO JUDICIAL</w:t>
      </w:r>
      <w:r w:rsidRPr="00953A5B">
        <w:rPr>
          <w:rFonts w:ascii="Verdana" w:hAnsi="Verdana"/>
          <w:smallCaps/>
          <w:sz w:val="20"/>
          <w:szCs w:val="20"/>
        </w:rPr>
        <w:t xml:space="preserve">, </w:t>
      </w: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spacing w:line="276" w:lineRule="auto"/>
        <w:jc w:val="center"/>
        <w:rPr>
          <w:rFonts w:ascii="Verdana" w:hAnsi="Verdana"/>
          <w:sz w:val="20"/>
          <w:szCs w:val="20"/>
        </w:rPr>
      </w:pPr>
    </w:p>
    <w:p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rsidR="00C37937" w:rsidRPr="00953A5B" w:rsidRDefault="00C37937" w:rsidP="00C37937">
      <w:pPr>
        <w:spacing w:line="276" w:lineRule="auto"/>
        <w:jc w:val="both"/>
        <w:rPr>
          <w:rFonts w:ascii="Verdana" w:hAnsi="Verdana"/>
          <w:sz w:val="20"/>
          <w:szCs w:val="20"/>
        </w:rPr>
      </w:pPr>
    </w:p>
    <w:p w:rsidR="00C37937" w:rsidRPr="00953A5B" w:rsidRDefault="00C37937" w:rsidP="00C37937">
      <w:pPr>
        <w:spacing w:line="276" w:lineRule="auto"/>
        <w:jc w:val="both"/>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spacing w:line="276" w:lineRule="auto"/>
        <w:jc w:val="center"/>
        <w:rPr>
          <w:rFonts w:ascii="Verdana" w:hAnsi="Verdana"/>
          <w:smallCaps/>
          <w:sz w:val="20"/>
          <w:szCs w:val="20"/>
        </w:rPr>
      </w:pPr>
    </w:p>
    <w:p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rsidR="00C37937" w:rsidRPr="00953A5B" w:rsidRDefault="00C37937" w:rsidP="00C37937">
      <w:pPr>
        <w:spacing w:line="276" w:lineRule="auto"/>
        <w:jc w:val="center"/>
        <w:rPr>
          <w:rFonts w:ascii="Verdana" w:hAnsi="Verdana"/>
          <w:sz w:val="20"/>
          <w:szCs w:val="20"/>
        </w:rPr>
      </w:pPr>
    </w:p>
    <w:p w:rsidR="00C37937" w:rsidRDefault="00C37937" w:rsidP="00C37937">
      <w:pPr>
        <w:spacing w:line="276" w:lineRule="auto"/>
        <w:jc w:val="center"/>
        <w:rPr>
          <w:rFonts w:ascii="Verdana" w:hAnsi="Verdana"/>
          <w:sz w:val="20"/>
          <w:szCs w:val="20"/>
        </w:rPr>
      </w:pPr>
    </w:p>
    <w:p w:rsidR="00636683" w:rsidRPr="00953A5B" w:rsidRDefault="00636683" w:rsidP="00C37937">
      <w:pPr>
        <w:spacing w:line="276" w:lineRule="auto"/>
        <w:jc w:val="center"/>
        <w:rPr>
          <w:rFonts w:ascii="Verdana" w:hAnsi="Verdana"/>
          <w:sz w:val="20"/>
          <w:szCs w:val="20"/>
        </w:rPr>
      </w:pPr>
    </w:p>
    <w:p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rsidTr="00A162C3">
        <w:tc>
          <w:tcPr>
            <w:tcW w:w="4508" w:type="dxa"/>
          </w:tcPr>
          <w:p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c>
          <w:tcPr>
            <w:tcW w:w="4508" w:type="dxa"/>
          </w:tcPr>
          <w:p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rsidR="00636683" w:rsidRDefault="00636683" w:rsidP="00A162C3">
            <w:pPr>
              <w:keepNext/>
              <w:spacing w:line="276" w:lineRule="auto"/>
              <w:jc w:val="center"/>
              <w:rPr>
                <w:rFonts w:ascii="Verdana" w:hAnsi="Verdana"/>
                <w:smallCaps/>
                <w:sz w:val="20"/>
                <w:szCs w:val="20"/>
              </w:rPr>
            </w:pPr>
          </w:p>
        </w:tc>
      </w:tr>
    </w:tbl>
    <w:p w:rsidR="00C37937" w:rsidRPr="00953A5B" w:rsidRDefault="00C37937" w:rsidP="00C37937">
      <w:pPr>
        <w:autoSpaceDE/>
        <w:autoSpaceDN/>
        <w:adjustRightInd/>
        <w:spacing w:line="276" w:lineRule="auto"/>
        <w:rPr>
          <w:rFonts w:ascii="Verdana" w:hAnsi="Verdana"/>
          <w:sz w:val="20"/>
          <w:szCs w:val="20"/>
        </w:rPr>
      </w:pPr>
    </w:p>
    <w:p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683" w:rsidRDefault="00636683" w:rsidP="00636683">
      <w:r>
        <w:separator/>
      </w:r>
    </w:p>
  </w:endnote>
  <w:endnote w:type="continuationSeparator" w:id="0">
    <w:p w:rsidR="00636683" w:rsidRDefault="00636683"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0A" w:rsidRDefault="0011420A" w:rsidP="00023D6B">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636683" w:rsidRPr="0011420A" w:rsidRDefault="0011420A" w:rsidP="0011420A">
    <w:pPr>
      <w:pStyle w:val="Rodap"/>
      <w:rPr>
        <w:rFonts w:ascii="Verdana" w:hAnsi="Verdana"/>
        <w:sz w:val="14"/>
      </w:rPr>
    </w:pPr>
    <w:r>
      <w:rPr>
        <w:rFonts w:ascii="Verdana" w:hAnsi="Verdana"/>
        <w:sz w:val="14"/>
      </w:rPr>
      <w:t xml:space="preserve">TEXT_SP - 50392152v2 2041.139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683" w:rsidRDefault="00636683" w:rsidP="00636683">
      <w:r>
        <w:separator/>
      </w:r>
    </w:p>
  </w:footnote>
  <w:footnote w:type="continuationSeparator" w:id="0">
    <w:p w:rsidR="00636683" w:rsidRDefault="00636683"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83" w:rsidRDefault="00636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C60EA"/>
    <w:multiLevelType w:val="multilevel"/>
    <w:tmpl w:val="57A85268"/>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7"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15"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0"/>
  </w:num>
  <w:num w:numId="6">
    <w:abstractNumId w:val="5"/>
  </w:num>
  <w:num w:numId="7">
    <w:abstractNumId w:val="15"/>
  </w:num>
  <w:num w:numId="8">
    <w:abstractNumId w:val="9"/>
  </w:num>
  <w:num w:numId="9">
    <w:abstractNumId w:val="1"/>
  </w:num>
  <w:num w:numId="10">
    <w:abstractNumId w:val="3"/>
  </w:num>
  <w:num w:numId="11">
    <w:abstractNumId w:val="12"/>
  </w:num>
  <w:num w:numId="12">
    <w:abstractNumId w:val="6"/>
  </w:num>
  <w:num w:numId="13">
    <w:abstractNumId w:val="0"/>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875CA"/>
    <w:rsid w:val="00111F7C"/>
    <w:rsid w:val="0011420A"/>
    <w:rsid w:val="00180A7F"/>
    <w:rsid w:val="002B1043"/>
    <w:rsid w:val="002E76D9"/>
    <w:rsid w:val="00422440"/>
    <w:rsid w:val="005D2932"/>
    <w:rsid w:val="00636683"/>
    <w:rsid w:val="00656ECE"/>
    <w:rsid w:val="007A15CA"/>
    <w:rsid w:val="008B08FE"/>
    <w:rsid w:val="008C7F2E"/>
    <w:rsid w:val="00953A5B"/>
    <w:rsid w:val="00AD4562"/>
    <w:rsid w:val="00B01BD6"/>
    <w:rsid w:val="00C37937"/>
    <w:rsid w:val="00F056E9"/>
    <w:rsid w:val="00F66F22"/>
    <w:rsid w:val="00F94CAE"/>
    <w:rsid w:val="00FB2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9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111F7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 T E X T ! 5 2 2 5 9 3 1 2 . 1 < / d o c u m e n t i d >  
     < s e n d e r i d > C G O < / s e n d e r i d >  
     < s e n d e r e m a i l > C G E R O S A @ M A C H A D O M E Y E R . C O M . B R < / s e n d e r e m a i l >  
     < l a s t m o d i f i e d > 2 0 2 0 - 0 6 - 2 3 T 1 5 : 2 9 : 0 0 . 0 0 0 0 0 0 0 - 0 3 : 0 0 < / l a s t m o d i f i e d >  
     < d a t a b a s e > T E X T < / d a t a b a s e >  
 < / p r o p e r t i e s > 
</file>

<file path=customXml/itemProps1.xml><?xml version="1.0" encoding="utf-8"?>
<ds:datastoreItem xmlns:ds="http://schemas.openxmlformats.org/officeDocument/2006/customXml" ds:itemID="{9CD5E800-9261-4D2E-B085-84DF3E86A5F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3123</Words>
  <Characters>16866</Characters>
  <Application>Microsoft Office Word</Application>
  <DocSecurity>4</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Rinaldo Rabello</cp:lastModifiedBy>
  <cp:revision>2</cp:revision>
  <cp:lastPrinted>2019-03-28T21:10:00Z</cp:lastPrinted>
  <dcterms:created xsi:type="dcterms:W3CDTF">2020-06-24T09:52:00Z</dcterms:created>
  <dcterms:modified xsi:type="dcterms:W3CDTF">2020-06-24T09:52:00Z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- 50392152v2 2041.139 </vt:lpwstr>
  </property>
</Properties>
</file>