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10C0EF27" w:rsidR="00483B06" w:rsidRPr="002C7B61" w:rsidRDefault="00004041"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FC78F8">
        <w:rPr>
          <w:rFonts w:asciiTheme="minorHAnsi" w:hAnsiTheme="minorHAnsi" w:cstheme="minorHAnsi"/>
          <w:b/>
        </w:rPr>
        <w:t>VÓRTX DISTRIBUIDORA DE TÍTULOS E VALORES MOBILIÁRIOS LTDA.</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55E61A65"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sidR="007C3611">
        <w:rPr>
          <w:rFonts w:asciiTheme="minorHAnsi" w:hAnsiTheme="minorHAnsi" w:cstheme="minorHAnsi"/>
          <w:color w:val="000000"/>
        </w:rPr>
        <w:t>dezembro</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6ABF7BB5" w:rsidR="0067226E" w:rsidRPr="00B524EC" w:rsidRDefault="00F27FAF" w:rsidP="00B524EC">
      <w:pPr>
        <w:spacing w:line="340" w:lineRule="exact"/>
        <w:jc w:val="both"/>
        <w:rPr>
          <w:rFonts w:asciiTheme="minorHAnsi" w:hAnsiTheme="minorHAnsi" w:cstheme="minorHAnsi"/>
        </w:rPr>
      </w:pPr>
      <w:r w:rsidRPr="0081287C">
        <w:rPr>
          <w:rFonts w:asciiTheme="minorHAnsi" w:hAnsiTheme="minorHAnsi" w:cstheme="minorHAnsi"/>
          <w:b/>
          <w:smallCaps/>
        </w:rPr>
        <w:t>VÓRTX DISTRIBUIDORA DE TÍTULOS E VALORES MOBILIÁRIOS LTDA.</w:t>
      </w:r>
      <w:r w:rsidRPr="00AF7146">
        <w:rPr>
          <w:rFonts w:asciiTheme="minorHAnsi" w:hAnsiTheme="minorHAnsi" w:cstheme="minorHAnsi"/>
        </w:rPr>
        <w:t>,</w:t>
      </w:r>
      <w:r w:rsidRPr="00AF7146">
        <w:rPr>
          <w:rFonts w:asciiTheme="minorHAnsi" w:hAnsiTheme="minorHAnsi" w:cstheme="minorHAnsi"/>
          <w:b/>
        </w:rPr>
        <w:t xml:space="preserve"> </w:t>
      </w:r>
      <w:r w:rsidRPr="00AF7146">
        <w:rPr>
          <w:rFonts w:asciiTheme="minorHAnsi" w:hAnsiTheme="minorHAnsi" w:cstheme="minorHAnsi"/>
        </w:rPr>
        <w:t xml:space="preserve">instituição </w:t>
      </w:r>
      <w:r w:rsidRPr="00FC78F8">
        <w:rPr>
          <w:rFonts w:asciiTheme="minorHAnsi" w:hAnsiTheme="minorHAnsi" w:cstheme="minorHAnsi"/>
          <w:bCs/>
          <w:lang w:eastAsia="en-US"/>
        </w:rPr>
        <w:t>financeira, com sede na Cidade de São Paulo, Estado de São Paulo, na Rua Gilberto Sabino, nº 215, 4º andar, Pinheiros, CEP 05425-020, inscrita no CNPJ/ME sob o nº 22.610.500/0001-88</w:t>
      </w:r>
      <w:r w:rsidR="009E6784" w:rsidRPr="00AF7146">
        <w:rPr>
          <w:rFonts w:asciiTheme="minorHAnsi" w:hAnsiTheme="minorHAnsi" w:cstheme="minorHAnsi"/>
        </w:rPr>
        <w:t xml:space="preserve">, neste ato representada na forma do seu </w:t>
      </w:r>
      <w:r w:rsidR="003C760C">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r w:rsidR="007A0751">
        <w:rPr>
          <w:rFonts w:asciiTheme="minorHAnsi" w:hAnsiTheme="minorHAnsi" w:cstheme="minorHAnsi"/>
        </w:rPr>
        <w:t xml:space="preserve"> </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E27D99D"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7A0743">
        <w:rPr>
          <w:rFonts w:asciiTheme="minorHAnsi" w:hAnsiTheme="minorHAnsi" w:cstheme="minorHAnsi"/>
        </w:rPr>
        <w:t>22</w:t>
      </w:r>
      <w:r w:rsidR="00BC0E12">
        <w:rPr>
          <w:rFonts w:asciiTheme="minorHAnsi" w:hAnsiTheme="minorHAnsi" w:cstheme="minorHAnsi"/>
        </w:rPr>
        <w:t xml:space="preserve"> de </w:t>
      </w:r>
      <w:r w:rsidR="007A0751">
        <w:rPr>
          <w:rFonts w:asciiTheme="minorHAnsi" w:hAnsiTheme="minorHAnsi" w:cstheme="minorHAnsi"/>
        </w:rPr>
        <w:t>dezembro</w:t>
      </w:r>
      <w:r w:rsidR="00BC0E12">
        <w:rPr>
          <w:rFonts w:asciiTheme="minorHAnsi" w:hAnsiTheme="minorHAnsi" w:cstheme="minorHAnsi"/>
        </w:rPr>
        <w:t xml:space="preserve">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7A0751">
        <w:rPr>
          <w:rFonts w:asciiTheme="minorHAnsi" w:hAnsiTheme="minorHAnsi" w:cstheme="minorHAnsi"/>
        </w:rPr>
        <w:t xml:space="preserve">até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xml:space="preserve">”, respectivamente), no valor total de </w:t>
      </w:r>
      <w:r w:rsidR="007A0751">
        <w:rPr>
          <w:rFonts w:asciiTheme="minorHAnsi" w:hAnsiTheme="minorHAnsi" w:cstheme="minorHAnsi"/>
        </w:rPr>
        <w:t xml:space="preserve">até </w:t>
      </w:r>
      <w:r w:rsidR="00BC0E12">
        <w:rPr>
          <w:rFonts w:asciiTheme="minorHAnsi" w:hAnsiTheme="minorHAnsi" w:cstheme="minorHAnsi"/>
        </w:rPr>
        <w:t>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17B8BF94"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90080">
        <w:rPr>
          <w:rFonts w:asciiTheme="minorHAnsi" w:hAnsiTheme="minorHAnsi" w:cstheme="minorHAnsi"/>
        </w:rPr>
        <w:t>22</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A0751">
        <w:rPr>
          <w:rFonts w:asciiTheme="minorHAnsi" w:hAnsiTheme="minorHAnsi" w:cstheme="minorHAnsi"/>
        </w:rPr>
        <w:t>dezembro</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74CBD87E"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w:t>
      </w:r>
      <w:r w:rsidR="00174A7D">
        <w:rPr>
          <w:rFonts w:asciiTheme="minorHAnsi" w:hAnsiTheme="minorHAnsi" w:cstheme="minorHAnsi"/>
          <w:lang w:eastAsia="pt-BR"/>
        </w:rPr>
        <w:t xml:space="preserve"> </w:t>
      </w:r>
      <w:r w:rsidRPr="00FB6BDE">
        <w:rPr>
          <w:rFonts w:asciiTheme="minorHAnsi" w:hAnsiTheme="minorHAnsi" w:cstheme="minorHAnsi"/>
          <w:lang w:eastAsia="pt-BR"/>
        </w:rPr>
        <w:t>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4880F859" w14:textId="749B953B" w:rsidR="00174A7D" w:rsidRDefault="00174A7D" w:rsidP="00B524EC">
      <w:pPr>
        <w:spacing w:line="340" w:lineRule="exact"/>
        <w:rPr>
          <w:rFonts w:asciiTheme="minorHAnsi" w:hAnsiTheme="minorHAnsi" w:cstheme="minorHAnsi"/>
        </w:rPr>
      </w:pPr>
    </w:p>
    <w:p w14:paraId="0FB8F57E" w14:textId="47CE4F8A" w:rsidR="0010141E" w:rsidRDefault="0010141E" w:rsidP="0074280D">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 xml:space="preserve">em </w:t>
      </w:r>
      <w:r w:rsidR="009B3193">
        <w:rPr>
          <w:rFonts w:asciiTheme="minorHAnsi" w:hAnsiTheme="minorHAnsi" w:cstheme="minorHAnsi"/>
        </w:rPr>
        <w:t>21</w:t>
      </w:r>
      <w:r w:rsidR="009904B4">
        <w:rPr>
          <w:rFonts w:asciiTheme="minorHAnsi" w:hAnsiTheme="minorHAnsi" w:cstheme="minorHAnsi"/>
        </w:rPr>
        <w:t xml:space="preserve"> de dezembro de 2022, a Petróleo Brasileiro S.A. – Petrobras (“</w:t>
      </w:r>
      <w:r w:rsidR="009904B4" w:rsidRPr="0074280D">
        <w:rPr>
          <w:rFonts w:asciiTheme="minorHAnsi" w:hAnsiTheme="minorHAnsi" w:cstheme="minorHAnsi"/>
          <w:b/>
          <w:bCs/>
        </w:rPr>
        <w:t>Petrobras</w:t>
      </w:r>
      <w:r w:rsidR="009904B4">
        <w:rPr>
          <w:rFonts w:asciiTheme="minorHAnsi" w:hAnsiTheme="minorHAnsi" w:cstheme="minorHAnsi"/>
        </w:rPr>
        <w:t>”), por meio d</w:t>
      </w:r>
      <w:r w:rsidR="00FF748A">
        <w:rPr>
          <w:rFonts w:asciiTheme="minorHAnsi" w:hAnsiTheme="minorHAnsi" w:cstheme="minorHAnsi"/>
        </w:rPr>
        <w:t xml:space="preserve">e seu programa Progredir, confirmou a liberação do Contrato Petrobras, conforme definido abaixo, </w:t>
      </w:r>
      <w:r w:rsidR="00A81FC7">
        <w:rPr>
          <w:rFonts w:asciiTheme="minorHAnsi" w:hAnsiTheme="minorHAnsi" w:cstheme="minorHAnsi"/>
        </w:rPr>
        <w:t xml:space="preserve">para a </w:t>
      </w:r>
      <w:r w:rsidR="0092183A">
        <w:rPr>
          <w:rFonts w:asciiTheme="minorHAnsi" w:hAnsiTheme="minorHAnsi" w:cstheme="minorHAnsi"/>
        </w:rPr>
        <w:t xml:space="preserve">vinculação dos Recebíveis Petrobras, conforme definido abaixo, </w:t>
      </w:r>
      <w:r w:rsidR="00072600">
        <w:rPr>
          <w:rFonts w:asciiTheme="minorHAnsi" w:hAnsiTheme="minorHAnsi" w:cstheme="minorHAnsi"/>
        </w:rPr>
        <w:t>ao presente Contrato</w:t>
      </w:r>
      <w:r w:rsidR="00D06B74">
        <w:rPr>
          <w:rFonts w:asciiTheme="minorHAnsi" w:hAnsiTheme="minorHAnsi" w:cstheme="minorHAnsi"/>
        </w:rPr>
        <w:t xml:space="preserve">, confirmação esta que, nos termos da Cláusula </w:t>
      </w:r>
      <w:r w:rsidR="00DF2D01">
        <w:rPr>
          <w:rFonts w:asciiTheme="minorHAnsi" w:hAnsiTheme="minorHAnsi" w:cstheme="minorHAnsi"/>
        </w:rPr>
        <w:t xml:space="preserve">5, parágrafo </w:t>
      </w:r>
      <w:r w:rsidR="00350997">
        <w:rPr>
          <w:rFonts w:asciiTheme="minorHAnsi" w:hAnsiTheme="minorHAnsi" w:cstheme="minorHAnsi"/>
        </w:rPr>
        <w:t xml:space="preserve">segundo do “Regulamento do Programa de Financiamento </w:t>
      </w:r>
      <w:r w:rsidR="006E36CB">
        <w:rPr>
          <w:rFonts w:asciiTheme="minorHAnsi" w:hAnsiTheme="minorHAnsi" w:cstheme="minorHAnsi"/>
        </w:rPr>
        <w:t>Progredir”</w:t>
      </w:r>
      <w:r w:rsidR="006E5EF0">
        <w:rPr>
          <w:rFonts w:asciiTheme="minorHAnsi" w:hAnsiTheme="minorHAnsi" w:cstheme="minorHAnsi"/>
        </w:rPr>
        <w:t xml:space="preserve"> </w:t>
      </w:r>
      <w:r w:rsidR="00DD3765">
        <w:rPr>
          <w:rFonts w:asciiTheme="minorHAnsi" w:hAnsiTheme="minorHAnsi" w:cstheme="minorHAnsi"/>
        </w:rPr>
        <w:t>(</w:t>
      </w:r>
      <w:r w:rsidR="0043317B">
        <w:rPr>
          <w:rFonts w:asciiTheme="minorHAnsi" w:hAnsiTheme="minorHAnsi" w:cstheme="minorHAnsi"/>
        </w:rPr>
        <w:t>“</w:t>
      </w:r>
      <w:r w:rsidR="0043317B" w:rsidRPr="0074280D">
        <w:rPr>
          <w:rFonts w:asciiTheme="minorHAnsi" w:hAnsiTheme="minorHAnsi" w:cstheme="minorHAnsi"/>
          <w:b/>
          <w:bCs/>
        </w:rPr>
        <w:t>Regulamento</w:t>
      </w:r>
      <w:r w:rsidR="0043317B">
        <w:rPr>
          <w:rFonts w:asciiTheme="minorHAnsi" w:hAnsiTheme="minorHAnsi" w:cstheme="minorHAnsi"/>
        </w:rPr>
        <w:t xml:space="preserve">” e </w:t>
      </w:r>
      <w:r w:rsidR="005E49B5">
        <w:rPr>
          <w:rFonts w:asciiTheme="minorHAnsi" w:hAnsiTheme="minorHAnsi" w:cstheme="minorHAnsi"/>
        </w:rPr>
        <w:t>“</w:t>
      </w:r>
      <w:r w:rsidR="005E49B5" w:rsidRPr="0074280D">
        <w:rPr>
          <w:rFonts w:asciiTheme="minorHAnsi" w:hAnsiTheme="minorHAnsi" w:cstheme="minorHAnsi"/>
          <w:b/>
          <w:bCs/>
        </w:rPr>
        <w:t>Plataforma Progredir</w:t>
      </w:r>
      <w:r w:rsidR="005E49B5">
        <w:rPr>
          <w:rFonts w:asciiTheme="minorHAnsi" w:hAnsiTheme="minorHAnsi" w:cstheme="minorHAnsi"/>
        </w:rPr>
        <w:t>”</w:t>
      </w:r>
      <w:r w:rsidR="0043317B">
        <w:rPr>
          <w:rFonts w:asciiTheme="minorHAnsi" w:hAnsiTheme="minorHAnsi" w:cstheme="minorHAnsi"/>
        </w:rPr>
        <w:t>, respect</w:t>
      </w:r>
      <w:r w:rsidR="00F11E94">
        <w:rPr>
          <w:rFonts w:asciiTheme="minorHAnsi" w:hAnsiTheme="minorHAnsi" w:cstheme="minorHAnsi"/>
        </w:rPr>
        <w:t>ivamente</w:t>
      </w:r>
      <w:r w:rsidR="00DD3765">
        <w:rPr>
          <w:rFonts w:asciiTheme="minorHAnsi" w:hAnsiTheme="minorHAnsi" w:cstheme="minorHAnsi"/>
        </w:rPr>
        <w:t>)</w:t>
      </w:r>
      <w:r w:rsidR="006E36CB">
        <w:rPr>
          <w:rFonts w:asciiTheme="minorHAnsi" w:hAnsiTheme="minorHAnsi" w:cstheme="minorHAnsi"/>
        </w:rPr>
        <w:t xml:space="preserve">, tem efeito de anuência da </w:t>
      </w:r>
      <w:r w:rsidR="006E36CB">
        <w:rPr>
          <w:rFonts w:asciiTheme="minorHAnsi" w:hAnsiTheme="minorHAnsi" w:cstheme="minorHAnsi"/>
          <w:lang w:eastAsia="pt-BR"/>
        </w:rPr>
        <w:t>Petrobras</w:t>
      </w:r>
      <w:r w:rsidR="006E36CB">
        <w:rPr>
          <w:rFonts w:asciiTheme="minorHAnsi" w:hAnsiTheme="minorHAnsi" w:cstheme="minorHAnsi"/>
        </w:rPr>
        <w:t xml:space="preserve"> em relação à </w:t>
      </w:r>
      <w:r w:rsidR="0065110B">
        <w:rPr>
          <w:rFonts w:asciiTheme="minorHAnsi" w:hAnsiTheme="minorHAnsi" w:cstheme="minorHAnsi"/>
        </w:rPr>
        <w:t>presente Cessão Fiduciária</w:t>
      </w:r>
      <w:r w:rsidR="00DD3765">
        <w:rPr>
          <w:rFonts w:asciiTheme="minorHAnsi" w:hAnsiTheme="minorHAnsi" w:cstheme="minorHAnsi"/>
        </w:rPr>
        <w:t xml:space="preserve"> (“</w:t>
      </w:r>
      <w:r w:rsidR="00DD3765" w:rsidRPr="0074280D">
        <w:rPr>
          <w:rFonts w:asciiTheme="minorHAnsi" w:hAnsiTheme="minorHAnsi" w:cstheme="minorHAnsi"/>
          <w:b/>
          <w:bCs/>
        </w:rPr>
        <w:t>Anuência Petrobras</w:t>
      </w:r>
      <w:r w:rsidR="00DD3765">
        <w:rPr>
          <w:rFonts w:asciiTheme="minorHAnsi" w:hAnsiTheme="minorHAnsi" w:cstheme="minorHAnsi"/>
        </w:rPr>
        <w:t>”)</w:t>
      </w:r>
      <w:r w:rsidR="0065110B">
        <w:rPr>
          <w:rFonts w:asciiTheme="minorHAnsi" w:hAnsiTheme="minorHAnsi" w:cstheme="minorHAnsi"/>
        </w:rPr>
        <w:t>;</w:t>
      </w:r>
      <w:r w:rsidR="00A81FC7">
        <w:rPr>
          <w:rFonts w:asciiTheme="minorHAnsi" w:hAnsiTheme="minorHAnsi" w:cstheme="minorHAnsi"/>
        </w:rPr>
        <w:t xml:space="preserve"> </w:t>
      </w:r>
    </w:p>
    <w:p w14:paraId="56B29C51" w14:textId="77777777" w:rsidR="0010141E" w:rsidRPr="00B524EC" w:rsidRDefault="0010141E" w:rsidP="00B524EC">
      <w:pPr>
        <w:spacing w:line="340" w:lineRule="exact"/>
        <w:rPr>
          <w:rFonts w:asciiTheme="minorHAnsi" w:hAnsiTheme="minorHAnsi" w:cstheme="minorHAnsi"/>
        </w:rPr>
      </w:pPr>
    </w:p>
    <w:p w14:paraId="73947F93" w14:textId="0E2F86C0"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 xml:space="preserve">as Partes </w:t>
      </w:r>
      <w:r w:rsidRPr="00D24B9F">
        <w:rPr>
          <w:rFonts w:asciiTheme="minorHAnsi" w:hAnsiTheme="minorHAnsi" w:cstheme="minorHAnsi"/>
          <w:lang w:eastAsia="pt-BR"/>
        </w:rPr>
        <w:t xml:space="preserve">celebraram com o </w:t>
      </w:r>
      <w:r w:rsidR="00893C55" w:rsidRPr="00D24B9F">
        <w:rPr>
          <w:rFonts w:asciiTheme="minorHAnsi" w:hAnsiTheme="minorHAnsi" w:cstheme="minorHAnsi"/>
          <w:lang w:eastAsia="pt-BR"/>
        </w:rPr>
        <w:t>Banco Voiter S.A</w:t>
      </w:r>
      <w:r w:rsidR="0055080C" w:rsidRPr="00D24B9F">
        <w:rPr>
          <w:rFonts w:asciiTheme="minorHAnsi" w:hAnsiTheme="minorHAnsi" w:cstheme="minorHAnsi"/>
          <w:lang w:eastAsia="pt-BR"/>
        </w:rPr>
        <w:t>.</w:t>
      </w:r>
      <w:r w:rsidR="007C643A" w:rsidRPr="00D24B9F">
        <w:rPr>
          <w:rFonts w:asciiTheme="minorHAnsi" w:hAnsiTheme="minorHAnsi" w:cstheme="minorHAnsi"/>
          <w:lang w:eastAsia="pt-BR"/>
        </w:rPr>
        <w:t>, CNPJ</w:t>
      </w:r>
      <w:r w:rsidR="00653D74" w:rsidRPr="00D24B9F">
        <w:rPr>
          <w:rFonts w:asciiTheme="minorHAnsi" w:hAnsiTheme="minorHAnsi" w:cstheme="minorHAnsi"/>
          <w:lang w:eastAsia="pt-BR"/>
        </w:rPr>
        <w:t>/ME nº</w:t>
      </w:r>
      <w:r w:rsidR="004053D1" w:rsidRPr="00D24B9F">
        <w:rPr>
          <w:rFonts w:asciiTheme="minorHAnsi" w:hAnsiTheme="minorHAnsi" w:cstheme="minorHAnsi"/>
          <w:lang w:eastAsia="pt-BR"/>
        </w:rPr>
        <w:t> </w:t>
      </w:r>
      <w:r w:rsidR="00353AF4" w:rsidRPr="00D24B9F">
        <w:rPr>
          <w:rFonts w:asciiTheme="minorHAnsi" w:hAnsiTheme="minorHAnsi" w:cstheme="minorHAnsi"/>
          <w:lang w:eastAsia="pt-BR"/>
        </w:rPr>
        <w:t>61.024.352/0001-71</w:t>
      </w:r>
      <w:r w:rsidR="00C80DF9" w:rsidRPr="00D24B9F">
        <w:rPr>
          <w:rFonts w:asciiTheme="minorHAnsi" w:hAnsiTheme="minorHAnsi" w:cstheme="minorHAnsi"/>
          <w:lang w:eastAsia="pt-BR"/>
        </w:rPr>
        <w:t xml:space="preserve"> </w:t>
      </w:r>
      <w:r w:rsidRPr="00D24B9F">
        <w:rPr>
          <w:rFonts w:asciiTheme="minorHAnsi" w:hAnsiTheme="minorHAnsi" w:cstheme="minorHAnsi"/>
          <w:lang w:eastAsia="pt-BR"/>
        </w:rPr>
        <w:t>(“</w:t>
      </w:r>
      <w:r w:rsidRPr="00D24B9F">
        <w:rPr>
          <w:rFonts w:asciiTheme="minorHAnsi" w:hAnsiTheme="minorHAnsi" w:cstheme="minorHAnsi"/>
          <w:b/>
          <w:bCs/>
          <w:lang w:eastAsia="pt-BR"/>
        </w:rPr>
        <w:t>Banco Depositário</w:t>
      </w:r>
      <w:r w:rsidRPr="00D24B9F">
        <w:rPr>
          <w:rFonts w:asciiTheme="minorHAnsi" w:hAnsiTheme="minorHAnsi" w:cstheme="minorHAnsi"/>
          <w:lang w:eastAsia="pt-BR"/>
        </w:rPr>
        <w:t xml:space="preserve">”) o </w:t>
      </w:r>
      <w:r w:rsidR="00653D74" w:rsidRPr="00D24B9F">
        <w:rPr>
          <w:rFonts w:asciiTheme="minorHAnsi" w:hAnsiTheme="minorHAnsi" w:cstheme="minorHAnsi"/>
          <w:i/>
          <w:iCs/>
          <w:lang w:eastAsia="pt-BR"/>
        </w:rPr>
        <w:t>“</w:t>
      </w:r>
      <w:r w:rsidR="008E009A" w:rsidRPr="00D24B9F">
        <w:rPr>
          <w:rFonts w:asciiTheme="minorHAnsi" w:hAnsiTheme="minorHAnsi" w:cstheme="minorHAnsi"/>
          <w:i/>
          <w:iCs/>
          <w:lang w:eastAsia="pt-BR"/>
        </w:rPr>
        <w:t>Contrato de Prestação de Serviços de Gerenciamento de Conta Escrow e Outras Avenças</w:t>
      </w:r>
      <w:r w:rsidR="00653D74" w:rsidRPr="00D24B9F">
        <w:rPr>
          <w:rFonts w:asciiTheme="minorHAnsi" w:hAnsiTheme="minorHAnsi" w:cstheme="minorHAnsi"/>
          <w:i/>
          <w:iCs/>
          <w:lang w:eastAsia="pt-BR"/>
        </w:rPr>
        <w:t>”</w:t>
      </w:r>
      <w:r w:rsidR="00653D74" w:rsidRPr="00D24B9F">
        <w:rPr>
          <w:rFonts w:asciiTheme="minorHAnsi" w:hAnsiTheme="minorHAnsi" w:cstheme="minorHAnsi"/>
          <w:lang w:eastAsia="pt-BR"/>
        </w:rPr>
        <w:t xml:space="preserve"> </w:t>
      </w:r>
      <w:r w:rsidRPr="00D24B9F">
        <w:rPr>
          <w:rFonts w:asciiTheme="minorHAnsi" w:hAnsiTheme="minorHAnsi" w:cstheme="minorHAnsi"/>
          <w:lang w:eastAsia="pt-BR"/>
        </w:rPr>
        <w:t>(“</w:t>
      </w:r>
      <w:r w:rsidRPr="00D24B9F">
        <w:rPr>
          <w:rFonts w:asciiTheme="minorHAnsi" w:hAnsiTheme="minorHAnsi" w:cstheme="minorHAnsi"/>
          <w:b/>
          <w:bCs/>
          <w:lang w:eastAsia="pt-BR"/>
        </w:rPr>
        <w:t xml:space="preserve">Contrato de </w:t>
      </w:r>
      <w:r w:rsidR="00D5417D" w:rsidRPr="00D24B9F">
        <w:rPr>
          <w:rFonts w:asciiTheme="minorHAnsi" w:hAnsiTheme="minorHAnsi" w:cstheme="minorHAnsi"/>
          <w:b/>
          <w:bCs/>
          <w:lang w:eastAsia="pt-BR"/>
        </w:rPr>
        <w:t>Depósito</w:t>
      </w:r>
      <w:r w:rsidRPr="00D24B9F">
        <w:rPr>
          <w:rFonts w:asciiTheme="minorHAnsi" w:hAnsiTheme="minorHAnsi" w:cstheme="minorHAnsi"/>
          <w:lang w:eastAsia="pt-BR"/>
        </w:rPr>
        <w:t>”), por meio do qual as Partes e o Banco Depositário acordaram, dentre outros</w:t>
      </w:r>
      <w:r w:rsidRPr="00FB6BDE">
        <w:rPr>
          <w:rFonts w:asciiTheme="minorHAnsi" w:hAnsiTheme="minorHAnsi" w:cstheme="minorHAnsi"/>
          <w:lang w:eastAsia="pt-BR"/>
        </w:rPr>
        <w:t xml:space="preserve">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xml:space="preserve">, qualquer dia no qual haja expediente nos bancos comerciais na </w:t>
      </w:r>
      <w:r w:rsidR="00E5712E" w:rsidRPr="00F57782">
        <w:rPr>
          <w:rFonts w:asciiTheme="minorHAnsi" w:hAnsiTheme="minorHAnsi" w:cstheme="minorHAnsi"/>
          <w:szCs w:val="24"/>
          <w:lang w:val="pt-BR"/>
        </w:rPr>
        <w:lastRenderedPageBreak/>
        <w:t>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448FC4E4"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F748A">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lastRenderedPageBreak/>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1438E1B4"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apresentar o presente Contrato para registro ou eventuais aditamentos para averbação no</w:t>
      </w:r>
      <w:r w:rsidR="00200F60">
        <w:rPr>
          <w:rFonts w:asciiTheme="minorHAnsi" w:hAnsiTheme="minorHAnsi" w:cstheme="minorHAnsi"/>
        </w:rPr>
        <w:t>s</w:t>
      </w:r>
      <w:r w:rsidRPr="00FC0818">
        <w:rPr>
          <w:rFonts w:asciiTheme="minorHAnsi" w:hAnsiTheme="minorHAnsi" w:cstheme="minorHAnsi"/>
        </w:rPr>
        <w:t xml:space="preserve"> </w:t>
      </w:r>
      <w:r>
        <w:rPr>
          <w:rFonts w:asciiTheme="minorHAnsi" w:hAnsiTheme="minorHAnsi" w:cstheme="minorHAnsi"/>
        </w:rPr>
        <w:t>C</w:t>
      </w:r>
      <w:r w:rsidRPr="00FC0818">
        <w:rPr>
          <w:rFonts w:asciiTheme="minorHAnsi" w:hAnsiTheme="minorHAnsi" w:cstheme="minorHAnsi"/>
        </w:rPr>
        <w:t>artório</w:t>
      </w:r>
      <w:r w:rsidR="00200F60">
        <w:rPr>
          <w:rFonts w:asciiTheme="minorHAnsi" w:hAnsiTheme="minorHAnsi" w:cstheme="minorHAnsi"/>
        </w:rPr>
        <w:t>s</w:t>
      </w:r>
      <w:r w:rsidRPr="00FC0818">
        <w:rPr>
          <w:rFonts w:asciiTheme="minorHAnsi" w:hAnsiTheme="minorHAnsi" w:cstheme="minorHAnsi"/>
        </w:rPr>
        <w:t xml:space="preserve">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sidR="00200F60">
        <w:rPr>
          <w:rFonts w:asciiTheme="minorHAnsi" w:hAnsiTheme="minorHAnsi" w:cstheme="minorHAnsi"/>
        </w:rPr>
        <w:t xml:space="preserve"> e da Cidade de São Paulo, Estado de São Paulo</w:t>
      </w:r>
      <w:r>
        <w:rPr>
          <w:rFonts w:asciiTheme="minorHAnsi" w:hAnsiTheme="minorHAnsi" w:cstheme="minorHAnsi"/>
        </w:rPr>
        <w:t xml:space="preserve"> (“</w:t>
      </w:r>
      <w:r w:rsidRPr="00FB6BDE">
        <w:rPr>
          <w:rFonts w:asciiTheme="minorHAnsi" w:hAnsiTheme="minorHAnsi" w:cstheme="minorHAnsi"/>
          <w:b/>
          <w:bCs/>
        </w:rPr>
        <w:t>Cartório</w:t>
      </w:r>
      <w:r w:rsidR="00200F60">
        <w:rPr>
          <w:rFonts w:asciiTheme="minorHAnsi" w:hAnsiTheme="minorHAnsi" w:cstheme="minorHAnsi"/>
          <w:b/>
          <w:bCs/>
        </w:rPr>
        <w:t>s</w:t>
      </w:r>
      <w:r w:rsidRPr="00FB6BDE">
        <w:rPr>
          <w:rFonts w:asciiTheme="minorHAnsi" w:hAnsiTheme="minorHAnsi" w:cstheme="minorHAnsi"/>
          <w:b/>
          <w:bCs/>
        </w:rPr>
        <w:t xml:space="preserve">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A348378" w14:textId="27E9A681" w:rsidR="00DD3765" w:rsidRPr="0074280D"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w:t>
      </w:r>
      <w:r w:rsidR="00200F60">
        <w:rPr>
          <w:rFonts w:asciiTheme="minorHAnsi" w:hAnsiTheme="minorHAnsi" w:cstheme="minorHAnsi"/>
        </w:rPr>
        <w:t>os</w:t>
      </w:r>
      <w:r w:rsidRPr="00FC0818">
        <w:rPr>
          <w:rFonts w:asciiTheme="minorHAnsi" w:hAnsiTheme="minorHAnsi" w:cstheme="minorHAnsi"/>
        </w:rPr>
        <w:t xml:space="preserve"> ou averbad</w:t>
      </w:r>
      <w:r w:rsidR="00200F60">
        <w:rPr>
          <w:rFonts w:asciiTheme="minorHAnsi" w:hAnsiTheme="minorHAnsi" w:cstheme="minorHAnsi"/>
        </w:rPr>
        <w:t>os</w:t>
      </w:r>
      <w:r w:rsidRPr="00FC0818">
        <w:rPr>
          <w:rFonts w:asciiTheme="minorHAnsi" w:hAnsiTheme="minorHAnsi" w:cstheme="minorHAnsi"/>
        </w:rPr>
        <w:t xml:space="preserve"> no</w:t>
      </w:r>
      <w:r w:rsidR="00200F60">
        <w:rPr>
          <w:rFonts w:asciiTheme="minorHAnsi" w:hAnsiTheme="minorHAnsi" w:cstheme="minorHAnsi"/>
        </w:rPr>
        <w:t>s</w:t>
      </w:r>
      <w:r w:rsidRPr="00FC0818">
        <w:rPr>
          <w:rFonts w:asciiTheme="minorHAnsi" w:hAnsiTheme="minorHAnsi" w:cstheme="minorHAnsi"/>
        </w:rPr>
        <w:t xml:space="preserve"> referido</w:t>
      </w:r>
      <w:r w:rsidR="00200F60">
        <w:rPr>
          <w:rFonts w:asciiTheme="minorHAnsi" w:hAnsiTheme="minorHAnsi" w:cstheme="minorHAnsi"/>
        </w:rPr>
        <w:t>s</w:t>
      </w:r>
      <w:r w:rsidRPr="00FC0818">
        <w:rPr>
          <w:rFonts w:asciiTheme="minorHAnsi" w:hAnsiTheme="minorHAnsi" w:cstheme="minorHAnsi"/>
        </w:rPr>
        <w:t xml:space="preserve"> Cartório</w:t>
      </w:r>
      <w:r w:rsidR="00200F60">
        <w:rPr>
          <w:rFonts w:asciiTheme="minorHAnsi" w:hAnsiTheme="minorHAnsi" w:cstheme="minorHAnsi"/>
        </w:rPr>
        <w:t>s</w:t>
      </w:r>
      <w:r w:rsidRPr="00FC0818">
        <w:rPr>
          <w:rFonts w:asciiTheme="minorHAnsi" w:hAnsiTheme="minorHAnsi" w:cstheme="minorHAnsi"/>
        </w:rPr>
        <w:t xml:space="preserve"> de RTD. A</w:t>
      </w:r>
      <w:r>
        <w:rPr>
          <w:rFonts w:asciiTheme="minorHAnsi" w:hAnsiTheme="minorHAnsi" w:cstheme="minorHAnsi"/>
        </w:rPr>
        <w:t xml:space="preserve"> Cedente </w:t>
      </w:r>
      <w:r w:rsidRPr="00FC0818">
        <w:rPr>
          <w:rFonts w:asciiTheme="minorHAnsi" w:hAnsiTheme="minorHAnsi" w:cstheme="minorHAnsi"/>
        </w:rPr>
        <w:t xml:space="preserve">se compromete ainda a, tempestivamente, </w:t>
      </w:r>
      <w:r w:rsidRPr="00FC0818">
        <w:rPr>
          <w:rFonts w:asciiTheme="minorHAnsi" w:hAnsiTheme="minorHAnsi" w:cstheme="minorHAnsi"/>
        </w:rPr>
        <w:lastRenderedPageBreak/>
        <w:t>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w:t>
      </w:r>
      <w:r w:rsidR="00200F60">
        <w:rPr>
          <w:rFonts w:asciiTheme="minorHAnsi" w:hAnsiTheme="minorHAnsi" w:cstheme="minorHAnsi"/>
        </w:rPr>
        <w:t>s</w:t>
      </w:r>
      <w:r w:rsidRPr="00FC0818">
        <w:rPr>
          <w:rFonts w:asciiTheme="minorHAnsi" w:hAnsiTheme="minorHAnsi" w:cstheme="minorHAnsi"/>
        </w:rPr>
        <w:t xml:space="preserve"> Cartório</w:t>
      </w:r>
      <w:r w:rsidR="00200F60">
        <w:rPr>
          <w:rFonts w:asciiTheme="minorHAnsi" w:hAnsiTheme="minorHAnsi" w:cstheme="minorHAnsi"/>
        </w:rPr>
        <w:t>s</w:t>
      </w:r>
      <w:r w:rsidRPr="00FC0818">
        <w:rPr>
          <w:rFonts w:asciiTheme="minorHAnsi" w:hAnsiTheme="minorHAnsi" w:cstheme="minorHAnsi"/>
        </w:rPr>
        <w:t xml:space="preserve"> de RTD para o efetivo registro e/ou averbação aqui previstos</w:t>
      </w:r>
      <w:r w:rsidR="00DD3765">
        <w:rPr>
          <w:rFonts w:asciiTheme="minorHAnsi" w:hAnsiTheme="minorHAnsi" w:cstheme="minorHAnsi"/>
        </w:rPr>
        <w:t>;</w:t>
      </w:r>
      <w:r w:rsidR="00462DAE">
        <w:rPr>
          <w:rFonts w:asciiTheme="minorHAnsi" w:hAnsiTheme="minorHAnsi" w:cstheme="minorHAnsi"/>
        </w:rPr>
        <w:t xml:space="preserve"> e</w:t>
      </w:r>
    </w:p>
    <w:p w14:paraId="0BA4744E" w14:textId="77777777" w:rsidR="00DD3765" w:rsidRPr="0074280D" w:rsidRDefault="00DD3765" w:rsidP="0074280D">
      <w:pPr>
        <w:pStyle w:val="PargrafodaLista"/>
        <w:rPr>
          <w:rFonts w:asciiTheme="minorHAnsi" w:hAnsiTheme="minorHAnsi" w:cstheme="minorHAnsi"/>
        </w:rPr>
      </w:pPr>
    </w:p>
    <w:p w14:paraId="3E3F798D" w14:textId="49A57668" w:rsidR="00892908" w:rsidRPr="00B524EC" w:rsidRDefault="00462DAE"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Pr>
          <w:rFonts w:asciiTheme="minorHAnsi" w:hAnsiTheme="minorHAnsi" w:cstheme="minorHAnsi"/>
          <w:color w:val="000000"/>
        </w:rPr>
        <w:t>1</w:t>
      </w:r>
      <w:r w:rsidRPr="00FC0818">
        <w:rPr>
          <w:rFonts w:asciiTheme="minorHAnsi" w:hAnsiTheme="minorHAnsi" w:cstheme="minorHAnsi"/>
          <w:color w:val="000000"/>
        </w:rPr>
        <w:t xml:space="preserve"> (</w:t>
      </w:r>
      <w:r>
        <w:rPr>
          <w:rFonts w:asciiTheme="minorHAnsi" w:hAnsiTheme="minorHAnsi" w:cstheme="minorHAnsi"/>
          <w:color w:val="000000"/>
        </w:rPr>
        <w:t>um</w:t>
      </w:r>
      <w:r w:rsidRPr="00FC0818">
        <w:rPr>
          <w:rFonts w:asciiTheme="minorHAnsi" w:hAnsiTheme="minorHAnsi" w:cstheme="minorHAnsi"/>
          <w:color w:val="000000"/>
        </w:rPr>
        <w:t>) Dia Út</w:t>
      </w:r>
      <w:r>
        <w:rPr>
          <w:rFonts w:asciiTheme="minorHAnsi" w:hAnsiTheme="minorHAnsi" w:cstheme="minorHAnsi"/>
          <w:color w:val="000000"/>
        </w:rPr>
        <w:t>il</w:t>
      </w:r>
      <w:r w:rsidRPr="00FC0818">
        <w:rPr>
          <w:rFonts w:asciiTheme="minorHAnsi" w:hAnsiTheme="minorHAnsi" w:cstheme="minorHAnsi"/>
          <w:color w:val="000000"/>
        </w:rPr>
        <w:t xml:space="preserve"> </w:t>
      </w:r>
      <w:r w:rsidRPr="00FC0818">
        <w:rPr>
          <w:rFonts w:asciiTheme="minorHAnsi" w:hAnsiTheme="minorHAnsi" w:cstheme="minorHAnsi"/>
        </w:rPr>
        <w:t>contado da data de assinatura do presente Contrato</w:t>
      </w:r>
      <w:r>
        <w:rPr>
          <w:rFonts w:asciiTheme="minorHAnsi" w:hAnsiTheme="minorHAnsi" w:cstheme="minorHAnsi"/>
        </w:rPr>
        <w:t>,</w:t>
      </w:r>
      <w:r w:rsidRPr="00FC0818">
        <w:rPr>
          <w:rFonts w:asciiTheme="minorHAnsi" w:hAnsiTheme="minorHAnsi" w:cstheme="minorHAnsi"/>
        </w:rPr>
        <w:t xml:space="preserve"> ou</w:t>
      </w:r>
      <w:r>
        <w:rPr>
          <w:rFonts w:asciiTheme="minorHAnsi" w:hAnsiTheme="minorHAnsi" w:cstheme="minorHAnsi"/>
        </w:rPr>
        <w:t xml:space="preserve"> de</w:t>
      </w:r>
      <w:r w:rsidR="0049599A">
        <w:rPr>
          <w:rFonts w:asciiTheme="minorHAnsi" w:hAnsiTheme="minorHAnsi" w:cstheme="minorHAnsi"/>
        </w:rPr>
        <w:t xml:space="preserve"> assinatura</w:t>
      </w:r>
      <w:r w:rsidRPr="00FC0818">
        <w:rPr>
          <w:rFonts w:asciiTheme="minorHAnsi" w:hAnsiTheme="minorHAnsi" w:cstheme="minorHAnsi"/>
        </w:rPr>
        <w:t xml:space="preserve"> eventua</w:t>
      </w:r>
      <w:r>
        <w:rPr>
          <w:rFonts w:asciiTheme="minorHAnsi" w:hAnsiTheme="minorHAnsi" w:cstheme="minorHAnsi"/>
        </w:rPr>
        <w:t>l</w:t>
      </w:r>
      <w:r w:rsidRPr="00FC0818">
        <w:rPr>
          <w:rFonts w:asciiTheme="minorHAnsi" w:hAnsiTheme="minorHAnsi" w:cstheme="minorHAnsi"/>
        </w:rPr>
        <w:t xml:space="preserve"> </w:t>
      </w:r>
      <w:r w:rsidRPr="00B524EC">
        <w:rPr>
          <w:rFonts w:asciiTheme="minorHAnsi" w:hAnsiTheme="minorHAnsi" w:cstheme="minorHAnsi"/>
          <w:color w:val="000000"/>
        </w:rPr>
        <w:t>aditamento</w:t>
      </w:r>
      <w:r>
        <w:rPr>
          <w:rFonts w:asciiTheme="minorHAnsi" w:hAnsiTheme="minorHAnsi" w:cstheme="minorHAnsi"/>
          <w:color w:val="000000"/>
        </w:rPr>
        <w:t xml:space="preserve"> que altere a Conta Vinculada,</w:t>
      </w:r>
      <w:r>
        <w:rPr>
          <w:rFonts w:asciiTheme="minorHAnsi" w:hAnsiTheme="minorHAnsi" w:cstheme="minorHAnsi"/>
        </w:rPr>
        <w:t xml:space="preserve"> </w:t>
      </w:r>
      <w:r w:rsidR="00AE7D2F">
        <w:rPr>
          <w:rFonts w:asciiTheme="minorHAnsi" w:hAnsiTheme="minorHAnsi" w:cstheme="minorHAnsi"/>
        </w:rPr>
        <w:t>indicar à Petrobras</w:t>
      </w:r>
      <w:r w:rsidR="00AC1915" w:rsidRPr="00AC1915">
        <w:rPr>
          <w:rFonts w:asciiTheme="minorHAnsi" w:hAnsiTheme="minorHAnsi" w:cstheme="minorHAnsi"/>
        </w:rPr>
        <w:t xml:space="preserve"> </w:t>
      </w:r>
      <w:r w:rsidR="00AC1915">
        <w:rPr>
          <w:rFonts w:asciiTheme="minorHAnsi" w:hAnsiTheme="minorHAnsi" w:cstheme="minorHAnsi"/>
        </w:rPr>
        <w:t>os dados da Conta Vinculada</w:t>
      </w:r>
      <w:r w:rsidR="00AE7D2F">
        <w:rPr>
          <w:rFonts w:asciiTheme="minorHAnsi" w:hAnsiTheme="minorHAnsi" w:cstheme="minorHAnsi"/>
        </w:rPr>
        <w:t xml:space="preserve">, por meio da Plataforma Progredir, </w:t>
      </w:r>
      <w:r w:rsidR="006F2B5E">
        <w:rPr>
          <w:rFonts w:asciiTheme="minorHAnsi" w:hAnsiTheme="minorHAnsi" w:cstheme="minorHAnsi"/>
        </w:rPr>
        <w:t xml:space="preserve">na forma estabelecida </w:t>
      </w:r>
      <w:r w:rsidR="0043317B">
        <w:rPr>
          <w:rFonts w:asciiTheme="minorHAnsi" w:hAnsiTheme="minorHAnsi" w:cstheme="minorHAnsi"/>
        </w:rPr>
        <w:t>na Cláusula 6.2 do Regulamento</w:t>
      </w:r>
      <w:r>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36350D65"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5FCF52C8"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rPr>
      </w:r>
      <w:r w:rsidR="00E04323">
        <w:rPr>
          <w:rFonts w:asciiTheme="minorHAnsi" w:hAnsiTheme="minorHAnsi" w:cstheme="minorHAnsi"/>
        </w:rPr>
        <w:fldChar w:fldCharType="separate"/>
      </w:r>
      <w:r w:rsidR="001D62C8">
        <w:rPr>
          <w:rFonts w:asciiTheme="minorHAnsi" w:hAnsiTheme="minorHAnsi" w:cstheme="minorHAnsi"/>
          <w:lang w:val="pt-BR"/>
        </w:rPr>
        <w:t>3.2</w:t>
      </w:r>
      <w:r w:rsidR="00E04323">
        <w:rPr>
          <w:rFonts w:asciiTheme="minorHAnsi" w:hAnsiTheme="minorHAnsi" w:cstheme="minorHAnsi"/>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rPr>
      </w:r>
      <w:r w:rsidR="00D5417D">
        <w:rPr>
          <w:rFonts w:asciiTheme="minorHAnsi" w:hAnsiTheme="minorHAnsi" w:cstheme="minorHAnsi"/>
        </w:rPr>
        <w:fldChar w:fldCharType="separate"/>
      </w:r>
      <w:r w:rsidR="001D62C8">
        <w:rPr>
          <w:rFonts w:asciiTheme="minorHAnsi" w:hAnsiTheme="minorHAnsi" w:cstheme="minorHAnsi"/>
          <w:lang w:val="pt-BR"/>
        </w:rPr>
        <w:t>8.1</w:t>
      </w:r>
      <w:r w:rsidR="00D5417D">
        <w:rPr>
          <w:rFonts w:asciiTheme="minorHAnsi" w:hAnsiTheme="minorHAnsi" w:cstheme="minorHAnsi"/>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204A5C9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lastRenderedPageBreak/>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lastRenderedPageBreak/>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6A136F6B"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w:t>
      </w:r>
      <w:r w:rsidR="00D30BCB">
        <w:rPr>
          <w:rFonts w:asciiTheme="minorHAnsi" w:hAnsiTheme="minorHAnsi" w:cstheme="minorHAnsi"/>
          <w:szCs w:val="24"/>
          <w:lang w:val="pt-BR"/>
        </w:rPr>
        <w:t>5</w:t>
      </w:r>
      <w:r w:rsidRPr="00FB6BDE">
        <w:rPr>
          <w:rFonts w:asciiTheme="minorHAnsi" w:hAnsiTheme="minorHAnsi" w:cstheme="minorHAnsi"/>
          <w:szCs w:val="24"/>
        </w:rPr>
        <w:t xml:space="preserve"> (</w:t>
      </w:r>
      <w:r w:rsidR="00D30BCB">
        <w:rPr>
          <w:rFonts w:asciiTheme="minorHAnsi" w:hAnsiTheme="minorHAnsi" w:cstheme="minorHAnsi"/>
          <w:szCs w:val="24"/>
          <w:lang w:val="pt-BR"/>
        </w:rPr>
        <w:t>cinco</w:t>
      </w:r>
      <w:r w:rsidRPr="00FB6BDE">
        <w:rPr>
          <w:rFonts w:asciiTheme="minorHAnsi" w:hAnsiTheme="minorHAnsi" w:cstheme="minorHAnsi"/>
          <w:szCs w:val="24"/>
        </w:rPr>
        <w:t>)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2B9C172C"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27FB70AF"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 xml:space="preserve">de nº </w:t>
      </w:r>
      <w:r w:rsidR="00E37CDF">
        <w:rPr>
          <w:rFonts w:asciiTheme="minorHAnsi" w:hAnsiTheme="minorHAnsi" w:cstheme="minorHAnsi"/>
          <w:color w:val="000000" w:themeColor="text1"/>
        </w:rPr>
        <w:t>1076-7</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 xml:space="preserve">na agência </w:t>
      </w:r>
      <w:r w:rsidR="00E37CDF">
        <w:rPr>
          <w:rFonts w:asciiTheme="minorHAnsi" w:hAnsiTheme="minorHAnsi" w:cstheme="minorHAnsi"/>
          <w:color w:val="000000" w:themeColor="text1"/>
        </w:rPr>
        <w:t>0911</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4AF0F0B7"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lastRenderedPageBreak/>
        <w:t>segundo</w:t>
      </w:r>
      <w:r>
        <w:rPr>
          <w:rFonts w:asciiTheme="minorHAnsi" w:hAnsiTheme="minorHAnsi" w:cstheme="minorHAnsi"/>
          <w:lang w:eastAsia="x-none"/>
        </w:rPr>
        <w:t>, para o pagamento da Amortização Extraordinária Obrigatória</w:t>
      </w:r>
      <w:r w:rsidR="00AA16D8">
        <w:rPr>
          <w:rFonts w:asciiTheme="minorHAnsi" w:hAnsiTheme="minorHAnsi" w:cstheme="minorHAnsi"/>
          <w:lang w:eastAsia="x-none"/>
        </w:rPr>
        <w:t xml:space="preserve">, conforme as datas </w:t>
      </w:r>
      <w:r w:rsidR="00851DEF">
        <w:rPr>
          <w:rFonts w:asciiTheme="minorHAnsi" w:hAnsiTheme="minorHAnsi" w:cstheme="minorHAnsi"/>
          <w:lang w:eastAsia="x-none"/>
        </w:rPr>
        <w:t>previstas n</w:t>
      </w:r>
      <w:r w:rsidR="00917A16">
        <w:rPr>
          <w:rFonts w:asciiTheme="minorHAnsi" w:hAnsiTheme="minorHAnsi" w:cstheme="minorHAnsi"/>
          <w:lang w:eastAsia="x-none"/>
        </w:rPr>
        <w:t xml:space="preserve">o Anexo </w:t>
      </w:r>
      <w:r w:rsidR="00851DEF">
        <w:rPr>
          <w:rFonts w:asciiTheme="minorHAnsi" w:hAnsiTheme="minorHAnsi" w:cstheme="minorHAnsi"/>
          <w:lang w:eastAsia="x-none"/>
        </w:rPr>
        <w:t>IV</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74280D">
        <w:rPr>
          <w:rFonts w:asciiTheme="minorHAnsi" w:hAnsiTheme="minorHAnsi" w:cstheme="minorHAnsi"/>
          <w:color w:val="000000" w:themeColor="text1"/>
        </w:rPr>
        <w:t>25% (vinte e cinco por cento)</w:t>
      </w:r>
      <w:r w:rsidR="00F572F8" w:rsidRPr="00851DEF">
        <w:rPr>
          <w:rFonts w:asciiTheme="minorHAnsi" w:hAnsiTheme="minorHAnsi" w:cstheme="minorHAnsi"/>
          <w:color w:val="000000" w:themeColor="text1"/>
        </w:rPr>
        <w:t xml:space="preserve"> do</w:t>
      </w:r>
      <w:r w:rsidR="00F572F8">
        <w:rPr>
          <w:rFonts w:asciiTheme="minorHAnsi" w:hAnsiTheme="minorHAnsi" w:cstheme="minorHAnsi"/>
          <w:color w:val="000000" w:themeColor="text1"/>
        </w:rPr>
        <w:t xml:space="preserve">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w:t>
      </w:r>
      <w:r w:rsidR="001D339F" w:rsidRPr="00A20AE7">
        <w:rPr>
          <w:rFonts w:asciiTheme="minorHAnsi" w:hAnsiTheme="minorHAnsi" w:cstheme="minorHAnsi"/>
          <w:color w:val="000000" w:themeColor="text1"/>
        </w:rPr>
        <w:t xml:space="preserve">a </w:t>
      </w:r>
      <w:r w:rsidR="001D339F" w:rsidRPr="0074280D">
        <w:rPr>
          <w:rFonts w:asciiTheme="minorHAnsi" w:hAnsiTheme="minorHAnsi" w:cstheme="minorHAnsi"/>
          <w:color w:val="000000" w:themeColor="text1"/>
        </w:rPr>
        <w:t>R$ 200.000,00 (duzentos mil reais)</w:t>
      </w:r>
      <w:r w:rsidR="001D339F">
        <w:rPr>
          <w:rFonts w:asciiTheme="minorHAnsi" w:hAnsiTheme="minorHAnsi" w:cstheme="minorHAnsi"/>
          <w:color w:val="000000" w:themeColor="text1"/>
        </w:rPr>
        <w:t xml:space="preserve">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na próxima Data de Pagamento da Remuneração, observados os procedimentos operacionais previstos na Escritura de Emissão</w:t>
      </w:r>
      <w:r w:rsidR="007972CD">
        <w:rPr>
          <w:rFonts w:asciiTheme="minorHAnsi" w:hAnsiTheme="minorHAnsi" w:cstheme="minorHAnsi"/>
          <w:color w:val="000000" w:themeColor="text1"/>
        </w:rPr>
        <w:t>.</w:t>
      </w:r>
      <w:r w:rsidR="001D339F">
        <w:rPr>
          <w:rFonts w:asciiTheme="minorHAnsi" w:hAnsiTheme="minorHAnsi" w:cstheme="minorHAnsi"/>
          <w:color w:val="000000" w:themeColor="text1"/>
        </w:rPr>
        <w:t xml:space="preserve"> </w:t>
      </w:r>
      <w:r w:rsidR="007972CD">
        <w:rPr>
          <w:rFonts w:asciiTheme="minorHAnsi" w:hAnsiTheme="minorHAnsi" w:cstheme="minorHAnsi"/>
          <w:color w:val="000000" w:themeColor="text1"/>
        </w:rPr>
        <w:t>C</w:t>
      </w:r>
      <w:r w:rsidR="001D339F">
        <w:rPr>
          <w:rFonts w:asciiTheme="minorHAnsi" w:hAnsiTheme="minorHAnsi" w:cstheme="minorHAnsi"/>
          <w:color w:val="000000" w:themeColor="text1"/>
        </w:rPr>
        <w:t xml:space="preserve">aso o resultado seja </w:t>
      </w:r>
      <w:r w:rsidR="007972CD">
        <w:rPr>
          <w:rFonts w:asciiTheme="minorHAnsi" w:hAnsiTheme="minorHAnsi" w:cstheme="minorHAnsi"/>
          <w:color w:val="000000" w:themeColor="text1"/>
        </w:rPr>
        <w:t>positivo</w:t>
      </w:r>
      <w:r w:rsidR="001F1517">
        <w:rPr>
          <w:rFonts w:asciiTheme="minorHAnsi" w:hAnsiTheme="minorHAnsi" w:cstheme="minorHAnsi"/>
          <w:color w:val="000000" w:themeColor="text1"/>
        </w:rPr>
        <w:t>, porém</w:t>
      </w:r>
      <w:r w:rsidR="007972CD">
        <w:rPr>
          <w:rFonts w:asciiTheme="minorHAnsi" w:hAnsiTheme="minorHAnsi" w:cstheme="minorHAnsi"/>
          <w:color w:val="000000" w:themeColor="text1"/>
        </w:rPr>
        <w:t xml:space="preserve"> </w:t>
      </w:r>
      <w:r w:rsidR="001D339F">
        <w:rPr>
          <w:rFonts w:asciiTheme="minorHAnsi" w:hAnsiTheme="minorHAnsi" w:cstheme="minorHAnsi"/>
          <w:color w:val="000000" w:themeColor="text1"/>
        </w:rPr>
        <w:t>inferior ao Excesso de Caixa, o valor apurado,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ED0482">
        <w:rPr>
          <w:rFonts w:asciiTheme="minorHAnsi" w:hAnsiTheme="minorHAnsi" w:cstheme="minorHAnsi"/>
          <w:color w:val="000000" w:themeColor="text1"/>
        </w:rPr>
        <w:t xml:space="preserve">. Caso o resultado </w:t>
      </w:r>
      <w:r w:rsidR="001C227B">
        <w:rPr>
          <w:rFonts w:asciiTheme="minorHAnsi" w:hAnsiTheme="minorHAnsi" w:cstheme="minorHAnsi"/>
          <w:color w:val="000000" w:themeColor="text1"/>
        </w:rPr>
        <w:t>se</w:t>
      </w:r>
      <w:r w:rsidR="00ED0482">
        <w:rPr>
          <w:rFonts w:asciiTheme="minorHAnsi" w:hAnsiTheme="minorHAnsi" w:cstheme="minorHAnsi"/>
          <w:color w:val="000000" w:themeColor="text1"/>
        </w:rPr>
        <w:t>ja</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r w:rsidR="007E2DB4">
        <w:rPr>
          <w:rFonts w:asciiTheme="minorHAnsi" w:hAnsiTheme="minorHAnsi" w:cstheme="minorHAnsi"/>
          <w:lang w:eastAsia="x-none"/>
        </w:rPr>
        <w:t xml:space="preserve"> </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25DB4E27"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em causa </w:t>
      </w:r>
      <w:r w:rsidR="006B1B44" w:rsidRPr="00AE7750">
        <w:rPr>
          <w:rFonts w:asciiTheme="minorHAnsi" w:eastAsia="SimSun" w:hAnsiTheme="minorHAnsi" w:cstheme="minorHAnsi"/>
          <w:szCs w:val="24"/>
          <w:lang w:val="pt-BR"/>
        </w:rPr>
        <w:lastRenderedPageBreak/>
        <w:t>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xml:space="preserve">, a </w:t>
      </w:r>
      <w:r w:rsidRPr="00B524EC">
        <w:rPr>
          <w:rFonts w:asciiTheme="minorHAnsi" w:eastAsia="SimSun" w:hAnsiTheme="minorHAnsi" w:cstheme="minorHAnsi"/>
          <w:szCs w:val="24"/>
          <w:lang w:val="pt-BR"/>
        </w:rPr>
        <w:lastRenderedPageBreak/>
        <w:t>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lastRenderedPageBreak/>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A58A686"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w:t>
      </w:r>
      <w:r>
        <w:rPr>
          <w:rFonts w:asciiTheme="minorHAnsi" w:hAnsiTheme="minorHAnsi" w:cstheme="minorHAnsi"/>
          <w:color w:val="000000"/>
        </w:rPr>
        <w:t>;</w:t>
      </w:r>
    </w:p>
    <w:p w14:paraId="09EB0ABD" w14:textId="3A84517E" w:rsidR="000265C3" w:rsidRDefault="000265C3" w:rsidP="00715C7C">
      <w:pPr>
        <w:rPr>
          <w:rFonts w:asciiTheme="minorHAnsi" w:hAnsiTheme="minorHAnsi" w:cstheme="minorHAnsi"/>
          <w:color w:val="000000"/>
        </w:rPr>
      </w:pPr>
    </w:p>
    <w:p w14:paraId="01371BA7" w14:textId="7BE86080" w:rsidR="006143EA" w:rsidRDefault="009C3174" w:rsidP="0074280D">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rPr>
        <w:t xml:space="preserve">manter-se, durante toda a </w:t>
      </w:r>
      <w:r w:rsidRPr="004444D9">
        <w:rPr>
          <w:rFonts w:asciiTheme="minorHAnsi" w:hAnsiTheme="minorHAnsi" w:cstheme="minorHAnsi"/>
          <w:color w:val="000000"/>
          <w:szCs w:val="24"/>
          <w:lang w:val="pt-BR"/>
        </w:rPr>
        <w:t>vigência</w:t>
      </w:r>
      <w:r>
        <w:rPr>
          <w:rFonts w:asciiTheme="minorHAnsi" w:hAnsiTheme="minorHAnsi" w:cstheme="minorHAnsi"/>
          <w:color w:val="000000"/>
        </w:rPr>
        <w:t xml:space="preserve"> deste Contrato, habilitada junto à Plataforma Progredir</w:t>
      </w:r>
      <w:r w:rsidR="004444D9">
        <w:rPr>
          <w:rFonts w:asciiTheme="minorHAnsi" w:hAnsiTheme="minorHAnsi" w:cstheme="minorHAnsi"/>
          <w:color w:val="000000"/>
        </w:rPr>
        <w:t xml:space="preserve"> e em conformidade com suas obrigações perante a Petrobras no âmbito do Regulamento;</w:t>
      </w:r>
    </w:p>
    <w:p w14:paraId="5D4B8287" w14:textId="77777777" w:rsidR="006143EA" w:rsidRPr="001E3E39" w:rsidRDefault="006143EA"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w:t>
      </w:r>
      <w:r w:rsidRPr="001140FF">
        <w:rPr>
          <w:rFonts w:asciiTheme="minorHAnsi" w:hAnsiTheme="minorHAnsi" w:cstheme="minorHAnsi"/>
          <w:color w:val="000000"/>
          <w:szCs w:val="24"/>
        </w:rPr>
        <w:lastRenderedPageBreak/>
        <w:t xml:space="preserve">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lastRenderedPageBreak/>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2A123EFA" w:rsidR="00DD4E08" w:rsidRDefault="00DD4E08" w:rsidP="00B524EC">
      <w:pPr>
        <w:tabs>
          <w:tab w:val="num" w:pos="426"/>
        </w:tabs>
        <w:spacing w:line="340" w:lineRule="exact"/>
        <w:jc w:val="both"/>
        <w:rPr>
          <w:rFonts w:asciiTheme="minorHAnsi" w:hAnsiTheme="minorHAnsi" w:cstheme="minorHAnsi"/>
          <w:color w:val="000000"/>
        </w:rPr>
      </w:pPr>
    </w:p>
    <w:p w14:paraId="1906D384" w14:textId="6D81DF10" w:rsidR="00FC74D3" w:rsidRDefault="00FC74D3" w:rsidP="0074280D">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Pr>
          <w:rFonts w:asciiTheme="minorHAnsi" w:hAnsiTheme="minorHAnsi" w:cstheme="minorHAnsi"/>
          <w:color w:val="000000"/>
        </w:rPr>
        <w:t xml:space="preserve">está habilitada junto à Plataforma Progredir e em conformidade </w:t>
      </w:r>
      <w:r w:rsidR="00594E07">
        <w:rPr>
          <w:rFonts w:asciiTheme="minorHAnsi" w:hAnsiTheme="minorHAnsi" w:cstheme="minorHAnsi"/>
          <w:color w:val="000000"/>
        </w:rPr>
        <w:t xml:space="preserve">com suas obrigações perante a </w:t>
      </w:r>
      <w:r w:rsidR="00594E07" w:rsidRPr="0074280D">
        <w:rPr>
          <w:rFonts w:asciiTheme="minorHAnsi" w:hAnsiTheme="minorHAnsi" w:cstheme="minorHAnsi"/>
        </w:rPr>
        <w:t>Petrobras</w:t>
      </w:r>
      <w:r w:rsidR="00594E07">
        <w:rPr>
          <w:rFonts w:asciiTheme="minorHAnsi" w:hAnsiTheme="minorHAnsi" w:cstheme="minorHAnsi"/>
          <w:color w:val="000000"/>
        </w:rPr>
        <w:t xml:space="preserve"> no âmbito do Regulamento;</w:t>
      </w:r>
    </w:p>
    <w:p w14:paraId="3DE51AB8" w14:textId="77777777" w:rsidR="00FC74D3" w:rsidRPr="00B524EC" w:rsidRDefault="00FC74D3"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w:t>
      </w:r>
      <w:r w:rsidRPr="008615E1">
        <w:rPr>
          <w:rFonts w:asciiTheme="minorHAnsi" w:hAnsiTheme="minorHAnsi" w:cstheme="minorHAnsi"/>
          <w:lang w:eastAsia="zh-CN"/>
        </w:rPr>
        <w:lastRenderedPageBreak/>
        <w:t xml:space="preserve">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0E221BDE"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r w:rsidR="005D151F">
        <w:rPr>
          <w:rFonts w:asciiTheme="minorHAnsi" w:hAnsiTheme="minorHAnsi" w:cstheme="minorHAnsi"/>
        </w:rPr>
        <w:t xml:space="preserve">/ </w:t>
      </w:r>
      <w:r w:rsidR="001E3FCF">
        <w:rPr>
          <w:rFonts w:asciiTheme="minorHAnsi" w:hAnsiTheme="minorHAnsi" w:cstheme="minorHAnsi"/>
        </w:rPr>
        <w:t>Helena Ramos</w:t>
      </w:r>
    </w:p>
    <w:p w14:paraId="7AA013BD" w14:textId="64003540"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r w:rsidR="001E3FCF">
        <w:rPr>
          <w:rFonts w:asciiTheme="minorHAnsi" w:hAnsiTheme="minorHAnsi" w:cstheme="minorHAnsi"/>
        </w:rPr>
        <w:t>/ (21) 3850-6564</w:t>
      </w:r>
    </w:p>
    <w:p w14:paraId="6A224014" w14:textId="75F9364C" w:rsidR="00BC2874" w:rsidRPr="00E45A8F" w:rsidRDefault="00BC2874" w:rsidP="006F363E">
      <w:pPr>
        <w:spacing w:line="320" w:lineRule="exact"/>
        <w:ind w:left="709"/>
        <w:rPr>
          <w:rFonts w:asciiTheme="minorHAnsi" w:hAnsiTheme="minorHAnsi" w:cstheme="minorHAnsi"/>
        </w:rPr>
      </w:pPr>
      <w:r w:rsidRPr="00E45A8F">
        <w:rPr>
          <w:rFonts w:asciiTheme="minorHAnsi" w:hAnsiTheme="minorHAnsi" w:cstheme="minorHAnsi"/>
        </w:rPr>
        <w:t>E-mail: carluccio@ocyan-sa.com</w:t>
      </w:r>
      <w:r w:rsidR="001E3FCF" w:rsidRPr="00E45A8F">
        <w:rPr>
          <w:rFonts w:asciiTheme="minorHAnsi" w:hAnsiTheme="minorHAnsi" w:cstheme="minorHAnsi"/>
        </w:rPr>
        <w:t xml:space="preserve">/ </w:t>
      </w:r>
      <w:r w:rsidR="006544D2" w:rsidRPr="0074280D">
        <w:t>he</w:t>
      </w:r>
      <w:r w:rsidR="006544D2" w:rsidRPr="0074280D">
        <w:rPr>
          <w:rFonts w:asciiTheme="minorHAnsi" w:hAnsiTheme="minorHAnsi" w:cstheme="minorHAnsi"/>
        </w:rPr>
        <w:t>lena</w:t>
      </w:r>
      <w:r w:rsidR="006544D2" w:rsidRPr="0074280D">
        <w:t>r@ocyan-sa.com</w:t>
      </w:r>
      <w:r w:rsidR="00E45A8F" w:rsidRPr="00E45A8F">
        <w:rPr>
          <w:rFonts w:asciiTheme="minorHAnsi" w:hAnsiTheme="minorHAnsi" w:cstheme="minorHAnsi"/>
        </w:rPr>
        <w:t xml:space="preserve"> / oog-debt</w:t>
      </w:r>
      <w:r w:rsidR="00E45A8F" w:rsidRPr="0074280D">
        <w:rPr>
          <w:rFonts w:asciiTheme="minorHAnsi" w:hAnsiTheme="minorHAnsi" w:cstheme="minorHAnsi"/>
        </w:rPr>
        <w:t>compliance@</w:t>
      </w:r>
      <w:r w:rsidR="00E45A8F">
        <w:rPr>
          <w:rFonts w:asciiTheme="minorHAnsi" w:hAnsiTheme="minorHAnsi" w:cstheme="minorHAnsi"/>
        </w:rPr>
        <w:t>ocyan-sa.com</w:t>
      </w:r>
    </w:p>
    <w:p w14:paraId="6DBF6820" w14:textId="77777777" w:rsidR="00F537BB" w:rsidRPr="00E45A8F" w:rsidRDefault="00F537BB" w:rsidP="00373BE7">
      <w:pPr>
        <w:spacing w:line="320" w:lineRule="exact"/>
        <w:ind w:left="709"/>
        <w:rPr>
          <w:rFonts w:asciiTheme="minorHAnsi" w:hAnsiTheme="minorHAnsi"/>
          <w:b/>
        </w:rPr>
      </w:pPr>
    </w:p>
    <w:p w14:paraId="6CB96067" w14:textId="230E5CDA"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93C9FDB" w14:textId="3BC4A809" w:rsidR="006544D2" w:rsidRPr="0074280D" w:rsidRDefault="006544D2" w:rsidP="0074280D">
      <w:pPr>
        <w:spacing w:line="320" w:lineRule="exact"/>
        <w:ind w:left="709"/>
        <w:rPr>
          <w:rFonts w:asciiTheme="minorHAnsi" w:hAnsiTheme="minorHAnsi" w:cstheme="minorHAnsi"/>
          <w:b/>
          <w:bCs/>
        </w:rPr>
      </w:pPr>
      <w:bookmarkStart w:id="95" w:name="_Hlk107336372"/>
      <w:r w:rsidRPr="006544D2">
        <w:rPr>
          <w:rFonts w:asciiTheme="minorHAnsi" w:hAnsiTheme="minorHAnsi" w:cstheme="minorHAnsi"/>
          <w:b/>
          <w:bCs/>
        </w:rPr>
        <w:t>VÓRTX DISTRIBUIDORA DE TÍTULOS E VALORES MOBILIÁRIOS LTDA.</w:t>
      </w:r>
    </w:p>
    <w:p w14:paraId="45CD4B7B"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Rua Gilberto Sabino, 215 - 4º Andar - Pinheiros</w:t>
      </w:r>
    </w:p>
    <w:p w14:paraId="6FD58CFD"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CEP: 05425-020, São Paulo – SP</w:t>
      </w:r>
    </w:p>
    <w:p w14:paraId="6E8EC7E9" w14:textId="762317AD"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At: Eugênia Souza/ Marcio Teixeira</w:t>
      </w:r>
    </w:p>
    <w:p w14:paraId="7698152D"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Telefone: (11) 3030-7177</w:t>
      </w:r>
    </w:p>
    <w:p w14:paraId="5B6AE171" w14:textId="5F2463FD" w:rsidR="006544D2" w:rsidRDefault="006544D2" w:rsidP="006544D2">
      <w:pPr>
        <w:spacing w:line="320" w:lineRule="exact"/>
        <w:ind w:left="709"/>
        <w:rPr>
          <w:rFonts w:asciiTheme="minorHAnsi" w:hAnsiTheme="minorHAnsi" w:cstheme="minorHAnsi"/>
        </w:rPr>
      </w:pPr>
      <w:r w:rsidRPr="00FC78F8">
        <w:rPr>
          <w:rFonts w:asciiTheme="minorHAnsi" w:hAnsiTheme="minorHAnsi" w:cstheme="minorHAnsi"/>
        </w:rPr>
        <w:t xml:space="preserve">E-mail: </w:t>
      </w:r>
      <w:hyperlink r:id="rId17" w:history="1">
        <w:r w:rsidRPr="00FC78F8">
          <w:rPr>
            <w:rFonts w:asciiTheme="minorHAnsi" w:hAnsiTheme="minorHAnsi" w:cstheme="minorHAnsi"/>
          </w:rPr>
          <w:t>agentefiduciario@vortx.com.br</w:t>
        </w:r>
      </w:hyperlink>
    </w:p>
    <w:bookmarkEnd w:id="95"/>
    <w:p w14:paraId="1E2B89EC" w14:textId="3A2EBB2D"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lastRenderedPageBreak/>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lastRenderedPageBreak/>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2DC1F10F"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sidR="001F08F1">
        <w:rPr>
          <w:rFonts w:asciiTheme="minorHAnsi" w:hAnsiTheme="minorHAnsi" w:cstheme="minorHAnsi"/>
          <w:bCs/>
          <w:color w:val="000000"/>
        </w:rPr>
        <w:t>dezembro</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0E56C48B" w:rsidR="006F0D73" w:rsidRPr="002C7B61" w:rsidRDefault="00DE7659" w:rsidP="006F0D73">
      <w:pPr>
        <w:shd w:val="clear" w:color="auto" w:fill="FFFFFF"/>
        <w:spacing w:line="340" w:lineRule="exact"/>
        <w:jc w:val="center"/>
        <w:rPr>
          <w:rFonts w:asciiTheme="minorHAnsi" w:hAnsiTheme="minorHAnsi" w:cstheme="minorHAnsi"/>
          <w:b/>
          <w:caps/>
        </w:rPr>
      </w:pPr>
      <w:r w:rsidRPr="00DE7659">
        <w:rPr>
          <w:rFonts w:asciiTheme="minorHAnsi" w:hAnsiTheme="minorHAnsi" w:cstheme="minorHAnsi"/>
          <w:b/>
        </w:rPr>
        <w:t xml:space="preserve"> </w:t>
      </w:r>
      <w:r w:rsidRPr="00FC78F8">
        <w:rPr>
          <w:rFonts w:asciiTheme="minorHAnsi" w:hAnsiTheme="minorHAnsi" w:cstheme="minorHAnsi"/>
          <w:b/>
        </w:rPr>
        <w:t>VÓRTX DISTRIBUIDORA DE TÍTULOS E VALORES MOBILIÁRIOS LTDA.</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8980" w:type="dxa"/>
        <w:tblLayout w:type="fixed"/>
        <w:tblCellMar>
          <w:left w:w="70" w:type="dxa"/>
          <w:right w:w="70" w:type="dxa"/>
        </w:tblCellMar>
        <w:tblLook w:val="0000" w:firstRow="0" w:lastRow="0" w:firstColumn="0" w:lastColumn="0" w:noHBand="0" w:noVBand="0"/>
      </w:tblPr>
      <w:tblGrid>
        <w:gridCol w:w="4490"/>
        <w:gridCol w:w="4490"/>
      </w:tblGrid>
      <w:tr w:rsidR="00DE7659" w:rsidRPr="002C7B61" w14:paraId="78A935DA" w14:textId="77777777" w:rsidTr="00DE7659">
        <w:tc>
          <w:tcPr>
            <w:tcW w:w="4490" w:type="dxa"/>
          </w:tcPr>
          <w:p w14:paraId="76D7772A"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Pr>
                <w:rFonts w:asciiTheme="minorHAnsi" w:hAnsiTheme="minorHAnsi" w:cstheme="minorHAnsi"/>
              </w:rPr>
              <w:t>_________</w:t>
            </w:r>
            <w:r w:rsidRPr="00B524EC">
              <w:rPr>
                <w:rFonts w:asciiTheme="minorHAnsi" w:hAnsiTheme="minorHAnsi" w:cstheme="minorHAnsi"/>
              </w:rPr>
              <w:t>____</w:t>
            </w:r>
          </w:p>
        </w:tc>
        <w:tc>
          <w:tcPr>
            <w:tcW w:w="4490" w:type="dxa"/>
          </w:tcPr>
          <w:p w14:paraId="43038244"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Pr>
                <w:rFonts w:asciiTheme="minorHAnsi" w:hAnsiTheme="minorHAnsi" w:cstheme="minorHAnsi"/>
              </w:rPr>
              <w:t>_________</w:t>
            </w:r>
            <w:r w:rsidRPr="00B524EC">
              <w:rPr>
                <w:rFonts w:asciiTheme="minorHAnsi" w:hAnsiTheme="minorHAnsi" w:cstheme="minorHAnsi"/>
              </w:rPr>
              <w:t>__________</w:t>
            </w:r>
          </w:p>
        </w:tc>
      </w:tr>
      <w:tr w:rsidR="00DE7659" w:rsidRPr="002C7B61" w14:paraId="5A33A43F" w14:textId="77777777" w:rsidTr="00DE7659">
        <w:tc>
          <w:tcPr>
            <w:tcW w:w="4490" w:type="dxa"/>
          </w:tcPr>
          <w:p w14:paraId="0E83F385"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721EA96"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6B318250"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56120C9"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8"/>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E1ECCC8" w14:textId="77777777" w:rsidR="00FF05AD" w:rsidRDefault="00FF05AD" w:rsidP="00FF05AD">
      <w:pPr>
        <w:pStyle w:val="PargrafodaLista"/>
        <w:numPr>
          <w:ilvl w:val="0"/>
          <w:numId w:val="85"/>
        </w:numPr>
        <w:spacing w:line="340" w:lineRule="exact"/>
        <w:ind w:hanging="720"/>
        <w:jc w:val="both"/>
        <w:rPr>
          <w:rFonts w:asciiTheme="minorHAnsi" w:hAnsiTheme="minorHAnsi" w:cstheme="minorHAnsi"/>
          <w:b/>
          <w:bCs/>
        </w:rPr>
      </w:pPr>
      <w:r w:rsidRPr="00A61C29">
        <w:rPr>
          <w:rFonts w:asciiTheme="minorHAnsi" w:hAnsiTheme="minorHAnsi" w:cstheme="minorHAnsi"/>
          <w:b/>
          <w:bCs/>
        </w:rPr>
        <w:t>Debêntures</w:t>
      </w:r>
    </w:p>
    <w:p w14:paraId="4EA2CA01" w14:textId="77777777" w:rsidR="00FF05AD" w:rsidRDefault="00FF05AD" w:rsidP="00FF05AD">
      <w:pPr>
        <w:pStyle w:val="PargrafodaLista"/>
        <w:spacing w:line="340" w:lineRule="exact"/>
        <w:jc w:val="both"/>
        <w:rPr>
          <w:rFonts w:asciiTheme="minorHAnsi" w:hAnsiTheme="minorHAnsi" w:cstheme="minorHAnsi"/>
          <w:b/>
          <w:bCs/>
        </w:rPr>
      </w:pPr>
    </w:p>
    <w:p w14:paraId="562C6ECA" w14:textId="76E45F3F"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Número da Emissão</w:t>
      </w:r>
      <w:r>
        <w:rPr>
          <w:rFonts w:asciiTheme="minorHAnsi" w:hAnsiTheme="minorHAnsi" w:cstheme="minorHAnsi"/>
        </w:rPr>
        <w:t xml:space="preserve">: A presente Emissão representa a 1ª (primeira) emissão de debêntures da </w:t>
      </w:r>
      <w:r w:rsidR="001D21AA">
        <w:rPr>
          <w:rFonts w:asciiTheme="minorHAnsi" w:hAnsiTheme="minorHAnsi" w:cstheme="minorHAnsi"/>
        </w:rPr>
        <w:t>Cedente</w:t>
      </w:r>
      <w:r>
        <w:rPr>
          <w:rFonts w:asciiTheme="minorHAnsi" w:hAnsiTheme="minorHAnsi" w:cstheme="minorHAnsi"/>
        </w:rPr>
        <w:t>.</w:t>
      </w:r>
    </w:p>
    <w:p w14:paraId="01A320D7" w14:textId="77777777" w:rsidR="00FF05AD" w:rsidRPr="00A61C29" w:rsidRDefault="00FF05AD" w:rsidP="00FF05AD">
      <w:pPr>
        <w:pStyle w:val="PargrafodaLista"/>
        <w:rPr>
          <w:rFonts w:asciiTheme="minorHAnsi" w:hAnsiTheme="minorHAnsi" w:cstheme="minorHAnsi"/>
          <w:b/>
          <w:bCs/>
        </w:rPr>
      </w:pPr>
    </w:p>
    <w:p w14:paraId="6A2F8955" w14:textId="3387AB2C"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Quantidade de Debêntures e </w:t>
      </w:r>
      <w:r w:rsidRPr="00A61C29">
        <w:rPr>
          <w:rFonts w:asciiTheme="minorHAnsi" w:hAnsiTheme="minorHAnsi" w:cstheme="minorHAnsi"/>
          <w:b/>
          <w:bCs/>
        </w:rPr>
        <w:t>Número de Séries</w:t>
      </w:r>
      <w:r>
        <w:rPr>
          <w:rFonts w:asciiTheme="minorHAnsi" w:hAnsiTheme="minorHAnsi" w:cstheme="minorHAnsi"/>
        </w:rPr>
        <w:t xml:space="preserve">: Serão emitidas até </w:t>
      </w:r>
      <w:r>
        <w:rPr>
          <w:rFonts w:asciiTheme="minorHAnsi" w:hAnsiTheme="minorHAnsi"/>
        </w:rPr>
        <w:t>100.000 (cem mil</w:t>
      </w:r>
      <w:r>
        <w:rPr>
          <w:rFonts w:asciiTheme="minorHAnsi" w:hAnsiTheme="minorHAnsi" w:cstheme="minorHAnsi"/>
        </w:rPr>
        <w:t xml:space="preserve">) Debêntures, em série única, na Data de Emissão, sendo que a quantidade de Debêntures será ajustada, caso necessário, após a realização do Procedimento de </w:t>
      </w:r>
      <w:r>
        <w:rPr>
          <w:rFonts w:asciiTheme="minorHAnsi" w:hAnsiTheme="minorHAnsi" w:cstheme="minorHAnsi"/>
          <w:i/>
          <w:iCs/>
        </w:rPr>
        <w:t>Bookbuilding</w:t>
      </w:r>
      <w:r>
        <w:rPr>
          <w:rFonts w:asciiTheme="minorHAnsi" w:hAnsiTheme="minorHAnsi" w:cstheme="minorHAnsi"/>
        </w:rPr>
        <w:t>, por meio do aditamento previsto na Escritura de Emissão.</w:t>
      </w:r>
    </w:p>
    <w:p w14:paraId="3CB468AF"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7020C89B" w14:textId="628FCAF0"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Total da Emissão</w:t>
      </w:r>
      <w:r>
        <w:rPr>
          <w:rFonts w:asciiTheme="minorHAnsi" w:hAnsiTheme="minorHAnsi" w:cstheme="minorHAnsi"/>
        </w:rPr>
        <w:t xml:space="preserve">: O valor total da Emissão será de </w:t>
      </w:r>
      <w:r w:rsidR="009A46A0">
        <w:rPr>
          <w:rFonts w:asciiTheme="minorHAnsi" w:hAnsiTheme="minorHAnsi" w:cstheme="minorHAnsi"/>
        </w:rPr>
        <w:t xml:space="preserve">até </w:t>
      </w:r>
      <w:r>
        <w:rPr>
          <w:rFonts w:asciiTheme="minorHAnsi" w:hAnsiTheme="minorHAnsi" w:cstheme="minorHAnsi"/>
        </w:rPr>
        <w:t>R$ 100.000.000,00 (cem milhões de reais) na Data de Emissão (conforme definido abaixo) (“</w:t>
      </w:r>
      <w:r>
        <w:rPr>
          <w:rFonts w:asciiTheme="minorHAnsi" w:hAnsiTheme="minorHAnsi" w:cstheme="minorHAnsi"/>
          <w:b/>
          <w:bCs/>
        </w:rPr>
        <w:t>Valor Total da Emissão</w:t>
      </w:r>
      <w:r>
        <w:rPr>
          <w:rFonts w:asciiTheme="minorHAnsi" w:hAnsiTheme="minorHAnsi" w:cstheme="minorHAnsi"/>
        </w:rPr>
        <w:t xml:space="preserve">”), sendo que o Valor Total da Emissão será ajustado, caso necessário, após a realização do Procedimento de </w:t>
      </w:r>
      <w:r w:rsidRPr="00A61C29">
        <w:rPr>
          <w:rFonts w:asciiTheme="minorHAnsi" w:hAnsiTheme="minorHAnsi" w:cstheme="minorHAnsi"/>
          <w:i/>
          <w:iCs/>
        </w:rPr>
        <w:t>Bookbuilding</w:t>
      </w:r>
      <w:r>
        <w:rPr>
          <w:rFonts w:asciiTheme="minorHAnsi" w:hAnsiTheme="minorHAnsi" w:cstheme="minorHAnsi"/>
        </w:rPr>
        <w:t xml:space="preserve"> (conforme definido abaixo), por meio do aditamento previsto na Escritura de Emissão.</w:t>
      </w:r>
    </w:p>
    <w:p w14:paraId="34BCC3A4" w14:textId="77777777" w:rsidR="00FF05AD" w:rsidRPr="00A61C29" w:rsidRDefault="00FF05AD" w:rsidP="00FF05AD">
      <w:pPr>
        <w:pStyle w:val="PargrafodaLista"/>
        <w:rPr>
          <w:rFonts w:asciiTheme="minorHAnsi" w:hAnsiTheme="minorHAnsi" w:cstheme="minorHAnsi"/>
          <w:b/>
          <w:bCs/>
        </w:rPr>
      </w:pPr>
    </w:p>
    <w:p w14:paraId="48AA429E" w14:textId="3226D8B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 Será adotado procedimento de coleta de intenções de investimento dos potenciais investidores nas Debêntures, a ser realizado pelo</w:t>
      </w:r>
      <w:r w:rsidR="009A46A0">
        <w:rPr>
          <w:rFonts w:asciiTheme="minorHAnsi" w:hAnsiTheme="minorHAnsi" w:cstheme="minorHAnsi"/>
        </w:rPr>
        <w:t>s</w:t>
      </w:r>
      <w:r>
        <w:rPr>
          <w:rFonts w:asciiTheme="minorHAnsi" w:hAnsiTheme="minorHAnsi" w:cstheme="minorHAnsi"/>
        </w:rPr>
        <w:t xml:space="preserve"> Coordenador</w:t>
      </w:r>
      <w:r w:rsidR="009A46A0">
        <w:rPr>
          <w:rFonts w:asciiTheme="minorHAnsi" w:hAnsiTheme="minorHAnsi" w:cstheme="minorHAnsi"/>
        </w:rPr>
        <w:t>es</w:t>
      </w:r>
      <w:r>
        <w:rPr>
          <w:rFonts w:asciiTheme="minorHAnsi" w:hAnsiTheme="minorHAnsi" w:cstheme="minorHAnsi"/>
        </w:rPr>
        <w:t xml:space="preserve"> (conforme definido na Escritura de Emissão), com o acompanhamento pela </w:t>
      </w:r>
      <w:r w:rsidR="001D21AA">
        <w:rPr>
          <w:rFonts w:asciiTheme="minorHAnsi" w:hAnsiTheme="minorHAnsi" w:cstheme="minorHAnsi"/>
        </w:rPr>
        <w:t>Cedente</w:t>
      </w:r>
      <w:r>
        <w:rPr>
          <w:rFonts w:asciiTheme="minorHAnsi" w:hAnsiTheme="minorHAnsi" w:cstheme="minorHAnsi"/>
        </w:rPr>
        <w:t>, sem recebimento de reservas, sem lotes mínimos ou máximos, nos termos do Contrato de Distribuição (conforme definido na Escritura de Emissão), para definição da quantidade de Debêntures e do Valor Total da Emissão (“</w:t>
      </w: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w:t>
      </w:r>
    </w:p>
    <w:p w14:paraId="46CA91A6" w14:textId="77777777" w:rsidR="00FF05AD" w:rsidRPr="00A61C29" w:rsidRDefault="00FF05AD" w:rsidP="00FF05AD">
      <w:pPr>
        <w:pStyle w:val="PargrafodaLista"/>
        <w:rPr>
          <w:rFonts w:asciiTheme="minorHAnsi" w:hAnsiTheme="minorHAnsi" w:cstheme="minorHAnsi"/>
          <w:b/>
          <w:bCs/>
        </w:rPr>
      </w:pPr>
    </w:p>
    <w:p w14:paraId="64425682" w14:textId="2B5571D3"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Data de Emissão das Debêntures</w:t>
      </w:r>
      <w:r>
        <w:rPr>
          <w:rFonts w:asciiTheme="minorHAnsi" w:hAnsiTheme="minorHAnsi" w:cstheme="minorHAnsi"/>
        </w:rPr>
        <w:t xml:space="preserve">: Para todos os fins e efeitos legais, a data de emissão das Debêntures será o dia </w:t>
      </w:r>
      <w:r w:rsidR="00AB7B3E">
        <w:rPr>
          <w:rFonts w:asciiTheme="minorHAnsi" w:hAnsiTheme="minorHAnsi" w:cstheme="minorHAnsi"/>
        </w:rPr>
        <w:t>27</w:t>
      </w:r>
      <w:r>
        <w:rPr>
          <w:rFonts w:asciiTheme="minorHAnsi" w:hAnsiTheme="minorHAnsi" w:cstheme="minorHAnsi"/>
        </w:rPr>
        <w:t xml:space="preserve"> de </w:t>
      </w:r>
      <w:r w:rsidR="009A46A0">
        <w:rPr>
          <w:rFonts w:asciiTheme="minorHAnsi" w:hAnsiTheme="minorHAnsi" w:cstheme="minorHAnsi"/>
        </w:rPr>
        <w:t>dezembro</w:t>
      </w:r>
      <w:r>
        <w:rPr>
          <w:rFonts w:asciiTheme="minorHAnsi" w:hAnsiTheme="minorHAnsi" w:cstheme="minorHAnsi"/>
        </w:rPr>
        <w:t xml:space="preserve"> de 2022 (“</w:t>
      </w:r>
      <w:r>
        <w:rPr>
          <w:rFonts w:asciiTheme="minorHAnsi" w:hAnsiTheme="minorHAnsi" w:cstheme="minorHAnsi"/>
          <w:b/>
          <w:bCs/>
        </w:rPr>
        <w:t>Data de Emissão</w:t>
      </w:r>
      <w:r>
        <w:rPr>
          <w:rFonts w:asciiTheme="minorHAnsi" w:hAnsiTheme="minorHAnsi" w:cstheme="minorHAnsi"/>
        </w:rPr>
        <w:t>”).</w:t>
      </w:r>
    </w:p>
    <w:p w14:paraId="5FFDA4D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20A9063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Nominal Unitário</w:t>
      </w:r>
      <w:r>
        <w:rPr>
          <w:rFonts w:asciiTheme="minorHAnsi" w:hAnsiTheme="minorHAnsi" w:cstheme="minorHAnsi"/>
        </w:rPr>
        <w:t>: O valor nominal unitário das Debêntures, na Data de Emissão, será de R$ 1.000,00 (mil reais) (“</w:t>
      </w:r>
      <w:r>
        <w:rPr>
          <w:rFonts w:asciiTheme="minorHAnsi" w:hAnsiTheme="minorHAnsi" w:cstheme="minorHAnsi"/>
          <w:b/>
          <w:bCs/>
        </w:rPr>
        <w:t>Valor Nominal Unitário</w:t>
      </w:r>
      <w:r>
        <w:rPr>
          <w:rFonts w:asciiTheme="minorHAnsi" w:hAnsiTheme="minorHAnsi" w:cstheme="minorHAnsi"/>
        </w:rPr>
        <w:t>”).</w:t>
      </w:r>
    </w:p>
    <w:p w14:paraId="0F5F9A50" w14:textId="6EEC412B" w:rsidR="00FF05AD" w:rsidRDefault="00FF05AD" w:rsidP="00FF05AD">
      <w:pPr>
        <w:pStyle w:val="PargrafodaLista"/>
        <w:spacing w:line="340" w:lineRule="exact"/>
        <w:ind w:left="709"/>
        <w:jc w:val="both"/>
        <w:rPr>
          <w:rFonts w:asciiTheme="minorHAnsi" w:hAnsiTheme="minorHAnsi" w:cstheme="minorHAnsi"/>
          <w:b/>
          <w:bCs/>
        </w:rPr>
      </w:pPr>
    </w:p>
    <w:p w14:paraId="788CF56B" w14:textId="5CDE1672" w:rsidR="00696A07" w:rsidRPr="0074280D" w:rsidRDefault="00E3400B" w:rsidP="0074280D">
      <w:pPr>
        <w:pStyle w:val="PargrafodaLista"/>
        <w:numPr>
          <w:ilvl w:val="1"/>
          <w:numId w:val="85"/>
        </w:numPr>
        <w:spacing w:line="340" w:lineRule="exact"/>
        <w:ind w:left="709" w:hanging="709"/>
        <w:jc w:val="both"/>
        <w:rPr>
          <w:rFonts w:asciiTheme="minorHAnsi" w:hAnsiTheme="minorHAnsi" w:cstheme="minorHAnsi"/>
        </w:rPr>
      </w:pPr>
      <w:r w:rsidRPr="0074280D">
        <w:rPr>
          <w:rFonts w:asciiTheme="minorHAnsi" w:hAnsiTheme="minorHAnsi" w:cstheme="minorHAnsi"/>
          <w:b/>
          <w:bCs/>
        </w:rPr>
        <w:t>Conversibilidade</w:t>
      </w:r>
      <w:r>
        <w:rPr>
          <w:rFonts w:asciiTheme="minorHAnsi" w:hAnsiTheme="minorHAnsi" w:cstheme="minorHAnsi"/>
        </w:rPr>
        <w:t xml:space="preserve">: </w:t>
      </w:r>
      <w:r w:rsidR="00AB7B3E" w:rsidRPr="00AF7146">
        <w:rPr>
          <w:rFonts w:asciiTheme="minorHAnsi" w:hAnsiTheme="minorHAnsi" w:cstheme="minorHAnsi"/>
        </w:rPr>
        <w:t xml:space="preserve">As Debêntures serão simples, ou seja, não conversíveis em ações de emissão da </w:t>
      </w:r>
      <w:r w:rsidR="001D21AA">
        <w:rPr>
          <w:rFonts w:asciiTheme="minorHAnsi" w:hAnsiTheme="minorHAnsi" w:cstheme="minorHAnsi"/>
        </w:rPr>
        <w:t>Cedente</w:t>
      </w:r>
      <w:r w:rsidR="00AB7B3E" w:rsidRPr="00AF7146">
        <w:rPr>
          <w:rFonts w:asciiTheme="minorHAnsi" w:hAnsiTheme="minorHAnsi" w:cstheme="minorHAnsi"/>
        </w:rPr>
        <w:t>.</w:t>
      </w:r>
    </w:p>
    <w:p w14:paraId="47B5BEAF" w14:textId="77777777" w:rsidR="00696A07" w:rsidRPr="00A61C29" w:rsidRDefault="00696A07" w:rsidP="00FF05AD">
      <w:pPr>
        <w:pStyle w:val="PargrafodaLista"/>
        <w:spacing w:line="340" w:lineRule="exact"/>
        <w:ind w:left="709"/>
        <w:jc w:val="both"/>
        <w:rPr>
          <w:rFonts w:asciiTheme="minorHAnsi" w:hAnsiTheme="minorHAnsi" w:cstheme="minorHAnsi"/>
          <w:b/>
          <w:bCs/>
        </w:rPr>
      </w:pPr>
    </w:p>
    <w:p w14:paraId="61AFA2FC"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Espécie</w:t>
      </w:r>
      <w:r>
        <w:rPr>
          <w:rFonts w:asciiTheme="minorHAnsi" w:hAnsiTheme="minorHAnsi" w:cstheme="minorHAnsi"/>
        </w:rPr>
        <w:t>: As Debêntures serão da espécie com garantia real, nos termos da Escritura de Emissão e nos termos do artigo 58 da Lei das Sociedades por Ações.</w:t>
      </w:r>
    </w:p>
    <w:p w14:paraId="2A0C990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0578892" w14:textId="701D1BED"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Prazo de Vigência e Data de Vencimento</w:t>
      </w:r>
      <w:r>
        <w:rPr>
          <w:rFonts w:asciiTheme="minorHAnsi" w:hAnsiTheme="minorHAnsi" w:cstheme="minorHAnsi"/>
        </w:rPr>
        <w:t xml:space="preserve">: Ressalvadas as hipóteses de liquidação antecipada, as Debêntures terão prazo de vencimento de 18 (dezoito) meses </w:t>
      </w:r>
      <w:r>
        <w:rPr>
          <w:rFonts w:asciiTheme="minorHAnsi" w:hAnsiTheme="minorHAnsi" w:cstheme="minorHAnsi"/>
        </w:rPr>
        <w:lastRenderedPageBreak/>
        <w:t xml:space="preserve">contados da Data de Emissão, vencendo-se, portanto, em </w:t>
      </w:r>
      <w:r w:rsidR="00AB7B3E">
        <w:rPr>
          <w:rFonts w:asciiTheme="minorHAnsi" w:hAnsiTheme="minorHAnsi" w:cstheme="minorHAnsi"/>
        </w:rPr>
        <w:t>27</w:t>
      </w:r>
      <w:r>
        <w:rPr>
          <w:rFonts w:asciiTheme="minorHAnsi" w:hAnsiTheme="minorHAnsi" w:cstheme="minorHAnsi"/>
        </w:rPr>
        <w:t xml:space="preserve"> de </w:t>
      </w:r>
      <w:r w:rsidR="00EE4536">
        <w:rPr>
          <w:rFonts w:asciiTheme="minorHAnsi" w:hAnsiTheme="minorHAnsi" w:cstheme="minorHAnsi"/>
        </w:rPr>
        <w:t>junho</w:t>
      </w:r>
      <w:r>
        <w:rPr>
          <w:rFonts w:asciiTheme="minorHAnsi" w:hAnsiTheme="minorHAnsi" w:cstheme="minorHAnsi"/>
          <w:color w:val="000000"/>
        </w:rPr>
        <w:t xml:space="preserve"> </w:t>
      </w:r>
      <w:r>
        <w:rPr>
          <w:rFonts w:asciiTheme="minorHAnsi" w:hAnsiTheme="minorHAnsi" w:cstheme="minorHAnsi"/>
        </w:rPr>
        <w:t>de 2024 (“</w:t>
      </w:r>
      <w:r>
        <w:rPr>
          <w:rFonts w:asciiTheme="minorHAnsi" w:hAnsiTheme="minorHAnsi" w:cstheme="minorHAnsi"/>
          <w:b/>
          <w:bCs/>
        </w:rPr>
        <w:t>Data de Vencimento</w:t>
      </w:r>
      <w:r>
        <w:rPr>
          <w:rFonts w:asciiTheme="minorHAnsi" w:hAnsiTheme="minorHAnsi" w:cstheme="minorHAnsi"/>
        </w:rPr>
        <w:t>”).</w:t>
      </w:r>
    </w:p>
    <w:p w14:paraId="791F198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922939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Atualização Monetária do Valor Nominal Unitário das Debêntures</w:t>
      </w:r>
      <w:r>
        <w:rPr>
          <w:rFonts w:asciiTheme="minorHAnsi" w:hAnsiTheme="minorHAnsi" w:cstheme="minorHAnsi"/>
        </w:rPr>
        <w:t>: O Valor Nominal Unitário das Debêntures não será atualizado monetariamente.</w:t>
      </w:r>
    </w:p>
    <w:p w14:paraId="7E845846"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63B6885"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Remuneração das Debêntures</w:t>
      </w:r>
      <w:r>
        <w:rPr>
          <w:rFonts w:asciiTheme="minorHAnsi" w:hAnsiTheme="minorHAnsi" w:cstheme="minorHAnsi"/>
        </w:rPr>
        <w:t>: Sobre o Valor Nominal Unitário,</w:t>
      </w:r>
      <w:r>
        <w:rPr>
          <w:rFonts w:asciiTheme="minorHAnsi" w:hAnsiTheme="minorHAnsi" w:cstheme="minorHAnsi"/>
          <w:lang w:eastAsia="pt-BR"/>
        </w:rPr>
        <w:t xml:space="preserve"> ou saldo do Valor Nominal Unitário, conforme o caso,</w:t>
      </w:r>
      <w:r>
        <w:rPr>
          <w:rFonts w:asciiTheme="minorHAnsi" w:hAnsiTheme="minorHAnsi" w:cstheme="minorHAnsi"/>
        </w:rPr>
        <w:t xml:space="preserve"> incidirão juros remuneratórios correspondentes à variação acumulada de 100% (cem por cento) das taxas médias diárias do DI – Depósito Interfinanceiro de um dia, “</w:t>
      </w:r>
      <w:r>
        <w:rPr>
          <w:rFonts w:asciiTheme="minorHAnsi" w:hAnsiTheme="minorHAnsi" w:cstheme="minorHAnsi"/>
          <w:i/>
          <w:iCs/>
        </w:rPr>
        <w:t>over extra-grupo</w:t>
      </w:r>
      <w:r>
        <w:rPr>
          <w:rFonts w:asciiTheme="minorHAnsi" w:hAnsiTheme="minorHAnsi" w:cstheme="minorHAnsi"/>
        </w:rPr>
        <w:t>”, expressas na forma percentual ao ano, base 252 (duzentos e cinquenta e dois) dias úteis, calculadas e divulgadas diariamente pela B3 S.A. – Brasil, Bolsa, Balcão (“</w:t>
      </w:r>
      <w:r>
        <w:rPr>
          <w:rFonts w:asciiTheme="minorHAnsi" w:hAnsiTheme="minorHAnsi" w:cstheme="minorHAnsi"/>
          <w:b/>
          <w:bCs/>
        </w:rPr>
        <w:t>Taxa DI</w:t>
      </w:r>
      <w:r>
        <w:rPr>
          <w:rFonts w:asciiTheme="minorHAnsi" w:hAnsiTheme="minorHAnsi" w:cstheme="minorHAnsi"/>
        </w:rPr>
        <w:t xml:space="preserve">”), </w:t>
      </w:r>
      <w:r>
        <w:rPr>
          <w:rFonts w:ascii="Calibri" w:hAnsi="Calibri" w:cstheme="minorHAnsi"/>
        </w:rPr>
        <w:t>acrescida de sobretaxa (</w:t>
      </w:r>
      <w:r>
        <w:rPr>
          <w:rFonts w:ascii="Calibri" w:hAnsi="Calibri" w:cstheme="minorHAnsi"/>
          <w:i/>
          <w:iCs/>
        </w:rPr>
        <w:t>spread</w:t>
      </w:r>
      <w:r>
        <w:rPr>
          <w:rFonts w:ascii="Calibri" w:hAnsi="Calibri" w:cstheme="minorHAnsi"/>
        </w:rPr>
        <w:t>) de 5,4000% (cinco inteiros e quatro mil décimos de milésimos por cento) ao ano, base de 252 (duzentos e cinquenta e dois) dias úteis</w:t>
      </w:r>
      <w:r>
        <w:rPr>
          <w:rFonts w:asciiTheme="minorHAnsi" w:hAnsiTheme="minorHAnsi" w:cstheme="minorHAnsi"/>
        </w:rPr>
        <w:t xml:space="preserve"> (“</w:t>
      </w:r>
      <w:r>
        <w:rPr>
          <w:rFonts w:asciiTheme="minorHAnsi" w:hAnsiTheme="minorHAnsi" w:cstheme="minorHAnsi"/>
          <w:b/>
          <w:bCs/>
        </w:rPr>
        <w:t>Remuneração</w:t>
      </w:r>
      <w:r>
        <w:rPr>
          <w:rFonts w:asciiTheme="minorHAnsi" w:hAnsiTheme="minorHAnsi" w:cstheme="minorHAnsi"/>
        </w:rPr>
        <w:t xml:space="preserve">”). A Remuneração será calculada de forma exponencial e cumulativa </w:t>
      </w:r>
      <w:r>
        <w:rPr>
          <w:rFonts w:asciiTheme="minorHAnsi" w:hAnsiTheme="minorHAnsi" w:cstheme="minorHAnsi"/>
          <w:i/>
          <w:iCs/>
        </w:rPr>
        <w:t>pro rata temporis</w:t>
      </w:r>
      <w:r>
        <w:rPr>
          <w:rFonts w:asciiTheme="minorHAnsi" w:hAnsiTheme="minorHAnsi" w:cstheme="minorHAnsi"/>
        </w:rPr>
        <w:t xml:space="preserve"> por dias úteis decorridos, incidentes sobre o Valor Nominal Unitário, ou sobre o saldo do Valor Nominal Unitário, desde a Data da Primeira Integralização (conforme definido na Escritura de Emissão), ou Data de Pagamento da Remuneração (conforme definido abaixo) imediatamente anterior (inclusive), até a Data de Pagamento da Remuneração em questão ou data de pagamento de vencimento antecipado em decorrência de uma Hipótese de Vencimento Antecipado (conforme definido abaixo), o que ocorrer primeiro (exclusive). A Remuneração será calculada de acordo com a fórmula prevista na Escritura de Emissão.</w:t>
      </w:r>
    </w:p>
    <w:p w14:paraId="2025902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C18203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do Valor Nominal Unitário</w:t>
      </w:r>
      <w:r>
        <w:rPr>
          <w:rFonts w:asciiTheme="minorHAnsi" w:hAnsiTheme="minorHAnsi" w:cstheme="minorHAnsi"/>
        </w:rPr>
        <w:t>: Sem prejuízo da Amortização Extraordinária Obrigatória (conforme definido na Escritura de Emissão), o saldo do Valor Nominal Unitário será amortizado em uma única parcela, devida na Data de Vencimento (“</w:t>
      </w:r>
      <w:r>
        <w:rPr>
          <w:rFonts w:asciiTheme="minorHAnsi" w:hAnsiTheme="minorHAnsi" w:cstheme="minorHAnsi"/>
          <w:b/>
        </w:rPr>
        <w:t>Data de Amortização das Debêntures</w:t>
      </w:r>
      <w:r>
        <w:rPr>
          <w:rFonts w:asciiTheme="minorHAnsi" w:hAnsiTheme="minorHAnsi" w:cstheme="minorHAnsi"/>
        </w:rPr>
        <w:t>”), nos termos previstos na Escritura de Emissão.</w:t>
      </w:r>
    </w:p>
    <w:p w14:paraId="2498444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0804C63" w14:textId="0D02DFD4"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Pagamento da Remuneração</w:t>
      </w:r>
      <w:r>
        <w:rPr>
          <w:rFonts w:asciiTheme="minorHAnsi" w:hAnsiTheme="minorHAnsi" w:cstheme="minorHAnsi"/>
        </w:rPr>
        <w:t xml:space="preserve">: Sem prejuízo dos pagamentos em decorrência de eventual vencimento antecipado das obrigações decorrentes das Debêntures, nos termos previstos na Escritura de Emissão, a Remuneração será paga de forma mensal, sendo o primeiro pagamento devido </w:t>
      </w:r>
      <w:r w:rsidRPr="003549CD">
        <w:rPr>
          <w:rFonts w:asciiTheme="minorHAnsi" w:hAnsiTheme="minorHAnsi" w:cstheme="minorHAnsi"/>
        </w:rPr>
        <w:t xml:space="preserve">em </w:t>
      </w:r>
      <w:r w:rsidR="00065E36" w:rsidRPr="0074280D">
        <w:rPr>
          <w:rFonts w:asciiTheme="minorHAnsi" w:hAnsiTheme="minorHAnsi" w:cstheme="minorHAnsi"/>
        </w:rPr>
        <w:t>10</w:t>
      </w:r>
      <w:r w:rsidRPr="0074280D">
        <w:rPr>
          <w:rFonts w:asciiTheme="minorHAnsi" w:hAnsiTheme="minorHAnsi" w:cstheme="minorHAnsi"/>
        </w:rPr>
        <w:t xml:space="preserve"> de </w:t>
      </w:r>
      <w:r w:rsidR="00696A07" w:rsidRPr="0074280D">
        <w:rPr>
          <w:rFonts w:asciiTheme="minorHAnsi" w:hAnsiTheme="minorHAnsi" w:cstheme="minorHAnsi"/>
        </w:rPr>
        <w:t xml:space="preserve">fevereiro </w:t>
      </w:r>
      <w:r w:rsidRPr="0074280D">
        <w:rPr>
          <w:rFonts w:asciiTheme="minorHAnsi" w:hAnsiTheme="minorHAnsi" w:cstheme="minorHAnsi"/>
        </w:rPr>
        <w:t>de 202</w:t>
      </w:r>
      <w:r w:rsidR="00065E36" w:rsidRPr="0074280D">
        <w:rPr>
          <w:rFonts w:asciiTheme="minorHAnsi" w:hAnsiTheme="minorHAnsi" w:cstheme="minorHAnsi"/>
        </w:rPr>
        <w:t>3</w:t>
      </w:r>
      <w:r w:rsidRPr="003549CD">
        <w:rPr>
          <w:rFonts w:asciiTheme="minorHAnsi" w:hAnsiTheme="minorHAnsi" w:cstheme="minorHAnsi"/>
        </w:rPr>
        <w:t xml:space="preserve"> e os</w:t>
      </w:r>
      <w:r>
        <w:rPr>
          <w:rFonts w:asciiTheme="minorHAnsi" w:hAnsiTheme="minorHAnsi" w:cstheme="minorHAnsi"/>
        </w:rPr>
        <w:t xml:space="preserve"> demais pagamentos devidos sempre no dia 10 (dez) de cada mês, sendo o último devido na Data de Vencimento (cada uma, uma “</w:t>
      </w:r>
      <w:r>
        <w:rPr>
          <w:rFonts w:asciiTheme="minorHAnsi" w:hAnsiTheme="minorHAnsi" w:cstheme="minorHAnsi"/>
          <w:b/>
        </w:rPr>
        <w:t>Data de Pagamento da Remuneração</w:t>
      </w:r>
      <w:r>
        <w:rPr>
          <w:rFonts w:asciiTheme="minorHAnsi" w:hAnsiTheme="minorHAnsi" w:cstheme="minorHAnsi"/>
        </w:rPr>
        <w:t>”), conforme a tabela prevista na Escritura de Emissão.</w:t>
      </w:r>
    </w:p>
    <w:p w14:paraId="54FF175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92FCA09"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Resgate Antecipado Facultativo</w:t>
      </w:r>
      <w:r>
        <w:rPr>
          <w:rFonts w:asciiTheme="minorHAnsi" w:hAnsiTheme="minorHAnsi" w:cstheme="minorHAnsi"/>
        </w:rPr>
        <w:t>: Não será admitido o resgate antecipado facultativo das Debêntures.</w:t>
      </w:r>
    </w:p>
    <w:p w14:paraId="1966A79E" w14:textId="77777777" w:rsidR="00FF05AD" w:rsidRPr="00A61C29" w:rsidRDefault="00FF05AD" w:rsidP="00FF05AD">
      <w:pPr>
        <w:pStyle w:val="PargrafodaLista"/>
        <w:rPr>
          <w:rFonts w:asciiTheme="minorHAnsi" w:hAnsiTheme="minorHAnsi" w:cstheme="minorHAnsi"/>
          <w:b/>
          <w:bCs/>
        </w:rPr>
      </w:pPr>
    </w:p>
    <w:p w14:paraId="123924E7" w14:textId="7317CC98"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lastRenderedPageBreak/>
        <w:t>Amortização Extraordinária Obrigatória</w:t>
      </w:r>
      <w:r>
        <w:rPr>
          <w:rFonts w:asciiTheme="minorHAnsi" w:hAnsiTheme="minorHAnsi" w:cstheme="minorHAnsi"/>
        </w:rPr>
        <w:t xml:space="preserve">: </w:t>
      </w:r>
      <w:r w:rsidR="00FA47D4">
        <w:rPr>
          <w:rFonts w:asciiTheme="minorHAnsi" w:hAnsiTheme="minorHAnsi" w:cstheme="minorHAnsi"/>
        </w:rPr>
        <w:t>Observados os termos e condições d</w:t>
      </w:r>
      <w:r w:rsidR="00DB2804">
        <w:rPr>
          <w:rFonts w:asciiTheme="minorHAnsi" w:hAnsiTheme="minorHAnsi" w:cstheme="minorHAnsi"/>
        </w:rPr>
        <w:t>este</w:t>
      </w:r>
      <w:r w:rsidR="00FA47D4">
        <w:rPr>
          <w:rFonts w:asciiTheme="minorHAnsi" w:hAnsiTheme="minorHAnsi" w:cstheme="minorHAnsi"/>
        </w:rPr>
        <w:t xml:space="preserve"> Contrato e da Escritura de </w:t>
      </w:r>
      <w:r w:rsidR="00DB2804">
        <w:rPr>
          <w:rFonts w:asciiTheme="minorHAnsi" w:hAnsiTheme="minorHAnsi" w:cstheme="minorHAnsi"/>
        </w:rPr>
        <w:t>Emissão</w:t>
      </w:r>
      <w:r w:rsidR="00FA47D4">
        <w:rPr>
          <w:rFonts w:asciiTheme="minorHAnsi" w:hAnsiTheme="minorHAnsi" w:cstheme="minorHAnsi"/>
        </w:rPr>
        <w:t>, em cada Data de Verificação entre 10 de novembro de 2023</w:t>
      </w:r>
      <w:r w:rsidR="00DB2804">
        <w:rPr>
          <w:rFonts w:asciiTheme="minorHAnsi" w:hAnsiTheme="minorHAnsi" w:cstheme="minorHAnsi"/>
        </w:rPr>
        <w:t>, inclusive,</w:t>
      </w:r>
      <w:r w:rsidR="00FA47D4">
        <w:rPr>
          <w:rFonts w:asciiTheme="minorHAnsi" w:hAnsiTheme="minorHAnsi" w:cstheme="minorHAnsi"/>
        </w:rPr>
        <w:t xml:space="preserve"> até 10 de maio de 2024, inclusive ("</w:t>
      </w:r>
      <w:r w:rsidR="00FA47D4">
        <w:rPr>
          <w:rFonts w:asciiTheme="minorHAnsi" w:hAnsiTheme="minorHAnsi" w:cstheme="minorHAnsi"/>
          <w:b/>
          <w:bCs/>
        </w:rPr>
        <w:t>Período da Amortização Extraordinária Obrigatória</w:t>
      </w:r>
      <w:r w:rsidR="00FA47D4">
        <w:rPr>
          <w:rFonts w:asciiTheme="minorHAnsi" w:hAnsiTheme="minorHAnsi" w:cstheme="minorHAnsi"/>
        </w:rPr>
        <w:t xml:space="preserve">”), toda vez em que for </w:t>
      </w:r>
      <w:r w:rsidR="00FA47D4" w:rsidRPr="00BF750F">
        <w:rPr>
          <w:rFonts w:asciiTheme="minorHAnsi" w:hAnsiTheme="minorHAnsi" w:cstheme="minorHAnsi"/>
        </w:rPr>
        <w:t xml:space="preserve">verificado Excesso de Caixa </w:t>
      </w:r>
      <w:r w:rsidR="00FA47D4">
        <w:rPr>
          <w:rFonts w:asciiTheme="minorHAnsi" w:hAnsiTheme="minorHAnsi" w:cstheme="minorHAnsi"/>
        </w:rPr>
        <w:t xml:space="preserve">disponível na Conta Vinculada, a </w:t>
      </w:r>
      <w:r w:rsidR="00DB2804">
        <w:rPr>
          <w:rFonts w:asciiTheme="minorHAnsi" w:hAnsiTheme="minorHAnsi" w:cstheme="minorHAnsi"/>
        </w:rPr>
        <w:t>Cedente</w:t>
      </w:r>
      <w:r w:rsidR="00FA47D4">
        <w:rPr>
          <w:rFonts w:asciiTheme="minorHAnsi" w:hAnsiTheme="minorHAnsi" w:cstheme="minorHAnsi"/>
        </w:rPr>
        <w:t xml:space="preserve"> deverá promover a amortização extraordinária obrigatória das Debêntures </w:t>
      </w:r>
      <w:r w:rsidR="00FA47D4" w:rsidRPr="00BC2D47">
        <w:rPr>
          <w:rFonts w:asciiTheme="minorHAnsi" w:hAnsiTheme="minorHAnsi" w:cstheme="minorHAnsi"/>
        </w:rPr>
        <w:t>(“</w:t>
      </w:r>
      <w:r w:rsidR="00FA47D4" w:rsidRPr="00BC2D47">
        <w:rPr>
          <w:rFonts w:asciiTheme="minorHAnsi" w:hAnsiTheme="minorHAnsi" w:cstheme="minorHAnsi"/>
          <w:b/>
          <w:bCs/>
        </w:rPr>
        <w:t>Amortização Extraordinária Obrigatória</w:t>
      </w:r>
      <w:r w:rsidR="00FA47D4" w:rsidRPr="00BC2D47">
        <w:rPr>
          <w:rFonts w:asciiTheme="minorHAnsi" w:hAnsiTheme="minorHAnsi" w:cstheme="minorHAnsi"/>
        </w:rPr>
        <w:t>”)</w:t>
      </w:r>
      <w:r w:rsidR="00FA47D4">
        <w:rPr>
          <w:rFonts w:asciiTheme="minorHAnsi" w:hAnsiTheme="minorHAnsi" w:cstheme="minorHAnsi"/>
        </w:rPr>
        <w:t xml:space="preserve"> no valor correspondente ao Excesso de Caixa disponível na Conta Vinculada</w:t>
      </w:r>
      <w:r w:rsidR="00FA47D4" w:rsidRPr="00DD7F12">
        <w:rPr>
          <w:rFonts w:asciiTheme="minorHAnsi" w:hAnsiTheme="minorHAnsi" w:cstheme="minorHAnsi"/>
        </w:rPr>
        <w:t>.</w:t>
      </w:r>
    </w:p>
    <w:p w14:paraId="354976D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E61673B" w14:textId="0973F7E2"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Aquisição Facultativa</w:t>
      </w:r>
      <w:r>
        <w:rPr>
          <w:rFonts w:asciiTheme="minorHAnsi" w:hAnsiTheme="minorHAnsi" w:cstheme="minorHAnsi"/>
        </w:rPr>
        <w:t xml:space="preserve">: A </w:t>
      </w:r>
      <w:r w:rsidR="001D21AA">
        <w:rPr>
          <w:rFonts w:asciiTheme="minorHAnsi" w:hAnsiTheme="minorHAnsi" w:cstheme="minorHAnsi"/>
        </w:rPr>
        <w:t xml:space="preserve">Cedente </w:t>
      </w:r>
      <w:r>
        <w:rPr>
          <w:rFonts w:asciiTheme="minorHAnsi" w:hAnsiTheme="minorHAnsi" w:cstheme="minorHAnsi"/>
        </w:rPr>
        <w:t xml:space="preserve">poderá, a qualquer tempo, adquirir Debêntures, observado o disposto no artigo 55, parágrafo 3º, da Lei das Sociedades por Ações, nos artigos 13 e 15 da Instrução CVM 476 </w:t>
      </w:r>
      <w:bookmarkStart w:id="103" w:name="_Hlk59632566"/>
      <w:r>
        <w:rPr>
          <w:rFonts w:asciiTheme="minorHAnsi" w:hAnsiTheme="minorHAnsi" w:cstheme="minorHAnsi"/>
        </w:rPr>
        <w:t>e na Resolução CVM nº 77, de 29 de março de 2022, conforme alterada</w:t>
      </w:r>
      <w:bookmarkEnd w:id="103"/>
      <w:r>
        <w:rPr>
          <w:rFonts w:asciiTheme="minorHAnsi" w:hAnsiTheme="minorHAnsi" w:cstheme="minorHAnsi"/>
        </w:rPr>
        <w:t xml:space="preserve"> (“</w:t>
      </w:r>
      <w:r>
        <w:rPr>
          <w:rFonts w:asciiTheme="minorHAnsi" w:hAnsiTheme="minorHAnsi" w:cstheme="minorHAnsi"/>
          <w:b/>
          <w:bCs/>
        </w:rPr>
        <w:t>Resolução CVM 77</w:t>
      </w:r>
      <w:r>
        <w:rPr>
          <w:rFonts w:asciiTheme="minorHAnsi" w:hAnsiTheme="minorHAnsi" w:cstheme="minorHAnsi"/>
        </w:rPr>
        <w:t xml:space="preserve">”). As Debêntures adquiridas pela </w:t>
      </w:r>
      <w:r w:rsidR="001D21AA">
        <w:rPr>
          <w:rFonts w:asciiTheme="minorHAnsi" w:hAnsiTheme="minorHAnsi" w:cstheme="minorHAnsi"/>
        </w:rPr>
        <w:t>Cedente</w:t>
      </w:r>
      <w:r>
        <w:rPr>
          <w:rFonts w:asciiTheme="minorHAnsi" w:hAnsiTheme="minorHAnsi" w:cstheme="minorHAnsi"/>
        </w:rPr>
        <w:t xml:space="preserve"> poderão, a critério da </w:t>
      </w:r>
      <w:r w:rsidR="001D21AA">
        <w:rPr>
          <w:rFonts w:asciiTheme="minorHAnsi" w:hAnsiTheme="minorHAnsi" w:cstheme="minorHAnsi"/>
        </w:rPr>
        <w:t>Cedente</w:t>
      </w:r>
      <w:r>
        <w:rPr>
          <w:rFonts w:asciiTheme="minorHAnsi" w:hAnsiTheme="minorHAnsi" w:cstheme="minorHAnsi"/>
        </w:rPr>
        <w:t xml:space="preserve">, ser canceladas, permanecer em tesouraria ou ser novamente colocadas no mercado. As Debêntures adquiridas pela </w:t>
      </w:r>
      <w:r w:rsidR="001D21AA">
        <w:rPr>
          <w:rFonts w:asciiTheme="minorHAnsi" w:hAnsiTheme="minorHAnsi" w:cstheme="minorHAnsi"/>
        </w:rPr>
        <w:t xml:space="preserve">Cedente </w:t>
      </w:r>
      <w:r>
        <w:rPr>
          <w:rFonts w:asciiTheme="minorHAnsi" w:hAnsiTheme="minorHAnsi" w:cstheme="minorHAnsi"/>
        </w:rPr>
        <w:t xml:space="preserve">para permanência em tesouraria, se e quando recolocadas no mercado, farão jus a mesma Remuneração das demais Debêntures. Caso a </w:t>
      </w:r>
      <w:r w:rsidR="001D21AA">
        <w:rPr>
          <w:rFonts w:asciiTheme="minorHAnsi" w:hAnsiTheme="minorHAnsi" w:cstheme="minorHAnsi"/>
        </w:rPr>
        <w:t xml:space="preserve">Cedente </w:t>
      </w:r>
      <w:r>
        <w:rPr>
          <w:rFonts w:asciiTheme="minorHAnsi" w:hAnsiTheme="minorHAnsi" w:cstheme="minorHAnsi"/>
        </w:rPr>
        <w:t>pretenda adquirir Debêntures por valor superior ao Valor Nominal Unitário, deve, previamente à aquisição, comunicar sua intenção ao Agente Fiduciário e a todos os titulares das respectivas Debêntures, nos termos e condições estabelecidos no artigo 14 e seguintes da Resolução CVM 77. Na hipótese de cancelamento de parte das Debêntures, esta Escritura de Emissão deverá ser aditada para refletir tal cancelamento.</w:t>
      </w:r>
    </w:p>
    <w:p w14:paraId="59C21AB3"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6871DD2" w14:textId="34D97403"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 de Vencimento Antecipado Automático</w:t>
      </w:r>
      <w:r>
        <w:rPr>
          <w:rFonts w:asciiTheme="minorHAnsi" w:hAnsiTheme="minorHAnsi" w:cstheme="minorHAnsi"/>
        </w:rPr>
        <w:t xml:space="preserve">: O Agente Fiduciário deverá considerar antecipadamente vencidas e imediatamente exigíveis, independentemente de aviso, notificação ou interpelação judicial ou extrajudicial, todas as obrigações objeto da Escritura de Emissão e exigirá o imediato pagamento, pela </w:t>
      </w:r>
      <w:r w:rsidR="001D21AA">
        <w:rPr>
          <w:rFonts w:asciiTheme="minorHAnsi" w:hAnsiTheme="minorHAnsi" w:cstheme="minorHAnsi"/>
        </w:rPr>
        <w:t>Cedente</w:t>
      </w:r>
      <w:r>
        <w:rPr>
          <w:rFonts w:asciiTheme="minorHAnsi" w:hAnsiTheme="minorHAnsi" w:cstheme="minorHAnsi"/>
        </w:rPr>
        <w:t xml:space="preserve">, do Valor Nominal Unitário ou saldo do Valor Nominal Unitário, </w:t>
      </w:r>
      <w:r w:rsidR="00F65637">
        <w:rPr>
          <w:rFonts w:asciiTheme="minorHAnsi" w:hAnsiTheme="minorHAnsi" w:cstheme="minorHAnsi"/>
        </w:rPr>
        <w:t xml:space="preserve">conforme aplicável, </w:t>
      </w:r>
      <w:r>
        <w:rPr>
          <w:rFonts w:asciiTheme="minorHAnsi" w:hAnsiTheme="minorHAnsi" w:cstheme="minorHAnsi"/>
        </w:rPr>
        <w:t xml:space="preserve">acrescido da Remuneração, calculada </w:t>
      </w:r>
      <w:r>
        <w:rPr>
          <w:rFonts w:asciiTheme="minorHAnsi" w:hAnsiTheme="minorHAnsi" w:cstheme="minorHAnsi"/>
          <w:i/>
        </w:rPr>
        <w:t>pro rata temporis</w:t>
      </w:r>
      <w:r>
        <w:rPr>
          <w:rFonts w:asciiTheme="minorHAnsi" w:hAnsiTheme="minorHAnsi" w:cstheme="minorHAnsi"/>
        </w:rPr>
        <w:t xml:space="preserve"> desde a Data da Primeira Integralização (conforme definido na Escritura de Emissão) ou a Data de Pagamento da Remuneração imediatamente anterior, conforme o caso, até a data do efetivo pagamento, sem prejuízo, quando for o caso, da cobrança dos Encargos Moratórios (conforme definido abaixo) e de quaisquer outros valores eventualmente devidos pela </w:t>
      </w:r>
      <w:r w:rsidR="00441B97">
        <w:rPr>
          <w:rFonts w:asciiTheme="minorHAnsi" w:hAnsiTheme="minorHAnsi" w:cstheme="minorHAnsi"/>
        </w:rPr>
        <w:t>Cedente</w:t>
      </w:r>
      <w:r>
        <w:rPr>
          <w:rFonts w:asciiTheme="minorHAnsi" w:hAnsiTheme="minorHAnsi" w:cstheme="minorHAnsi"/>
        </w:rPr>
        <w:t>, na data que tomar ciência da ocorrência de qualquer um dos eventos previstos na Escritura de Emissão (“</w:t>
      </w:r>
      <w:r>
        <w:rPr>
          <w:rFonts w:asciiTheme="minorHAnsi" w:hAnsiTheme="minorHAnsi" w:cstheme="minorHAnsi"/>
          <w:b/>
        </w:rPr>
        <w:t>Hipóteses de Vencimento Antecipado Automático</w:t>
      </w:r>
      <w:r>
        <w:rPr>
          <w:rFonts w:asciiTheme="minorHAnsi" w:hAnsiTheme="minorHAnsi" w:cstheme="minorHAnsi"/>
        </w:rPr>
        <w:t>”).</w:t>
      </w:r>
    </w:p>
    <w:p w14:paraId="088FBE22" w14:textId="77777777" w:rsidR="00FF05AD" w:rsidRPr="00A61C29" w:rsidRDefault="00FF05AD" w:rsidP="00FF05AD">
      <w:pPr>
        <w:pStyle w:val="PargrafodaLista"/>
        <w:rPr>
          <w:rFonts w:asciiTheme="minorHAnsi" w:hAnsiTheme="minorHAnsi" w:cstheme="minorHAnsi"/>
          <w:b/>
          <w:bCs/>
        </w:rPr>
      </w:pPr>
    </w:p>
    <w:p w14:paraId="0D7DE4B6" w14:textId="4E4B9E0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Hipóteses de Vencimento Antecipado Não Automático</w:t>
      </w:r>
      <w:r>
        <w:rPr>
          <w:rFonts w:asciiTheme="minorHAnsi" w:hAnsiTheme="minorHAnsi" w:cstheme="minorHAnsi"/>
        </w:rPr>
        <w:t xml:space="preserve">: O Agente Fiduciário deverá convocar, dentro de até 2 (dois) Dias Úteis da data em que tomar conhecimento da ocorrência de qualquer dos eventos listados </w:t>
      </w:r>
      <w:r w:rsidR="00A71493">
        <w:rPr>
          <w:rFonts w:asciiTheme="minorHAnsi" w:hAnsiTheme="minorHAnsi" w:cstheme="minorHAnsi"/>
        </w:rPr>
        <w:t>na Escritura de Emissão</w:t>
      </w:r>
      <w:r>
        <w:rPr>
          <w:rFonts w:asciiTheme="minorHAnsi" w:hAnsiTheme="minorHAnsi" w:cstheme="minorHAnsi"/>
        </w:rPr>
        <w:t xml:space="preserve">, a Assembleia </w:t>
      </w:r>
      <w:r>
        <w:rPr>
          <w:rFonts w:asciiTheme="minorHAnsi" w:hAnsiTheme="minorHAnsi" w:cstheme="minorHAnsi"/>
        </w:rPr>
        <w:lastRenderedPageBreak/>
        <w:t>Geral de Debenturistas (conforme definido na Escritura de Emissão), visando deliberar sobre a não declaração do vencimento antecipado das Debêntures, na ocorrência de qualquer uma das hipóteses previstas na Escritura de Emissão (“</w:t>
      </w:r>
      <w:r>
        <w:rPr>
          <w:rFonts w:asciiTheme="minorHAnsi" w:hAnsiTheme="minorHAnsi" w:cstheme="minorHAnsi"/>
          <w:b/>
        </w:rPr>
        <w:t>Hipóteses de Vencimento Antecipado Não Automático</w:t>
      </w:r>
      <w:r>
        <w:rPr>
          <w:rFonts w:asciiTheme="minorHAnsi" w:hAnsiTheme="minorHAnsi" w:cstheme="minorHAnsi"/>
        </w:rPr>
        <w:t>” e, em conjunto com as Hipóteses de Vencimento Antecipado Automático, “</w:t>
      </w:r>
      <w:r>
        <w:rPr>
          <w:rFonts w:asciiTheme="minorHAnsi" w:hAnsiTheme="minorHAnsi" w:cstheme="minorHAnsi"/>
          <w:b/>
        </w:rPr>
        <w:t>Hipóteses de Vencimento Antecipado</w:t>
      </w:r>
      <w:r>
        <w:rPr>
          <w:rFonts w:asciiTheme="minorHAnsi" w:hAnsiTheme="minorHAnsi" w:cstheme="minorHAnsi"/>
        </w:rPr>
        <w:t>”).</w:t>
      </w:r>
    </w:p>
    <w:p w14:paraId="31BBE319"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10040CC7" w14:textId="154459DB"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Local de Pagamento</w:t>
      </w:r>
      <w:r>
        <w:rPr>
          <w:rFonts w:asciiTheme="minorHAnsi" w:hAnsiTheme="minorHAnsi" w:cstheme="minorHAnsi"/>
        </w:rPr>
        <w:t xml:space="preserve">: Os pagamentos a que fizerem jus as Debêntures serão efetuados pela </w:t>
      </w:r>
      <w:r w:rsidR="00441B97">
        <w:rPr>
          <w:rFonts w:asciiTheme="minorHAnsi" w:hAnsiTheme="minorHAnsi" w:cstheme="minorHAnsi"/>
        </w:rPr>
        <w:t xml:space="preserve">Cedente </w:t>
      </w:r>
      <w:r>
        <w:rPr>
          <w:rFonts w:asciiTheme="minorHAnsi" w:hAnsiTheme="minorHAnsi" w:cstheme="minorHAnsi"/>
        </w:rPr>
        <w:t xml:space="preserve">no dia do seu respectivo vencimento utilizando-se, conforme o caso: (a) os procedimentos adotados pela B3 para as Debêntures nela custodiadas eletronicamente; e/ou (b) os procedimentos adotados pelo Banco Liquidante (conforme definido na Escritura de Emissão) para as Debêntures que não estejam custodiadas </w:t>
      </w:r>
      <w:r>
        <w:rPr>
          <w:rFonts w:asciiTheme="minorHAnsi" w:eastAsia="TT108t00" w:hAnsiTheme="minorHAnsi" w:cstheme="minorHAnsi"/>
        </w:rPr>
        <w:t>eletronicamente na B3</w:t>
      </w:r>
      <w:r>
        <w:rPr>
          <w:rFonts w:asciiTheme="minorHAnsi" w:hAnsiTheme="minorHAnsi" w:cstheme="minorHAnsi"/>
        </w:rPr>
        <w:t>.</w:t>
      </w:r>
    </w:p>
    <w:p w14:paraId="066AE7D7"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E4CE9C3" w14:textId="7D16E1D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Encargos Moratórios</w:t>
      </w:r>
      <w:r>
        <w:rPr>
          <w:rFonts w:asciiTheme="minorHAnsi" w:hAnsiTheme="minorHAnsi" w:cstheme="minorHAnsi"/>
        </w:rPr>
        <w:t xml:space="preserve">: Sem prejuízo da Remuneração, ocorrendo impontualidade no pagamento pela </w:t>
      </w:r>
      <w:r w:rsidR="00441B97">
        <w:rPr>
          <w:rFonts w:asciiTheme="minorHAnsi" w:hAnsiTheme="minorHAnsi" w:cstheme="minorHAnsi"/>
        </w:rPr>
        <w:t xml:space="preserve">Cedente </w:t>
      </w:r>
      <w:r>
        <w:rPr>
          <w:rFonts w:asciiTheme="minorHAnsi" w:hAnsiTheme="minorHAnsi" w:cstheme="minorHAnsi"/>
        </w:rPr>
        <w:t xml:space="preserve">de qualquer quantia devida aos Debenturistas nos termos da Escritura de Emissão, por razão atribuível à </w:t>
      </w:r>
      <w:r w:rsidR="00441B97">
        <w:rPr>
          <w:rFonts w:asciiTheme="minorHAnsi" w:hAnsiTheme="minorHAnsi" w:cstheme="minorHAnsi"/>
        </w:rPr>
        <w:t>Cedente</w:t>
      </w:r>
      <w:r>
        <w:rPr>
          <w:rFonts w:asciiTheme="minorHAnsi" w:hAnsiTheme="minorHAnsi" w:cstheme="minorHAnsi"/>
        </w:rPr>
        <w:t xml:space="preserve">, os débitos em atraso vencidos e não pagos pela </w:t>
      </w:r>
      <w:r w:rsidR="00441B97">
        <w:rPr>
          <w:rFonts w:asciiTheme="minorHAnsi" w:hAnsiTheme="minorHAnsi" w:cstheme="minorHAnsi"/>
        </w:rPr>
        <w:t>Cedente</w:t>
      </w:r>
      <w:r>
        <w:rPr>
          <w:rFonts w:asciiTheme="minorHAnsi" w:hAnsiTheme="minorHAnsi" w:cstheme="minorHAnsi"/>
        </w:rPr>
        <w:t xml:space="preserve">,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asciiTheme="minorHAnsi" w:hAnsiTheme="minorHAnsi" w:cstheme="minorHAnsi"/>
          <w:i/>
        </w:rPr>
        <w:t>pro rata temporis</w:t>
      </w:r>
      <w:r>
        <w:rPr>
          <w:rFonts w:asciiTheme="minorHAnsi" w:hAnsiTheme="minorHAnsi" w:cstheme="minorHAnsi"/>
        </w:rPr>
        <w:t xml:space="preserve"> (“</w:t>
      </w:r>
      <w:r>
        <w:rPr>
          <w:rFonts w:asciiTheme="minorHAnsi" w:hAnsiTheme="minorHAnsi" w:cstheme="minorHAnsi"/>
          <w:b/>
        </w:rPr>
        <w:t>Encargos Moratórios</w:t>
      </w:r>
      <w:r>
        <w:rPr>
          <w:rFonts w:asciiTheme="minorHAnsi" w:hAnsiTheme="minorHAnsi" w:cstheme="minorHAnsi"/>
        </w:rPr>
        <w:t>”).</w:t>
      </w:r>
    </w:p>
    <w:p w14:paraId="08086467" w14:textId="46BD871E" w:rsidR="0005351E" w:rsidRPr="008A21F2" w:rsidRDefault="0005351E" w:rsidP="006F363E">
      <w:pPr>
        <w:spacing w:line="340" w:lineRule="exact"/>
        <w:jc w:val="center"/>
        <w:rPr>
          <w:rFonts w:asciiTheme="minorHAnsi" w:hAnsiTheme="minorHAnsi" w:cstheme="minorHAnsi"/>
        </w:rPr>
      </w:pP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5F5E42BC" w:rsidR="0084629F" w:rsidRDefault="0084629F" w:rsidP="0084629F">
      <w:pPr>
        <w:spacing w:line="340" w:lineRule="exact"/>
        <w:jc w:val="center"/>
        <w:rPr>
          <w:rFonts w:asciiTheme="minorHAnsi" w:hAnsiTheme="minorHAnsi" w:cstheme="minorHAnsi"/>
          <w:b/>
        </w:rPr>
      </w:pPr>
    </w:p>
    <w:p w14:paraId="662F0A5A" w14:textId="607BE54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xml:space="preserve">, </w:t>
      </w:r>
      <w:r w:rsidR="00445CE1" w:rsidRPr="0086364B">
        <w:rPr>
          <w:rFonts w:asciiTheme="minorHAnsi" w:hAnsiTheme="minorHAnsi" w:cstheme="minorHAnsi"/>
          <w:bCs/>
        </w:rPr>
        <w:t>[=] de [=] de</w:t>
      </w:r>
      <w:r w:rsidR="00445CE1" w:rsidRPr="00445CE1">
        <w:rPr>
          <w:rFonts w:asciiTheme="minorHAnsi" w:hAnsiTheme="minorHAnsi" w:cstheme="minorHAnsi"/>
          <w:bCs/>
        </w:rPr>
        <w:t xml:space="preserve"> 202</w:t>
      </w:r>
      <w:r w:rsidR="0086364B">
        <w:rPr>
          <w:rFonts w:asciiTheme="minorHAnsi" w:hAnsiTheme="minorHAnsi" w:cstheme="minorHAnsi"/>
          <w:bCs/>
        </w:rPr>
        <w:t>[=]</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CBD8653"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441B97">
        <w:rPr>
          <w:rFonts w:asciiTheme="minorHAnsi" w:hAnsiTheme="minorHAnsi" w:cstheme="minorHAnsi"/>
        </w:rPr>
        <w:t>22</w:t>
      </w:r>
      <w:r w:rsidR="00046F06">
        <w:rPr>
          <w:rFonts w:asciiTheme="minorHAnsi" w:hAnsiTheme="minorHAnsi" w:cstheme="minorHAnsi"/>
        </w:rPr>
        <w:t xml:space="preserve"> </w:t>
      </w:r>
      <w:r>
        <w:rPr>
          <w:rFonts w:asciiTheme="minorHAnsi" w:hAnsiTheme="minorHAnsi" w:cstheme="minorHAnsi"/>
        </w:rPr>
        <w:t xml:space="preserve">de </w:t>
      </w:r>
      <w:r w:rsidR="0099700B">
        <w:rPr>
          <w:rFonts w:asciiTheme="minorHAnsi" w:hAnsiTheme="minorHAnsi" w:cstheme="minorHAnsi"/>
        </w:rPr>
        <w:t>dezembro</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99700B">
        <w:rPr>
          <w:rFonts w:asciiTheme="minorHAnsi" w:hAnsiTheme="minorHAnsi" w:cstheme="minorHAnsi"/>
          <w:color w:val="000000" w:themeColor="text1"/>
        </w:rPr>
        <w:t>dezembro</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0FA056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4"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243D30B1"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E83C96">
        <w:rPr>
          <w:rFonts w:asciiTheme="minorHAnsi" w:hAnsiTheme="minorHAnsi" w:cstheme="minorHAnsi"/>
        </w:rPr>
        <w:t>dezembro</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4CDD56B5"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5B5F8C0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w:t>
      </w:r>
      <w:r w:rsidR="00200F60">
        <w:rPr>
          <w:rFonts w:asciiTheme="minorHAnsi" w:hAnsiTheme="minorHAnsi" w:cstheme="minorHAnsi"/>
        </w:rPr>
        <w:t>s</w:t>
      </w:r>
      <w:r w:rsidRPr="00EF1086">
        <w:rPr>
          <w:rFonts w:asciiTheme="minorHAnsi" w:hAnsiTheme="minorHAnsi" w:cstheme="minorHAnsi"/>
        </w:rPr>
        <w:t xml:space="preserve"> Cartório</w:t>
      </w:r>
      <w:r w:rsidR="00200F60">
        <w:rPr>
          <w:rFonts w:asciiTheme="minorHAnsi" w:hAnsiTheme="minorHAnsi" w:cstheme="minorHAnsi"/>
        </w:rPr>
        <w:t>s</w:t>
      </w:r>
      <w:r w:rsidRPr="00EF1086">
        <w:rPr>
          <w:rFonts w:asciiTheme="minorHAnsi" w:hAnsiTheme="minorHAnsi" w:cstheme="minorHAnsi"/>
        </w:rPr>
        <w:t xml:space="preserve">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5" w:name="_DV_M340"/>
      <w:bookmarkEnd w:id="105"/>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6" w:name="_DV_C35"/>
      <w:r w:rsidRPr="00EF1086">
        <w:rPr>
          <w:rFonts w:asciiTheme="minorHAnsi" w:eastAsia="SimSun" w:hAnsiTheme="minorHAnsi" w:cstheme="minorHAnsi"/>
          <w:color w:val="000000"/>
        </w:rPr>
        <w:t>da Outorgante</w:t>
      </w:r>
      <w:bookmarkStart w:id="107" w:name="_DV_M341"/>
      <w:bookmarkEnd w:id="106"/>
      <w:bookmarkEnd w:id="107"/>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2"/>
      <w:bookmarkEnd w:id="108"/>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9" w:name="_DV_M343"/>
      <w:bookmarkEnd w:id="109"/>
    </w:p>
    <w:p w14:paraId="2BBC8865" w14:textId="6CB473F1"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927B57">
        <w:rPr>
          <w:rFonts w:asciiTheme="minorHAnsi" w:eastAsia="SimSun" w:hAnsiTheme="minorHAnsi" w:cstheme="minorHAnsi"/>
          <w:color w:val="000000"/>
        </w:rPr>
        <w:t>dezembro</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4"/>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313"/>
        <w:gridCol w:w="1599"/>
        <w:gridCol w:w="1398"/>
        <w:gridCol w:w="2380"/>
        <w:gridCol w:w="2358"/>
        <w:gridCol w:w="1619"/>
        <w:gridCol w:w="1764"/>
        <w:gridCol w:w="1560"/>
      </w:tblGrid>
      <w:tr w:rsidR="005A7318" w:rsidRPr="000434D3" w14:paraId="3F753D84" w14:textId="77777777" w:rsidTr="005A7318">
        <w:tc>
          <w:tcPr>
            <w:tcW w:w="471"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73"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489" w:type="pct"/>
            <w:shd w:val="clear" w:color="auto" w:fill="D0CECE" w:themeFill="background2" w:themeFillShade="E6"/>
            <w:vAlign w:val="center"/>
          </w:tcPr>
          <w:p w14:paraId="385CF6DA" w14:textId="77A0B124"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852" w:type="pct"/>
            <w:shd w:val="clear" w:color="auto" w:fill="D0CECE" w:themeFill="background2" w:themeFillShade="E6"/>
            <w:vAlign w:val="center"/>
          </w:tcPr>
          <w:p w14:paraId="6176D1A6" w14:textId="7C587CFC"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844" w:type="pct"/>
            <w:shd w:val="clear" w:color="auto" w:fill="D0CECE" w:themeFill="background2" w:themeFillShade="E6"/>
            <w:vAlign w:val="center"/>
          </w:tcPr>
          <w:p w14:paraId="2655BFF2" w14:textId="1CF6A8DE"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580"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632"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559"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D4515D" w:rsidRPr="000434D3" w14:paraId="4151C7E9" w14:textId="77777777" w:rsidTr="005A7318">
        <w:tc>
          <w:tcPr>
            <w:tcW w:w="471" w:type="pct"/>
            <w:vAlign w:val="center"/>
          </w:tcPr>
          <w:p w14:paraId="06808CFC" w14:textId="200F7D7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w:t>
            </w:r>
          </w:p>
        </w:tc>
        <w:tc>
          <w:tcPr>
            <w:tcW w:w="573" w:type="pct"/>
            <w:vAlign w:val="center"/>
          </w:tcPr>
          <w:p w14:paraId="5DC5604A" w14:textId="192326B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jan/23</w:t>
            </w:r>
          </w:p>
        </w:tc>
        <w:tc>
          <w:tcPr>
            <w:tcW w:w="489" w:type="pct"/>
            <w:vAlign w:val="center"/>
          </w:tcPr>
          <w:p w14:paraId="780BDDFB" w14:textId="5B63E22D" w:rsidR="00D4515D" w:rsidRPr="000D7642" w:rsidRDefault="00C3654F" w:rsidP="00D4515D">
            <w:pPr>
              <w:spacing w:line="340" w:lineRule="exact"/>
              <w:jc w:val="center"/>
              <w:rPr>
                <w:rFonts w:asciiTheme="minorHAnsi" w:hAnsiTheme="minorHAnsi" w:cstheme="minorHAnsi"/>
              </w:rPr>
            </w:pPr>
            <w:r>
              <w:rPr>
                <w:rFonts w:asciiTheme="minorHAnsi" w:hAnsiTheme="minorHAnsi" w:cstheme="minorHAnsi"/>
              </w:rPr>
              <w:t>N/A</w:t>
            </w:r>
          </w:p>
        </w:tc>
        <w:tc>
          <w:tcPr>
            <w:tcW w:w="852" w:type="pct"/>
            <w:vAlign w:val="center"/>
          </w:tcPr>
          <w:p w14:paraId="7A4FE3FC" w14:textId="63626033" w:rsidR="00D4515D" w:rsidRPr="000D7642" w:rsidRDefault="00976E0D" w:rsidP="00D4515D">
            <w:pPr>
              <w:spacing w:line="340" w:lineRule="exact"/>
              <w:jc w:val="center"/>
              <w:rPr>
                <w:rFonts w:asciiTheme="minorHAnsi" w:hAnsiTheme="minorHAnsi" w:cstheme="minorHAnsi"/>
              </w:rPr>
            </w:pPr>
            <w:r>
              <w:rPr>
                <w:rFonts w:asciiTheme="minorHAnsi" w:hAnsiTheme="minorHAnsi" w:cstheme="minorHAnsi"/>
              </w:rPr>
              <w:t>N/A</w:t>
            </w:r>
          </w:p>
        </w:tc>
        <w:tc>
          <w:tcPr>
            <w:tcW w:w="844" w:type="pct"/>
            <w:vAlign w:val="center"/>
          </w:tcPr>
          <w:p w14:paraId="65EA39D9" w14:textId="50116BED" w:rsidR="00D4515D" w:rsidRPr="000D7642" w:rsidRDefault="00A620B1" w:rsidP="00D4515D">
            <w:pPr>
              <w:spacing w:line="340" w:lineRule="exact"/>
              <w:jc w:val="center"/>
              <w:rPr>
                <w:rFonts w:asciiTheme="minorHAnsi" w:hAnsiTheme="minorHAnsi" w:cstheme="minorHAnsi"/>
              </w:rPr>
            </w:pPr>
            <w:r>
              <w:rPr>
                <w:rFonts w:asciiTheme="minorHAnsi" w:hAnsiTheme="minorHAnsi" w:cstheme="minorHAnsi"/>
              </w:rPr>
              <w:t>N/A</w:t>
            </w:r>
          </w:p>
        </w:tc>
        <w:tc>
          <w:tcPr>
            <w:tcW w:w="580" w:type="pct"/>
            <w:vAlign w:val="center"/>
          </w:tcPr>
          <w:p w14:paraId="65BA2B0C" w14:textId="4766566A" w:rsidR="00D4515D" w:rsidRPr="000D7642" w:rsidRDefault="000B76C0" w:rsidP="00D4515D">
            <w:pPr>
              <w:spacing w:line="340" w:lineRule="exact"/>
              <w:jc w:val="center"/>
              <w:rPr>
                <w:rFonts w:asciiTheme="minorHAnsi" w:hAnsiTheme="minorHAnsi" w:cstheme="minorHAnsi"/>
              </w:rPr>
            </w:pPr>
            <w:r>
              <w:rPr>
                <w:rFonts w:asciiTheme="minorHAnsi" w:hAnsiTheme="minorHAnsi" w:cstheme="minorHAnsi"/>
              </w:rPr>
              <w:t>N/A</w:t>
            </w:r>
          </w:p>
        </w:tc>
        <w:tc>
          <w:tcPr>
            <w:tcW w:w="632" w:type="pct"/>
            <w:vAlign w:val="center"/>
          </w:tcPr>
          <w:p w14:paraId="321256CF" w14:textId="7981755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49908D0" w14:textId="08C75098"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160E41E" w14:textId="77777777" w:rsidTr="00E51D4C">
        <w:tc>
          <w:tcPr>
            <w:tcW w:w="471" w:type="pct"/>
            <w:vAlign w:val="center"/>
          </w:tcPr>
          <w:p w14:paraId="72340961" w14:textId="3822C7C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2</w:t>
            </w:r>
          </w:p>
        </w:tc>
        <w:tc>
          <w:tcPr>
            <w:tcW w:w="573" w:type="pct"/>
            <w:vAlign w:val="center"/>
          </w:tcPr>
          <w:p w14:paraId="0AAF0D40" w14:textId="5462CEE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fev/23</w:t>
            </w:r>
          </w:p>
        </w:tc>
        <w:tc>
          <w:tcPr>
            <w:tcW w:w="489" w:type="pct"/>
          </w:tcPr>
          <w:p w14:paraId="789C061F" w14:textId="1207B26B"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2</w:t>
            </w:r>
            <w:r w:rsidRPr="00FC4F26">
              <w:rPr>
                <w:rFonts w:asciiTheme="minorHAnsi" w:hAnsiTheme="minorHAnsi" w:cstheme="minorHAnsi"/>
              </w:rPr>
              <w:t>/2023</w:t>
            </w:r>
          </w:p>
        </w:tc>
        <w:tc>
          <w:tcPr>
            <w:tcW w:w="852" w:type="pct"/>
          </w:tcPr>
          <w:p w14:paraId="14A3C41B" w14:textId="3710E2D9"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2</w:t>
            </w:r>
            <w:r w:rsidRPr="00FC4F26">
              <w:rPr>
                <w:rFonts w:asciiTheme="minorHAnsi" w:hAnsiTheme="minorHAnsi" w:cstheme="minorHAnsi"/>
              </w:rPr>
              <w:t>/2023</w:t>
            </w:r>
          </w:p>
        </w:tc>
        <w:tc>
          <w:tcPr>
            <w:tcW w:w="844" w:type="pct"/>
          </w:tcPr>
          <w:p w14:paraId="69A70890" w14:textId="5821ECA0"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2</w:t>
            </w:r>
            <w:r w:rsidRPr="00E77125">
              <w:rPr>
                <w:rFonts w:asciiTheme="minorHAnsi" w:hAnsiTheme="minorHAnsi" w:cstheme="minorHAnsi"/>
              </w:rPr>
              <w:t>/2023</w:t>
            </w:r>
          </w:p>
        </w:tc>
        <w:tc>
          <w:tcPr>
            <w:tcW w:w="580" w:type="pct"/>
            <w:vAlign w:val="center"/>
          </w:tcPr>
          <w:p w14:paraId="48006476" w14:textId="655B5FA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521AEF23" w14:textId="00AA4F6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6E54FD9C" w14:textId="616B873F"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5824A87" w14:textId="77777777" w:rsidTr="00E51D4C">
        <w:tc>
          <w:tcPr>
            <w:tcW w:w="471" w:type="pct"/>
            <w:vAlign w:val="center"/>
          </w:tcPr>
          <w:p w14:paraId="57DA8C73" w14:textId="4B1E550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3</w:t>
            </w:r>
          </w:p>
        </w:tc>
        <w:tc>
          <w:tcPr>
            <w:tcW w:w="573" w:type="pct"/>
            <w:vAlign w:val="center"/>
          </w:tcPr>
          <w:p w14:paraId="7DA50516" w14:textId="2FB0916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mar/23</w:t>
            </w:r>
          </w:p>
        </w:tc>
        <w:tc>
          <w:tcPr>
            <w:tcW w:w="489" w:type="pct"/>
          </w:tcPr>
          <w:p w14:paraId="3EC1261D" w14:textId="4B2ABE1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3</w:t>
            </w:r>
            <w:r w:rsidRPr="00FC4F26">
              <w:rPr>
                <w:rFonts w:asciiTheme="minorHAnsi" w:hAnsiTheme="minorHAnsi" w:cstheme="minorHAnsi"/>
              </w:rPr>
              <w:t>/2023</w:t>
            </w:r>
          </w:p>
        </w:tc>
        <w:tc>
          <w:tcPr>
            <w:tcW w:w="852" w:type="pct"/>
          </w:tcPr>
          <w:p w14:paraId="12DFE999" w14:textId="1278691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3</w:t>
            </w:r>
            <w:r w:rsidRPr="00FC4F26">
              <w:rPr>
                <w:rFonts w:asciiTheme="minorHAnsi" w:hAnsiTheme="minorHAnsi" w:cstheme="minorHAnsi"/>
              </w:rPr>
              <w:t>/2023</w:t>
            </w:r>
          </w:p>
        </w:tc>
        <w:tc>
          <w:tcPr>
            <w:tcW w:w="844" w:type="pct"/>
          </w:tcPr>
          <w:p w14:paraId="33115BDD" w14:textId="1040E8C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3</w:t>
            </w:r>
            <w:r w:rsidRPr="00E77125">
              <w:rPr>
                <w:rFonts w:asciiTheme="minorHAnsi" w:hAnsiTheme="minorHAnsi" w:cstheme="minorHAnsi"/>
              </w:rPr>
              <w:t>/2023</w:t>
            </w:r>
          </w:p>
        </w:tc>
        <w:tc>
          <w:tcPr>
            <w:tcW w:w="580" w:type="pct"/>
            <w:vAlign w:val="center"/>
          </w:tcPr>
          <w:p w14:paraId="3BFDF97D" w14:textId="5E8AC7E7"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958FFD6" w14:textId="020A2E8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65B7CE7" w14:textId="75306648"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83FF52E" w14:textId="77777777" w:rsidTr="00E51D4C">
        <w:tc>
          <w:tcPr>
            <w:tcW w:w="471" w:type="pct"/>
            <w:vAlign w:val="center"/>
          </w:tcPr>
          <w:p w14:paraId="377405EC" w14:textId="50EE62F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4</w:t>
            </w:r>
          </w:p>
        </w:tc>
        <w:tc>
          <w:tcPr>
            <w:tcW w:w="573" w:type="pct"/>
            <w:vAlign w:val="center"/>
          </w:tcPr>
          <w:p w14:paraId="0D3CE2AB" w14:textId="248759A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abr/23</w:t>
            </w:r>
          </w:p>
        </w:tc>
        <w:tc>
          <w:tcPr>
            <w:tcW w:w="489" w:type="pct"/>
          </w:tcPr>
          <w:p w14:paraId="73D07CBB" w14:textId="33110396"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4</w:t>
            </w:r>
            <w:r w:rsidRPr="00FC4F26">
              <w:rPr>
                <w:rFonts w:asciiTheme="minorHAnsi" w:hAnsiTheme="minorHAnsi" w:cstheme="minorHAnsi"/>
              </w:rPr>
              <w:t>/2023</w:t>
            </w:r>
          </w:p>
        </w:tc>
        <w:tc>
          <w:tcPr>
            <w:tcW w:w="852" w:type="pct"/>
          </w:tcPr>
          <w:p w14:paraId="204DFE22" w14:textId="7E077485"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4</w:t>
            </w:r>
            <w:r w:rsidRPr="00FC4F26">
              <w:rPr>
                <w:rFonts w:asciiTheme="minorHAnsi" w:hAnsiTheme="minorHAnsi" w:cstheme="minorHAnsi"/>
              </w:rPr>
              <w:t>/2023</w:t>
            </w:r>
          </w:p>
        </w:tc>
        <w:tc>
          <w:tcPr>
            <w:tcW w:w="844" w:type="pct"/>
          </w:tcPr>
          <w:p w14:paraId="6B1B1CEA" w14:textId="3A7D7900"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4</w:t>
            </w:r>
            <w:r w:rsidRPr="00E77125">
              <w:rPr>
                <w:rFonts w:asciiTheme="minorHAnsi" w:hAnsiTheme="minorHAnsi" w:cstheme="minorHAnsi"/>
              </w:rPr>
              <w:t>/2023</w:t>
            </w:r>
          </w:p>
        </w:tc>
        <w:tc>
          <w:tcPr>
            <w:tcW w:w="580" w:type="pct"/>
            <w:vAlign w:val="center"/>
          </w:tcPr>
          <w:p w14:paraId="0A31308D" w14:textId="30AB55DF"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C20484C" w14:textId="366B0CD2"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1D82527E" w14:textId="5CD0D5A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4AC58C2" w14:textId="77777777" w:rsidTr="00E51D4C">
        <w:tc>
          <w:tcPr>
            <w:tcW w:w="471" w:type="pct"/>
            <w:vAlign w:val="center"/>
          </w:tcPr>
          <w:p w14:paraId="0C94AF60" w14:textId="7C652D4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5</w:t>
            </w:r>
          </w:p>
        </w:tc>
        <w:tc>
          <w:tcPr>
            <w:tcW w:w="573" w:type="pct"/>
            <w:vAlign w:val="center"/>
          </w:tcPr>
          <w:p w14:paraId="3A5274D4" w14:textId="005EDEC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mai/23</w:t>
            </w:r>
          </w:p>
        </w:tc>
        <w:tc>
          <w:tcPr>
            <w:tcW w:w="489" w:type="pct"/>
          </w:tcPr>
          <w:p w14:paraId="0858CB8D" w14:textId="05F8917E"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5</w:t>
            </w:r>
            <w:r w:rsidRPr="00FC4F26">
              <w:rPr>
                <w:rFonts w:asciiTheme="minorHAnsi" w:hAnsiTheme="minorHAnsi" w:cstheme="minorHAnsi"/>
              </w:rPr>
              <w:t>/2023</w:t>
            </w:r>
          </w:p>
        </w:tc>
        <w:tc>
          <w:tcPr>
            <w:tcW w:w="852" w:type="pct"/>
          </w:tcPr>
          <w:p w14:paraId="51858E3A" w14:textId="1908072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5</w:t>
            </w:r>
            <w:r w:rsidRPr="00FC4F26">
              <w:rPr>
                <w:rFonts w:asciiTheme="minorHAnsi" w:hAnsiTheme="minorHAnsi" w:cstheme="minorHAnsi"/>
              </w:rPr>
              <w:t>/2023</w:t>
            </w:r>
          </w:p>
        </w:tc>
        <w:tc>
          <w:tcPr>
            <w:tcW w:w="844" w:type="pct"/>
          </w:tcPr>
          <w:p w14:paraId="0BAE3525" w14:textId="36E7020B"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5</w:t>
            </w:r>
            <w:r w:rsidRPr="00E77125">
              <w:rPr>
                <w:rFonts w:asciiTheme="minorHAnsi" w:hAnsiTheme="minorHAnsi" w:cstheme="minorHAnsi"/>
              </w:rPr>
              <w:t>/2023</w:t>
            </w:r>
          </w:p>
        </w:tc>
        <w:tc>
          <w:tcPr>
            <w:tcW w:w="580" w:type="pct"/>
            <w:vAlign w:val="center"/>
          </w:tcPr>
          <w:p w14:paraId="35397966" w14:textId="7901A65D"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8F3174B" w14:textId="1E7A0F1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20D17EE6" w14:textId="52A197D3"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7CBF9AB" w14:textId="77777777" w:rsidTr="00E51D4C">
        <w:tc>
          <w:tcPr>
            <w:tcW w:w="471" w:type="pct"/>
            <w:vAlign w:val="center"/>
          </w:tcPr>
          <w:p w14:paraId="32B515E2" w14:textId="4B2334F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6</w:t>
            </w:r>
          </w:p>
        </w:tc>
        <w:tc>
          <w:tcPr>
            <w:tcW w:w="573" w:type="pct"/>
            <w:vAlign w:val="center"/>
          </w:tcPr>
          <w:p w14:paraId="70F9D930" w14:textId="2747BC6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jun/23</w:t>
            </w:r>
          </w:p>
        </w:tc>
        <w:tc>
          <w:tcPr>
            <w:tcW w:w="489" w:type="pct"/>
          </w:tcPr>
          <w:p w14:paraId="3C0E0C7C" w14:textId="3A2425FA"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6</w:t>
            </w:r>
            <w:r w:rsidRPr="00FC4F26">
              <w:rPr>
                <w:rFonts w:asciiTheme="minorHAnsi" w:hAnsiTheme="minorHAnsi" w:cstheme="minorHAnsi"/>
              </w:rPr>
              <w:t>/2023</w:t>
            </w:r>
          </w:p>
        </w:tc>
        <w:tc>
          <w:tcPr>
            <w:tcW w:w="852" w:type="pct"/>
          </w:tcPr>
          <w:p w14:paraId="0201C93E" w14:textId="203F936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6</w:t>
            </w:r>
            <w:r w:rsidRPr="00FC4F26">
              <w:rPr>
                <w:rFonts w:asciiTheme="minorHAnsi" w:hAnsiTheme="minorHAnsi" w:cstheme="minorHAnsi"/>
              </w:rPr>
              <w:t>/2023</w:t>
            </w:r>
          </w:p>
        </w:tc>
        <w:tc>
          <w:tcPr>
            <w:tcW w:w="844" w:type="pct"/>
          </w:tcPr>
          <w:p w14:paraId="1991FAFC" w14:textId="263F7A78"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6</w:t>
            </w:r>
            <w:r w:rsidRPr="00E77125">
              <w:rPr>
                <w:rFonts w:asciiTheme="minorHAnsi" w:hAnsiTheme="minorHAnsi" w:cstheme="minorHAnsi"/>
              </w:rPr>
              <w:t>/2023</w:t>
            </w:r>
          </w:p>
        </w:tc>
        <w:tc>
          <w:tcPr>
            <w:tcW w:w="580" w:type="pct"/>
            <w:vAlign w:val="center"/>
          </w:tcPr>
          <w:p w14:paraId="10565684" w14:textId="05EA74B2"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5B41BC93" w14:textId="662D49A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3EC3D35" w14:textId="1C4A54EB"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482A12D0" w14:textId="77777777" w:rsidTr="00E51D4C">
        <w:tc>
          <w:tcPr>
            <w:tcW w:w="471" w:type="pct"/>
            <w:vAlign w:val="center"/>
          </w:tcPr>
          <w:p w14:paraId="131C4897" w14:textId="4445A514"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7</w:t>
            </w:r>
          </w:p>
        </w:tc>
        <w:tc>
          <w:tcPr>
            <w:tcW w:w="573" w:type="pct"/>
            <w:vAlign w:val="center"/>
          </w:tcPr>
          <w:p w14:paraId="7F82F343" w14:textId="0065A64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jul/23</w:t>
            </w:r>
          </w:p>
        </w:tc>
        <w:tc>
          <w:tcPr>
            <w:tcW w:w="489" w:type="pct"/>
          </w:tcPr>
          <w:p w14:paraId="5DBB4900" w14:textId="41B374FA"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7</w:t>
            </w:r>
            <w:r w:rsidRPr="00FC4F26">
              <w:rPr>
                <w:rFonts w:asciiTheme="minorHAnsi" w:hAnsiTheme="minorHAnsi" w:cstheme="minorHAnsi"/>
              </w:rPr>
              <w:t>/2023</w:t>
            </w:r>
          </w:p>
        </w:tc>
        <w:tc>
          <w:tcPr>
            <w:tcW w:w="852" w:type="pct"/>
          </w:tcPr>
          <w:p w14:paraId="74EC61FC" w14:textId="61C2B35C"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7</w:t>
            </w:r>
            <w:r w:rsidRPr="00FC4F26">
              <w:rPr>
                <w:rFonts w:asciiTheme="minorHAnsi" w:hAnsiTheme="minorHAnsi" w:cstheme="minorHAnsi"/>
              </w:rPr>
              <w:t>/2023</w:t>
            </w:r>
          </w:p>
        </w:tc>
        <w:tc>
          <w:tcPr>
            <w:tcW w:w="844" w:type="pct"/>
          </w:tcPr>
          <w:p w14:paraId="2B77EA59" w14:textId="2523B9C2"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7</w:t>
            </w:r>
            <w:r w:rsidRPr="00E77125">
              <w:rPr>
                <w:rFonts w:asciiTheme="minorHAnsi" w:hAnsiTheme="minorHAnsi" w:cstheme="minorHAnsi"/>
              </w:rPr>
              <w:t>/2023</w:t>
            </w:r>
          </w:p>
        </w:tc>
        <w:tc>
          <w:tcPr>
            <w:tcW w:w="580" w:type="pct"/>
            <w:vAlign w:val="center"/>
          </w:tcPr>
          <w:p w14:paraId="32661E17" w14:textId="1C2AAA4B"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29D3652" w14:textId="153BD3B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343992B9" w14:textId="6AA877FC"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377C4D7" w14:textId="77777777" w:rsidTr="00E51D4C">
        <w:tc>
          <w:tcPr>
            <w:tcW w:w="471" w:type="pct"/>
            <w:vAlign w:val="center"/>
          </w:tcPr>
          <w:p w14:paraId="53CE6BFE" w14:textId="2092477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8</w:t>
            </w:r>
          </w:p>
        </w:tc>
        <w:tc>
          <w:tcPr>
            <w:tcW w:w="573" w:type="pct"/>
            <w:vAlign w:val="center"/>
          </w:tcPr>
          <w:p w14:paraId="6F1181BA" w14:textId="5B3FBEB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ago/23</w:t>
            </w:r>
          </w:p>
        </w:tc>
        <w:tc>
          <w:tcPr>
            <w:tcW w:w="489" w:type="pct"/>
          </w:tcPr>
          <w:p w14:paraId="0DAAACD1" w14:textId="19C592B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8</w:t>
            </w:r>
            <w:r w:rsidRPr="00FC4F26">
              <w:rPr>
                <w:rFonts w:asciiTheme="minorHAnsi" w:hAnsiTheme="minorHAnsi" w:cstheme="minorHAnsi"/>
              </w:rPr>
              <w:t>/2023</w:t>
            </w:r>
          </w:p>
        </w:tc>
        <w:tc>
          <w:tcPr>
            <w:tcW w:w="852" w:type="pct"/>
          </w:tcPr>
          <w:p w14:paraId="67B4854C" w14:textId="0097EE86"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8</w:t>
            </w:r>
            <w:r w:rsidRPr="00FC4F26">
              <w:rPr>
                <w:rFonts w:asciiTheme="minorHAnsi" w:hAnsiTheme="minorHAnsi" w:cstheme="minorHAnsi"/>
              </w:rPr>
              <w:t>/2023</w:t>
            </w:r>
          </w:p>
        </w:tc>
        <w:tc>
          <w:tcPr>
            <w:tcW w:w="844" w:type="pct"/>
          </w:tcPr>
          <w:p w14:paraId="136A975E" w14:textId="600E74E2"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8</w:t>
            </w:r>
            <w:r w:rsidRPr="00E77125">
              <w:rPr>
                <w:rFonts w:asciiTheme="minorHAnsi" w:hAnsiTheme="minorHAnsi" w:cstheme="minorHAnsi"/>
              </w:rPr>
              <w:t>/2023</w:t>
            </w:r>
          </w:p>
        </w:tc>
        <w:tc>
          <w:tcPr>
            <w:tcW w:w="580" w:type="pct"/>
            <w:vAlign w:val="center"/>
          </w:tcPr>
          <w:p w14:paraId="7B3DB40E" w14:textId="73A19332"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9318529" w14:textId="292F256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4BCE23FA" w14:textId="5C0FFCBA"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FA76961" w14:textId="77777777" w:rsidTr="00E51D4C">
        <w:tc>
          <w:tcPr>
            <w:tcW w:w="471" w:type="pct"/>
            <w:vAlign w:val="center"/>
          </w:tcPr>
          <w:p w14:paraId="142EDA42" w14:textId="24DA8CB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9</w:t>
            </w:r>
          </w:p>
        </w:tc>
        <w:tc>
          <w:tcPr>
            <w:tcW w:w="573" w:type="pct"/>
            <w:vAlign w:val="center"/>
          </w:tcPr>
          <w:p w14:paraId="44516356" w14:textId="44DE8F1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set/23</w:t>
            </w:r>
          </w:p>
        </w:tc>
        <w:tc>
          <w:tcPr>
            <w:tcW w:w="489" w:type="pct"/>
          </w:tcPr>
          <w:p w14:paraId="015CB3DC" w14:textId="3140777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9</w:t>
            </w:r>
            <w:r w:rsidRPr="00FC4F26">
              <w:rPr>
                <w:rFonts w:asciiTheme="minorHAnsi" w:hAnsiTheme="minorHAnsi" w:cstheme="minorHAnsi"/>
              </w:rPr>
              <w:t>/2023</w:t>
            </w:r>
          </w:p>
        </w:tc>
        <w:tc>
          <w:tcPr>
            <w:tcW w:w="852" w:type="pct"/>
          </w:tcPr>
          <w:p w14:paraId="5C6CBBB0" w14:textId="2E26F4B2"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9</w:t>
            </w:r>
            <w:r w:rsidRPr="00FC4F26">
              <w:rPr>
                <w:rFonts w:asciiTheme="minorHAnsi" w:hAnsiTheme="minorHAnsi" w:cstheme="minorHAnsi"/>
              </w:rPr>
              <w:t>/2023</w:t>
            </w:r>
          </w:p>
        </w:tc>
        <w:tc>
          <w:tcPr>
            <w:tcW w:w="844" w:type="pct"/>
          </w:tcPr>
          <w:p w14:paraId="526934B1" w14:textId="0823BAE7"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9</w:t>
            </w:r>
            <w:r w:rsidRPr="00E77125">
              <w:rPr>
                <w:rFonts w:asciiTheme="minorHAnsi" w:hAnsiTheme="minorHAnsi" w:cstheme="minorHAnsi"/>
              </w:rPr>
              <w:t>/2023</w:t>
            </w:r>
          </w:p>
        </w:tc>
        <w:tc>
          <w:tcPr>
            <w:tcW w:w="580" w:type="pct"/>
            <w:vAlign w:val="center"/>
          </w:tcPr>
          <w:p w14:paraId="291742DE" w14:textId="3A4B540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C6D0CF2" w14:textId="71E92D5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7E9698FF" w14:textId="6C5F40E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0A2A4D45" w14:textId="77777777" w:rsidTr="00E51D4C">
        <w:tc>
          <w:tcPr>
            <w:tcW w:w="471" w:type="pct"/>
            <w:vAlign w:val="center"/>
          </w:tcPr>
          <w:p w14:paraId="65D69203" w14:textId="237C6BA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w:t>
            </w:r>
          </w:p>
        </w:tc>
        <w:tc>
          <w:tcPr>
            <w:tcW w:w="573" w:type="pct"/>
            <w:vAlign w:val="center"/>
          </w:tcPr>
          <w:p w14:paraId="0E8F1EE5" w14:textId="71BCDB9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out/23</w:t>
            </w:r>
          </w:p>
        </w:tc>
        <w:tc>
          <w:tcPr>
            <w:tcW w:w="489" w:type="pct"/>
          </w:tcPr>
          <w:p w14:paraId="23A0E8DF" w14:textId="0535C43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w:t>
            </w:r>
            <w:r>
              <w:rPr>
                <w:rFonts w:asciiTheme="minorHAnsi" w:hAnsiTheme="minorHAnsi" w:cstheme="minorHAnsi"/>
              </w:rPr>
              <w:t>10</w:t>
            </w:r>
            <w:r w:rsidRPr="00FC4F26">
              <w:rPr>
                <w:rFonts w:asciiTheme="minorHAnsi" w:hAnsiTheme="minorHAnsi" w:cstheme="minorHAnsi"/>
              </w:rPr>
              <w:t>/2023</w:t>
            </w:r>
          </w:p>
        </w:tc>
        <w:tc>
          <w:tcPr>
            <w:tcW w:w="852" w:type="pct"/>
          </w:tcPr>
          <w:p w14:paraId="6F1276E5" w14:textId="732EBBF5"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w:t>
            </w:r>
            <w:r>
              <w:rPr>
                <w:rFonts w:asciiTheme="minorHAnsi" w:hAnsiTheme="minorHAnsi" w:cstheme="minorHAnsi"/>
              </w:rPr>
              <w:t>10</w:t>
            </w:r>
            <w:r w:rsidRPr="00FC4F26">
              <w:rPr>
                <w:rFonts w:asciiTheme="minorHAnsi" w:hAnsiTheme="minorHAnsi" w:cstheme="minorHAnsi"/>
              </w:rPr>
              <w:t>/2023</w:t>
            </w:r>
          </w:p>
        </w:tc>
        <w:tc>
          <w:tcPr>
            <w:tcW w:w="844" w:type="pct"/>
          </w:tcPr>
          <w:p w14:paraId="32681EC3" w14:textId="011B00B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w:t>
            </w:r>
            <w:r>
              <w:rPr>
                <w:rFonts w:asciiTheme="minorHAnsi" w:hAnsiTheme="minorHAnsi" w:cstheme="minorHAnsi"/>
              </w:rPr>
              <w:t>10</w:t>
            </w:r>
            <w:r w:rsidRPr="00E77125">
              <w:rPr>
                <w:rFonts w:asciiTheme="minorHAnsi" w:hAnsiTheme="minorHAnsi" w:cstheme="minorHAnsi"/>
              </w:rPr>
              <w:t>/2023</w:t>
            </w:r>
          </w:p>
        </w:tc>
        <w:tc>
          <w:tcPr>
            <w:tcW w:w="580" w:type="pct"/>
            <w:vAlign w:val="center"/>
          </w:tcPr>
          <w:p w14:paraId="5F70E426" w14:textId="64147FD6"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8ED6052" w14:textId="3C0DE8E4" w:rsidR="00D4515D" w:rsidRPr="000D7642" w:rsidRDefault="00A9741F"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1594ED74" w14:textId="1D4A2694"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5F49094E" w14:textId="77777777" w:rsidTr="00E51D4C">
        <w:tc>
          <w:tcPr>
            <w:tcW w:w="471" w:type="pct"/>
            <w:vAlign w:val="center"/>
          </w:tcPr>
          <w:p w14:paraId="39F0C7B2" w14:textId="2FBAF5D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11</w:t>
            </w:r>
          </w:p>
        </w:tc>
        <w:tc>
          <w:tcPr>
            <w:tcW w:w="573" w:type="pct"/>
            <w:vAlign w:val="center"/>
          </w:tcPr>
          <w:p w14:paraId="2436D3A6" w14:textId="5613631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nov/23</w:t>
            </w:r>
          </w:p>
        </w:tc>
        <w:tc>
          <w:tcPr>
            <w:tcW w:w="489" w:type="pct"/>
          </w:tcPr>
          <w:p w14:paraId="666259B9" w14:textId="1BC33F5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1</w:t>
            </w:r>
            <w:r w:rsidRPr="00FC4F26">
              <w:rPr>
                <w:rFonts w:asciiTheme="minorHAnsi" w:hAnsiTheme="minorHAnsi" w:cstheme="minorHAnsi"/>
              </w:rPr>
              <w:t>/2023</w:t>
            </w:r>
          </w:p>
        </w:tc>
        <w:tc>
          <w:tcPr>
            <w:tcW w:w="852" w:type="pct"/>
          </w:tcPr>
          <w:p w14:paraId="661906EA" w14:textId="50C0E5E3"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1</w:t>
            </w:r>
            <w:r w:rsidRPr="00FC4F26">
              <w:rPr>
                <w:rFonts w:asciiTheme="minorHAnsi" w:hAnsiTheme="minorHAnsi" w:cstheme="minorHAnsi"/>
              </w:rPr>
              <w:t>/2023</w:t>
            </w:r>
          </w:p>
        </w:tc>
        <w:tc>
          <w:tcPr>
            <w:tcW w:w="844" w:type="pct"/>
          </w:tcPr>
          <w:p w14:paraId="692B30BF" w14:textId="5C025668"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10/1</w:t>
            </w:r>
            <w:r>
              <w:rPr>
                <w:rFonts w:asciiTheme="minorHAnsi" w:hAnsiTheme="minorHAnsi" w:cstheme="minorHAnsi"/>
              </w:rPr>
              <w:t>1</w:t>
            </w:r>
            <w:r w:rsidRPr="00E77125">
              <w:rPr>
                <w:rFonts w:asciiTheme="minorHAnsi" w:hAnsiTheme="minorHAnsi" w:cstheme="minorHAnsi"/>
              </w:rPr>
              <w:t>/2023</w:t>
            </w:r>
          </w:p>
        </w:tc>
        <w:tc>
          <w:tcPr>
            <w:tcW w:w="580" w:type="pct"/>
            <w:vAlign w:val="center"/>
          </w:tcPr>
          <w:p w14:paraId="38FA0540" w14:textId="21054431"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6AA8375F" w14:textId="43675C2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2613085" w14:textId="40B6C007"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BD67E9D" w14:textId="77777777" w:rsidTr="00E51D4C">
        <w:tc>
          <w:tcPr>
            <w:tcW w:w="471" w:type="pct"/>
            <w:vAlign w:val="center"/>
          </w:tcPr>
          <w:p w14:paraId="10E10D55" w14:textId="45D509D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12</w:t>
            </w:r>
          </w:p>
        </w:tc>
        <w:tc>
          <w:tcPr>
            <w:tcW w:w="573" w:type="pct"/>
            <w:vAlign w:val="center"/>
          </w:tcPr>
          <w:p w14:paraId="146CB10F" w14:textId="5B48B70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dez/23</w:t>
            </w:r>
          </w:p>
        </w:tc>
        <w:tc>
          <w:tcPr>
            <w:tcW w:w="489" w:type="pct"/>
          </w:tcPr>
          <w:p w14:paraId="28D136C9" w14:textId="15703908"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2</w:t>
            </w:r>
            <w:r w:rsidRPr="00FC4F26">
              <w:rPr>
                <w:rFonts w:asciiTheme="minorHAnsi" w:hAnsiTheme="minorHAnsi" w:cstheme="minorHAnsi"/>
              </w:rPr>
              <w:t>/2023</w:t>
            </w:r>
          </w:p>
        </w:tc>
        <w:tc>
          <w:tcPr>
            <w:tcW w:w="852" w:type="pct"/>
          </w:tcPr>
          <w:p w14:paraId="7D2F888B" w14:textId="40BE653E"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2</w:t>
            </w:r>
            <w:r w:rsidRPr="00FC4F26">
              <w:rPr>
                <w:rFonts w:asciiTheme="minorHAnsi" w:hAnsiTheme="minorHAnsi" w:cstheme="minorHAnsi"/>
              </w:rPr>
              <w:t>/2023</w:t>
            </w:r>
          </w:p>
        </w:tc>
        <w:tc>
          <w:tcPr>
            <w:tcW w:w="844" w:type="pct"/>
          </w:tcPr>
          <w:p w14:paraId="2396404C" w14:textId="38B184F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10/1</w:t>
            </w:r>
            <w:r>
              <w:rPr>
                <w:rFonts w:asciiTheme="minorHAnsi" w:hAnsiTheme="minorHAnsi" w:cstheme="minorHAnsi"/>
              </w:rPr>
              <w:t>2</w:t>
            </w:r>
            <w:r w:rsidRPr="00E77125">
              <w:rPr>
                <w:rFonts w:asciiTheme="minorHAnsi" w:hAnsiTheme="minorHAnsi" w:cstheme="minorHAnsi"/>
              </w:rPr>
              <w:t>/2023</w:t>
            </w:r>
          </w:p>
        </w:tc>
        <w:tc>
          <w:tcPr>
            <w:tcW w:w="580" w:type="pct"/>
            <w:vAlign w:val="center"/>
          </w:tcPr>
          <w:p w14:paraId="562D6A91" w14:textId="7BECAF33"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275E170B" w14:textId="1992DF2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FA6B6B8" w14:textId="3DF1923A"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5FB83EE" w14:textId="77777777" w:rsidTr="005A7318">
        <w:tc>
          <w:tcPr>
            <w:tcW w:w="471" w:type="pct"/>
            <w:vAlign w:val="center"/>
          </w:tcPr>
          <w:p w14:paraId="534D24DA" w14:textId="6CD033B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13</w:t>
            </w:r>
          </w:p>
        </w:tc>
        <w:tc>
          <w:tcPr>
            <w:tcW w:w="573" w:type="pct"/>
            <w:vAlign w:val="center"/>
          </w:tcPr>
          <w:p w14:paraId="727CFD98" w14:textId="400CD30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jan/24</w:t>
            </w:r>
          </w:p>
        </w:tc>
        <w:tc>
          <w:tcPr>
            <w:tcW w:w="489" w:type="pct"/>
            <w:vAlign w:val="center"/>
          </w:tcPr>
          <w:p w14:paraId="4019B00C" w14:textId="109D74B6"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2024</w:t>
            </w:r>
          </w:p>
        </w:tc>
        <w:tc>
          <w:tcPr>
            <w:tcW w:w="852" w:type="pct"/>
            <w:vAlign w:val="center"/>
          </w:tcPr>
          <w:p w14:paraId="348391B4" w14:textId="5E28F69B"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2024</w:t>
            </w:r>
          </w:p>
        </w:tc>
        <w:tc>
          <w:tcPr>
            <w:tcW w:w="844" w:type="pct"/>
            <w:vAlign w:val="center"/>
          </w:tcPr>
          <w:p w14:paraId="36797BF6" w14:textId="7E10B52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10/01/2024</w:t>
            </w:r>
          </w:p>
        </w:tc>
        <w:tc>
          <w:tcPr>
            <w:tcW w:w="580" w:type="pct"/>
            <w:vAlign w:val="center"/>
          </w:tcPr>
          <w:p w14:paraId="6D955079" w14:textId="1A65510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43D366F" w14:textId="1B885BC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0B5DF933" w14:textId="7783920F"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4669B42" w14:textId="77777777" w:rsidTr="00BF565D">
        <w:tc>
          <w:tcPr>
            <w:tcW w:w="471" w:type="pct"/>
            <w:vAlign w:val="center"/>
          </w:tcPr>
          <w:p w14:paraId="74C830F0" w14:textId="7A13780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14</w:t>
            </w:r>
          </w:p>
        </w:tc>
        <w:tc>
          <w:tcPr>
            <w:tcW w:w="573" w:type="pct"/>
            <w:vAlign w:val="center"/>
          </w:tcPr>
          <w:p w14:paraId="0A5819F6" w14:textId="32C671D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fev/24</w:t>
            </w:r>
          </w:p>
        </w:tc>
        <w:tc>
          <w:tcPr>
            <w:tcW w:w="489" w:type="pct"/>
          </w:tcPr>
          <w:p w14:paraId="70E8B533" w14:textId="1EED4A99"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2</w:t>
            </w:r>
            <w:r w:rsidRPr="00D956E7">
              <w:rPr>
                <w:rFonts w:asciiTheme="minorHAnsi" w:hAnsiTheme="minorHAnsi" w:cstheme="minorHAnsi"/>
              </w:rPr>
              <w:t>/2024</w:t>
            </w:r>
          </w:p>
        </w:tc>
        <w:tc>
          <w:tcPr>
            <w:tcW w:w="852" w:type="pct"/>
          </w:tcPr>
          <w:p w14:paraId="2A7C66A1" w14:textId="2441737B"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2</w:t>
            </w:r>
            <w:r w:rsidRPr="00D956E7">
              <w:rPr>
                <w:rFonts w:asciiTheme="minorHAnsi" w:hAnsiTheme="minorHAnsi" w:cstheme="minorHAnsi"/>
              </w:rPr>
              <w:t>/2024</w:t>
            </w:r>
          </w:p>
        </w:tc>
        <w:tc>
          <w:tcPr>
            <w:tcW w:w="844" w:type="pct"/>
            <w:vAlign w:val="center"/>
          </w:tcPr>
          <w:p w14:paraId="017A0722" w14:textId="07E9FFA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10/02/2024</w:t>
            </w:r>
          </w:p>
        </w:tc>
        <w:tc>
          <w:tcPr>
            <w:tcW w:w="580" w:type="pct"/>
            <w:vAlign w:val="center"/>
          </w:tcPr>
          <w:p w14:paraId="41705242" w14:textId="47FDCA9A"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D107C95" w14:textId="7D3C1A50"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4C880D76" w14:textId="0D87453C"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90C428F" w14:textId="77777777" w:rsidTr="00BF565D">
        <w:tc>
          <w:tcPr>
            <w:tcW w:w="471" w:type="pct"/>
            <w:vAlign w:val="center"/>
          </w:tcPr>
          <w:p w14:paraId="0A759860" w14:textId="0704239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15</w:t>
            </w:r>
          </w:p>
        </w:tc>
        <w:tc>
          <w:tcPr>
            <w:tcW w:w="573" w:type="pct"/>
            <w:vAlign w:val="center"/>
          </w:tcPr>
          <w:p w14:paraId="383C758A" w14:textId="46731205"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mar/24</w:t>
            </w:r>
          </w:p>
        </w:tc>
        <w:tc>
          <w:tcPr>
            <w:tcW w:w="489" w:type="pct"/>
          </w:tcPr>
          <w:p w14:paraId="02760501" w14:textId="67862944"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3</w:t>
            </w:r>
            <w:r w:rsidRPr="00D956E7">
              <w:rPr>
                <w:rFonts w:asciiTheme="minorHAnsi" w:hAnsiTheme="minorHAnsi" w:cstheme="minorHAnsi"/>
              </w:rPr>
              <w:t>/2024</w:t>
            </w:r>
          </w:p>
        </w:tc>
        <w:tc>
          <w:tcPr>
            <w:tcW w:w="852" w:type="pct"/>
          </w:tcPr>
          <w:p w14:paraId="04AAB0FD" w14:textId="6D526945"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3</w:t>
            </w:r>
            <w:r w:rsidRPr="00D956E7">
              <w:rPr>
                <w:rFonts w:asciiTheme="minorHAnsi" w:hAnsiTheme="minorHAnsi" w:cstheme="minorHAnsi"/>
              </w:rPr>
              <w:t>/2024</w:t>
            </w:r>
          </w:p>
        </w:tc>
        <w:tc>
          <w:tcPr>
            <w:tcW w:w="844" w:type="pct"/>
            <w:vAlign w:val="center"/>
          </w:tcPr>
          <w:p w14:paraId="2354812D" w14:textId="0FAE9CE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10/03/2024</w:t>
            </w:r>
          </w:p>
        </w:tc>
        <w:tc>
          <w:tcPr>
            <w:tcW w:w="580" w:type="pct"/>
            <w:vAlign w:val="center"/>
          </w:tcPr>
          <w:p w14:paraId="7BEC6CB5" w14:textId="67F9761C"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381356C0" w14:textId="42775150"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8F3D0B3" w14:textId="1977C4F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ACD79FE" w14:textId="77777777" w:rsidTr="00BF565D">
        <w:tc>
          <w:tcPr>
            <w:tcW w:w="471" w:type="pct"/>
            <w:vAlign w:val="center"/>
          </w:tcPr>
          <w:p w14:paraId="69B5F95F" w14:textId="62221092"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16</w:t>
            </w:r>
          </w:p>
        </w:tc>
        <w:tc>
          <w:tcPr>
            <w:tcW w:w="573" w:type="pct"/>
            <w:vAlign w:val="center"/>
          </w:tcPr>
          <w:p w14:paraId="673FDE3C" w14:textId="60B6300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abr/24</w:t>
            </w:r>
          </w:p>
        </w:tc>
        <w:tc>
          <w:tcPr>
            <w:tcW w:w="489" w:type="pct"/>
          </w:tcPr>
          <w:p w14:paraId="183DA4AD" w14:textId="4DC994F8"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4</w:t>
            </w:r>
            <w:r w:rsidRPr="00D956E7">
              <w:rPr>
                <w:rFonts w:asciiTheme="minorHAnsi" w:hAnsiTheme="minorHAnsi" w:cstheme="minorHAnsi"/>
              </w:rPr>
              <w:t>/2024</w:t>
            </w:r>
          </w:p>
        </w:tc>
        <w:tc>
          <w:tcPr>
            <w:tcW w:w="852" w:type="pct"/>
          </w:tcPr>
          <w:p w14:paraId="0FE34483" w14:textId="56792980"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4</w:t>
            </w:r>
            <w:r w:rsidRPr="00D956E7">
              <w:rPr>
                <w:rFonts w:asciiTheme="minorHAnsi" w:hAnsiTheme="minorHAnsi" w:cstheme="minorHAnsi"/>
              </w:rPr>
              <w:t>/2024</w:t>
            </w:r>
          </w:p>
        </w:tc>
        <w:tc>
          <w:tcPr>
            <w:tcW w:w="844" w:type="pct"/>
            <w:vAlign w:val="center"/>
          </w:tcPr>
          <w:p w14:paraId="1CC809E4" w14:textId="4A05C28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10/04/2024</w:t>
            </w:r>
          </w:p>
        </w:tc>
        <w:tc>
          <w:tcPr>
            <w:tcW w:w="580" w:type="pct"/>
            <w:vAlign w:val="center"/>
          </w:tcPr>
          <w:p w14:paraId="4130416D" w14:textId="551897B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34AC504" w14:textId="56EAF84E"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1675232A" w14:textId="22CC4473"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002C48B2" w14:textId="77777777" w:rsidTr="00BF565D">
        <w:tc>
          <w:tcPr>
            <w:tcW w:w="471" w:type="pct"/>
            <w:vAlign w:val="center"/>
          </w:tcPr>
          <w:p w14:paraId="1DD8B498" w14:textId="238BE685"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17</w:t>
            </w:r>
          </w:p>
        </w:tc>
        <w:tc>
          <w:tcPr>
            <w:tcW w:w="573" w:type="pct"/>
            <w:vAlign w:val="center"/>
          </w:tcPr>
          <w:p w14:paraId="002A9597" w14:textId="5B6B480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mai/24</w:t>
            </w:r>
          </w:p>
        </w:tc>
        <w:tc>
          <w:tcPr>
            <w:tcW w:w="489" w:type="pct"/>
          </w:tcPr>
          <w:p w14:paraId="7CB9667E" w14:textId="74408182"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5</w:t>
            </w:r>
            <w:r w:rsidRPr="00D956E7">
              <w:rPr>
                <w:rFonts w:asciiTheme="minorHAnsi" w:hAnsiTheme="minorHAnsi" w:cstheme="minorHAnsi"/>
              </w:rPr>
              <w:t>/2024</w:t>
            </w:r>
          </w:p>
        </w:tc>
        <w:tc>
          <w:tcPr>
            <w:tcW w:w="852" w:type="pct"/>
          </w:tcPr>
          <w:p w14:paraId="6F9DE928" w14:textId="011BA3ED"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5</w:t>
            </w:r>
            <w:r w:rsidRPr="00D956E7">
              <w:rPr>
                <w:rFonts w:asciiTheme="minorHAnsi" w:hAnsiTheme="minorHAnsi" w:cstheme="minorHAnsi"/>
              </w:rPr>
              <w:t>/2024</w:t>
            </w:r>
          </w:p>
        </w:tc>
        <w:tc>
          <w:tcPr>
            <w:tcW w:w="844" w:type="pct"/>
            <w:vAlign w:val="center"/>
          </w:tcPr>
          <w:p w14:paraId="180695A6" w14:textId="51C6DEC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10/05/2024</w:t>
            </w:r>
          </w:p>
        </w:tc>
        <w:tc>
          <w:tcPr>
            <w:tcW w:w="580" w:type="pct"/>
            <w:vAlign w:val="center"/>
          </w:tcPr>
          <w:p w14:paraId="4FA7CD5B" w14:textId="6B032F77"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37E03E8" w14:textId="5B1EFB34"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4468D20B" w14:textId="116AA7E7"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BEEAF85" w14:textId="77777777" w:rsidTr="00BF565D">
        <w:trPr>
          <w:trHeight w:val="375"/>
        </w:trPr>
        <w:tc>
          <w:tcPr>
            <w:tcW w:w="471" w:type="pct"/>
            <w:vAlign w:val="center"/>
          </w:tcPr>
          <w:p w14:paraId="77F5CD5F" w14:textId="54CBCAC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18</w:t>
            </w:r>
          </w:p>
        </w:tc>
        <w:tc>
          <w:tcPr>
            <w:tcW w:w="573" w:type="pct"/>
            <w:vAlign w:val="center"/>
          </w:tcPr>
          <w:p w14:paraId="5D122EE1" w14:textId="4C2A5E0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Jun/24</w:t>
            </w:r>
          </w:p>
        </w:tc>
        <w:tc>
          <w:tcPr>
            <w:tcW w:w="489" w:type="pct"/>
          </w:tcPr>
          <w:p w14:paraId="1D9D555E" w14:textId="5D691A95"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6</w:t>
            </w:r>
            <w:r w:rsidRPr="00D956E7">
              <w:rPr>
                <w:rFonts w:asciiTheme="minorHAnsi" w:hAnsiTheme="minorHAnsi" w:cstheme="minorHAnsi"/>
              </w:rPr>
              <w:t>/2024</w:t>
            </w:r>
          </w:p>
        </w:tc>
        <w:tc>
          <w:tcPr>
            <w:tcW w:w="852" w:type="pct"/>
          </w:tcPr>
          <w:p w14:paraId="37E0B2A4" w14:textId="26865DEC"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6</w:t>
            </w:r>
            <w:r w:rsidRPr="00D956E7">
              <w:rPr>
                <w:rFonts w:asciiTheme="minorHAnsi" w:hAnsiTheme="minorHAnsi" w:cstheme="minorHAnsi"/>
              </w:rPr>
              <w:t>/2024</w:t>
            </w:r>
          </w:p>
        </w:tc>
        <w:tc>
          <w:tcPr>
            <w:tcW w:w="844" w:type="pct"/>
            <w:vAlign w:val="center"/>
          </w:tcPr>
          <w:p w14:paraId="42321FF6" w14:textId="03C27AA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Data de Vencimento</w:t>
            </w:r>
          </w:p>
        </w:tc>
        <w:tc>
          <w:tcPr>
            <w:tcW w:w="580" w:type="pct"/>
            <w:vAlign w:val="center"/>
          </w:tcPr>
          <w:p w14:paraId="1800E6CD" w14:textId="74A3EFCC"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5A3166B" w14:textId="5E6F773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C9FFFCF" w14:textId="1C711F73"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69B0" w14:textId="77777777" w:rsidR="00475AF7" w:rsidRDefault="00475AF7">
      <w:r>
        <w:separator/>
      </w:r>
    </w:p>
  </w:endnote>
  <w:endnote w:type="continuationSeparator" w:id="0">
    <w:p w14:paraId="2B3219B0" w14:textId="77777777" w:rsidR="00475AF7" w:rsidRDefault="00475AF7">
      <w:r>
        <w:continuationSeparator/>
      </w:r>
    </w:p>
  </w:endnote>
  <w:endnote w:type="continuationNotice" w:id="1">
    <w:p w14:paraId="5685F2AA" w14:textId="77777777" w:rsidR="00475AF7" w:rsidRDefault="0047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6220EB"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123B" w14:textId="77777777" w:rsidR="00475AF7" w:rsidRDefault="00475AF7">
      <w:r>
        <w:separator/>
      </w:r>
    </w:p>
  </w:footnote>
  <w:footnote w:type="continuationSeparator" w:id="0">
    <w:p w14:paraId="3C9DE55D" w14:textId="77777777" w:rsidR="00475AF7" w:rsidRDefault="00475AF7">
      <w:r>
        <w:continuationSeparator/>
      </w:r>
    </w:p>
  </w:footnote>
  <w:footnote w:type="continuationNotice" w:id="1">
    <w:p w14:paraId="7177EC8A" w14:textId="77777777" w:rsidR="00475AF7" w:rsidRDefault="00475AF7"/>
  </w:footnote>
  <w:footnote w:id="2">
    <w:p w14:paraId="7197FFE2" w14:textId="3FFC6F8D"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r w:rsidR="002A1A32">
        <w:rPr>
          <w:rFonts w:asciiTheme="minorHAnsi" w:hAnsiTheme="minorHAnsi" w:cstheme="minorHAnsi"/>
        </w:rPr>
        <w:t xml:space="preserve"> [</w:t>
      </w:r>
      <w:r w:rsidR="002A1A32" w:rsidRPr="0074280D">
        <w:rPr>
          <w:rFonts w:asciiTheme="minorHAnsi" w:hAnsiTheme="minorHAnsi" w:cstheme="minorHAnsi"/>
          <w:b/>
          <w:bCs/>
          <w:highlight w:val="yellow"/>
          <w:u w:val="single"/>
        </w:rPr>
        <w:t>Nota SF</w:t>
      </w:r>
      <w:r w:rsidR="002A1A32" w:rsidRPr="0074280D">
        <w:rPr>
          <w:rFonts w:asciiTheme="minorHAnsi" w:hAnsiTheme="minorHAnsi" w:cstheme="minorHAnsi"/>
          <w:highlight w:val="yellow"/>
        </w:rPr>
        <w:t>: A B3 precisa ser avisada com 3 DU de antecedência da amortização</w:t>
      </w:r>
      <w:r w:rsidR="00025CF4" w:rsidRPr="0074280D">
        <w:rPr>
          <w:rFonts w:asciiTheme="minorHAnsi" w:hAnsiTheme="minorHAnsi" w:cstheme="minorHAnsi"/>
          <w:highlight w:val="yellow"/>
        </w:rPr>
        <w:t xml:space="preserve"> extraordinária.</w:t>
      </w:r>
      <w:r w:rsidR="00025CF4">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B595" w14:textId="493C30B6" w:rsidR="00F005E8" w:rsidRPr="00B524EC" w:rsidRDefault="00F005E8" w:rsidP="00174A7D">
    <w:pPr>
      <w:pStyle w:val="Cabealho"/>
      <w:jc w:val="right"/>
      <w:rPr>
        <w:rFonts w:asciiTheme="minorHAnsi" w:hAnsiTheme="minorHAnsi" w:cstheme="minorHAnsi"/>
        <w:i/>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AC068D"/>
    <w:multiLevelType w:val="hybridMultilevel"/>
    <w:tmpl w:val="9A82F8A6"/>
    <w:lvl w:ilvl="0" w:tplc="FF889CBA">
      <w:start w:val="1"/>
      <w:numFmt w:val="decimal"/>
      <w:lvlText w:val="%1."/>
      <w:lvlJc w:val="left"/>
      <w:pPr>
        <w:ind w:left="720" w:hanging="360"/>
      </w:pPr>
      <w:rPr>
        <w:rFonts w:hint="default"/>
      </w:rPr>
    </w:lvl>
    <w:lvl w:ilvl="1" w:tplc="0A98C38E">
      <w:start w:val="1"/>
      <w:numFmt w:val="lowerRoman"/>
      <w:lvlText w:val="(%2)"/>
      <w:lvlJc w:val="left"/>
      <w:pPr>
        <w:ind w:left="720" w:hanging="360"/>
      </w:pPr>
      <w:rPr>
        <w:rFonts w:hint="default"/>
        <w:b/>
        <w:bCs/>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5"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8"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4"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9033295">
    <w:abstractNumId w:val="3"/>
  </w:num>
  <w:num w:numId="2" w16cid:durableId="2048144217">
    <w:abstractNumId w:val="7"/>
  </w:num>
  <w:num w:numId="3" w16cid:durableId="1322851091">
    <w:abstractNumId w:val="13"/>
  </w:num>
  <w:num w:numId="4" w16cid:durableId="664434013">
    <w:abstractNumId w:val="17"/>
  </w:num>
  <w:num w:numId="5" w16cid:durableId="620304327">
    <w:abstractNumId w:val="36"/>
  </w:num>
  <w:num w:numId="6" w16cid:durableId="1097826005">
    <w:abstractNumId w:val="25"/>
  </w:num>
  <w:num w:numId="7" w16cid:durableId="1808432270">
    <w:abstractNumId w:val="68"/>
  </w:num>
  <w:num w:numId="8" w16cid:durableId="1322347551">
    <w:abstractNumId w:val="46"/>
  </w:num>
  <w:num w:numId="9" w16cid:durableId="501891603">
    <w:abstractNumId w:val="8"/>
  </w:num>
  <w:num w:numId="10" w16cid:durableId="1680808556">
    <w:abstractNumId w:val="10"/>
  </w:num>
  <w:num w:numId="11" w16cid:durableId="406146600">
    <w:abstractNumId w:val="33"/>
  </w:num>
  <w:num w:numId="12" w16cid:durableId="910501122">
    <w:abstractNumId w:val="63"/>
  </w:num>
  <w:num w:numId="13" w16cid:durableId="1036009102">
    <w:abstractNumId w:val="54"/>
  </w:num>
  <w:num w:numId="14" w16cid:durableId="1733889149">
    <w:abstractNumId w:val="11"/>
  </w:num>
  <w:num w:numId="15" w16cid:durableId="1677883309">
    <w:abstractNumId w:val="23"/>
  </w:num>
  <w:num w:numId="16" w16cid:durableId="1166551065">
    <w:abstractNumId w:val="42"/>
  </w:num>
  <w:num w:numId="17" w16cid:durableId="1649750986">
    <w:abstractNumId w:val="48"/>
  </w:num>
  <w:num w:numId="18" w16cid:durableId="1643536419">
    <w:abstractNumId w:val="61"/>
  </w:num>
  <w:num w:numId="19" w16cid:durableId="2010870195">
    <w:abstractNumId w:val="55"/>
  </w:num>
  <w:num w:numId="20" w16cid:durableId="7643787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380390">
    <w:abstractNumId w:val="41"/>
  </w:num>
  <w:num w:numId="22" w16cid:durableId="2095784664">
    <w:abstractNumId w:val="28"/>
  </w:num>
  <w:num w:numId="23" w16cid:durableId="1975140782">
    <w:abstractNumId w:val="39"/>
  </w:num>
  <w:num w:numId="24" w16cid:durableId="407654175">
    <w:abstractNumId w:val="1"/>
    <w:lvlOverride w:ilvl="0">
      <w:startOverride w:val="1"/>
    </w:lvlOverride>
  </w:num>
  <w:num w:numId="25" w16cid:durableId="615987141">
    <w:abstractNumId w:val="38"/>
  </w:num>
  <w:num w:numId="26" w16cid:durableId="422185760">
    <w:abstractNumId w:val="19"/>
  </w:num>
  <w:num w:numId="27" w16cid:durableId="2023705578">
    <w:abstractNumId w:val="62"/>
  </w:num>
  <w:num w:numId="28" w16cid:durableId="891159974">
    <w:abstractNumId w:val="66"/>
  </w:num>
  <w:num w:numId="29" w16cid:durableId="435297304">
    <w:abstractNumId w:val="29"/>
  </w:num>
  <w:num w:numId="30" w16cid:durableId="482426809">
    <w:abstractNumId w:val="14"/>
  </w:num>
  <w:num w:numId="31" w16cid:durableId="12306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673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360466">
    <w:abstractNumId w:val="24"/>
  </w:num>
  <w:num w:numId="34" w16cid:durableId="790900273">
    <w:abstractNumId w:val="52"/>
  </w:num>
  <w:num w:numId="35" w16cid:durableId="1089503087">
    <w:abstractNumId w:val="31"/>
  </w:num>
  <w:num w:numId="36" w16cid:durableId="977030053">
    <w:abstractNumId w:val="57"/>
  </w:num>
  <w:num w:numId="37" w16cid:durableId="1599176238">
    <w:abstractNumId w:val="56"/>
  </w:num>
  <w:num w:numId="38" w16cid:durableId="819811297">
    <w:abstractNumId w:val="30"/>
  </w:num>
  <w:num w:numId="39" w16cid:durableId="2080781420">
    <w:abstractNumId w:val="67"/>
  </w:num>
  <w:num w:numId="40" w16cid:durableId="857277941">
    <w:abstractNumId w:val="35"/>
  </w:num>
  <w:num w:numId="41" w16cid:durableId="771166089">
    <w:abstractNumId w:val="9"/>
  </w:num>
  <w:num w:numId="42" w16cid:durableId="867907674">
    <w:abstractNumId w:val="20"/>
  </w:num>
  <w:num w:numId="43" w16cid:durableId="2066030339">
    <w:abstractNumId w:val="44"/>
  </w:num>
  <w:num w:numId="44" w16cid:durableId="643660832">
    <w:abstractNumId w:val="65"/>
  </w:num>
  <w:num w:numId="45" w16cid:durableId="228537150">
    <w:abstractNumId w:val="37"/>
  </w:num>
  <w:num w:numId="46" w16cid:durableId="1272857373">
    <w:abstractNumId w:val="60"/>
  </w:num>
  <w:num w:numId="47" w16cid:durableId="386688118">
    <w:abstractNumId w:val="32"/>
  </w:num>
  <w:num w:numId="48" w16cid:durableId="1949041254">
    <w:abstractNumId w:val="22"/>
  </w:num>
  <w:num w:numId="49" w16cid:durableId="2104916767">
    <w:abstractNumId w:val="27"/>
  </w:num>
  <w:num w:numId="50" w16cid:durableId="844441615">
    <w:abstractNumId w:val="53"/>
  </w:num>
  <w:num w:numId="51" w16cid:durableId="1934244414">
    <w:abstractNumId w:val="70"/>
  </w:num>
  <w:num w:numId="52" w16cid:durableId="567149885">
    <w:abstractNumId w:val="16"/>
  </w:num>
  <w:num w:numId="53" w16cid:durableId="1280182423">
    <w:abstractNumId w:val="58"/>
  </w:num>
  <w:num w:numId="54" w16cid:durableId="406417836">
    <w:abstractNumId w:val="0"/>
  </w:num>
  <w:num w:numId="55" w16cid:durableId="962270745">
    <w:abstractNumId w:val="18"/>
  </w:num>
  <w:num w:numId="56" w16cid:durableId="657198342">
    <w:abstractNumId w:val="69"/>
  </w:num>
  <w:num w:numId="57" w16cid:durableId="862135262">
    <w:abstractNumId w:val="21"/>
  </w:num>
  <w:num w:numId="58" w16cid:durableId="248387821">
    <w:abstractNumId w:val="59"/>
  </w:num>
  <w:num w:numId="59" w16cid:durableId="2081828754">
    <w:abstractNumId w:val="40"/>
  </w:num>
  <w:num w:numId="60" w16cid:durableId="1396591356">
    <w:abstractNumId w:val="50"/>
  </w:num>
  <w:num w:numId="61" w16cid:durableId="149912254">
    <w:abstractNumId w:val="15"/>
  </w:num>
  <w:num w:numId="62" w16cid:durableId="1954555056">
    <w:abstractNumId w:val="26"/>
  </w:num>
  <w:num w:numId="63" w16cid:durableId="79569023">
    <w:abstractNumId w:val="12"/>
  </w:num>
  <w:num w:numId="64" w16cid:durableId="17883552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8484473">
    <w:abstractNumId w:val="7"/>
  </w:num>
  <w:num w:numId="66" w16cid:durableId="171844439">
    <w:abstractNumId w:val="7"/>
  </w:num>
  <w:num w:numId="67" w16cid:durableId="1631862187">
    <w:abstractNumId w:val="7"/>
  </w:num>
  <w:num w:numId="68" w16cid:durableId="569729726">
    <w:abstractNumId w:val="7"/>
  </w:num>
  <w:num w:numId="69" w16cid:durableId="273249725">
    <w:abstractNumId w:val="7"/>
  </w:num>
  <w:num w:numId="70" w16cid:durableId="889343754">
    <w:abstractNumId w:val="7"/>
  </w:num>
  <w:num w:numId="71" w16cid:durableId="1984701124">
    <w:abstractNumId w:val="7"/>
  </w:num>
  <w:num w:numId="72" w16cid:durableId="584923355">
    <w:abstractNumId w:val="7"/>
  </w:num>
  <w:num w:numId="73" w16cid:durableId="2126075967">
    <w:abstractNumId w:val="7"/>
  </w:num>
  <w:num w:numId="74" w16cid:durableId="1324773602">
    <w:abstractNumId w:val="7"/>
  </w:num>
  <w:num w:numId="75" w16cid:durableId="277223075">
    <w:abstractNumId w:val="7"/>
  </w:num>
  <w:num w:numId="76" w16cid:durableId="210191397">
    <w:abstractNumId w:val="7"/>
  </w:num>
  <w:num w:numId="77" w16cid:durableId="1008868477">
    <w:abstractNumId w:val="7"/>
  </w:num>
  <w:num w:numId="78" w16cid:durableId="33968692">
    <w:abstractNumId w:val="7"/>
  </w:num>
  <w:num w:numId="79" w16cid:durableId="1026558206">
    <w:abstractNumId w:val="47"/>
  </w:num>
  <w:num w:numId="80" w16cid:durableId="1091319835">
    <w:abstractNumId w:val="7"/>
  </w:num>
  <w:num w:numId="81" w16cid:durableId="865217019">
    <w:abstractNumId w:val="51"/>
  </w:num>
  <w:num w:numId="82" w16cid:durableId="1542936550">
    <w:abstractNumId w:val="64"/>
  </w:num>
  <w:num w:numId="83" w16cid:durableId="919678849">
    <w:abstractNumId w:val="43"/>
  </w:num>
  <w:num w:numId="84" w16cid:durableId="546911562">
    <w:abstractNumId w:val="34"/>
  </w:num>
  <w:num w:numId="85" w16cid:durableId="824054610">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877"/>
    <w:rsid w:val="000019F5"/>
    <w:rsid w:val="0000321C"/>
    <w:rsid w:val="000036C3"/>
    <w:rsid w:val="00003B5A"/>
    <w:rsid w:val="00003F25"/>
    <w:rsid w:val="00004041"/>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5CF4"/>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5E36"/>
    <w:rsid w:val="000666C3"/>
    <w:rsid w:val="00070FA4"/>
    <w:rsid w:val="00071475"/>
    <w:rsid w:val="00072281"/>
    <w:rsid w:val="00072600"/>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B76C0"/>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1C81"/>
    <w:rsid w:val="000F2D72"/>
    <w:rsid w:val="000F2E9A"/>
    <w:rsid w:val="000F6472"/>
    <w:rsid w:val="0010141E"/>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088D"/>
    <w:rsid w:val="001623F0"/>
    <w:rsid w:val="00163234"/>
    <w:rsid w:val="00164AC9"/>
    <w:rsid w:val="0016539C"/>
    <w:rsid w:val="001669EA"/>
    <w:rsid w:val="00167B84"/>
    <w:rsid w:val="00170271"/>
    <w:rsid w:val="00170A29"/>
    <w:rsid w:val="00173FD4"/>
    <w:rsid w:val="00174A7D"/>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21AA"/>
    <w:rsid w:val="001D339F"/>
    <w:rsid w:val="001D3487"/>
    <w:rsid w:val="001D38B1"/>
    <w:rsid w:val="001D3BD1"/>
    <w:rsid w:val="001D4417"/>
    <w:rsid w:val="001D5AE4"/>
    <w:rsid w:val="001D62C8"/>
    <w:rsid w:val="001D6E92"/>
    <w:rsid w:val="001D7F41"/>
    <w:rsid w:val="001E0888"/>
    <w:rsid w:val="001E0922"/>
    <w:rsid w:val="001E1289"/>
    <w:rsid w:val="001E14BD"/>
    <w:rsid w:val="001E1656"/>
    <w:rsid w:val="001E187B"/>
    <w:rsid w:val="001E3FCF"/>
    <w:rsid w:val="001E4678"/>
    <w:rsid w:val="001E47E5"/>
    <w:rsid w:val="001E4B84"/>
    <w:rsid w:val="001E586C"/>
    <w:rsid w:val="001E6E5C"/>
    <w:rsid w:val="001E78AB"/>
    <w:rsid w:val="001E7B66"/>
    <w:rsid w:val="001F08F1"/>
    <w:rsid w:val="001F0E6F"/>
    <w:rsid w:val="001F0F2D"/>
    <w:rsid w:val="001F1087"/>
    <w:rsid w:val="001F1517"/>
    <w:rsid w:val="001F1807"/>
    <w:rsid w:val="001F1D27"/>
    <w:rsid w:val="001F315E"/>
    <w:rsid w:val="001F361F"/>
    <w:rsid w:val="001F4AF3"/>
    <w:rsid w:val="001F5BF7"/>
    <w:rsid w:val="001F72A8"/>
    <w:rsid w:val="001F76E1"/>
    <w:rsid w:val="001F77A5"/>
    <w:rsid w:val="002000E9"/>
    <w:rsid w:val="002005A8"/>
    <w:rsid w:val="00200C51"/>
    <w:rsid w:val="00200F60"/>
    <w:rsid w:val="002016ED"/>
    <w:rsid w:val="0020359D"/>
    <w:rsid w:val="002039BA"/>
    <w:rsid w:val="0020592C"/>
    <w:rsid w:val="0020594C"/>
    <w:rsid w:val="002074A3"/>
    <w:rsid w:val="00207561"/>
    <w:rsid w:val="00207829"/>
    <w:rsid w:val="002100F2"/>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29E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1A32"/>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03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47567"/>
    <w:rsid w:val="00350997"/>
    <w:rsid w:val="0035148C"/>
    <w:rsid w:val="00353493"/>
    <w:rsid w:val="00353AF4"/>
    <w:rsid w:val="003549CD"/>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96815"/>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377"/>
    <w:rsid w:val="003F0A17"/>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17B"/>
    <w:rsid w:val="004338BE"/>
    <w:rsid w:val="00433CAF"/>
    <w:rsid w:val="00434530"/>
    <w:rsid w:val="00441695"/>
    <w:rsid w:val="00441B97"/>
    <w:rsid w:val="0044209C"/>
    <w:rsid w:val="00442BAB"/>
    <w:rsid w:val="004433D1"/>
    <w:rsid w:val="00443D17"/>
    <w:rsid w:val="004444D9"/>
    <w:rsid w:val="00444566"/>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2DAE"/>
    <w:rsid w:val="00465C1E"/>
    <w:rsid w:val="004660F4"/>
    <w:rsid w:val="0046745C"/>
    <w:rsid w:val="004707FC"/>
    <w:rsid w:val="00470C74"/>
    <w:rsid w:val="00470E70"/>
    <w:rsid w:val="004726EF"/>
    <w:rsid w:val="00472A18"/>
    <w:rsid w:val="004731B3"/>
    <w:rsid w:val="0047474B"/>
    <w:rsid w:val="00474C1B"/>
    <w:rsid w:val="00475AF7"/>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9599A"/>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40D"/>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07"/>
    <w:rsid w:val="00594E5B"/>
    <w:rsid w:val="00595D7F"/>
    <w:rsid w:val="00596B7E"/>
    <w:rsid w:val="00596E7F"/>
    <w:rsid w:val="00597544"/>
    <w:rsid w:val="005A0A12"/>
    <w:rsid w:val="005A2742"/>
    <w:rsid w:val="005A2AFF"/>
    <w:rsid w:val="005A2C0B"/>
    <w:rsid w:val="005A5359"/>
    <w:rsid w:val="005A673E"/>
    <w:rsid w:val="005A6DB1"/>
    <w:rsid w:val="005A6E9C"/>
    <w:rsid w:val="005A7318"/>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51F"/>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49B5"/>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43EA"/>
    <w:rsid w:val="0061588E"/>
    <w:rsid w:val="0061595E"/>
    <w:rsid w:val="00615BA3"/>
    <w:rsid w:val="00615FAE"/>
    <w:rsid w:val="00620DCA"/>
    <w:rsid w:val="006220EB"/>
    <w:rsid w:val="006234E9"/>
    <w:rsid w:val="00624D2F"/>
    <w:rsid w:val="006252A0"/>
    <w:rsid w:val="00625540"/>
    <w:rsid w:val="00626CB6"/>
    <w:rsid w:val="00627125"/>
    <w:rsid w:val="00627D69"/>
    <w:rsid w:val="00627E41"/>
    <w:rsid w:val="00630598"/>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110B"/>
    <w:rsid w:val="0065280D"/>
    <w:rsid w:val="006535DD"/>
    <w:rsid w:val="006538CA"/>
    <w:rsid w:val="00653D74"/>
    <w:rsid w:val="006541A4"/>
    <w:rsid w:val="006544D2"/>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07"/>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2BB"/>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36CB"/>
    <w:rsid w:val="006E527A"/>
    <w:rsid w:val="006E5E41"/>
    <w:rsid w:val="006E5EF0"/>
    <w:rsid w:val="006E6A39"/>
    <w:rsid w:val="006E6A48"/>
    <w:rsid w:val="006E6CB9"/>
    <w:rsid w:val="006F0D73"/>
    <w:rsid w:val="006F0DBD"/>
    <w:rsid w:val="006F2B5E"/>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280D"/>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080"/>
    <w:rsid w:val="00790B00"/>
    <w:rsid w:val="00792262"/>
    <w:rsid w:val="007942A0"/>
    <w:rsid w:val="0079553D"/>
    <w:rsid w:val="007972CD"/>
    <w:rsid w:val="007A01A2"/>
    <w:rsid w:val="007A0743"/>
    <w:rsid w:val="007A0751"/>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611"/>
    <w:rsid w:val="007C3EFC"/>
    <w:rsid w:val="007C5BD9"/>
    <w:rsid w:val="007C643A"/>
    <w:rsid w:val="007C6508"/>
    <w:rsid w:val="007C7177"/>
    <w:rsid w:val="007C7C07"/>
    <w:rsid w:val="007D0DC7"/>
    <w:rsid w:val="007D18E9"/>
    <w:rsid w:val="007D1917"/>
    <w:rsid w:val="007D2A60"/>
    <w:rsid w:val="007D3827"/>
    <w:rsid w:val="007D3CEE"/>
    <w:rsid w:val="007D406D"/>
    <w:rsid w:val="007D4FFE"/>
    <w:rsid w:val="007D5181"/>
    <w:rsid w:val="007D711D"/>
    <w:rsid w:val="007D7201"/>
    <w:rsid w:val="007D725C"/>
    <w:rsid w:val="007D73E3"/>
    <w:rsid w:val="007E0787"/>
    <w:rsid w:val="007E08D5"/>
    <w:rsid w:val="007E0983"/>
    <w:rsid w:val="007E11B0"/>
    <w:rsid w:val="007E1B9E"/>
    <w:rsid w:val="007E2073"/>
    <w:rsid w:val="007E2DB4"/>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1DEF"/>
    <w:rsid w:val="00852033"/>
    <w:rsid w:val="0085245E"/>
    <w:rsid w:val="00852A41"/>
    <w:rsid w:val="00853F9E"/>
    <w:rsid w:val="008547B0"/>
    <w:rsid w:val="008565A7"/>
    <w:rsid w:val="00857291"/>
    <w:rsid w:val="00860043"/>
    <w:rsid w:val="00863347"/>
    <w:rsid w:val="0086364B"/>
    <w:rsid w:val="008642A9"/>
    <w:rsid w:val="00864323"/>
    <w:rsid w:val="0086524F"/>
    <w:rsid w:val="008703D8"/>
    <w:rsid w:val="008705A4"/>
    <w:rsid w:val="00870DB3"/>
    <w:rsid w:val="00876113"/>
    <w:rsid w:val="008777E2"/>
    <w:rsid w:val="00877D14"/>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53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1B38"/>
    <w:rsid w:val="00915B73"/>
    <w:rsid w:val="00915C40"/>
    <w:rsid w:val="009166F9"/>
    <w:rsid w:val="00916AA2"/>
    <w:rsid w:val="00917384"/>
    <w:rsid w:val="00917A16"/>
    <w:rsid w:val="009206EC"/>
    <w:rsid w:val="0092183A"/>
    <w:rsid w:val="00921965"/>
    <w:rsid w:val="009226D1"/>
    <w:rsid w:val="00923AF2"/>
    <w:rsid w:val="00924966"/>
    <w:rsid w:val="009258F9"/>
    <w:rsid w:val="009277F3"/>
    <w:rsid w:val="00927B57"/>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76E0D"/>
    <w:rsid w:val="009813C4"/>
    <w:rsid w:val="00982829"/>
    <w:rsid w:val="00982A14"/>
    <w:rsid w:val="009832D9"/>
    <w:rsid w:val="0098403C"/>
    <w:rsid w:val="0098430B"/>
    <w:rsid w:val="0098586F"/>
    <w:rsid w:val="0098793D"/>
    <w:rsid w:val="009904B4"/>
    <w:rsid w:val="00990A27"/>
    <w:rsid w:val="00990F76"/>
    <w:rsid w:val="009917FF"/>
    <w:rsid w:val="00991895"/>
    <w:rsid w:val="009922BC"/>
    <w:rsid w:val="009936C7"/>
    <w:rsid w:val="0099375E"/>
    <w:rsid w:val="00994431"/>
    <w:rsid w:val="00994CD6"/>
    <w:rsid w:val="00995D57"/>
    <w:rsid w:val="00995D59"/>
    <w:rsid w:val="0099658D"/>
    <w:rsid w:val="00996823"/>
    <w:rsid w:val="0099700B"/>
    <w:rsid w:val="009A1101"/>
    <w:rsid w:val="009A1DC4"/>
    <w:rsid w:val="009A30E0"/>
    <w:rsid w:val="009A3A81"/>
    <w:rsid w:val="009A3AFD"/>
    <w:rsid w:val="009A3E46"/>
    <w:rsid w:val="009A44B2"/>
    <w:rsid w:val="009A46A0"/>
    <w:rsid w:val="009A48F2"/>
    <w:rsid w:val="009A4CC2"/>
    <w:rsid w:val="009A61AE"/>
    <w:rsid w:val="009A6573"/>
    <w:rsid w:val="009A78F6"/>
    <w:rsid w:val="009A7A8F"/>
    <w:rsid w:val="009B000A"/>
    <w:rsid w:val="009B3193"/>
    <w:rsid w:val="009B363D"/>
    <w:rsid w:val="009B3D09"/>
    <w:rsid w:val="009B3DD2"/>
    <w:rsid w:val="009B3FBB"/>
    <w:rsid w:val="009B538A"/>
    <w:rsid w:val="009B7567"/>
    <w:rsid w:val="009C0A80"/>
    <w:rsid w:val="009C138A"/>
    <w:rsid w:val="009C27E5"/>
    <w:rsid w:val="009C2C9B"/>
    <w:rsid w:val="009C3174"/>
    <w:rsid w:val="009C329E"/>
    <w:rsid w:val="009C540F"/>
    <w:rsid w:val="009C5888"/>
    <w:rsid w:val="009C620E"/>
    <w:rsid w:val="009C6513"/>
    <w:rsid w:val="009C7429"/>
    <w:rsid w:val="009C78E7"/>
    <w:rsid w:val="009D038C"/>
    <w:rsid w:val="009D2AA5"/>
    <w:rsid w:val="009D37BA"/>
    <w:rsid w:val="009D3CFB"/>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26CC"/>
    <w:rsid w:val="00A0382B"/>
    <w:rsid w:val="00A05395"/>
    <w:rsid w:val="00A05D83"/>
    <w:rsid w:val="00A07632"/>
    <w:rsid w:val="00A118B1"/>
    <w:rsid w:val="00A11A85"/>
    <w:rsid w:val="00A1233C"/>
    <w:rsid w:val="00A12588"/>
    <w:rsid w:val="00A15E13"/>
    <w:rsid w:val="00A15FDF"/>
    <w:rsid w:val="00A16C88"/>
    <w:rsid w:val="00A20111"/>
    <w:rsid w:val="00A20AE7"/>
    <w:rsid w:val="00A20C94"/>
    <w:rsid w:val="00A227C7"/>
    <w:rsid w:val="00A23ABD"/>
    <w:rsid w:val="00A23FBB"/>
    <w:rsid w:val="00A24841"/>
    <w:rsid w:val="00A24E72"/>
    <w:rsid w:val="00A252F8"/>
    <w:rsid w:val="00A259BE"/>
    <w:rsid w:val="00A25A84"/>
    <w:rsid w:val="00A26BE2"/>
    <w:rsid w:val="00A27235"/>
    <w:rsid w:val="00A32D9F"/>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0B1"/>
    <w:rsid w:val="00A6279D"/>
    <w:rsid w:val="00A62F20"/>
    <w:rsid w:val="00A64ADB"/>
    <w:rsid w:val="00A71493"/>
    <w:rsid w:val="00A73848"/>
    <w:rsid w:val="00A73A7A"/>
    <w:rsid w:val="00A7533C"/>
    <w:rsid w:val="00A75DA2"/>
    <w:rsid w:val="00A800B2"/>
    <w:rsid w:val="00A8090A"/>
    <w:rsid w:val="00A81FC7"/>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41F"/>
    <w:rsid w:val="00A97F95"/>
    <w:rsid w:val="00AA07A9"/>
    <w:rsid w:val="00AA16D8"/>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B7B3E"/>
    <w:rsid w:val="00AC0686"/>
    <w:rsid w:val="00AC1915"/>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E7D2F"/>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5CA2"/>
    <w:rsid w:val="00B26DE1"/>
    <w:rsid w:val="00B30599"/>
    <w:rsid w:val="00B30CA3"/>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266"/>
    <w:rsid w:val="00B96EDC"/>
    <w:rsid w:val="00BA2ED2"/>
    <w:rsid w:val="00BA32F4"/>
    <w:rsid w:val="00BA35C3"/>
    <w:rsid w:val="00BA3616"/>
    <w:rsid w:val="00BA51F4"/>
    <w:rsid w:val="00BA5639"/>
    <w:rsid w:val="00BA7B2F"/>
    <w:rsid w:val="00BA7FBB"/>
    <w:rsid w:val="00BB24D1"/>
    <w:rsid w:val="00BB2AFC"/>
    <w:rsid w:val="00BB2FBC"/>
    <w:rsid w:val="00BB30F6"/>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0FE4"/>
    <w:rsid w:val="00BF1100"/>
    <w:rsid w:val="00BF1587"/>
    <w:rsid w:val="00BF22C4"/>
    <w:rsid w:val="00BF26A8"/>
    <w:rsid w:val="00BF351A"/>
    <w:rsid w:val="00BF3963"/>
    <w:rsid w:val="00BF52DF"/>
    <w:rsid w:val="00BF565D"/>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54F"/>
    <w:rsid w:val="00C36835"/>
    <w:rsid w:val="00C4187E"/>
    <w:rsid w:val="00C41EDE"/>
    <w:rsid w:val="00C42474"/>
    <w:rsid w:val="00C42618"/>
    <w:rsid w:val="00C43164"/>
    <w:rsid w:val="00C43D7D"/>
    <w:rsid w:val="00C4429F"/>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4D97"/>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D7ABB"/>
    <w:rsid w:val="00CE12FD"/>
    <w:rsid w:val="00CE14FD"/>
    <w:rsid w:val="00CE1E2D"/>
    <w:rsid w:val="00CE2827"/>
    <w:rsid w:val="00CE29B9"/>
    <w:rsid w:val="00CE7065"/>
    <w:rsid w:val="00CF0B50"/>
    <w:rsid w:val="00CF0B86"/>
    <w:rsid w:val="00CF3A71"/>
    <w:rsid w:val="00CF3B1E"/>
    <w:rsid w:val="00CF47A8"/>
    <w:rsid w:val="00CF509E"/>
    <w:rsid w:val="00CF7DAA"/>
    <w:rsid w:val="00D02394"/>
    <w:rsid w:val="00D04621"/>
    <w:rsid w:val="00D0560E"/>
    <w:rsid w:val="00D06B74"/>
    <w:rsid w:val="00D06D3E"/>
    <w:rsid w:val="00D077B5"/>
    <w:rsid w:val="00D11382"/>
    <w:rsid w:val="00D1503C"/>
    <w:rsid w:val="00D17B67"/>
    <w:rsid w:val="00D17BD8"/>
    <w:rsid w:val="00D208A4"/>
    <w:rsid w:val="00D223E4"/>
    <w:rsid w:val="00D24B9F"/>
    <w:rsid w:val="00D253F6"/>
    <w:rsid w:val="00D30727"/>
    <w:rsid w:val="00D30BCB"/>
    <w:rsid w:val="00D33493"/>
    <w:rsid w:val="00D33911"/>
    <w:rsid w:val="00D3435D"/>
    <w:rsid w:val="00D34FE6"/>
    <w:rsid w:val="00D36675"/>
    <w:rsid w:val="00D36ACA"/>
    <w:rsid w:val="00D36FD9"/>
    <w:rsid w:val="00D37E65"/>
    <w:rsid w:val="00D37F0D"/>
    <w:rsid w:val="00D40696"/>
    <w:rsid w:val="00D42B12"/>
    <w:rsid w:val="00D4515D"/>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5D0A"/>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04"/>
    <w:rsid w:val="00DB28B3"/>
    <w:rsid w:val="00DB3D30"/>
    <w:rsid w:val="00DB497C"/>
    <w:rsid w:val="00DB5C06"/>
    <w:rsid w:val="00DB65F4"/>
    <w:rsid w:val="00DB662B"/>
    <w:rsid w:val="00DB727C"/>
    <w:rsid w:val="00DC00D1"/>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376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659"/>
    <w:rsid w:val="00DE7BF6"/>
    <w:rsid w:val="00DF187A"/>
    <w:rsid w:val="00DF2D01"/>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400B"/>
    <w:rsid w:val="00E35766"/>
    <w:rsid w:val="00E358CE"/>
    <w:rsid w:val="00E3630F"/>
    <w:rsid w:val="00E37CDF"/>
    <w:rsid w:val="00E37EFD"/>
    <w:rsid w:val="00E37F34"/>
    <w:rsid w:val="00E40CA3"/>
    <w:rsid w:val="00E415CA"/>
    <w:rsid w:val="00E45A8F"/>
    <w:rsid w:val="00E462ED"/>
    <w:rsid w:val="00E471BA"/>
    <w:rsid w:val="00E509B4"/>
    <w:rsid w:val="00E50DB0"/>
    <w:rsid w:val="00E50E2E"/>
    <w:rsid w:val="00E51257"/>
    <w:rsid w:val="00E5196E"/>
    <w:rsid w:val="00E51D4C"/>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67E0"/>
    <w:rsid w:val="00E7758E"/>
    <w:rsid w:val="00E80C03"/>
    <w:rsid w:val="00E82A5B"/>
    <w:rsid w:val="00E83C96"/>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482"/>
    <w:rsid w:val="00ED0F77"/>
    <w:rsid w:val="00ED63FE"/>
    <w:rsid w:val="00ED64C5"/>
    <w:rsid w:val="00ED7609"/>
    <w:rsid w:val="00EE086B"/>
    <w:rsid w:val="00EE128D"/>
    <w:rsid w:val="00EE2DE5"/>
    <w:rsid w:val="00EE4453"/>
    <w:rsid w:val="00EE4536"/>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1E94"/>
    <w:rsid w:val="00F138FC"/>
    <w:rsid w:val="00F13FAB"/>
    <w:rsid w:val="00F16117"/>
    <w:rsid w:val="00F20867"/>
    <w:rsid w:val="00F211DC"/>
    <w:rsid w:val="00F22460"/>
    <w:rsid w:val="00F23EFE"/>
    <w:rsid w:val="00F240ED"/>
    <w:rsid w:val="00F24B60"/>
    <w:rsid w:val="00F24C05"/>
    <w:rsid w:val="00F259CD"/>
    <w:rsid w:val="00F25BF4"/>
    <w:rsid w:val="00F25C8C"/>
    <w:rsid w:val="00F2706F"/>
    <w:rsid w:val="00F27B88"/>
    <w:rsid w:val="00F27FAF"/>
    <w:rsid w:val="00F30F75"/>
    <w:rsid w:val="00F31088"/>
    <w:rsid w:val="00F3170F"/>
    <w:rsid w:val="00F31CA9"/>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65637"/>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47D4"/>
    <w:rsid w:val="00FA70A1"/>
    <w:rsid w:val="00FB07D2"/>
    <w:rsid w:val="00FB1035"/>
    <w:rsid w:val="00FB1401"/>
    <w:rsid w:val="00FB2B4C"/>
    <w:rsid w:val="00FB3EC3"/>
    <w:rsid w:val="00FB411A"/>
    <w:rsid w:val="00FB46A8"/>
    <w:rsid w:val="00FB6A5A"/>
    <w:rsid w:val="00FB6B82"/>
    <w:rsid w:val="00FC430A"/>
    <w:rsid w:val="00FC4DD3"/>
    <w:rsid w:val="00FC74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E7ABD"/>
    <w:rsid w:val="00FF027D"/>
    <w:rsid w:val="00FF0522"/>
    <w:rsid w:val="00FF05AD"/>
    <w:rsid w:val="00FF2112"/>
    <w:rsid w:val="00FF3391"/>
    <w:rsid w:val="00FF37F4"/>
    <w:rsid w:val="00FF3BCA"/>
    <w:rsid w:val="00FF3BF8"/>
    <w:rsid w:val="00FF3D42"/>
    <w:rsid w:val="00FF4B2E"/>
    <w:rsid w:val="00FF5677"/>
    <w:rsid w:val="00FF58E4"/>
    <w:rsid w:val="00FF5962"/>
    <w:rsid w:val="00FF5BC6"/>
    <w:rsid w:val="00FF5BCE"/>
    <w:rsid w:val="00FF70D9"/>
    <w:rsid w:val="00FF748A"/>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 w:type="paragraph" w:customStyle="1" w:styleId="pf0">
    <w:name w:val="pf0"/>
    <w:basedOn w:val="Normal"/>
    <w:rsid w:val="00174A7D"/>
    <w:pPr>
      <w:suppressAutoHyphens w:val="0"/>
      <w:autoSpaceDE/>
      <w:spacing w:before="100" w:beforeAutospacing="1" w:after="100" w:afterAutospacing="1"/>
    </w:pPr>
    <w:rPr>
      <w:lang w:eastAsia="pt-BR"/>
    </w:rPr>
  </w:style>
  <w:style w:type="character" w:customStyle="1" w:styleId="cf01">
    <w:name w:val="cf01"/>
    <w:basedOn w:val="Fontepargpadro"/>
    <w:rsid w:val="00174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276181253">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gentefiduciario@vortx.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b542e2a3-d5bd-4506-9cc4-56b7c378de06" origin="userSelected"/>
</file>

<file path=customXml/item6.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2.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C4A61-85D2-4B98-B0E4-88F95BEC945E}">
  <ds:schemaRefs>
    <ds:schemaRef ds:uri="http://www.imanage.com/work/xmlschema"/>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5.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9373</Words>
  <Characters>55183</Characters>
  <Application>Microsoft Office Word</Application>
  <DocSecurity>4</DocSecurity>
  <Lines>1174</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64255</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2</cp:revision>
  <cp:lastPrinted>2018-03-06T19:42:00Z</cp:lastPrinted>
  <dcterms:created xsi:type="dcterms:W3CDTF">2022-12-22T00:18:00Z</dcterms:created>
  <dcterms:modified xsi:type="dcterms:W3CDTF">2022-12-22T00:18:00Z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