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66A4" w14:textId="77777777" w:rsidR="008C6514" w:rsidRPr="00474552" w:rsidRDefault="008C6514" w:rsidP="00703B01">
      <w:pPr>
        <w:pStyle w:val="PargrafodaLista"/>
        <w:widowControl w:val="0"/>
        <w:pBdr>
          <w:top w:val="double" w:sz="4" w:space="1" w:color="auto"/>
        </w:pBdr>
        <w:tabs>
          <w:tab w:val="left" w:pos="567"/>
          <w:tab w:val="left" w:pos="851"/>
        </w:tabs>
        <w:spacing w:after="0" w:line="340" w:lineRule="exact"/>
        <w:jc w:val="center"/>
        <w:rPr>
          <w:rFonts w:asciiTheme="minorHAnsi" w:hAnsiTheme="minorHAnsi" w:cstheme="minorHAnsi"/>
          <w:b/>
          <w:sz w:val="24"/>
          <w:szCs w:val="24"/>
        </w:rPr>
      </w:pPr>
      <w:bookmarkStart w:id="0" w:name="_Hlk492393295"/>
      <w:bookmarkStart w:id="1" w:name="_Hlk492662310"/>
      <w:bookmarkStart w:id="2" w:name="_Hlk511136018"/>
      <w:bookmarkStart w:id="3" w:name="_Hlk13492556"/>
    </w:p>
    <w:p w14:paraId="633D516B" w14:textId="254157B9" w:rsidR="007153CC" w:rsidRPr="00703B01" w:rsidRDefault="007153CC" w:rsidP="00703B01">
      <w:pPr>
        <w:spacing w:line="320" w:lineRule="exact"/>
        <w:ind w:firstLine="709"/>
        <w:jc w:val="center"/>
        <w:rPr>
          <w:rFonts w:asciiTheme="minorHAnsi" w:hAnsiTheme="minorHAnsi" w:cstheme="minorHAnsi"/>
          <w:sz w:val="24"/>
          <w:szCs w:val="24"/>
        </w:rPr>
      </w:pPr>
      <w:bookmarkStart w:id="4" w:name="_Hlk5779724"/>
      <w:r>
        <w:rPr>
          <w:rFonts w:asciiTheme="minorHAnsi" w:hAnsiTheme="minorHAnsi" w:cstheme="minorHAnsi"/>
          <w:b/>
          <w:smallCaps/>
          <w:sz w:val="24"/>
          <w:szCs w:val="24"/>
        </w:rPr>
        <w:t xml:space="preserve">PRIMEIRO ADITAMENTO AO </w:t>
      </w:r>
      <w:r w:rsidRPr="00703B01">
        <w:rPr>
          <w:rFonts w:asciiTheme="minorHAnsi" w:hAnsiTheme="minorHAnsi" w:cstheme="minorHAnsi"/>
          <w:b/>
          <w:smallCaps/>
          <w:sz w:val="24"/>
          <w:szCs w:val="24"/>
        </w:rPr>
        <w:t>INSTRUMENTO PARTICULAR DE CESSÃO FIDUCIÁRIA DE DIREITOS CREDITÓRIOS E OUTRAS AVENÇAS</w:t>
      </w:r>
    </w:p>
    <w:p w14:paraId="42696CEF" w14:textId="77777777" w:rsidR="007153CC" w:rsidRPr="00703B01" w:rsidRDefault="007153CC" w:rsidP="007153CC">
      <w:pPr>
        <w:spacing w:line="320" w:lineRule="exact"/>
        <w:jc w:val="center"/>
        <w:rPr>
          <w:rFonts w:asciiTheme="minorHAnsi" w:hAnsiTheme="minorHAnsi" w:cstheme="minorHAnsi"/>
          <w:sz w:val="24"/>
          <w:szCs w:val="24"/>
        </w:rPr>
      </w:pPr>
    </w:p>
    <w:p w14:paraId="6184D85A" w14:textId="77777777" w:rsidR="007153CC" w:rsidRPr="00703B01" w:rsidRDefault="007153CC" w:rsidP="007153CC">
      <w:pPr>
        <w:spacing w:line="320" w:lineRule="exact"/>
        <w:jc w:val="center"/>
        <w:rPr>
          <w:rFonts w:asciiTheme="minorHAnsi" w:hAnsiTheme="minorHAnsi" w:cstheme="minorHAnsi"/>
          <w:sz w:val="24"/>
          <w:szCs w:val="24"/>
        </w:rPr>
      </w:pPr>
    </w:p>
    <w:p w14:paraId="406CD222" w14:textId="77777777" w:rsidR="007153CC" w:rsidRPr="00703B01" w:rsidRDefault="007153CC" w:rsidP="007153CC">
      <w:pPr>
        <w:spacing w:line="320" w:lineRule="exact"/>
        <w:jc w:val="center"/>
        <w:rPr>
          <w:rFonts w:asciiTheme="minorHAnsi" w:hAnsiTheme="minorHAnsi" w:cstheme="minorHAnsi"/>
          <w:sz w:val="24"/>
          <w:szCs w:val="24"/>
        </w:rPr>
      </w:pPr>
    </w:p>
    <w:p w14:paraId="29C6293C" w14:textId="77777777" w:rsidR="007153CC" w:rsidRPr="00703B01" w:rsidRDefault="007153CC" w:rsidP="00703B01">
      <w:pPr>
        <w:spacing w:line="320" w:lineRule="exact"/>
        <w:ind w:firstLine="709"/>
        <w:jc w:val="center"/>
        <w:rPr>
          <w:rFonts w:asciiTheme="minorHAnsi" w:hAnsiTheme="minorHAnsi" w:cstheme="minorHAnsi"/>
          <w:sz w:val="24"/>
          <w:szCs w:val="24"/>
          <w:lang w:val="en-US"/>
        </w:rPr>
      </w:pPr>
      <w:r w:rsidRPr="00703B01">
        <w:rPr>
          <w:rFonts w:asciiTheme="minorHAnsi" w:hAnsiTheme="minorHAnsi" w:cstheme="minorHAnsi"/>
          <w:sz w:val="24"/>
          <w:szCs w:val="24"/>
          <w:lang w:val="en-US"/>
        </w:rPr>
        <w:t>entre</w:t>
      </w:r>
    </w:p>
    <w:p w14:paraId="3228B631" w14:textId="77777777" w:rsidR="007153CC" w:rsidRPr="00703B01" w:rsidRDefault="007153CC" w:rsidP="007153CC">
      <w:pPr>
        <w:spacing w:line="320" w:lineRule="exact"/>
        <w:jc w:val="center"/>
        <w:rPr>
          <w:rFonts w:asciiTheme="minorHAnsi" w:hAnsiTheme="minorHAnsi" w:cstheme="minorHAnsi"/>
          <w:sz w:val="24"/>
          <w:szCs w:val="24"/>
          <w:lang w:val="en-US"/>
        </w:rPr>
      </w:pPr>
    </w:p>
    <w:p w14:paraId="5EE25602" w14:textId="77777777" w:rsidR="007153CC" w:rsidRPr="00703B01" w:rsidRDefault="007153CC" w:rsidP="007153CC">
      <w:pPr>
        <w:spacing w:line="320" w:lineRule="exact"/>
        <w:jc w:val="center"/>
        <w:rPr>
          <w:rFonts w:asciiTheme="minorHAnsi" w:hAnsiTheme="minorHAnsi" w:cstheme="minorHAnsi"/>
          <w:sz w:val="24"/>
          <w:szCs w:val="24"/>
          <w:lang w:val="en-US"/>
        </w:rPr>
      </w:pPr>
    </w:p>
    <w:p w14:paraId="2C0A6D42" w14:textId="77777777" w:rsidR="007153CC" w:rsidRPr="00703B01" w:rsidRDefault="007153CC" w:rsidP="007153CC">
      <w:pPr>
        <w:spacing w:line="320" w:lineRule="exact"/>
        <w:jc w:val="center"/>
        <w:rPr>
          <w:rFonts w:asciiTheme="minorHAnsi" w:hAnsiTheme="minorHAnsi" w:cstheme="minorHAnsi"/>
          <w:b/>
          <w:smallCaps/>
          <w:color w:val="000000"/>
          <w:sz w:val="24"/>
          <w:szCs w:val="24"/>
          <w:lang w:val="en-US"/>
        </w:rPr>
      </w:pPr>
    </w:p>
    <w:p w14:paraId="270E5159" w14:textId="77777777" w:rsidR="007153CC" w:rsidRPr="00703B01" w:rsidRDefault="007153CC" w:rsidP="00703B01">
      <w:pPr>
        <w:spacing w:line="320" w:lineRule="exact"/>
        <w:ind w:firstLine="709"/>
        <w:jc w:val="center"/>
        <w:rPr>
          <w:rFonts w:asciiTheme="minorHAnsi" w:hAnsiTheme="minorHAnsi" w:cstheme="minorHAnsi"/>
          <w:b/>
          <w:smallCaps/>
          <w:color w:val="000000"/>
          <w:sz w:val="24"/>
          <w:szCs w:val="24"/>
          <w:lang w:val="en-US"/>
        </w:rPr>
      </w:pPr>
      <w:r w:rsidRPr="00703B01">
        <w:rPr>
          <w:rFonts w:asciiTheme="minorHAnsi" w:hAnsiTheme="minorHAnsi" w:cstheme="minorHAnsi"/>
          <w:b/>
          <w:smallCaps/>
          <w:color w:val="000000"/>
          <w:sz w:val="24"/>
          <w:szCs w:val="24"/>
          <w:lang w:val="en-US"/>
        </w:rPr>
        <w:t>ODONTOCOMPANY FRANCHISING S.A.</w:t>
      </w:r>
    </w:p>
    <w:p w14:paraId="6B538B09" w14:textId="77777777" w:rsidR="007153CC" w:rsidRPr="00703B01" w:rsidRDefault="007153CC" w:rsidP="00703B01">
      <w:pPr>
        <w:spacing w:line="320" w:lineRule="exact"/>
        <w:ind w:firstLine="709"/>
        <w:jc w:val="center"/>
        <w:rPr>
          <w:rFonts w:asciiTheme="minorHAnsi" w:hAnsiTheme="minorHAnsi" w:cstheme="minorHAnsi"/>
          <w:sz w:val="24"/>
          <w:szCs w:val="24"/>
          <w:lang w:val="es-ES"/>
        </w:rPr>
      </w:pPr>
      <w:r w:rsidRPr="00703B01">
        <w:rPr>
          <w:rFonts w:asciiTheme="minorHAnsi" w:hAnsiTheme="minorHAnsi" w:cstheme="minorHAnsi"/>
          <w:b/>
          <w:smallCaps/>
          <w:color w:val="000000"/>
          <w:sz w:val="24"/>
          <w:szCs w:val="24"/>
          <w:lang w:val="es-ES"/>
        </w:rPr>
        <w:t>ORAL SIN FRANQUIAS S.A.</w:t>
      </w:r>
    </w:p>
    <w:p w14:paraId="7F09D1F3" w14:textId="77777777" w:rsidR="007153CC" w:rsidRPr="00703B01" w:rsidRDefault="007153CC" w:rsidP="00703B01">
      <w:pPr>
        <w:spacing w:line="320" w:lineRule="exact"/>
        <w:ind w:firstLine="709"/>
        <w:jc w:val="center"/>
        <w:rPr>
          <w:rFonts w:asciiTheme="minorHAnsi" w:hAnsiTheme="minorHAnsi" w:cstheme="minorHAnsi"/>
          <w:i/>
          <w:iCs/>
          <w:sz w:val="24"/>
          <w:szCs w:val="24"/>
        </w:rPr>
      </w:pPr>
      <w:r w:rsidRPr="00703B01">
        <w:rPr>
          <w:rFonts w:asciiTheme="minorHAnsi" w:hAnsiTheme="minorHAnsi" w:cstheme="minorHAnsi"/>
          <w:i/>
          <w:iCs/>
          <w:sz w:val="24"/>
          <w:szCs w:val="24"/>
        </w:rPr>
        <w:t>como Cedentes</w:t>
      </w:r>
    </w:p>
    <w:p w14:paraId="36C856E2" w14:textId="77777777" w:rsidR="007153CC" w:rsidRPr="00703B01" w:rsidRDefault="007153CC" w:rsidP="00703B01">
      <w:pPr>
        <w:spacing w:line="320" w:lineRule="exact"/>
        <w:ind w:firstLine="709"/>
        <w:jc w:val="center"/>
        <w:rPr>
          <w:rFonts w:asciiTheme="minorHAnsi" w:hAnsiTheme="minorHAnsi" w:cstheme="minorHAnsi"/>
          <w:sz w:val="24"/>
          <w:szCs w:val="24"/>
        </w:rPr>
      </w:pPr>
    </w:p>
    <w:p w14:paraId="3EB9DC77" w14:textId="77777777" w:rsidR="007153CC" w:rsidRPr="00703B01" w:rsidRDefault="007153CC" w:rsidP="00703B01">
      <w:pPr>
        <w:spacing w:line="320" w:lineRule="exact"/>
        <w:ind w:firstLine="709"/>
        <w:jc w:val="center"/>
        <w:rPr>
          <w:rFonts w:asciiTheme="minorHAnsi" w:hAnsiTheme="minorHAnsi" w:cstheme="minorHAnsi"/>
          <w:sz w:val="24"/>
          <w:szCs w:val="24"/>
        </w:rPr>
      </w:pPr>
    </w:p>
    <w:p w14:paraId="7B4B9C31" w14:textId="77777777" w:rsidR="007153CC" w:rsidRPr="00703B01" w:rsidRDefault="007153CC" w:rsidP="00703B01">
      <w:pPr>
        <w:spacing w:line="320" w:lineRule="exact"/>
        <w:ind w:firstLine="709"/>
        <w:jc w:val="center"/>
        <w:rPr>
          <w:rFonts w:asciiTheme="minorHAnsi" w:hAnsiTheme="minorHAnsi" w:cstheme="minorHAnsi"/>
          <w:i/>
          <w:iCs/>
          <w:sz w:val="24"/>
          <w:szCs w:val="24"/>
        </w:rPr>
      </w:pPr>
    </w:p>
    <w:p w14:paraId="1EB3F146" w14:textId="77777777" w:rsidR="007153CC" w:rsidRPr="00703B01" w:rsidRDefault="007153CC" w:rsidP="00703B01">
      <w:pPr>
        <w:spacing w:line="320" w:lineRule="exact"/>
        <w:ind w:firstLine="709"/>
        <w:jc w:val="center"/>
        <w:outlineLvl w:val="0"/>
        <w:rPr>
          <w:rFonts w:asciiTheme="minorHAnsi" w:hAnsiTheme="minorHAnsi" w:cstheme="minorHAnsi"/>
          <w:sz w:val="24"/>
          <w:szCs w:val="24"/>
        </w:rPr>
      </w:pPr>
      <w:r w:rsidRPr="00703B01">
        <w:rPr>
          <w:rFonts w:asciiTheme="minorHAnsi" w:hAnsiTheme="minorHAnsi" w:cstheme="minorHAnsi"/>
          <w:sz w:val="24"/>
          <w:szCs w:val="24"/>
        </w:rPr>
        <w:t>e</w:t>
      </w:r>
    </w:p>
    <w:p w14:paraId="783BCC70" w14:textId="77777777" w:rsidR="007153CC" w:rsidRPr="00703B01" w:rsidRDefault="007153CC" w:rsidP="00703B01">
      <w:pPr>
        <w:spacing w:line="320" w:lineRule="exact"/>
        <w:ind w:firstLine="709"/>
        <w:jc w:val="center"/>
        <w:outlineLvl w:val="0"/>
        <w:rPr>
          <w:rFonts w:asciiTheme="minorHAnsi" w:hAnsiTheme="minorHAnsi" w:cstheme="minorHAnsi"/>
          <w:sz w:val="24"/>
          <w:szCs w:val="24"/>
        </w:rPr>
      </w:pPr>
    </w:p>
    <w:p w14:paraId="291EE5DE" w14:textId="77777777" w:rsidR="007153CC" w:rsidRPr="00703B01" w:rsidRDefault="007153CC" w:rsidP="00703B01">
      <w:pPr>
        <w:spacing w:line="320" w:lineRule="exact"/>
        <w:ind w:firstLine="709"/>
        <w:jc w:val="center"/>
        <w:outlineLvl w:val="0"/>
        <w:rPr>
          <w:rFonts w:asciiTheme="minorHAnsi" w:hAnsiTheme="minorHAnsi" w:cstheme="minorHAnsi"/>
          <w:sz w:val="24"/>
          <w:szCs w:val="24"/>
        </w:rPr>
      </w:pPr>
    </w:p>
    <w:p w14:paraId="21652ED2" w14:textId="77777777" w:rsidR="007153CC" w:rsidRPr="00703B01" w:rsidRDefault="007153CC" w:rsidP="00703B01">
      <w:pPr>
        <w:spacing w:line="320" w:lineRule="exact"/>
        <w:ind w:firstLine="709"/>
        <w:jc w:val="center"/>
        <w:outlineLvl w:val="0"/>
        <w:rPr>
          <w:rFonts w:asciiTheme="minorHAnsi" w:hAnsiTheme="minorHAnsi" w:cstheme="minorHAnsi"/>
          <w:sz w:val="24"/>
          <w:szCs w:val="24"/>
        </w:rPr>
      </w:pPr>
    </w:p>
    <w:p w14:paraId="41C1F878" w14:textId="77777777" w:rsidR="007153CC" w:rsidRPr="00703B01" w:rsidRDefault="007153CC" w:rsidP="00703B01">
      <w:pPr>
        <w:tabs>
          <w:tab w:val="left" w:pos="3871"/>
          <w:tab w:val="center" w:pos="4394"/>
        </w:tabs>
        <w:spacing w:line="320" w:lineRule="exact"/>
        <w:ind w:firstLine="709"/>
        <w:jc w:val="center"/>
        <w:rPr>
          <w:rFonts w:asciiTheme="minorHAnsi" w:hAnsiTheme="minorHAnsi" w:cstheme="minorHAnsi"/>
          <w:b/>
          <w:sz w:val="24"/>
          <w:szCs w:val="24"/>
        </w:rPr>
      </w:pPr>
      <w:r w:rsidRPr="00703B01">
        <w:rPr>
          <w:rFonts w:asciiTheme="minorHAnsi" w:hAnsiTheme="minorHAnsi" w:cstheme="minorHAnsi"/>
          <w:b/>
          <w:smallCaps/>
          <w:color w:val="000000"/>
          <w:sz w:val="24"/>
          <w:szCs w:val="24"/>
        </w:rPr>
        <w:t>SIMPLIFIC PAVARINI DISTRIBUIDORA DE TITULOS E VALORES MOBILIARIOS LTDA.</w:t>
      </w:r>
    </w:p>
    <w:p w14:paraId="4794C330" w14:textId="36F6AD88" w:rsidR="007153CC" w:rsidRPr="00703B01" w:rsidRDefault="007153CC" w:rsidP="00703B01">
      <w:pPr>
        <w:spacing w:line="320" w:lineRule="exact"/>
        <w:ind w:firstLine="709"/>
        <w:jc w:val="center"/>
        <w:rPr>
          <w:rFonts w:asciiTheme="minorHAnsi" w:hAnsiTheme="minorHAnsi" w:cstheme="minorHAnsi"/>
          <w:sz w:val="24"/>
          <w:szCs w:val="24"/>
        </w:rPr>
      </w:pPr>
      <w:r w:rsidRPr="00703B01">
        <w:rPr>
          <w:rFonts w:asciiTheme="minorHAnsi" w:hAnsiTheme="minorHAnsi" w:cstheme="minorHAnsi"/>
          <w:i/>
          <w:iCs/>
          <w:sz w:val="24"/>
          <w:szCs w:val="24"/>
        </w:rPr>
        <w:t>como Agente Fiduciário</w:t>
      </w:r>
    </w:p>
    <w:p w14:paraId="3110DA2F" w14:textId="77777777" w:rsidR="007153CC" w:rsidRPr="00703B01" w:rsidRDefault="007153CC" w:rsidP="007153CC">
      <w:pPr>
        <w:spacing w:line="320" w:lineRule="exact"/>
        <w:jc w:val="center"/>
        <w:rPr>
          <w:rFonts w:asciiTheme="minorHAnsi" w:hAnsiTheme="minorHAnsi" w:cstheme="minorHAnsi"/>
          <w:sz w:val="24"/>
          <w:szCs w:val="24"/>
        </w:rPr>
      </w:pPr>
    </w:p>
    <w:bookmarkEnd w:id="4"/>
    <w:p w14:paraId="3137F68B" w14:textId="77777777" w:rsidR="008C6514" w:rsidRPr="007153CC"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4AF9F329" w14:textId="77777777" w:rsidR="008C6514" w:rsidRPr="007153CC"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403D304B" w14:textId="77777777" w:rsidR="00C10FDE" w:rsidRPr="007153CC" w:rsidRDefault="008C6514"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r w:rsidRPr="007153CC">
        <w:rPr>
          <w:rFonts w:asciiTheme="minorHAnsi" w:hAnsiTheme="minorHAnsi" w:cstheme="minorHAnsi"/>
          <w:sz w:val="24"/>
          <w:szCs w:val="24"/>
        </w:rPr>
        <w:t xml:space="preserve">Datado de </w:t>
      </w:r>
    </w:p>
    <w:p w14:paraId="71F23C5D" w14:textId="4F83777E" w:rsidR="008C6514" w:rsidRPr="007153CC" w:rsidRDefault="00C10FDE"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r w:rsidRPr="007153CC">
        <w:rPr>
          <w:rFonts w:asciiTheme="minorHAnsi" w:hAnsiTheme="minorHAnsi" w:cstheme="minorHAnsi"/>
          <w:sz w:val="24"/>
          <w:szCs w:val="24"/>
          <w:highlight w:val="yellow"/>
        </w:rPr>
        <w:t>[=]</w:t>
      </w:r>
      <w:r w:rsidRPr="007153CC">
        <w:rPr>
          <w:rFonts w:asciiTheme="minorHAnsi" w:hAnsiTheme="minorHAnsi" w:cstheme="minorHAnsi"/>
          <w:sz w:val="24"/>
          <w:szCs w:val="24"/>
        </w:rPr>
        <w:t xml:space="preserve"> </w:t>
      </w:r>
      <w:r w:rsidR="008C6514" w:rsidRPr="007153CC">
        <w:rPr>
          <w:rFonts w:asciiTheme="minorHAnsi" w:hAnsiTheme="minorHAnsi" w:cstheme="minorHAnsi"/>
          <w:sz w:val="24"/>
          <w:szCs w:val="24"/>
        </w:rPr>
        <w:t xml:space="preserve">de </w:t>
      </w:r>
      <w:r w:rsidRPr="007153CC">
        <w:rPr>
          <w:rFonts w:asciiTheme="minorHAnsi" w:hAnsiTheme="minorHAnsi" w:cstheme="minorHAnsi"/>
          <w:sz w:val="24"/>
          <w:szCs w:val="24"/>
        </w:rPr>
        <w:t xml:space="preserve">agosto </w:t>
      </w:r>
      <w:r w:rsidR="008C6514" w:rsidRPr="007153CC">
        <w:rPr>
          <w:rFonts w:asciiTheme="minorHAnsi" w:hAnsiTheme="minorHAnsi" w:cstheme="minorHAnsi"/>
          <w:sz w:val="24"/>
          <w:szCs w:val="24"/>
        </w:rPr>
        <w:t>de 2023</w:t>
      </w:r>
    </w:p>
    <w:p w14:paraId="353F08D5" w14:textId="77777777" w:rsidR="00A97D93" w:rsidRPr="007153CC" w:rsidRDefault="00A97D93"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3B2E01D2" w14:textId="77777777" w:rsidR="00A97D93" w:rsidRPr="007153CC" w:rsidRDefault="00A97D93"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7502BF22" w14:textId="77777777" w:rsidR="008C6514" w:rsidRPr="007153CC" w:rsidRDefault="008C6514"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056B653B"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sz w:val="24"/>
          <w:szCs w:val="24"/>
        </w:rPr>
      </w:pPr>
    </w:p>
    <w:p w14:paraId="04172EE0" w14:textId="77777777" w:rsidR="008C6514" w:rsidRPr="00474552" w:rsidRDefault="008C6514" w:rsidP="00B92908">
      <w:pPr>
        <w:pStyle w:val="Ttulo2"/>
        <w:spacing w:after="0" w:line="340" w:lineRule="exact"/>
        <w:rPr>
          <w:rFonts w:asciiTheme="minorHAnsi" w:hAnsiTheme="minorHAnsi" w:cstheme="minorHAnsi"/>
          <w:b/>
          <w:sz w:val="24"/>
          <w:szCs w:val="24"/>
        </w:rPr>
        <w:sectPr w:rsidR="008C6514" w:rsidRPr="00474552" w:rsidSect="008C6514">
          <w:headerReference w:type="even" r:id="rId7"/>
          <w:footerReference w:type="even" r:id="rId8"/>
          <w:footerReference w:type="default" r:id="rId9"/>
          <w:headerReference w:type="first" r:id="rId10"/>
          <w:footerReference w:type="first" r:id="rId11"/>
          <w:pgSz w:w="11906" w:h="16838" w:code="9"/>
          <w:pgMar w:top="1985" w:right="1133" w:bottom="1701" w:left="142" w:header="720" w:footer="720" w:gutter="0"/>
          <w:cols w:space="720"/>
          <w:titlePg/>
          <w:docGrid w:linePitch="354"/>
        </w:sectPr>
      </w:pPr>
    </w:p>
    <w:bookmarkEnd w:id="0"/>
    <w:bookmarkEnd w:id="1"/>
    <w:bookmarkEnd w:id="2"/>
    <w:p w14:paraId="086E01D3" w14:textId="7A640C56" w:rsidR="008C6514" w:rsidRPr="00474552" w:rsidRDefault="007153CC" w:rsidP="00B92908">
      <w:pPr>
        <w:pStyle w:val="PargrafodaLista"/>
        <w:widowControl w:val="0"/>
        <w:pBdr>
          <w:top w:val="double" w:sz="4" w:space="1" w:color="auto"/>
        </w:pBdr>
        <w:tabs>
          <w:tab w:val="left" w:pos="567"/>
          <w:tab w:val="left" w:pos="851"/>
        </w:tabs>
        <w:spacing w:after="0" w:line="340" w:lineRule="exact"/>
        <w:ind w:left="0"/>
        <w:rPr>
          <w:rFonts w:asciiTheme="minorHAnsi" w:hAnsiTheme="minorHAnsi" w:cstheme="minorHAnsi"/>
          <w:b/>
          <w:sz w:val="24"/>
          <w:szCs w:val="24"/>
        </w:rPr>
      </w:pPr>
      <w:r>
        <w:rPr>
          <w:rFonts w:asciiTheme="minorHAnsi" w:hAnsiTheme="minorHAnsi" w:cstheme="minorHAnsi"/>
          <w:b/>
          <w:smallCaps/>
          <w:sz w:val="24"/>
          <w:szCs w:val="24"/>
        </w:rPr>
        <w:lastRenderedPageBreak/>
        <w:t xml:space="preserve">PRIMEIRO ADITAMENTO AO </w:t>
      </w:r>
      <w:r w:rsidRPr="0020447D">
        <w:rPr>
          <w:rFonts w:asciiTheme="minorHAnsi" w:hAnsiTheme="minorHAnsi" w:cstheme="minorHAnsi"/>
          <w:b/>
          <w:smallCaps/>
          <w:sz w:val="24"/>
          <w:szCs w:val="24"/>
        </w:rPr>
        <w:t>INSTRUMENTO PARTICULAR DE CESSÃO FIDUCIÁRIA DE DIREITOS CREDITÓRIOS E OUTRAS AVENÇAS</w:t>
      </w:r>
    </w:p>
    <w:p w14:paraId="7F48A2D6" w14:textId="77777777" w:rsidR="008C6514" w:rsidRPr="00474552" w:rsidRDefault="008C6514" w:rsidP="00B92908">
      <w:pPr>
        <w:pStyle w:val="PargrafodaLista"/>
        <w:widowControl w:val="0"/>
        <w:tabs>
          <w:tab w:val="left" w:pos="567"/>
        </w:tabs>
        <w:spacing w:after="0" w:line="340" w:lineRule="exact"/>
        <w:rPr>
          <w:rFonts w:asciiTheme="minorHAnsi" w:hAnsiTheme="minorHAnsi" w:cstheme="minorHAnsi"/>
          <w:b/>
          <w:bCs/>
          <w:sz w:val="24"/>
          <w:szCs w:val="24"/>
        </w:rPr>
      </w:pPr>
    </w:p>
    <w:p w14:paraId="209BEBDF" w14:textId="6B062442" w:rsidR="008C6514" w:rsidRPr="00474552"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Pelo presente instrumento particular,</w:t>
      </w:r>
      <w:bookmarkStart w:id="5" w:name="_Hlk492656937"/>
      <w:r w:rsidR="009232EA" w:rsidRPr="00474552">
        <w:rPr>
          <w:rFonts w:asciiTheme="minorHAnsi" w:hAnsiTheme="minorHAnsi" w:cstheme="minorHAnsi"/>
          <w:sz w:val="24"/>
          <w:szCs w:val="24"/>
        </w:rPr>
        <w:t xml:space="preserve"> as partes:</w:t>
      </w:r>
    </w:p>
    <w:p w14:paraId="18B494DE" w14:textId="77777777" w:rsidR="008C6514" w:rsidRPr="00474552" w:rsidRDefault="008C6514" w:rsidP="00B92908">
      <w:pPr>
        <w:spacing w:after="0" w:line="340" w:lineRule="exact"/>
        <w:rPr>
          <w:rFonts w:asciiTheme="minorHAnsi" w:hAnsiTheme="minorHAnsi" w:cstheme="minorHAnsi"/>
          <w:sz w:val="24"/>
          <w:szCs w:val="24"/>
        </w:rPr>
      </w:pPr>
    </w:p>
    <w:p w14:paraId="4D285A10" w14:textId="77777777" w:rsidR="007153CC" w:rsidRDefault="00A97D93" w:rsidP="00B92908">
      <w:pPr>
        <w:spacing w:after="0" w:line="340" w:lineRule="exact"/>
        <w:rPr>
          <w:rFonts w:asciiTheme="minorHAnsi" w:hAnsiTheme="minorHAnsi" w:cstheme="minorHAnsi"/>
          <w:sz w:val="24"/>
          <w:szCs w:val="24"/>
        </w:rPr>
      </w:pPr>
      <w:bookmarkStart w:id="6" w:name="_Hlk66116802"/>
      <w:bookmarkEnd w:id="5"/>
      <w:r w:rsidRPr="00A87FA0">
        <w:rPr>
          <w:rFonts w:asciiTheme="minorHAnsi" w:hAnsiTheme="minorHAnsi" w:cstheme="minorHAnsi"/>
          <w:b/>
          <w:smallCaps/>
          <w:color w:val="000000"/>
          <w:sz w:val="24"/>
          <w:szCs w:val="24"/>
        </w:rPr>
        <w:t>ODONTOCOMPANY FRANCHISING S.A.</w:t>
      </w:r>
      <w:r w:rsidRPr="00A87FA0">
        <w:rPr>
          <w:rFonts w:asciiTheme="minorHAnsi" w:hAnsiTheme="minorHAnsi" w:cstheme="minorHAnsi"/>
          <w:color w:val="000000"/>
          <w:sz w:val="24"/>
          <w:szCs w:val="24"/>
        </w:rPr>
        <w:t xml:space="preserve">, sociedade por ações </w:t>
      </w:r>
      <w:r w:rsidRPr="009C64C7">
        <w:rPr>
          <w:rFonts w:asciiTheme="minorHAnsi" w:hAnsiTheme="minorHAnsi" w:cstheme="minorHAnsi"/>
          <w:color w:val="000000"/>
          <w:sz w:val="24"/>
          <w:szCs w:val="24"/>
        </w:rPr>
        <w:t>sem r</w:t>
      </w:r>
      <w:r w:rsidRPr="00A87FA0">
        <w:rPr>
          <w:rFonts w:asciiTheme="minorHAnsi" w:hAnsiTheme="minorHAnsi" w:cstheme="minorHAnsi"/>
          <w:color w:val="000000"/>
          <w:sz w:val="24"/>
          <w:szCs w:val="24"/>
        </w:rPr>
        <w:t>egistro de emissor de valores mobiliários junto à Comissão de Valores Mobiliários (“</w:t>
      </w:r>
      <w:r w:rsidRPr="009C64C7">
        <w:rPr>
          <w:rFonts w:asciiTheme="minorHAnsi" w:hAnsiTheme="minorHAnsi" w:cstheme="minorHAnsi"/>
          <w:bCs/>
          <w:color w:val="000000"/>
          <w:sz w:val="24"/>
          <w:szCs w:val="24"/>
          <w:u w:val="single"/>
        </w:rPr>
        <w:t>CVM</w:t>
      </w:r>
      <w:r w:rsidRPr="00A87FA0">
        <w:rPr>
          <w:rFonts w:asciiTheme="minorHAnsi" w:hAnsiTheme="minorHAnsi" w:cstheme="minorHAnsi"/>
          <w:color w:val="000000"/>
          <w:sz w:val="24"/>
          <w:szCs w:val="24"/>
        </w:rPr>
        <w:t xml:space="preserve">”), com sede na Cidade de </w:t>
      </w:r>
      <w:r>
        <w:rPr>
          <w:rFonts w:asciiTheme="minorHAnsi" w:hAnsiTheme="minorHAnsi" w:cstheme="minorHAnsi"/>
          <w:color w:val="000000"/>
          <w:sz w:val="24"/>
          <w:szCs w:val="24"/>
        </w:rPr>
        <w:t>Barueri</w:t>
      </w:r>
      <w:r w:rsidRPr="00A87FA0">
        <w:rPr>
          <w:rFonts w:asciiTheme="minorHAnsi" w:hAnsiTheme="minorHAnsi" w:cstheme="minorHAnsi"/>
          <w:color w:val="000000"/>
          <w:sz w:val="24"/>
          <w:szCs w:val="24"/>
        </w:rPr>
        <w:t xml:space="preserve">, Estado de São Paulo, na </w:t>
      </w:r>
      <w:r>
        <w:rPr>
          <w:rFonts w:asciiTheme="minorHAnsi" w:hAnsiTheme="minorHAnsi" w:cstheme="minorHAnsi"/>
          <w:color w:val="000000"/>
          <w:sz w:val="24"/>
          <w:szCs w:val="24"/>
        </w:rPr>
        <w:t xml:space="preserve">Alameda Xingu, n° 350, conjunto 2203, 22° andar, Alphaville Industrial, CEP </w:t>
      </w:r>
      <w:r w:rsidRPr="009C64C7">
        <w:rPr>
          <w:rFonts w:asciiTheme="minorHAnsi" w:hAnsiTheme="minorHAnsi" w:cstheme="minorHAnsi"/>
          <w:color w:val="000000"/>
          <w:sz w:val="24"/>
          <w:szCs w:val="24"/>
        </w:rPr>
        <w:t>06.455-911</w:t>
      </w:r>
      <w:r w:rsidRPr="00A87FA0">
        <w:rPr>
          <w:rFonts w:asciiTheme="minorHAnsi" w:hAnsiTheme="minorHAnsi" w:cstheme="minorHAnsi"/>
          <w:color w:val="000000"/>
          <w:sz w:val="24"/>
          <w:szCs w:val="24"/>
        </w:rPr>
        <w:t xml:space="preserve">, inscrita no Cadastro Nacional da Pessoa Jurídica do Ministério da </w:t>
      </w:r>
      <w:r>
        <w:rPr>
          <w:rFonts w:asciiTheme="minorHAnsi" w:hAnsiTheme="minorHAnsi" w:cstheme="minorHAnsi"/>
          <w:color w:val="000000"/>
          <w:sz w:val="24"/>
          <w:szCs w:val="24"/>
        </w:rPr>
        <w:t>Economia</w:t>
      </w:r>
      <w:r w:rsidRPr="00A87FA0">
        <w:rPr>
          <w:rFonts w:asciiTheme="minorHAnsi" w:hAnsiTheme="minorHAnsi" w:cstheme="minorHAnsi"/>
          <w:color w:val="000000"/>
          <w:sz w:val="24"/>
          <w:szCs w:val="24"/>
        </w:rPr>
        <w:t xml:space="preserve"> (“</w:t>
      </w:r>
      <w:r w:rsidRPr="009C64C7">
        <w:rPr>
          <w:rFonts w:asciiTheme="minorHAnsi" w:hAnsiTheme="minorHAnsi" w:cstheme="minorHAnsi"/>
          <w:bCs/>
          <w:color w:val="000000"/>
          <w:sz w:val="24"/>
          <w:szCs w:val="24"/>
          <w:u w:val="single"/>
        </w:rPr>
        <w:t>CNPJ/ME</w:t>
      </w:r>
      <w:r w:rsidRPr="00A87FA0">
        <w:rPr>
          <w:rFonts w:asciiTheme="minorHAnsi" w:hAnsiTheme="minorHAnsi" w:cstheme="minorHAnsi"/>
          <w:color w:val="000000"/>
          <w:sz w:val="24"/>
          <w:szCs w:val="24"/>
        </w:rPr>
        <w:t>”) sob nº</w:t>
      </w:r>
      <w:r>
        <w:rPr>
          <w:rFonts w:asciiTheme="minorHAnsi" w:hAnsiTheme="minorHAnsi" w:cstheme="minorHAnsi"/>
          <w:color w:val="000000"/>
          <w:sz w:val="24"/>
          <w:szCs w:val="24"/>
        </w:rPr>
        <w:t> </w:t>
      </w:r>
      <w:r w:rsidRPr="00A87FA0">
        <w:rPr>
          <w:rFonts w:asciiTheme="minorHAnsi" w:hAnsiTheme="minorHAnsi" w:cstheme="minorHAnsi"/>
          <w:color w:val="000000"/>
          <w:sz w:val="24"/>
          <w:szCs w:val="24"/>
        </w:rPr>
        <w:t xml:space="preserve">12.817.681/0001-64, </w:t>
      </w:r>
      <w:r>
        <w:rPr>
          <w:rFonts w:asciiTheme="minorHAnsi" w:hAnsiTheme="minorHAnsi" w:cstheme="minorHAnsi"/>
          <w:color w:val="000000"/>
          <w:sz w:val="24"/>
          <w:szCs w:val="24"/>
        </w:rPr>
        <w:t>com seus atos constitutivos registrados perante a Junta Comercial do Estado de São Paulo (“</w:t>
      </w:r>
      <w:r w:rsidRPr="00762675">
        <w:rPr>
          <w:rFonts w:asciiTheme="minorHAnsi" w:hAnsiTheme="minorHAnsi" w:cstheme="minorHAnsi"/>
          <w:color w:val="000000"/>
          <w:sz w:val="24"/>
          <w:szCs w:val="24"/>
          <w:u w:val="single"/>
        </w:rPr>
        <w:t>JUCESP</w:t>
      </w:r>
      <w:r>
        <w:rPr>
          <w:rFonts w:asciiTheme="minorHAnsi" w:hAnsiTheme="minorHAnsi" w:cstheme="minorHAnsi"/>
          <w:color w:val="000000"/>
          <w:sz w:val="24"/>
          <w:szCs w:val="24"/>
        </w:rPr>
        <w:t xml:space="preserve">”) sob o NIRE 35.300.522.036, </w:t>
      </w:r>
      <w:r w:rsidRPr="00A87FA0">
        <w:rPr>
          <w:rFonts w:asciiTheme="minorHAnsi" w:hAnsiTheme="minorHAnsi" w:cstheme="minorHAnsi"/>
          <w:color w:val="000000"/>
          <w:sz w:val="24"/>
          <w:szCs w:val="24"/>
        </w:rPr>
        <w:t>neste ato representada na forma de seu estatuto social, por seus representantes legais abaixo subscritos (“</w:t>
      </w:r>
      <w:r w:rsidRPr="009C64C7">
        <w:rPr>
          <w:rFonts w:asciiTheme="minorHAnsi" w:hAnsiTheme="minorHAnsi" w:cstheme="minorHAnsi"/>
          <w:bCs/>
          <w:color w:val="000000"/>
          <w:sz w:val="24"/>
          <w:szCs w:val="24"/>
          <w:u w:val="single"/>
        </w:rPr>
        <w:t>Emissora</w:t>
      </w:r>
      <w:r w:rsidRPr="00A87FA0">
        <w:rPr>
          <w:rFonts w:asciiTheme="minorHAnsi" w:hAnsiTheme="minorHAnsi" w:cstheme="minorHAnsi"/>
          <w:color w:val="000000"/>
          <w:sz w:val="24"/>
          <w:szCs w:val="24"/>
        </w:rPr>
        <w:t>”)</w:t>
      </w:r>
      <w:r w:rsidR="008C6514" w:rsidRPr="00474552">
        <w:rPr>
          <w:rFonts w:asciiTheme="minorHAnsi" w:hAnsiTheme="minorHAnsi" w:cstheme="minorHAnsi"/>
          <w:sz w:val="24"/>
          <w:szCs w:val="24"/>
        </w:rPr>
        <w:t>;</w:t>
      </w:r>
    </w:p>
    <w:p w14:paraId="2F4F3A37" w14:textId="77777777" w:rsidR="007153CC" w:rsidRDefault="007153CC" w:rsidP="00B92908">
      <w:pPr>
        <w:spacing w:after="0" w:line="340" w:lineRule="exact"/>
        <w:rPr>
          <w:rFonts w:asciiTheme="minorHAnsi" w:hAnsiTheme="minorHAnsi" w:cstheme="minorHAnsi"/>
          <w:sz w:val="24"/>
          <w:szCs w:val="24"/>
        </w:rPr>
      </w:pPr>
    </w:p>
    <w:p w14:paraId="62BFCDBB" w14:textId="3F7C9C57" w:rsidR="008C6514" w:rsidRPr="00474552" w:rsidRDefault="007153CC" w:rsidP="00B92908">
      <w:pPr>
        <w:spacing w:after="0" w:line="340" w:lineRule="exact"/>
        <w:rPr>
          <w:rFonts w:asciiTheme="minorHAnsi" w:hAnsiTheme="minorHAnsi" w:cstheme="minorHAnsi"/>
          <w:sz w:val="24"/>
          <w:szCs w:val="24"/>
        </w:rPr>
      </w:pPr>
      <w:r w:rsidRPr="00BE1DA1">
        <w:rPr>
          <w:rFonts w:asciiTheme="minorHAnsi" w:hAnsiTheme="minorHAnsi" w:cstheme="minorHAnsi"/>
          <w:b/>
          <w:smallCaps/>
          <w:color w:val="000000"/>
          <w:sz w:val="24"/>
          <w:szCs w:val="24"/>
        </w:rPr>
        <w:t xml:space="preserve">ORAL SIN FRANQUIAS </w:t>
      </w:r>
      <w:r w:rsidRPr="00D736C9">
        <w:rPr>
          <w:rFonts w:asciiTheme="minorHAnsi" w:hAnsiTheme="minorHAnsi" w:cstheme="minorHAnsi"/>
          <w:b/>
          <w:smallCaps/>
          <w:color w:val="000000"/>
          <w:sz w:val="24"/>
          <w:szCs w:val="24"/>
        </w:rPr>
        <w:t>S.A.</w:t>
      </w:r>
      <w:r w:rsidRPr="00D736C9">
        <w:rPr>
          <w:rFonts w:asciiTheme="minorHAnsi" w:hAnsiTheme="minorHAnsi" w:cstheme="minorHAnsi"/>
          <w:color w:val="000000"/>
          <w:sz w:val="24"/>
          <w:szCs w:val="24"/>
        </w:rPr>
        <w:t xml:space="preserve">, sociedade por ações sem registro de emissor de valores mobiliários junto à </w:t>
      </w:r>
      <w:r w:rsidRPr="005B2DBD">
        <w:rPr>
          <w:rFonts w:asciiTheme="minorHAnsi" w:hAnsiTheme="minorHAnsi" w:cstheme="minorHAnsi"/>
          <w:bCs/>
          <w:color w:val="000000"/>
          <w:sz w:val="24"/>
          <w:szCs w:val="24"/>
        </w:rPr>
        <w:t>CVM</w:t>
      </w:r>
      <w:r w:rsidRPr="00D736C9">
        <w:rPr>
          <w:rFonts w:asciiTheme="minorHAnsi" w:hAnsiTheme="minorHAnsi" w:cstheme="minorHAnsi"/>
          <w:color w:val="000000"/>
          <w:sz w:val="24"/>
          <w:szCs w:val="24"/>
        </w:rPr>
        <w:t xml:space="preserve">, com sede na </w:t>
      </w:r>
      <w:r>
        <w:rPr>
          <w:rFonts w:asciiTheme="minorHAnsi" w:hAnsiTheme="minorHAnsi" w:cstheme="minorHAnsi"/>
          <w:color w:val="000000"/>
          <w:sz w:val="24"/>
          <w:szCs w:val="24"/>
        </w:rPr>
        <w:t>Alameda Xingu</w:t>
      </w:r>
      <w:r w:rsidRPr="00D736C9">
        <w:rPr>
          <w:rFonts w:asciiTheme="minorHAnsi" w:hAnsiTheme="minorHAnsi" w:cstheme="minorHAnsi"/>
          <w:color w:val="000000"/>
          <w:sz w:val="24"/>
          <w:szCs w:val="24"/>
        </w:rPr>
        <w:t xml:space="preserve">, nº </w:t>
      </w:r>
      <w:r>
        <w:rPr>
          <w:rFonts w:asciiTheme="minorHAnsi" w:hAnsiTheme="minorHAnsi" w:cstheme="minorHAnsi"/>
          <w:color w:val="000000"/>
          <w:sz w:val="24"/>
          <w:szCs w:val="24"/>
        </w:rPr>
        <w:t>350</w:t>
      </w:r>
      <w:r w:rsidRPr="00D736C9">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22º andar, sala 2.203, Edifício </w:t>
      </w:r>
      <w:proofErr w:type="spellStart"/>
      <w:r>
        <w:rPr>
          <w:rFonts w:asciiTheme="minorHAnsi" w:hAnsiTheme="minorHAnsi" w:cstheme="minorHAnsi"/>
          <w:color w:val="000000"/>
          <w:sz w:val="24"/>
          <w:szCs w:val="24"/>
        </w:rPr>
        <w:t>Itower</w:t>
      </w:r>
      <w:proofErr w:type="spellEnd"/>
      <w:r w:rsidRPr="00D736C9">
        <w:rPr>
          <w:rFonts w:asciiTheme="minorHAnsi" w:hAnsiTheme="minorHAnsi" w:cstheme="minorHAnsi"/>
          <w:color w:val="000000"/>
          <w:sz w:val="24"/>
          <w:szCs w:val="24"/>
        </w:rPr>
        <w:t xml:space="preserve">, CEP </w:t>
      </w:r>
      <w:r>
        <w:rPr>
          <w:rFonts w:asciiTheme="minorHAnsi" w:hAnsiTheme="minorHAnsi" w:cstheme="minorHAnsi"/>
          <w:color w:val="000000"/>
          <w:sz w:val="24"/>
          <w:szCs w:val="24"/>
        </w:rPr>
        <w:t>06.455-030</w:t>
      </w:r>
      <w:r w:rsidRPr="00D736C9">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Alphaville, </w:t>
      </w:r>
      <w:r w:rsidRPr="00D736C9">
        <w:rPr>
          <w:rFonts w:asciiTheme="minorHAnsi" w:hAnsiTheme="minorHAnsi" w:cstheme="minorHAnsi"/>
          <w:color w:val="000000"/>
          <w:sz w:val="24"/>
          <w:szCs w:val="24"/>
        </w:rPr>
        <w:t xml:space="preserve">na Cidade de </w:t>
      </w:r>
      <w:r>
        <w:rPr>
          <w:rFonts w:asciiTheme="minorHAnsi" w:hAnsiTheme="minorHAnsi" w:cstheme="minorHAnsi"/>
          <w:color w:val="000000"/>
          <w:sz w:val="24"/>
          <w:szCs w:val="24"/>
        </w:rPr>
        <w:t>Barueri</w:t>
      </w:r>
      <w:r w:rsidRPr="00D736C9">
        <w:rPr>
          <w:rFonts w:asciiTheme="minorHAnsi" w:hAnsiTheme="minorHAnsi" w:cstheme="minorHAnsi"/>
          <w:color w:val="000000"/>
          <w:sz w:val="24"/>
          <w:szCs w:val="24"/>
        </w:rPr>
        <w:t xml:space="preserve">, Estado de São Paulo, inscrita no </w:t>
      </w:r>
      <w:r w:rsidRPr="005B2DBD">
        <w:rPr>
          <w:rFonts w:asciiTheme="minorHAnsi" w:hAnsiTheme="minorHAnsi" w:cstheme="minorHAnsi"/>
          <w:bCs/>
          <w:color w:val="000000"/>
          <w:sz w:val="24"/>
          <w:szCs w:val="24"/>
        </w:rPr>
        <w:t>CNPJ/ME</w:t>
      </w:r>
      <w:r w:rsidRPr="00D736C9">
        <w:rPr>
          <w:rFonts w:asciiTheme="minorHAnsi" w:hAnsiTheme="minorHAnsi" w:cstheme="minorHAnsi"/>
          <w:color w:val="000000"/>
          <w:sz w:val="24"/>
          <w:szCs w:val="24"/>
        </w:rPr>
        <w:t xml:space="preserve"> sob nº </w:t>
      </w:r>
      <w:r w:rsidRPr="000D55BC">
        <w:rPr>
          <w:rFonts w:asciiTheme="minorHAnsi" w:hAnsiTheme="minorHAnsi" w:cstheme="minorHAnsi"/>
          <w:sz w:val="24"/>
          <w:szCs w:val="24"/>
        </w:rPr>
        <w:t>17.539.329/0001-28</w:t>
      </w:r>
      <w:r w:rsidRPr="00D736C9">
        <w:rPr>
          <w:rFonts w:asciiTheme="minorHAnsi" w:hAnsiTheme="minorHAnsi" w:cstheme="minorHAnsi"/>
          <w:color w:val="000000"/>
          <w:sz w:val="24"/>
          <w:szCs w:val="24"/>
        </w:rPr>
        <w:t>, neste ato representada na forma de seu estatuto social, por seus representantes legais abaixo subscritos (“</w:t>
      </w:r>
      <w:r w:rsidRPr="00703B01">
        <w:rPr>
          <w:rFonts w:asciiTheme="minorHAnsi" w:hAnsiTheme="minorHAnsi" w:cstheme="minorHAnsi"/>
          <w:color w:val="000000"/>
          <w:sz w:val="24"/>
          <w:szCs w:val="24"/>
          <w:u w:val="single"/>
        </w:rPr>
        <w:t>Garantidora</w:t>
      </w:r>
      <w:r>
        <w:rPr>
          <w:rFonts w:asciiTheme="minorHAnsi" w:hAnsiTheme="minorHAnsi" w:cstheme="minorHAnsi"/>
          <w:color w:val="000000"/>
          <w:sz w:val="24"/>
          <w:szCs w:val="24"/>
        </w:rPr>
        <w:t>”, e, em conjunto com a Emissora, as “</w:t>
      </w:r>
      <w:r w:rsidRPr="00703B01">
        <w:rPr>
          <w:rFonts w:asciiTheme="minorHAnsi" w:hAnsiTheme="minorHAnsi" w:cstheme="minorHAnsi"/>
          <w:bCs/>
          <w:color w:val="000000"/>
          <w:sz w:val="24"/>
          <w:szCs w:val="24"/>
          <w:u w:val="single"/>
        </w:rPr>
        <w:t>Cedentes</w:t>
      </w:r>
      <w:r w:rsidRPr="00D736C9">
        <w:rPr>
          <w:rFonts w:asciiTheme="minorHAnsi" w:hAnsiTheme="minorHAnsi" w:cstheme="minorHAnsi"/>
          <w:color w:val="000000"/>
          <w:sz w:val="24"/>
          <w:szCs w:val="24"/>
        </w:rPr>
        <w:t>”);</w:t>
      </w:r>
      <w:r w:rsidR="008C6514" w:rsidRPr="00474552">
        <w:rPr>
          <w:rFonts w:asciiTheme="minorHAnsi" w:hAnsiTheme="minorHAnsi" w:cstheme="minorHAnsi"/>
          <w:sz w:val="24"/>
          <w:szCs w:val="24"/>
        </w:rPr>
        <w:t xml:space="preserve"> </w:t>
      </w:r>
      <w:r w:rsidR="00C10FDE">
        <w:rPr>
          <w:rFonts w:asciiTheme="minorHAnsi" w:hAnsiTheme="minorHAnsi" w:cstheme="minorHAnsi"/>
          <w:sz w:val="24"/>
          <w:szCs w:val="24"/>
        </w:rPr>
        <w:t>e</w:t>
      </w:r>
    </w:p>
    <w:p w14:paraId="73446AE7" w14:textId="77777777" w:rsidR="008C6514" w:rsidRPr="00474552" w:rsidRDefault="008C6514" w:rsidP="00B92908">
      <w:pPr>
        <w:spacing w:after="0" w:line="340" w:lineRule="exact"/>
        <w:rPr>
          <w:rFonts w:asciiTheme="minorHAnsi" w:hAnsiTheme="minorHAnsi" w:cstheme="minorHAnsi"/>
          <w:sz w:val="24"/>
          <w:szCs w:val="24"/>
        </w:rPr>
      </w:pPr>
    </w:p>
    <w:p w14:paraId="0D33788A" w14:textId="64BCE7C4" w:rsidR="008C6514" w:rsidRPr="00474552" w:rsidRDefault="00A97D93" w:rsidP="00C10FDE">
      <w:pPr>
        <w:spacing w:after="0" w:line="340" w:lineRule="exact"/>
        <w:rPr>
          <w:rFonts w:asciiTheme="minorHAnsi" w:hAnsiTheme="minorHAnsi" w:cstheme="minorHAnsi"/>
          <w:b/>
          <w:bCs/>
          <w:sz w:val="24"/>
          <w:szCs w:val="24"/>
        </w:rPr>
      </w:pPr>
      <w:bookmarkStart w:id="7" w:name="_Hlk97591405"/>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estatuto social, por seus representantes legais abaixo subscritos (“</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bookmarkEnd w:id="7"/>
      <w:r w:rsidR="00C10FDE">
        <w:rPr>
          <w:rFonts w:asciiTheme="minorHAnsi" w:hAnsiTheme="minorHAnsi" w:cstheme="minorHAnsi"/>
          <w:sz w:val="24"/>
          <w:szCs w:val="24"/>
        </w:rPr>
        <w:t>.</w:t>
      </w:r>
    </w:p>
    <w:p w14:paraId="0AA409A6" w14:textId="77777777" w:rsidR="008C6514" w:rsidRPr="00474552" w:rsidRDefault="008C6514" w:rsidP="00B92908">
      <w:pPr>
        <w:spacing w:after="0" w:line="340" w:lineRule="exact"/>
        <w:rPr>
          <w:rFonts w:asciiTheme="minorHAnsi" w:hAnsiTheme="minorHAnsi" w:cstheme="minorHAnsi"/>
          <w:sz w:val="24"/>
          <w:szCs w:val="24"/>
        </w:rPr>
      </w:pPr>
    </w:p>
    <w:bookmarkEnd w:id="6"/>
    <w:p w14:paraId="73C20709" w14:textId="63AEE8C5" w:rsidR="008C6514" w:rsidRPr="00474552" w:rsidRDefault="008C6514" w:rsidP="005F2C33">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 xml:space="preserve">Sendo </w:t>
      </w:r>
      <w:r w:rsidR="007153CC">
        <w:rPr>
          <w:rFonts w:asciiTheme="minorHAnsi" w:hAnsiTheme="minorHAnsi" w:cstheme="minorHAnsi"/>
          <w:sz w:val="24"/>
          <w:szCs w:val="24"/>
        </w:rPr>
        <w:t>as Cedentes</w:t>
      </w:r>
      <w:r w:rsidR="00C10FDE">
        <w:rPr>
          <w:rFonts w:asciiTheme="minorHAnsi" w:hAnsiTheme="minorHAnsi" w:cstheme="minorHAnsi"/>
          <w:sz w:val="24"/>
          <w:szCs w:val="24"/>
        </w:rPr>
        <w:t xml:space="preserve"> e</w:t>
      </w:r>
      <w:r w:rsidR="00C10FDE" w:rsidRPr="00474552">
        <w:rPr>
          <w:rFonts w:asciiTheme="minorHAnsi" w:hAnsiTheme="minorHAnsi" w:cstheme="minorHAnsi"/>
          <w:sz w:val="24"/>
          <w:szCs w:val="24"/>
        </w:rPr>
        <w:t xml:space="preserve"> </w:t>
      </w:r>
      <w:r w:rsidRPr="00474552">
        <w:rPr>
          <w:rFonts w:asciiTheme="minorHAnsi" w:hAnsiTheme="minorHAnsi" w:cstheme="minorHAnsi"/>
          <w:sz w:val="24"/>
          <w:szCs w:val="24"/>
        </w:rPr>
        <w:t>o Agente Fiduciário doravante denominados, em conjunto, como “Partes” e, individual e indistintamente, como “Parte”</w:t>
      </w:r>
      <w:r w:rsidR="005F2C33">
        <w:rPr>
          <w:rFonts w:asciiTheme="minorHAnsi" w:hAnsiTheme="minorHAnsi" w:cstheme="minorHAnsi"/>
          <w:sz w:val="24"/>
          <w:szCs w:val="24"/>
        </w:rPr>
        <w:t>.</w:t>
      </w:r>
    </w:p>
    <w:p w14:paraId="7594E405" w14:textId="77777777" w:rsidR="008C6514" w:rsidRPr="00474552" w:rsidRDefault="008C6514" w:rsidP="00B92908">
      <w:pPr>
        <w:spacing w:after="0" w:line="340" w:lineRule="exact"/>
        <w:rPr>
          <w:rFonts w:asciiTheme="minorHAnsi" w:hAnsiTheme="minorHAnsi" w:cstheme="minorHAnsi"/>
          <w:sz w:val="24"/>
          <w:szCs w:val="24"/>
        </w:rPr>
      </w:pPr>
    </w:p>
    <w:p w14:paraId="6BFC887A" w14:textId="77777777" w:rsidR="008C6514" w:rsidRPr="00474552" w:rsidRDefault="008C6514" w:rsidP="00B92908">
      <w:pPr>
        <w:spacing w:after="0" w:line="340" w:lineRule="exact"/>
        <w:rPr>
          <w:rFonts w:asciiTheme="minorHAnsi" w:hAnsiTheme="minorHAnsi" w:cstheme="minorHAnsi"/>
          <w:b/>
          <w:bCs/>
          <w:sz w:val="24"/>
          <w:szCs w:val="24"/>
        </w:rPr>
      </w:pPr>
      <w:r w:rsidRPr="00474552">
        <w:rPr>
          <w:rFonts w:asciiTheme="minorHAnsi" w:hAnsiTheme="minorHAnsi" w:cstheme="minorHAnsi"/>
          <w:b/>
          <w:bCs/>
          <w:sz w:val="24"/>
          <w:szCs w:val="24"/>
        </w:rPr>
        <w:t>CONSIDERANDO QUE:</w:t>
      </w:r>
    </w:p>
    <w:p w14:paraId="520CA97B"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4ACEA295" w14:textId="100AE304" w:rsidR="008C6514" w:rsidRDefault="007153CC" w:rsidP="00B92908">
      <w:pPr>
        <w:pStyle w:val="PargrafodaLista"/>
        <w:numPr>
          <w:ilvl w:val="0"/>
          <w:numId w:val="2"/>
        </w:numPr>
        <w:spacing w:after="0" w:line="340" w:lineRule="exact"/>
        <w:ind w:left="720" w:hanging="540"/>
        <w:rPr>
          <w:rFonts w:asciiTheme="minorHAnsi" w:hAnsiTheme="minorHAnsi" w:cstheme="minorHAnsi"/>
          <w:sz w:val="24"/>
          <w:szCs w:val="24"/>
        </w:rPr>
      </w:pPr>
      <w:r>
        <w:rPr>
          <w:rFonts w:asciiTheme="minorHAnsi" w:hAnsiTheme="minorHAnsi" w:cstheme="minorHAnsi"/>
          <w:sz w:val="24"/>
          <w:szCs w:val="24"/>
        </w:rPr>
        <w:t>A Emissora e o Agente Fiduciário</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celebraram, em </w:t>
      </w:r>
      <w:r w:rsidR="00A97D93">
        <w:rPr>
          <w:rFonts w:asciiTheme="minorHAnsi" w:hAnsiTheme="minorHAnsi" w:cstheme="minorHAnsi"/>
          <w:sz w:val="24"/>
          <w:szCs w:val="24"/>
        </w:rPr>
        <w:t>08 de agosto de 2022</w:t>
      </w:r>
      <w:r w:rsidR="008C6514" w:rsidRPr="00474552">
        <w:rPr>
          <w:rFonts w:asciiTheme="minorHAnsi" w:hAnsiTheme="minorHAnsi" w:cstheme="minorHAnsi"/>
          <w:sz w:val="24"/>
          <w:szCs w:val="24"/>
        </w:rPr>
        <w:t>, o “</w:t>
      </w:r>
      <w:r w:rsidR="00A97D93" w:rsidRPr="00A87FA0">
        <w:rPr>
          <w:rFonts w:asciiTheme="minorHAnsi" w:hAnsiTheme="minorHAnsi" w:cstheme="minorHAnsi"/>
          <w:i/>
          <w:color w:val="000000"/>
          <w:sz w:val="24"/>
          <w:szCs w:val="24"/>
        </w:rPr>
        <w:t xml:space="preserve">Instrumento Particular de Escritura da 2ª (Segunda) Emissão de Debêntures </w:t>
      </w:r>
      <w:r w:rsidR="00A97D93" w:rsidRPr="00A87FA0">
        <w:rPr>
          <w:rFonts w:asciiTheme="minorHAnsi" w:hAnsiTheme="minorHAnsi" w:cstheme="minorHAnsi"/>
          <w:i/>
          <w:sz w:val="24"/>
          <w:szCs w:val="24"/>
        </w:rPr>
        <w:t xml:space="preserve">Simples, </w:t>
      </w:r>
      <w:r w:rsidR="00A97D93" w:rsidRPr="00A87FA0">
        <w:rPr>
          <w:rFonts w:asciiTheme="minorHAnsi" w:hAnsiTheme="minorHAnsi" w:cstheme="minorHAnsi"/>
          <w:i/>
          <w:color w:val="000000"/>
          <w:sz w:val="24"/>
          <w:szCs w:val="24"/>
        </w:rPr>
        <w:t xml:space="preserve">Não Conversíveis em Ações, </w:t>
      </w:r>
      <w:r w:rsidR="00A97D93" w:rsidRPr="00A87FA0">
        <w:rPr>
          <w:rFonts w:asciiTheme="minorHAnsi" w:hAnsiTheme="minorHAnsi" w:cstheme="minorHAnsi"/>
          <w:i/>
          <w:sz w:val="24"/>
          <w:szCs w:val="24"/>
        </w:rPr>
        <w:t xml:space="preserve">da Espécie </w:t>
      </w:r>
      <w:r w:rsidR="00A97D93">
        <w:rPr>
          <w:rFonts w:asciiTheme="minorHAnsi" w:hAnsiTheme="minorHAnsi" w:cstheme="minorHAnsi"/>
          <w:i/>
          <w:sz w:val="24"/>
          <w:szCs w:val="24"/>
        </w:rPr>
        <w:t xml:space="preserve">Quirografária, </w:t>
      </w:r>
      <w:r w:rsidR="00A97D93" w:rsidRPr="00A87FA0">
        <w:rPr>
          <w:rFonts w:asciiTheme="minorHAnsi" w:hAnsiTheme="minorHAnsi" w:cstheme="minorHAnsi"/>
          <w:i/>
          <w:sz w:val="24"/>
          <w:szCs w:val="24"/>
        </w:rPr>
        <w:t>Com Garantia Real</w:t>
      </w:r>
      <w:r w:rsidR="00A97D93">
        <w:rPr>
          <w:rFonts w:asciiTheme="minorHAnsi" w:hAnsiTheme="minorHAnsi" w:cstheme="minorHAnsi"/>
          <w:i/>
          <w:sz w:val="24"/>
          <w:szCs w:val="24"/>
        </w:rPr>
        <w:t xml:space="preserve"> Adicional</w:t>
      </w:r>
      <w:r w:rsidR="00A97D93" w:rsidRPr="00A87FA0">
        <w:rPr>
          <w:rFonts w:asciiTheme="minorHAnsi" w:hAnsiTheme="minorHAnsi" w:cstheme="minorHAnsi"/>
          <w:i/>
          <w:sz w:val="24"/>
          <w:szCs w:val="24"/>
        </w:rPr>
        <w:t xml:space="preserve">, </w:t>
      </w:r>
      <w:r w:rsidR="00A97D93" w:rsidRPr="00A87FA0">
        <w:rPr>
          <w:rFonts w:asciiTheme="minorHAnsi" w:hAnsiTheme="minorHAnsi" w:cstheme="minorHAnsi"/>
          <w:i/>
          <w:color w:val="000000"/>
          <w:sz w:val="24"/>
          <w:szCs w:val="24"/>
        </w:rPr>
        <w:t>em Série Única, para Distribuição Pública</w:t>
      </w:r>
      <w:r w:rsidR="00A97D93">
        <w:rPr>
          <w:rFonts w:asciiTheme="minorHAnsi" w:hAnsiTheme="minorHAnsi" w:cstheme="minorHAnsi"/>
          <w:i/>
          <w:color w:val="000000"/>
          <w:sz w:val="24"/>
          <w:szCs w:val="24"/>
        </w:rPr>
        <w:t>,</w:t>
      </w:r>
      <w:r w:rsidR="00A97D93" w:rsidRPr="00A87FA0">
        <w:rPr>
          <w:rFonts w:asciiTheme="minorHAnsi" w:hAnsiTheme="minorHAnsi" w:cstheme="minorHAnsi"/>
          <w:i/>
          <w:color w:val="000000"/>
          <w:sz w:val="24"/>
          <w:szCs w:val="24"/>
        </w:rPr>
        <w:t xml:space="preserve"> com Esforços Restritos</w:t>
      </w:r>
      <w:r w:rsidR="00A97D93">
        <w:rPr>
          <w:rFonts w:asciiTheme="minorHAnsi" w:hAnsiTheme="minorHAnsi" w:cstheme="minorHAnsi"/>
          <w:i/>
          <w:color w:val="000000"/>
          <w:sz w:val="24"/>
          <w:szCs w:val="24"/>
        </w:rPr>
        <w:t xml:space="preserve"> de Distribuição</w:t>
      </w:r>
      <w:r w:rsidR="00A97D93" w:rsidRPr="00A87FA0">
        <w:rPr>
          <w:rFonts w:asciiTheme="minorHAnsi" w:hAnsiTheme="minorHAnsi" w:cstheme="minorHAnsi"/>
          <w:i/>
          <w:color w:val="000000"/>
          <w:sz w:val="24"/>
          <w:szCs w:val="24"/>
        </w:rPr>
        <w:t xml:space="preserve">, da </w:t>
      </w:r>
      <w:proofErr w:type="spellStart"/>
      <w:r w:rsidR="00A97D93" w:rsidRPr="00A87FA0">
        <w:rPr>
          <w:rFonts w:asciiTheme="minorHAnsi" w:hAnsiTheme="minorHAnsi" w:cstheme="minorHAnsi"/>
          <w:i/>
          <w:color w:val="000000"/>
          <w:sz w:val="24"/>
          <w:szCs w:val="24"/>
        </w:rPr>
        <w:t>Odontocompany</w:t>
      </w:r>
      <w:proofErr w:type="spellEnd"/>
      <w:r w:rsidR="00A97D93" w:rsidRPr="00A87FA0">
        <w:rPr>
          <w:rFonts w:asciiTheme="minorHAnsi" w:hAnsiTheme="minorHAnsi" w:cstheme="minorHAnsi"/>
          <w:i/>
          <w:color w:val="000000"/>
          <w:sz w:val="24"/>
          <w:szCs w:val="24"/>
        </w:rPr>
        <w:t xml:space="preserve"> Franchising S.A.</w:t>
      </w:r>
      <w:r w:rsidR="008C6514" w:rsidRPr="00474552">
        <w:rPr>
          <w:rFonts w:asciiTheme="minorHAnsi" w:hAnsiTheme="minorHAnsi" w:cstheme="minorHAnsi"/>
          <w:i/>
          <w:iCs/>
          <w:sz w:val="24"/>
          <w:szCs w:val="24"/>
        </w:rPr>
        <w:t>”</w:t>
      </w:r>
      <w:r w:rsidR="008C6514" w:rsidRPr="00474552">
        <w:rPr>
          <w:rFonts w:asciiTheme="minorHAnsi" w:hAnsiTheme="minorHAnsi" w:cstheme="minorHAnsi"/>
          <w:sz w:val="24"/>
          <w:szCs w:val="24"/>
        </w:rPr>
        <w:t xml:space="preserve">, registrado perante a </w:t>
      </w:r>
      <w:r w:rsidR="00A97D93" w:rsidRPr="00474552">
        <w:rPr>
          <w:rFonts w:asciiTheme="minorHAnsi" w:hAnsiTheme="minorHAnsi" w:cstheme="minorHAnsi"/>
          <w:sz w:val="24"/>
          <w:szCs w:val="24"/>
        </w:rPr>
        <w:t>J</w:t>
      </w:r>
      <w:r w:rsidR="00A97D93">
        <w:rPr>
          <w:rFonts w:asciiTheme="minorHAnsi" w:hAnsiTheme="minorHAnsi" w:cstheme="minorHAnsi"/>
          <w:sz w:val="24"/>
          <w:szCs w:val="24"/>
        </w:rPr>
        <w:t>UCESP</w:t>
      </w:r>
      <w:r w:rsidR="00A97D93"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em </w:t>
      </w:r>
      <w:r w:rsidR="00A97D93">
        <w:rPr>
          <w:rFonts w:asciiTheme="minorHAnsi" w:hAnsiTheme="minorHAnsi" w:cstheme="minorHAnsi"/>
          <w:sz w:val="24"/>
          <w:szCs w:val="24"/>
        </w:rPr>
        <w:t>17 de agosto de 2022</w:t>
      </w:r>
      <w:r w:rsidR="008C6514" w:rsidRPr="00474552">
        <w:rPr>
          <w:rFonts w:asciiTheme="minorHAnsi" w:hAnsiTheme="minorHAnsi" w:cstheme="minorHAnsi"/>
          <w:sz w:val="24"/>
          <w:szCs w:val="24"/>
        </w:rPr>
        <w:t xml:space="preserve">, sob o nº </w:t>
      </w:r>
      <w:r w:rsidR="00A97D93">
        <w:rPr>
          <w:rFonts w:asciiTheme="minorHAnsi" w:hAnsiTheme="minorHAnsi" w:cstheme="minorHAnsi"/>
          <w:sz w:val="24"/>
          <w:szCs w:val="24"/>
        </w:rPr>
        <w:t>ED004754-5/000</w:t>
      </w:r>
      <w:r w:rsidR="00A97D93" w:rsidRPr="00474552">
        <w:rPr>
          <w:rFonts w:asciiTheme="minorHAnsi" w:hAnsiTheme="minorHAnsi" w:cstheme="minorHAnsi"/>
          <w:i/>
          <w:iCs/>
          <w:sz w:val="24"/>
          <w:szCs w:val="24"/>
        </w:rPr>
        <w:t xml:space="preserve"> </w:t>
      </w:r>
      <w:r w:rsidR="008C6514" w:rsidRPr="00474552">
        <w:rPr>
          <w:rFonts w:asciiTheme="minorHAnsi" w:hAnsiTheme="minorHAnsi" w:cstheme="minorHAnsi"/>
          <w:sz w:val="24"/>
          <w:szCs w:val="24"/>
        </w:rPr>
        <w:t>(“</w:t>
      </w:r>
      <w:r w:rsidR="008C6514" w:rsidRPr="00474552">
        <w:rPr>
          <w:rFonts w:asciiTheme="minorHAnsi" w:hAnsiTheme="minorHAnsi" w:cstheme="minorHAnsi"/>
          <w:sz w:val="24"/>
          <w:szCs w:val="24"/>
          <w:u w:val="single"/>
        </w:rPr>
        <w:t>Escritura de Emissão</w:t>
      </w:r>
      <w:r w:rsidR="008C6514" w:rsidRPr="00474552">
        <w:rPr>
          <w:rFonts w:asciiTheme="minorHAnsi" w:hAnsiTheme="minorHAnsi" w:cstheme="minorHAnsi"/>
          <w:sz w:val="24"/>
          <w:szCs w:val="24"/>
        </w:rPr>
        <w:t>”)</w:t>
      </w:r>
      <w:r w:rsidR="00BB6955">
        <w:rPr>
          <w:rFonts w:asciiTheme="minorHAnsi" w:hAnsiTheme="minorHAnsi" w:cstheme="minorHAnsi"/>
          <w:sz w:val="24"/>
          <w:szCs w:val="24"/>
        </w:rPr>
        <w:t xml:space="preserve">, </w:t>
      </w:r>
      <w:r>
        <w:rPr>
          <w:rFonts w:asciiTheme="minorHAnsi" w:hAnsiTheme="minorHAnsi" w:cstheme="minorHAnsi"/>
          <w:sz w:val="24"/>
          <w:szCs w:val="24"/>
        </w:rPr>
        <w:t>no âmbito da 2ª Emissão</w:t>
      </w:r>
      <w:r w:rsidRPr="005B2DBD">
        <w:rPr>
          <w:rFonts w:asciiTheme="minorHAnsi" w:hAnsiTheme="minorHAnsi" w:cstheme="minorHAnsi"/>
          <w:sz w:val="24"/>
          <w:szCs w:val="24"/>
        </w:rPr>
        <w:t xml:space="preserve"> </w:t>
      </w:r>
      <w:r>
        <w:rPr>
          <w:rFonts w:asciiTheme="minorHAnsi" w:hAnsiTheme="minorHAnsi" w:cstheme="minorHAnsi"/>
          <w:sz w:val="24"/>
          <w:szCs w:val="24"/>
        </w:rPr>
        <w:t xml:space="preserve">de 200.000 (duzentas mil) </w:t>
      </w:r>
      <w:r w:rsidRPr="005B2DBD">
        <w:rPr>
          <w:rFonts w:asciiTheme="minorHAnsi" w:hAnsiTheme="minorHAnsi" w:cstheme="minorHAnsi"/>
          <w:sz w:val="24"/>
          <w:szCs w:val="24"/>
        </w:rPr>
        <w:t xml:space="preserve">debêntures simples, não conversíveis em ações, da espécie </w:t>
      </w:r>
      <w:r>
        <w:rPr>
          <w:rFonts w:asciiTheme="minorHAnsi" w:hAnsiTheme="minorHAnsi" w:cstheme="minorHAnsi"/>
          <w:sz w:val="24"/>
          <w:szCs w:val="24"/>
        </w:rPr>
        <w:t xml:space="preserve">quirografária, </w:t>
      </w:r>
      <w:r w:rsidRPr="005B2DBD">
        <w:rPr>
          <w:rFonts w:asciiTheme="minorHAnsi" w:hAnsiTheme="minorHAnsi" w:cstheme="minorHAnsi"/>
          <w:sz w:val="24"/>
          <w:szCs w:val="24"/>
        </w:rPr>
        <w:t>com garantia real</w:t>
      </w:r>
      <w:r>
        <w:rPr>
          <w:rFonts w:asciiTheme="minorHAnsi" w:hAnsiTheme="minorHAnsi" w:cstheme="minorHAnsi"/>
          <w:sz w:val="24"/>
          <w:szCs w:val="24"/>
        </w:rPr>
        <w:t xml:space="preserve"> adicional</w:t>
      </w:r>
      <w:r w:rsidRPr="005B2DBD">
        <w:rPr>
          <w:rFonts w:asciiTheme="minorHAnsi" w:hAnsiTheme="minorHAnsi" w:cstheme="minorHAnsi"/>
          <w:sz w:val="24"/>
          <w:szCs w:val="24"/>
        </w:rPr>
        <w:t>, em série única (“</w:t>
      </w:r>
      <w:r w:rsidRPr="00703B01">
        <w:rPr>
          <w:rFonts w:asciiTheme="minorHAnsi" w:hAnsiTheme="minorHAnsi" w:cstheme="minorHAnsi"/>
          <w:bCs/>
          <w:sz w:val="24"/>
          <w:szCs w:val="24"/>
          <w:u w:val="single"/>
        </w:rPr>
        <w:t>Debêntures</w:t>
      </w:r>
      <w:r w:rsidRPr="005B2DBD">
        <w:rPr>
          <w:rFonts w:asciiTheme="minorHAnsi" w:hAnsiTheme="minorHAnsi" w:cstheme="minorHAnsi"/>
          <w:sz w:val="24"/>
          <w:szCs w:val="24"/>
        </w:rPr>
        <w:t xml:space="preserve">”), </w:t>
      </w:r>
      <w:r>
        <w:rPr>
          <w:rFonts w:asciiTheme="minorHAnsi" w:hAnsiTheme="minorHAnsi" w:cstheme="minorHAnsi"/>
          <w:sz w:val="24"/>
          <w:szCs w:val="24"/>
        </w:rPr>
        <w:t>n</w:t>
      </w:r>
      <w:r w:rsidRPr="005B2DBD">
        <w:rPr>
          <w:rFonts w:asciiTheme="minorHAnsi" w:hAnsiTheme="minorHAnsi" w:cstheme="minorHAnsi"/>
          <w:sz w:val="24"/>
          <w:szCs w:val="24"/>
        </w:rPr>
        <w:t>o valor total de R$ 20</w:t>
      </w:r>
      <w:r>
        <w:rPr>
          <w:rFonts w:asciiTheme="minorHAnsi" w:hAnsiTheme="minorHAnsi" w:cstheme="minorHAnsi"/>
          <w:sz w:val="24"/>
          <w:szCs w:val="24"/>
        </w:rPr>
        <w:t>0</w:t>
      </w:r>
      <w:r w:rsidRPr="005B2DBD">
        <w:rPr>
          <w:rFonts w:asciiTheme="minorHAnsi" w:hAnsiTheme="minorHAnsi" w:cstheme="minorHAnsi"/>
          <w:sz w:val="24"/>
          <w:szCs w:val="24"/>
        </w:rPr>
        <w:t>.000.000,00 (</w:t>
      </w:r>
      <w:r>
        <w:rPr>
          <w:rFonts w:asciiTheme="minorHAnsi" w:hAnsiTheme="minorHAnsi" w:cstheme="minorHAnsi"/>
          <w:sz w:val="24"/>
          <w:szCs w:val="24"/>
        </w:rPr>
        <w:t xml:space="preserve">duzentos </w:t>
      </w:r>
      <w:r w:rsidRPr="005B2DBD">
        <w:rPr>
          <w:rFonts w:asciiTheme="minorHAnsi" w:hAnsiTheme="minorHAnsi" w:cstheme="minorHAnsi"/>
          <w:sz w:val="24"/>
          <w:szCs w:val="24"/>
        </w:rPr>
        <w:t xml:space="preserve">milhões de reais) na data de emissão </w:t>
      </w:r>
      <w:r>
        <w:rPr>
          <w:rFonts w:asciiTheme="minorHAnsi" w:hAnsiTheme="minorHAnsi" w:cstheme="minorHAnsi"/>
          <w:sz w:val="24"/>
          <w:szCs w:val="24"/>
        </w:rPr>
        <w:t xml:space="preserve">das Debêntures </w:t>
      </w:r>
      <w:r w:rsidRPr="005B2DBD">
        <w:rPr>
          <w:rFonts w:asciiTheme="minorHAnsi" w:hAnsiTheme="minorHAnsi" w:cstheme="minorHAnsi"/>
          <w:sz w:val="24"/>
          <w:szCs w:val="24"/>
        </w:rPr>
        <w:t>(“</w:t>
      </w:r>
      <w:r w:rsidRPr="00703B01">
        <w:rPr>
          <w:rFonts w:asciiTheme="minorHAnsi" w:hAnsiTheme="minorHAnsi" w:cstheme="minorHAnsi"/>
          <w:bCs/>
          <w:sz w:val="24"/>
          <w:szCs w:val="24"/>
          <w:u w:val="single"/>
        </w:rPr>
        <w:t>Emissão</w:t>
      </w:r>
      <w:r w:rsidRPr="005B2DBD">
        <w:rPr>
          <w:rFonts w:asciiTheme="minorHAnsi" w:hAnsiTheme="minorHAnsi" w:cstheme="minorHAnsi"/>
          <w:sz w:val="24"/>
          <w:szCs w:val="24"/>
        </w:rPr>
        <w:t xml:space="preserve">”), </w:t>
      </w:r>
      <w:r w:rsidRPr="001B12F1">
        <w:rPr>
          <w:rFonts w:asciiTheme="minorHAnsi" w:hAnsiTheme="minorHAnsi" w:cstheme="minorHAnsi"/>
          <w:sz w:val="24"/>
          <w:szCs w:val="24"/>
        </w:rPr>
        <w:t>para distribuição pública com esforços restritos, nos termos da Lei nº 6.385, de 07 de dezembro de 1976, conforme alterada (“</w:t>
      </w:r>
      <w:r w:rsidRPr="00703B01">
        <w:rPr>
          <w:rFonts w:asciiTheme="minorHAnsi" w:hAnsiTheme="minorHAnsi" w:cstheme="minorHAnsi"/>
          <w:sz w:val="24"/>
          <w:szCs w:val="24"/>
          <w:u w:val="single"/>
        </w:rPr>
        <w:t>Lei do Mercado de Valores Mobiliários</w:t>
      </w:r>
      <w:r w:rsidRPr="001B12F1">
        <w:rPr>
          <w:rFonts w:asciiTheme="minorHAnsi" w:hAnsiTheme="minorHAnsi" w:cstheme="minorHAnsi"/>
          <w:sz w:val="24"/>
          <w:szCs w:val="24"/>
        </w:rPr>
        <w:t>”), da Instrução da CVM nº 476, de 16 de janeiro de 2009, conforme alterada (“</w:t>
      </w:r>
      <w:r w:rsidRPr="00703B01">
        <w:rPr>
          <w:rFonts w:asciiTheme="minorHAnsi" w:hAnsiTheme="minorHAnsi" w:cstheme="minorHAnsi"/>
          <w:sz w:val="24"/>
          <w:szCs w:val="24"/>
          <w:u w:val="single"/>
        </w:rPr>
        <w:t>Instrução CVM 476</w:t>
      </w:r>
      <w:r w:rsidRPr="001B12F1">
        <w:rPr>
          <w:rFonts w:asciiTheme="minorHAnsi" w:hAnsiTheme="minorHAnsi" w:cstheme="minorHAnsi"/>
          <w:sz w:val="24"/>
          <w:szCs w:val="24"/>
        </w:rPr>
        <w:t>”) e demais leis e regulamentações aplicáveis (“</w:t>
      </w:r>
      <w:r w:rsidRPr="00703B01">
        <w:rPr>
          <w:rFonts w:asciiTheme="minorHAnsi" w:hAnsiTheme="minorHAnsi" w:cstheme="minorHAnsi"/>
          <w:sz w:val="24"/>
          <w:szCs w:val="24"/>
          <w:u w:val="single"/>
        </w:rPr>
        <w:t>Oferta</w:t>
      </w:r>
      <w:r w:rsidRPr="001B12F1">
        <w:rPr>
          <w:rFonts w:asciiTheme="minorHAnsi" w:hAnsiTheme="minorHAnsi" w:cstheme="minorHAnsi"/>
          <w:sz w:val="24"/>
          <w:szCs w:val="24"/>
        </w:rPr>
        <w:t>”)</w:t>
      </w:r>
      <w:r w:rsidR="008C6514" w:rsidRPr="00474552">
        <w:rPr>
          <w:rFonts w:asciiTheme="minorHAnsi" w:hAnsiTheme="minorHAnsi" w:cstheme="minorHAnsi"/>
          <w:sz w:val="24"/>
          <w:szCs w:val="24"/>
        </w:rPr>
        <w:t>;</w:t>
      </w:r>
    </w:p>
    <w:p w14:paraId="79CDD68F" w14:textId="77777777" w:rsidR="004E7ECA" w:rsidRDefault="004E7ECA" w:rsidP="00502F15">
      <w:pPr>
        <w:pStyle w:val="PargrafodaLista"/>
        <w:spacing w:after="0" w:line="340" w:lineRule="exact"/>
        <w:rPr>
          <w:rFonts w:asciiTheme="minorHAnsi" w:hAnsiTheme="minorHAnsi" w:cstheme="minorHAnsi"/>
          <w:sz w:val="24"/>
          <w:szCs w:val="24"/>
        </w:rPr>
      </w:pPr>
    </w:p>
    <w:p w14:paraId="7E71F7BB" w14:textId="6A798853" w:rsidR="004E7ECA" w:rsidRPr="00530B1D" w:rsidRDefault="00AC550D" w:rsidP="00B92908">
      <w:pPr>
        <w:pStyle w:val="PargrafodaLista"/>
        <w:numPr>
          <w:ilvl w:val="0"/>
          <w:numId w:val="2"/>
        </w:numPr>
        <w:spacing w:after="0" w:line="340" w:lineRule="exact"/>
        <w:ind w:left="720" w:hanging="540"/>
        <w:rPr>
          <w:rFonts w:asciiTheme="minorHAnsi" w:hAnsiTheme="minorHAnsi" w:cstheme="minorHAnsi"/>
          <w:sz w:val="24"/>
          <w:szCs w:val="24"/>
        </w:rPr>
      </w:pPr>
      <w:r w:rsidRPr="00502F15">
        <w:rPr>
          <w:rFonts w:asciiTheme="minorHAnsi" w:hAnsiTheme="minorHAnsi" w:cstheme="minorHAnsi"/>
          <w:color w:val="000000"/>
          <w:sz w:val="24"/>
          <w:szCs w:val="24"/>
        </w:rPr>
        <w:t xml:space="preserve">em garantia do fiel, pontual e integral cumprimento das Obrigações Garantidas (conforme definido </w:t>
      </w:r>
      <w:r w:rsidR="00530B1D" w:rsidRPr="00502F15">
        <w:rPr>
          <w:rFonts w:asciiTheme="minorHAnsi" w:hAnsiTheme="minorHAnsi" w:cstheme="minorHAnsi"/>
          <w:color w:val="000000"/>
          <w:sz w:val="24"/>
          <w:szCs w:val="24"/>
        </w:rPr>
        <w:t>no Contrato de Cessão Fiduciária)</w:t>
      </w:r>
      <w:r w:rsidRPr="00502F15">
        <w:rPr>
          <w:rFonts w:asciiTheme="minorHAnsi" w:hAnsiTheme="minorHAnsi" w:cstheme="minorHAnsi"/>
          <w:color w:val="000000"/>
          <w:sz w:val="24"/>
          <w:szCs w:val="24"/>
        </w:rPr>
        <w:t>, a</w:t>
      </w:r>
      <w:r w:rsidR="00530B1D" w:rsidRPr="00502F15">
        <w:rPr>
          <w:rFonts w:asciiTheme="minorHAnsi" w:hAnsiTheme="minorHAnsi" w:cstheme="minorHAnsi"/>
          <w:color w:val="000000"/>
          <w:sz w:val="24"/>
          <w:szCs w:val="24"/>
        </w:rPr>
        <w:t>s</w:t>
      </w:r>
      <w:r w:rsidRPr="00502F15">
        <w:rPr>
          <w:rFonts w:asciiTheme="minorHAnsi" w:hAnsiTheme="minorHAnsi" w:cstheme="minorHAnsi"/>
          <w:color w:val="000000"/>
          <w:sz w:val="24"/>
          <w:szCs w:val="24"/>
        </w:rPr>
        <w:t xml:space="preserve"> Cedentes </w:t>
      </w:r>
      <w:r w:rsidR="00530B1D" w:rsidRPr="00502F15">
        <w:rPr>
          <w:rFonts w:asciiTheme="minorHAnsi" w:hAnsiTheme="minorHAnsi" w:cstheme="minorHAnsi"/>
          <w:color w:val="000000"/>
          <w:sz w:val="24"/>
          <w:szCs w:val="24"/>
        </w:rPr>
        <w:t>constituíram cessão fiduciária</w:t>
      </w:r>
      <w:r w:rsidRPr="00502F15">
        <w:rPr>
          <w:rFonts w:asciiTheme="minorHAnsi" w:hAnsiTheme="minorHAnsi" w:cstheme="minorHAnsi"/>
          <w:color w:val="000000"/>
          <w:sz w:val="24"/>
          <w:szCs w:val="24"/>
        </w:rPr>
        <w:t xml:space="preserve">, em favor dos Debenturistas, representados pelo Agente Fiduciário, em caráter irrevogável e irretratável, nos termos e condições estabelecidos </w:t>
      </w:r>
      <w:r w:rsidR="00530B1D" w:rsidRPr="00530B1D">
        <w:rPr>
          <w:rFonts w:asciiTheme="minorHAnsi" w:hAnsiTheme="minorHAnsi" w:cstheme="minorHAnsi"/>
          <w:sz w:val="24"/>
          <w:szCs w:val="24"/>
        </w:rPr>
        <w:t>“</w:t>
      </w:r>
      <w:r w:rsidR="00530B1D" w:rsidRPr="00530B1D">
        <w:rPr>
          <w:rFonts w:asciiTheme="minorHAnsi" w:hAnsiTheme="minorHAnsi" w:cstheme="minorHAnsi"/>
          <w:i/>
          <w:iCs/>
          <w:sz w:val="24"/>
          <w:szCs w:val="24"/>
        </w:rPr>
        <w:t xml:space="preserve">Instrumento Particular de Cessão Fiduciária de Direitos Creditórios e Outras </w:t>
      </w:r>
      <w:r w:rsidR="006906FB" w:rsidRPr="00530B1D">
        <w:rPr>
          <w:rFonts w:asciiTheme="minorHAnsi" w:hAnsiTheme="minorHAnsi" w:cstheme="minorHAnsi"/>
          <w:i/>
          <w:iCs/>
          <w:sz w:val="24"/>
          <w:szCs w:val="24"/>
        </w:rPr>
        <w:t>Avenças</w:t>
      </w:r>
      <w:r w:rsidR="006906FB" w:rsidRPr="00530B1D" w:rsidDel="004C157F">
        <w:rPr>
          <w:rFonts w:asciiTheme="minorHAnsi" w:hAnsiTheme="minorHAnsi" w:cstheme="minorHAnsi"/>
          <w:sz w:val="24"/>
          <w:szCs w:val="24"/>
        </w:rPr>
        <w:t>”</w:t>
      </w:r>
      <w:r w:rsidR="00530B1D" w:rsidRPr="00530B1D">
        <w:rPr>
          <w:rFonts w:asciiTheme="minorHAnsi" w:hAnsiTheme="minorHAnsi" w:cstheme="minorHAnsi"/>
          <w:sz w:val="24"/>
          <w:szCs w:val="24"/>
        </w:rPr>
        <w:t xml:space="preserve"> celebrado em</w:t>
      </w:r>
      <w:r w:rsidR="00530B1D" w:rsidRPr="00530B1D">
        <w:rPr>
          <w:rFonts w:asciiTheme="minorHAnsi" w:eastAsia="SimSun" w:hAnsiTheme="minorHAnsi" w:cstheme="minorHAnsi"/>
          <w:bCs/>
          <w:sz w:val="24"/>
          <w:szCs w:val="24"/>
          <w:lang w:eastAsia="zh-CN"/>
        </w:rPr>
        <w:t xml:space="preserve"> 15 de agosto de 2022, entre a</w:t>
      </w:r>
      <w:r w:rsidR="006906FB">
        <w:rPr>
          <w:rFonts w:asciiTheme="minorHAnsi" w:eastAsia="SimSun" w:hAnsiTheme="minorHAnsi" w:cstheme="minorHAnsi"/>
          <w:bCs/>
          <w:sz w:val="24"/>
          <w:szCs w:val="24"/>
          <w:lang w:eastAsia="zh-CN"/>
        </w:rPr>
        <w:t xml:space="preserve">s Partes </w:t>
      </w:r>
      <w:r w:rsidR="00530B1D" w:rsidRPr="00530B1D">
        <w:rPr>
          <w:rFonts w:asciiTheme="minorHAnsi" w:eastAsia="SimSun" w:hAnsiTheme="minorHAnsi" w:cstheme="minorHAnsi"/>
          <w:bCs/>
          <w:sz w:val="24"/>
          <w:szCs w:val="24"/>
          <w:lang w:eastAsia="zh-CN"/>
        </w:rPr>
        <w:t>(“</w:t>
      </w:r>
      <w:r w:rsidR="00530B1D" w:rsidRPr="00530B1D">
        <w:rPr>
          <w:rFonts w:asciiTheme="minorHAnsi" w:eastAsia="SimSun" w:hAnsiTheme="minorHAnsi" w:cstheme="minorHAnsi"/>
          <w:bCs/>
          <w:sz w:val="24"/>
          <w:szCs w:val="24"/>
          <w:u w:val="single"/>
          <w:lang w:eastAsia="zh-CN"/>
        </w:rPr>
        <w:t>Contrato de Cessão Fiduciária</w:t>
      </w:r>
      <w:r w:rsidR="00530B1D" w:rsidRPr="00530B1D">
        <w:rPr>
          <w:rFonts w:asciiTheme="minorHAnsi" w:eastAsia="SimSun" w:hAnsiTheme="minorHAnsi" w:cstheme="minorHAnsi"/>
          <w:bCs/>
          <w:sz w:val="24"/>
          <w:szCs w:val="24"/>
          <w:lang w:eastAsia="zh-CN"/>
        </w:rPr>
        <w:t>”);</w:t>
      </w:r>
    </w:p>
    <w:p w14:paraId="7440123B" w14:textId="77777777" w:rsidR="008C6514" w:rsidRPr="00474552" w:rsidRDefault="008C6514" w:rsidP="00B92908">
      <w:pPr>
        <w:pStyle w:val="PargrafodaLista"/>
        <w:spacing w:after="0" w:line="340" w:lineRule="exact"/>
        <w:rPr>
          <w:rFonts w:asciiTheme="minorHAnsi" w:hAnsiTheme="minorHAnsi" w:cstheme="minorHAnsi"/>
          <w:sz w:val="24"/>
          <w:szCs w:val="24"/>
        </w:rPr>
      </w:pPr>
    </w:p>
    <w:p w14:paraId="52D80B0E" w14:textId="7220E836" w:rsidR="0021080D" w:rsidRDefault="008C6514" w:rsidP="00BB6955">
      <w:pPr>
        <w:pStyle w:val="PargrafodaLista"/>
        <w:numPr>
          <w:ilvl w:val="0"/>
          <w:numId w:val="2"/>
        </w:numPr>
        <w:spacing w:after="0" w:line="340" w:lineRule="exact"/>
        <w:ind w:left="720" w:hanging="540"/>
        <w:rPr>
          <w:rFonts w:asciiTheme="minorHAnsi" w:hAnsiTheme="minorHAnsi" w:cstheme="minorHAnsi"/>
          <w:sz w:val="24"/>
          <w:szCs w:val="24"/>
        </w:rPr>
      </w:pPr>
      <w:r w:rsidRPr="00BB6955">
        <w:rPr>
          <w:rFonts w:asciiTheme="minorHAnsi" w:hAnsiTheme="minorHAnsi" w:cstheme="minorHAnsi"/>
          <w:sz w:val="24"/>
          <w:szCs w:val="24"/>
        </w:rPr>
        <w:t xml:space="preserve">conforme aprovado na Assembleia Geral Extraordinária da Emissora, realizada em </w:t>
      </w:r>
      <w:r w:rsidR="00862AD3" w:rsidRPr="00593486">
        <w:rPr>
          <w:rFonts w:asciiTheme="minorHAnsi" w:hAnsiTheme="minorHAnsi" w:cstheme="minorHAnsi"/>
          <w:sz w:val="24"/>
          <w:szCs w:val="24"/>
          <w:highlight w:val="yellow"/>
        </w:rPr>
        <w:t>[=]</w:t>
      </w:r>
      <w:r w:rsidR="00862AD3" w:rsidRPr="00BB6955">
        <w:rPr>
          <w:rFonts w:asciiTheme="minorHAnsi" w:hAnsiTheme="minorHAnsi" w:cstheme="minorHAnsi"/>
          <w:sz w:val="24"/>
          <w:szCs w:val="24"/>
        </w:rPr>
        <w:t xml:space="preserve"> </w:t>
      </w:r>
      <w:r w:rsidR="00A473E2" w:rsidRPr="00BB6955">
        <w:rPr>
          <w:rFonts w:asciiTheme="minorHAnsi" w:hAnsiTheme="minorHAnsi" w:cstheme="minorHAnsi"/>
          <w:sz w:val="24"/>
          <w:szCs w:val="24"/>
        </w:rPr>
        <w:t xml:space="preserve">de </w:t>
      </w:r>
      <w:r w:rsidR="00862AD3" w:rsidRPr="00BB6955">
        <w:rPr>
          <w:rFonts w:asciiTheme="minorHAnsi" w:hAnsiTheme="minorHAnsi" w:cstheme="minorHAnsi"/>
          <w:sz w:val="24"/>
          <w:szCs w:val="24"/>
        </w:rPr>
        <w:t>agosto</w:t>
      </w:r>
      <w:r w:rsidRPr="00BB6955">
        <w:rPr>
          <w:rFonts w:asciiTheme="minorHAnsi" w:hAnsiTheme="minorHAnsi" w:cstheme="minorHAnsi"/>
          <w:sz w:val="24"/>
          <w:szCs w:val="24"/>
        </w:rPr>
        <w:t xml:space="preserve"> de 2023 (“</w:t>
      </w:r>
      <w:r w:rsidRPr="00BB6955">
        <w:rPr>
          <w:rFonts w:asciiTheme="minorHAnsi" w:hAnsiTheme="minorHAnsi" w:cstheme="minorHAnsi"/>
          <w:sz w:val="24"/>
          <w:szCs w:val="24"/>
          <w:u w:val="single"/>
        </w:rPr>
        <w:t>AGE da Emissora</w:t>
      </w:r>
      <w:r w:rsidRPr="00BB6955">
        <w:rPr>
          <w:rFonts w:asciiTheme="minorHAnsi" w:hAnsiTheme="minorHAnsi" w:cstheme="minorHAnsi"/>
          <w:sz w:val="24"/>
          <w:szCs w:val="24"/>
        </w:rPr>
        <w:t>”)</w:t>
      </w:r>
      <w:r w:rsidR="00BB6955">
        <w:rPr>
          <w:rFonts w:asciiTheme="minorHAnsi" w:hAnsiTheme="minorHAnsi" w:cstheme="minorHAnsi"/>
          <w:sz w:val="24"/>
          <w:szCs w:val="24"/>
        </w:rPr>
        <w:t xml:space="preserve"> e na Reunião do Conselho de Administração </w:t>
      </w:r>
      <w:r w:rsidR="00BB6955" w:rsidRPr="00BB6955">
        <w:rPr>
          <w:rFonts w:asciiTheme="minorHAnsi" w:hAnsiTheme="minorHAnsi" w:cstheme="minorHAnsi"/>
          <w:sz w:val="24"/>
          <w:szCs w:val="24"/>
        </w:rPr>
        <w:t xml:space="preserve">da Emissora, realizada em </w:t>
      </w:r>
      <w:r w:rsidR="00BB6955" w:rsidRPr="0020447D">
        <w:rPr>
          <w:rFonts w:asciiTheme="minorHAnsi" w:hAnsiTheme="minorHAnsi" w:cstheme="minorHAnsi"/>
          <w:sz w:val="24"/>
          <w:szCs w:val="24"/>
          <w:highlight w:val="yellow"/>
        </w:rPr>
        <w:t>[=]</w:t>
      </w:r>
      <w:r w:rsidR="00BB6955" w:rsidRPr="00BB6955">
        <w:rPr>
          <w:rFonts w:asciiTheme="minorHAnsi" w:hAnsiTheme="minorHAnsi" w:cstheme="minorHAnsi"/>
          <w:sz w:val="24"/>
          <w:szCs w:val="24"/>
        </w:rPr>
        <w:t xml:space="preserve"> de agosto de 2023 (“</w:t>
      </w:r>
      <w:r w:rsidR="00BB6955">
        <w:rPr>
          <w:rFonts w:asciiTheme="minorHAnsi" w:hAnsiTheme="minorHAnsi" w:cstheme="minorHAnsi"/>
          <w:sz w:val="24"/>
          <w:szCs w:val="24"/>
          <w:u w:val="single"/>
        </w:rPr>
        <w:t>RCA</w:t>
      </w:r>
      <w:r w:rsidR="00BB6955" w:rsidRPr="00BB6955">
        <w:rPr>
          <w:rFonts w:asciiTheme="minorHAnsi" w:hAnsiTheme="minorHAnsi" w:cstheme="minorHAnsi"/>
          <w:sz w:val="24"/>
          <w:szCs w:val="24"/>
          <w:u w:val="single"/>
        </w:rPr>
        <w:t xml:space="preserve"> da Emissora</w:t>
      </w:r>
      <w:r w:rsidR="00BB6955" w:rsidRPr="00BB6955">
        <w:rPr>
          <w:rFonts w:asciiTheme="minorHAnsi" w:hAnsiTheme="minorHAnsi" w:cstheme="minorHAnsi"/>
          <w:sz w:val="24"/>
          <w:szCs w:val="24"/>
        </w:rPr>
        <w:t>”)</w:t>
      </w:r>
      <w:r w:rsidRPr="00BB6955">
        <w:rPr>
          <w:rFonts w:asciiTheme="minorHAnsi" w:hAnsiTheme="minorHAnsi" w:cstheme="minorHAnsi"/>
          <w:sz w:val="24"/>
          <w:szCs w:val="24"/>
        </w:rPr>
        <w:t xml:space="preserve">, </w:t>
      </w:r>
      <w:r w:rsidR="0021080D" w:rsidRPr="00BB6955">
        <w:rPr>
          <w:rFonts w:asciiTheme="minorHAnsi" w:hAnsiTheme="minorHAnsi" w:cstheme="minorHAnsi"/>
          <w:sz w:val="24"/>
          <w:szCs w:val="24"/>
        </w:rPr>
        <w:t>os acionistas</w:t>
      </w:r>
      <w:r w:rsidR="00BB6955">
        <w:rPr>
          <w:rFonts w:asciiTheme="minorHAnsi" w:hAnsiTheme="minorHAnsi" w:cstheme="minorHAnsi"/>
          <w:sz w:val="24"/>
          <w:szCs w:val="24"/>
        </w:rPr>
        <w:t xml:space="preserve"> e os conselheiros</w:t>
      </w:r>
      <w:r w:rsidR="0021080D" w:rsidRPr="00BB6955">
        <w:rPr>
          <w:rFonts w:asciiTheme="minorHAnsi" w:hAnsiTheme="minorHAnsi" w:cstheme="minorHAnsi"/>
          <w:sz w:val="24"/>
          <w:szCs w:val="24"/>
        </w:rPr>
        <w:t xml:space="preserve"> da Emissora</w:t>
      </w:r>
      <w:r w:rsidR="00BB6955">
        <w:rPr>
          <w:rFonts w:asciiTheme="minorHAnsi" w:hAnsiTheme="minorHAnsi" w:cstheme="minorHAnsi"/>
          <w:sz w:val="24"/>
          <w:szCs w:val="24"/>
        </w:rPr>
        <w:t xml:space="preserve">, respectivamente, </w:t>
      </w:r>
      <w:r w:rsidRPr="00BB6955">
        <w:rPr>
          <w:rFonts w:asciiTheme="minorHAnsi" w:hAnsiTheme="minorHAnsi" w:cstheme="minorHAnsi"/>
          <w:sz w:val="24"/>
          <w:szCs w:val="24"/>
        </w:rPr>
        <w:t>apro</w:t>
      </w:r>
      <w:r w:rsidR="0021080D" w:rsidRPr="00BB6955">
        <w:rPr>
          <w:rFonts w:asciiTheme="minorHAnsi" w:hAnsiTheme="minorHAnsi" w:cstheme="minorHAnsi"/>
          <w:sz w:val="24"/>
          <w:szCs w:val="24"/>
        </w:rPr>
        <w:t>varam a</w:t>
      </w:r>
      <w:r w:rsidR="004F0FD8" w:rsidRPr="00BB6955">
        <w:rPr>
          <w:rFonts w:asciiTheme="minorHAnsi" w:hAnsiTheme="minorHAnsi" w:cstheme="minorHAnsi"/>
          <w:sz w:val="24"/>
          <w:szCs w:val="24"/>
        </w:rPr>
        <w:t xml:space="preserve"> alteração </w:t>
      </w:r>
      <w:r w:rsidR="00BB6955" w:rsidRPr="00BB6955">
        <w:rPr>
          <w:rFonts w:asciiTheme="minorHAnsi" w:hAnsiTheme="minorHAnsi" w:cstheme="minorHAnsi"/>
          <w:sz w:val="24"/>
          <w:szCs w:val="24"/>
        </w:rPr>
        <w:t>do cronograma d</w:t>
      </w:r>
      <w:r w:rsidR="00BB6955" w:rsidRPr="00593486">
        <w:rPr>
          <w:rFonts w:asciiTheme="minorHAnsi" w:hAnsiTheme="minorHAnsi" w:cstheme="minorHAnsi"/>
          <w:sz w:val="24"/>
          <w:szCs w:val="24"/>
        </w:rPr>
        <w:t>e amortização da Emissão</w:t>
      </w:r>
      <w:r w:rsidRPr="00BB6955">
        <w:rPr>
          <w:rFonts w:asciiTheme="minorHAnsi" w:hAnsiTheme="minorHAnsi" w:cstheme="minorHAnsi"/>
          <w:sz w:val="24"/>
          <w:szCs w:val="24"/>
        </w:rPr>
        <w:t>, por meio da celebração de aditamento à Escritura de Emissão</w:t>
      </w:r>
      <w:r w:rsidR="00FF4A8D">
        <w:rPr>
          <w:rFonts w:asciiTheme="minorHAnsi" w:hAnsiTheme="minorHAnsi" w:cstheme="minorHAnsi"/>
          <w:sz w:val="24"/>
          <w:szCs w:val="24"/>
        </w:rPr>
        <w:t xml:space="preserve"> e </w:t>
      </w:r>
      <w:r w:rsidR="00FF4A8D" w:rsidRPr="006906FB">
        <w:rPr>
          <w:rFonts w:asciiTheme="minorHAnsi" w:hAnsiTheme="minorHAnsi" w:cstheme="minorHAnsi"/>
          <w:sz w:val="24"/>
          <w:szCs w:val="24"/>
        </w:rPr>
        <w:t xml:space="preserve">ao </w:t>
      </w:r>
      <w:r w:rsidR="00FF4A8D" w:rsidRPr="00502F15">
        <w:rPr>
          <w:rFonts w:asciiTheme="minorHAnsi" w:eastAsia="SimSun" w:hAnsiTheme="minorHAnsi" w:cstheme="minorHAnsi"/>
          <w:bCs/>
          <w:sz w:val="24"/>
          <w:szCs w:val="24"/>
          <w:lang w:eastAsia="zh-CN"/>
        </w:rPr>
        <w:t>Contrato de Cessão Fiduciária</w:t>
      </w:r>
      <w:r w:rsidRPr="00593486">
        <w:rPr>
          <w:rFonts w:asciiTheme="minorHAnsi" w:hAnsiTheme="minorHAnsi" w:cstheme="minorHAnsi"/>
          <w:sz w:val="24"/>
          <w:szCs w:val="24"/>
        </w:rPr>
        <w:t>;</w:t>
      </w:r>
    </w:p>
    <w:p w14:paraId="2B2DF868" w14:textId="77777777" w:rsidR="00A21B69" w:rsidRPr="005F4B0A" w:rsidRDefault="00A21B69" w:rsidP="005F4B0A">
      <w:pPr>
        <w:pStyle w:val="PargrafodaLista"/>
        <w:rPr>
          <w:rFonts w:asciiTheme="minorHAnsi" w:hAnsiTheme="minorHAnsi" w:cstheme="minorHAnsi"/>
          <w:sz w:val="24"/>
          <w:szCs w:val="24"/>
        </w:rPr>
      </w:pPr>
    </w:p>
    <w:p w14:paraId="64B91380" w14:textId="05B2551F" w:rsidR="00A21B69" w:rsidRPr="00593486" w:rsidRDefault="00A21B69" w:rsidP="00BB6955">
      <w:pPr>
        <w:pStyle w:val="PargrafodaLista"/>
        <w:numPr>
          <w:ilvl w:val="0"/>
          <w:numId w:val="2"/>
        </w:numPr>
        <w:spacing w:after="0" w:line="340" w:lineRule="exact"/>
        <w:ind w:left="720" w:hanging="540"/>
        <w:rPr>
          <w:rFonts w:asciiTheme="minorHAnsi" w:hAnsiTheme="minorHAnsi" w:cstheme="minorHAnsi"/>
          <w:sz w:val="24"/>
          <w:szCs w:val="24"/>
        </w:rPr>
      </w:pPr>
      <w:r w:rsidRPr="00BB6955">
        <w:rPr>
          <w:rFonts w:asciiTheme="minorHAnsi" w:hAnsiTheme="minorHAnsi" w:cstheme="minorHAnsi"/>
          <w:sz w:val="24"/>
          <w:szCs w:val="24"/>
        </w:rPr>
        <w:t xml:space="preserve">conforme aprovado na Assembleia Geral Extraordinária da </w:t>
      </w:r>
      <w:r w:rsidR="00004E17">
        <w:rPr>
          <w:rFonts w:asciiTheme="minorHAnsi" w:hAnsiTheme="minorHAnsi" w:cstheme="minorHAnsi"/>
          <w:sz w:val="24"/>
          <w:szCs w:val="24"/>
        </w:rPr>
        <w:t>Garantidora</w:t>
      </w:r>
      <w:r w:rsidRPr="00BB6955">
        <w:rPr>
          <w:rFonts w:asciiTheme="minorHAnsi" w:hAnsiTheme="minorHAnsi" w:cstheme="minorHAnsi"/>
          <w:sz w:val="24"/>
          <w:szCs w:val="24"/>
        </w:rPr>
        <w:t xml:space="preserve">, realizada em </w:t>
      </w:r>
      <w:r w:rsidRPr="00593486">
        <w:rPr>
          <w:rFonts w:asciiTheme="minorHAnsi" w:hAnsiTheme="minorHAnsi" w:cstheme="minorHAnsi"/>
          <w:sz w:val="24"/>
          <w:szCs w:val="24"/>
          <w:highlight w:val="yellow"/>
        </w:rPr>
        <w:t>[=]</w:t>
      </w:r>
      <w:r w:rsidRPr="00BB6955">
        <w:rPr>
          <w:rFonts w:asciiTheme="minorHAnsi" w:hAnsiTheme="minorHAnsi" w:cstheme="minorHAnsi"/>
          <w:sz w:val="24"/>
          <w:szCs w:val="24"/>
        </w:rPr>
        <w:t xml:space="preserve"> de agosto de 2023 (“</w:t>
      </w:r>
      <w:r w:rsidRPr="00BB6955">
        <w:rPr>
          <w:rFonts w:asciiTheme="minorHAnsi" w:hAnsiTheme="minorHAnsi" w:cstheme="minorHAnsi"/>
          <w:sz w:val="24"/>
          <w:szCs w:val="24"/>
          <w:u w:val="single"/>
        </w:rPr>
        <w:t xml:space="preserve">AGE da </w:t>
      </w:r>
      <w:r w:rsidR="00004E17">
        <w:rPr>
          <w:rFonts w:asciiTheme="minorHAnsi" w:hAnsiTheme="minorHAnsi" w:cstheme="minorHAnsi"/>
          <w:sz w:val="24"/>
          <w:szCs w:val="24"/>
          <w:u w:val="single"/>
        </w:rPr>
        <w:t>Garantidora</w:t>
      </w:r>
      <w:r w:rsidRPr="00BB6955">
        <w:rPr>
          <w:rFonts w:asciiTheme="minorHAnsi" w:hAnsiTheme="minorHAnsi" w:cstheme="minorHAnsi"/>
          <w:sz w:val="24"/>
          <w:szCs w:val="24"/>
        </w:rPr>
        <w:t>”), os acionistas</w:t>
      </w:r>
      <w:r>
        <w:rPr>
          <w:rFonts w:asciiTheme="minorHAnsi" w:hAnsiTheme="minorHAnsi" w:cstheme="minorHAnsi"/>
          <w:sz w:val="24"/>
          <w:szCs w:val="24"/>
        </w:rPr>
        <w:t xml:space="preserve"> </w:t>
      </w:r>
      <w:r w:rsidR="00004E17">
        <w:rPr>
          <w:rFonts w:asciiTheme="minorHAnsi" w:hAnsiTheme="minorHAnsi" w:cstheme="minorHAnsi"/>
          <w:sz w:val="24"/>
          <w:szCs w:val="24"/>
        </w:rPr>
        <w:t>da Garantidora</w:t>
      </w:r>
      <w:r>
        <w:rPr>
          <w:rFonts w:asciiTheme="minorHAnsi" w:hAnsiTheme="minorHAnsi" w:cstheme="minorHAnsi"/>
          <w:sz w:val="24"/>
          <w:szCs w:val="24"/>
        </w:rPr>
        <w:t xml:space="preserve"> </w:t>
      </w:r>
      <w:r w:rsidRPr="00BB6955">
        <w:rPr>
          <w:rFonts w:asciiTheme="minorHAnsi" w:hAnsiTheme="minorHAnsi" w:cstheme="minorHAnsi"/>
          <w:sz w:val="24"/>
          <w:szCs w:val="24"/>
        </w:rPr>
        <w:t>aprovaram a alteração do cronograma d</w:t>
      </w:r>
      <w:r w:rsidRPr="00593486">
        <w:rPr>
          <w:rFonts w:asciiTheme="minorHAnsi" w:hAnsiTheme="minorHAnsi" w:cstheme="minorHAnsi"/>
          <w:sz w:val="24"/>
          <w:szCs w:val="24"/>
        </w:rPr>
        <w:t>e amortização da Emissão</w:t>
      </w:r>
      <w:r w:rsidRPr="00BB6955">
        <w:rPr>
          <w:rFonts w:asciiTheme="minorHAnsi" w:hAnsiTheme="minorHAnsi" w:cstheme="minorHAnsi"/>
          <w:sz w:val="24"/>
          <w:szCs w:val="24"/>
        </w:rPr>
        <w:t>, por meio da celebração de aditamento à Escritura de Emissão</w:t>
      </w:r>
      <w:r>
        <w:rPr>
          <w:rFonts w:asciiTheme="minorHAnsi" w:hAnsiTheme="minorHAnsi" w:cstheme="minorHAnsi"/>
          <w:sz w:val="24"/>
          <w:szCs w:val="24"/>
        </w:rPr>
        <w:t xml:space="preserve"> e </w:t>
      </w:r>
      <w:r w:rsidRPr="005F4B0A">
        <w:rPr>
          <w:rFonts w:asciiTheme="minorHAnsi" w:hAnsiTheme="minorHAnsi" w:cstheme="minorHAnsi"/>
          <w:sz w:val="24"/>
          <w:szCs w:val="24"/>
        </w:rPr>
        <w:t>Contrato de Cessão Fiduciária</w:t>
      </w:r>
      <w:r w:rsidR="00F15CB2">
        <w:rPr>
          <w:rFonts w:asciiTheme="minorHAnsi" w:hAnsiTheme="minorHAnsi" w:cstheme="minorHAnsi"/>
          <w:sz w:val="24"/>
          <w:szCs w:val="24"/>
        </w:rPr>
        <w:t>;</w:t>
      </w:r>
    </w:p>
    <w:p w14:paraId="0129439D" w14:textId="77777777" w:rsidR="008C6514" w:rsidRPr="00474552" w:rsidRDefault="008C6514" w:rsidP="00B92908">
      <w:pPr>
        <w:spacing w:after="0" w:line="340" w:lineRule="exact"/>
        <w:ind w:left="180"/>
        <w:rPr>
          <w:rFonts w:asciiTheme="minorHAnsi" w:hAnsiTheme="minorHAnsi" w:cstheme="minorHAnsi"/>
          <w:sz w:val="24"/>
          <w:szCs w:val="24"/>
        </w:rPr>
      </w:pPr>
    </w:p>
    <w:p w14:paraId="271393FC" w14:textId="40DC312E" w:rsidR="008C6514" w:rsidRPr="00474552" w:rsidRDefault="008C6514" w:rsidP="00B92908">
      <w:pPr>
        <w:pStyle w:val="PargrafodaLista"/>
        <w:numPr>
          <w:ilvl w:val="0"/>
          <w:numId w:val="2"/>
        </w:numPr>
        <w:spacing w:after="0" w:line="340" w:lineRule="exact"/>
        <w:ind w:left="720" w:hanging="540"/>
        <w:rPr>
          <w:rFonts w:asciiTheme="minorHAnsi" w:hAnsiTheme="minorHAnsi" w:cstheme="minorHAnsi"/>
          <w:sz w:val="24"/>
          <w:szCs w:val="24"/>
        </w:rPr>
      </w:pPr>
      <w:r w:rsidRPr="00474552">
        <w:rPr>
          <w:rFonts w:asciiTheme="minorHAnsi" w:hAnsiTheme="minorHAnsi" w:cstheme="minorHAnsi"/>
          <w:sz w:val="24"/>
          <w:szCs w:val="24"/>
        </w:rPr>
        <w:t xml:space="preserve">os Debenturistas detentores de 100,00% (cem por cento) das Debêntures em circulação emitidas nos termos da Escritura de Emissão aprovaram em sede de Assembleia Geral de </w:t>
      </w:r>
      <w:r w:rsidRPr="00591F4A">
        <w:rPr>
          <w:rFonts w:asciiTheme="minorHAnsi" w:hAnsiTheme="minorHAnsi" w:cstheme="minorHAnsi"/>
          <w:sz w:val="24"/>
          <w:szCs w:val="24"/>
        </w:rPr>
        <w:t xml:space="preserve">Debenturistas, datada de </w:t>
      </w:r>
      <w:r w:rsidR="00772485" w:rsidRPr="00593486">
        <w:rPr>
          <w:rFonts w:asciiTheme="minorHAnsi" w:hAnsiTheme="minorHAnsi" w:cstheme="minorHAnsi"/>
          <w:sz w:val="24"/>
          <w:szCs w:val="24"/>
          <w:highlight w:val="yellow"/>
        </w:rPr>
        <w:t>[=]</w:t>
      </w:r>
      <w:r w:rsidR="00772485" w:rsidRPr="00591F4A">
        <w:rPr>
          <w:rFonts w:asciiTheme="minorHAnsi" w:hAnsiTheme="minorHAnsi" w:cstheme="minorHAnsi"/>
          <w:sz w:val="24"/>
          <w:szCs w:val="24"/>
        </w:rPr>
        <w:t xml:space="preserve"> </w:t>
      </w:r>
      <w:r w:rsidRPr="00591F4A">
        <w:rPr>
          <w:rFonts w:asciiTheme="minorHAnsi" w:hAnsiTheme="minorHAnsi" w:cstheme="minorHAnsi"/>
          <w:sz w:val="24"/>
          <w:szCs w:val="24"/>
        </w:rPr>
        <w:t xml:space="preserve">de </w:t>
      </w:r>
      <w:r w:rsidR="00772485" w:rsidRPr="00591F4A">
        <w:rPr>
          <w:rFonts w:asciiTheme="minorHAnsi" w:hAnsiTheme="minorHAnsi" w:cstheme="minorHAnsi"/>
          <w:sz w:val="24"/>
          <w:szCs w:val="24"/>
        </w:rPr>
        <w:t xml:space="preserve">agosto </w:t>
      </w:r>
      <w:r w:rsidRPr="00591F4A">
        <w:rPr>
          <w:rFonts w:asciiTheme="minorHAnsi" w:hAnsiTheme="minorHAnsi" w:cstheme="minorHAnsi"/>
          <w:sz w:val="24"/>
          <w:szCs w:val="24"/>
        </w:rPr>
        <w:t>de 2023 (“</w:t>
      </w:r>
      <w:r w:rsidRPr="00591F4A">
        <w:rPr>
          <w:rFonts w:asciiTheme="minorHAnsi" w:hAnsiTheme="minorHAnsi" w:cstheme="minorHAnsi"/>
          <w:sz w:val="24"/>
          <w:szCs w:val="24"/>
          <w:u w:val="single"/>
        </w:rPr>
        <w:t>AGD</w:t>
      </w:r>
      <w:r w:rsidRPr="00591F4A">
        <w:rPr>
          <w:rFonts w:asciiTheme="minorHAnsi" w:hAnsiTheme="minorHAnsi" w:cstheme="minorHAnsi"/>
          <w:sz w:val="24"/>
          <w:szCs w:val="24"/>
        </w:rPr>
        <w:t xml:space="preserve">”), </w:t>
      </w:r>
      <w:r w:rsidR="00591F4A" w:rsidRPr="00591F4A">
        <w:rPr>
          <w:rFonts w:asciiTheme="minorHAnsi" w:hAnsiTheme="minorHAnsi" w:cstheme="minorHAnsi"/>
          <w:sz w:val="24"/>
          <w:szCs w:val="24"/>
        </w:rPr>
        <w:t xml:space="preserve">a alteração do cronograma de amortização da Emissão, bem como a prática de todos os atos eventualmente necessários de forma a implementar tal alteração, incluindo a celebração de aditamentos à Escritura de Emissão e </w:t>
      </w:r>
      <w:r w:rsidR="00591F4A" w:rsidRPr="00FF4A8D">
        <w:rPr>
          <w:rFonts w:asciiTheme="minorHAnsi" w:hAnsiTheme="minorHAnsi" w:cstheme="minorHAnsi"/>
          <w:sz w:val="24"/>
          <w:szCs w:val="24"/>
        </w:rPr>
        <w:t xml:space="preserve">ao </w:t>
      </w:r>
      <w:r w:rsidR="00591F4A" w:rsidRPr="00703B01">
        <w:rPr>
          <w:rFonts w:asciiTheme="minorHAnsi" w:eastAsia="SimSun" w:hAnsiTheme="minorHAnsi" w:cstheme="minorHAnsi"/>
          <w:bCs/>
          <w:sz w:val="24"/>
          <w:szCs w:val="24"/>
          <w:lang w:eastAsia="zh-CN"/>
        </w:rPr>
        <w:t>Contrato de Cessão Fiduciária</w:t>
      </w:r>
      <w:r w:rsidR="009232EA" w:rsidRPr="00591F4A">
        <w:rPr>
          <w:rFonts w:asciiTheme="minorHAnsi" w:hAnsiTheme="minorHAnsi" w:cstheme="minorHAnsi"/>
          <w:sz w:val="24"/>
          <w:szCs w:val="24"/>
        </w:rPr>
        <w:t>; e</w:t>
      </w:r>
    </w:p>
    <w:p w14:paraId="3520FBFF" w14:textId="77777777" w:rsidR="008C6514" w:rsidRPr="00474552" w:rsidRDefault="008C6514" w:rsidP="00B92908">
      <w:pPr>
        <w:spacing w:after="0" w:line="340" w:lineRule="exact"/>
        <w:rPr>
          <w:rFonts w:asciiTheme="minorHAnsi" w:hAnsiTheme="minorHAnsi" w:cstheme="minorHAnsi"/>
          <w:sz w:val="24"/>
          <w:szCs w:val="24"/>
        </w:rPr>
      </w:pPr>
    </w:p>
    <w:p w14:paraId="4D70359F" w14:textId="555D4ABA" w:rsidR="008C6514" w:rsidRPr="00474552" w:rsidRDefault="008C6514" w:rsidP="00B92908">
      <w:pPr>
        <w:pStyle w:val="PargrafodaLista"/>
        <w:numPr>
          <w:ilvl w:val="0"/>
          <w:numId w:val="2"/>
        </w:numPr>
        <w:spacing w:after="0" w:line="340" w:lineRule="exact"/>
        <w:ind w:left="720" w:hanging="540"/>
        <w:rPr>
          <w:rFonts w:asciiTheme="minorHAnsi" w:hAnsiTheme="minorHAnsi" w:cstheme="minorHAnsi"/>
          <w:sz w:val="24"/>
          <w:szCs w:val="24"/>
        </w:rPr>
      </w:pPr>
      <w:r w:rsidRPr="00474552">
        <w:rPr>
          <w:rFonts w:asciiTheme="minorHAnsi" w:hAnsiTheme="minorHAnsi" w:cstheme="minorHAnsi"/>
          <w:sz w:val="24"/>
          <w:szCs w:val="24"/>
        </w:rPr>
        <w:t xml:space="preserve">as Partes desejam aditar </w:t>
      </w:r>
      <w:r w:rsidR="00FF4A8D">
        <w:rPr>
          <w:rFonts w:asciiTheme="minorHAnsi" w:hAnsiTheme="minorHAnsi" w:cstheme="minorHAnsi"/>
          <w:sz w:val="24"/>
          <w:szCs w:val="24"/>
        </w:rPr>
        <w:t>o Contrato de Cessão Fiduciária</w:t>
      </w:r>
      <w:r w:rsidRPr="00474552">
        <w:rPr>
          <w:rFonts w:asciiTheme="minorHAnsi" w:hAnsiTheme="minorHAnsi" w:cstheme="minorHAnsi"/>
          <w:sz w:val="24"/>
          <w:szCs w:val="24"/>
        </w:rPr>
        <w:t>, naquilo que lhe é cabível para refletir as deliberações mencionadas acima.</w:t>
      </w:r>
    </w:p>
    <w:p w14:paraId="64C5FDFF" w14:textId="77777777" w:rsidR="008C6514" w:rsidRPr="00474552" w:rsidRDefault="008C6514" w:rsidP="00B92908">
      <w:pPr>
        <w:spacing w:after="0" w:line="340" w:lineRule="exact"/>
        <w:rPr>
          <w:rFonts w:asciiTheme="minorHAnsi" w:hAnsiTheme="minorHAnsi" w:cstheme="minorHAnsi"/>
          <w:sz w:val="24"/>
          <w:szCs w:val="24"/>
        </w:rPr>
      </w:pPr>
    </w:p>
    <w:p w14:paraId="6000575F" w14:textId="3FB6CDEC" w:rsidR="003F347E"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b/>
          <w:bCs/>
          <w:sz w:val="24"/>
          <w:szCs w:val="24"/>
        </w:rPr>
        <w:t>RESOLVEM</w:t>
      </w:r>
      <w:r w:rsidRPr="00474552">
        <w:rPr>
          <w:rFonts w:asciiTheme="minorHAnsi" w:hAnsiTheme="minorHAnsi" w:cstheme="minorHAnsi"/>
          <w:sz w:val="24"/>
          <w:szCs w:val="24"/>
        </w:rPr>
        <w:t xml:space="preserve"> as Partes, de comum acordo e na melhor forma de direito, celebrar o presente “</w:t>
      </w:r>
      <w:r w:rsidR="00FF4A8D">
        <w:rPr>
          <w:rFonts w:asciiTheme="minorHAnsi" w:hAnsiTheme="minorHAnsi" w:cstheme="minorHAnsi"/>
          <w:i/>
          <w:color w:val="000000"/>
          <w:sz w:val="24"/>
          <w:szCs w:val="24"/>
        </w:rPr>
        <w:t>Primeiro</w:t>
      </w:r>
      <w:r w:rsidR="005F2C33" w:rsidRPr="0020447D">
        <w:rPr>
          <w:rFonts w:asciiTheme="minorHAnsi" w:hAnsiTheme="minorHAnsi" w:cstheme="minorHAnsi"/>
          <w:i/>
          <w:color w:val="000000"/>
          <w:sz w:val="24"/>
          <w:szCs w:val="24"/>
        </w:rPr>
        <w:t xml:space="preserve"> Aditamento ao </w:t>
      </w:r>
      <w:r w:rsidR="00FF4A8D" w:rsidRPr="00593486">
        <w:rPr>
          <w:rFonts w:asciiTheme="minorHAnsi" w:hAnsiTheme="minorHAnsi" w:cstheme="minorHAnsi"/>
          <w:i/>
          <w:iCs/>
          <w:sz w:val="24"/>
          <w:szCs w:val="24"/>
        </w:rPr>
        <w:t>Instrumento Particular de Cessão Fiduciária de Direitos Creditórios e Outras Avenças</w:t>
      </w:r>
      <w:r w:rsidRPr="00474552">
        <w:rPr>
          <w:rFonts w:asciiTheme="minorHAnsi" w:hAnsiTheme="minorHAnsi" w:cstheme="minorHAnsi"/>
          <w:sz w:val="24"/>
          <w:szCs w:val="24"/>
        </w:rPr>
        <w:t>” (“</w:t>
      </w:r>
      <w:r w:rsidRPr="00474552">
        <w:rPr>
          <w:rFonts w:asciiTheme="minorHAnsi" w:hAnsiTheme="minorHAnsi" w:cstheme="minorHAnsi"/>
          <w:sz w:val="24"/>
          <w:szCs w:val="24"/>
          <w:u w:val="single"/>
        </w:rPr>
        <w:t>Aditamento</w:t>
      </w:r>
      <w:r w:rsidRPr="00474552">
        <w:rPr>
          <w:rFonts w:asciiTheme="minorHAnsi" w:hAnsiTheme="minorHAnsi" w:cstheme="minorHAnsi"/>
          <w:sz w:val="24"/>
          <w:szCs w:val="24"/>
        </w:rPr>
        <w:t>”)</w:t>
      </w:r>
      <w:r w:rsidR="00ED4040" w:rsidRPr="00474552">
        <w:rPr>
          <w:rFonts w:asciiTheme="minorHAnsi" w:hAnsiTheme="minorHAnsi" w:cstheme="minorHAnsi"/>
          <w:sz w:val="24"/>
          <w:szCs w:val="24"/>
        </w:rPr>
        <w:t>,</w:t>
      </w:r>
      <w:r w:rsidRPr="00474552">
        <w:rPr>
          <w:rFonts w:asciiTheme="minorHAnsi" w:hAnsiTheme="minorHAnsi" w:cstheme="minorHAnsi"/>
          <w:sz w:val="24"/>
          <w:szCs w:val="24"/>
        </w:rPr>
        <w:t xml:space="preserve"> em observância às cláusulas e condições a seguir.</w:t>
      </w:r>
    </w:p>
    <w:p w14:paraId="7AE4DECC" w14:textId="77777777" w:rsidR="00F15CB2" w:rsidRPr="00474552" w:rsidRDefault="00F15CB2" w:rsidP="00B92908">
      <w:pPr>
        <w:spacing w:after="0" w:line="340" w:lineRule="exact"/>
        <w:rPr>
          <w:rFonts w:asciiTheme="minorHAnsi" w:hAnsiTheme="minorHAnsi" w:cstheme="minorHAnsi"/>
          <w:sz w:val="24"/>
          <w:szCs w:val="24"/>
        </w:rPr>
      </w:pPr>
    </w:p>
    <w:p w14:paraId="5EDCE77C"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ALTERAÇÕES</w:t>
      </w:r>
    </w:p>
    <w:p w14:paraId="5BA97C34" w14:textId="77777777" w:rsidR="008C6514" w:rsidRPr="00474552" w:rsidRDefault="008C6514" w:rsidP="00B92908">
      <w:pPr>
        <w:pStyle w:val="PargrafodaLista"/>
        <w:spacing w:after="0" w:line="340" w:lineRule="exact"/>
        <w:ind w:left="1080"/>
        <w:rPr>
          <w:rFonts w:asciiTheme="minorHAnsi" w:hAnsiTheme="minorHAnsi" w:cstheme="minorHAnsi"/>
          <w:b/>
          <w:bCs/>
          <w:sz w:val="24"/>
          <w:szCs w:val="24"/>
        </w:rPr>
      </w:pPr>
    </w:p>
    <w:p w14:paraId="100EAFE9" w14:textId="620681E0" w:rsidR="008C6514" w:rsidRPr="00474552" w:rsidRDefault="00862AD3" w:rsidP="00994646">
      <w:pPr>
        <w:pStyle w:val="PargrafodaLista"/>
        <w:tabs>
          <w:tab w:val="left" w:pos="567"/>
        </w:tabs>
        <w:spacing w:after="0" w:line="340" w:lineRule="exact"/>
        <w:ind w:left="0"/>
        <w:contextualSpacing w:val="0"/>
        <w:rPr>
          <w:rFonts w:asciiTheme="minorHAnsi" w:hAnsiTheme="minorHAnsi" w:cstheme="minorHAnsi"/>
          <w:sz w:val="24"/>
          <w:szCs w:val="24"/>
        </w:rPr>
      </w:pPr>
      <w:bookmarkStart w:id="8" w:name="_Hlk13492801"/>
      <w:bookmarkEnd w:id="3"/>
      <w:r>
        <w:rPr>
          <w:rFonts w:asciiTheme="minorHAnsi" w:hAnsiTheme="minorHAnsi" w:cstheme="minorHAnsi"/>
          <w:sz w:val="24"/>
          <w:szCs w:val="24"/>
        </w:rPr>
        <w:t>1</w:t>
      </w:r>
      <w:r w:rsidR="00994646" w:rsidRPr="00474552">
        <w:rPr>
          <w:rFonts w:asciiTheme="minorHAnsi" w:hAnsiTheme="minorHAnsi" w:cstheme="minorHAnsi"/>
          <w:sz w:val="24"/>
          <w:szCs w:val="24"/>
        </w:rPr>
        <w:t>.1.</w:t>
      </w:r>
      <w:r w:rsidR="00994646" w:rsidRPr="00474552">
        <w:rPr>
          <w:rFonts w:asciiTheme="minorHAnsi" w:hAnsiTheme="minorHAnsi" w:cstheme="minorHAnsi"/>
          <w:sz w:val="24"/>
          <w:szCs w:val="24"/>
        </w:rPr>
        <w:tab/>
      </w:r>
      <w:r w:rsidR="004F0FD8" w:rsidRPr="00474552">
        <w:rPr>
          <w:rFonts w:asciiTheme="minorHAnsi" w:hAnsiTheme="minorHAnsi" w:cstheme="minorHAnsi"/>
          <w:sz w:val="24"/>
          <w:szCs w:val="24"/>
        </w:rPr>
        <w:t>Em razão da</w:t>
      </w:r>
      <w:r w:rsidR="00591F4A">
        <w:rPr>
          <w:rFonts w:asciiTheme="minorHAnsi" w:hAnsiTheme="minorHAnsi" w:cstheme="minorHAnsi"/>
          <w:sz w:val="24"/>
          <w:szCs w:val="24"/>
        </w:rPr>
        <w:t xml:space="preserve"> </w:t>
      </w:r>
      <w:r w:rsidR="00591F4A" w:rsidRPr="00591F4A">
        <w:rPr>
          <w:rFonts w:asciiTheme="minorHAnsi" w:hAnsiTheme="minorHAnsi" w:cstheme="minorHAnsi"/>
          <w:sz w:val="24"/>
          <w:szCs w:val="24"/>
        </w:rPr>
        <w:t>alteração do cronograma de amortização da Emissão</w:t>
      </w:r>
      <w:r w:rsidR="004F0FD8" w:rsidRPr="00474552">
        <w:rPr>
          <w:rFonts w:asciiTheme="minorHAnsi" w:hAnsiTheme="minorHAnsi" w:cstheme="minorHAnsi"/>
          <w:sz w:val="24"/>
          <w:szCs w:val="24"/>
        </w:rPr>
        <w:t>, a</w:t>
      </w:r>
      <w:r w:rsidR="008C6514" w:rsidRPr="00474552">
        <w:rPr>
          <w:rFonts w:asciiTheme="minorHAnsi" w:hAnsiTheme="minorHAnsi" w:cstheme="minorHAnsi"/>
          <w:sz w:val="24"/>
          <w:szCs w:val="24"/>
        </w:rPr>
        <w:t xml:space="preserve">s Partes decidem alterar </w:t>
      </w:r>
      <w:r w:rsidR="00FF4A8D">
        <w:rPr>
          <w:rFonts w:asciiTheme="minorHAnsi" w:hAnsiTheme="minorHAnsi" w:cstheme="minorHAnsi"/>
          <w:sz w:val="24"/>
          <w:szCs w:val="24"/>
        </w:rPr>
        <w:t>o Anexo I do Contrato de Cessão Fiduciária</w:t>
      </w:r>
      <w:r w:rsidR="008C6514" w:rsidRPr="00474552">
        <w:rPr>
          <w:rFonts w:asciiTheme="minorHAnsi" w:hAnsiTheme="minorHAnsi" w:cstheme="minorHAnsi"/>
          <w:sz w:val="24"/>
          <w:szCs w:val="24"/>
        </w:rPr>
        <w:t>, que passar</w:t>
      </w:r>
      <w:r w:rsidR="00772485">
        <w:rPr>
          <w:rFonts w:asciiTheme="minorHAnsi" w:hAnsiTheme="minorHAnsi" w:cstheme="minorHAnsi"/>
          <w:sz w:val="24"/>
          <w:szCs w:val="24"/>
        </w:rPr>
        <w:t>á</w:t>
      </w:r>
      <w:r w:rsidR="008C6514" w:rsidRPr="00474552">
        <w:rPr>
          <w:rFonts w:asciiTheme="minorHAnsi" w:hAnsiTheme="minorHAnsi" w:cstheme="minorHAnsi"/>
          <w:sz w:val="24"/>
          <w:szCs w:val="24"/>
        </w:rPr>
        <w:t xml:space="preserve"> a vig</w:t>
      </w:r>
      <w:r w:rsidR="009232EA" w:rsidRPr="00474552">
        <w:rPr>
          <w:rFonts w:asciiTheme="minorHAnsi" w:hAnsiTheme="minorHAnsi" w:cstheme="minorHAnsi"/>
          <w:sz w:val="24"/>
          <w:szCs w:val="24"/>
        </w:rPr>
        <w:t>er</w:t>
      </w:r>
      <w:r w:rsidR="008C6514" w:rsidRPr="00474552">
        <w:rPr>
          <w:rFonts w:asciiTheme="minorHAnsi" w:hAnsiTheme="minorHAnsi" w:cstheme="minorHAnsi"/>
          <w:sz w:val="24"/>
          <w:szCs w:val="24"/>
        </w:rPr>
        <w:t xml:space="preserve"> conforme </w:t>
      </w:r>
      <w:r w:rsidR="00FF4A8D">
        <w:rPr>
          <w:rFonts w:asciiTheme="minorHAnsi" w:hAnsiTheme="minorHAnsi" w:cstheme="minorHAnsi"/>
          <w:sz w:val="24"/>
          <w:szCs w:val="24"/>
        </w:rPr>
        <w:t xml:space="preserve">o </w:t>
      </w:r>
      <w:r w:rsidR="00FF4A8D" w:rsidRPr="0074515A">
        <w:rPr>
          <w:rFonts w:asciiTheme="minorHAnsi" w:hAnsiTheme="minorHAnsi" w:cstheme="minorHAnsi"/>
          <w:b/>
          <w:bCs/>
          <w:sz w:val="24"/>
          <w:szCs w:val="24"/>
          <w:u w:val="single"/>
        </w:rPr>
        <w:t>Anexo I</w:t>
      </w:r>
      <w:r w:rsidR="00FF4A8D">
        <w:rPr>
          <w:rFonts w:asciiTheme="minorHAnsi" w:hAnsiTheme="minorHAnsi" w:cstheme="minorHAnsi"/>
          <w:sz w:val="24"/>
          <w:szCs w:val="24"/>
        </w:rPr>
        <w:t xml:space="preserve"> </w:t>
      </w:r>
      <w:r w:rsidR="00E802C7">
        <w:rPr>
          <w:rFonts w:asciiTheme="minorHAnsi" w:hAnsiTheme="minorHAnsi" w:cstheme="minorHAnsi"/>
          <w:sz w:val="24"/>
          <w:szCs w:val="24"/>
        </w:rPr>
        <w:t xml:space="preserve">ao presente </w:t>
      </w:r>
      <w:r w:rsidR="00FF4A8D">
        <w:rPr>
          <w:rFonts w:asciiTheme="minorHAnsi" w:hAnsiTheme="minorHAnsi" w:cstheme="minorHAnsi"/>
          <w:sz w:val="24"/>
          <w:szCs w:val="24"/>
        </w:rPr>
        <w:t>Aditamento.</w:t>
      </w:r>
    </w:p>
    <w:p w14:paraId="5F6EDF6A" w14:textId="77777777" w:rsidR="00ED2BB7" w:rsidRPr="00474552" w:rsidRDefault="00ED2BB7" w:rsidP="00214B13">
      <w:pPr>
        <w:pStyle w:val="Corpo"/>
        <w:tabs>
          <w:tab w:val="left" w:pos="851"/>
        </w:tabs>
        <w:spacing w:line="340" w:lineRule="exact"/>
        <w:rPr>
          <w:rFonts w:asciiTheme="minorHAnsi" w:hAnsiTheme="minorHAnsi" w:cstheme="minorHAnsi"/>
          <w:b/>
          <w:bCs/>
          <w:sz w:val="24"/>
          <w:szCs w:val="24"/>
          <w:lang w:val="pt-BR"/>
        </w:rPr>
      </w:pPr>
      <w:bookmarkStart w:id="9" w:name="_DV_M45"/>
      <w:bookmarkStart w:id="10" w:name="_DV_M219"/>
      <w:bookmarkStart w:id="11" w:name="_DV_M220"/>
      <w:bookmarkStart w:id="12" w:name="_DV_M221"/>
      <w:bookmarkStart w:id="13" w:name="_DV_M222"/>
      <w:bookmarkStart w:id="14" w:name="_DV_M223"/>
      <w:bookmarkStart w:id="15" w:name="_DV_M224"/>
      <w:bookmarkStart w:id="16" w:name="_DV_M225"/>
      <w:bookmarkStart w:id="17" w:name="_DV_M226"/>
      <w:bookmarkStart w:id="18" w:name="_DV_M227"/>
      <w:bookmarkStart w:id="19" w:name="_DV_M228"/>
      <w:bookmarkStart w:id="20" w:name="_DV_M229"/>
      <w:bookmarkStart w:id="21" w:name="_DV_M230"/>
      <w:bookmarkStart w:id="22" w:name="_DV_M231"/>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7C3B17" w14:textId="1BC83198" w:rsidR="008C6514" w:rsidRPr="00226B0B" w:rsidRDefault="008C6514" w:rsidP="00593486">
      <w:pPr>
        <w:pStyle w:val="Corpo"/>
        <w:numPr>
          <w:ilvl w:val="0"/>
          <w:numId w:val="1"/>
        </w:numPr>
        <w:tabs>
          <w:tab w:val="left" w:pos="851"/>
        </w:tabs>
        <w:spacing w:after="0" w:line="340" w:lineRule="exact"/>
        <w:jc w:val="center"/>
        <w:rPr>
          <w:rFonts w:asciiTheme="minorHAnsi" w:hAnsiTheme="minorHAnsi" w:cstheme="minorHAnsi"/>
          <w:b/>
          <w:bCs/>
          <w:sz w:val="24"/>
          <w:szCs w:val="24"/>
          <w:lang w:val="pt-BR"/>
        </w:rPr>
      </w:pPr>
      <w:r w:rsidRPr="00226B0B">
        <w:rPr>
          <w:rFonts w:asciiTheme="minorHAnsi" w:hAnsiTheme="minorHAnsi" w:cstheme="minorHAnsi"/>
          <w:b/>
          <w:bCs/>
          <w:sz w:val="24"/>
          <w:szCs w:val="24"/>
          <w:lang w:val="pt-BR"/>
        </w:rPr>
        <w:t>DECLARAÇÕES DA</w:t>
      </w:r>
      <w:r w:rsidR="00703B01">
        <w:rPr>
          <w:rFonts w:asciiTheme="minorHAnsi" w:hAnsiTheme="minorHAnsi" w:cstheme="minorHAnsi"/>
          <w:b/>
          <w:bCs/>
          <w:sz w:val="24"/>
          <w:szCs w:val="24"/>
          <w:lang w:val="pt-BR"/>
        </w:rPr>
        <w:t>S</w:t>
      </w:r>
      <w:r w:rsidRPr="00226B0B">
        <w:rPr>
          <w:rFonts w:asciiTheme="minorHAnsi" w:hAnsiTheme="minorHAnsi" w:cstheme="minorHAnsi"/>
          <w:b/>
          <w:bCs/>
          <w:sz w:val="24"/>
          <w:szCs w:val="24"/>
          <w:lang w:val="pt-BR"/>
        </w:rPr>
        <w:t xml:space="preserve"> </w:t>
      </w:r>
      <w:r w:rsidR="00703B01">
        <w:rPr>
          <w:rFonts w:asciiTheme="minorHAnsi" w:hAnsiTheme="minorHAnsi" w:cstheme="minorHAnsi"/>
          <w:b/>
          <w:bCs/>
          <w:sz w:val="24"/>
          <w:szCs w:val="24"/>
          <w:lang w:val="pt-BR"/>
        </w:rPr>
        <w:t>CEDENTES</w:t>
      </w:r>
    </w:p>
    <w:p w14:paraId="56F3ABE8"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5D16D938" w14:textId="763019BE" w:rsidR="008C6514" w:rsidRPr="00474552" w:rsidRDefault="008C6514" w:rsidP="00B9290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A</w:t>
      </w:r>
      <w:r w:rsidR="00703B01">
        <w:rPr>
          <w:rFonts w:asciiTheme="minorHAnsi" w:hAnsiTheme="minorHAnsi" w:cstheme="minorHAnsi"/>
          <w:sz w:val="24"/>
          <w:szCs w:val="24"/>
        </w:rPr>
        <w:t>s</w:t>
      </w:r>
      <w:r w:rsidRPr="00474552">
        <w:rPr>
          <w:rFonts w:asciiTheme="minorHAnsi" w:hAnsiTheme="minorHAnsi" w:cstheme="minorHAnsi"/>
          <w:sz w:val="24"/>
          <w:szCs w:val="24"/>
        </w:rPr>
        <w:t xml:space="preserve"> </w:t>
      </w:r>
      <w:r w:rsidR="00703B01">
        <w:rPr>
          <w:rFonts w:asciiTheme="minorHAnsi" w:hAnsiTheme="minorHAnsi" w:cstheme="minorHAnsi"/>
          <w:sz w:val="24"/>
          <w:szCs w:val="24"/>
        </w:rPr>
        <w:t>Cedentes</w:t>
      </w:r>
      <w:r w:rsidR="004F0FD8" w:rsidRPr="00474552">
        <w:rPr>
          <w:rFonts w:asciiTheme="minorHAnsi" w:hAnsiTheme="minorHAnsi" w:cstheme="minorHAnsi"/>
          <w:sz w:val="24"/>
          <w:szCs w:val="24"/>
        </w:rPr>
        <w:t xml:space="preserve">, </w:t>
      </w:r>
      <w:r w:rsidRPr="00474552">
        <w:rPr>
          <w:rFonts w:asciiTheme="minorHAnsi" w:hAnsiTheme="minorHAnsi" w:cstheme="minorHAnsi"/>
          <w:sz w:val="24"/>
          <w:szCs w:val="24"/>
        </w:rPr>
        <w:t>neste ato</w:t>
      </w:r>
      <w:r w:rsidR="00772485">
        <w:rPr>
          <w:rFonts w:asciiTheme="minorHAnsi" w:hAnsiTheme="minorHAnsi" w:cstheme="minorHAnsi"/>
          <w:sz w:val="24"/>
          <w:szCs w:val="24"/>
        </w:rPr>
        <w:t>,</w:t>
      </w:r>
      <w:r w:rsidRPr="00474552">
        <w:rPr>
          <w:rFonts w:asciiTheme="minorHAnsi" w:hAnsiTheme="minorHAnsi" w:cstheme="minorHAnsi"/>
          <w:sz w:val="24"/>
          <w:szCs w:val="24"/>
        </w:rPr>
        <w:t xml:space="preserve"> declara</w:t>
      </w:r>
      <w:r w:rsidR="00703B01">
        <w:rPr>
          <w:rFonts w:asciiTheme="minorHAnsi" w:hAnsiTheme="minorHAnsi" w:cstheme="minorHAnsi"/>
          <w:sz w:val="24"/>
          <w:szCs w:val="24"/>
        </w:rPr>
        <w:t>m</w:t>
      </w:r>
      <w:r w:rsidRPr="00474552">
        <w:rPr>
          <w:rFonts w:asciiTheme="minorHAnsi" w:hAnsiTheme="minorHAnsi" w:cstheme="minorHAnsi"/>
          <w:sz w:val="24"/>
          <w:szCs w:val="24"/>
        </w:rPr>
        <w:t xml:space="preserve"> e garante</w:t>
      </w:r>
      <w:r w:rsidR="00703B01">
        <w:rPr>
          <w:rFonts w:asciiTheme="minorHAnsi" w:hAnsiTheme="minorHAnsi" w:cstheme="minorHAnsi"/>
          <w:sz w:val="24"/>
          <w:szCs w:val="24"/>
        </w:rPr>
        <w:t>m</w:t>
      </w:r>
      <w:r w:rsidRPr="00474552">
        <w:rPr>
          <w:rFonts w:asciiTheme="minorHAnsi" w:hAnsiTheme="minorHAnsi" w:cstheme="minorHAnsi"/>
          <w:sz w:val="24"/>
          <w:szCs w:val="24"/>
        </w:rPr>
        <w:t xml:space="preserve"> que:</w:t>
      </w:r>
    </w:p>
    <w:p w14:paraId="50980F70"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74950A36" w14:textId="0CA08957" w:rsidR="008C6514" w:rsidRPr="00474552" w:rsidRDefault="004F0FD8" w:rsidP="00B92908">
      <w:pPr>
        <w:pStyle w:val="PargrafodaLista"/>
        <w:numPr>
          <w:ilvl w:val="1"/>
          <w:numId w:val="4"/>
        </w:numPr>
        <w:tabs>
          <w:tab w:val="left" w:pos="1080"/>
        </w:tabs>
        <w:spacing w:after="0" w:line="340" w:lineRule="exact"/>
        <w:ind w:left="540" w:firstLine="0"/>
        <w:contextualSpacing w:val="0"/>
        <w:rPr>
          <w:rFonts w:asciiTheme="minorHAnsi" w:hAnsiTheme="minorHAnsi" w:cstheme="minorHAnsi"/>
          <w:sz w:val="24"/>
          <w:szCs w:val="24"/>
        </w:rPr>
      </w:pPr>
      <w:r w:rsidRPr="00474552">
        <w:rPr>
          <w:rFonts w:asciiTheme="minorHAnsi" w:hAnsiTheme="minorHAnsi" w:cstheme="minorHAnsi"/>
          <w:sz w:val="24"/>
          <w:szCs w:val="24"/>
        </w:rPr>
        <w:t>Est</w:t>
      </w:r>
      <w:r w:rsidR="00703B01">
        <w:rPr>
          <w:rFonts w:asciiTheme="minorHAnsi" w:hAnsiTheme="minorHAnsi" w:cstheme="minorHAnsi"/>
          <w:sz w:val="24"/>
          <w:szCs w:val="24"/>
        </w:rPr>
        <w:t>ão</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devidamente autorizada</w:t>
      </w:r>
      <w:r w:rsidR="00703B01">
        <w:rPr>
          <w:rFonts w:asciiTheme="minorHAnsi" w:hAnsiTheme="minorHAnsi" w:cstheme="minorHAnsi"/>
          <w:sz w:val="24"/>
          <w:szCs w:val="24"/>
        </w:rPr>
        <w:t>s</w:t>
      </w:r>
      <w:r w:rsidR="008C6514" w:rsidRPr="00474552">
        <w:rPr>
          <w:rFonts w:asciiTheme="minorHAnsi" w:hAnsiTheme="minorHAnsi" w:cstheme="minorHAnsi"/>
          <w:sz w:val="24"/>
          <w:szCs w:val="24"/>
        </w:rPr>
        <w:t xml:space="preserve"> e </w:t>
      </w:r>
      <w:r w:rsidR="00C23E57" w:rsidRPr="00474552">
        <w:rPr>
          <w:rFonts w:asciiTheme="minorHAnsi" w:hAnsiTheme="minorHAnsi" w:cstheme="minorHAnsi"/>
          <w:sz w:val="24"/>
          <w:szCs w:val="24"/>
        </w:rPr>
        <w:t>obt</w:t>
      </w:r>
      <w:r w:rsidR="00703B01">
        <w:rPr>
          <w:rFonts w:asciiTheme="minorHAnsi" w:hAnsiTheme="minorHAnsi" w:cstheme="minorHAnsi"/>
          <w:sz w:val="24"/>
          <w:szCs w:val="24"/>
        </w:rPr>
        <w:t>iveram</w:t>
      </w:r>
      <w:r w:rsidR="008C6514" w:rsidRPr="00474552">
        <w:rPr>
          <w:rFonts w:asciiTheme="minorHAnsi" w:hAnsiTheme="minorHAnsi" w:cstheme="minorHAnsi"/>
          <w:sz w:val="24"/>
          <w:szCs w:val="24"/>
        </w:rPr>
        <w:t xml:space="preserve"> todas as autorizações societárias e/ou regulatórias necessárias à assinatura do presente Aditamento, ao cumprimento de todas as obrigações aqui previstas, tendo sido plenamente satisfeitos todos os requisitos legais e societários necessários para tanto; e</w:t>
      </w:r>
    </w:p>
    <w:p w14:paraId="14B5A13F" w14:textId="77777777" w:rsidR="008C6514" w:rsidRPr="00474552" w:rsidRDefault="008C6514" w:rsidP="00B92908">
      <w:pPr>
        <w:pStyle w:val="PargrafodaLista"/>
        <w:tabs>
          <w:tab w:val="left" w:pos="1080"/>
        </w:tabs>
        <w:spacing w:after="0" w:line="340" w:lineRule="exact"/>
        <w:ind w:left="540"/>
        <w:rPr>
          <w:rFonts w:asciiTheme="minorHAnsi" w:hAnsiTheme="minorHAnsi" w:cstheme="minorHAnsi"/>
          <w:sz w:val="24"/>
          <w:szCs w:val="24"/>
        </w:rPr>
      </w:pPr>
    </w:p>
    <w:p w14:paraId="16F7A975" w14:textId="52113C06" w:rsidR="008C6514" w:rsidRPr="00474552" w:rsidRDefault="008C6514" w:rsidP="00B92908">
      <w:pPr>
        <w:pStyle w:val="PargrafodaLista"/>
        <w:numPr>
          <w:ilvl w:val="1"/>
          <w:numId w:val="4"/>
        </w:numPr>
        <w:tabs>
          <w:tab w:val="left" w:pos="1080"/>
        </w:tabs>
        <w:spacing w:after="0" w:line="340" w:lineRule="exact"/>
        <w:ind w:left="54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As declarações e garantias previstas </w:t>
      </w:r>
      <w:r w:rsidR="00703B01">
        <w:rPr>
          <w:rFonts w:asciiTheme="minorHAnsi" w:hAnsiTheme="minorHAnsi" w:cstheme="minorHAnsi"/>
          <w:sz w:val="24"/>
          <w:szCs w:val="24"/>
        </w:rPr>
        <w:t>no Contrato de Cessão Fiduciária</w:t>
      </w:r>
      <w:r w:rsidRPr="00474552">
        <w:rPr>
          <w:rFonts w:asciiTheme="minorHAnsi" w:hAnsiTheme="minorHAnsi" w:cstheme="minorHAnsi"/>
          <w:sz w:val="24"/>
          <w:szCs w:val="24"/>
        </w:rPr>
        <w:t xml:space="preserve"> são repetidas nesta data.</w:t>
      </w:r>
    </w:p>
    <w:p w14:paraId="362CB07E" w14:textId="77777777" w:rsidR="008C6514" w:rsidRPr="00474552" w:rsidRDefault="008C6514" w:rsidP="00B92908">
      <w:pPr>
        <w:tabs>
          <w:tab w:val="left" w:pos="1080"/>
        </w:tabs>
        <w:spacing w:after="0" w:line="340" w:lineRule="exact"/>
        <w:rPr>
          <w:rFonts w:asciiTheme="minorHAnsi" w:hAnsiTheme="minorHAnsi" w:cstheme="minorHAnsi"/>
          <w:sz w:val="24"/>
          <w:szCs w:val="24"/>
        </w:rPr>
      </w:pPr>
    </w:p>
    <w:p w14:paraId="6B7B9415" w14:textId="77777777" w:rsidR="008C6514" w:rsidRPr="00474552" w:rsidRDefault="008C6514" w:rsidP="00214B13">
      <w:pPr>
        <w:pStyle w:val="PargrafodaLista"/>
        <w:numPr>
          <w:ilvl w:val="0"/>
          <w:numId w:val="1"/>
        </w:numPr>
        <w:spacing w:before="240"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TERMOS DEFINIDOS</w:t>
      </w:r>
    </w:p>
    <w:p w14:paraId="7EECE050" w14:textId="77777777" w:rsidR="008C6514" w:rsidRPr="00474552" w:rsidRDefault="008C6514" w:rsidP="00214B13">
      <w:pPr>
        <w:pStyle w:val="PargrafodaLista"/>
        <w:spacing w:line="340" w:lineRule="exact"/>
        <w:rPr>
          <w:rFonts w:asciiTheme="minorHAnsi" w:hAnsiTheme="minorHAnsi" w:cstheme="minorHAnsi"/>
          <w:b/>
          <w:bCs/>
          <w:sz w:val="24"/>
          <w:szCs w:val="24"/>
        </w:rPr>
      </w:pPr>
    </w:p>
    <w:p w14:paraId="60665279" w14:textId="5A634708" w:rsidR="008C6514" w:rsidRPr="00474552" w:rsidRDefault="008C6514" w:rsidP="00214B13">
      <w:pPr>
        <w:pStyle w:val="PargrafodaLista"/>
        <w:numPr>
          <w:ilvl w:val="1"/>
          <w:numId w:val="1"/>
        </w:numPr>
        <w:tabs>
          <w:tab w:val="left" w:pos="567"/>
        </w:tabs>
        <w:spacing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Os termos utilizados em letra maiúscula e não definidos no presente Aditamento terão o significado a eles atribuído </w:t>
      </w:r>
      <w:r w:rsidR="00703B01">
        <w:rPr>
          <w:rFonts w:asciiTheme="minorHAnsi" w:hAnsiTheme="minorHAnsi" w:cstheme="minorHAnsi"/>
          <w:sz w:val="24"/>
          <w:szCs w:val="24"/>
        </w:rPr>
        <w:t>no Contrato de Cessão Fiduciária</w:t>
      </w:r>
      <w:r w:rsidRPr="00474552">
        <w:rPr>
          <w:rFonts w:asciiTheme="minorHAnsi" w:hAnsiTheme="minorHAnsi" w:cstheme="minorHAnsi"/>
          <w:sz w:val="24"/>
          <w:szCs w:val="24"/>
        </w:rPr>
        <w:t xml:space="preserve">. </w:t>
      </w:r>
    </w:p>
    <w:p w14:paraId="5076DE12"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7B324AE0" w14:textId="77777777" w:rsidR="008C6514" w:rsidRPr="00474552" w:rsidRDefault="008C6514" w:rsidP="00214B13">
      <w:pPr>
        <w:pStyle w:val="PargrafodaLista"/>
        <w:numPr>
          <w:ilvl w:val="0"/>
          <w:numId w:val="1"/>
        </w:numPr>
        <w:spacing w:before="240"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RATIFICAÇÃO</w:t>
      </w:r>
    </w:p>
    <w:p w14:paraId="536F7A9F"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76BFFA5A" w14:textId="7C973F78" w:rsidR="008C6514" w:rsidRPr="00474552" w:rsidRDefault="008C6514" w:rsidP="00214B13">
      <w:pPr>
        <w:pStyle w:val="PargrafodaLista"/>
        <w:numPr>
          <w:ilvl w:val="1"/>
          <w:numId w:val="1"/>
        </w:numPr>
        <w:tabs>
          <w:tab w:val="left" w:pos="567"/>
        </w:tabs>
        <w:spacing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Permanecem inalteradas e ratificadas todas as demais cláusulas e condições </w:t>
      </w:r>
      <w:r w:rsidR="00703B01">
        <w:rPr>
          <w:rFonts w:asciiTheme="minorHAnsi" w:hAnsiTheme="minorHAnsi" w:cstheme="minorHAnsi"/>
          <w:sz w:val="24"/>
          <w:szCs w:val="24"/>
        </w:rPr>
        <w:t>do Contrato de Cessão Fiduciária</w:t>
      </w:r>
      <w:r w:rsidR="00703B01" w:rsidRPr="00474552">
        <w:rPr>
          <w:rFonts w:asciiTheme="minorHAnsi" w:hAnsiTheme="minorHAnsi" w:cstheme="minorHAnsi"/>
          <w:sz w:val="24"/>
          <w:szCs w:val="24"/>
        </w:rPr>
        <w:t xml:space="preserve"> </w:t>
      </w:r>
      <w:r w:rsidRPr="00474552">
        <w:rPr>
          <w:rFonts w:asciiTheme="minorHAnsi" w:hAnsiTheme="minorHAnsi" w:cstheme="minorHAnsi"/>
          <w:sz w:val="24"/>
          <w:szCs w:val="24"/>
        </w:rPr>
        <w:t>ora aditad</w:t>
      </w:r>
      <w:r w:rsidR="00703B01">
        <w:rPr>
          <w:rFonts w:asciiTheme="minorHAnsi" w:hAnsiTheme="minorHAnsi" w:cstheme="minorHAnsi"/>
          <w:sz w:val="24"/>
          <w:szCs w:val="24"/>
        </w:rPr>
        <w:t>o</w:t>
      </w:r>
      <w:r w:rsidRPr="00474552">
        <w:rPr>
          <w:rFonts w:asciiTheme="minorHAnsi" w:hAnsiTheme="minorHAnsi" w:cstheme="minorHAnsi"/>
          <w:sz w:val="24"/>
          <w:szCs w:val="24"/>
        </w:rPr>
        <w:t xml:space="preserve"> que não tenham sido objeto de alteração específica neste Aditamento.</w:t>
      </w:r>
    </w:p>
    <w:p w14:paraId="3DF451AC"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60EDFA71"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AUSÊNCIA DE NOVAÇÃO</w:t>
      </w:r>
    </w:p>
    <w:p w14:paraId="24AD9B6B"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33300D99" w14:textId="4AA104B3" w:rsidR="008C6514" w:rsidRPr="00474552" w:rsidRDefault="008C6514" w:rsidP="00214B13">
      <w:pPr>
        <w:pStyle w:val="PargrafodaLista"/>
        <w:numPr>
          <w:ilvl w:val="1"/>
          <w:numId w:val="1"/>
        </w:numPr>
        <w:tabs>
          <w:tab w:val="left" w:pos="567"/>
        </w:tabs>
        <w:spacing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As Partes concordam que este Aditamento não constitui novação em relação aos direitos e obrigações estabelecidos </w:t>
      </w:r>
      <w:r w:rsidR="00703B01">
        <w:rPr>
          <w:rFonts w:asciiTheme="minorHAnsi" w:hAnsiTheme="minorHAnsi" w:cstheme="minorHAnsi"/>
          <w:sz w:val="24"/>
          <w:szCs w:val="24"/>
        </w:rPr>
        <w:t>no Contrato de Cessão Fiduciária</w:t>
      </w:r>
      <w:r w:rsidR="00703B01" w:rsidRPr="00474552">
        <w:rPr>
          <w:rFonts w:asciiTheme="minorHAnsi" w:hAnsiTheme="minorHAnsi" w:cstheme="minorHAnsi"/>
          <w:sz w:val="24"/>
          <w:szCs w:val="24"/>
        </w:rPr>
        <w:t xml:space="preserve"> </w:t>
      </w:r>
      <w:r w:rsidRPr="00474552">
        <w:rPr>
          <w:rFonts w:asciiTheme="minorHAnsi" w:hAnsiTheme="minorHAnsi" w:cstheme="minorHAnsi"/>
          <w:sz w:val="24"/>
          <w:szCs w:val="24"/>
        </w:rPr>
        <w:t>ora aditad</w:t>
      </w:r>
      <w:r w:rsidR="00703B01">
        <w:rPr>
          <w:rFonts w:asciiTheme="minorHAnsi" w:hAnsiTheme="minorHAnsi" w:cstheme="minorHAnsi"/>
          <w:sz w:val="24"/>
          <w:szCs w:val="24"/>
        </w:rPr>
        <w:t>o</w:t>
      </w:r>
      <w:r w:rsidRPr="00474552">
        <w:rPr>
          <w:rFonts w:asciiTheme="minorHAnsi" w:hAnsiTheme="minorHAnsi" w:cstheme="minorHAnsi"/>
          <w:sz w:val="24"/>
          <w:szCs w:val="24"/>
        </w:rPr>
        <w:t>.</w:t>
      </w:r>
    </w:p>
    <w:p w14:paraId="55866320"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1F95937A"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REGISTRO</w:t>
      </w:r>
    </w:p>
    <w:p w14:paraId="4847626C"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4AC5ECFF" w14:textId="486BD031" w:rsidR="00703B01" w:rsidRPr="00703B01" w:rsidRDefault="004F0FD8" w:rsidP="00214B13">
      <w:pPr>
        <w:pStyle w:val="PargrafodaLista"/>
        <w:numPr>
          <w:ilvl w:val="1"/>
          <w:numId w:val="1"/>
        </w:numPr>
        <w:tabs>
          <w:tab w:val="left" w:pos="567"/>
        </w:tabs>
        <w:spacing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Este Aditamento deverá ser averbado </w:t>
      </w:r>
      <w:r w:rsidR="00703B01">
        <w:rPr>
          <w:rFonts w:asciiTheme="minorHAnsi" w:hAnsiTheme="minorHAnsi" w:cstheme="minorHAnsi"/>
          <w:sz w:val="24"/>
          <w:szCs w:val="24"/>
        </w:rPr>
        <w:t>perante os Cartórios de Registro de Títulos e Documentos da Cidade de São Paulo, Estado de São Paulo e da Cidade de Barueri, Estado de São Paulo (“</w:t>
      </w:r>
      <w:r w:rsidR="00703B01" w:rsidRPr="00703B01">
        <w:rPr>
          <w:rFonts w:asciiTheme="minorHAnsi" w:hAnsiTheme="minorHAnsi" w:cstheme="minorHAnsi"/>
          <w:sz w:val="24"/>
          <w:szCs w:val="24"/>
          <w:u w:val="single"/>
        </w:rPr>
        <w:t>Cartórios de Registro de Títulos e Documentos</w:t>
      </w:r>
      <w:r w:rsidR="00703B01">
        <w:rPr>
          <w:rFonts w:asciiTheme="minorHAnsi" w:hAnsiTheme="minorHAnsi" w:cstheme="minorHAnsi"/>
          <w:sz w:val="24"/>
          <w:szCs w:val="24"/>
        </w:rPr>
        <w:t>”)</w:t>
      </w:r>
      <w:r w:rsidRPr="00474552">
        <w:rPr>
          <w:rFonts w:asciiTheme="minorHAnsi" w:hAnsiTheme="minorHAnsi" w:cstheme="minorHAnsi"/>
          <w:sz w:val="24"/>
          <w:szCs w:val="24"/>
        </w:rPr>
        <w:t xml:space="preserve">, no prazo de até </w:t>
      </w:r>
      <w:r w:rsidR="005F2C33" w:rsidRPr="00A87FA0">
        <w:rPr>
          <w:rFonts w:asciiTheme="minorHAnsi" w:hAnsiTheme="minorHAnsi" w:cstheme="minorHAnsi"/>
          <w:sz w:val="24"/>
          <w:szCs w:val="24"/>
        </w:rPr>
        <w:t xml:space="preserve">5 (cinco) </w:t>
      </w:r>
      <w:r w:rsidRPr="00474552">
        <w:rPr>
          <w:rFonts w:asciiTheme="minorHAnsi" w:hAnsiTheme="minorHAnsi" w:cstheme="minorHAnsi"/>
          <w:sz w:val="24"/>
          <w:szCs w:val="24"/>
        </w:rPr>
        <w:t>Dias Úteis contados da sua assinatura. A Emissora entregará ao Agente Fiduciário 1 (uma)</w:t>
      </w:r>
      <w:r w:rsidR="0088657A">
        <w:rPr>
          <w:rFonts w:asciiTheme="minorHAnsi" w:hAnsiTheme="minorHAnsi" w:cstheme="minorHAnsi"/>
          <w:sz w:val="24"/>
          <w:szCs w:val="24"/>
        </w:rPr>
        <w:t xml:space="preserve"> via original </w:t>
      </w:r>
      <w:r w:rsidR="0088657A" w:rsidRPr="00A87FA0">
        <w:rPr>
          <w:rFonts w:asciiTheme="minorHAnsi" w:hAnsiTheme="minorHAnsi" w:cstheme="minorHAnsi"/>
          <w:sz w:val="24"/>
          <w:szCs w:val="24"/>
        </w:rPr>
        <w:t>(ou, se for o caso, cópia eletrônica (PDF</w:t>
      </w:r>
      <w:r w:rsidR="0088657A">
        <w:rPr>
          <w:rFonts w:asciiTheme="minorHAnsi" w:hAnsiTheme="minorHAnsi" w:cstheme="minorHAnsi"/>
          <w:sz w:val="24"/>
          <w:szCs w:val="24"/>
        </w:rPr>
        <w:t xml:space="preserve">) </w:t>
      </w:r>
      <w:r w:rsidRPr="00474552">
        <w:rPr>
          <w:rFonts w:asciiTheme="minorHAnsi" w:hAnsiTheme="minorHAnsi" w:cstheme="minorHAnsi"/>
          <w:sz w:val="24"/>
          <w:szCs w:val="24"/>
        </w:rPr>
        <w:t xml:space="preserve">deste Aditamento contendo a chancela digital </w:t>
      </w:r>
      <w:r w:rsidR="00703B01">
        <w:rPr>
          <w:rFonts w:asciiTheme="minorHAnsi" w:hAnsiTheme="minorHAnsi" w:cstheme="minorHAnsi"/>
          <w:sz w:val="24"/>
          <w:szCs w:val="24"/>
        </w:rPr>
        <w:t xml:space="preserve">dos </w:t>
      </w:r>
      <w:r w:rsidR="00703B01" w:rsidRPr="00703B01">
        <w:rPr>
          <w:rFonts w:asciiTheme="minorHAnsi" w:hAnsiTheme="minorHAnsi" w:cstheme="minorHAnsi"/>
          <w:sz w:val="24"/>
          <w:szCs w:val="24"/>
        </w:rPr>
        <w:t>Cartórios de Registro de Títulos e Documentos</w:t>
      </w:r>
      <w:r w:rsidR="0088657A">
        <w:rPr>
          <w:rFonts w:asciiTheme="minorHAnsi" w:hAnsiTheme="minorHAnsi" w:cstheme="minorHAnsi"/>
          <w:sz w:val="24"/>
          <w:szCs w:val="24"/>
        </w:rPr>
        <w:t xml:space="preserve"> que comprove o efetivo registro</w:t>
      </w:r>
      <w:r w:rsidRPr="00474552">
        <w:rPr>
          <w:rFonts w:asciiTheme="minorHAnsi" w:hAnsiTheme="minorHAnsi" w:cstheme="minorHAnsi"/>
          <w:sz w:val="24"/>
          <w:szCs w:val="24"/>
        </w:rPr>
        <w:t xml:space="preserve">, em até </w:t>
      </w:r>
      <w:r w:rsidR="005F2C33" w:rsidRPr="00A87FA0">
        <w:rPr>
          <w:rFonts w:asciiTheme="minorHAnsi" w:hAnsiTheme="minorHAnsi" w:cstheme="minorHAnsi"/>
          <w:sz w:val="24"/>
          <w:szCs w:val="24"/>
        </w:rPr>
        <w:t>5 (cinco)</w:t>
      </w:r>
      <w:r w:rsidRPr="00474552">
        <w:rPr>
          <w:rFonts w:asciiTheme="minorHAnsi" w:hAnsiTheme="minorHAnsi" w:cstheme="minorHAnsi"/>
          <w:sz w:val="24"/>
          <w:szCs w:val="24"/>
        </w:rPr>
        <w:t xml:space="preserve"> Dias Úteis do respectivo </w:t>
      </w:r>
      <w:r w:rsidR="00703B01">
        <w:rPr>
          <w:rFonts w:asciiTheme="minorHAnsi" w:hAnsiTheme="minorHAnsi" w:cstheme="minorHAnsi"/>
          <w:sz w:val="24"/>
          <w:szCs w:val="24"/>
        </w:rPr>
        <w:t>registro</w:t>
      </w:r>
      <w:r w:rsidRPr="00474552">
        <w:rPr>
          <w:rFonts w:asciiTheme="minorHAnsi" w:hAnsiTheme="minorHAnsi" w:cstheme="minorHAnsi"/>
          <w:sz w:val="24"/>
          <w:szCs w:val="24"/>
        </w:rPr>
        <w:t xml:space="preserve">. </w:t>
      </w:r>
    </w:p>
    <w:p w14:paraId="5D194EBF" w14:textId="77777777" w:rsidR="00214B13" w:rsidRPr="00474552" w:rsidRDefault="00214B13" w:rsidP="00593486"/>
    <w:p w14:paraId="3CA8ED7B"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DISPOSIÇÕES GERAIS</w:t>
      </w:r>
    </w:p>
    <w:p w14:paraId="37AB6D23"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53E60BF9"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Este Aditamento é firmado em caráter irrevogável e irretratável, obrigando as Partes por si e seus sucessores.</w:t>
      </w:r>
    </w:p>
    <w:p w14:paraId="1818D952" w14:textId="77777777" w:rsidR="00E0216D" w:rsidRPr="00474552" w:rsidRDefault="00E0216D" w:rsidP="00ED2BB7">
      <w:pPr>
        <w:pStyle w:val="PargrafodaLista"/>
        <w:tabs>
          <w:tab w:val="left" w:pos="567"/>
        </w:tabs>
        <w:spacing w:after="0" w:line="340" w:lineRule="exact"/>
        <w:ind w:left="0"/>
        <w:contextualSpacing w:val="0"/>
        <w:rPr>
          <w:rFonts w:asciiTheme="minorHAnsi" w:hAnsiTheme="minorHAnsi" w:cstheme="minorHAnsi"/>
          <w:sz w:val="24"/>
          <w:szCs w:val="24"/>
        </w:rPr>
      </w:pPr>
    </w:p>
    <w:p w14:paraId="09D3B5FF" w14:textId="5E1C9FC7"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Se qualquer item ou cláusula deste Aditamento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6A812CD" w14:textId="77777777" w:rsidR="00E0216D" w:rsidRPr="00ED2BB7" w:rsidRDefault="00E0216D" w:rsidP="00ED2BB7">
      <w:pPr>
        <w:pStyle w:val="PargrafodaLista"/>
        <w:rPr>
          <w:rFonts w:asciiTheme="minorHAnsi" w:hAnsiTheme="minorHAnsi" w:cstheme="minorHAnsi"/>
          <w:sz w:val="24"/>
          <w:szCs w:val="24"/>
        </w:rPr>
      </w:pPr>
    </w:p>
    <w:p w14:paraId="1AF4A69A" w14:textId="7C7A5686"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As Partes reconhecem este Aditamento como título executivo extrajudicial nos termos do artigo 784, inciso I</w:t>
      </w:r>
      <w:r w:rsidR="00703B01">
        <w:rPr>
          <w:rFonts w:asciiTheme="minorHAnsi" w:hAnsiTheme="minorHAnsi" w:cstheme="minorHAnsi"/>
          <w:sz w:val="24"/>
          <w:szCs w:val="24"/>
        </w:rPr>
        <w:t>I</w:t>
      </w:r>
      <w:r w:rsidRPr="00474552">
        <w:rPr>
          <w:rFonts w:asciiTheme="minorHAnsi" w:hAnsiTheme="minorHAnsi" w:cstheme="minorHAnsi"/>
          <w:sz w:val="24"/>
          <w:szCs w:val="24"/>
        </w:rPr>
        <w:t xml:space="preserve">I, </w:t>
      </w:r>
      <w:r w:rsidRPr="00474552">
        <w:rPr>
          <w:rFonts w:asciiTheme="minorHAnsi" w:eastAsia="Arial Unicode MS" w:hAnsiTheme="minorHAnsi" w:cstheme="minorHAnsi"/>
          <w:sz w:val="24"/>
          <w:szCs w:val="24"/>
        </w:rPr>
        <w:t>da Lei 13.105, de 16 de março de 2015 (“</w:t>
      </w:r>
      <w:r w:rsidRPr="00474552">
        <w:rPr>
          <w:rFonts w:asciiTheme="minorHAnsi" w:eastAsia="Arial Unicode MS" w:hAnsiTheme="minorHAnsi" w:cstheme="minorHAnsi"/>
          <w:sz w:val="24"/>
          <w:szCs w:val="24"/>
          <w:u w:val="single"/>
        </w:rPr>
        <w:t>Código de Processo Civil</w:t>
      </w:r>
      <w:r w:rsidRPr="00474552">
        <w:rPr>
          <w:rFonts w:asciiTheme="minorHAnsi" w:eastAsia="Arial Unicode MS" w:hAnsiTheme="minorHAnsi" w:cstheme="minorHAnsi"/>
          <w:sz w:val="24"/>
          <w:szCs w:val="24"/>
        </w:rPr>
        <w:t>”)</w:t>
      </w:r>
      <w:r w:rsidRPr="00474552">
        <w:rPr>
          <w:rFonts w:asciiTheme="minorHAnsi" w:hAnsiTheme="minorHAnsi" w:cstheme="minorHAnsi"/>
          <w:sz w:val="24"/>
          <w:szCs w:val="24"/>
        </w:rPr>
        <w:t>.</w:t>
      </w:r>
    </w:p>
    <w:p w14:paraId="676CCB6A" w14:textId="77777777" w:rsidR="00E0216D" w:rsidRPr="00ED2BB7" w:rsidRDefault="00E0216D" w:rsidP="00ED2BB7">
      <w:pPr>
        <w:pStyle w:val="PargrafodaLista"/>
        <w:rPr>
          <w:rFonts w:asciiTheme="minorHAnsi" w:hAnsiTheme="minorHAnsi" w:cstheme="minorHAnsi"/>
          <w:sz w:val="24"/>
          <w:szCs w:val="24"/>
        </w:rPr>
      </w:pPr>
    </w:p>
    <w:p w14:paraId="5F3DF855" w14:textId="399B6067"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Para os fins deste Aditamento, as partes poderão, a seu critério exclusivo, requerer a execução específica das obrigações aqui assumidas, nos termos dos artigos 497, 804 e 815 do Código de Processo Civil.</w:t>
      </w:r>
    </w:p>
    <w:p w14:paraId="4B0DB056" w14:textId="77777777" w:rsidR="004F0FD8" w:rsidRPr="00474552" w:rsidRDefault="004F0FD8" w:rsidP="004F0FD8">
      <w:pPr>
        <w:pStyle w:val="PargrafodaLista"/>
        <w:tabs>
          <w:tab w:val="left" w:pos="567"/>
        </w:tabs>
        <w:spacing w:after="0" w:line="340" w:lineRule="exact"/>
        <w:ind w:left="0"/>
        <w:contextualSpacing w:val="0"/>
        <w:rPr>
          <w:rFonts w:asciiTheme="minorHAnsi" w:hAnsiTheme="minorHAnsi" w:cstheme="minorHAnsi"/>
          <w:sz w:val="24"/>
          <w:szCs w:val="24"/>
        </w:rPr>
      </w:pPr>
    </w:p>
    <w:p w14:paraId="6732C25C"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Todos e quaisquer custos incorridos em razão do registro deste Aditamento, serão de responsabilidade exclusiva da Emissora.</w:t>
      </w:r>
    </w:p>
    <w:p w14:paraId="21572B93" w14:textId="77777777" w:rsidR="004F0FD8" w:rsidRPr="00474552" w:rsidRDefault="004F0FD8" w:rsidP="004F0FD8">
      <w:pPr>
        <w:tabs>
          <w:tab w:val="left" w:pos="567"/>
        </w:tabs>
        <w:spacing w:after="0" w:line="340" w:lineRule="exact"/>
        <w:ind w:left="720"/>
        <w:rPr>
          <w:rFonts w:asciiTheme="minorHAnsi" w:hAnsiTheme="minorHAnsi" w:cstheme="minorHAnsi"/>
          <w:sz w:val="24"/>
          <w:szCs w:val="24"/>
        </w:rPr>
      </w:pPr>
    </w:p>
    <w:p w14:paraId="282F6C50"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As Partes poderão assinar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3E5AFE99" w14:textId="77777777" w:rsidR="004F0FD8" w:rsidRPr="00474552" w:rsidRDefault="004F0FD8" w:rsidP="004F0FD8">
      <w:pPr>
        <w:tabs>
          <w:tab w:val="left" w:pos="567"/>
        </w:tabs>
        <w:spacing w:after="0" w:line="340" w:lineRule="exact"/>
        <w:rPr>
          <w:rFonts w:asciiTheme="minorHAnsi" w:hAnsiTheme="minorHAnsi" w:cstheme="minorHAnsi"/>
          <w:sz w:val="24"/>
          <w:szCs w:val="24"/>
        </w:rPr>
      </w:pPr>
    </w:p>
    <w:p w14:paraId="43E5FCA3" w14:textId="7F5AA1C1"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Este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sidR="0088657A">
        <w:rPr>
          <w:rFonts w:asciiTheme="minorHAnsi" w:hAnsiTheme="minorHAnsi" w:cstheme="minorHAnsi"/>
          <w:sz w:val="24"/>
          <w:szCs w:val="24"/>
        </w:rPr>
        <w:t>São Paulo</w:t>
      </w:r>
      <w:r w:rsidRPr="00474552">
        <w:rPr>
          <w:rFonts w:asciiTheme="minorHAnsi" w:hAnsiTheme="minorHAnsi" w:cstheme="minorHAnsi"/>
          <w:sz w:val="24"/>
          <w:szCs w:val="24"/>
        </w:rPr>
        <w:t xml:space="preserve">, </w:t>
      </w:r>
      <w:r w:rsidR="0088657A">
        <w:rPr>
          <w:rFonts w:asciiTheme="minorHAnsi" w:hAnsiTheme="minorHAnsi" w:cstheme="minorHAnsi"/>
          <w:sz w:val="24"/>
          <w:szCs w:val="24"/>
        </w:rPr>
        <w:t>Estado de São Paulo</w:t>
      </w:r>
      <w:r w:rsidRPr="00474552">
        <w:rPr>
          <w:rFonts w:asciiTheme="minorHAnsi" w:hAnsiTheme="minorHAnsi" w:cstheme="minorHAnsi"/>
          <w:sz w:val="24"/>
          <w:szCs w:val="24"/>
        </w:rPr>
        <w:t xml:space="preserve">, conforme abaixo indicado. </w:t>
      </w:r>
    </w:p>
    <w:p w14:paraId="6919D6DF" w14:textId="77777777" w:rsidR="004F0FD8" w:rsidRPr="00474552" w:rsidRDefault="004F0FD8" w:rsidP="004F0FD8">
      <w:pPr>
        <w:tabs>
          <w:tab w:val="left" w:pos="567"/>
        </w:tabs>
        <w:spacing w:after="0" w:line="340" w:lineRule="exact"/>
        <w:rPr>
          <w:rFonts w:asciiTheme="minorHAnsi" w:hAnsiTheme="minorHAnsi" w:cstheme="minorHAnsi"/>
          <w:sz w:val="24"/>
          <w:szCs w:val="24"/>
        </w:rPr>
      </w:pPr>
    </w:p>
    <w:p w14:paraId="0D4CFF89" w14:textId="1F552B2A" w:rsidR="008C6514" w:rsidRPr="00474552" w:rsidRDefault="004F0FD8" w:rsidP="004F0FD8">
      <w:pPr>
        <w:numPr>
          <w:ilvl w:val="1"/>
          <w:numId w:val="1"/>
        </w:numPr>
        <w:tabs>
          <w:tab w:val="left" w:pos="567"/>
        </w:tabs>
        <w:spacing w:after="0" w:line="340" w:lineRule="exact"/>
        <w:ind w:left="0" w:firstLine="0"/>
        <w:rPr>
          <w:rFonts w:asciiTheme="minorHAnsi" w:hAnsiTheme="minorHAnsi" w:cstheme="minorHAnsi"/>
          <w:sz w:val="24"/>
          <w:szCs w:val="24"/>
        </w:rPr>
      </w:pPr>
      <w:r w:rsidRPr="00474552">
        <w:rPr>
          <w:rFonts w:asciiTheme="minorHAnsi" w:hAnsiTheme="minorHAnsi" w:cstheme="minorHAnsi"/>
          <w:sz w:val="24"/>
          <w:szCs w:val="24"/>
        </w:rPr>
        <w:t>Fica eleito o foro central da Cidade de São Paulo, Estado de São Paulo, para dirimir quaisquer dúvidas ou controvérsias oriundas deste Aditamento, com renúncia a qualquer outro, por mais privilegiado que seja.</w:t>
      </w:r>
    </w:p>
    <w:p w14:paraId="5DF3E6A3" w14:textId="77777777" w:rsidR="008C6514" w:rsidRPr="00474552" w:rsidRDefault="008C6514" w:rsidP="00B92908">
      <w:pPr>
        <w:tabs>
          <w:tab w:val="left" w:pos="567"/>
        </w:tabs>
        <w:spacing w:after="0" w:line="340" w:lineRule="exact"/>
        <w:rPr>
          <w:rFonts w:asciiTheme="minorHAnsi" w:hAnsiTheme="minorHAnsi" w:cstheme="minorHAnsi"/>
          <w:sz w:val="24"/>
          <w:szCs w:val="24"/>
        </w:rPr>
      </w:pPr>
    </w:p>
    <w:p w14:paraId="70E3DA12" w14:textId="5799BCB8" w:rsidR="008C6514" w:rsidRPr="00474552"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E por estarem assim justas e contratadas, as Partes firmam o presente Aditamento</w:t>
      </w:r>
      <w:r w:rsidR="004F0FD8" w:rsidRPr="00474552">
        <w:rPr>
          <w:rFonts w:asciiTheme="minorHAnsi" w:hAnsiTheme="minorHAnsi" w:cstheme="minorHAnsi"/>
          <w:sz w:val="24"/>
          <w:szCs w:val="24"/>
        </w:rPr>
        <w:t xml:space="preserve"> de forma digital</w:t>
      </w:r>
      <w:r w:rsidRPr="00474552">
        <w:rPr>
          <w:rFonts w:asciiTheme="minorHAnsi" w:hAnsiTheme="minorHAnsi" w:cstheme="minorHAnsi"/>
          <w:sz w:val="24"/>
          <w:szCs w:val="24"/>
        </w:rPr>
        <w:t>, juntamente com 2 (duas) testemunhas abaixo identificadas, que também a assinam.</w:t>
      </w:r>
    </w:p>
    <w:p w14:paraId="7031E317" w14:textId="77777777" w:rsidR="008C6514" w:rsidRPr="00474552" w:rsidRDefault="008C6514" w:rsidP="00B92908">
      <w:pPr>
        <w:spacing w:after="0" w:line="340" w:lineRule="exact"/>
        <w:rPr>
          <w:rFonts w:asciiTheme="minorHAnsi" w:hAnsiTheme="minorHAnsi" w:cstheme="minorHAnsi"/>
          <w:sz w:val="24"/>
          <w:szCs w:val="24"/>
        </w:rPr>
      </w:pPr>
    </w:p>
    <w:p w14:paraId="44E1E19E" w14:textId="3DFA1C1F" w:rsidR="008C6514" w:rsidRPr="00474552" w:rsidRDefault="005F2C33" w:rsidP="00B92908">
      <w:pPr>
        <w:spacing w:after="0" w:line="340" w:lineRule="exact"/>
        <w:jc w:val="center"/>
        <w:rPr>
          <w:rFonts w:asciiTheme="minorHAnsi" w:hAnsiTheme="minorHAnsi" w:cstheme="minorHAnsi"/>
          <w:sz w:val="24"/>
          <w:szCs w:val="24"/>
        </w:rPr>
      </w:pPr>
      <w:r>
        <w:rPr>
          <w:rFonts w:asciiTheme="minorHAnsi" w:hAnsiTheme="minorHAnsi" w:cstheme="minorHAnsi"/>
          <w:sz w:val="24"/>
          <w:szCs w:val="24"/>
        </w:rPr>
        <w:t>São Paulo</w:t>
      </w:r>
      <w:r w:rsidR="008C6514" w:rsidRPr="00474552">
        <w:rPr>
          <w:rFonts w:asciiTheme="minorHAnsi" w:hAnsiTheme="minorHAnsi" w:cstheme="minorHAnsi"/>
          <w:sz w:val="24"/>
          <w:szCs w:val="24"/>
        </w:rPr>
        <w:t xml:space="preserve">, </w:t>
      </w:r>
      <w:r w:rsidRPr="00593486">
        <w:rPr>
          <w:rFonts w:asciiTheme="minorHAnsi" w:hAnsiTheme="minorHAnsi" w:cstheme="minorHAnsi"/>
          <w:sz w:val="24"/>
          <w:szCs w:val="24"/>
          <w:highlight w:val="yellow"/>
        </w:rPr>
        <w:t>[=]</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de </w:t>
      </w:r>
      <w:r>
        <w:rPr>
          <w:rFonts w:asciiTheme="minorHAnsi" w:hAnsiTheme="minorHAnsi" w:cstheme="minorHAnsi"/>
          <w:sz w:val="24"/>
          <w:szCs w:val="24"/>
        </w:rPr>
        <w:t>agosto</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de 2023.</w:t>
      </w:r>
    </w:p>
    <w:p w14:paraId="28993268" w14:textId="77777777" w:rsidR="008C6514" w:rsidRPr="00474552" w:rsidRDefault="008C6514" w:rsidP="00B92908">
      <w:pPr>
        <w:spacing w:after="0" w:line="340" w:lineRule="exact"/>
        <w:jc w:val="center"/>
        <w:rPr>
          <w:rFonts w:asciiTheme="minorHAnsi" w:hAnsiTheme="minorHAnsi" w:cstheme="minorHAnsi"/>
          <w:sz w:val="24"/>
          <w:szCs w:val="24"/>
        </w:rPr>
      </w:pPr>
    </w:p>
    <w:bookmarkEnd w:id="8"/>
    <w:p w14:paraId="182F889D" w14:textId="77777777" w:rsidR="008C6514" w:rsidRPr="00474552" w:rsidRDefault="008C6514" w:rsidP="00B92908">
      <w:pPr>
        <w:pStyle w:val="Corpo"/>
        <w:spacing w:after="0" w:line="340" w:lineRule="exact"/>
        <w:jc w:val="center"/>
        <w:rPr>
          <w:rStyle w:val="Nenhum"/>
          <w:rFonts w:asciiTheme="minorHAnsi" w:hAnsiTheme="minorHAnsi" w:cstheme="minorHAnsi"/>
          <w:i/>
          <w:sz w:val="24"/>
          <w:szCs w:val="24"/>
          <w:lang w:val="pt-BR"/>
        </w:rPr>
      </w:pPr>
      <w:r w:rsidRPr="00474552">
        <w:rPr>
          <w:rStyle w:val="Nenhum"/>
          <w:rFonts w:asciiTheme="minorHAnsi" w:hAnsiTheme="minorHAnsi" w:cstheme="minorHAnsi"/>
          <w:i/>
          <w:sz w:val="24"/>
          <w:szCs w:val="24"/>
          <w:lang w:val="pt-BR"/>
        </w:rPr>
        <w:t>(Restante desta página intencionalmente deixado em branco)</w:t>
      </w:r>
    </w:p>
    <w:p w14:paraId="7298B7CA" w14:textId="77777777" w:rsidR="008C6514" w:rsidRPr="00474552" w:rsidRDefault="008C6514" w:rsidP="00B92908">
      <w:pPr>
        <w:pStyle w:val="Corpo"/>
        <w:spacing w:after="0" w:line="340" w:lineRule="exact"/>
        <w:jc w:val="center"/>
        <w:rPr>
          <w:rStyle w:val="Nenhum"/>
          <w:rFonts w:asciiTheme="minorHAnsi" w:hAnsiTheme="minorHAnsi" w:cstheme="minorHAnsi"/>
          <w:i/>
          <w:color w:val="auto"/>
          <w:sz w:val="24"/>
          <w:szCs w:val="24"/>
          <w:bdr w:val="none" w:sz="0" w:space="0" w:color="auto"/>
          <w:lang w:val="pt-BR"/>
        </w:rPr>
      </w:pPr>
      <w:r w:rsidRPr="00474552">
        <w:rPr>
          <w:rStyle w:val="Nenhum"/>
          <w:rFonts w:asciiTheme="minorHAnsi" w:hAnsiTheme="minorHAnsi" w:cstheme="minorHAnsi"/>
          <w:i/>
          <w:sz w:val="24"/>
          <w:szCs w:val="24"/>
          <w:lang w:val="pt-BR"/>
        </w:rPr>
        <w:t>(Segue página de assinatura)</w:t>
      </w:r>
    </w:p>
    <w:p w14:paraId="67CFA888" w14:textId="77777777" w:rsidR="008C6514" w:rsidRPr="00474552" w:rsidRDefault="008C6514" w:rsidP="00B92908">
      <w:pPr>
        <w:pStyle w:val="Corpo"/>
        <w:spacing w:after="0" w:line="340" w:lineRule="exact"/>
        <w:rPr>
          <w:rStyle w:val="Nenhum"/>
          <w:rFonts w:asciiTheme="minorHAnsi" w:eastAsia="Arial" w:hAnsiTheme="minorHAnsi" w:cstheme="minorHAnsi"/>
          <w:sz w:val="24"/>
          <w:szCs w:val="24"/>
          <w:lang w:val="pt-BR"/>
        </w:rPr>
      </w:pPr>
    </w:p>
    <w:p w14:paraId="248155D4" w14:textId="77777777" w:rsidR="008C6514" w:rsidRPr="00474552" w:rsidRDefault="008C6514" w:rsidP="00B92908">
      <w:pPr>
        <w:pStyle w:val="Corpo"/>
        <w:spacing w:after="0" w:line="340" w:lineRule="exact"/>
        <w:rPr>
          <w:rStyle w:val="Nenhum"/>
          <w:rFonts w:asciiTheme="minorHAnsi" w:eastAsia="Arial" w:hAnsiTheme="minorHAnsi" w:cstheme="minorHAnsi"/>
          <w:sz w:val="24"/>
          <w:szCs w:val="24"/>
          <w:lang w:val="pt-BR"/>
        </w:rPr>
      </w:pPr>
    </w:p>
    <w:p w14:paraId="10C6797D"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r w:rsidRPr="00474552">
        <w:rPr>
          <w:rStyle w:val="Nenhum"/>
          <w:rFonts w:asciiTheme="minorHAnsi" w:hAnsiTheme="minorHAnsi" w:cstheme="minorHAnsi"/>
          <w:sz w:val="24"/>
          <w:szCs w:val="24"/>
          <w:lang w:val="pt-BR"/>
        </w:rPr>
        <w:br w:type="page"/>
      </w:r>
    </w:p>
    <w:p w14:paraId="292F713A" w14:textId="335D5CE7" w:rsidR="008C6514" w:rsidRPr="00474552" w:rsidRDefault="008C6514" w:rsidP="00B92908">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t>(</w:t>
      </w:r>
      <w:r w:rsidRPr="00474552">
        <w:rPr>
          <w:rStyle w:val="Nenhum"/>
          <w:rFonts w:asciiTheme="minorHAnsi" w:hAnsiTheme="minorHAnsi" w:cstheme="minorHAnsi"/>
          <w:i/>
          <w:iCs/>
          <w:sz w:val="24"/>
          <w:szCs w:val="24"/>
          <w:lang w:val="pt-BR"/>
        </w:rPr>
        <w:t xml:space="preserve">Página </w:t>
      </w:r>
      <w:r w:rsidR="00FF4A8D">
        <w:rPr>
          <w:rStyle w:val="Nenhum"/>
          <w:rFonts w:asciiTheme="minorHAnsi" w:hAnsiTheme="minorHAnsi" w:cstheme="minorHAnsi"/>
          <w:i/>
          <w:iCs/>
          <w:sz w:val="24"/>
          <w:szCs w:val="24"/>
          <w:lang w:val="pt-BR"/>
        </w:rPr>
        <w:t xml:space="preserve">de Assinaturas </w:t>
      </w:r>
      <w:r w:rsidRPr="00474552">
        <w:rPr>
          <w:rStyle w:val="Nenhum"/>
          <w:rFonts w:asciiTheme="minorHAnsi" w:hAnsiTheme="minorHAnsi" w:cstheme="minorHAnsi"/>
          <w:i/>
          <w:iCs/>
          <w:sz w:val="24"/>
          <w:szCs w:val="24"/>
          <w:lang w:val="pt-BR"/>
        </w:rPr>
        <w:t>1/</w:t>
      </w:r>
      <w:r w:rsidR="00FF4A8D">
        <w:rPr>
          <w:rStyle w:val="Nenhum"/>
          <w:rFonts w:asciiTheme="minorHAnsi" w:hAnsiTheme="minorHAnsi" w:cstheme="minorHAnsi"/>
          <w:i/>
          <w:iCs/>
          <w:sz w:val="24"/>
          <w:szCs w:val="24"/>
          <w:lang w:val="pt-BR"/>
        </w:rPr>
        <w:t>4</w:t>
      </w:r>
      <w:r w:rsidRPr="00474552">
        <w:rPr>
          <w:rStyle w:val="Nenhum"/>
          <w:rFonts w:asciiTheme="minorHAnsi" w:hAnsiTheme="minorHAnsi" w:cstheme="minorHAnsi"/>
          <w:i/>
          <w:iCs/>
          <w:sz w:val="24"/>
          <w:szCs w:val="24"/>
          <w:lang w:val="pt-BR"/>
        </w:rPr>
        <w:t xml:space="preserve"> do </w:t>
      </w:r>
      <w:r w:rsidR="005F2C33">
        <w:rPr>
          <w:rStyle w:val="Nenhum"/>
          <w:rFonts w:asciiTheme="minorHAnsi" w:hAnsiTheme="minorHAnsi" w:cstheme="minorHAnsi"/>
          <w:i/>
          <w:iCs/>
          <w:sz w:val="24"/>
          <w:szCs w:val="24"/>
          <w:lang w:val="pt-BR"/>
        </w:rPr>
        <w:t>“</w:t>
      </w:r>
      <w:r w:rsidR="00FF4A8D" w:rsidRPr="00703B01">
        <w:rPr>
          <w:rFonts w:asciiTheme="minorHAnsi" w:hAnsiTheme="minorHAnsi" w:cstheme="minorHAnsi"/>
          <w:i/>
          <w:sz w:val="24"/>
          <w:szCs w:val="24"/>
          <w:lang w:val="pt-BR"/>
        </w:rPr>
        <w:t xml:space="preserve">Primeiro Aditamento ao </w:t>
      </w:r>
      <w:r w:rsidR="00FF4A8D" w:rsidRPr="00703B01">
        <w:rPr>
          <w:rFonts w:asciiTheme="minorHAnsi" w:hAnsiTheme="minorHAnsi" w:cstheme="minorHAnsi"/>
          <w:i/>
          <w:iCs/>
          <w:sz w:val="24"/>
          <w:szCs w:val="24"/>
          <w:lang w:val="pt-BR"/>
        </w:rPr>
        <w:t>Instrumento Particular de Cessão Fiduciária de Direitos Creditórios e Outras Avenças</w:t>
      </w:r>
      <w:r w:rsidR="005F2C33">
        <w:rPr>
          <w:rFonts w:asciiTheme="minorHAnsi" w:hAnsiTheme="minorHAnsi" w:cstheme="minorHAnsi"/>
          <w:i/>
          <w:sz w:val="24"/>
          <w:szCs w:val="24"/>
          <w:lang w:val="pt-BR"/>
        </w:rPr>
        <w:t>”</w:t>
      </w:r>
      <w:r w:rsidRPr="00474552">
        <w:rPr>
          <w:rStyle w:val="Nenhum"/>
          <w:rFonts w:asciiTheme="minorHAnsi" w:hAnsiTheme="minorHAnsi" w:cstheme="minorHAnsi"/>
          <w:i/>
          <w:iCs/>
          <w:sz w:val="24"/>
          <w:szCs w:val="24"/>
          <w:lang w:val="pt-BR"/>
        </w:rPr>
        <w:t>)</w:t>
      </w:r>
      <w:r w:rsidRPr="00474552" w:rsidDel="006D6658">
        <w:rPr>
          <w:rStyle w:val="Nenhum"/>
          <w:rFonts w:asciiTheme="minorHAnsi" w:hAnsiTheme="minorHAnsi" w:cstheme="minorHAnsi"/>
          <w:sz w:val="24"/>
          <w:szCs w:val="24"/>
          <w:lang w:val="pt-BR"/>
        </w:rPr>
        <w:t xml:space="preserve"> </w:t>
      </w:r>
    </w:p>
    <w:p w14:paraId="1C17761F" w14:textId="77777777" w:rsidR="008C6514" w:rsidRPr="00474552" w:rsidRDefault="008C6514" w:rsidP="00B92908">
      <w:pPr>
        <w:pStyle w:val="Corpo"/>
        <w:spacing w:after="0" w:line="340" w:lineRule="exact"/>
        <w:jc w:val="center"/>
        <w:rPr>
          <w:rFonts w:asciiTheme="minorHAnsi" w:hAnsiTheme="minorHAnsi" w:cstheme="minorHAnsi"/>
          <w:sz w:val="24"/>
          <w:szCs w:val="24"/>
          <w:lang w:val="pt-BR"/>
        </w:rPr>
      </w:pPr>
    </w:p>
    <w:tbl>
      <w:tblPr>
        <w:tblW w:w="9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5433"/>
      </w:tblGrid>
      <w:tr w:rsidR="008C6514" w:rsidRPr="00474552" w14:paraId="22EAEFB5" w14:textId="77777777" w:rsidTr="00593486">
        <w:trPr>
          <w:trHeight w:val="229"/>
        </w:trPr>
        <w:tc>
          <w:tcPr>
            <w:tcW w:w="9815" w:type="dxa"/>
            <w:gridSpan w:val="2"/>
            <w:tcBorders>
              <w:top w:val="nil"/>
              <w:left w:val="nil"/>
              <w:bottom w:val="nil"/>
              <w:right w:val="nil"/>
            </w:tcBorders>
            <w:shd w:val="clear" w:color="auto" w:fill="auto"/>
            <w:tcMar>
              <w:top w:w="80" w:type="dxa"/>
              <w:left w:w="80" w:type="dxa"/>
              <w:bottom w:w="80" w:type="dxa"/>
              <w:right w:w="80" w:type="dxa"/>
            </w:tcMar>
          </w:tcPr>
          <w:p w14:paraId="4B1B31A4" w14:textId="199E268E" w:rsidR="008C6514" w:rsidRPr="00474552" w:rsidRDefault="005F2C33" w:rsidP="00B92908">
            <w:pPr>
              <w:pStyle w:val="Corpo"/>
              <w:spacing w:after="0" w:line="340" w:lineRule="exact"/>
              <w:jc w:val="center"/>
              <w:rPr>
                <w:rStyle w:val="Nenhum"/>
                <w:rFonts w:asciiTheme="minorHAnsi" w:hAnsiTheme="minorHAnsi" w:cstheme="minorHAnsi"/>
                <w:b/>
                <w:bCs/>
                <w:sz w:val="24"/>
                <w:szCs w:val="24"/>
                <w:lang w:val="pt-BR"/>
              </w:rPr>
            </w:pPr>
            <w:r w:rsidRPr="00A87FA0">
              <w:rPr>
                <w:rFonts w:asciiTheme="minorHAnsi" w:hAnsiTheme="minorHAnsi" w:cstheme="minorHAnsi"/>
                <w:b/>
              </w:rPr>
              <w:t>ODONTOCOMPANY FRANCHISING S.A.</w:t>
            </w:r>
          </w:p>
          <w:p w14:paraId="6D4C4B20" w14:textId="33A2E7BE" w:rsidR="008C6514" w:rsidRPr="00474552" w:rsidRDefault="008C6514" w:rsidP="00B92908">
            <w:pPr>
              <w:pStyle w:val="Corpo"/>
              <w:spacing w:after="0" w:line="340" w:lineRule="exact"/>
              <w:jc w:val="center"/>
              <w:rPr>
                <w:rFonts w:asciiTheme="minorHAnsi" w:hAnsiTheme="minorHAnsi" w:cstheme="minorHAnsi"/>
                <w:sz w:val="24"/>
                <w:szCs w:val="24"/>
                <w:lang w:val="pt-BR"/>
              </w:rPr>
            </w:pPr>
          </w:p>
        </w:tc>
      </w:tr>
      <w:tr w:rsidR="008C6514" w:rsidRPr="00474552" w14:paraId="7A46902A" w14:textId="77777777" w:rsidTr="00593486">
        <w:trPr>
          <w:trHeight w:val="1342"/>
        </w:trPr>
        <w:tc>
          <w:tcPr>
            <w:tcW w:w="4382" w:type="dxa"/>
            <w:tcBorders>
              <w:top w:val="nil"/>
              <w:left w:val="nil"/>
              <w:bottom w:val="nil"/>
              <w:right w:val="nil"/>
            </w:tcBorders>
            <w:shd w:val="clear" w:color="auto" w:fill="auto"/>
            <w:tcMar>
              <w:top w:w="80" w:type="dxa"/>
              <w:left w:w="80" w:type="dxa"/>
              <w:bottom w:w="80" w:type="dxa"/>
              <w:right w:w="80" w:type="dxa"/>
            </w:tcMar>
          </w:tcPr>
          <w:p w14:paraId="29FAA794" w14:textId="77777777" w:rsidR="008C6514" w:rsidRPr="00474552" w:rsidRDefault="008C6514" w:rsidP="00B92908">
            <w:pPr>
              <w:pStyle w:val="Default"/>
              <w:spacing w:line="340" w:lineRule="exact"/>
              <w:rPr>
                <w:rStyle w:val="Nenhum"/>
                <w:rFonts w:asciiTheme="minorHAnsi" w:eastAsia="Arial" w:hAnsiTheme="minorHAnsi" w:cstheme="minorHAnsi"/>
                <w:color w:val="auto"/>
              </w:rPr>
            </w:pPr>
          </w:p>
          <w:p w14:paraId="0FFBB4C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4653123B"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7BEF3666"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c>
          <w:tcPr>
            <w:tcW w:w="5433" w:type="dxa"/>
            <w:tcBorders>
              <w:top w:val="nil"/>
              <w:left w:val="nil"/>
              <w:bottom w:val="nil"/>
              <w:right w:val="nil"/>
            </w:tcBorders>
            <w:shd w:val="clear" w:color="auto" w:fill="auto"/>
            <w:tcMar>
              <w:top w:w="80" w:type="dxa"/>
              <w:left w:w="80" w:type="dxa"/>
              <w:bottom w:w="80" w:type="dxa"/>
              <w:right w:w="80" w:type="dxa"/>
            </w:tcMar>
          </w:tcPr>
          <w:p w14:paraId="2306E683"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5AC5E204"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747C96A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6AAC97C0"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r>
    </w:tbl>
    <w:p w14:paraId="49A718B9" w14:textId="77777777" w:rsidR="00FF4A8D" w:rsidRDefault="00FF4A8D" w:rsidP="00FF4A8D">
      <w:pPr>
        <w:pStyle w:val="Corpo"/>
        <w:spacing w:after="0" w:line="340" w:lineRule="exact"/>
        <w:rPr>
          <w:rStyle w:val="Nenhum"/>
          <w:rFonts w:asciiTheme="minorHAnsi" w:hAnsiTheme="minorHAnsi" w:cstheme="minorHAnsi"/>
          <w:sz w:val="24"/>
          <w:szCs w:val="24"/>
          <w:lang w:val="pt-BR"/>
        </w:rPr>
      </w:pPr>
    </w:p>
    <w:p w14:paraId="1970870C" w14:textId="77777777" w:rsidR="00FF4A8D" w:rsidRDefault="00FF4A8D">
      <w:pPr>
        <w:spacing w:after="0" w:line="300" w:lineRule="exact"/>
        <w:jc w:val="left"/>
        <w:rPr>
          <w:rStyle w:val="Nenhum"/>
          <w:rFonts w:asciiTheme="minorHAnsi" w:eastAsia="Arial Unicode MS" w:hAnsiTheme="minorHAnsi" w:cstheme="minorHAnsi"/>
          <w:color w:val="000000"/>
          <w:sz w:val="24"/>
          <w:szCs w:val="24"/>
          <w:u w:color="000000"/>
          <w:bdr w:val="nil"/>
          <w:lang w:eastAsia="en-US"/>
        </w:rPr>
      </w:pPr>
      <w:r>
        <w:rPr>
          <w:rStyle w:val="Nenhum"/>
          <w:rFonts w:asciiTheme="minorHAnsi" w:hAnsiTheme="minorHAnsi" w:cstheme="minorHAnsi"/>
          <w:sz w:val="24"/>
          <w:szCs w:val="24"/>
        </w:rPr>
        <w:br w:type="page"/>
      </w:r>
    </w:p>
    <w:p w14:paraId="3A33D462" w14:textId="699131E3" w:rsidR="00FF4A8D" w:rsidRPr="00474552" w:rsidRDefault="00FF4A8D" w:rsidP="00FF4A8D">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t>(</w:t>
      </w:r>
      <w:r w:rsidRPr="00474552">
        <w:rPr>
          <w:rStyle w:val="Nenhum"/>
          <w:rFonts w:asciiTheme="minorHAnsi" w:hAnsiTheme="minorHAnsi" w:cstheme="minorHAnsi"/>
          <w:i/>
          <w:iCs/>
          <w:sz w:val="24"/>
          <w:szCs w:val="24"/>
          <w:lang w:val="pt-BR"/>
        </w:rPr>
        <w:t xml:space="preserve">Página </w:t>
      </w:r>
      <w:r>
        <w:rPr>
          <w:rStyle w:val="Nenhum"/>
          <w:rFonts w:asciiTheme="minorHAnsi" w:hAnsiTheme="minorHAnsi" w:cstheme="minorHAnsi"/>
          <w:i/>
          <w:iCs/>
          <w:sz w:val="24"/>
          <w:szCs w:val="24"/>
          <w:lang w:val="pt-BR"/>
        </w:rPr>
        <w:t>de Assinaturas 2</w:t>
      </w:r>
      <w:r w:rsidRPr="00474552">
        <w:rPr>
          <w:rStyle w:val="Nenhum"/>
          <w:rFonts w:asciiTheme="minorHAnsi" w:hAnsiTheme="minorHAnsi" w:cstheme="minorHAnsi"/>
          <w:i/>
          <w:iCs/>
          <w:sz w:val="24"/>
          <w:szCs w:val="24"/>
          <w:lang w:val="pt-BR"/>
        </w:rPr>
        <w:t>/</w:t>
      </w:r>
      <w:r>
        <w:rPr>
          <w:rStyle w:val="Nenhum"/>
          <w:rFonts w:asciiTheme="minorHAnsi" w:hAnsiTheme="minorHAnsi" w:cstheme="minorHAnsi"/>
          <w:i/>
          <w:iCs/>
          <w:sz w:val="24"/>
          <w:szCs w:val="24"/>
          <w:lang w:val="pt-BR"/>
        </w:rPr>
        <w:t>4</w:t>
      </w:r>
      <w:r w:rsidRPr="00474552">
        <w:rPr>
          <w:rStyle w:val="Nenhum"/>
          <w:rFonts w:asciiTheme="minorHAnsi" w:hAnsiTheme="minorHAnsi" w:cstheme="minorHAnsi"/>
          <w:i/>
          <w:iCs/>
          <w:sz w:val="24"/>
          <w:szCs w:val="24"/>
          <w:lang w:val="pt-BR"/>
        </w:rPr>
        <w:t xml:space="preserve"> do </w:t>
      </w:r>
      <w:r>
        <w:rPr>
          <w:rStyle w:val="Nenhum"/>
          <w:rFonts w:asciiTheme="minorHAnsi" w:hAnsiTheme="minorHAnsi" w:cstheme="minorHAnsi"/>
          <w:i/>
          <w:iCs/>
          <w:sz w:val="24"/>
          <w:szCs w:val="24"/>
          <w:lang w:val="pt-BR"/>
        </w:rPr>
        <w:t>“</w:t>
      </w:r>
      <w:r w:rsidRPr="0020447D">
        <w:rPr>
          <w:rFonts w:asciiTheme="minorHAnsi" w:hAnsiTheme="minorHAnsi" w:cstheme="minorHAnsi"/>
          <w:i/>
          <w:sz w:val="24"/>
          <w:szCs w:val="24"/>
          <w:lang w:val="pt-BR"/>
        </w:rPr>
        <w:t xml:space="preserve">Primeiro Aditamento ao </w:t>
      </w:r>
      <w:r w:rsidRPr="0020447D">
        <w:rPr>
          <w:rFonts w:asciiTheme="minorHAnsi" w:hAnsiTheme="minorHAnsi" w:cstheme="minorHAnsi"/>
          <w:i/>
          <w:iCs/>
          <w:sz w:val="24"/>
          <w:szCs w:val="24"/>
          <w:lang w:val="pt-BR"/>
        </w:rPr>
        <w:t>Instrumento Particular de Cessão Fiduciária de Direitos Creditórios e Outras Avenças</w:t>
      </w:r>
      <w:r>
        <w:rPr>
          <w:rFonts w:asciiTheme="minorHAnsi" w:hAnsiTheme="minorHAnsi" w:cstheme="minorHAnsi"/>
          <w:i/>
          <w:sz w:val="24"/>
          <w:szCs w:val="24"/>
          <w:lang w:val="pt-BR"/>
        </w:rPr>
        <w:t>”</w:t>
      </w:r>
      <w:r w:rsidRPr="00474552">
        <w:rPr>
          <w:rStyle w:val="Nenhum"/>
          <w:rFonts w:asciiTheme="minorHAnsi" w:hAnsiTheme="minorHAnsi" w:cstheme="minorHAnsi"/>
          <w:i/>
          <w:iCs/>
          <w:sz w:val="24"/>
          <w:szCs w:val="24"/>
          <w:lang w:val="pt-BR"/>
        </w:rPr>
        <w:t>)</w:t>
      </w:r>
      <w:r w:rsidRPr="00474552" w:rsidDel="006D6658">
        <w:rPr>
          <w:rStyle w:val="Nenhum"/>
          <w:rFonts w:asciiTheme="minorHAnsi" w:hAnsiTheme="minorHAnsi" w:cstheme="minorHAnsi"/>
          <w:sz w:val="24"/>
          <w:szCs w:val="24"/>
          <w:lang w:val="pt-BR"/>
        </w:rPr>
        <w:t xml:space="preserve"> </w:t>
      </w:r>
    </w:p>
    <w:p w14:paraId="71677F6D" w14:textId="77777777" w:rsidR="00FF4A8D" w:rsidRPr="00474552" w:rsidRDefault="00FF4A8D" w:rsidP="00FF4A8D">
      <w:pPr>
        <w:pStyle w:val="Corpo"/>
        <w:spacing w:after="0" w:line="340" w:lineRule="exact"/>
        <w:jc w:val="center"/>
        <w:rPr>
          <w:rFonts w:asciiTheme="minorHAnsi" w:hAnsiTheme="minorHAnsi" w:cstheme="minorHAnsi"/>
          <w:sz w:val="24"/>
          <w:szCs w:val="24"/>
          <w:lang w:val="pt-BR"/>
        </w:rPr>
      </w:pPr>
    </w:p>
    <w:tbl>
      <w:tblPr>
        <w:tblW w:w="9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5433"/>
      </w:tblGrid>
      <w:tr w:rsidR="00FF4A8D" w:rsidRPr="00474552" w14:paraId="6B1A90C2" w14:textId="77777777" w:rsidTr="0020447D">
        <w:trPr>
          <w:trHeight w:val="229"/>
        </w:trPr>
        <w:tc>
          <w:tcPr>
            <w:tcW w:w="9815" w:type="dxa"/>
            <w:gridSpan w:val="2"/>
            <w:tcBorders>
              <w:top w:val="nil"/>
              <w:left w:val="nil"/>
              <w:bottom w:val="nil"/>
              <w:right w:val="nil"/>
            </w:tcBorders>
            <w:shd w:val="clear" w:color="auto" w:fill="auto"/>
            <w:tcMar>
              <w:top w:w="80" w:type="dxa"/>
              <w:left w:w="80" w:type="dxa"/>
              <w:bottom w:w="80" w:type="dxa"/>
              <w:right w:w="80" w:type="dxa"/>
            </w:tcMar>
          </w:tcPr>
          <w:p w14:paraId="2A9071E8" w14:textId="1F6870FF" w:rsidR="00FF4A8D" w:rsidRPr="00474552" w:rsidRDefault="00FF4A8D" w:rsidP="0020447D">
            <w:pPr>
              <w:pStyle w:val="Corpo"/>
              <w:spacing w:after="0" w:line="340" w:lineRule="exact"/>
              <w:jc w:val="center"/>
              <w:rPr>
                <w:rStyle w:val="Nenhum"/>
                <w:rFonts w:asciiTheme="minorHAnsi" w:hAnsiTheme="minorHAnsi" w:cstheme="minorHAnsi"/>
                <w:b/>
                <w:bCs/>
                <w:sz w:val="24"/>
                <w:szCs w:val="24"/>
                <w:lang w:val="pt-BR"/>
              </w:rPr>
            </w:pPr>
            <w:r w:rsidRPr="00EE56F1">
              <w:rPr>
                <w:rFonts w:asciiTheme="minorHAnsi" w:hAnsiTheme="minorHAnsi" w:cstheme="minorHAnsi"/>
                <w:b/>
                <w:smallCaps/>
                <w:lang w:val="es-ES"/>
              </w:rPr>
              <w:t>ORAL SIN FRANQUIAS S.A.</w:t>
            </w:r>
          </w:p>
          <w:p w14:paraId="026EAE1F" w14:textId="77777777" w:rsidR="00FF4A8D" w:rsidRPr="00474552" w:rsidRDefault="00FF4A8D" w:rsidP="0020447D">
            <w:pPr>
              <w:pStyle w:val="Corpo"/>
              <w:spacing w:after="0" w:line="340" w:lineRule="exact"/>
              <w:jc w:val="center"/>
              <w:rPr>
                <w:rFonts w:asciiTheme="minorHAnsi" w:hAnsiTheme="minorHAnsi" w:cstheme="minorHAnsi"/>
                <w:sz w:val="24"/>
                <w:szCs w:val="24"/>
                <w:lang w:val="pt-BR"/>
              </w:rPr>
            </w:pPr>
          </w:p>
        </w:tc>
      </w:tr>
      <w:tr w:rsidR="00FF4A8D" w:rsidRPr="00474552" w14:paraId="4AC7CF37" w14:textId="77777777" w:rsidTr="0020447D">
        <w:trPr>
          <w:trHeight w:val="1342"/>
        </w:trPr>
        <w:tc>
          <w:tcPr>
            <w:tcW w:w="4382" w:type="dxa"/>
            <w:tcBorders>
              <w:top w:val="nil"/>
              <w:left w:val="nil"/>
              <w:bottom w:val="nil"/>
              <w:right w:val="nil"/>
            </w:tcBorders>
            <w:shd w:val="clear" w:color="auto" w:fill="auto"/>
            <w:tcMar>
              <w:top w:w="80" w:type="dxa"/>
              <w:left w:w="80" w:type="dxa"/>
              <w:bottom w:w="80" w:type="dxa"/>
              <w:right w:w="80" w:type="dxa"/>
            </w:tcMar>
          </w:tcPr>
          <w:p w14:paraId="753056D7" w14:textId="77777777" w:rsidR="00FF4A8D" w:rsidRPr="00474552" w:rsidRDefault="00FF4A8D" w:rsidP="0020447D">
            <w:pPr>
              <w:pStyle w:val="Default"/>
              <w:spacing w:line="340" w:lineRule="exact"/>
              <w:rPr>
                <w:rStyle w:val="Nenhum"/>
                <w:rFonts w:asciiTheme="minorHAnsi" w:eastAsia="Arial" w:hAnsiTheme="minorHAnsi" w:cstheme="minorHAnsi"/>
                <w:color w:val="auto"/>
              </w:rPr>
            </w:pPr>
          </w:p>
          <w:p w14:paraId="5A806A51" w14:textId="77777777" w:rsidR="00FF4A8D" w:rsidRPr="00474552" w:rsidRDefault="00FF4A8D" w:rsidP="0020447D">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0B7B9B24" w14:textId="77777777" w:rsidR="00FF4A8D" w:rsidRPr="00474552" w:rsidRDefault="00FF4A8D" w:rsidP="0020447D">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1FFB7545" w14:textId="77777777" w:rsidR="00FF4A8D" w:rsidRPr="00474552" w:rsidRDefault="00FF4A8D" w:rsidP="0020447D">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c>
          <w:tcPr>
            <w:tcW w:w="5433" w:type="dxa"/>
            <w:tcBorders>
              <w:top w:val="nil"/>
              <w:left w:val="nil"/>
              <w:bottom w:val="nil"/>
              <w:right w:val="nil"/>
            </w:tcBorders>
            <w:shd w:val="clear" w:color="auto" w:fill="auto"/>
            <w:tcMar>
              <w:top w:w="80" w:type="dxa"/>
              <w:left w:w="80" w:type="dxa"/>
              <w:bottom w:w="80" w:type="dxa"/>
              <w:right w:w="80" w:type="dxa"/>
            </w:tcMar>
          </w:tcPr>
          <w:p w14:paraId="0CCE8C98" w14:textId="77777777" w:rsidR="00FF4A8D" w:rsidRPr="00474552" w:rsidRDefault="00FF4A8D" w:rsidP="0020447D">
            <w:pPr>
              <w:pStyle w:val="Default"/>
              <w:spacing w:line="340" w:lineRule="exact"/>
              <w:rPr>
                <w:rStyle w:val="Nenhum"/>
                <w:rFonts w:asciiTheme="minorHAnsi" w:eastAsia="Arial" w:hAnsiTheme="minorHAnsi" w:cstheme="minorHAnsi"/>
              </w:rPr>
            </w:pPr>
          </w:p>
          <w:p w14:paraId="6AF4635B" w14:textId="77777777" w:rsidR="00FF4A8D" w:rsidRPr="00474552" w:rsidRDefault="00FF4A8D" w:rsidP="0020447D">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3C94867B" w14:textId="77777777" w:rsidR="00FF4A8D" w:rsidRPr="00474552" w:rsidRDefault="00FF4A8D" w:rsidP="0020447D">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28F7F03B" w14:textId="77777777" w:rsidR="00FF4A8D" w:rsidRPr="00474552" w:rsidRDefault="00FF4A8D" w:rsidP="0020447D">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r>
    </w:tbl>
    <w:p w14:paraId="00159F49" w14:textId="62ACE550" w:rsidR="008C6514" w:rsidRPr="00474552" w:rsidRDefault="00FF4A8D" w:rsidP="00B92908">
      <w:pPr>
        <w:pStyle w:val="Corpo"/>
        <w:spacing w:after="0" w:line="340" w:lineRule="exact"/>
        <w:rPr>
          <w:rStyle w:val="Nenhum"/>
          <w:rFonts w:asciiTheme="minorHAnsi" w:hAnsiTheme="minorHAnsi" w:cstheme="minorHAnsi"/>
          <w:color w:val="auto"/>
          <w:sz w:val="24"/>
          <w:szCs w:val="24"/>
          <w:bdr w:val="none" w:sz="0" w:space="0" w:color="auto"/>
          <w:lang w:val="pt-BR"/>
        </w:rPr>
      </w:pPr>
      <w:r w:rsidRPr="00474552">
        <w:rPr>
          <w:rStyle w:val="Nenhum"/>
          <w:rFonts w:asciiTheme="minorHAnsi" w:hAnsiTheme="minorHAnsi" w:cstheme="minorHAnsi"/>
          <w:sz w:val="24"/>
          <w:szCs w:val="24"/>
          <w:lang w:val="pt-BR"/>
        </w:rPr>
        <w:br w:type="page"/>
      </w:r>
    </w:p>
    <w:p w14:paraId="588C6918" w14:textId="6B1FD366" w:rsidR="008C6514" w:rsidRPr="00474552" w:rsidRDefault="008C6514" w:rsidP="00B92908">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t>(</w:t>
      </w:r>
      <w:r w:rsidR="00FF4A8D" w:rsidRPr="00474552">
        <w:rPr>
          <w:rStyle w:val="Nenhum"/>
          <w:rFonts w:asciiTheme="minorHAnsi" w:hAnsiTheme="minorHAnsi" w:cstheme="minorHAnsi"/>
          <w:i/>
          <w:iCs/>
          <w:sz w:val="24"/>
          <w:szCs w:val="24"/>
          <w:lang w:val="pt-BR"/>
        </w:rPr>
        <w:t xml:space="preserve">Página </w:t>
      </w:r>
      <w:r w:rsidR="00FF4A8D">
        <w:rPr>
          <w:rStyle w:val="Nenhum"/>
          <w:rFonts w:asciiTheme="minorHAnsi" w:hAnsiTheme="minorHAnsi" w:cstheme="minorHAnsi"/>
          <w:i/>
          <w:iCs/>
          <w:sz w:val="24"/>
          <w:szCs w:val="24"/>
          <w:lang w:val="pt-BR"/>
        </w:rPr>
        <w:t>de Assinaturas</w:t>
      </w:r>
      <w:r w:rsidRPr="00474552">
        <w:rPr>
          <w:rStyle w:val="Nenhum"/>
          <w:rFonts w:asciiTheme="minorHAnsi" w:hAnsiTheme="minorHAnsi" w:cstheme="minorHAnsi"/>
          <w:i/>
          <w:iCs/>
          <w:sz w:val="24"/>
          <w:szCs w:val="24"/>
          <w:lang w:val="pt-BR"/>
        </w:rPr>
        <w:t xml:space="preserve"> </w:t>
      </w:r>
      <w:r w:rsidR="00FF4A8D">
        <w:rPr>
          <w:rStyle w:val="Nenhum"/>
          <w:rFonts w:asciiTheme="minorHAnsi" w:hAnsiTheme="minorHAnsi" w:cstheme="minorHAnsi"/>
          <w:i/>
          <w:iCs/>
          <w:sz w:val="24"/>
          <w:szCs w:val="24"/>
          <w:lang w:val="pt-BR"/>
        </w:rPr>
        <w:t>3</w:t>
      </w:r>
      <w:r w:rsidRPr="00474552">
        <w:rPr>
          <w:rStyle w:val="Nenhum"/>
          <w:rFonts w:asciiTheme="minorHAnsi" w:hAnsiTheme="minorHAnsi" w:cstheme="minorHAnsi"/>
          <w:i/>
          <w:iCs/>
          <w:sz w:val="24"/>
          <w:szCs w:val="24"/>
          <w:lang w:val="pt-BR"/>
        </w:rPr>
        <w:t>/</w:t>
      </w:r>
      <w:r w:rsidR="00FF4A8D">
        <w:rPr>
          <w:rStyle w:val="Nenhum"/>
          <w:rFonts w:asciiTheme="minorHAnsi" w:hAnsiTheme="minorHAnsi" w:cstheme="minorHAnsi"/>
          <w:i/>
          <w:iCs/>
          <w:sz w:val="24"/>
          <w:szCs w:val="24"/>
          <w:lang w:val="pt-BR"/>
        </w:rPr>
        <w:t>4</w:t>
      </w:r>
      <w:r w:rsidRPr="00474552">
        <w:rPr>
          <w:rStyle w:val="Nenhum"/>
          <w:rFonts w:asciiTheme="minorHAnsi" w:hAnsiTheme="minorHAnsi" w:cstheme="minorHAnsi"/>
          <w:i/>
          <w:iCs/>
          <w:sz w:val="24"/>
          <w:szCs w:val="24"/>
          <w:lang w:val="pt-BR"/>
        </w:rPr>
        <w:t xml:space="preserve"> do </w:t>
      </w:r>
      <w:r w:rsidR="005F2C33">
        <w:rPr>
          <w:rStyle w:val="Nenhum"/>
          <w:rFonts w:asciiTheme="minorHAnsi" w:hAnsiTheme="minorHAnsi" w:cstheme="minorHAnsi"/>
          <w:i/>
          <w:iCs/>
          <w:sz w:val="24"/>
          <w:szCs w:val="24"/>
          <w:lang w:val="pt-BR"/>
        </w:rPr>
        <w:t>“</w:t>
      </w:r>
      <w:r w:rsidR="00FF4A8D" w:rsidRPr="00703B01">
        <w:rPr>
          <w:rFonts w:asciiTheme="minorHAnsi" w:hAnsiTheme="minorHAnsi" w:cstheme="minorHAnsi"/>
          <w:i/>
          <w:sz w:val="24"/>
          <w:szCs w:val="24"/>
          <w:lang w:val="pt-BR"/>
        </w:rPr>
        <w:t xml:space="preserve">Primeiro Aditamento ao </w:t>
      </w:r>
      <w:r w:rsidR="00FF4A8D" w:rsidRPr="00703B01">
        <w:rPr>
          <w:rFonts w:asciiTheme="minorHAnsi" w:hAnsiTheme="minorHAnsi" w:cstheme="minorHAnsi"/>
          <w:i/>
          <w:iCs/>
          <w:sz w:val="24"/>
          <w:szCs w:val="24"/>
          <w:lang w:val="pt-BR"/>
        </w:rPr>
        <w:t>Instrumento Particular de Cessão Fiduciária de Direitos Creditórios e Outras Avenças</w:t>
      </w:r>
      <w:r w:rsidR="005F2C33">
        <w:rPr>
          <w:rStyle w:val="Nenhum"/>
          <w:rFonts w:asciiTheme="minorHAnsi" w:hAnsiTheme="minorHAnsi" w:cstheme="minorHAnsi"/>
          <w:i/>
          <w:iCs/>
          <w:sz w:val="24"/>
          <w:szCs w:val="24"/>
          <w:lang w:val="pt-BR"/>
        </w:rPr>
        <w:t>”</w:t>
      </w:r>
      <w:r w:rsidRPr="00474552">
        <w:rPr>
          <w:rStyle w:val="Nenhum"/>
          <w:rFonts w:asciiTheme="minorHAnsi" w:hAnsiTheme="minorHAnsi" w:cstheme="minorHAnsi"/>
          <w:i/>
          <w:iCs/>
          <w:sz w:val="24"/>
          <w:szCs w:val="24"/>
          <w:lang w:val="pt-BR"/>
        </w:rPr>
        <w:t>)</w:t>
      </w:r>
      <w:r w:rsidRPr="00474552" w:rsidDel="006D6658">
        <w:rPr>
          <w:rStyle w:val="Nenhum"/>
          <w:rFonts w:asciiTheme="minorHAnsi" w:hAnsiTheme="minorHAnsi" w:cstheme="minorHAnsi"/>
          <w:sz w:val="24"/>
          <w:szCs w:val="24"/>
          <w:lang w:val="pt-BR"/>
        </w:rPr>
        <w:t xml:space="preserve"> </w:t>
      </w:r>
    </w:p>
    <w:p w14:paraId="1DA892B1" w14:textId="77777777" w:rsidR="008C6514" w:rsidRPr="00474552" w:rsidRDefault="008C6514" w:rsidP="00B92908">
      <w:pPr>
        <w:pStyle w:val="Corpo"/>
        <w:spacing w:after="0" w:line="340" w:lineRule="exact"/>
        <w:jc w:val="center"/>
        <w:rPr>
          <w:rStyle w:val="Nenhum"/>
          <w:rFonts w:asciiTheme="minorHAnsi" w:hAnsiTheme="minorHAnsi" w:cstheme="minorHAnsi"/>
          <w:sz w:val="24"/>
          <w:szCs w:val="24"/>
          <w:lang w:val="pt-BR"/>
        </w:rPr>
      </w:pPr>
    </w:p>
    <w:tbl>
      <w:tblPr>
        <w:tblW w:w="9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5433"/>
      </w:tblGrid>
      <w:tr w:rsidR="008C6514" w:rsidRPr="00474552" w14:paraId="77F364B8" w14:textId="77777777" w:rsidTr="00593486">
        <w:trPr>
          <w:trHeight w:val="1056"/>
        </w:trPr>
        <w:tc>
          <w:tcPr>
            <w:tcW w:w="9815" w:type="dxa"/>
            <w:gridSpan w:val="2"/>
            <w:tcBorders>
              <w:top w:val="nil"/>
              <w:left w:val="nil"/>
              <w:bottom w:val="nil"/>
              <w:right w:val="nil"/>
            </w:tcBorders>
            <w:shd w:val="clear" w:color="auto" w:fill="auto"/>
            <w:tcMar>
              <w:top w:w="80" w:type="dxa"/>
              <w:left w:w="80" w:type="dxa"/>
              <w:bottom w:w="80" w:type="dxa"/>
              <w:right w:w="80" w:type="dxa"/>
            </w:tcMar>
          </w:tcPr>
          <w:p w14:paraId="671050AA" w14:textId="18D2643E" w:rsidR="008C6514" w:rsidRPr="00474552" w:rsidRDefault="005F2C33" w:rsidP="00B92908">
            <w:pPr>
              <w:pStyle w:val="Default"/>
              <w:spacing w:line="340" w:lineRule="exact"/>
              <w:jc w:val="center"/>
              <w:rPr>
                <w:rFonts w:asciiTheme="minorHAnsi" w:hAnsiTheme="minorHAnsi" w:cstheme="minorHAnsi"/>
                <w:i/>
              </w:rPr>
            </w:pPr>
            <w:r w:rsidRPr="00A87FA0">
              <w:rPr>
                <w:rFonts w:asciiTheme="minorHAnsi" w:hAnsiTheme="minorHAnsi" w:cstheme="minorHAnsi"/>
                <w:b/>
              </w:rPr>
              <w:t>SIMPLIFIC PAVARINI DISTRIBUIDORA DE TÍTULOS E VALORES MOBILIÁRIOS LTDA.</w:t>
            </w:r>
          </w:p>
        </w:tc>
      </w:tr>
      <w:tr w:rsidR="008C6514" w:rsidRPr="00474552" w14:paraId="21A2E054" w14:textId="77777777" w:rsidTr="00593486">
        <w:trPr>
          <w:trHeight w:val="1342"/>
        </w:trPr>
        <w:tc>
          <w:tcPr>
            <w:tcW w:w="4382" w:type="dxa"/>
            <w:tcBorders>
              <w:top w:val="nil"/>
              <w:left w:val="nil"/>
              <w:bottom w:val="nil"/>
              <w:right w:val="nil"/>
            </w:tcBorders>
            <w:shd w:val="clear" w:color="auto" w:fill="auto"/>
            <w:tcMar>
              <w:top w:w="80" w:type="dxa"/>
              <w:left w:w="80" w:type="dxa"/>
              <w:bottom w:w="80" w:type="dxa"/>
              <w:right w:w="80" w:type="dxa"/>
            </w:tcMar>
          </w:tcPr>
          <w:p w14:paraId="4F6BD450" w14:textId="77777777" w:rsidR="008C6514" w:rsidRPr="00474552" w:rsidRDefault="008C6514" w:rsidP="00B92908">
            <w:pPr>
              <w:pStyle w:val="Default"/>
              <w:spacing w:line="340" w:lineRule="exact"/>
              <w:rPr>
                <w:rStyle w:val="Nenhum"/>
                <w:rFonts w:asciiTheme="minorHAnsi" w:eastAsia="Arial" w:hAnsiTheme="minorHAnsi" w:cstheme="minorHAnsi"/>
                <w:color w:val="auto"/>
              </w:rPr>
            </w:pPr>
          </w:p>
          <w:p w14:paraId="76BCE96F"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48544880"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646E3608"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c>
          <w:tcPr>
            <w:tcW w:w="5433" w:type="dxa"/>
            <w:tcBorders>
              <w:top w:val="nil"/>
              <w:left w:val="nil"/>
              <w:bottom w:val="nil"/>
              <w:right w:val="nil"/>
            </w:tcBorders>
            <w:shd w:val="clear" w:color="auto" w:fill="auto"/>
            <w:tcMar>
              <w:top w:w="80" w:type="dxa"/>
              <w:left w:w="80" w:type="dxa"/>
              <w:bottom w:w="80" w:type="dxa"/>
              <w:right w:w="80" w:type="dxa"/>
            </w:tcMar>
          </w:tcPr>
          <w:p w14:paraId="731BC172"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0AD92BE0"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4874F4C9"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49DF96A4"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r>
    </w:tbl>
    <w:p w14:paraId="0084CCB0" w14:textId="77777777" w:rsidR="008C6514" w:rsidRPr="00474552" w:rsidRDefault="008C6514" w:rsidP="00B92908">
      <w:pPr>
        <w:spacing w:after="0" w:line="340" w:lineRule="exact"/>
        <w:rPr>
          <w:rStyle w:val="Nenhum"/>
          <w:rFonts w:asciiTheme="minorHAnsi" w:hAnsiTheme="minorHAnsi" w:cstheme="minorHAnsi"/>
          <w:sz w:val="24"/>
          <w:szCs w:val="24"/>
        </w:rPr>
      </w:pPr>
      <w:r w:rsidRPr="00474552">
        <w:rPr>
          <w:rFonts w:asciiTheme="minorHAnsi" w:hAnsiTheme="minorHAnsi" w:cstheme="minorHAnsi"/>
          <w:sz w:val="24"/>
          <w:szCs w:val="24"/>
        </w:rPr>
        <w:br w:type="page"/>
      </w:r>
    </w:p>
    <w:p w14:paraId="01AD2B12" w14:textId="0DE9B31E" w:rsidR="008C6514" w:rsidRPr="00FF4A8D" w:rsidRDefault="008C6514" w:rsidP="00B92908">
      <w:pPr>
        <w:pStyle w:val="Corpo"/>
        <w:spacing w:after="0" w:line="340" w:lineRule="exact"/>
        <w:rPr>
          <w:rStyle w:val="Nenhum"/>
          <w:rFonts w:asciiTheme="minorHAnsi" w:hAnsiTheme="minorHAnsi" w:cstheme="minorHAnsi"/>
          <w:i/>
          <w:iCs/>
          <w:sz w:val="24"/>
          <w:szCs w:val="24"/>
          <w:lang w:val="pt-BR"/>
        </w:rPr>
      </w:pPr>
      <w:r w:rsidRPr="00703B01">
        <w:rPr>
          <w:rStyle w:val="Nenhum"/>
          <w:rFonts w:asciiTheme="minorHAnsi" w:hAnsiTheme="minorHAnsi" w:cstheme="minorHAnsi"/>
          <w:i/>
          <w:iCs/>
          <w:sz w:val="24"/>
          <w:szCs w:val="24"/>
          <w:lang w:val="pt-BR"/>
        </w:rPr>
        <w:t>(</w:t>
      </w:r>
      <w:r w:rsidR="00FF4A8D" w:rsidRPr="00FF4A8D">
        <w:rPr>
          <w:rStyle w:val="Nenhum"/>
          <w:rFonts w:asciiTheme="minorHAnsi" w:hAnsiTheme="minorHAnsi" w:cstheme="minorHAnsi"/>
          <w:i/>
          <w:iCs/>
          <w:sz w:val="24"/>
          <w:szCs w:val="24"/>
          <w:lang w:val="pt-BR"/>
        </w:rPr>
        <w:t xml:space="preserve">Página de Assinaturas </w:t>
      </w:r>
      <w:r w:rsidR="00FF4A8D" w:rsidRPr="00703B01">
        <w:rPr>
          <w:rStyle w:val="Nenhum"/>
          <w:rFonts w:asciiTheme="minorHAnsi" w:hAnsiTheme="minorHAnsi" w:cstheme="minorHAnsi"/>
          <w:i/>
          <w:iCs/>
          <w:sz w:val="24"/>
          <w:szCs w:val="24"/>
          <w:lang w:val="pt-BR"/>
        </w:rPr>
        <w:t xml:space="preserve">4/4 </w:t>
      </w:r>
      <w:r w:rsidRPr="00FF4A8D">
        <w:rPr>
          <w:rStyle w:val="Nenhum"/>
          <w:rFonts w:asciiTheme="minorHAnsi" w:hAnsiTheme="minorHAnsi" w:cstheme="minorHAnsi"/>
          <w:i/>
          <w:iCs/>
          <w:sz w:val="24"/>
          <w:szCs w:val="24"/>
          <w:lang w:val="pt-BR"/>
        </w:rPr>
        <w:t xml:space="preserve">do </w:t>
      </w:r>
      <w:r w:rsidR="00130118" w:rsidRPr="00FF4A8D">
        <w:rPr>
          <w:rStyle w:val="Nenhum"/>
          <w:rFonts w:asciiTheme="minorHAnsi" w:hAnsiTheme="minorHAnsi" w:cstheme="minorHAnsi"/>
          <w:i/>
          <w:iCs/>
          <w:sz w:val="24"/>
          <w:szCs w:val="24"/>
          <w:lang w:val="pt-BR"/>
        </w:rPr>
        <w:t>“</w:t>
      </w:r>
      <w:r w:rsidR="00FF4A8D" w:rsidRPr="00FF4A8D">
        <w:rPr>
          <w:rFonts w:asciiTheme="minorHAnsi" w:hAnsiTheme="minorHAnsi" w:cstheme="minorHAnsi"/>
          <w:i/>
          <w:iCs/>
          <w:sz w:val="24"/>
          <w:szCs w:val="24"/>
          <w:lang w:val="pt-BR"/>
        </w:rPr>
        <w:t>Primeiro Aditamento ao Instrumento Particular de Cessão Fiduciária de Direitos Creditórios e Outras Avenças</w:t>
      </w:r>
      <w:r w:rsidR="005F2C33" w:rsidRPr="00FF4A8D">
        <w:rPr>
          <w:rFonts w:asciiTheme="minorHAnsi" w:hAnsiTheme="minorHAnsi" w:cstheme="minorHAnsi"/>
          <w:i/>
          <w:iCs/>
          <w:sz w:val="24"/>
          <w:szCs w:val="24"/>
          <w:lang w:val="pt-BR"/>
        </w:rPr>
        <w:t>”</w:t>
      </w:r>
      <w:r w:rsidRPr="00FF4A8D">
        <w:rPr>
          <w:rStyle w:val="Nenhum"/>
          <w:rFonts w:asciiTheme="minorHAnsi" w:hAnsiTheme="minorHAnsi" w:cstheme="minorHAnsi"/>
          <w:i/>
          <w:iCs/>
          <w:sz w:val="24"/>
          <w:szCs w:val="24"/>
          <w:lang w:val="pt-BR"/>
        </w:rPr>
        <w:t xml:space="preserve">) </w:t>
      </w:r>
    </w:p>
    <w:p w14:paraId="6B5A0EAE"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p>
    <w:p w14:paraId="2CD3627B"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p>
    <w:p w14:paraId="4475DDF4" w14:textId="77777777" w:rsidR="008C6514" w:rsidRPr="00474552" w:rsidRDefault="008C6514" w:rsidP="00B92908">
      <w:pPr>
        <w:pStyle w:val="Corpo"/>
        <w:spacing w:after="0" w:line="340" w:lineRule="exact"/>
        <w:rPr>
          <w:rStyle w:val="Nenhum"/>
          <w:rFonts w:asciiTheme="minorHAnsi" w:hAnsiTheme="minorHAnsi" w:cstheme="minorHAnsi"/>
          <w:b/>
          <w:sz w:val="24"/>
          <w:szCs w:val="24"/>
          <w:lang w:val="pt-BR"/>
        </w:rPr>
      </w:pPr>
      <w:r w:rsidRPr="00474552">
        <w:rPr>
          <w:rStyle w:val="Nenhum"/>
          <w:rFonts w:asciiTheme="minorHAnsi" w:hAnsiTheme="minorHAnsi" w:cstheme="minorHAnsi"/>
          <w:b/>
          <w:bCs/>
          <w:sz w:val="24"/>
          <w:szCs w:val="24"/>
          <w:lang w:val="pt-BR"/>
        </w:rPr>
        <w:t>Testemunhas</w:t>
      </w:r>
    </w:p>
    <w:p w14:paraId="78D0A83D" w14:textId="77777777" w:rsidR="008C6514" w:rsidRPr="00474552" w:rsidRDefault="008C6514" w:rsidP="00B92908">
      <w:pPr>
        <w:pStyle w:val="Corpo"/>
        <w:widowControl w:val="0"/>
        <w:spacing w:after="0" w:line="340" w:lineRule="exact"/>
        <w:rPr>
          <w:rStyle w:val="Nenhum"/>
          <w:rFonts w:asciiTheme="minorHAnsi" w:eastAsia="Arial" w:hAnsiTheme="minorHAnsi" w:cstheme="minorHAnsi"/>
          <w:sz w:val="24"/>
          <w:szCs w:val="24"/>
          <w:lang w:val="pt-BR"/>
        </w:rPr>
      </w:pPr>
    </w:p>
    <w:tbl>
      <w:tblPr>
        <w:tblW w:w="87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4383"/>
      </w:tblGrid>
      <w:tr w:rsidR="008C6514" w:rsidRPr="00474552" w14:paraId="439335B9" w14:textId="77777777" w:rsidTr="00E47C29">
        <w:trPr>
          <w:trHeight w:val="1627"/>
        </w:trPr>
        <w:tc>
          <w:tcPr>
            <w:tcW w:w="4382" w:type="dxa"/>
            <w:tcBorders>
              <w:top w:val="nil"/>
              <w:left w:val="nil"/>
              <w:bottom w:val="nil"/>
              <w:right w:val="nil"/>
            </w:tcBorders>
            <w:shd w:val="clear" w:color="auto" w:fill="auto"/>
            <w:tcMar>
              <w:top w:w="80" w:type="dxa"/>
              <w:left w:w="80" w:type="dxa"/>
              <w:bottom w:w="80" w:type="dxa"/>
              <w:right w:w="80" w:type="dxa"/>
            </w:tcMar>
          </w:tcPr>
          <w:p w14:paraId="77D31AC0" w14:textId="77777777" w:rsidR="008C6514" w:rsidRPr="00474552" w:rsidRDefault="008C6514" w:rsidP="00B92908">
            <w:pPr>
              <w:pStyle w:val="Default"/>
              <w:spacing w:line="340" w:lineRule="exact"/>
              <w:rPr>
                <w:rStyle w:val="Nenhum"/>
                <w:rFonts w:asciiTheme="minorHAnsi" w:eastAsia="Arial" w:hAnsiTheme="minorHAnsi" w:cstheme="minorHAnsi"/>
                <w:u w:color="000000"/>
                <w:bdr w:val="nil"/>
              </w:rPr>
            </w:pPr>
          </w:p>
          <w:p w14:paraId="78B63BD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0222D6AB"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0D9201B7" w14:textId="77777777" w:rsidR="008C6514" w:rsidRPr="00474552" w:rsidRDefault="008C6514" w:rsidP="00B92908">
            <w:pPr>
              <w:pStyle w:val="Default"/>
              <w:spacing w:line="340" w:lineRule="exact"/>
              <w:rPr>
                <w:rStyle w:val="Nenhum"/>
                <w:rFonts w:asciiTheme="minorHAnsi" w:hAnsiTheme="minorHAnsi" w:cstheme="minorHAnsi"/>
              </w:rPr>
            </w:pPr>
            <w:r w:rsidRPr="00474552">
              <w:rPr>
                <w:rStyle w:val="Nenhum"/>
                <w:rFonts w:asciiTheme="minorHAnsi" w:hAnsiTheme="minorHAnsi" w:cstheme="minorHAnsi"/>
              </w:rPr>
              <w:t xml:space="preserve">CPF: </w:t>
            </w:r>
          </w:p>
          <w:p w14:paraId="355887AD" w14:textId="77777777" w:rsidR="008C6514" w:rsidRPr="00474552" w:rsidRDefault="008C6514" w:rsidP="00B92908">
            <w:pPr>
              <w:pStyle w:val="Default"/>
              <w:spacing w:line="340" w:lineRule="exact"/>
              <w:rPr>
                <w:rFonts w:asciiTheme="minorHAnsi" w:hAnsiTheme="minorHAnsi" w:cstheme="minorHAnsi"/>
              </w:rPr>
            </w:pPr>
          </w:p>
        </w:tc>
        <w:tc>
          <w:tcPr>
            <w:tcW w:w="4383" w:type="dxa"/>
            <w:tcBorders>
              <w:top w:val="nil"/>
              <w:left w:val="nil"/>
              <w:bottom w:val="nil"/>
              <w:right w:val="nil"/>
            </w:tcBorders>
            <w:shd w:val="clear" w:color="auto" w:fill="auto"/>
            <w:tcMar>
              <w:top w:w="80" w:type="dxa"/>
              <w:left w:w="80" w:type="dxa"/>
              <w:bottom w:w="80" w:type="dxa"/>
              <w:right w:w="80" w:type="dxa"/>
            </w:tcMar>
          </w:tcPr>
          <w:p w14:paraId="2059B930"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2D2228E6"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1287DDD1"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015561BD"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CPF: </w:t>
            </w:r>
          </w:p>
        </w:tc>
      </w:tr>
    </w:tbl>
    <w:p w14:paraId="0180DE8B" w14:textId="77777777" w:rsidR="008C6514" w:rsidRPr="00474552" w:rsidRDefault="008C6514" w:rsidP="00B92908">
      <w:pPr>
        <w:spacing w:after="0" w:line="340" w:lineRule="exact"/>
        <w:rPr>
          <w:rFonts w:asciiTheme="minorHAnsi" w:hAnsiTheme="minorHAnsi" w:cstheme="minorHAnsi"/>
          <w:b/>
          <w:sz w:val="24"/>
          <w:szCs w:val="24"/>
        </w:rPr>
      </w:pPr>
      <w:bookmarkStart w:id="23" w:name="_DV_M276"/>
      <w:bookmarkStart w:id="24" w:name="_DV_M282"/>
      <w:bookmarkEnd w:id="23"/>
      <w:bookmarkEnd w:id="24"/>
    </w:p>
    <w:p w14:paraId="149DB003" w14:textId="1F7958DD" w:rsidR="00FF4A8D" w:rsidRDefault="005F2C33" w:rsidP="00593486">
      <w:pPr>
        <w:pStyle w:val="Corpodetexto"/>
        <w:tabs>
          <w:tab w:val="left" w:pos="9072"/>
        </w:tabs>
        <w:spacing w:before="120" w:line="276" w:lineRule="auto"/>
        <w:jc w:val="left"/>
        <w:rPr>
          <w:rFonts w:asciiTheme="minorHAnsi" w:hAnsiTheme="minorHAnsi" w:cstheme="minorHAnsi"/>
          <w:sz w:val="24"/>
          <w:szCs w:val="24"/>
        </w:rPr>
      </w:pPr>
      <w:r w:rsidRPr="00474552" w:rsidDel="005F2C33">
        <w:rPr>
          <w:rFonts w:asciiTheme="minorHAnsi" w:hAnsiTheme="minorHAnsi" w:cstheme="minorHAnsi"/>
          <w:sz w:val="24"/>
          <w:szCs w:val="24"/>
        </w:rPr>
        <w:t xml:space="preserve"> </w:t>
      </w:r>
    </w:p>
    <w:p w14:paraId="0D52D41B" w14:textId="77777777" w:rsidR="00FF4A8D" w:rsidRDefault="00FF4A8D">
      <w:pPr>
        <w:spacing w:after="0" w:line="300" w:lineRule="exact"/>
        <w:jc w:val="left"/>
        <w:rPr>
          <w:rFonts w:asciiTheme="minorHAnsi" w:hAnsiTheme="minorHAnsi" w:cstheme="minorHAnsi"/>
          <w:sz w:val="24"/>
          <w:szCs w:val="24"/>
        </w:rPr>
      </w:pPr>
      <w:r>
        <w:rPr>
          <w:rFonts w:asciiTheme="minorHAnsi" w:hAnsiTheme="minorHAnsi" w:cstheme="minorHAnsi"/>
          <w:sz w:val="24"/>
          <w:szCs w:val="24"/>
        </w:rPr>
        <w:br w:type="page"/>
      </w:r>
    </w:p>
    <w:p w14:paraId="55308FBD" w14:textId="77777777" w:rsidR="00FF4A8D" w:rsidRPr="00FF4A8D" w:rsidRDefault="00FF4A8D" w:rsidP="00FF4A8D">
      <w:pPr>
        <w:pStyle w:val="Celso1"/>
        <w:spacing w:line="320" w:lineRule="exact"/>
        <w:jc w:val="center"/>
        <w:rPr>
          <w:rFonts w:asciiTheme="minorHAnsi" w:eastAsia="Arial Unicode MS" w:hAnsiTheme="minorHAnsi" w:cstheme="minorHAnsi"/>
          <w:b/>
          <w:color w:val="000000"/>
          <w:u w:val="single"/>
        </w:rPr>
      </w:pPr>
      <w:r w:rsidRPr="00FF4A8D">
        <w:rPr>
          <w:rFonts w:asciiTheme="minorHAnsi" w:hAnsiTheme="minorHAnsi" w:cstheme="minorHAnsi"/>
          <w:b/>
          <w:color w:val="000000"/>
          <w:u w:val="single"/>
        </w:rPr>
        <w:t>ANEXO I</w:t>
      </w:r>
    </w:p>
    <w:p w14:paraId="43073454" w14:textId="77777777" w:rsidR="00FF4A8D" w:rsidRPr="00703B01" w:rsidRDefault="00FF4A8D" w:rsidP="00FF4A8D">
      <w:pPr>
        <w:spacing w:line="320" w:lineRule="exact"/>
        <w:jc w:val="center"/>
        <w:rPr>
          <w:rFonts w:asciiTheme="minorHAnsi" w:hAnsiTheme="minorHAnsi" w:cstheme="minorHAnsi"/>
          <w:b/>
          <w:bCs/>
          <w:color w:val="000000"/>
          <w:sz w:val="24"/>
          <w:szCs w:val="24"/>
        </w:rPr>
      </w:pPr>
    </w:p>
    <w:p w14:paraId="066F5F39" w14:textId="77777777" w:rsidR="00FF4A8D" w:rsidRPr="00703B01" w:rsidRDefault="00FF4A8D" w:rsidP="00FF4A8D">
      <w:pPr>
        <w:spacing w:line="320" w:lineRule="exact"/>
        <w:jc w:val="center"/>
        <w:rPr>
          <w:rFonts w:asciiTheme="minorHAnsi" w:hAnsiTheme="minorHAnsi" w:cstheme="minorHAnsi"/>
          <w:sz w:val="24"/>
          <w:szCs w:val="24"/>
        </w:rPr>
      </w:pPr>
      <w:r w:rsidRPr="00703B01">
        <w:rPr>
          <w:rFonts w:asciiTheme="minorHAnsi" w:hAnsiTheme="minorHAnsi" w:cstheme="minorHAnsi"/>
          <w:b/>
          <w:sz w:val="24"/>
          <w:szCs w:val="24"/>
        </w:rPr>
        <w:t>DESCRIÇÃO DAS OBRIGAÇÕES GARANTIDAS</w:t>
      </w:r>
    </w:p>
    <w:p w14:paraId="79A4C5FA"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bookmarkStart w:id="25" w:name="_DV_M93"/>
      <w:bookmarkEnd w:id="25"/>
    </w:p>
    <w:p w14:paraId="414BF178"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Número da Emissão</w:t>
      </w:r>
      <w:r w:rsidRPr="00703B01">
        <w:rPr>
          <w:rFonts w:asciiTheme="minorHAnsi" w:eastAsia="Arial Unicode MS" w:hAnsiTheme="minorHAnsi" w:cstheme="minorHAnsi"/>
          <w:color w:val="000000"/>
          <w:sz w:val="24"/>
          <w:szCs w:val="24"/>
        </w:rPr>
        <w:t>. As Debêntures representam a 2ª (segunda) emissão de debêntures da Emissora.</w:t>
      </w:r>
    </w:p>
    <w:p w14:paraId="197B66EE"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2E28863D"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Número de Séries</w:t>
      </w:r>
      <w:r w:rsidRPr="00703B01">
        <w:rPr>
          <w:rFonts w:asciiTheme="minorHAnsi" w:eastAsia="Arial Unicode MS" w:hAnsiTheme="minorHAnsi" w:cstheme="minorHAnsi"/>
          <w:color w:val="000000"/>
          <w:sz w:val="24"/>
          <w:szCs w:val="24"/>
        </w:rPr>
        <w:t>. A Emissão será realizada em série única.</w:t>
      </w:r>
    </w:p>
    <w:p w14:paraId="63B29A77"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55DCABEF"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Quantidade de Debêntures Emitidas</w:t>
      </w:r>
      <w:r w:rsidRPr="00703B01">
        <w:rPr>
          <w:rFonts w:asciiTheme="minorHAnsi" w:eastAsia="Arial Unicode MS" w:hAnsiTheme="minorHAnsi" w:cstheme="minorHAnsi"/>
          <w:color w:val="000000"/>
          <w:sz w:val="24"/>
          <w:szCs w:val="24"/>
        </w:rPr>
        <w:t>. Serão emitidas 200.000 (duzentas mil) Debêntures</w:t>
      </w:r>
      <w:bookmarkStart w:id="26" w:name="_DV_M94"/>
      <w:bookmarkStart w:id="27" w:name="_DV_M96"/>
      <w:bookmarkEnd w:id="26"/>
      <w:bookmarkEnd w:id="27"/>
      <w:r w:rsidRPr="00703B01">
        <w:rPr>
          <w:rFonts w:asciiTheme="minorHAnsi" w:eastAsia="Arial Unicode MS" w:hAnsiTheme="minorHAnsi" w:cstheme="minorHAnsi"/>
          <w:color w:val="000000"/>
          <w:sz w:val="24"/>
          <w:szCs w:val="24"/>
        </w:rPr>
        <w:t>.</w:t>
      </w:r>
    </w:p>
    <w:p w14:paraId="0DBCCE76" w14:textId="77777777" w:rsidR="00FF4A8D" w:rsidRPr="00703B01" w:rsidRDefault="00FF4A8D" w:rsidP="00FF4A8D">
      <w:pPr>
        <w:pStyle w:val="PargrafodaLista"/>
        <w:ind w:left="0"/>
        <w:rPr>
          <w:rFonts w:asciiTheme="minorHAnsi" w:eastAsia="Arial Unicode MS" w:hAnsiTheme="minorHAnsi" w:cstheme="minorHAnsi"/>
          <w:color w:val="000000"/>
          <w:sz w:val="24"/>
          <w:szCs w:val="24"/>
        </w:rPr>
      </w:pPr>
    </w:p>
    <w:p w14:paraId="1F494828"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Data de Emissão</w:t>
      </w:r>
      <w:r w:rsidRPr="00703B01">
        <w:rPr>
          <w:rFonts w:asciiTheme="minorHAnsi" w:eastAsia="Arial Unicode MS" w:hAnsiTheme="minorHAnsi" w:cstheme="minorHAnsi"/>
          <w:color w:val="000000"/>
          <w:sz w:val="24"/>
          <w:szCs w:val="24"/>
        </w:rPr>
        <w:t>. Para todos os fins e efeitos legais, a data de emissão das Debêntures será 10 de agosto de 2022 (“</w:t>
      </w:r>
      <w:r w:rsidRPr="00703B01">
        <w:rPr>
          <w:rFonts w:asciiTheme="minorHAnsi" w:eastAsia="Arial Unicode MS" w:hAnsiTheme="minorHAnsi" w:cstheme="minorHAnsi"/>
          <w:color w:val="000000"/>
          <w:sz w:val="24"/>
          <w:szCs w:val="24"/>
          <w:u w:val="single"/>
        </w:rPr>
        <w:t>Data de Emissão</w:t>
      </w:r>
      <w:r w:rsidRPr="00703B01">
        <w:rPr>
          <w:rFonts w:asciiTheme="minorHAnsi" w:eastAsia="Arial Unicode MS" w:hAnsiTheme="minorHAnsi" w:cstheme="minorHAnsi"/>
          <w:color w:val="000000"/>
          <w:sz w:val="24"/>
          <w:szCs w:val="24"/>
        </w:rPr>
        <w:t>”).</w:t>
      </w:r>
    </w:p>
    <w:p w14:paraId="5961DE5A"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1A9C08E6"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Valor Total da Emissão</w:t>
      </w:r>
      <w:r w:rsidRPr="00703B01">
        <w:rPr>
          <w:rFonts w:asciiTheme="minorHAnsi" w:eastAsia="Arial Unicode MS" w:hAnsiTheme="minorHAnsi" w:cstheme="minorHAnsi"/>
          <w:color w:val="000000"/>
          <w:sz w:val="24"/>
          <w:szCs w:val="24"/>
        </w:rPr>
        <w:t>. O valor total da Emissão será de R$ 200.000.000,00 (duzentos milhões de reais), na Data de Emissão.</w:t>
      </w:r>
    </w:p>
    <w:p w14:paraId="6F0E301A"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0E583967"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Valor Nominal Unitário</w:t>
      </w:r>
      <w:r w:rsidRPr="00703B01">
        <w:rPr>
          <w:rFonts w:asciiTheme="minorHAnsi" w:eastAsia="Arial Unicode MS" w:hAnsiTheme="minorHAnsi" w:cstheme="minorHAnsi"/>
          <w:color w:val="000000"/>
          <w:sz w:val="24"/>
          <w:szCs w:val="24"/>
        </w:rPr>
        <w:t>. O valor nominal unitário das Debêntures será de R$ 1.000,00 (um mil reais), na Data de Emissão.</w:t>
      </w:r>
    </w:p>
    <w:p w14:paraId="699EE3E1"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0F99292D" w14:textId="77777777" w:rsidR="00FF4A8D" w:rsidRPr="00FF4A8D" w:rsidRDefault="00FF4A8D" w:rsidP="00FF4A8D">
      <w:pPr>
        <w:pStyle w:val="PargrafodaLista"/>
        <w:widowControl w:val="0"/>
        <w:numPr>
          <w:ilvl w:val="2"/>
          <w:numId w:val="11"/>
        </w:numPr>
        <w:tabs>
          <w:tab w:val="clear" w:pos="1304"/>
        </w:tabs>
        <w:autoSpaceDE w:val="0"/>
        <w:autoSpaceDN w:val="0"/>
        <w:adjustRightInd w:val="0"/>
        <w:spacing w:after="0" w:line="320" w:lineRule="exact"/>
        <w:ind w:left="0"/>
        <w:contextualSpacing w:val="0"/>
        <w:rPr>
          <w:rFonts w:asciiTheme="minorHAnsi" w:eastAsia="Arial Unicode MS" w:hAnsiTheme="minorHAnsi" w:cstheme="minorHAnsi"/>
          <w:color w:val="000000"/>
          <w:sz w:val="24"/>
          <w:szCs w:val="24"/>
          <w:lang w:eastAsia="ar-SA"/>
        </w:rPr>
      </w:pPr>
      <w:r w:rsidRPr="00FF4A8D">
        <w:rPr>
          <w:rFonts w:asciiTheme="minorHAnsi" w:eastAsia="Arial Unicode MS" w:hAnsiTheme="minorHAnsi" w:cstheme="minorHAnsi"/>
          <w:color w:val="000000"/>
          <w:sz w:val="24"/>
          <w:szCs w:val="24"/>
          <w:u w:val="single"/>
          <w:lang w:eastAsia="ar-SA"/>
        </w:rPr>
        <w:t>Espécie</w:t>
      </w:r>
      <w:r w:rsidRPr="00FF4A8D">
        <w:rPr>
          <w:rFonts w:asciiTheme="minorHAnsi" w:eastAsia="Arial Unicode MS" w:hAnsiTheme="minorHAnsi" w:cstheme="minorHAnsi"/>
          <w:color w:val="000000"/>
          <w:sz w:val="24"/>
          <w:szCs w:val="24"/>
          <w:lang w:eastAsia="ar-SA"/>
        </w:rPr>
        <w:t>. Nos termos do caput do artigo 58 da Lei das Sociedades por Ações,</w:t>
      </w:r>
      <w:r w:rsidRPr="00FF4A8D" w:rsidDel="00F329A9">
        <w:rPr>
          <w:rFonts w:asciiTheme="minorHAnsi" w:eastAsia="Arial Unicode MS" w:hAnsiTheme="minorHAnsi" w:cstheme="minorHAnsi"/>
          <w:color w:val="000000"/>
          <w:sz w:val="24"/>
          <w:szCs w:val="24"/>
          <w:lang w:eastAsia="ar-SA"/>
        </w:rPr>
        <w:t xml:space="preserve"> </w:t>
      </w:r>
      <w:r w:rsidRPr="00FF4A8D">
        <w:rPr>
          <w:rFonts w:asciiTheme="minorHAnsi" w:eastAsia="Arial Unicode MS" w:hAnsiTheme="minorHAnsi" w:cstheme="minorHAnsi"/>
          <w:color w:val="000000"/>
          <w:sz w:val="24"/>
          <w:szCs w:val="24"/>
          <w:lang w:eastAsia="ar-SA"/>
        </w:rPr>
        <w:t>as Debêntures serão da espécie quirografária, com garantia real adicional.</w:t>
      </w:r>
    </w:p>
    <w:p w14:paraId="01CD4F2F"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3C637B84"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Prazo e Data de Vencimento</w:t>
      </w:r>
      <w:r w:rsidRPr="00703B01">
        <w:rPr>
          <w:rFonts w:asciiTheme="minorHAnsi" w:eastAsia="Arial Unicode MS" w:hAnsiTheme="minorHAnsi" w:cstheme="minorHAnsi"/>
          <w:color w:val="000000"/>
          <w:sz w:val="24"/>
          <w:szCs w:val="24"/>
        </w:rPr>
        <w:t>. Observado o disposto na Escritura de Emissão, ressalvadas as hipóteses de liquidação antecipada em decorrência de Resgate Antecipado Facultativo Total (conforme definido abaixo), Oferta de Resgate Antecipado (conforme definido abaixo) ou vencimento antecipado das obrigações decorrentes das Debêntures, as Debêntures terão prazo de vencimento de 5 (cinco) anos contados da Data de Emissão, vencendo, portanto, em 10 de agosto de 2027 (“</w:t>
      </w:r>
      <w:r w:rsidRPr="00703B01">
        <w:rPr>
          <w:rFonts w:asciiTheme="minorHAnsi" w:eastAsia="Arial Unicode MS" w:hAnsiTheme="minorHAnsi" w:cstheme="minorHAnsi"/>
          <w:color w:val="000000"/>
          <w:sz w:val="24"/>
          <w:szCs w:val="24"/>
          <w:u w:val="single"/>
        </w:rPr>
        <w:t>Data de Vencimento</w:t>
      </w:r>
      <w:r w:rsidRPr="00703B01">
        <w:rPr>
          <w:rFonts w:asciiTheme="minorHAnsi" w:eastAsia="Arial Unicode MS" w:hAnsiTheme="minorHAnsi" w:cstheme="minorHAnsi"/>
          <w:color w:val="000000"/>
          <w:sz w:val="24"/>
          <w:szCs w:val="24"/>
        </w:rPr>
        <w:t>”).</w:t>
      </w:r>
    </w:p>
    <w:p w14:paraId="4F864EB2"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6E85E80A" w14:textId="77777777" w:rsidR="00FF4A8D" w:rsidRPr="00FF4A8D" w:rsidRDefault="00FF4A8D" w:rsidP="00FF4A8D">
      <w:pPr>
        <w:pStyle w:val="PargrafodaLista"/>
        <w:widowControl w:val="0"/>
        <w:numPr>
          <w:ilvl w:val="2"/>
          <w:numId w:val="11"/>
        </w:numPr>
        <w:tabs>
          <w:tab w:val="clear" w:pos="1304"/>
        </w:tabs>
        <w:autoSpaceDE w:val="0"/>
        <w:autoSpaceDN w:val="0"/>
        <w:adjustRightInd w:val="0"/>
        <w:spacing w:after="0" w:line="320" w:lineRule="exact"/>
        <w:ind w:left="0"/>
        <w:contextualSpacing w:val="0"/>
        <w:rPr>
          <w:rFonts w:asciiTheme="minorHAnsi" w:eastAsia="Arial Unicode MS" w:hAnsiTheme="minorHAnsi" w:cstheme="minorHAnsi"/>
          <w:color w:val="000000"/>
          <w:sz w:val="24"/>
          <w:szCs w:val="24"/>
          <w:lang w:eastAsia="ar-SA"/>
        </w:rPr>
      </w:pPr>
      <w:r w:rsidRPr="00FF4A8D">
        <w:rPr>
          <w:rFonts w:asciiTheme="minorHAnsi" w:eastAsia="Arial Unicode MS" w:hAnsiTheme="minorHAnsi" w:cstheme="minorHAnsi"/>
          <w:color w:val="000000"/>
          <w:sz w:val="24"/>
          <w:szCs w:val="24"/>
          <w:u w:val="single"/>
          <w:lang w:eastAsia="ar-SA"/>
        </w:rPr>
        <w:t>Atualização Monetária</w:t>
      </w:r>
      <w:r w:rsidRPr="00FF4A8D">
        <w:rPr>
          <w:rFonts w:asciiTheme="minorHAnsi" w:eastAsia="Arial Unicode MS" w:hAnsiTheme="minorHAnsi" w:cstheme="minorHAnsi"/>
          <w:color w:val="000000"/>
          <w:sz w:val="24"/>
          <w:szCs w:val="24"/>
          <w:lang w:eastAsia="ar-SA"/>
        </w:rPr>
        <w:t>. O Valor Nominal Unitário das Debêntures não será atualizado monetariamente.</w:t>
      </w:r>
    </w:p>
    <w:p w14:paraId="2223BE9F"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50549E52"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Remuneração</w:t>
      </w:r>
      <w:r w:rsidRPr="00703B01">
        <w:rPr>
          <w:rFonts w:asciiTheme="minorHAnsi" w:eastAsia="Arial Unicode MS" w:hAnsiTheme="minorHAnsi" w:cstheme="minorHAnsi"/>
          <w:color w:val="000000"/>
          <w:sz w:val="24"/>
          <w:szCs w:val="24"/>
        </w:rPr>
        <w:t xml:space="preserve">. 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Pr="00703B01">
        <w:rPr>
          <w:rFonts w:asciiTheme="minorHAnsi" w:eastAsia="Arial Unicode MS" w:hAnsiTheme="minorHAnsi" w:cstheme="minorHAnsi"/>
          <w:color w:val="000000"/>
          <w:sz w:val="24"/>
          <w:szCs w:val="24"/>
        </w:rPr>
        <w:t>extra-grupo</w:t>
      </w:r>
      <w:proofErr w:type="spellEnd"/>
      <w:r w:rsidRPr="00703B01">
        <w:rPr>
          <w:rFonts w:asciiTheme="minorHAnsi" w:eastAsia="Arial Unicode MS" w:hAnsiTheme="minorHAnsi" w:cstheme="minorHAnsi"/>
          <w:color w:val="000000"/>
          <w:sz w:val="24"/>
          <w:szCs w:val="24"/>
        </w:rPr>
        <w:t>", expressas na forma percentual ao ano, base 252 (duzentos e cinquenta e dois) Dias Úteis, calculadas e divulgadas diariamente pela B3 S.A. – Brasil, Bolsa, Balcão, no informativo diário disponível em sua página na Internet (</w:t>
      </w:r>
      <w:hyperlink r:id="rId12" w:history="1">
        <w:r w:rsidRPr="00703B01">
          <w:rPr>
            <w:rFonts w:asciiTheme="minorHAnsi" w:eastAsia="Arial Unicode MS" w:hAnsiTheme="minorHAnsi" w:cstheme="minorHAnsi"/>
            <w:color w:val="000000"/>
            <w:sz w:val="24"/>
            <w:szCs w:val="24"/>
          </w:rPr>
          <w:t>http://www.b3.com.br</w:t>
        </w:r>
      </w:hyperlink>
      <w:r w:rsidRPr="00703B01">
        <w:rPr>
          <w:rFonts w:asciiTheme="minorHAnsi" w:eastAsia="Arial Unicode MS" w:hAnsiTheme="minorHAnsi" w:cstheme="minorHAnsi"/>
          <w:color w:val="000000"/>
          <w:sz w:val="24"/>
          <w:szCs w:val="24"/>
        </w:rPr>
        <w:t>) (“</w:t>
      </w:r>
      <w:r w:rsidRPr="00703B01">
        <w:rPr>
          <w:rFonts w:asciiTheme="minorHAnsi" w:eastAsia="Arial Unicode MS" w:hAnsiTheme="minorHAnsi" w:cstheme="minorHAnsi"/>
          <w:color w:val="000000"/>
          <w:sz w:val="24"/>
          <w:szCs w:val="24"/>
          <w:u w:val="single"/>
        </w:rPr>
        <w:t>Taxa DI</w:t>
      </w:r>
      <w:r w:rsidRPr="00703B01">
        <w:rPr>
          <w:rFonts w:asciiTheme="minorHAnsi" w:eastAsia="Arial Unicode MS" w:hAnsiTheme="minorHAnsi" w:cstheme="minorHAnsi"/>
          <w:color w:val="000000"/>
          <w:sz w:val="24"/>
          <w:szCs w:val="24"/>
        </w:rPr>
        <w:t>”), acrescida de sobretaxa (spread) de 3,25% (três inteiros e vinte e cinco centésimos por cento) ao ano, base 252 (duzentos e cinquenta e dois) Dias Úteis (“</w:t>
      </w:r>
      <w:r w:rsidRPr="00703B01">
        <w:rPr>
          <w:rFonts w:asciiTheme="minorHAnsi" w:eastAsia="Arial Unicode MS" w:hAnsiTheme="minorHAnsi" w:cstheme="minorHAnsi"/>
          <w:color w:val="000000"/>
          <w:sz w:val="24"/>
          <w:szCs w:val="24"/>
          <w:u w:val="single"/>
        </w:rPr>
        <w:t>Remuneração</w:t>
      </w:r>
      <w:r w:rsidRPr="00703B01">
        <w:rPr>
          <w:rFonts w:asciiTheme="minorHAnsi" w:eastAsia="Arial Unicode MS" w:hAnsiTheme="minorHAnsi" w:cstheme="minorHAnsi"/>
          <w:color w:val="000000"/>
          <w:sz w:val="24"/>
          <w:szCs w:val="24"/>
        </w:rPr>
        <w:t>”). A Remuneração será calculada de acordo com os termos e disposições a serem previstos na Escritura de Emissão.</w:t>
      </w:r>
    </w:p>
    <w:p w14:paraId="594A9158"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1CB6C9D8" w14:textId="4A38BC2C"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Amortização</w:t>
      </w:r>
      <w:r w:rsidRPr="00703B01">
        <w:rPr>
          <w:rFonts w:asciiTheme="minorHAnsi" w:eastAsia="Arial Unicode MS" w:hAnsiTheme="minorHAnsi" w:cstheme="minorHAnsi"/>
          <w:color w:val="000000"/>
          <w:sz w:val="24"/>
          <w:szCs w:val="24"/>
        </w:rPr>
        <w:t xml:space="preserve">. </w:t>
      </w:r>
      <w:r w:rsidR="00214B13" w:rsidRPr="00214B13">
        <w:rPr>
          <w:rFonts w:asciiTheme="minorHAnsi" w:hAnsiTheme="minorHAnsi" w:cstheme="minorHAnsi"/>
          <w:sz w:val="24"/>
          <w:szCs w:val="24"/>
        </w:rPr>
        <w:t>O saldo do Valor Nominal Unitário das Debêntures será amortizado em 8 (oito) parcelas semestrais consecutivas, devidas sempre no dia 10 dos meses de fevereiro e agosto de cada ano, sendo que a primeira parcela será devida em 10 de fevereiro de 2024, e as demais parcelas serão devidas em cada uma das respectivas datas de amortização das Debêntures e percentuais indicados em tabela a ser disposta na Escritura de Emissão</w:t>
      </w:r>
      <w:r w:rsidRPr="00214B13">
        <w:rPr>
          <w:rFonts w:asciiTheme="minorHAnsi" w:eastAsia="Arial Unicode MS" w:hAnsiTheme="minorHAnsi" w:cstheme="minorHAnsi"/>
          <w:color w:val="000000"/>
          <w:sz w:val="24"/>
          <w:szCs w:val="24"/>
        </w:rPr>
        <w:t>.</w:t>
      </w:r>
    </w:p>
    <w:p w14:paraId="2B6A1406"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1F8EF8A2"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Pagamento da Remuneração</w:t>
      </w:r>
      <w:r w:rsidRPr="00703B01">
        <w:rPr>
          <w:rFonts w:asciiTheme="minorHAnsi" w:eastAsia="Arial Unicode MS" w:hAnsiTheme="minorHAnsi" w:cstheme="minorHAnsi"/>
          <w:color w:val="000000"/>
          <w:sz w:val="24"/>
          <w:szCs w:val="24"/>
        </w:rPr>
        <w:t>. Sem prejuízo dos pagamentos em decorrência de eventual vencimento antecipado das obrigações decorrentes das Debêntures, Resgate Antecipado Facultativo Total, ou resgate das Debêntures objeto de eventual Oferta de Resgate Antecipado, nos termos a serem previstos na Escritura de Emissão, a Remuneração das Debêntures será paga semestralmente, a partir da Data de Emissão, sendo o primeiro pagamento devido em 10 de fevereiro de 2023, e os demais pagamentos devidos sempre no dia 10 dos meses de fevereiro e agosto de cada ano, até Data de Vencimento (cada uma dessas datas, uma “</w:t>
      </w:r>
      <w:r w:rsidRPr="00703B01">
        <w:rPr>
          <w:rFonts w:asciiTheme="minorHAnsi" w:eastAsia="Arial Unicode MS" w:hAnsiTheme="minorHAnsi" w:cstheme="minorHAnsi"/>
          <w:color w:val="000000"/>
          <w:sz w:val="24"/>
          <w:szCs w:val="24"/>
          <w:u w:val="single"/>
        </w:rPr>
        <w:t>Data de Pagamento da Remuneração</w:t>
      </w:r>
      <w:r w:rsidRPr="00703B01">
        <w:rPr>
          <w:rFonts w:asciiTheme="minorHAnsi" w:eastAsia="Arial Unicode MS" w:hAnsiTheme="minorHAnsi" w:cstheme="minorHAnsi"/>
          <w:color w:val="000000"/>
          <w:sz w:val="24"/>
          <w:szCs w:val="24"/>
        </w:rPr>
        <w:t xml:space="preserve">”). Farão jus aos pagamentos das Debêntures aqueles que </w:t>
      </w:r>
      <w:proofErr w:type="gramStart"/>
      <w:r w:rsidRPr="00703B01">
        <w:rPr>
          <w:rFonts w:asciiTheme="minorHAnsi" w:eastAsia="Arial Unicode MS" w:hAnsiTheme="minorHAnsi" w:cstheme="minorHAnsi"/>
          <w:color w:val="000000"/>
          <w:sz w:val="24"/>
          <w:szCs w:val="24"/>
        </w:rPr>
        <w:t>sejam Debenturistas</w:t>
      </w:r>
      <w:proofErr w:type="gramEnd"/>
      <w:r w:rsidRPr="00703B01">
        <w:rPr>
          <w:rFonts w:asciiTheme="minorHAnsi" w:eastAsia="Arial Unicode MS" w:hAnsiTheme="minorHAnsi" w:cstheme="minorHAnsi"/>
          <w:color w:val="000000"/>
          <w:sz w:val="24"/>
          <w:szCs w:val="24"/>
        </w:rPr>
        <w:t xml:space="preserve"> ao final do Dia Útil anterior a cada data de pagamento a ser prevista na Escritura de Emissão.</w:t>
      </w:r>
    </w:p>
    <w:p w14:paraId="4AE51925"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5202866B"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Resgate Antecipado Facultativo Total</w:t>
      </w:r>
      <w:r w:rsidRPr="00703B01">
        <w:rPr>
          <w:rFonts w:asciiTheme="minorHAnsi" w:eastAsia="Arial Unicode MS" w:hAnsiTheme="minorHAnsi" w:cstheme="minorHAnsi"/>
          <w:color w:val="000000"/>
          <w:sz w:val="24"/>
          <w:szCs w:val="24"/>
        </w:rPr>
        <w:t>. A Emissora poderá, a seu exclusivo critério, a qualquer momento, realizar o resgate antecipado facultativo total das Debêntures (“</w:t>
      </w:r>
      <w:r w:rsidRPr="00703B01">
        <w:rPr>
          <w:rFonts w:asciiTheme="minorHAnsi" w:eastAsia="Arial Unicode MS" w:hAnsiTheme="minorHAnsi" w:cstheme="minorHAnsi"/>
          <w:color w:val="000000"/>
          <w:sz w:val="24"/>
          <w:szCs w:val="24"/>
          <w:u w:val="single"/>
        </w:rPr>
        <w:t>Resgate Antecipado Facultativo Total</w:t>
      </w:r>
      <w:r w:rsidRPr="00703B01">
        <w:rPr>
          <w:rFonts w:asciiTheme="minorHAnsi" w:eastAsia="Arial Unicode MS" w:hAnsiTheme="minorHAnsi" w:cstheme="minorHAnsi"/>
          <w:color w:val="000000"/>
          <w:sz w:val="24"/>
          <w:szCs w:val="24"/>
        </w:rPr>
        <w:t xml:space="preserve">”). Por ocasião do Resgate Antecipado Facultativo Total,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 Total, calculado </w:t>
      </w:r>
      <w:r w:rsidRPr="00703B01">
        <w:rPr>
          <w:rFonts w:asciiTheme="minorHAnsi" w:eastAsia="Arial Unicode MS" w:hAnsiTheme="minorHAnsi" w:cstheme="minorHAnsi"/>
          <w:i/>
          <w:iCs/>
          <w:color w:val="000000"/>
          <w:sz w:val="24"/>
          <w:szCs w:val="24"/>
        </w:rPr>
        <w:t xml:space="preserve">pro rata </w:t>
      </w:r>
      <w:proofErr w:type="spellStart"/>
      <w:r w:rsidRPr="00703B01">
        <w:rPr>
          <w:rFonts w:asciiTheme="minorHAnsi" w:eastAsia="Arial Unicode MS" w:hAnsiTheme="minorHAnsi" w:cstheme="minorHAnsi"/>
          <w:i/>
          <w:iCs/>
          <w:color w:val="000000"/>
          <w:sz w:val="24"/>
          <w:szCs w:val="24"/>
        </w:rPr>
        <w:t>temporis</w:t>
      </w:r>
      <w:proofErr w:type="spellEnd"/>
      <w:r w:rsidRPr="00703B01">
        <w:rPr>
          <w:rFonts w:asciiTheme="minorHAnsi" w:eastAsia="Arial Unicode MS" w:hAnsiTheme="minorHAnsi" w:cstheme="minorHAnsi"/>
          <w:color w:val="000000"/>
          <w:sz w:val="24"/>
          <w:szCs w:val="24"/>
        </w:rPr>
        <w:t xml:space="preserve"> desde a Data de Início da Rentabilidade, ou a Data de Pagamento da Remuneração anterior, conforme o caso, até a data do efetivo Resgate Antecipado Facultativo Total, incidente sobre o Valor Nominal Unitário (ou saldo do Valor Nominal Unitário, conforme o caso), e (c) de prêmio equivalente a 1,50% (um inteiro e cinquenta centésimos por cento) ao ano multiplicado pelo prazo médio remanescente das Debêntures. Os demais termos e disposições aplicáveis ao Resgate Antecipado Facultativo serão previstos na Escritura de Emissão.</w:t>
      </w:r>
    </w:p>
    <w:p w14:paraId="45EB98E1"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7A54B9B0"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Amortização Extraordinária Facultativa</w:t>
      </w:r>
      <w:r w:rsidRPr="00703B01">
        <w:rPr>
          <w:rFonts w:asciiTheme="minorHAnsi" w:eastAsia="Arial Unicode MS" w:hAnsiTheme="minorHAnsi" w:cstheme="minorHAnsi"/>
          <w:color w:val="000000"/>
          <w:sz w:val="24"/>
          <w:szCs w:val="24"/>
        </w:rPr>
        <w:t>. A Emissora poderá, a seu exclusivo critério, a qualquer momento, realizar a amortização extraordinária facultativa das Debêntures (“</w:t>
      </w:r>
      <w:r w:rsidRPr="00703B01">
        <w:rPr>
          <w:rFonts w:asciiTheme="minorHAnsi" w:eastAsia="Arial Unicode MS" w:hAnsiTheme="minorHAnsi" w:cstheme="minorHAnsi"/>
          <w:color w:val="000000"/>
          <w:sz w:val="24"/>
          <w:szCs w:val="24"/>
          <w:u w:val="single"/>
        </w:rPr>
        <w:t>Amortização Extraordinária Facultativa</w:t>
      </w:r>
      <w:r w:rsidRPr="00703B01">
        <w:rPr>
          <w:rFonts w:asciiTheme="minorHAnsi" w:eastAsia="Arial Unicode MS" w:hAnsiTheme="minorHAnsi" w:cstheme="minorHAnsi"/>
          <w:color w:val="000000"/>
          <w:sz w:val="24"/>
          <w:szCs w:val="24"/>
        </w:rPr>
        <w:t xml:space="preserve">”). Por ocasião da Amortização Extraordinária Facultativa, o valor devido pela Emissora será equivalente ao (a) Valor Nominal Unitário das Debêntures (ou saldo do Valor Nominal Unitário das Debêntures, conforme o caso) a serem amortizadas, acrescido (b) da Remuneração e demais encargos devidos e não pagos até a data da Amortização Extraordinária Facultativa, calculado pro rata </w:t>
      </w:r>
      <w:proofErr w:type="spellStart"/>
      <w:r w:rsidRPr="00703B01">
        <w:rPr>
          <w:rFonts w:asciiTheme="minorHAnsi" w:eastAsia="Arial Unicode MS" w:hAnsiTheme="minorHAnsi" w:cstheme="minorHAnsi"/>
          <w:color w:val="000000"/>
          <w:sz w:val="24"/>
          <w:szCs w:val="24"/>
        </w:rPr>
        <w:t>temporis</w:t>
      </w:r>
      <w:proofErr w:type="spellEnd"/>
      <w:r w:rsidRPr="00703B01">
        <w:rPr>
          <w:rFonts w:asciiTheme="minorHAnsi" w:eastAsia="Arial Unicode MS" w:hAnsiTheme="minorHAnsi" w:cstheme="minorHAnsi"/>
          <w:color w:val="000000"/>
          <w:sz w:val="24"/>
          <w:szCs w:val="24"/>
        </w:rPr>
        <w:t xml:space="preserve"> desde a Data de Início da Rentabilidade, ou a Data de Pagamento da Remuneração anterior, conforme o caso, até a data da efetiva Amortização Extraordinária Facultativa, incidente sobre o Valor Nominal Unitário (ou saldo do Valor Nominal Unitário, conforme o caso); e (c) de prêmio equivalente a 1,50% (um inteiro e cinquenta centésimos por cento) ao ano multiplicado pelo prazo médio remanescente das Debêntures. Os demais termos e disposições aplicáveis à Amortização Extraordinária Facultativa</w:t>
      </w:r>
      <w:r w:rsidRPr="00703B01" w:rsidDel="005D2615">
        <w:rPr>
          <w:rFonts w:asciiTheme="minorHAnsi" w:eastAsia="Arial Unicode MS" w:hAnsiTheme="minorHAnsi" w:cstheme="minorHAnsi"/>
          <w:color w:val="000000"/>
          <w:sz w:val="24"/>
          <w:szCs w:val="24"/>
        </w:rPr>
        <w:t xml:space="preserve"> </w:t>
      </w:r>
      <w:r w:rsidRPr="00703B01">
        <w:rPr>
          <w:rFonts w:asciiTheme="minorHAnsi" w:eastAsia="Arial Unicode MS" w:hAnsiTheme="minorHAnsi" w:cstheme="minorHAnsi"/>
          <w:color w:val="000000"/>
          <w:sz w:val="24"/>
          <w:szCs w:val="24"/>
        </w:rPr>
        <w:t>serão previstos na Escritura de Emissão.</w:t>
      </w:r>
    </w:p>
    <w:p w14:paraId="1F649FDB" w14:textId="77777777" w:rsidR="00FF4A8D" w:rsidRPr="00FF4A8D" w:rsidRDefault="00FF4A8D" w:rsidP="00FF4A8D">
      <w:pPr>
        <w:pStyle w:val="PargrafodaLista"/>
        <w:spacing w:line="320" w:lineRule="exact"/>
        <w:ind w:left="0"/>
        <w:rPr>
          <w:rFonts w:asciiTheme="minorHAnsi" w:eastAsia="Arial Unicode MS" w:hAnsiTheme="minorHAnsi" w:cstheme="minorHAnsi"/>
          <w:color w:val="000000"/>
          <w:sz w:val="24"/>
          <w:szCs w:val="24"/>
          <w:lang w:eastAsia="ar-SA"/>
        </w:rPr>
      </w:pPr>
    </w:p>
    <w:p w14:paraId="72556567"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Oferta de Resgate Antecipado Total</w:t>
      </w:r>
      <w:r w:rsidRPr="00703B01">
        <w:rPr>
          <w:rFonts w:asciiTheme="minorHAnsi" w:eastAsia="Arial Unicode MS" w:hAnsiTheme="minorHAnsi" w:cstheme="minorHAnsi"/>
          <w:color w:val="000000"/>
          <w:sz w:val="24"/>
          <w:szCs w:val="24"/>
        </w:rPr>
        <w:t>. A Emissora poderá, a seu exclusivo critério, a qualquer tempo, realizar oferta de resgate antecipado das Debêntures, endereçada a todos os Debenturistas, sendo assegurada a todos os Debenturistas igualdade de condições para aceitar o resgate antecipado das Debêntures de que forem titulares (“</w:t>
      </w:r>
      <w:r w:rsidRPr="00703B01">
        <w:rPr>
          <w:rFonts w:asciiTheme="minorHAnsi" w:eastAsia="Arial Unicode MS" w:hAnsiTheme="minorHAnsi" w:cstheme="minorHAnsi"/>
          <w:color w:val="000000"/>
          <w:sz w:val="24"/>
          <w:szCs w:val="24"/>
          <w:u w:val="single"/>
        </w:rPr>
        <w:t>Oferta de Resgate Antecipado</w:t>
      </w:r>
      <w:r w:rsidRPr="00703B01">
        <w:rPr>
          <w:rFonts w:asciiTheme="minorHAnsi" w:eastAsia="Arial Unicode MS" w:hAnsiTheme="minorHAnsi" w:cstheme="minorHAnsi"/>
          <w:color w:val="000000"/>
          <w:sz w:val="24"/>
          <w:szCs w:val="24"/>
        </w:rPr>
        <w:t xml:space="preserve">”). A Oferta de Resgate Antecipado será operacionalizada nos termos a serem previstos na Escritura de Emissão.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pro rata </w:t>
      </w:r>
      <w:proofErr w:type="spellStart"/>
      <w:r w:rsidRPr="00703B01">
        <w:rPr>
          <w:rFonts w:asciiTheme="minorHAnsi" w:eastAsia="Arial Unicode MS" w:hAnsiTheme="minorHAnsi" w:cstheme="minorHAnsi"/>
          <w:color w:val="000000"/>
          <w:sz w:val="24"/>
          <w:szCs w:val="24"/>
        </w:rPr>
        <w:t>temporis</w:t>
      </w:r>
      <w:proofErr w:type="spellEnd"/>
      <w:r w:rsidRPr="00703B01">
        <w:rPr>
          <w:rFonts w:asciiTheme="minorHAnsi" w:eastAsia="Arial Unicode MS" w:hAnsiTheme="minorHAnsi" w:cstheme="minorHAnsi"/>
          <w:color w:val="000000"/>
          <w:sz w:val="24"/>
          <w:szCs w:val="24"/>
        </w:rPr>
        <w:t xml:space="preserve"> desde a Data de Início da Rentabilidade, ou a Data de Pagamento da Remuneração anterior, conforme o caso, até a data do efetivo resgate das Debêntures objeto da Oferta de Resgate Antecipado, e (b) se for o caso, do prêmio de resgate indicado na comunicação de Oferta de Resgate Antecipado. Os demais termos e disposições aplicáveis à Oferta de Resgate Antecipado serão previstos na Escritura de Emissão.</w:t>
      </w:r>
    </w:p>
    <w:p w14:paraId="5120203F" w14:textId="77777777" w:rsidR="00FF4A8D" w:rsidRPr="00703B01" w:rsidRDefault="00FF4A8D" w:rsidP="00FF4A8D">
      <w:pPr>
        <w:pStyle w:val="PargrafodaLista"/>
        <w:ind w:left="0"/>
        <w:rPr>
          <w:rFonts w:asciiTheme="minorHAnsi" w:eastAsia="Arial Unicode MS" w:hAnsiTheme="minorHAnsi" w:cstheme="minorHAnsi"/>
          <w:color w:val="000000"/>
          <w:sz w:val="24"/>
          <w:szCs w:val="24"/>
        </w:rPr>
      </w:pPr>
    </w:p>
    <w:p w14:paraId="5881E63B"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Aquisição Facultativa</w:t>
      </w:r>
      <w:r w:rsidRPr="00703B01">
        <w:rPr>
          <w:rFonts w:asciiTheme="minorHAnsi" w:eastAsia="Arial Unicode MS" w:hAnsiTheme="minorHAnsi" w:cstheme="minorHAnsi"/>
          <w:color w:val="000000"/>
          <w:sz w:val="24"/>
          <w:szCs w:val="24"/>
        </w:rPr>
        <w:t>: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em tesouraria ou ser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p>
    <w:p w14:paraId="0A6A3B01"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2866597A"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Vencimento Antecipado</w:t>
      </w:r>
      <w:r w:rsidRPr="00703B01">
        <w:rPr>
          <w:rFonts w:asciiTheme="minorHAnsi" w:eastAsia="Arial Unicode MS" w:hAnsiTheme="minorHAnsi" w:cstheme="minorHAnsi"/>
          <w:color w:val="000000"/>
          <w:sz w:val="24"/>
          <w:szCs w:val="24"/>
        </w:rPr>
        <w:t xml:space="preserve">. 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da Remuneração devida, calculada pro rata </w:t>
      </w:r>
      <w:proofErr w:type="spellStart"/>
      <w:r w:rsidRPr="00703B01">
        <w:rPr>
          <w:rFonts w:asciiTheme="minorHAnsi" w:eastAsia="Arial Unicode MS" w:hAnsiTheme="minorHAnsi" w:cstheme="minorHAnsi"/>
          <w:color w:val="000000"/>
          <w:sz w:val="24"/>
          <w:szCs w:val="24"/>
        </w:rPr>
        <w:t>temporis</w:t>
      </w:r>
      <w:proofErr w:type="spellEnd"/>
      <w:r w:rsidRPr="00703B01">
        <w:rPr>
          <w:rFonts w:asciiTheme="minorHAnsi" w:eastAsia="Arial Unicode MS" w:hAnsiTheme="minorHAnsi" w:cstheme="minorHAnsi"/>
          <w:color w:val="000000"/>
          <w:sz w:val="24"/>
          <w:szCs w:val="24"/>
        </w:rPr>
        <w:t xml:space="preserve"> desde a Data da Primeira Integralização ou a última Data de Pagamento da Remuneração aplicável, conforme o caso, e dos Encargos Moratórios e multas, se houver, incidentes até a data do seu efetivo pagamento, na ocorrência de qualquer dos eventos previstos em lei e/ou de qualquer dos eventos a serem descritos na Escritura de Emissão.</w:t>
      </w:r>
    </w:p>
    <w:p w14:paraId="79835510"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3E634C69"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Local de Pagamento</w:t>
      </w:r>
      <w:r w:rsidRPr="00703B01">
        <w:rPr>
          <w:rFonts w:asciiTheme="minorHAnsi" w:eastAsia="Arial Unicode MS" w:hAnsiTheme="minorHAnsi" w:cstheme="minorHAnsi"/>
          <w:color w:val="000000"/>
          <w:sz w:val="24"/>
          <w:szCs w:val="24"/>
        </w:rPr>
        <w:t xml:space="preserve">. 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703B01">
        <w:rPr>
          <w:rFonts w:asciiTheme="minorHAnsi" w:eastAsia="Arial Unicode MS" w:hAnsiTheme="minorHAnsi" w:cstheme="minorHAnsi"/>
          <w:color w:val="000000"/>
          <w:sz w:val="24"/>
          <w:szCs w:val="24"/>
        </w:rPr>
        <w:t>Escriturador</w:t>
      </w:r>
      <w:proofErr w:type="spellEnd"/>
      <w:r w:rsidRPr="00703B01">
        <w:rPr>
          <w:rFonts w:asciiTheme="minorHAnsi" w:eastAsia="Arial Unicode MS" w:hAnsiTheme="minorHAnsi" w:cstheme="minorHAnsi"/>
          <w:color w:val="000000"/>
          <w:sz w:val="24"/>
          <w:szCs w:val="24"/>
        </w:rPr>
        <w:t xml:space="preserve">, para as Debêntures que não estejam custodiadas eletronicamente na B3. </w:t>
      </w:r>
    </w:p>
    <w:p w14:paraId="02772CE4"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3101EB04" w14:textId="77777777" w:rsidR="00FF4A8D" w:rsidRPr="00703B01" w:rsidRDefault="00FF4A8D" w:rsidP="00FF4A8D">
      <w:pPr>
        <w:numPr>
          <w:ilvl w:val="2"/>
          <w:numId w:val="11"/>
        </w:numPr>
        <w:tabs>
          <w:tab w:val="clear" w:pos="1304"/>
        </w:tabs>
        <w:spacing w:after="0" w:line="320" w:lineRule="exact"/>
        <w:ind w:left="0"/>
        <w:rPr>
          <w:rFonts w:asciiTheme="minorHAnsi" w:eastAsia="Arial Unicode MS" w:hAnsiTheme="minorHAnsi" w:cstheme="minorHAnsi"/>
          <w:color w:val="000000"/>
          <w:sz w:val="24"/>
          <w:szCs w:val="24"/>
        </w:rPr>
      </w:pPr>
      <w:r w:rsidRPr="00703B01">
        <w:rPr>
          <w:rFonts w:asciiTheme="minorHAnsi" w:eastAsia="Arial Unicode MS" w:hAnsiTheme="minorHAnsi" w:cstheme="minorHAnsi"/>
          <w:color w:val="000000"/>
          <w:sz w:val="24"/>
          <w:szCs w:val="24"/>
          <w:u w:val="single"/>
        </w:rPr>
        <w:t>Encargos Moratórios</w:t>
      </w:r>
      <w:r w:rsidRPr="00703B01">
        <w:rPr>
          <w:rFonts w:asciiTheme="minorHAnsi" w:eastAsia="Arial Unicode MS" w:hAnsiTheme="minorHAnsi" w:cstheme="minorHAnsi"/>
          <w:color w:val="000000"/>
          <w:sz w:val="24"/>
          <w:szCs w:val="24"/>
        </w:rPr>
        <w:t>. Sem prejuízo da Remuneração, ocorrendo impontualidade no pagamento pela Emissora de qualquer quantia devida aos Debenturistas nos termos da Escritura de Emissão,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703B01">
        <w:rPr>
          <w:rFonts w:asciiTheme="minorHAnsi" w:eastAsia="Arial Unicode MS" w:hAnsiTheme="minorHAnsi" w:cstheme="minorHAnsi"/>
          <w:color w:val="000000"/>
          <w:sz w:val="24"/>
          <w:szCs w:val="24"/>
        </w:rPr>
        <w:t>ii</w:t>
      </w:r>
      <w:proofErr w:type="spellEnd"/>
      <w:r w:rsidRPr="00703B01">
        <w:rPr>
          <w:rFonts w:asciiTheme="minorHAnsi" w:eastAsia="Arial Unicode MS" w:hAnsiTheme="minorHAnsi" w:cstheme="minorHAnsi"/>
          <w:color w:val="000000"/>
          <w:sz w:val="24"/>
          <w:szCs w:val="24"/>
        </w:rPr>
        <w:t>) juros moratórios à razão de 1% (um por cento) ao mês, desde a data da inadimplência até a data do efetivo pagamento; ambos calculados sobre o montante devido e não pago ("</w:t>
      </w:r>
      <w:r w:rsidRPr="00703B01">
        <w:rPr>
          <w:rFonts w:asciiTheme="minorHAnsi" w:eastAsia="Arial Unicode MS" w:hAnsiTheme="minorHAnsi" w:cstheme="minorHAnsi"/>
          <w:color w:val="000000"/>
          <w:sz w:val="24"/>
          <w:szCs w:val="24"/>
          <w:u w:val="single"/>
        </w:rPr>
        <w:t>Encargos Moratórios</w:t>
      </w:r>
      <w:r w:rsidRPr="00703B01">
        <w:rPr>
          <w:rFonts w:asciiTheme="minorHAnsi" w:eastAsia="Arial Unicode MS" w:hAnsiTheme="minorHAnsi" w:cstheme="minorHAnsi"/>
          <w:color w:val="000000"/>
          <w:sz w:val="24"/>
          <w:szCs w:val="24"/>
        </w:rPr>
        <w:t>").</w:t>
      </w:r>
    </w:p>
    <w:p w14:paraId="31A1B72C" w14:textId="77777777" w:rsidR="00FF4A8D" w:rsidRPr="00703B01" w:rsidRDefault="00FF4A8D" w:rsidP="00FF4A8D">
      <w:pPr>
        <w:spacing w:line="320" w:lineRule="exact"/>
        <w:rPr>
          <w:rFonts w:asciiTheme="minorHAnsi" w:eastAsia="Arial Unicode MS" w:hAnsiTheme="minorHAnsi" w:cstheme="minorHAnsi"/>
          <w:color w:val="000000"/>
          <w:sz w:val="24"/>
          <w:szCs w:val="24"/>
        </w:rPr>
      </w:pPr>
    </w:p>
    <w:p w14:paraId="1559575D" w14:textId="23FCDEBD" w:rsidR="0013419C" w:rsidRPr="00703B01" w:rsidRDefault="00FF4A8D" w:rsidP="00703B01">
      <w:pPr>
        <w:pStyle w:val="Corpodetexto"/>
        <w:tabs>
          <w:tab w:val="left" w:pos="9072"/>
        </w:tabs>
        <w:spacing w:before="120" w:line="276" w:lineRule="auto"/>
        <w:rPr>
          <w:rFonts w:asciiTheme="minorHAnsi" w:hAnsiTheme="minorHAnsi" w:cstheme="minorHAnsi"/>
          <w:sz w:val="24"/>
          <w:szCs w:val="24"/>
        </w:rPr>
      </w:pPr>
      <w:r w:rsidRPr="00703B01">
        <w:rPr>
          <w:rFonts w:asciiTheme="minorHAnsi" w:eastAsia="Arial Unicode MS" w:hAnsiTheme="minorHAnsi" w:cstheme="minorHAnsi"/>
          <w:color w:val="000000"/>
          <w:sz w:val="24"/>
          <w:szCs w:val="24"/>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do presente Contrato. As demais características das Obrigações Garantidas constam da Escritura de Emissão.</w:t>
      </w:r>
    </w:p>
    <w:sectPr w:rsidR="0013419C" w:rsidRPr="00703B01" w:rsidSect="008C6514">
      <w:pgSz w:w="11906" w:h="16838" w:code="9"/>
      <w:pgMar w:top="1985" w:right="1133" w:bottom="1701" w:left="85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4436" w14:textId="77777777" w:rsidR="00237C89" w:rsidRDefault="00237C89" w:rsidP="008C6514">
      <w:pPr>
        <w:spacing w:after="0"/>
      </w:pPr>
      <w:r>
        <w:separator/>
      </w:r>
    </w:p>
  </w:endnote>
  <w:endnote w:type="continuationSeparator" w:id="0">
    <w:p w14:paraId="27A01B79" w14:textId="77777777" w:rsidR="00237C89" w:rsidRDefault="00237C89" w:rsidP="008C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2176" w14:textId="59F8DE6C" w:rsidR="00CC764F" w:rsidRDefault="00A53D77">
    <w:pPr>
      <w:framePr w:wrap="around" w:vAnchor="text" w:hAnchor="margin" w:xAlign="center" w:y="1"/>
    </w:pPr>
    <w:r>
      <w:rPr>
        <w:noProof/>
      </w:rPr>
      <mc:AlternateContent>
        <mc:Choice Requires="wps">
          <w:drawing>
            <wp:anchor distT="0" distB="0" distL="0" distR="0" simplePos="0" relativeHeight="251662336" behindDoc="0" locked="0" layoutInCell="1" allowOverlap="1" wp14:anchorId="3B79C328" wp14:editId="54C73025">
              <wp:simplePos x="635" y="635"/>
              <wp:positionH relativeFrom="page">
                <wp:align>center</wp:align>
              </wp:positionH>
              <wp:positionV relativeFrom="page">
                <wp:align>bottom</wp:align>
              </wp:positionV>
              <wp:extent cx="443865" cy="443865"/>
              <wp:effectExtent l="0" t="0" r="635" b="0"/>
              <wp:wrapNone/>
              <wp:docPr id="2" name="Caixa de Texto 2" descr="Classificaçã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17550" w14:textId="485E591A" w:rsidR="00A53D77" w:rsidRPr="00A53D77" w:rsidRDefault="00A53D77" w:rsidP="00A53D77">
                          <w:pPr>
                            <w:spacing w:after="0"/>
                            <w:rPr>
                              <w:rFonts w:ascii="Calibri" w:eastAsia="Calibri" w:hAnsi="Calibri" w:cs="Calibri"/>
                              <w:noProof/>
                              <w:color w:val="FF0000"/>
                              <w:sz w:val="20"/>
                            </w:rPr>
                          </w:pPr>
                          <w:r w:rsidRPr="00A53D77">
                            <w:rPr>
                              <w:rFonts w:ascii="Calibri" w:eastAsia="Calibri" w:hAnsi="Calibri" w:cs="Calibri"/>
                              <w:noProof/>
                              <w:color w:val="FF0000"/>
                              <w:sz w:val="20"/>
                            </w:rPr>
                            <w:t>Classificação: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9C328" id="_x0000_t202" coordsize="21600,21600" o:spt="202" path="m,l,21600r21600,l21600,xe">
              <v:stroke joinstyle="miter"/>
              <v:path gradientshapeok="t" o:connecttype="rect"/>
            </v:shapetype>
            <v:shape id="Caixa de Texto 2" o:spid="_x0000_s1026" type="#_x0000_t202" alt="Classificação: Confiden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E17550" w14:textId="485E591A" w:rsidR="00A53D77" w:rsidRPr="00A53D77" w:rsidRDefault="00A53D77" w:rsidP="00A53D77">
                    <w:pPr>
                      <w:spacing w:after="0"/>
                      <w:rPr>
                        <w:rFonts w:ascii="Calibri" w:eastAsia="Calibri" w:hAnsi="Calibri" w:cs="Calibri"/>
                        <w:noProof/>
                        <w:color w:val="FF0000"/>
                        <w:sz w:val="20"/>
                      </w:rPr>
                    </w:pPr>
                    <w:r w:rsidRPr="00A53D77">
                      <w:rPr>
                        <w:rFonts w:ascii="Calibri" w:eastAsia="Calibri" w:hAnsi="Calibri" w:cs="Calibri"/>
                        <w:noProof/>
                        <w:color w:val="FF0000"/>
                        <w:sz w:val="20"/>
                      </w:rPr>
                      <w:t>Classificação: Confidencial</w:t>
                    </w:r>
                  </w:p>
                </w:txbxContent>
              </v:textbox>
              <w10:wrap anchorx="page" anchory="page"/>
            </v:shape>
          </w:pict>
        </mc:Fallback>
      </mc:AlternateContent>
    </w:r>
    <w:r w:rsidR="004A76BD">
      <w:fldChar w:fldCharType="begin"/>
    </w:r>
    <w:r w:rsidR="004A76BD">
      <w:instrText xml:space="preserve">PAGE  </w:instrText>
    </w:r>
    <w:r w:rsidR="004A76BD">
      <w:fldChar w:fldCharType="separate"/>
    </w:r>
    <w:r w:rsidR="004A76BD">
      <w:rPr>
        <w:noProof/>
      </w:rPr>
      <w:t>10</w:t>
    </w:r>
    <w:r w:rsidR="004A76BD">
      <w:rPr>
        <w:noProof/>
      </w:rPr>
      <w:fldChar w:fldCharType="end"/>
    </w:r>
  </w:p>
  <w:p w14:paraId="62D769AE" w14:textId="77777777" w:rsidR="00CC764F" w:rsidRDefault="00F15CB2" w:rsidP="009278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75E1" w14:textId="590ED552" w:rsidR="00CC764F" w:rsidRPr="00F02796" w:rsidRDefault="008C6514" w:rsidP="009278F5">
    <w:pPr>
      <w:jc w:val="right"/>
      <w:rPr>
        <w:rFonts w:ascii="Arial" w:hAnsi="Arial" w:cs="Arial"/>
        <w:sz w:val="20"/>
      </w:rPr>
    </w:pPr>
    <w:r w:rsidRPr="00F02796">
      <w:rPr>
        <w:rFonts w:ascii="Arial" w:hAnsi="Arial" w:cs="Arial"/>
        <w:sz w:val="20"/>
      </w:rPr>
      <w:fldChar w:fldCharType="begin"/>
    </w:r>
    <w:r w:rsidRPr="00F02796">
      <w:rPr>
        <w:rFonts w:ascii="Arial" w:hAnsi="Arial" w:cs="Arial"/>
        <w:sz w:val="20"/>
      </w:rPr>
      <w:instrText xml:space="preserve"> PAGE </w:instrText>
    </w:r>
    <w:r w:rsidRPr="00F02796">
      <w:rPr>
        <w:rFonts w:ascii="Arial" w:hAnsi="Arial" w:cs="Arial"/>
        <w:sz w:val="20"/>
      </w:rPr>
      <w:fldChar w:fldCharType="separate"/>
    </w:r>
    <w:r>
      <w:rPr>
        <w:rFonts w:ascii="Arial" w:hAnsi="Arial" w:cs="Arial"/>
        <w:noProof/>
        <w:sz w:val="20"/>
      </w:rPr>
      <w:t>46</w:t>
    </w:r>
    <w:r w:rsidRPr="00F02796">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8655" w14:textId="3C2F5B1A" w:rsidR="007E7C1F" w:rsidRDefault="008C6514">
    <w:pPr>
      <w:pStyle w:val="Rodap"/>
    </w:pPr>
    <w:r>
      <w:rPr>
        <w:noProof/>
      </w:rPr>
      <mc:AlternateContent>
        <mc:Choice Requires="wps">
          <w:drawing>
            <wp:anchor distT="0" distB="0" distL="114300" distR="114300" simplePos="0" relativeHeight="251660288" behindDoc="0" locked="0" layoutInCell="0" allowOverlap="1" wp14:anchorId="38EA7DCA" wp14:editId="55A3D591">
              <wp:simplePos x="0" y="0"/>
              <wp:positionH relativeFrom="page">
                <wp:posOffset>0</wp:posOffset>
              </wp:positionH>
              <wp:positionV relativeFrom="page">
                <wp:posOffset>10227945</wp:posOffset>
              </wp:positionV>
              <wp:extent cx="7560310" cy="273050"/>
              <wp:effectExtent l="0" t="0" r="0" b="0"/>
              <wp:wrapNone/>
              <wp:docPr id="152819074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0F0FF0F6" w14:textId="69E21659" w:rsidR="007E7C1F" w:rsidRPr="007E7C1F" w:rsidRDefault="00F15CB2" w:rsidP="007E7C1F">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A7DCA" id="_x0000_t202" coordsize="21600,21600" o:spt="202" path="m,l,21600r21600,l21600,xe">
              <v:stroke joinstyle="miter"/>
              <v:path gradientshapeok="t" o:connecttype="rect"/>
            </v:shapetype>
            <v:shape id="Caixa de Texto 1" o:spid="_x0000_s1027" type="#_x0000_t202" style="position:absolute;left:0;text-align:left;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EX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zOAu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7RrxFygCAABFBAAADgAAAAAAAAAAAAAAAAAuAgAAZHJzL2Uy&#10;b0RvYy54bWxQSwECLQAUAAYACAAAACEAfHYI4d8AAAALAQAADwAAAAAAAAAAAAAAAACCBAAAZHJz&#10;L2Rvd25yZXYueG1sUEsFBgAAAAAEAAQA8wAAAI4FAAAAAA==&#10;" o:allowincell="f" filled="f" stroked="f" strokeweight=".5pt">
              <v:textbox inset="20pt,0,,0">
                <w:txbxContent>
                  <w:p w14:paraId="0F0FF0F6" w14:textId="69E21659" w:rsidR="007E7C1F" w:rsidRPr="007E7C1F" w:rsidRDefault="00214B13" w:rsidP="007E7C1F">
                    <w:pPr>
                      <w:spacing w:after="0"/>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52ED" w14:textId="77777777" w:rsidR="00237C89" w:rsidRDefault="00237C89" w:rsidP="008C6514">
      <w:pPr>
        <w:spacing w:after="0"/>
      </w:pPr>
      <w:r>
        <w:separator/>
      </w:r>
    </w:p>
  </w:footnote>
  <w:footnote w:type="continuationSeparator" w:id="0">
    <w:p w14:paraId="0C00F60C" w14:textId="77777777" w:rsidR="00237C89" w:rsidRDefault="00237C89" w:rsidP="008C65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BBD" w14:textId="77777777" w:rsidR="00CC764F" w:rsidRDefault="004A76B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45007EC0" w14:textId="77777777" w:rsidR="00CC764F" w:rsidRDefault="00F15CB2" w:rsidP="009278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0AE5" w14:textId="562E7B94" w:rsidR="00A20464" w:rsidRDefault="00AB3408" w:rsidP="00A20464">
    <w:pPr>
      <w:pStyle w:val="Cabealho"/>
      <w:jc w:val="right"/>
      <w:rPr>
        <w:rFonts w:asciiTheme="minorHAnsi" w:hAnsiTheme="minorHAnsi" w:cstheme="minorHAnsi"/>
        <w:sz w:val="24"/>
        <w:szCs w:val="24"/>
      </w:rPr>
    </w:pPr>
    <w:r>
      <w:rPr>
        <w:rFonts w:asciiTheme="minorHAnsi" w:hAnsiTheme="minorHAnsi" w:cstheme="minorHAnsi"/>
        <w:sz w:val="24"/>
        <w:szCs w:val="24"/>
      </w:rPr>
      <w:t xml:space="preserve">Versão </w:t>
    </w:r>
    <w:r w:rsidR="00C10FDE">
      <w:rPr>
        <w:rFonts w:asciiTheme="minorHAnsi" w:hAnsiTheme="minorHAnsi" w:cstheme="minorHAnsi"/>
        <w:sz w:val="24"/>
        <w:szCs w:val="24"/>
      </w:rPr>
      <w:t>SF</w:t>
    </w:r>
  </w:p>
  <w:p w14:paraId="304719C2" w14:textId="2C42F3ED" w:rsidR="00C10FDE" w:rsidRPr="004F0FD8" w:rsidRDefault="00C10FDE" w:rsidP="00A20464">
    <w:pPr>
      <w:pStyle w:val="Cabealho"/>
      <w:jc w:val="right"/>
      <w:rPr>
        <w:rFonts w:asciiTheme="minorHAnsi" w:hAnsiTheme="minorHAnsi" w:cstheme="minorHAnsi"/>
        <w:sz w:val="24"/>
        <w:szCs w:val="24"/>
      </w:rPr>
    </w:pPr>
    <w:r>
      <w:rPr>
        <w:rFonts w:asciiTheme="minorHAnsi" w:hAnsiTheme="minorHAnsi" w:cstheme="minorHAnsi"/>
        <w:sz w:val="24"/>
        <w:szCs w:val="24"/>
      </w:rPr>
      <w:t>07.08.2023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035"/>
    <w:multiLevelType w:val="hybridMultilevel"/>
    <w:tmpl w:val="D3783642"/>
    <w:lvl w:ilvl="0" w:tplc="F544B6D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B430D66"/>
    <w:multiLevelType w:val="multilevel"/>
    <w:tmpl w:val="EA9AC0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heme="minorHAnsi" w:hAnsiTheme="minorHAnsi" w:cstheme="minorHAnsi" w:hint="default"/>
        <w:color w:val="000000"/>
        <w:sz w:val="24"/>
        <w:szCs w:val="24"/>
      </w:rPr>
    </w:lvl>
    <w:lvl w:ilvl="2">
      <w:start w:val="1"/>
      <w:numFmt w:val="decimal"/>
      <w:isLgl/>
      <w:lvlText w:val="%1.%2.%3."/>
      <w:lvlJc w:val="left"/>
      <w:pPr>
        <w:ind w:left="1080" w:hanging="720"/>
      </w:pPr>
      <w:rPr>
        <w:rFonts w:ascii="Times New Roman" w:hAnsi="Times New Roman" w:cs="Times New Roman" w:hint="default"/>
        <w:color w:val="000000"/>
        <w:sz w:val="24"/>
      </w:rPr>
    </w:lvl>
    <w:lvl w:ilvl="3">
      <w:start w:val="1"/>
      <w:numFmt w:val="decimal"/>
      <w:isLgl/>
      <w:lvlText w:val="%1.%2.%3.%4."/>
      <w:lvlJc w:val="left"/>
      <w:pPr>
        <w:ind w:left="1080" w:hanging="720"/>
      </w:pPr>
      <w:rPr>
        <w:rFonts w:ascii="Times New Roman" w:hAnsi="Times New Roman" w:cs="Times New Roman" w:hint="default"/>
        <w:color w:val="000000"/>
        <w:sz w:val="24"/>
      </w:rPr>
    </w:lvl>
    <w:lvl w:ilvl="4">
      <w:start w:val="1"/>
      <w:numFmt w:val="decimal"/>
      <w:isLgl/>
      <w:lvlText w:val="%1.%2.%3.%4.%5."/>
      <w:lvlJc w:val="left"/>
      <w:pPr>
        <w:ind w:left="1440" w:hanging="1080"/>
      </w:pPr>
      <w:rPr>
        <w:rFonts w:ascii="Times New Roman" w:hAnsi="Times New Roman" w:cs="Times New Roman" w:hint="default"/>
        <w:color w:val="000000"/>
        <w:sz w:val="24"/>
      </w:rPr>
    </w:lvl>
    <w:lvl w:ilvl="5">
      <w:start w:val="1"/>
      <w:numFmt w:val="decimal"/>
      <w:isLgl/>
      <w:lvlText w:val="%1.%2.%3.%4.%5.%6."/>
      <w:lvlJc w:val="left"/>
      <w:pPr>
        <w:ind w:left="1440" w:hanging="1080"/>
      </w:pPr>
      <w:rPr>
        <w:rFonts w:ascii="Times New Roman" w:hAnsi="Times New Roman" w:cs="Times New Roman" w:hint="default"/>
        <w:color w:val="000000"/>
        <w:sz w:val="24"/>
      </w:rPr>
    </w:lvl>
    <w:lvl w:ilvl="6">
      <w:start w:val="1"/>
      <w:numFmt w:val="decimal"/>
      <w:isLgl/>
      <w:lvlText w:val="%1.%2.%3.%4.%5.%6.%7."/>
      <w:lvlJc w:val="left"/>
      <w:pPr>
        <w:ind w:left="1800" w:hanging="1440"/>
      </w:pPr>
      <w:rPr>
        <w:rFonts w:ascii="Times New Roman" w:hAnsi="Times New Roman" w:cs="Times New Roman" w:hint="default"/>
        <w:color w:val="000000"/>
        <w:sz w:val="24"/>
      </w:rPr>
    </w:lvl>
    <w:lvl w:ilvl="7">
      <w:start w:val="1"/>
      <w:numFmt w:val="decimal"/>
      <w:isLgl/>
      <w:lvlText w:val="%1.%2.%3.%4.%5.%6.%7.%8."/>
      <w:lvlJc w:val="left"/>
      <w:pPr>
        <w:ind w:left="1800" w:hanging="1440"/>
      </w:pPr>
      <w:rPr>
        <w:rFonts w:ascii="Times New Roman" w:hAnsi="Times New Roman" w:cs="Times New Roman" w:hint="default"/>
        <w:color w:val="000000"/>
        <w:sz w:val="24"/>
      </w:rPr>
    </w:lvl>
    <w:lvl w:ilvl="8">
      <w:start w:val="1"/>
      <w:numFmt w:val="decimal"/>
      <w:isLgl/>
      <w:lvlText w:val="%1.%2.%3.%4.%5.%6.%7.%8.%9."/>
      <w:lvlJc w:val="left"/>
      <w:pPr>
        <w:ind w:left="2160" w:hanging="1800"/>
      </w:pPr>
      <w:rPr>
        <w:rFonts w:ascii="Times New Roman" w:hAnsi="Times New Roman" w:cs="Times New Roman" w:hint="default"/>
        <w:color w:val="000000"/>
        <w:sz w:val="24"/>
      </w:rPr>
    </w:lvl>
  </w:abstractNum>
  <w:abstractNum w:abstractNumId="2" w15:restartNumberingAfterBreak="0">
    <w:nsid w:val="1B827B0E"/>
    <w:multiLevelType w:val="hybridMultilevel"/>
    <w:tmpl w:val="0CC657C8"/>
    <w:lvl w:ilvl="0" w:tplc="0942985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C0B7FE0"/>
    <w:multiLevelType w:val="multilevel"/>
    <w:tmpl w:val="2E5865E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5822390"/>
    <w:multiLevelType w:val="multilevel"/>
    <w:tmpl w:val="1B6C7096"/>
    <w:lvl w:ilvl="0">
      <w:start w:val="3"/>
      <w:numFmt w:val="decimal"/>
      <w:lvlText w:val="%1"/>
      <w:lvlJc w:val="left"/>
      <w:pPr>
        <w:ind w:left="360" w:hanging="360"/>
      </w:pPr>
      <w:rPr>
        <w:rFonts w:hint="default"/>
      </w:rPr>
    </w:lvl>
    <w:lvl w:ilvl="1">
      <w:start w:val="1"/>
      <w:numFmt w:val="lowerRoman"/>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5D234724"/>
    <w:multiLevelType w:val="multilevel"/>
    <w:tmpl w:val="612A13A2"/>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imes New Roman" w:hAnsi="Times New Roman" w:hint="default"/>
        <w:b w:val="0"/>
        <w:i w:val="0"/>
        <w:sz w:val="20"/>
        <w:lang w:val="en-US"/>
      </w:rPr>
    </w:lvl>
    <w:lvl w:ilvl="2">
      <w:start w:val="1"/>
      <w:numFmt w:val="decimal"/>
      <w:lvlText w:val="1.%3"/>
      <w:lvlJc w:val="left"/>
      <w:pPr>
        <w:tabs>
          <w:tab w:val="num" w:pos="1304"/>
        </w:tabs>
        <w:ind w:left="567" w:firstLine="0"/>
      </w:pPr>
      <w:rPr>
        <w:rFonts w:hint="default"/>
        <w:b w:val="0"/>
        <w:i w:val="0"/>
        <w:sz w:val="24"/>
        <w:szCs w:val="24"/>
      </w:rPr>
    </w:lvl>
    <w:lvl w:ilvl="3">
      <w:start w:val="1"/>
      <w:numFmt w:val="lowerRoman"/>
      <w:lvlText w:val="(%4)"/>
      <w:lvlJc w:val="left"/>
      <w:pPr>
        <w:tabs>
          <w:tab w:val="num" w:pos="1134"/>
        </w:tabs>
        <w:ind w:left="1134" w:hanging="567"/>
      </w:pPr>
      <w:rPr>
        <w:rFonts w:ascii="Times New Roman" w:hAnsi="Times New Roman" w:hint="default"/>
        <w:b w:val="0"/>
        <w:i w:val="0"/>
        <w:sz w:val="20"/>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E24BEC"/>
    <w:multiLevelType w:val="hybridMultilevel"/>
    <w:tmpl w:val="8666766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7B070EC"/>
    <w:multiLevelType w:val="hybridMultilevel"/>
    <w:tmpl w:val="CCA6B8E4"/>
    <w:lvl w:ilvl="0" w:tplc="730C17DE">
      <w:start w:val="1"/>
      <w:numFmt w:val="upperLetter"/>
      <w:lvlText w:val="%1)"/>
      <w:lvlJc w:val="left"/>
      <w:pPr>
        <w:ind w:left="406" w:hanging="269"/>
      </w:pPr>
      <w:rPr>
        <w:rFonts w:ascii="Segoe UI" w:eastAsia="Segoe UI" w:hAnsi="Segoe UI" w:cs="Segoe UI" w:hint="default"/>
        <w:b/>
        <w:bCs/>
        <w:spacing w:val="-2"/>
        <w:w w:val="99"/>
        <w:sz w:val="20"/>
        <w:szCs w:val="20"/>
        <w:lang w:val="pt-PT" w:eastAsia="en-US" w:bidi="ar-SA"/>
      </w:rPr>
    </w:lvl>
    <w:lvl w:ilvl="1" w:tplc="12BAE4E0">
      <w:numFmt w:val="bullet"/>
      <w:lvlText w:val="•"/>
      <w:lvlJc w:val="left"/>
      <w:pPr>
        <w:ind w:left="1294" w:hanging="269"/>
      </w:pPr>
      <w:rPr>
        <w:lang w:val="pt-PT" w:eastAsia="en-US" w:bidi="ar-SA"/>
      </w:rPr>
    </w:lvl>
    <w:lvl w:ilvl="2" w:tplc="EB12B752">
      <w:numFmt w:val="bullet"/>
      <w:lvlText w:val="•"/>
      <w:lvlJc w:val="left"/>
      <w:pPr>
        <w:ind w:left="2188" w:hanging="269"/>
      </w:pPr>
      <w:rPr>
        <w:lang w:val="pt-PT" w:eastAsia="en-US" w:bidi="ar-SA"/>
      </w:rPr>
    </w:lvl>
    <w:lvl w:ilvl="3" w:tplc="372C219E">
      <w:numFmt w:val="bullet"/>
      <w:lvlText w:val="•"/>
      <w:lvlJc w:val="left"/>
      <w:pPr>
        <w:ind w:left="3083" w:hanging="269"/>
      </w:pPr>
      <w:rPr>
        <w:lang w:val="pt-PT" w:eastAsia="en-US" w:bidi="ar-SA"/>
      </w:rPr>
    </w:lvl>
    <w:lvl w:ilvl="4" w:tplc="FAB0C1C6">
      <w:numFmt w:val="bullet"/>
      <w:lvlText w:val="•"/>
      <w:lvlJc w:val="left"/>
      <w:pPr>
        <w:ind w:left="3977" w:hanging="269"/>
      </w:pPr>
      <w:rPr>
        <w:lang w:val="pt-PT" w:eastAsia="en-US" w:bidi="ar-SA"/>
      </w:rPr>
    </w:lvl>
    <w:lvl w:ilvl="5" w:tplc="635E65A8">
      <w:numFmt w:val="bullet"/>
      <w:lvlText w:val="•"/>
      <w:lvlJc w:val="left"/>
      <w:pPr>
        <w:ind w:left="4872" w:hanging="269"/>
      </w:pPr>
      <w:rPr>
        <w:lang w:val="pt-PT" w:eastAsia="en-US" w:bidi="ar-SA"/>
      </w:rPr>
    </w:lvl>
    <w:lvl w:ilvl="6" w:tplc="57B8853E">
      <w:numFmt w:val="bullet"/>
      <w:lvlText w:val="•"/>
      <w:lvlJc w:val="left"/>
      <w:pPr>
        <w:ind w:left="5766" w:hanging="269"/>
      </w:pPr>
      <w:rPr>
        <w:lang w:val="pt-PT" w:eastAsia="en-US" w:bidi="ar-SA"/>
      </w:rPr>
    </w:lvl>
    <w:lvl w:ilvl="7" w:tplc="20829FAC">
      <w:numFmt w:val="bullet"/>
      <w:lvlText w:val="•"/>
      <w:lvlJc w:val="left"/>
      <w:pPr>
        <w:ind w:left="6661" w:hanging="269"/>
      </w:pPr>
      <w:rPr>
        <w:lang w:val="pt-PT" w:eastAsia="en-US" w:bidi="ar-SA"/>
      </w:rPr>
    </w:lvl>
    <w:lvl w:ilvl="8" w:tplc="0A70DC14">
      <w:numFmt w:val="bullet"/>
      <w:lvlText w:val="•"/>
      <w:lvlJc w:val="left"/>
      <w:pPr>
        <w:ind w:left="7555" w:hanging="269"/>
      </w:pPr>
      <w:rPr>
        <w:lang w:val="pt-PT" w:eastAsia="en-US" w:bidi="ar-SA"/>
      </w:rPr>
    </w:lvl>
  </w:abstractNum>
  <w:abstractNum w:abstractNumId="9" w15:restartNumberingAfterBreak="0">
    <w:nsid w:val="79230F1D"/>
    <w:multiLevelType w:val="multilevel"/>
    <w:tmpl w:val="8392DA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F5C43FD"/>
    <w:multiLevelType w:val="hybridMultilevel"/>
    <w:tmpl w:val="E4E6F3BA"/>
    <w:lvl w:ilvl="0" w:tplc="EE34F054">
      <w:start w:val="1"/>
      <w:numFmt w:val="lowerRoman"/>
      <w:lvlText w:val="(%1)"/>
      <w:lvlJc w:val="left"/>
      <w:pPr>
        <w:ind w:left="1440" w:hanging="720"/>
      </w:pPr>
      <w:rPr>
        <w:rFonts w:asciiTheme="minorHAnsi" w:hAnsiTheme="minorHAnsi" w:cstheme="minorHAns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9002038">
    <w:abstractNumId w:val="1"/>
  </w:num>
  <w:num w:numId="2" w16cid:durableId="1871143062">
    <w:abstractNumId w:val="10"/>
  </w:num>
  <w:num w:numId="3" w16cid:durableId="945040101">
    <w:abstractNumId w:val="9"/>
  </w:num>
  <w:num w:numId="4" w16cid:durableId="1433092027">
    <w:abstractNumId w:val="4"/>
  </w:num>
  <w:num w:numId="5" w16cid:durableId="684596626">
    <w:abstractNumId w:val="3"/>
  </w:num>
  <w:num w:numId="6" w16cid:durableId="655256532">
    <w:abstractNumId w:val="2"/>
  </w:num>
  <w:num w:numId="7" w16cid:durableId="1858150454">
    <w:abstractNumId w:val="7"/>
  </w:num>
  <w:num w:numId="8" w16cid:durableId="2052921712">
    <w:abstractNumId w:val="5"/>
  </w:num>
  <w:num w:numId="9" w16cid:durableId="710030676">
    <w:abstractNumId w:val="0"/>
  </w:num>
  <w:num w:numId="10" w16cid:durableId="441649622">
    <w:abstractNumId w:val="8"/>
    <w:lvlOverride w:ilvl="0">
      <w:startOverride w:val="1"/>
    </w:lvlOverride>
    <w:lvlOverride w:ilvl="1"/>
    <w:lvlOverride w:ilvl="2"/>
    <w:lvlOverride w:ilvl="3"/>
    <w:lvlOverride w:ilvl="4"/>
    <w:lvlOverride w:ilvl="5"/>
    <w:lvlOverride w:ilvl="6"/>
    <w:lvlOverride w:ilvl="7"/>
    <w:lvlOverride w:ilvl="8"/>
  </w:num>
  <w:num w:numId="11" w16cid:durableId="146709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4"/>
    <w:rsid w:val="00004E17"/>
    <w:rsid w:val="0003229A"/>
    <w:rsid w:val="0003746C"/>
    <w:rsid w:val="00037C81"/>
    <w:rsid w:val="00073E56"/>
    <w:rsid w:val="00082FDA"/>
    <w:rsid w:val="000C656E"/>
    <w:rsid w:val="000D391E"/>
    <w:rsid w:val="000F1388"/>
    <w:rsid w:val="00104D0D"/>
    <w:rsid w:val="00130118"/>
    <w:rsid w:val="0013419C"/>
    <w:rsid w:val="00141DCD"/>
    <w:rsid w:val="00146D85"/>
    <w:rsid w:val="0017797E"/>
    <w:rsid w:val="001779CE"/>
    <w:rsid w:val="001925DB"/>
    <w:rsid w:val="001A3B1A"/>
    <w:rsid w:val="001C396B"/>
    <w:rsid w:val="001C6275"/>
    <w:rsid w:val="001D1306"/>
    <w:rsid w:val="00200E57"/>
    <w:rsid w:val="0021080D"/>
    <w:rsid w:val="00214B13"/>
    <w:rsid w:val="00225801"/>
    <w:rsid w:val="00226B0B"/>
    <w:rsid w:val="00237C89"/>
    <w:rsid w:val="00255704"/>
    <w:rsid w:val="00260A1D"/>
    <w:rsid w:val="00285DB2"/>
    <w:rsid w:val="002B45BD"/>
    <w:rsid w:val="002B5ED0"/>
    <w:rsid w:val="002E42C8"/>
    <w:rsid w:val="002F53D1"/>
    <w:rsid w:val="003018B8"/>
    <w:rsid w:val="00315E09"/>
    <w:rsid w:val="00333239"/>
    <w:rsid w:val="003435CA"/>
    <w:rsid w:val="0034422D"/>
    <w:rsid w:val="00372061"/>
    <w:rsid w:val="00390515"/>
    <w:rsid w:val="003A686F"/>
    <w:rsid w:val="003B3D9C"/>
    <w:rsid w:val="003F2226"/>
    <w:rsid w:val="003F30A4"/>
    <w:rsid w:val="003F347E"/>
    <w:rsid w:val="00400BEA"/>
    <w:rsid w:val="00405ADD"/>
    <w:rsid w:val="00433ECD"/>
    <w:rsid w:val="004351E5"/>
    <w:rsid w:val="0044071E"/>
    <w:rsid w:val="00443EE5"/>
    <w:rsid w:val="004557CA"/>
    <w:rsid w:val="00474552"/>
    <w:rsid w:val="00476B51"/>
    <w:rsid w:val="004A76BD"/>
    <w:rsid w:val="004B2EF8"/>
    <w:rsid w:val="004B7758"/>
    <w:rsid w:val="004E7ECA"/>
    <w:rsid w:val="004F0FD8"/>
    <w:rsid w:val="00502EB1"/>
    <w:rsid w:val="00502F15"/>
    <w:rsid w:val="005105CA"/>
    <w:rsid w:val="00530B1D"/>
    <w:rsid w:val="00542F0B"/>
    <w:rsid w:val="00554D6D"/>
    <w:rsid w:val="00560369"/>
    <w:rsid w:val="00576496"/>
    <w:rsid w:val="00591F4A"/>
    <w:rsid w:val="00593486"/>
    <w:rsid w:val="005A35F4"/>
    <w:rsid w:val="005B03CC"/>
    <w:rsid w:val="005B49B7"/>
    <w:rsid w:val="005C6477"/>
    <w:rsid w:val="005E19BD"/>
    <w:rsid w:val="005F2C33"/>
    <w:rsid w:val="005F4B0A"/>
    <w:rsid w:val="00610E03"/>
    <w:rsid w:val="00635834"/>
    <w:rsid w:val="0066246F"/>
    <w:rsid w:val="006679AB"/>
    <w:rsid w:val="00681282"/>
    <w:rsid w:val="006906FB"/>
    <w:rsid w:val="00694CEE"/>
    <w:rsid w:val="007010AC"/>
    <w:rsid w:val="00703B01"/>
    <w:rsid w:val="007153CC"/>
    <w:rsid w:val="007411B7"/>
    <w:rsid w:val="0074515A"/>
    <w:rsid w:val="00772485"/>
    <w:rsid w:val="007749EC"/>
    <w:rsid w:val="007805E6"/>
    <w:rsid w:val="007C0BBD"/>
    <w:rsid w:val="007C64BA"/>
    <w:rsid w:val="00801174"/>
    <w:rsid w:val="0082607D"/>
    <w:rsid w:val="00831918"/>
    <w:rsid w:val="008626D8"/>
    <w:rsid w:val="00862AD3"/>
    <w:rsid w:val="0088657A"/>
    <w:rsid w:val="008B7BD1"/>
    <w:rsid w:val="008C6514"/>
    <w:rsid w:val="008D3696"/>
    <w:rsid w:val="008F6E3D"/>
    <w:rsid w:val="009232EA"/>
    <w:rsid w:val="0094370B"/>
    <w:rsid w:val="0094671B"/>
    <w:rsid w:val="0096683C"/>
    <w:rsid w:val="00970976"/>
    <w:rsid w:val="00994646"/>
    <w:rsid w:val="009A38E8"/>
    <w:rsid w:val="009A3AD0"/>
    <w:rsid w:val="009B0F69"/>
    <w:rsid w:val="009B7A07"/>
    <w:rsid w:val="009C2395"/>
    <w:rsid w:val="009D71B9"/>
    <w:rsid w:val="009D71F7"/>
    <w:rsid w:val="009F5DCD"/>
    <w:rsid w:val="00A07ED5"/>
    <w:rsid w:val="00A20464"/>
    <w:rsid w:val="00A21B69"/>
    <w:rsid w:val="00A246D0"/>
    <w:rsid w:val="00A25911"/>
    <w:rsid w:val="00A473E2"/>
    <w:rsid w:val="00A524C7"/>
    <w:rsid w:val="00A53D77"/>
    <w:rsid w:val="00A7575B"/>
    <w:rsid w:val="00A7619A"/>
    <w:rsid w:val="00A9383F"/>
    <w:rsid w:val="00A97D93"/>
    <w:rsid w:val="00AB3408"/>
    <w:rsid w:val="00AC550D"/>
    <w:rsid w:val="00AE0D87"/>
    <w:rsid w:val="00AF299D"/>
    <w:rsid w:val="00B101E4"/>
    <w:rsid w:val="00B234B1"/>
    <w:rsid w:val="00B307D9"/>
    <w:rsid w:val="00B400C5"/>
    <w:rsid w:val="00B45C7C"/>
    <w:rsid w:val="00B5008B"/>
    <w:rsid w:val="00B57EE5"/>
    <w:rsid w:val="00B66387"/>
    <w:rsid w:val="00B809DD"/>
    <w:rsid w:val="00B86BFD"/>
    <w:rsid w:val="00B92908"/>
    <w:rsid w:val="00BB2331"/>
    <w:rsid w:val="00BB6955"/>
    <w:rsid w:val="00BC09F8"/>
    <w:rsid w:val="00BE5B93"/>
    <w:rsid w:val="00BF3EE8"/>
    <w:rsid w:val="00C02D38"/>
    <w:rsid w:val="00C10FDE"/>
    <w:rsid w:val="00C23E57"/>
    <w:rsid w:val="00C35CEA"/>
    <w:rsid w:val="00C36F32"/>
    <w:rsid w:val="00C94A25"/>
    <w:rsid w:val="00D02297"/>
    <w:rsid w:val="00D16B91"/>
    <w:rsid w:val="00D1760A"/>
    <w:rsid w:val="00D23585"/>
    <w:rsid w:val="00D32E3E"/>
    <w:rsid w:val="00D92F17"/>
    <w:rsid w:val="00DA7A46"/>
    <w:rsid w:val="00DB0735"/>
    <w:rsid w:val="00DD467D"/>
    <w:rsid w:val="00DD79A0"/>
    <w:rsid w:val="00E0216D"/>
    <w:rsid w:val="00E071E4"/>
    <w:rsid w:val="00E30566"/>
    <w:rsid w:val="00E802C7"/>
    <w:rsid w:val="00E80D89"/>
    <w:rsid w:val="00E9059C"/>
    <w:rsid w:val="00E9701C"/>
    <w:rsid w:val="00EB5626"/>
    <w:rsid w:val="00EC6D33"/>
    <w:rsid w:val="00ED2BB7"/>
    <w:rsid w:val="00ED4040"/>
    <w:rsid w:val="00EE7952"/>
    <w:rsid w:val="00F01B7D"/>
    <w:rsid w:val="00F01E37"/>
    <w:rsid w:val="00F157D0"/>
    <w:rsid w:val="00F15CB2"/>
    <w:rsid w:val="00F22468"/>
    <w:rsid w:val="00F4338D"/>
    <w:rsid w:val="00F57C3E"/>
    <w:rsid w:val="00FA0480"/>
    <w:rsid w:val="00FA581B"/>
    <w:rsid w:val="00FC2731"/>
    <w:rsid w:val="00FE70D4"/>
    <w:rsid w:val="00FF1937"/>
    <w:rsid w:val="00FF4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07BD"/>
  <w15:chartTrackingRefBased/>
  <w15:docId w15:val="{D5CEE74A-0FC5-4AEE-A178-3D832B58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14"/>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uiPriority w:val="9"/>
    <w:qFormat/>
    <w:rsid w:val="00ED2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C6514"/>
    <w:pPr>
      <w:keepNext/>
      <w:outlineLvl w:val="1"/>
    </w:pPr>
    <w:rPr>
      <w:rFonts w:ascii="CG Times" w:hAnsi="CG Times"/>
    </w:rPr>
  </w:style>
  <w:style w:type="paragraph" w:styleId="Ttulo8">
    <w:name w:val="heading 8"/>
    <w:basedOn w:val="Normal"/>
    <w:next w:val="Normal"/>
    <w:link w:val="Ttulo8Char"/>
    <w:qFormat/>
    <w:rsid w:val="004F0FD8"/>
    <w:pPr>
      <w:keepNext/>
      <w:numPr>
        <w:numId w:val="8"/>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C6514"/>
    <w:rPr>
      <w:rFonts w:ascii="CG Times" w:eastAsia="Times New Roman" w:hAnsi="CG Times" w:cs="Times New Roman"/>
      <w:sz w:val="26"/>
      <w:szCs w:val="20"/>
      <w:lang w:eastAsia="pt-BR"/>
    </w:rPr>
  </w:style>
  <w:style w:type="paragraph" w:styleId="Rodap">
    <w:name w:val="footer"/>
    <w:basedOn w:val="Normal"/>
    <w:link w:val="RodapChar"/>
    <w:uiPriority w:val="99"/>
    <w:rsid w:val="008C6514"/>
    <w:pPr>
      <w:tabs>
        <w:tab w:val="center" w:pos="4252"/>
        <w:tab w:val="right" w:pos="8504"/>
      </w:tabs>
    </w:pPr>
  </w:style>
  <w:style w:type="character" w:customStyle="1" w:styleId="RodapChar">
    <w:name w:val="Rodapé Char"/>
    <w:basedOn w:val="Fontepargpadro"/>
    <w:link w:val="Rodap"/>
    <w:uiPriority w:val="99"/>
    <w:rsid w:val="008C6514"/>
    <w:rPr>
      <w:rFonts w:ascii="Times New Roman" w:eastAsia="Times New Roman" w:hAnsi="Times New Roman" w:cs="Times New Roman"/>
      <w:sz w:val="26"/>
      <w:szCs w:val="20"/>
      <w:lang w:eastAsia="pt-BR"/>
    </w:rPr>
  </w:style>
  <w:style w:type="table" w:styleId="Tabelacomgrade">
    <w:name w:val="Table Grid"/>
    <w:basedOn w:val="Tabelanormal"/>
    <w:rsid w:val="008C6514"/>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Bullets 1,Itemização,Capítulo,Comum,List Paragraph_0,List Paragraph_0_0,List Paragraph_0_0_0,List Paragraph_1,List Paragraph_2,Meu,Normal numerado,Parágrafo da Lista;Comum,Nível 1,Vitor T,????,????1,?????1"/>
    <w:basedOn w:val="Normal"/>
    <w:link w:val="PargrafodaListaChar"/>
    <w:uiPriority w:val="34"/>
    <w:qFormat/>
    <w:rsid w:val="008C6514"/>
    <w:pPr>
      <w:ind w:left="720"/>
      <w:contextualSpacing/>
    </w:pPr>
  </w:style>
  <w:style w:type="paragraph" w:customStyle="1" w:styleId="Default">
    <w:name w:val="Default"/>
    <w:rsid w:val="008C6514"/>
    <w:pPr>
      <w:autoSpaceDE w:val="0"/>
      <w:autoSpaceDN w:val="0"/>
      <w:adjustRightInd w:val="0"/>
      <w:spacing w:line="240" w:lineRule="auto"/>
    </w:pPr>
    <w:rPr>
      <w:rFonts w:ascii="Garamond" w:eastAsia="Times New Roman" w:hAnsi="Garamond" w:cs="Garamond"/>
      <w:color w:val="000000"/>
      <w:sz w:val="24"/>
      <w:szCs w:val="24"/>
      <w:lang w:eastAsia="pt-BR"/>
    </w:rPr>
  </w:style>
  <w:style w:type="character" w:customStyle="1" w:styleId="PargrafodaListaChar">
    <w:name w:val="Parágrafo da Lista Char"/>
    <w:aliases w:val="Vitor Título Char,Vitor T’tulo Char,Bullets 1 Char,Itemização Char,Capítulo Char,Comum Char,List Paragraph_0 Char,List Paragraph_0_0 Char,List Paragraph_0_0_0 Char,List Paragraph_1 Char,List Paragraph_2 Char,Meu Char,Nível 1 Char"/>
    <w:link w:val="PargrafodaLista"/>
    <w:uiPriority w:val="34"/>
    <w:qFormat/>
    <w:locked/>
    <w:rsid w:val="008C6514"/>
    <w:rPr>
      <w:rFonts w:ascii="Times New Roman" w:eastAsia="Times New Roman" w:hAnsi="Times New Roman" w:cs="Times New Roman"/>
      <w:sz w:val="26"/>
      <w:szCs w:val="20"/>
      <w:lang w:eastAsia="pt-BR"/>
    </w:rPr>
  </w:style>
  <w:style w:type="paragraph" w:customStyle="1" w:styleId="Corpo">
    <w:name w:val="Corpo"/>
    <w:rsid w:val="008C6514"/>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rPr>
  </w:style>
  <w:style w:type="character" w:customStyle="1" w:styleId="Nenhum">
    <w:name w:val="Nenhum"/>
    <w:rsid w:val="008C6514"/>
  </w:style>
  <w:style w:type="paragraph" w:styleId="Cabealho">
    <w:name w:val="header"/>
    <w:basedOn w:val="Normal"/>
    <w:link w:val="CabealhoChar"/>
    <w:uiPriority w:val="99"/>
    <w:unhideWhenUsed/>
    <w:rsid w:val="008C6514"/>
    <w:pPr>
      <w:tabs>
        <w:tab w:val="center" w:pos="4252"/>
        <w:tab w:val="right" w:pos="8504"/>
      </w:tabs>
      <w:spacing w:after="0"/>
    </w:pPr>
  </w:style>
  <w:style w:type="character" w:customStyle="1" w:styleId="CabealhoChar">
    <w:name w:val="Cabeçalho Char"/>
    <w:basedOn w:val="Fontepargpadro"/>
    <w:link w:val="Cabealho"/>
    <w:uiPriority w:val="99"/>
    <w:rsid w:val="008C6514"/>
    <w:rPr>
      <w:rFonts w:ascii="Times New Roman" w:eastAsia="Times New Roman" w:hAnsi="Times New Roman" w:cs="Times New Roman"/>
      <w:sz w:val="26"/>
      <w:szCs w:val="20"/>
      <w:lang w:eastAsia="pt-BR"/>
    </w:rPr>
  </w:style>
  <w:style w:type="character" w:customStyle="1" w:styleId="contentpasted2">
    <w:name w:val="contentpasted2"/>
    <w:basedOn w:val="Fontepargpadro"/>
    <w:rsid w:val="001A3B1A"/>
  </w:style>
  <w:style w:type="character" w:customStyle="1" w:styleId="s1">
    <w:name w:val="s1"/>
    <w:basedOn w:val="Fontepargpadro"/>
    <w:rsid w:val="00F157D0"/>
  </w:style>
  <w:style w:type="paragraph" w:styleId="Reviso">
    <w:name w:val="Revision"/>
    <w:hidden/>
    <w:uiPriority w:val="99"/>
    <w:semiHidden/>
    <w:rsid w:val="00635834"/>
    <w:pPr>
      <w:spacing w:line="240" w:lineRule="auto"/>
    </w:pPr>
    <w:rPr>
      <w:rFonts w:ascii="Times New Roman" w:eastAsia="Times New Roman" w:hAnsi="Times New Roman" w:cs="Times New Roman"/>
      <w:sz w:val="26"/>
      <w:szCs w:val="20"/>
      <w:lang w:eastAsia="pt-BR"/>
    </w:rPr>
  </w:style>
  <w:style w:type="character" w:customStyle="1" w:styleId="Ttulo8Char">
    <w:name w:val="Título 8 Char"/>
    <w:basedOn w:val="Fontepargpadro"/>
    <w:link w:val="Ttulo8"/>
    <w:rsid w:val="004F0FD8"/>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F0FD8"/>
    <w:pPr>
      <w:spacing w:after="0"/>
    </w:pPr>
    <w:rPr>
      <w:rFonts w:ascii="Arial" w:hAnsi="Arial"/>
      <w:b/>
      <w:sz w:val="24"/>
      <w:lang w:eastAsia="en-US"/>
    </w:rPr>
  </w:style>
  <w:style w:type="character" w:customStyle="1" w:styleId="Corpodetexto2Char">
    <w:name w:val="Corpo de texto 2 Char"/>
    <w:basedOn w:val="Fontepargpadro"/>
    <w:link w:val="Corpodetexto2"/>
    <w:rsid w:val="004F0FD8"/>
    <w:rPr>
      <w:rFonts w:ascii="Arial" w:eastAsia="Times New Roman" w:hAnsi="Arial" w:cs="Times New Roman"/>
      <w:b/>
      <w:sz w:val="24"/>
      <w:szCs w:val="20"/>
    </w:rPr>
  </w:style>
  <w:style w:type="character" w:styleId="Refdecomentrio">
    <w:name w:val="annotation reference"/>
    <w:basedOn w:val="Fontepargpadro"/>
    <w:uiPriority w:val="99"/>
    <w:semiHidden/>
    <w:unhideWhenUsed/>
    <w:rsid w:val="008F6E3D"/>
    <w:rPr>
      <w:sz w:val="16"/>
      <w:szCs w:val="16"/>
    </w:rPr>
  </w:style>
  <w:style w:type="paragraph" w:styleId="Textodecomentrio">
    <w:name w:val="annotation text"/>
    <w:basedOn w:val="Normal"/>
    <w:link w:val="TextodecomentrioChar"/>
    <w:uiPriority w:val="99"/>
    <w:unhideWhenUsed/>
    <w:rsid w:val="008F6E3D"/>
    <w:rPr>
      <w:sz w:val="20"/>
    </w:rPr>
  </w:style>
  <w:style w:type="character" w:customStyle="1" w:styleId="TextodecomentrioChar">
    <w:name w:val="Texto de comentário Char"/>
    <w:basedOn w:val="Fontepargpadro"/>
    <w:link w:val="Textodecomentrio"/>
    <w:uiPriority w:val="99"/>
    <w:rsid w:val="008F6E3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F6E3D"/>
    <w:rPr>
      <w:b/>
      <w:bCs/>
    </w:rPr>
  </w:style>
  <w:style w:type="character" w:customStyle="1" w:styleId="AssuntodocomentrioChar">
    <w:name w:val="Assunto do comentário Char"/>
    <w:basedOn w:val="TextodecomentrioChar"/>
    <w:link w:val="Assuntodocomentrio"/>
    <w:uiPriority w:val="99"/>
    <w:semiHidden/>
    <w:rsid w:val="008F6E3D"/>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ED2BB7"/>
    <w:rPr>
      <w:rFonts w:asciiTheme="majorHAnsi" w:eastAsiaTheme="majorEastAsia" w:hAnsiTheme="majorHAnsi" w:cstheme="majorBidi"/>
      <w:color w:val="2F5496" w:themeColor="accent1" w:themeShade="BF"/>
      <w:sz w:val="32"/>
      <w:szCs w:val="32"/>
      <w:lang w:eastAsia="pt-BR"/>
    </w:rPr>
  </w:style>
  <w:style w:type="paragraph" w:styleId="Corpodetexto">
    <w:name w:val="Body Text"/>
    <w:basedOn w:val="Normal"/>
    <w:link w:val="CorpodetextoChar"/>
    <w:unhideWhenUsed/>
    <w:rsid w:val="00ED2BB7"/>
  </w:style>
  <w:style w:type="character" w:customStyle="1" w:styleId="CorpodetextoChar">
    <w:name w:val="Corpo de texto Char"/>
    <w:basedOn w:val="Fontepargpadro"/>
    <w:link w:val="Corpodetexto"/>
    <w:rsid w:val="00ED2BB7"/>
    <w:rPr>
      <w:rFonts w:ascii="Times New Roman" w:eastAsia="Times New Roman" w:hAnsi="Times New Roman" w:cs="Times New Roman"/>
      <w:sz w:val="26"/>
      <w:szCs w:val="20"/>
      <w:lang w:eastAsia="pt-BR"/>
    </w:rPr>
  </w:style>
  <w:style w:type="paragraph" w:customStyle="1" w:styleId="TableParagraph">
    <w:name w:val="Table Paragraph"/>
    <w:basedOn w:val="Normal"/>
    <w:uiPriority w:val="1"/>
    <w:qFormat/>
    <w:rsid w:val="00ED2BB7"/>
    <w:pPr>
      <w:widowControl w:val="0"/>
      <w:autoSpaceDE w:val="0"/>
      <w:autoSpaceDN w:val="0"/>
      <w:spacing w:before="120" w:after="0"/>
      <w:ind w:left="69"/>
      <w:jc w:val="left"/>
    </w:pPr>
    <w:rPr>
      <w:rFonts w:ascii="Segoe UI" w:eastAsia="Segoe UI" w:hAnsi="Segoe UI" w:cs="Segoe UI"/>
      <w:sz w:val="22"/>
      <w:szCs w:val="22"/>
      <w:lang w:val="pt-PT" w:eastAsia="en-US"/>
    </w:rPr>
  </w:style>
  <w:style w:type="table" w:customStyle="1" w:styleId="TableNormal">
    <w:name w:val="Table Normal"/>
    <w:uiPriority w:val="2"/>
    <w:semiHidden/>
    <w:qFormat/>
    <w:rsid w:val="00ED2BB7"/>
    <w:pPr>
      <w:widowControl w:val="0"/>
      <w:autoSpaceDE w:val="0"/>
      <w:autoSpaceDN w:val="0"/>
      <w:spacing w:line="240" w:lineRule="auto"/>
    </w:pPr>
    <w:rPr>
      <w:lang w:val="en-US"/>
    </w:rPr>
    <w:tblPr>
      <w:tblCellMar>
        <w:top w:w="0" w:type="dxa"/>
        <w:left w:w="0" w:type="dxa"/>
        <w:bottom w:w="0" w:type="dxa"/>
        <w:right w:w="0" w:type="dxa"/>
      </w:tblCellMar>
    </w:tblPr>
  </w:style>
  <w:style w:type="paragraph" w:customStyle="1" w:styleId="Nvel11">
    <w:name w:val="Nível 1.1"/>
    <w:basedOn w:val="Normal"/>
    <w:qFormat/>
    <w:rsid w:val="00772485"/>
    <w:pPr>
      <w:tabs>
        <w:tab w:val="num" w:pos="1418"/>
      </w:tabs>
      <w:spacing w:after="0" w:line="288" w:lineRule="auto"/>
    </w:pPr>
    <w:rPr>
      <w:rFonts w:ascii="Cambria" w:eastAsiaTheme="minorHAnsi" w:hAnsi="Cambria" w:cstheme="minorBidi"/>
      <w:sz w:val="22"/>
      <w:szCs w:val="22"/>
      <w:lang w:val="en-US" w:eastAsia="en-US"/>
    </w:rPr>
  </w:style>
  <w:style w:type="paragraph" w:customStyle="1" w:styleId="Celso1">
    <w:name w:val="Celso1"/>
    <w:basedOn w:val="Normal"/>
    <w:link w:val="Celso1Char"/>
    <w:rsid w:val="00FF4A8D"/>
    <w:pPr>
      <w:widowControl w:val="0"/>
      <w:suppressAutoHyphens/>
      <w:autoSpaceDE w:val="0"/>
      <w:spacing w:after="0"/>
    </w:pPr>
    <w:rPr>
      <w:rFonts w:ascii="Univers (W1)" w:hAnsi="Univers (W1)"/>
      <w:sz w:val="24"/>
      <w:szCs w:val="24"/>
      <w:lang w:eastAsia="ar-SA"/>
    </w:rPr>
  </w:style>
  <w:style w:type="paragraph" w:styleId="NormalWeb">
    <w:name w:val="Normal (Web)"/>
    <w:basedOn w:val="Normal"/>
    <w:uiPriority w:val="99"/>
    <w:rsid w:val="00FF4A8D"/>
    <w:pPr>
      <w:spacing w:before="100" w:beforeAutospacing="1" w:after="119"/>
      <w:jc w:val="left"/>
    </w:pPr>
    <w:rPr>
      <w:sz w:val="24"/>
      <w:szCs w:val="24"/>
    </w:rPr>
  </w:style>
  <w:style w:type="character" w:customStyle="1" w:styleId="Celso1Char">
    <w:name w:val="Celso1 Char"/>
    <w:link w:val="Celso1"/>
    <w:locked/>
    <w:rsid w:val="00FF4A8D"/>
    <w:rPr>
      <w:rFonts w:ascii="Univers (W1)" w:eastAsia="Times New Roman" w:hAnsi="Univers (W1)"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3876">
      <w:bodyDiv w:val="1"/>
      <w:marLeft w:val="0"/>
      <w:marRight w:val="0"/>
      <w:marTop w:val="0"/>
      <w:marBottom w:val="0"/>
      <w:divBdr>
        <w:top w:val="none" w:sz="0" w:space="0" w:color="auto"/>
        <w:left w:val="none" w:sz="0" w:space="0" w:color="auto"/>
        <w:bottom w:val="none" w:sz="0" w:space="0" w:color="auto"/>
        <w:right w:val="none" w:sz="0" w:space="0" w:color="auto"/>
      </w:divBdr>
    </w:div>
    <w:div w:id="19128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3.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3140</Words>
  <Characters>18087</Characters>
  <Application>Microsoft Office Word</Application>
  <DocSecurity>0</DocSecurity>
  <Lines>488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Barbara Bauer de Lima Cardoso | Stocche Forbes Advogados</cp:lastModifiedBy>
  <cp:revision>2</cp:revision>
  <dcterms:created xsi:type="dcterms:W3CDTF">2023-08-07T19:20:00Z</dcterms:created>
  <dcterms:modified xsi:type="dcterms:W3CDTF">2023-08-07T19:20:00Z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Classificação: Confidencial</vt:lpwstr>
  </property>
  <property fmtid="{D5CDD505-2E9C-101B-9397-08002B2CF9AE}" pid="5" name="MSIP_Label_abcb16ef-e8d6-41dd-8dd5-c325e19c0bbd_Enabled">
    <vt:lpwstr>true</vt:lpwstr>
  </property>
  <property fmtid="{D5CDD505-2E9C-101B-9397-08002B2CF9AE}" pid="6" name="MSIP_Label_abcb16ef-e8d6-41dd-8dd5-c325e19c0bbd_SetDate">
    <vt:lpwstr>2023-06-14T18:52:12Z</vt:lpwstr>
  </property>
  <property fmtid="{D5CDD505-2E9C-101B-9397-08002B2CF9AE}" pid="7" name="MSIP_Label_abcb16ef-e8d6-41dd-8dd5-c325e19c0bbd_Method">
    <vt:lpwstr>Privileged</vt:lpwstr>
  </property>
  <property fmtid="{D5CDD505-2E9C-101B-9397-08002B2CF9AE}" pid="8" name="MSIP_Label_abcb16ef-e8d6-41dd-8dd5-c325e19c0bbd_Name">
    <vt:lpwstr>Confidencial</vt:lpwstr>
  </property>
  <property fmtid="{D5CDD505-2E9C-101B-9397-08002B2CF9AE}" pid="9" name="MSIP_Label_abcb16ef-e8d6-41dd-8dd5-c325e19c0bbd_SiteId">
    <vt:lpwstr>8a0ffb54-9716-4a93-9158-9e3a7206f18e</vt:lpwstr>
  </property>
  <property fmtid="{D5CDD505-2E9C-101B-9397-08002B2CF9AE}" pid="10" name="MSIP_Label_abcb16ef-e8d6-41dd-8dd5-c325e19c0bbd_ActionId">
    <vt:lpwstr>bc29844e-7e59-419e-8d31-5ae0afcd54ee</vt:lpwstr>
  </property>
  <property fmtid="{D5CDD505-2E9C-101B-9397-08002B2CF9AE}" pid="11" name="MSIP_Label_abcb16ef-e8d6-41dd-8dd5-c325e19c0bbd_ContentBits">
    <vt:lpwstr>2</vt:lpwstr>
  </property>
</Properties>
</file>