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193A" w14:textId="030A8EF1" w:rsidR="0076394A" w:rsidRPr="0076394A" w:rsidRDefault="0076394A" w:rsidP="002A7954">
      <w:pPr>
        <w:rPr>
          <w:rFonts w:ascii="Verdana" w:hAnsi="Verdana" w:cs="Arial"/>
          <w:b/>
          <w:sz w:val="20"/>
        </w:rPr>
      </w:pPr>
      <w:r w:rsidRPr="0076394A">
        <w:rPr>
          <w:rFonts w:ascii="Verdana" w:hAnsi="Verdana" w:cs="Arial"/>
          <w:b/>
          <w:sz w:val="20"/>
        </w:rPr>
        <w:t xml:space="preserve">PRIMEIRO ADITIVO AO INSTRUMENTO PARTICULAR DE ESCRITURA </w:t>
      </w:r>
      <w:r w:rsidRPr="0076394A">
        <w:rPr>
          <w:rFonts w:ascii="Verdana" w:hAnsi="Verdana" w:cs="Arial"/>
          <w:b/>
          <w:bCs/>
          <w:sz w:val="20"/>
        </w:rPr>
        <w:t xml:space="preserve">DA 1ª (PRIMEIRA) </w:t>
      </w:r>
      <w:r w:rsidRPr="0076394A">
        <w:rPr>
          <w:rFonts w:ascii="Verdana" w:hAnsi="Verdana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Pr="0076394A">
        <w:rPr>
          <w:rFonts w:ascii="Verdana" w:hAnsi="Verdana" w:cs="Arial"/>
          <w:b/>
          <w:bCs/>
          <w:color w:val="000000"/>
          <w:sz w:val="20"/>
        </w:rPr>
        <w:t xml:space="preserve">PEDRA CHEIROSA </w:t>
      </w:r>
      <w:r w:rsidR="004A19B4" w:rsidRPr="0076394A">
        <w:rPr>
          <w:rFonts w:ascii="Verdana" w:hAnsi="Verdana" w:cs="Arial"/>
          <w:b/>
          <w:bCs/>
          <w:color w:val="000000"/>
          <w:sz w:val="20"/>
        </w:rPr>
        <w:t>I</w:t>
      </w:r>
      <w:r w:rsidR="004A19B4">
        <w:rPr>
          <w:rFonts w:ascii="Verdana" w:hAnsi="Verdana" w:cs="Arial"/>
          <w:b/>
          <w:bCs/>
          <w:color w:val="000000"/>
          <w:sz w:val="20"/>
        </w:rPr>
        <w:t>I</w:t>
      </w:r>
      <w:r w:rsidRPr="0076394A">
        <w:rPr>
          <w:rFonts w:ascii="Verdana" w:hAnsi="Verdana" w:cs="Arial"/>
          <w:b/>
          <w:bCs/>
          <w:color w:val="000000"/>
          <w:sz w:val="20"/>
        </w:rPr>
        <w:t xml:space="preserve"> ENERGIA S.A.</w:t>
      </w:r>
    </w:p>
    <w:p w14:paraId="5500A381" w14:textId="77777777" w:rsidR="0076394A" w:rsidRPr="0076394A" w:rsidRDefault="0076394A" w:rsidP="002A7954">
      <w:pPr>
        <w:rPr>
          <w:rFonts w:ascii="Verdana" w:hAnsi="Verdana" w:cs="Arial"/>
          <w:b/>
          <w:sz w:val="20"/>
        </w:rPr>
      </w:pPr>
    </w:p>
    <w:p w14:paraId="148D791D" w14:textId="5B0ADD8E" w:rsidR="0076394A" w:rsidRPr="0076394A" w:rsidRDefault="0076394A" w:rsidP="002A7954">
      <w:pPr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sz w:val="20"/>
        </w:rPr>
        <w:t xml:space="preserve">Pelo presente instrumento particular, </w:t>
      </w:r>
      <w:r w:rsidR="00450335">
        <w:rPr>
          <w:rFonts w:ascii="Verdana" w:hAnsi="Verdana" w:cs="Arial"/>
          <w:sz w:val="20"/>
        </w:rPr>
        <w:t>as partes a seguir qualificadas,</w:t>
      </w:r>
    </w:p>
    <w:p w14:paraId="126BFA92" w14:textId="77777777" w:rsidR="0076394A" w:rsidRPr="0076394A" w:rsidRDefault="0076394A" w:rsidP="002A7954">
      <w:pPr>
        <w:rPr>
          <w:rFonts w:ascii="Verdana" w:hAnsi="Verdana" w:cs="Arial"/>
          <w:sz w:val="20"/>
        </w:rPr>
      </w:pPr>
    </w:p>
    <w:p w14:paraId="53786CE2" w14:textId="7B3BAB25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/>
          <w:b/>
          <w:caps/>
          <w:sz w:val="20"/>
        </w:rPr>
        <w:t xml:space="preserve">PEDRA CHEIROSA </w:t>
      </w:r>
      <w:r w:rsidR="004A19B4">
        <w:rPr>
          <w:rFonts w:ascii="Verdana" w:hAnsi="Verdana"/>
          <w:b/>
          <w:caps/>
          <w:sz w:val="20"/>
        </w:rPr>
        <w:t>II</w:t>
      </w:r>
      <w:r w:rsidRPr="0076394A">
        <w:rPr>
          <w:rFonts w:ascii="Verdana" w:hAnsi="Verdana"/>
          <w:b/>
          <w:caps/>
          <w:sz w:val="20"/>
        </w:rPr>
        <w:t xml:space="preserve"> ENERGIA S.A.</w:t>
      </w:r>
      <w:r w:rsidRPr="0076394A">
        <w:rPr>
          <w:rFonts w:ascii="Verdana" w:hAnsi="Verdana" w:cs="Arial"/>
          <w:sz w:val="20"/>
        </w:rPr>
        <w:t>, sociedade por ações, sem registro de emissor de valores mobiliários junto à Comissão de Valores Mobiliários (“</w:t>
      </w:r>
      <w:r w:rsidRPr="0076394A">
        <w:rPr>
          <w:rFonts w:ascii="Verdana" w:hAnsi="Verdana" w:cs="Arial"/>
          <w:sz w:val="20"/>
          <w:u w:val="single"/>
        </w:rPr>
        <w:t>CVM</w:t>
      </w:r>
      <w:r w:rsidRPr="0076394A">
        <w:rPr>
          <w:rFonts w:ascii="Verdana" w:hAnsi="Verdana" w:cs="Arial"/>
          <w:sz w:val="20"/>
        </w:rPr>
        <w:t xml:space="preserve">”), com sede na </w:t>
      </w:r>
      <w:r w:rsidRPr="0076394A">
        <w:rPr>
          <w:rFonts w:ascii="Verdana" w:hAnsi="Verdana" w:cs="Arial"/>
          <w:bCs/>
          <w:sz w:val="20"/>
        </w:rPr>
        <w:t xml:space="preserve">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</w:t>
      </w:r>
      <w:r w:rsidR="004A19B4">
        <w:rPr>
          <w:rFonts w:ascii="Verdana" w:hAnsi="Verdana" w:cs="Arial"/>
          <w:sz w:val="20"/>
        </w:rPr>
        <w:t>8</w:t>
      </w:r>
      <w:r w:rsidR="004A19B4" w:rsidRPr="005A5B1A">
        <w:rPr>
          <w:rFonts w:ascii="Verdana" w:hAnsi="Verdana" w:cs="Arial"/>
          <w:sz w:val="20"/>
        </w:rPr>
        <w:t>º</w:t>
      </w:r>
      <w:r w:rsidRPr="0076394A">
        <w:rPr>
          <w:rFonts w:ascii="Verdana" w:hAnsi="Verdana" w:cs="Arial"/>
          <w:sz w:val="20"/>
        </w:rPr>
        <w:t xml:space="preserve"> andar, sala </w:t>
      </w:r>
      <w:r w:rsidR="004A19B4">
        <w:rPr>
          <w:rFonts w:ascii="Verdana" w:hAnsi="Verdana" w:cs="Arial"/>
          <w:sz w:val="20"/>
        </w:rPr>
        <w:t>AD</w:t>
      </w:r>
      <w:r w:rsidRPr="0076394A">
        <w:rPr>
          <w:rFonts w:ascii="Verdana" w:hAnsi="Verdana" w:cs="Arial"/>
          <w:sz w:val="20"/>
        </w:rPr>
        <w:t>,</w:t>
      </w:r>
      <w:r w:rsidRPr="0076394A">
        <w:rPr>
          <w:rFonts w:ascii="Verdana" w:hAnsi="Verdana" w:cs="Arial"/>
          <w:bCs/>
          <w:sz w:val="20"/>
        </w:rPr>
        <w:t xml:space="preserve"> Vila Olímpia, CEP 04548-004, inscrita no Cadastro Nacional de Pessoa Jurídica do Ministério da Fazenda (“</w:t>
      </w:r>
      <w:r w:rsidRPr="0076394A">
        <w:rPr>
          <w:rFonts w:ascii="Verdana" w:hAnsi="Verdana" w:cs="Arial"/>
          <w:bCs/>
          <w:sz w:val="20"/>
          <w:u w:val="single"/>
        </w:rPr>
        <w:t>CNPJ/MF</w:t>
      </w:r>
      <w:r w:rsidRPr="0076394A">
        <w:rPr>
          <w:rFonts w:ascii="Verdana" w:hAnsi="Verdana" w:cs="Arial"/>
          <w:bCs/>
          <w:sz w:val="20"/>
        </w:rPr>
        <w:t xml:space="preserve">”) sob nº </w:t>
      </w:r>
      <w:r w:rsidRPr="0076394A">
        <w:rPr>
          <w:rFonts w:ascii="Verdana" w:hAnsi="Verdana" w:cs="Arial"/>
          <w:sz w:val="20"/>
        </w:rPr>
        <w:t>10.883.</w:t>
      </w:r>
      <w:r w:rsidR="004A19B4">
        <w:rPr>
          <w:rFonts w:ascii="Verdana" w:hAnsi="Verdana" w:cs="Arial"/>
          <w:sz w:val="20"/>
        </w:rPr>
        <w:t>587</w:t>
      </w:r>
      <w:r w:rsidRPr="0076394A">
        <w:rPr>
          <w:rFonts w:ascii="Verdana" w:hAnsi="Verdana" w:cs="Arial"/>
          <w:sz w:val="20"/>
        </w:rPr>
        <w:t>/0001-</w:t>
      </w:r>
      <w:r w:rsidR="004A19B4">
        <w:rPr>
          <w:rFonts w:ascii="Verdana" w:hAnsi="Verdana" w:cs="Arial"/>
          <w:sz w:val="20"/>
        </w:rPr>
        <w:t>88</w:t>
      </w:r>
      <w:r w:rsidRPr="0076394A">
        <w:rPr>
          <w:rFonts w:ascii="Verdana" w:hAnsi="Verdana" w:cs="Arial"/>
          <w:bCs/>
          <w:sz w:val="20"/>
        </w:rPr>
        <w:t>, com seus atos constitutivos arquivados na Junta Comercial do Estado de São Paulo (“</w:t>
      </w:r>
      <w:r w:rsidRPr="0076394A">
        <w:rPr>
          <w:rFonts w:ascii="Verdana" w:hAnsi="Verdana" w:cs="Arial"/>
          <w:bCs/>
          <w:sz w:val="20"/>
          <w:u w:val="single"/>
        </w:rPr>
        <w:t>JUCESP</w:t>
      </w:r>
      <w:r w:rsidRPr="0076394A">
        <w:rPr>
          <w:rFonts w:ascii="Verdana" w:hAnsi="Verdana" w:cs="Arial"/>
          <w:bCs/>
          <w:sz w:val="20"/>
        </w:rPr>
        <w:t>”) sob o NIRE</w:t>
      </w:r>
      <w:r w:rsidR="004A19B4">
        <w:rPr>
          <w:rFonts w:ascii="Verdana" w:hAnsi="Verdana" w:cs="Arial"/>
          <w:bCs/>
          <w:sz w:val="20"/>
        </w:rPr>
        <w:t xml:space="preserve"> </w:t>
      </w:r>
      <w:r w:rsidRPr="0076394A">
        <w:rPr>
          <w:rFonts w:ascii="Verdana" w:hAnsi="Verdana" w:cs="Arial"/>
          <w:bCs/>
          <w:sz w:val="20"/>
        </w:rPr>
        <w:t>nº 35.226.295.</w:t>
      </w:r>
      <w:r w:rsidR="004A19B4">
        <w:rPr>
          <w:rFonts w:ascii="Verdana" w:hAnsi="Verdana" w:cs="Arial"/>
          <w:bCs/>
          <w:sz w:val="20"/>
        </w:rPr>
        <w:t>167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neste ato representada na forma de seu estatuto social 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Emissora</w:t>
      </w:r>
      <w:r w:rsidRPr="0076394A">
        <w:rPr>
          <w:rFonts w:ascii="Verdana" w:hAnsi="Verdana" w:cs="Arial"/>
          <w:sz w:val="20"/>
        </w:rPr>
        <w:t>”);</w:t>
      </w:r>
    </w:p>
    <w:p w14:paraId="4DF5FCA2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70E9A738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bCs/>
          <w:sz w:val="20"/>
        </w:rPr>
        <w:t>CPFL ENERGIAS RENOVÁVEIS S.A.</w:t>
      </w:r>
      <w:r w:rsidRPr="0076394A">
        <w:rPr>
          <w:rFonts w:ascii="Verdana" w:hAnsi="Verdana" w:cs="Arial"/>
          <w:bCs/>
          <w:sz w:val="20"/>
        </w:rPr>
        <w:t xml:space="preserve">, sociedade por ações de capital aberto,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08.439.659/0001-50</w:t>
      </w:r>
      <w:r w:rsidRPr="0076394A">
        <w:rPr>
          <w:rFonts w:ascii="Verdana" w:hAnsi="Verdana" w:cs="Arial"/>
          <w:bCs/>
          <w:sz w:val="20"/>
        </w:rPr>
        <w:t>, com seus atos constitutivos arquivados na JUCESP sob o NIRE nº </w:t>
      </w:r>
      <w:r w:rsidRPr="0076394A">
        <w:rPr>
          <w:rFonts w:ascii="Verdana" w:hAnsi="Verdana" w:cs="Arial"/>
          <w:sz w:val="20"/>
        </w:rPr>
        <w:t>35.300.335.81-3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estatuto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Fiadora</w:t>
      </w:r>
      <w:r w:rsidRPr="0076394A">
        <w:rPr>
          <w:rFonts w:ascii="Verdana" w:hAnsi="Verdana" w:cs="Arial"/>
          <w:sz w:val="20"/>
        </w:rPr>
        <w:t xml:space="preserve">”); </w:t>
      </w:r>
    </w:p>
    <w:p w14:paraId="4EC0FD6A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5CC69EE7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sz w:val="20"/>
        </w:rPr>
        <w:t>SIIF ENERGIES DO BRASIL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 xml:space="preserve">sociedade limitada,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sala AQ, Vila Olímpia, CEP 04548-004,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03.491.252/0001-59</w:t>
      </w:r>
      <w:r w:rsidRPr="0076394A">
        <w:rPr>
          <w:rFonts w:ascii="Verdana" w:hAnsi="Verdana" w:cs="Arial"/>
          <w:bCs/>
          <w:sz w:val="20"/>
        </w:rPr>
        <w:t xml:space="preserve">, com seus atos constitutivos arquivados na JUCESP sob o NIRE nº </w:t>
      </w:r>
      <w:r w:rsidRPr="0076394A">
        <w:rPr>
          <w:rFonts w:ascii="Verdana" w:hAnsi="Verdana" w:cs="Arial"/>
          <w:sz w:val="20"/>
        </w:rPr>
        <w:t>35.226.462.489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contrato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Interveniente Anuente</w:t>
      </w:r>
      <w:r w:rsidRPr="0076394A">
        <w:rPr>
          <w:rFonts w:ascii="Verdana" w:hAnsi="Verdana" w:cs="Arial"/>
          <w:sz w:val="20"/>
        </w:rPr>
        <w:t>” e, em conjunto com a Fiadora, “</w:t>
      </w:r>
      <w:r w:rsidRPr="0076394A">
        <w:rPr>
          <w:rFonts w:ascii="Verdana" w:hAnsi="Verdana" w:cs="Arial"/>
          <w:sz w:val="20"/>
          <w:u w:val="single"/>
        </w:rPr>
        <w:t>Acionistas</w:t>
      </w:r>
      <w:r w:rsidRPr="0076394A">
        <w:rPr>
          <w:rFonts w:ascii="Verdana" w:hAnsi="Verdana" w:cs="Arial"/>
          <w:sz w:val="20"/>
        </w:rPr>
        <w:t>”); e</w:t>
      </w:r>
    </w:p>
    <w:p w14:paraId="4ACAE420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649E822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caps/>
          <w:sz w:val="20"/>
        </w:rPr>
        <w:t>SIMPLIFIC PAVARINI DISTRIBUIDORA DE TÍTULOS E VALORES MOBILIÁRIOS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instituição financeira com sede na Cidade do Rio de Janeiro, Estado do Rio de Janeiro, na Rua Sete de Setembro, 99, 24º andar, Centro, CEP 20050-005, inscrita no CNPJ/MF sob o nº 15.227.994/0001-50, neste ato representado na forma de seu contrato social, representando a comunhão dos titulares das debêntures da presente 1ª (primeira) emissão pública de debêntures da Emi</w:t>
      </w:r>
      <w:r w:rsidRPr="0076394A">
        <w:rPr>
          <w:rFonts w:ascii="Verdana" w:hAnsi="Verdana" w:cs="Arial"/>
          <w:sz w:val="20"/>
        </w:rPr>
        <w:t>ssora (“</w:t>
      </w:r>
      <w:r w:rsidRPr="0076394A">
        <w:rPr>
          <w:rFonts w:ascii="Verdana" w:hAnsi="Verdana" w:cs="Arial"/>
          <w:sz w:val="20"/>
          <w:u w:val="single"/>
        </w:rPr>
        <w:t>Debenturistas</w:t>
      </w:r>
      <w:r w:rsidRPr="0076394A">
        <w:rPr>
          <w:rFonts w:ascii="Verdana" w:hAnsi="Verdana" w:cs="Arial"/>
          <w:sz w:val="20"/>
        </w:rPr>
        <w:t>” e, individualmente, “</w:t>
      </w:r>
      <w:r w:rsidRPr="0076394A">
        <w:rPr>
          <w:rFonts w:ascii="Verdana" w:hAnsi="Verdana" w:cs="Arial"/>
          <w:sz w:val="20"/>
          <w:u w:val="single"/>
        </w:rPr>
        <w:t>Debenturista</w:t>
      </w:r>
      <w:r w:rsidRPr="0076394A">
        <w:rPr>
          <w:rFonts w:ascii="Verdana" w:hAnsi="Verdana" w:cs="Arial"/>
          <w:sz w:val="20"/>
        </w:rPr>
        <w:t>”),</w:t>
      </w:r>
      <w:r w:rsidRPr="0076394A">
        <w:rPr>
          <w:rFonts w:ascii="Verdana" w:hAnsi="Verdana"/>
          <w:bCs/>
          <w:sz w:val="20"/>
        </w:rPr>
        <w:t xml:space="preserve"> </w:t>
      </w:r>
      <w:r w:rsidRPr="0076394A">
        <w:rPr>
          <w:rFonts w:ascii="Verdana" w:hAnsi="Verdana" w:cs="Arial"/>
          <w:bCs/>
          <w:sz w:val="20"/>
        </w:rPr>
        <w:t>nos termos da Lei nº 6.404, de 15 de dezembro de 1976, conforme alterada (“</w:t>
      </w:r>
      <w:r w:rsidRPr="0076394A">
        <w:rPr>
          <w:rFonts w:ascii="Verdana" w:hAnsi="Verdana" w:cs="Arial"/>
          <w:bCs/>
          <w:sz w:val="20"/>
          <w:u w:val="single"/>
        </w:rPr>
        <w:t>Lei das Sociedades por Ações</w:t>
      </w:r>
      <w:r w:rsidRPr="0076394A">
        <w:rPr>
          <w:rFonts w:ascii="Verdana" w:hAnsi="Verdana" w:cs="Arial"/>
          <w:bCs/>
          <w:sz w:val="20"/>
        </w:rPr>
        <w:t xml:space="preserve">”)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Agente Fiduciário</w:t>
      </w:r>
      <w:r w:rsidRPr="0076394A">
        <w:rPr>
          <w:rFonts w:ascii="Verdana" w:hAnsi="Verdana" w:cs="Arial"/>
          <w:sz w:val="20"/>
        </w:rPr>
        <w:t>”</w:t>
      </w:r>
      <w:r w:rsidRPr="0076394A">
        <w:rPr>
          <w:rFonts w:ascii="Verdana" w:hAnsi="Verdana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e, em conjunto com Emissora, com a Fiadora e com a Interveniente Anuente, “</w:t>
      </w:r>
      <w:r w:rsidRPr="0076394A">
        <w:rPr>
          <w:rFonts w:ascii="Verdana" w:hAnsi="Verdana" w:cs="Arial"/>
          <w:sz w:val="20"/>
          <w:u w:val="single"/>
        </w:rPr>
        <w:t>Partes</w:t>
      </w:r>
      <w:r w:rsidRPr="0076394A">
        <w:rPr>
          <w:rFonts w:ascii="Verdana" w:hAnsi="Verdana" w:cs="Arial"/>
          <w:sz w:val="20"/>
        </w:rPr>
        <w:t xml:space="preserve">”); </w:t>
      </w:r>
    </w:p>
    <w:p w14:paraId="2FF40CE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bCs/>
          <w:sz w:val="20"/>
        </w:rPr>
      </w:pPr>
    </w:p>
    <w:p w14:paraId="409FC1A0" w14:textId="3B21B0B7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(Todos os termos utilizados neste instrumento, em letra maiúscula e sem o seu significado descrito neste instrumento, tem o significado que lhes é atribuído no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</w:t>
      </w:r>
      <w:r w:rsidR="004A19B4" w:rsidRPr="0076394A">
        <w:rPr>
          <w:rFonts w:ascii="Verdana" w:hAnsi="Verdana"/>
          <w:sz w:val="20"/>
        </w:rPr>
        <w:t>I</w:t>
      </w:r>
      <w:r w:rsidR="004A19B4">
        <w:rPr>
          <w:rFonts w:ascii="Verdana" w:hAnsi="Verdana"/>
          <w:sz w:val="20"/>
        </w:rPr>
        <w:t>I</w:t>
      </w:r>
      <w:r w:rsidRPr="0076394A">
        <w:rPr>
          <w:rFonts w:ascii="Verdana" w:hAnsi="Verdana"/>
          <w:sz w:val="20"/>
        </w:rPr>
        <w:t xml:space="preserve"> Energia </w:t>
      </w:r>
      <w:r w:rsidRPr="0076394A">
        <w:rPr>
          <w:rFonts w:ascii="Verdana" w:hAnsi="Verdana"/>
          <w:caps/>
          <w:sz w:val="20"/>
        </w:rPr>
        <w:t>S.A.</w:t>
      </w:r>
      <w:r>
        <w:rPr>
          <w:rFonts w:ascii="Verdana" w:hAnsi="Verdana"/>
          <w:caps/>
          <w:sz w:val="20"/>
        </w:rPr>
        <w:t>)</w:t>
      </w:r>
    </w:p>
    <w:p w14:paraId="4BD3EA72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1BD5F0A8" w14:textId="77777777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5060D1">
        <w:rPr>
          <w:rFonts w:ascii="Verdana" w:hAnsi="Verdana" w:cs="Arial"/>
          <w:b/>
          <w:sz w:val="20"/>
        </w:rPr>
        <w:t>CONSIDERANDO QUE</w:t>
      </w:r>
      <w:r>
        <w:rPr>
          <w:rFonts w:ascii="Verdana" w:hAnsi="Verdana" w:cs="Arial"/>
          <w:b/>
          <w:sz w:val="20"/>
        </w:rPr>
        <w:t>:</w:t>
      </w:r>
    </w:p>
    <w:p w14:paraId="797E1D51" w14:textId="77777777" w:rsidR="005060D1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637A6C8" w14:textId="0706DBE3" w:rsidR="00BA25EF" w:rsidRDefault="005060D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em </w:t>
      </w:r>
      <w:r w:rsidRPr="005060D1">
        <w:rPr>
          <w:rFonts w:ascii="Verdana" w:hAnsi="Verdana" w:cs="Arial"/>
          <w:sz w:val="20"/>
        </w:rPr>
        <w:t>Assembleia Geral Extraordinária da Emi</w:t>
      </w:r>
      <w:r w:rsidR="00450335">
        <w:rPr>
          <w:rFonts w:ascii="Verdana" w:hAnsi="Verdana" w:cs="Arial"/>
          <w:sz w:val="20"/>
        </w:rPr>
        <w:t>ssora realizada em 02</w:t>
      </w:r>
      <w:r w:rsidRPr="005060D1">
        <w:rPr>
          <w:rFonts w:ascii="Verdana" w:hAnsi="Verdana" w:cs="Arial"/>
          <w:sz w:val="20"/>
        </w:rPr>
        <w:t xml:space="preserve"> de março de 2016</w:t>
      </w:r>
      <w:r>
        <w:rPr>
          <w:rFonts w:ascii="Verdana" w:hAnsi="Verdana" w:cs="Arial"/>
          <w:sz w:val="20"/>
        </w:rPr>
        <w:t xml:space="preserve"> foi deliberada a </w:t>
      </w:r>
      <w:r w:rsidRPr="0076394A">
        <w:rPr>
          <w:rFonts w:ascii="Verdana" w:hAnsi="Verdana" w:cs="Arial"/>
          <w:sz w:val="20"/>
        </w:rPr>
        <w:t xml:space="preserve">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</w:t>
      </w:r>
      <w:r>
        <w:rPr>
          <w:rFonts w:ascii="Verdana" w:hAnsi="Verdana" w:cs="Arial"/>
          <w:sz w:val="20"/>
        </w:rPr>
        <w:t>, emitidas na forma do “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</w:t>
      </w:r>
      <w:r w:rsidR="004A19B4" w:rsidRPr="0076394A">
        <w:rPr>
          <w:rFonts w:ascii="Verdana" w:hAnsi="Verdana"/>
          <w:sz w:val="20"/>
        </w:rPr>
        <w:t>I</w:t>
      </w:r>
      <w:r w:rsidR="004A19B4">
        <w:rPr>
          <w:rFonts w:ascii="Verdana" w:hAnsi="Verdana"/>
          <w:sz w:val="20"/>
        </w:rPr>
        <w:t>I</w:t>
      </w:r>
      <w:r w:rsidRPr="0076394A">
        <w:rPr>
          <w:rFonts w:ascii="Verdana" w:hAnsi="Verdana"/>
          <w:sz w:val="20"/>
        </w:rPr>
        <w:t xml:space="preserve">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(respectivamente, “</w:t>
      </w:r>
      <w:r w:rsidRPr="0076394A">
        <w:rPr>
          <w:rFonts w:ascii="Verdana" w:hAnsi="Verdana" w:cs="Arial"/>
          <w:sz w:val="20"/>
          <w:u w:val="single"/>
        </w:rPr>
        <w:t>Emissão</w:t>
      </w:r>
      <w:r w:rsidRPr="0076394A">
        <w:rPr>
          <w:rFonts w:ascii="Verdana" w:hAnsi="Verdana" w:cs="Arial"/>
          <w:sz w:val="20"/>
        </w:rPr>
        <w:t>”, “</w:t>
      </w:r>
      <w:r w:rsidRPr="0076394A">
        <w:rPr>
          <w:rFonts w:ascii="Verdana" w:hAnsi="Verdana" w:cs="Arial"/>
          <w:sz w:val="20"/>
          <w:u w:val="single"/>
        </w:rPr>
        <w:t>Debêntures</w:t>
      </w:r>
      <w:r w:rsidRPr="0076394A">
        <w:rPr>
          <w:rFonts w:ascii="Verdana" w:hAnsi="Verdana" w:cs="Arial"/>
          <w:sz w:val="20"/>
        </w:rPr>
        <w:t>” e “</w:t>
      </w:r>
      <w:r w:rsidR="00BA25EF">
        <w:rPr>
          <w:rFonts w:ascii="Verdana" w:hAnsi="Verdana" w:cs="Arial"/>
          <w:sz w:val="20"/>
          <w:u w:val="single"/>
        </w:rPr>
        <w:t>Escritura</w:t>
      </w:r>
      <w:r w:rsidR="007F7A9C">
        <w:rPr>
          <w:rFonts w:ascii="Verdana" w:hAnsi="Verdana" w:cs="Arial"/>
          <w:sz w:val="20"/>
          <w:u w:val="single"/>
        </w:rPr>
        <w:t xml:space="preserve"> de Emissão</w:t>
      </w:r>
      <w:r w:rsidRPr="0076394A">
        <w:rPr>
          <w:rFonts w:ascii="Verdana" w:hAnsi="Verdana" w:cs="Arial"/>
          <w:sz w:val="20"/>
        </w:rPr>
        <w:t>”)</w:t>
      </w:r>
      <w:r>
        <w:rPr>
          <w:rFonts w:ascii="Verdana" w:hAnsi="Verdana" w:cs="Arial"/>
          <w:sz w:val="20"/>
        </w:rPr>
        <w:t>;</w:t>
      </w:r>
    </w:p>
    <w:p w14:paraId="50063852" w14:textId="77777777" w:rsidR="00BA25EF" w:rsidRDefault="00BA25EF" w:rsidP="002A7954">
      <w:pPr>
        <w:pStyle w:val="PargrafodaLista"/>
        <w:widowControl w:val="0"/>
        <w:tabs>
          <w:tab w:val="left" w:pos="720"/>
        </w:tabs>
        <w:suppressAutoHyphens/>
        <w:spacing w:line="340" w:lineRule="exact"/>
        <w:ind w:left="426"/>
        <w:contextualSpacing w:val="0"/>
        <w:rPr>
          <w:rFonts w:ascii="Verdana" w:hAnsi="Verdana" w:cs="Arial"/>
          <w:sz w:val="20"/>
        </w:rPr>
      </w:pPr>
    </w:p>
    <w:p w14:paraId="19AB90C3" w14:textId="14490885" w:rsidR="005060D1" w:rsidRPr="00BA25EF" w:rsidRDefault="00654C5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  <w:r w:rsidR="005060D1" w:rsidRPr="00BA25EF">
        <w:rPr>
          <w:rFonts w:ascii="Verdana" w:hAnsi="Verdana" w:cs="Arial"/>
          <w:sz w:val="20"/>
        </w:rPr>
        <w:t xml:space="preserve">as Partes pretendem, com a prévia e expressa aprovação dos Debenturistas, nos termos da Assembleia Geral de Debenturistas realizada </w:t>
      </w:r>
      <w:r w:rsidR="007F7A9C">
        <w:rPr>
          <w:rFonts w:ascii="Verdana" w:hAnsi="Verdana" w:cs="Arial"/>
          <w:sz w:val="20"/>
        </w:rPr>
        <w:t>nesta data</w:t>
      </w:r>
      <w:r w:rsidR="005060D1" w:rsidRPr="00BA25EF">
        <w:rPr>
          <w:rFonts w:ascii="Verdana" w:hAnsi="Verdana" w:cs="Arial"/>
          <w:sz w:val="20"/>
        </w:rPr>
        <w:t xml:space="preserve">, </w:t>
      </w:r>
      <w:r w:rsidR="00BA25EF" w:rsidRPr="00BA25EF">
        <w:rPr>
          <w:rFonts w:ascii="Verdana" w:hAnsi="Verdana" w:cs="Arial"/>
          <w:sz w:val="20"/>
        </w:rPr>
        <w:t>(</w:t>
      </w:r>
      <w:r w:rsidR="007F7A9C">
        <w:rPr>
          <w:rFonts w:ascii="Verdana" w:hAnsi="Verdana" w:cs="Arial"/>
          <w:sz w:val="20"/>
        </w:rPr>
        <w:t>a</w:t>
      </w:r>
      <w:r w:rsidR="00BA25EF">
        <w:rPr>
          <w:rFonts w:ascii="Verdana" w:hAnsi="Verdana" w:cs="Arial"/>
          <w:sz w:val="20"/>
        </w:rPr>
        <w:t>)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>alterar o</w:t>
      </w:r>
      <w:r w:rsidR="00BA25EF" w:rsidRPr="00BA25EF">
        <w:rPr>
          <w:rFonts w:ascii="Verdana" w:hAnsi="Verdana" w:cs="Arial"/>
          <w:sz w:val="20"/>
        </w:rPr>
        <w:t xml:space="preserve"> Prazo de Vigência e a Data de Vencimento das Debêntures, com a consequente alteração da Cláusula 4.7.1</w:t>
      </w:r>
      <w:r w:rsidR="007F7A9C">
        <w:rPr>
          <w:rFonts w:ascii="Verdana" w:hAnsi="Verdana" w:cs="Arial"/>
          <w:sz w:val="20"/>
        </w:rPr>
        <w:t xml:space="preserve"> da Escritura de Emissão</w:t>
      </w:r>
      <w:r w:rsidR="00BA25EF" w:rsidRPr="00BA25EF">
        <w:rPr>
          <w:rFonts w:ascii="Verdana" w:hAnsi="Verdana" w:cs="Arial"/>
          <w:sz w:val="20"/>
        </w:rPr>
        <w:t>; (</w:t>
      </w:r>
      <w:r w:rsidR="007F7A9C">
        <w:rPr>
          <w:rFonts w:ascii="Verdana" w:hAnsi="Verdana" w:cs="Arial"/>
          <w:sz w:val="20"/>
        </w:rPr>
        <w:t>b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 xml:space="preserve">a </w:t>
      </w:r>
      <w:r w:rsidR="00BA25EF" w:rsidRPr="00BA25EF">
        <w:rPr>
          <w:rFonts w:ascii="Verdana" w:hAnsi="Verdana" w:cs="Arial"/>
          <w:sz w:val="20"/>
        </w:rPr>
        <w:t>Remuneração das Debêntures, com a consequente alteração das Cláusulas 4.9.2 e 4.9.3 da Escritura</w:t>
      </w:r>
      <w:r w:rsidR="007F7A9C">
        <w:rPr>
          <w:rFonts w:ascii="Verdana" w:hAnsi="Verdana" w:cs="Arial"/>
          <w:sz w:val="20"/>
        </w:rPr>
        <w:t xml:space="preserve"> de Emissão; </w:t>
      </w:r>
      <w:r w:rsidR="006541CF">
        <w:rPr>
          <w:rFonts w:ascii="Verdana" w:hAnsi="Verdana" w:cs="Arial"/>
          <w:sz w:val="20"/>
        </w:rPr>
        <w:t>(</w:t>
      </w:r>
      <w:r w:rsidR="007F7A9C">
        <w:rPr>
          <w:rFonts w:ascii="Verdana" w:hAnsi="Verdana" w:cs="Arial"/>
          <w:sz w:val="20"/>
        </w:rPr>
        <w:t>c</w:t>
      </w:r>
      <w:r w:rsidR="006541CF">
        <w:rPr>
          <w:rFonts w:ascii="Verdana" w:hAnsi="Verdana" w:cs="Arial"/>
          <w:sz w:val="20"/>
        </w:rPr>
        <w:t>) alterar a definição de “Período de Capitalização”</w:t>
      </w:r>
      <w:r w:rsidR="007F7A9C">
        <w:rPr>
          <w:rFonts w:ascii="Verdana" w:hAnsi="Verdana" w:cs="Arial"/>
          <w:sz w:val="20"/>
        </w:rPr>
        <w:t>, com a consequente</w:t>
      </w:r>
      <w:r w:rsidR="006541CF">
        <w:rPr>
          <w:rFonts w:ascii="Verdana" w:hAnsi="Verdana" w:cs="Arial"/>
          <w:sz w:val="20"/>
        </w:rPr>
        <w:t xml:space="preserve"> </w:t>
      </w:r>
      <w:r w:rsidR="007F7A9C">
        <w:rPr>
          <w:rFonts w:ascii="Verdana" w:hAnsi="Verdana" w:cs="Arial"/>
          <w:sz w:val="20"/>
        </w:rPr>
        <w:t>alteração da</w:t>
      </w:r>
      <w:r w:rsidR="006541CF">
        <w:rPr>
          <w:rFonts w:ascii="Verdana" w:hAnsi="Verdana" w:cs="Arial"/>
          <w:sz w:val="20"/>
        </w:rPr>
        <w:t xml:space="preserve"> Cláusula 4.9.4 da Escritura</w:t>
      </w:r>
      <w:r w:rsidR="007F7A9C">
        <w:rPr>
          <w:rFonts w:ascii="Verdana" w:hAnsi="Verdana" w:cs="Arial"/>
          <w:sz w:val="20"/>
        </w:rPr>
        <w:t xml:space="preserve"> de Emissão e (d) alterar o item “e” da Cláusula 4.13 – Vencimento Antecipado da Escritura de Emissão</w:t>
      </w:r>
      <w:r w:rsidR="00BA25EF">
        <w:rPr>
          <w:rFonts w:ascii="Verdana" w:hAnsi="Verdana" w:cs="Arial"/>
          <w:sz w:val="20"/>
        </w:rPr>
        <w:t>;</w:t>
      </w:r>
    </w:p>
    <w:p w14:paraId="65DD3CB0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36E2073" w14:textId="2D002A72" w:rsidR="00BA25EF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proofErr w:type="gramStart"/>
      <w:r w:rsidRPr="0076394A">
        <w:rPr>
          <w:rFonts w:ascii="Verdana" w:hAnsi="Verdana" w:cs="Arial"/>
          <w:sz w:val="20"/>
        </w:rPr>
        <w:t>vêm</w:t>
      </w:r>
      <w:proofErr w:type="gramEnd"/>
      <w:r w:rsidRPr="0076394A">
        <w:rPr>
          <w:rFonts w:ascii="Verdana" w:hAnsi="Verdana" w:cs="Arial"/>
          <w:sz w:val="20"/>
        </w:rPr>
        <w:t xml:space="preserve"> por esta firmar, na melhor forma de direito, o presente “</w:t>
      </w:r>
      <w:r w:rsidR="005060D1">
        <w:rPr>
          <w:rFonts w:ascii="Verdana" w:hAnsi="Verdana" w:cs="Arial"/>
          <w:sz w:val="20"/>
        </w:rPr>
        <w:t xml:space="preserve">Primeiro Aditivo ao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</w:t>
      </w:r>
      <w:r w:rsidR="004A19B4">
        <w:rPr>
          <w:rFonts w:ascii="Verdana" w:hAnsi="Verdana"/>
          <w:sz w:val="20"/>
        </w:rPr>
        <w:t>I</w:t>
      </w:r>
      <w:r w:rsidR="004A19B4" w:rsidRPr="0076394A">
        <w:rPr>
          <w:rFonts w:ascii="Verdana" w:hAnsi="Verdana"/>
          <w:sz w:val="20"/>
        </w:rPr>
        <w:t>I</w:t>
      </w:r>
      <w:r w:rsidRPr="0076394A">
        <w:rPr>
          <w:rFonts w:ascii="Verdana" w:hAnsi="Verdana"/>
          <w:sz w:val="20"/>
        </w:rPr>
        <w:t xml:space="preserve">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</w:t>
      </w:r>
      <w:r w:rsidR="00BA25EF">
        <w:rPr>
          <w:rFonts w:ascii="Verdana" w:hAnsi="Verdana" w:cs="Arial"/>
          <w:sz w:val="20"/>
        </w:rPr>
        <w:t>“</w:t>
      </w:r>
      <w:r w:rsidR="00BA25EF" w:rsidRPr="00BA25EF">
        <w:rPr>
          <w:rFonts w:ascii="Verdana" w:hAnsi="Verdana" w:cs="Arial"/>
          <w:sz w:val="20"/>
          <w:u w:val="single"/>
        </w:rPr>
        <w:t>Aditivo</w:t>
      </w:r>
      <w:r w:rsidRPr="0076394A">
        <w:rPr>
          <w:rFonts w:ascii="Verdana" w:hAnsi="Verdana" w:cs="Arial"/>
          <w:sz w:val="20"/>
        </w:rPr>
        <w:t>”), que será regido pelas seguintes cláusulas e condições:</w:t>
      </w:r>
    </w:p>
    <w:p w14:paraId="62DFC6EC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3DDF4259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 xml:space="preserve">Cláusula Primeira – DA AUTORIZAÇÃO </w:t>
      </w:r>
    </w:p>
    <w:p w14:paraId="3901186A" w14:textId="77777777" w:rsidR="002A7954" w:rsidRPr="002A7954" w:rsidRDefault="002A7954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</w:p>
    <w:p w14:paraId="7A126A4E" w14:textId="5608D6BC" w:rsidR="002A7954" w:rsidRDefault="00BA25EF" w:rsidP="002A7954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suppressAutoHyphens/>
        <w:spacing w:line="340" w:lineRule="exact"/>
        <w:ind w:left="0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 presente Aditivo à Escritura</w:t>
      </w:r>
      <w:r w:rsidR="00560292">
        <w:rPr>
          <w:rFonts w:ascii="Verdana" w:hAnsi="Verdana" w:cs="Arial"/>
          <w:sz w:val="20"/>
        </w:rPr>
        <w:t xml:space="preserve"> de Emissão</w:t>
      </w:r>
      <w:r>
        <w:rPr>
          <w:rFonts w:ascii="Verdana" w:hAnsi="Verdana" w:cs="Arial"/>
          <w:sz w:val="20"/>
        </w:rPr>
        <w:t xml:space="preserve"> é firmado com base na deliberação da Assembleia Geral de Debenturistas da Emissora, realizada </w:t>
      </w:r>
      <w:r w:rsidR="007F7A9C">
        <w:rPr>
          <w:rFonts w:ascii="Verdana" w:hAnsi="Verdana" w:cs="Arial"/>
          <w:sz w:val="20"/>
        </w:rPr>
        <w:t>nesta data</w:t>
      </w:r>
      <w:r w:rsidR="00654C5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(“</w:t>
      </w:r>
      <w:r w:rsidRPr="00BA25EF">
        <w:rPr>
          <w:rFonts w:ascii="Verdana" w:hAnsi="Verdana" w:cs="Arial"/>
          <w:sz w:val="20"/>
          <w:u w:val="single"/>
        </w:rPr>
        <w:t>AGD</w:t>
      </w:r>
      <w:r>
        <w:rPr>
          <w:rFonts w:ascii="Verdana" w:hAnsi="Verdana" w:cs="Arial"/>
          <w:sz w:val="20"/>
        </w:rPr>
        <w:t xml:space="preserve">”), </w:t>
      </w:r>
      <w:r>
        <w:rPr>
          <w:rFonts w:ascii="Verdana" w:hAnsi="Verdana" w:cs="Arial"/>
          <w:sz w:val="20"/>
        </w:rPr>
        <w:lastRenderedPageBreak/>
        <w:t>nos termos previstos na cláusula 4.11 da Escritura</w:t>
      </w:r>
      <w:r w:rsidR="00560292">
        <w:rPr>
          <w:rFonts w:ascii="Verdana" w:hAnsi="Verdana" w:cs="Arial"/>
          <w:sz w:val="20"/>
        </w:rPr>
        <w:t xml:space="preserve"> de Emissão</w:t>
      </w:r>
      <w:r>
        <w:rPr>
          <w:rFonts w:ascii="Verdana" w:hAnsi="Verdana" w:cs="Arial"/>
          <w:sz w:val="20"/>
        </w:rPr>
        <w:t>.</w:t>
      </w:r>
    </w:p>
    <w:p w14:paraId="2F851D56" w14:textId="77777777" w:rsidR="002A7954" w:rsidRPr="002A7954" w:rsidRDefault="002A7954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20C32E68" w14:textId="77777777" w:rsidR="00BA25EF" w:rsidRPr="002A7954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>Cláusula Segunda – DO OBJETO</w:t>
      </w:r>
    </w:p>
    <w:p w14:paraId="7AD80E2A" w14:textId="77777777" w:rsid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4DA45EE9" w14:textId="77777777" w:rsidR="00BA25EF" w:rsidRP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2.1. As Partes acordam em alterar, por este Aditivo:</w:t>
      </w:r>
    </w:p>
    <w:p w14:paraId="5D85F5E0" w14:textId="77777777" w:rsidR="0076394A" w:rsidRPr="00450335" w:rsidRDefault="0076394A" w:rsidP="00450335">
      <w:pPr>
        <w:suppressAutoHyphens/>
        <w:spacing w:line="276" w:lineRule="auto"/>
        <w:rPr>
          <w:rFonts w:ascii="Verdana" w:hAnsi="Verdana"/>
          <w:b/>
          <w:sz w:val="20"/>
        </w:rPr>
      </w:pPr>
    </w:p>
    <w:p w14:paraId="773686A9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o</w:t>
      </w:r>
      <w:proofErr w:type="gramEnd"/>
      <w:r w:rsidR="0076394A" w:rsidRPr="0076394A">
        <w:rPr>
          <w:rFonts w:ascii="Verdana" w:hAnsi="Verdana" w:cs="Arial"/>
          <w:sz w:val="20"/>
        </w:rPr>
        <w:t xml:space="preserve"> Prazo de Vigência e a Data de Vencimento das Debêntures. </w:t>
      </w:r>
      <w:r>
        <w:rPr>
          <w:rFonts w:ascii="Verdana" w:hAnsi="Verdana" w:cs="Arial"/>
          <w:sz w:val="20"/>
        </w:rPr>
        <w:t>Por conseguinte</w:t>
      </w:r>
      <w:r w:rsidR="0076394A" w:rsidRPr="0076394A">
        <w:rPr>
          <w:rFonts w:ascii="Verdana" w:hAnsi="Verdana" w:cs="Arial"/>
          <w:sz w:val="20"/>
        </w:rPr>
        <w:t>, a Cláusula 4.7.1, passará a vigorar com a seguinte redação:</w:t>
      </w:r>
      <w:r w:rsidR="00654C51">
        <w:rPr>
          <w:rFonts w:ascii="Verdana" w:hAnsi="Verdana" w:cs="Arial"/>
          <w:sz w:val="20"/>
        </w:rPr>
        <w:tab/>
      </w:r>
    </w:p>
    <w:p w14:paraId="01D8FE01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7C952288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 w:firstLine="1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Emissão.”</w:t>
      </w:r>
      <w:proofErr w:type="gramEnd"/>
    </w:p>
    <w:p w14:paraId="005AC821" w14:textId="77777777" w:rsidR="0076394A" w:rsidRPr="00B9154C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419D575E" w14:textId="1DFCB7C5" w:rsidR="0076394A" w:rsidRPr="007F7A9C" w:rsidRDefault="00B9154C" w:rsidP="007F7A9C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a</w:t>
      </w:r>
      <w:proofErr w:type="gramEnd"/>
      <w:r w:rsidR="0076394A" w:rsidRPr="0076394A">
        <w:rPr>
          <w:rFonts w:ascii="Verdana" w:hAnsi="Verdana" w:cs="Arial"/>
          <w:sz w:val="20"/>
        </w:rPr>
        <w:t xml:space="preserve"> Remuneração das Debêntures. </w:t>
      </w:r>
      <w:r>
        <w:rPr>
          <w:rFonts w:ascii="Verdana" w:hAnsi="Verdana" w:cs="Arial"/>
          <w:sz w:val="20"/>
        </w:rPr>
        <w:t>Portanto</w:t>
      </w:r>
      <w:r w:rsidR="0076394A" w:rsidRPr="0076394A">
        <w:rPr>
          <w:rFonts w:ascii="Verdana" w:hAnsi="Verdana" w:cs="Arial"/>
          <w:sz w:val="20"/>
        </w:rPr>
        <w:t>, as Cláusulas 4.9.2 e 4.9.3 da Escritura</w:t>
      </w:r>
      <w:r w:rsidR="00560292">
        <w:rPr>
          <w:rFonts w:ascii="Verdana" w:hAnsi="Verdana" w:cs="Arial"/>
          <w:sz w:val="20"/>
        </w:rPr>
        <w:t xml:space="preserve"> de Emissão</w:t>
      </w:r>
      <w:r w:rsidR="0076394A" w:rsidRPr="0076394A">
        <w:rPr>
          <w:rFonts w:ascii="Verdana" w:hAnsi="Verdana" w:cs="Arial"/>
          <w:sz w:val="20"/>
        </w:rPr>
        <w:t xml:space="preserve"> passarão a vigorar com a seguinte redação:</w:t>
      </w:r>
    </w:p>
    <w:p w14:paraId="7220DC74" w14:textId="77777777" w:rsidR="007F7A9C" w:rsidRDefault="007F7A9C" w:rsidP="00450335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7A5B528A" w14:textId="62C92434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“4.9.2. A remuneração das Debêntures contemplará juros remuneratórios, a partir da primeira Data de Subscrição e Integralização, correspondentes à variação acumulada de 100,00% (cem por cento) das taxas médias diárias dos DI - Depósitos Interfinanceiros de um dia, “over extra grupo”, expressa na forma percentual ao ano, com base em um ano de 252 (duzentos e cinquenta e dois) Dias Úteis, calculadas e divulgadas pela CETIP (“Taxa DI”), acrescida de uma sobretaxa (“spread”) para o Primeiro Período de Capitalização de 2,85% (dois inteiros e oitenta e cinco centésimos por cento) e, para o Segundo Período de Capitalização, de </w:t>
      </w:r>
      <w:r w:rsidRPr="00450335">
        <w:rPr>
          <w:rFonts w:ascii="Verdana" w:eastAsiaTheme="minorHAnsi" w:hAnsi="Verdana"/>
          <w:i/>
          <w:sz w:val="20"/>
        </w:rPr>
        <w:t>1,22% (um inteiro e vinte e dois centésimos por cento)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, base 252 (duzentos e cinquenta e dois) Dias Úteis. A Remuneração será calculada de forma exponencial e cumulativa, 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pro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rata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temporis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por Dias Úteis decorridos, incidentes sobre o Valor Nominal Unitário, ou sobre o Valor Nominal Unitário das Debêntures apó</w:t>
      </w:r>
      <w:r w:rsidR="00450335">
        <w:rPr>
          <w:rFonts w:ascii="Verdana" w:eastAsiaTheme="minorHAnsi" w:hAnsi="Verdana" w:cs="Arial"/>
          <w:i/>
          <w:sz w:val="20"/>
          <w:lang w:eastAsia="en-US"/>
        </w:rPr>
        <w:t>s a incorporação da Remuneração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e na Data de Vencimento de acordo com a fórmula abaixo (“Remuneração”).</w:t>
      </w:r>
    </w:p>
    <w:p w14:paraId="1C7A738B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0AF5545" w14:textId="591FEAE3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Para fins da presente cláusula</w:t>
      </w:r>
      <w:r w:rsidR="006541CF">
        <w:rPr>
          <w:rFonts w:ascii="Verdana" w:eastAsiaTheme="minorHAnsi" w:hAnsi="Verdana" w:cs="Arial"/>
          <w:i/>
          <w:sz w:val="20"/>
          <w:lang w:eastAsia="en-US"/>
        </w:rPr>
        <w:t xml:space="preserve"> e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da cláusula 4.9.4 abaixo, considera-se “Data de Incorporação” o dia 14</w:t>
      </w:r>
      <w:r w:rsidRPr="00450335">
        <w:rPr>
          <w:rFonts w:ascii="Verdana" w:eastAsiaTheme="minorHAnsi" w:hAnsi="Verdana"/>
          <w:i/>
          <w:sz w:val="20"/>
        </w:rPr>
        <w:t xml:space="preserve"> de 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>setembro de 2017.</w:t>
      </w:r>
    </w:p>
    <w:p w14:paraId="0166ED45" w14:textId="77777777" w:rsidR="007F7A9C" w:rsidRPr="007F7A9C" w:rsidRDefault="007F7A9C" w:rsidP="00450335">
      <w:pPr>
        <w:pStyle w:val="PargrafodaLista"/>
        <w:suppressAutoHyphens/>
        <w:spacing w:line="276" w:lineRule="auto"/>
        <w:ind w:left="1418"/>
        <w:rPr>
          <w:rFonts w:ascii="Verdana" w:eastAsiaTheme="minorHAnsi" w:hAnsi="Verdana" w:cs="Arial"/>
          <w:sz w:val="20"/>
          <w:lang w:eastAsia="en-US"/>
        </w:rPr>
      </w:pPr>
    </w:p>
    <w:p w14:paraId="64A9223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4.9.3. O cálculo da Remuneração obedecerá à seguinte fórmula:</w:t>
      </w:r>
    </w:p>
    <w:p w14:paraId="47919F7F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8A0AD72" w14:textId="77777777" w:rsidR="007F7A9C" w:rsidRPr="007F7A9C" w:rsidRDefault="007F7A9C" w:rsidP="007F7A9C">
      <w:pPr>
        <w:suppressAutoHyphens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hAnsi="Verdana" w:cs="Arial"/>
          <w:i/>
          <w:noProof/>
          <w:sz w:val="20"/>
        </w:rPr>
        <w:drawing>
          <wp:inline distT="0" distB="0" distL="0" distR="0" wp14:anchorId="78D879B2" wp14:editId="23C1AAB6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AADE2" w14:textId="77777777" w:rsidR="007F7A9C" w:rsidRPr="007F7A9C" w:rsidRDefault="007F7A9C" w:rsidP="007F7A9C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0B5D64D0" w14:textId="77777777" w:rsidR="007F7A9C" w:rsidRPr="007F7A9C" w:rsidRDefault="007F7A9C" w:rsidP="00450335">
      <w:pPr>
        <w:pStyle w:val="PargrafodaLista"/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18F12B66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“J”: valor da Remuneração relativa a cada uma das Debêntures, acumulada no período, devida no final de cada Período de Capitalização, calculado com 8 (oito) casas decimais sem arredondamento; </w:t>
      </w:r>
    </w:p>
    <w:p w14:paraId="771AA57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544BD0E0" w14:textId="3882F7FB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lastRenderedPageBreak/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VNe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”: Valor Nominal Unitário ou Valor Nominal Unitário após a incorporação da Remuneração, de cada uma das Debêntures, informado/calculado com 8 (oito) casas decimais, sem arredondamento;</w:t>
      </w:r>
    </w:p>
    <w:p w14:paraId="7B99162F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AF5101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“Fator de Juros”: Fator de juros composto pelo parâmetro de flutuação acrescido de spread, calculado com 9 (nove) casas decimais, com arredondamento, a partir da data de início do Período de Capitalização, inclusive, até a data do término do Período de Capitalização, exclusive, apurado de acordo com a seguinte fórmula:</w:t>
      </w:r>
    </w:p>
    <w:p w14:paraId="66774ED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A18A46A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57BEC422" wp14:editId="4C773926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8383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2F41A1A6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3E326F7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FatorDI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corresponde ao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das Taxas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da data de início de cada Período de Capitalização, inclusive, até a data de término de cada Período de Capitalização, exclusive, calculado com 8 (oito) casas decimais, com arredondamento, apurado da seguinte forma:</w:t>
      </w:r>
    </w:p>
    <w:p w14:paraId="3C5A740C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14D836C2" wp14:editId="45B95CAF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D18A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53CD8B86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0F6E7F34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n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número total de Taxas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consideradas na apuração da Taxa-DI, sendo “n” um número inteiro; e</w:t>
      </w:r>
    </w:p>
    <w:p w14:paraId="1D12BA7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7288597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TDI</w:t>
      </w:r>
      <w:r w:rsidRPr="00450335">
        <w:rPr>
          <w:rFonts w:ascii="Verdana" w:eastAsiaTheme="minorHAnsi" w:hAnsi="Verdana"/>
          <w:sz w:val="20"/>
        </w:rPr>
        <w:t>k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Taxa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de ordem k, expressa ao dia, calculada com 8 (oito) casas decimais, com arredondamento, apurada da seguinte forma:</w:t>
      </w:r>
    </w:p>
    <w:p w14:paraId="73DE370C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hAnsi="Verdana" w:cs="Arial"/>
          <w:i/>
          <w:noProof/>
          <w:sz w:val="20"/>
        </w:rPr>
        <w:drawing>
          <wp:inline distT="0" distB="0" distL="0" distR="0" wp14:anchorId="732585DB" wp14:editId="018D0C10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2C65D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32B0B32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FD4CE8F" w14:textId="77777777" w:rsidR="007F7A9C" w:rsidRPr="007F7A9C" w:rsidRDefault="007F7A9C" w:rsidP="007F7A9C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k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número de ordem das Taxas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variando de 1 até “n”;</w:t>
      </w:r>
    </w:p>
    <w:p w14:paraId="6205080F" w14:textId="77777777" w:rsidR="007F7A9C" w:rsidRPr="007F7A9C" w:rsidRDefault="007F7A9C" w:rsidP="00450335">
      <w:pPr>
        <w:pStyle w:val="PargrafodaLista"/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7613058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</w:t>
      </w:r>
      <w:r w:rsidRPr="00450335">
        <w:rPr>
          <w:rFonts w:ascii="Verdana" w:eastAsiaTheme="minorHAnsi" w:hAnsi="Verdana"/>
          <w:sz w:val="20"/>
        </w:rPr>
        <w:t>k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Taxa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divulgada pela CETIP, válida por 1 (um) Dia Útil (overnight), utilizada com 2 (duas) casas decimais;</w:t>
      </w:r>
    </w:p>
    <w:p w14:paraId="52C91E2F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897C5D2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“Fator Spread”: Sobretaxa de juros fixos calculada com 9 (nove) casas decimais, com arredondamento, de acordo com a seguinte fórmula:</w:t>
      </w:r>
    </w:p>
    <w:p w14:paraId="418CCD79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hAnsi="Verdana" w:cs="Arial"/>
          <w:i/>
          <w:noProof/>
          <w:sz w:val="20"/>
        </w:rPr>
        <w:drawing>
          <wp:inline distT="0" distB="0" distL="0" distR="0" wp14:anchorId="1B146BB3" wp14:editId="79747A1B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38009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sobretaxa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”: para o Primeiro Período de Capitalização de 2,8500 e para o Segundo Período de Capitalização de 1,2200;</w:t>
      </w:r>
    </w:p>
    <w:p w14:paraId="6E43B46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366BE8A5" w14:textId="4A758D33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lastRenderedPageBreak/>
        <w:t>“DP”: número de Dias Úteis entre a primeira Data de Subscrição e Integralização ou Data de Incorporação, conforme o caso, e a data de cálculo, sendo ‘DP’ um número inteiro;</w:t>
      </w:r>
    </w:p>
    <w:p w14:paraId="64C8E213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995CE7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observado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, ainda:</w:t>
      </w:r>
    </w:p>
    <w:p w14:paraId="531E83B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(A) O fator resultante da expressão (1+TDI</w:t>
      </w:r>
      <w:r w:rsidRPr="00450335">
        <w:rPr>
          <w:rFonts w:ascii="Verdana" w:eastAsiaTheme="minorHAnsi" w:hAnsi="Verdana"/>
          <w:sz w:val="20"/>
        </w:rPr>
        <w:t>k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) deve ser considerado com 16 (dezesseis) casas decimais sem arredondamento, assim como seu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;</w:t>
      </w:r>
    </w:p>
    <w:p w14:paraId="54B0178A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283DFFB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(B) Efetua-se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o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dos fatores diários (1+TDI</w:t>
      </w:r>
      <w:r w:rsidRPr="00450335">
        <w:rPr>
          <w:rFonts w:ascii="Verdana" w:eastAsiaTheme="minorHAnsi" w:hAnsi="Verdana"/>
          <w:sz w:val="20"/>
        </w:rPr>
        <w:t>k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>), sendo que a cada fator diário acumulado trunca-se o resultado com 16 (dezesseis) casas decimais, aplicando-se o próximo fator diário, e assim por diante até o último considerado;</w:t>
      </w:r>
    </w:p>
    <w:p w14:paraId="1834414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7BA0BC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(C) A Taxa DI deverá ser utilizada considerando idêntico número de casas decimais divulgado pela entidade responsável pelo seu cálculo, salvo quando expressamente indicado de outra forma; e</w:t>
      </w:r>
    </w:p>
    <w:p w14:paraId="2761C15C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6C439C85" w14:textId="77777777" w:rsidR="007F7A9C" w:rsidRPr="00450335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/>
          <w:sz w:val="20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(D) Se os fatores diários estiverem acumulados, considerar-se-á o fator resultante “Fator DI” com 8 (oito) casas decimais, sem 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arredondamento.”</w:t>
      </w:r>
      <w:proofErr w:type="gramEnd"/>
    </w:p>
    <w:p w14:paraId="4C2D89A3" w14:textId="77777777" w:rsidR="0076394A" w:rsidRPr="0046267B" w:rsidRDefault="0076394A" w:rsidP="002A7954">
      <w:pPr>
        <w:rPr>
          <w:rFonts w:ascii="Verdana" w:hAnsi="Verdana"/>
          <w:sz w:val="20"/>
        </w:rPr>
      </w:pPr>
    </w:p>
    <w:p w14:paraId="47330B39" w14:textId="699D8AE9" w:rsidR="006541CF" w:rsidRPr="006541CF" w:rsidRDefault="006541CF" w:rsidP="0046267B">
      <w:pPr>
        <w:pStyle w:val="PargrafodaLista"/>
        <w:numPr>
          <w:ilvl w:val="0"/>
          <w:numId w:val="1"/>
        </w:num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a</w:t>
      </w:r>
      <w:proofErr w:type="gramEnd"/>
      <w:r>
        <w:rPr>
          <w:rFonts w:ascii="Verdana" w:hAnsi="Verdana"/>
          <w:sz w:val="20"/>
        </w:rPr>
        <w:t xml:space="preserve"> definição de “Período de Capitalização”. Desta maneira, a </w:t>
      </w:r>
      <w:r w:rsidRPr="0076394A">
        <w:rPr>
          <w:rFonts w:ascii="Verdana" w:hAnsi="Verdana" w:cs="Arial"/>
          <w:sz w:val="20"/>
        </w:rPr>
        <w:t xml:space="preserve">Cláusula </w:t>
      </w:r>
      <w:r>
        <w:rPr>
          <w:rFonts w:ascii="Verdana" w:hAnsi="Verdana" w:cs="Arial"/>
          <w:sz w:val="20"/>
        </w:rPr>
        <w:t>4.9.4</w:t>
      </w:r>
      <w:r w:rsidRPr="0076394A">
        <w:rPr>
          <w:rFonts w:ascii="Verdana" w:hAnsi="Verdana" w:cs="Arial"/>
          <w:sz w:val="20"/>
        </w:rPr>
        <w:t xml:space="preserve"> da </w:t>
      </w:r>
      <w:r>
        <w:rPr>
          <w:rFonts w:ascii="Verdana" w:hAnsi="Verdana" w:cs="Arial"/>
          <w:bCs/>
          <w:color w:val="000000"/>
          <w:sz w:val="20"/>
        </w:rPr>
        <w:t>Escritura</w:t>
      </w:r>
      <w:r w:rsidR="00560292">
        <w:rPr>
          <w:rFonts w:ascii="Verdana" w:hAnsi="Verdana" w:cs="Arial"/>
          <w:bCs/>
          <w:color w:val="000000"/>
          <w:sz w:val="20"/>
        </w:rPr>
        <w:t xml:space="preserve"> de Emissão</w:t>
      </w:r>
      <w:r w:rsidRPr="0076394A">
        <w:rPr>
          <w:rFonts w:ascii="Verdana" w:hAnsi="Verdana" w:cs="Arial"/>
          <w:bCs/>
          <w:color w:val="000000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pass</w:t>
      </w:r>
      <w:r>
        <w:rPr>
          <w:rFonts w:ascii="Verdana" w:hAnsi="Verdana" w:cs="Arial"/>
          <w:sz w:val="20"/>
        </w:rPr>
        <w:t xml:space="preserve">ará a vigorar com a seguinte </w:t>
      </w:r>
      <w:r w:rsidRPr="0076394A">
        <w:rPr>
          <w:rFonts w:ascii="Verdana" w:hAnsi="Verdana" w:cs="Arial"/>
          <w:sz w:val="20"/>
        </w:rPr>
        <w:t>redação</w:t>
      </w:r>
      <w:r>
        <w:rPr>
          <w:rFonts w:ascii="Verdana" w:hAnsi="Verdana" w:cs="Arial"/>
          <w:sz w:val="20"/>
        </w:rPr>
        <w:t>:</w:t>
      </w:r>
    </w:p>
    <w:p w14:paraId="415391BE" w14:textId="77777777" w:rsidR="006541CF" w:rsidRDefault="006541CF" w:rsidP="0046267B">
      <w:pPr>
        <w:pStyle w:val="PargrafodaLista"/>
        <w:ind w:left="1080"/>
        <w:rPr>
          <w:rFonts w:ascii="Verdana" w:hAnsi="Verdana"/>
          <w:sz w:val="20"/>
        </w:rPr>
      </w:pPr>
    </w:p>
    <w:p w14:paraId="475CCF14" w14:textId="24FD80AC" w:rsidR="006541CF" w:rsidRPr="007F7A9C" w:rsidRDefault="007F7A9C" w:rsidP="0046267B">
      <w:pPr>
        <w:pStyle w:val="PargrafodaLista"/>
        <w:ind w:left="1418"/>
        <w:rPr>
          <w:rFonts w:ascii="Verdana" w:hAnsi="Verdana"/>
          <w:i/>
          <w:sz w:val="20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“4.9.4. O período de capitalização da Remuneração (“Período de Capitalização”) é, (i) para o primeiro Período de Capitalização, o intervalo de tempo que se inicia na primeira Data de Subscrição e Integralização, inclusive, e termina na Data de Incorporação, exclusive, (“Primeiro Período de Capitalização”)  e (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ii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) para o próximo Período de Capitalização o intervalo de tempo que se inicia na Data de Incorporação, inclusive, e termina na Data de Vencimento, exclusive, (ou na data em que ocorrer o resgate antecipado, a amortização antecipada ou o vencimento antecipado das Debêntures, conforme previstos nesta Escritura de Emissão, se for o caso) (“Segundo Período de Capitalização”). Cada Período de Capitalização sucede o anterior sem solução de 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continuidade.”</w:t>
      </w:r>
      <w:proofErr w:type="gramEnd"/>
    </w:p>
    <w:p w14:paraId="48AA4558" w14:textId="77777777" w:rsidR="006541CF" w:rsidRDefault="006541CF" w:rsidP="002A7954">
      <w:pPr>
        <w:rPr>
          <w:rFonts w:ascii="Verdana" w:hAnsi="Verdana"/>
        </w:rPr>
      </w:pPr>
    </w:p>
    <w:p w14:paraId="1F2B1E5A" w14:textId="781B58C1" w:rsidR="007F7A9C" w:rsidRPr="007F7A9C" w:rsidRDefault="007F7A9C" w:rsidP="007F7A9C">
      <w:pPr>
        <w:pStyle w:val="Pargrafoda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 w:cs="Arial"/>
          <w:snapToGrid w:val="0"/>
          <w:sz w:val="20"/>
        </w:rPr>
        <w:t xml:space="preserve">O </w:t>
      </w:r>
      <w:r w:rsidRPr="007F7A9C">
        <w:rPr>
          <w:rFonts w:ascii="Verdana" w:hAnsi="Verdana" w:cs="Arial"/>
          <w:snapToGrid w:val="0"/>
          <w:sz w:val="20"/>
        </w:rPr>
        <w:t xml:space="preserve">item “e” da Cláusula 4.13 – Vencimento Antecipado. </w:t>
      </w:r>
      <w:r w:rsidRPr="007F7A9C">
        <w:rPr>
          <w:rFonts w:ascii="Verdana" w:hAnsi="Verdana" w:cs="Arial"/>
          <w:sz w:val="20"/>
        </w:rPr>
        <w:t>Em razão da deliberação de que trata este item</w:t>
      </w:r>
      <w:r w:rsidRPr="007F7A9C">
        <w:rPr>
          <w:rFonts w:ascii="Verdana" w:hAnsi="Verdana" w:cs="Arial"/>
          <w:snapToGrid w:val="0"/>
          <w:sz w:val="20"/>
        </w:rPr>
        <w:t>, referido item da Cláusula 4.13 da Escritura de Emissão passará a vigorar com a seguinte redação:</w:t>
      </w:r>
    </w:p>
    <w:p w14:paraId="25741BB3" w14:textId="77777777" w:rsidR="007F7A9C" w:rsidRDefault="007F7A9C" w:rsidP="007F7A9C">
      <w:pPr>
        <w:ind w:left="360"/>
        <w:rPr>
          <w:rFonts w:ascii="Verdana" w:hAnsi="Verdana"/>
        </w:rPr>
      </w:pPr>
    </w:p>
    <w:p w14:paraId="0850F6E3" w14:textId="647D15D8" w:rsidR="007F7A9C" w:rsidRPr="007F7A9C" w:rsidRDefault="007F7A9C" w:rsidP="007F7A9C">
      <w:pPr>
        <w:ind w:left="1416"/>
        <w:rPr>
          <w:rFonts w:ascii="Verdana" w:hAnsi="Verdana"/>
          <w:sz w:val="20"/>
        </w:rPr>
      </w:pPr>
      <w:r w:rsidRPr="007F7A9C">
        <w:rPr>
          <w:rFonts w:ascii="Verdana" w:hAnsi="Verdana" w:cs="Arial"/>
          <w:i/>
          <w:sz w:val="20"/>
        </w:rPr>
        <w:t>“(e) liquidação, dissolução, extinção, cisão, fusão, incorporação (inclusive incorporação de ações) ou qualquer forma de reorganização societária da Emissora, de qualquer de suas subsidiárias e/ou controladas e/ou Fiadora (“</w:t>
      </w:r>
      <w:r w:rsidRPr="007F7A9C">
        <w:rPr>
          <w:rFonts w:ascii="Verdana" w:hAnsi="Verdana" w:cs="Arial"/>
          <w:i/>
          <w:sz w:val="20"/>
          <w:u w:val="single"/>
        </w:rPr>
        <w:t>Operação</w:t>
      </w:r>
      <w:r w:rsidRPr="007F7A9C">
        <w:rPr>
          <w:rFonts w:ascii="Verdana" w:hAnsi="Verdana" w:cs="Arial"/>
          <w:i/>
          <w:sz w:val="20"/>
        </w:rPr>
        <w:t xml:space="preserve">”), exceto: (i) por operações de </w:t>
      </w:r>
      <w:r w:rsidRPr="007F7A9C">
        <w:rPr>
          <w:rFonts w:ascii="Verdana" w:hAnsi="Verdana" w:cs="Arial"/>
          <w:i/>
          <w:sz w:val="20"/>
        </w:rPr>
        <w:lastRenderedPageBreak/>
        <w:t>reorganização societária envolvendo (1) a Fiadora e qualquer de suas controladas; ou (2) quaisquer controladas da Fiadora entre si; ou (</w:t>
      </w:r>
      <w:proofErr w:type="spellStart"/>
      <w:r w:rsidRPr="007F7A9C">
        <w:rPr>
          <w:rFonts w:ascii="Verdana" w:hAnsi="Verdana" w:cs="Arial"/>
          <w:i/>
          <w:sz w:val="20"/>
        </w:rPr>
        <w:t>ii</w:t>
      </w:r>
      <w:proofErr w:type="spellEnd"/>
      <w:r w:rsidRPr="007F7A9C">
        <w:rPr>
          <w:rFonts w:ascii="Verdana" w:hAnsi="Verdana" w:cs="Arial"/>
          <w:i/>
          <w:sz w:val="20"/>
        </w:rPr>
        <w:t>) se prévia e expressamente aprovado pelos Debenturistas reunidos em Assembleia Geral de Debenturistas convocada com esse fim, nos termos do artigo 231 da Lei das Sociedades por Ações;”</w:t>
      </w:r>
    </w:p>
    <w:p w14:paraId="7383B7B2" w14:textId="77777777" w:rsidR="007F7A9C" w:rsidRPr="007F7A9C" w:rsidRDefault="007F7A9C" w:rsidP="007F7A9C">
      <w:pPr>
        <w:rPr>
          <w:rFonts w:ascii="Verdana" w:hAnsi="Verdana"/>
        </w:rPr>
      </w:pPr>
    </w:p>
    <w:p w14:paraId="0A061FEA" w14:textId="77777777" w:rsidR="00B9154C" w:rsidRPr="00B9154C" w:rsidRDefault="00B9154C" w:rsidP="002A7954">
      <w:pPr>
        <w:pStyle w:val="Ttulo1"/>
        <w:spacing w:line="280" w:lineRule="exact"/>
        <w:jc w:val="center"/>
        <w:rPr>
          <w:rFonts w:ascii="Verdana" w:hAnsi="Verdana"/>
          <w:smallCap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Cláusula Terceira - </w:t>
      </w:r>
      <w:r w:rsidRPr="00B9154C">
        <w:rPr>
          <w:rFonts w:ascii="Verdana" w:hAnsi="Verdana"/>
          <w:color w:val="000000"/>
          <w:sz w:val="20"/>
        </w:rPr>
        <w:t>DISPOSIÇÕES GERAIS</w:t>
      </w:r>
    </w:p>
    <w:p w14:paraId="2803047D" w14:textId="77777777" w:rsidR="00B9154C" w:rsidRPr="00B9154C" w:rsidRDefault="00B9154C" w:rsidP="002A7954">
      <w:pPr>
        <w:keepNext/>
        <w:rPr>
          <w:rFonts w:ascii="Verdana" w:hAnsi="Verdana"/>
          <w:color w:val="000000"/>
          <w:sz w:val="20"/>
        </w:rPr>
      </w:pPr>
    </w:p>
    <w:p w14:paraId="16CFF6E5" w14:textId="0693F196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.1.</w:t>
      </w:r>
      <w:r w:rsidRPr="00B9154C">
        <w:rPr>
          <w:rFonts w:ascii="Verdana" w:hAnsi="Verdana"/>
          <w:color w:val="000000"/>
          <w:sz w:val="20"/>
        </w:rPr>
        <w:tab/>
        <w:t>Todos os demais termos e condições da Escritura</w:t>
      </w:r>
      <w:r w:rsidR="00560292">
        <w:rPr>
          <w:rFonts w:ascii="Verdana" w:hAnsi="Verdana"/>
          <w:color w:val="000000"/>
          <w:sz w:val="20"/>
        </w:rPr>
        <w:t xml:space="preserve"> de Emissão</w:t>
      </w:r>
      <w:r w:rsidRPr="00B9154C">
        <w:rPr>
          <w:rFonts w:ascii="Verdana" w:hAnsi="Verdana"/>
          <w:color w:val="000000"/>
          <w:sz w:val="20"/>
        </w:rPr>
        <w:t xml:space="preserve"> que não tenham sido expressamente alterados por este Aditamento são, neste ato, ratificados e permanecem em pleno efeito e vigor. </w:t>
      </w:r>
    </w:p>
    <w:p w14:paraId="433F6D9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35CB8E9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.2.</w:t>
      </w:r>
      <w:r w:rsidRPr="00B9154C">
        <w:rPr>
          <w:rFonts w:ascii="Verdana" w:hAnsi="Verdana"/>
          <w:color w:val="000000"/>
          <w:sz w:val="20"/>
        </w:rPr>
        <w:tab/>
        <w:t>O presente Aditamento será registrado na JUCESP, nos termos do artigo 62, parágrafo 3º, da Lei das Sociedades por Ações e nos Registros de Títulos e Documentos da Cidade de São Paulo, Estado de São Paulo, e da Cidade do Rio de Janeiro, Estado do Rio de Janeiro, nos termos da Cláusula 2.1.3 da Escritura de Emissão.</w:t>
      </w:r>
    </w:p>
    <w:p w14:paraId="472EA82C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63F67E9E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.3.</w:t>
      </w:r>
      <w:r w:rsidRPr="00B9154C">
        <w:rPr>
          <w:rFonts w:ascii="Verdana" w:hAnsi="Verdana"/>
          <w:color w:val="000000"/>
          <w:sz w:val="20"/>
        </w:rPr>
        <w:tab/>
        <w:t>Este Aditamento é celebrado em caráter irrevogável e irretratável, obrigando as Partes e seus sucessores, a qualquer título.</w:t>
      </w:r>
    </w:p>
    <w:p w14:paraId="02645D0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5F52738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.4.</w:t>
      </w:r>
      <w:r w:rsidRPr="00B9154C">
        <w:rPr>
          <w:rFonts w:ascii="Verdana" w:hAnsi="Verdana"/>
          <w:color w:val="000000"/>
          <w:sz w:val="20"/>
        </w:rPr>
        <w:tab/>
        <w:t>As Partes declaram, mútua e expressamente, que este Aditamento foi celebrado respeitando-se os princípios de probidade e de boa-fé, por livre, consciente e firme manifestação de vontade das Partes e em perfeita relação de equidade.</w:t>
      </w:r>
    </w:p>
    <w:p w14:paraId="792781B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BA7979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.5.</w:t>
      </w:r>
      <w:r w:rsidRPr="00B9154C">
        <w:rPr>
          <w:rFonts w:ascii="Verdana" w:hAnsi="Verdana"/>
          <w:color w:val="000000"/>
          <w:sz w:val="20"/>
        </w:rPr>
        <w:tab/>
        <w:t>Este Aditamento é regido pelas Leis da República Federativa do Brasil.</w:t>
      </w:r>
    </w:p>
    <w:p w14:paraId="676EE3C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42623FD" w14:textId="77777777" w:rsidR="00B9154C" w:rsidRDefault="00B9154C" w:rsidP="002A7954">
      <w:pPr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.6.</w:t>
      </w:r>
      <w:r w:rsidRPr="00B9154C">
        <w:rPr>
          <w:rFonts w:ascii="Verdana" w:hAnsi="Verdana"/>
          <w:color w:val="000000"/>
          <w:sz w:val="20"/>
        </w:rPr>
        <w:tab/>
      </w:r>
      <w:r w:rsidRPr="00B9154C">
        <w:rPr>
          <w:rFonts w:ascii="Verdana" w:hAnsi="Verdana"/>
          <w:bCs/>
          <w:color w:val="000000"/>
          <w:sz w:val="20"/>
        </w:rPr>
        <w:t>As Partes elegem o foro da Comarca da Capital do Estado de São Paulo, com renúncia expressa de qualquer outro, por mais privilegiado, como competente para dirimir quaisquer controvérsias de Aditamento.</w:t>
      </w:r>
    </w:p>
    <w:p w14:paraId="663F65B1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92D2DC4" w14:textId="25181255" w:rsidR="00B9154C" w:rsidRDefault="00B9154C" w:rsidP="002A7954">
      <w:pPr>
        <w:rPr>
          <w:rFonts w:ascii="Verdana" w:hAnsi="Verdana"/>
          <w:color w:val="000000"/>
          <w:sz w:val="20"/>
        </w:rPr>
      </w:pPr>
      <w:r w:rsidRPr="00B9154C">
        <w:rPr>
          <w:rFonts w:ascii="Verdana" w:hAnsi="Verdana"/>
          <w:color w:val="000000"/>
          <w:sz w:val="20"/>
        </w:rPr>
        <w:t xml:space="preserve">Estando assim, as Partes, certas e ajustadas, firmam este Aditamento em </w:t>
      </w:r>
      <w:r w:rsidR="00C331D4">
        <w:rPr>
          <w:rFonts w:ascii="Verdana" w:hAnsi="Verdana"/>
          <w:color w:val="000000"/>
          <w:sz w:val="20"/>
        </w:rPr>
        <w:t>7</w:t>
      </w:r>
      <w:r w:rsidRPr="00B9154C">
        <w:rPr>
          <w:rFonts w:ascii="Verdana" w:hAnsi="Verdana"/>
          <w:color w:val="000000"/>
          <w:sz w:val="20"/>
        </w:rPr>
        <w:t xml:space="preserve"> (</w:t>
      </w:r>
      <w:r w:rsidR="00C331D4">
        <w:rPr>
          <w:rFonts w:ascii="Verdana" w:hAnsi="Verdana"/>
          <w:color w:val="000000"/>
          <w:sz w:val="20"/>
        </w:rPr>
        <w:t>sete</w:t>
      </w:r>
      <w:r w:rsidRPr="00B9154C">
        <w:rPr>
          <w:rFonts w:ascii="Verdana" w:hAnsi="Verdana"/>
          <w:color w:val="000000"/>
          <w:sz w:val="20"/>
        </w:rPr>
        <w:t>) vias de igual teor e forma, juntamente com 2 (duas) te</w:t>
      </w:r>
      <w:r>
        <w:rPr>
          <w:rFonts w:ascii="Verdana" w:hAnsi="Verdana"/>
          <w:color w:val="000000"/>
          <w:sz w:val="20"/>
        </w:rPr>
        <w:t xml:space="preserve">stemunhas, que também o assinam. </w:t>
      </w:r>
      <w:bookmarkStart w:id="0" w:name="_GoBack"/>
      <w:bookmarkEnd w:id="0"/>
    </w:p>
    <w:p w14:paraId="45417259" w14:textId="77777777" w:rsidR="00B9154C" w:rsidRDefault="00B9154C" w:rsidP="002A7954">
      <w:pPr>
        <w:rPr>
          <w:rFonts w:ascii="Verdana" w:hAnsi="Verdana"/>
          <w:color w:val="000000"/>
          <w:sz w:val="20"/>
        </w:rPr>
      </w:pPr>
    </w:p>
    <w:p w14:paraId="7ACC985F" w14:textId="293CBE3C" w:rsidR="002A7954" w:rsidRDefault="00B9154C" w:rsidP="002A7954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São Paulo, </w:t>
      </w:r>
      <w:r w:rsidR="00C331D4">
        <w:rPr>
          <w:rFonts w:ascii="Verdana" w:hAnsi="Verdana"/>
          <w:color w:val="000000"/>
          <w:sz w:val="20"/>
        </w:rPr>
        <w:t>05</w:t>
      </w:r>
      <w:r w:rsidR="007F7A9C">
        <w:rPr>
          <w:rFonts w:ascii="Verdana" w:hAnsi="Verdana"/>
          <w:color w:val="000000"/>
          <w:sz w:val="20"/>
        </w:rPr>
        <w:t xml:space="preserve"> de setembro de 2017</w:t>
      </w:r>
      <w:r>
        <w:rPr>
          <w:rFonts w:ascii="Verdana" w:hAnsi="Verdana"/>
          <w:color w:val="000000"/>
          <w:sz w:val="20"/>
        </w:rPr>
        <w:t>.</w:t>
      </w:r>
    </w:p>
    <w:p w14:paraId="15FE5EC3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5A862831" w14:textId="77777777" w:rsidR="002A7954" w:rsidRPr="005A5B1A" w:rsidRDefault="002A7954" w:rsidP="002A7954">
      <w:pPr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i/>
          <w:sz w:val="20"/>
        </w:rPr>
      </w:pPr>
      <w:r w:rsidRPr="005A5B1A">
        <w:rPr>
          <w:rFonts w:ascii="Verdana" w:hAnsi="Verdana" w:cs="Arial"/>
          <w:bCs/>
          <w:i/>
          <w:sz w:val="20"/>
        </w:rPr>
        <w:t>(O restante da página foi deixado in</w:t>
      </w:r>
      <w:r>
        <w:rPr>
          <w:rFonts w:ascii="Verdana" w:hAnsi="Verdana" w:cs="Arial"/>
          <w:bCs/>
          <w:i/>
          <w:sz w:val="20"/>
        </w:rPr>
        <w:t>tencionalmente em branco. Segue</w:t>
      </w:r>
      <w:r w:rsidRPr="005A5B1A">
        <w:rPr>
          <w:rFonts w:ascii="Verdana" w:hAnsi="Verdana" w:cs="Arial"/>
          <w:bCs/>
          <w:i/>
          <w:sz w:val="20"/>
        </w:rPr>
        <w:t xml:space="preserve"> </w:t>
      </w:r>
      <w:r>
        <w:rPr>
          <w:rFonts w:ascii="Verdana" w:hAnsi="Verdana" w:cs="Arial"/>
          <w:bCs/>
          <w:i/>
          <w:sz w:val="20"/>
        </w:rPr>
        <w:t>página</w:t>
      </w:r>
      <w:r w:rsidRPr="005A5B1A">
        <w:rPr>
          <w:rFonts w:ascii="Verdana" w:hAnsi="Verdana" w:cs="Arial"/>
          <w:bCs/>
          <w:i/>
          <w:sz w:val="20"/>
        </w:rPr>
        <w:t xml:space="preserve"> de assinatura.)</w:t>
      </w:r>
    </w:p>
    <w:p w14:paraId="67C0D955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6C5E838B" w14:textId="77777777" w:rsidR="002A7954" w:rsidRDefault="002A7954" w:rsidP="002A7954">
      <w:pPr>
        <w:spacing w:line="259" w:lineRule="auto"/>
        <w:jc w:val="lef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br w:type="page"/>
      </w:r>
    </w:p>
    <w:p w14:paraId="00E95A65" w14:textId="245F7F24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b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>(Página de Assinaturas 1/</w:t>
      </w:r>
      <w:r w:rsidR="002509BD"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="00450335">
        <w:rPr>
          <w:rFonts w:ascii="Verdana" w:hAnsi="Verdana"/>
          <w:i/>
          <w:caps/>
          <w:sz w:val="20"/>
        </w:rPr>
        <w:t>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133D8194" w14:textId="77777777" w:rsidR="002A7954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 w:cs="Arial"/>
          <w:b/>
          <w:sz w:val="20"/>
        </w:rPr>
      </w:pPr>
    </w:p>
    <w:p w14:paraId="39C18FCA" w14:textId="77777777" w:rsidR="002509BD" w:rsidRPr="002509BD" w:rsidRDefault="002509BD" w:rsidP="002509BD"/>
    <w:p w14:paraId="39A0B6AD" w14:textId="7E9D4C1C" w:rsidR="002A7954" w:rsidRDefault="002A7954" w:rsidP="002A7954">
      <w:pPr>
        <w:tabs>
          <w:tab w:val="left" w:pos="720"/>
        </w:tabs>
        <w:suppressAutoHyphen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PEDRA CHEIROSA I</w:t>
      </w:r>
      <w:r w:rsidR="00450335">
        <w:rPr>
          <w:rFonts w:ascii="Verdana" w:hAnsi="Verdana"/>
          <w:b/>
          <w:sz w:val="20"/>
        </w:rPr>
        <w:t>I</w:t>
      </w:r>
      <w:r w:rsidRPr="008704A6">
        <w:rPr>
          <w:rFonts w:ascii="Verdana" w:hAnsi="Verdana"/>
          <w:b/>
          <w:sz w:val="20"/>
        </w:rPr>
        <w:t xml:space="preserve"> ENERGIA S.A.</w:t>
      </w:r>
    </w:p>
    <w:p w14:paraId="53817818" w14:textId="28E91294" w:rsidR="002509BD" w:rsidRPr="002509BD" w:rsidRDefault="002509BD" w:rsidP="002A7954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 w:rsidRPr="002509BD">
        <w:rPr>
          <w:rFonts w:ascii="Verdana" w:hAnsi="Verdana"/>
          <w:sz w:val="20"/>
        </w:rPr>
        <w:t>Emissora</w:t>
      </w:r>
    </w:p>
    <w:p w14:paraId="658CDAC2" w14:textId="77777777" w:rsidR="002A7954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7BBCAE16" w14:textId="77777777" w:rsidR="002509BD" w:rsidRPr="008704A6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67B126C8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72"/>
        <w:gridCol w:w="4432"/>
      </w:tblGrid>
      <w:tr w:rsidR="002A7954" w:rsidRPr="008704A6" w14:paraId="473E145D" w14:textId="77777777" w:rsidTr="005F725C">
        <w:trPr>
          <w:jc w:val="center"/>
        </w:trPr>
        <w:tc>
          <w:tcPr>
            <w:tcW w:w="4773" w:type="dxa"/>
          </w:tcPr>
          <w:p w14:paraId="1229AC7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</w:t>
            </w:r>
            <w:r>
              <w:rPr>
                <w:rFonts w:ascii="Verdana" w:hAnsi="Verdana" w:cs="Arial"/>
                <w:sz w:val="20"/>
              </w:rPr>
              <w:t>___________________</w:t>
            </w:r>
          </w:p>
          <w:p w14:paraId="63CAE51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9C4821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02BFB68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0FCA0A6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54FE9F9C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33A014D2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1FCBB688" w14:textId="77777777" w:rsidR="002509BD" w:rsidRDefault="002509BD">
      <w:pPr>
        <w:spacing w:after="160" w:line="259" w:lineRule="auto"/>
        <w:jc w:val="left"/>
        <w:rPr>
          <w:rFonts w:ascii="Verdana" w:hAnsi="Verdana"/>
          <w:b/>
          <w:bCs/>
          <w:caps/>
          <w:sz w:val="20"/>
        </w:rPr>
      </w:pPr>
      <w:r>
        <w:rPr>
          <w:rFonts w:ascii="Verdana" w:hAnsi="Verdana"/>
          <w:b/>
          <w:bCs/>
          <w:caps/>
          <w:sz w:val="20"/>
        </w:rPr>
        <w:br w:type="page"/>
      </w:r>
    </w:p>
    <w:p w14:paraId="46B28A1B" w14:textId="737DCBAD" w:rsidR="002509BD" w:rsidRPr="00450335" w:rsidRDefault="002509BD" w:rsidP="002509BD">
      <w:pPr>
        <w:tabs>
          <w:tab w:val="left" w:pos="720"/>
        </w:tabs>
        <w:suppressAutoHyphens/>
        <w:rPr>
          <w:rFonts w:ascii="Verdana" w:hAnsi="Verdana"/>
          <w:b/>
          <w:caps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 xml:space="preserve">(Página de Assinaturas </w:t>
      </w:r>
      <w:r>
        <w:rPr>
          <w:rFonts w:ascii="Verdana" w:hAnsi="Verdana" w:cs="Arial"/>
          <w:i/>
          <w:sz w:val="20"/>
        </w:rPr>
        <w:t>2</w:t>
      </w:r>
      <w:r w:rsidRPr="008704A6">
        <w:rPr>
          <w:rFonts w:ascii="Verdana" w:hAnsi="Verdana" w:cs="Arial"/>
          <w:i/>
          <w:sz w:val="20"/>
        </w:rPr>
        <w:t>/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</w:t>
      </w:r>
      <w:r w:rsidR="00450335">
        <w:rPr>
          <w:rFonts w:ascii="Verdana" w:hAnsi="Verdana"/>
          <w:i/>
          <w:caps/>
          <w:sz w:val="20"/>
        </w:rPr>
        <w:t>I</w:t>
      </w:r>
      <w:r>
        <w:rPr>
          <w:rFonts w:ascii="Verdana" w:hAnsi="Verdana"/>
          <w:i/>
          <w:caps/>
          <w:sz w:val="20"/>
        </w:rPr>
        <w:t>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749A8737" w14:textId="77777777" w:rsidR="002509BD" w:rsidRPr="00450335" w:rsidRDefault="002509BD" w:rsidP="00450335">
      <w:pPr>
        <w:tabs>
          <w:tab w:val="left" w:pos="720"/>
        </w:tabs>
        <w:suppressAutoHyphens/>
        <w:rPr>
          <w:rFonts w:ascii="Verdana" w:hAnsi="Verdana"/>
          <w:b/>
          <w:caps/>
          <w:sz w:val="20"/>
        </w:rPr>
      </w:pPr>
    </w:p>
    <w:p w14:paraId="1E37C105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5BF495B0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 w:rsidRPr="008704A6">
        <w:rPr>
          <w:rFonts w:ascii="Verdana" w:hAnsi="Verdana"/>
          <w:b/>
          <w:bCs/>
          <w:caps/>
          <w:sz w:val="20"/>
        </w:rPr>
        <w:t>CPFL ENERGIAS RENOVÁVEIS S.A.</w:t>
      </w:r>
    </w:p>
    <w:p w14:paraId="511F559B" w14:textId="659556D1" w:rsidR="002A7954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Fiadora</w:t>
      </w:r>
    </w:p>
    <w:p w14:paraId="24B5ED44" w14:textId="77777777" w:rsidR="002509BD" w:rsidRPr="00450335" w:rsidRDefault="002509BD" w:rsidP="002509BD">
      <w:pPr>
        <w:tabs>
          <w:tab w:val="left" w:pos="720"/>
        </w:tabs>
        <w:suppressAutoHyphens/>
        <w:jc w:val="center"/>
        <w:rPr>
          <w:rFonts w:ascii="Verdana" w:hAnsi="Verdana"/>
          <w:sz w:val="20"/>
        </w:rPr>
      </w:pPr>
    </w:p>
    <w:p w14:paraId="725C0D5C" w14:textId="77777777" w:rsidR="002509BD" w:rsidRDefault="002509BD" w:rsidP="00450335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p w14:paraId="3A23FEE4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7E7FD386" w14:textId="77777777" w:rsidTr="005F725C">
        <w:trPr>
          <w:jc w:val="center"/>
        </w:trPr>
        <w:tc>
          <w:tcPr>
            <w:tcW w:w="4773" w:type="dxa"/>
          </w:tcPr>
          <w:p w14:paraId="11F633A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2D28DB7F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13796FB4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34BF1AB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226FCB0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35CC6D09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08E2B30B" w14:textId="3FCAFFAD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69BF56F4" w14:textId="77777777" w:rsidR="002509BD" w:rsidRDefault="002509BD">
      <w:pPr>
        <w:spacing w:after="160" w:line="259" w:lineRule="auto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15A0402F" w14:textId="3BFB8F47" w:rsidR="002A7954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 xml:space="preserve">(Página de Assinaturas </w:t>
      </w:r>
      <w:r>
        <w:rPr>
          <w:rFonts w:ascii="Verdana" w:hAnsi="Verdana" w:cs="Arial"/>
          <w:i/>
          <w:sz w:val="20"/>
        </w:rPr>
        <w:t>3</w:t>
      </w:r>
      <w:r w:rsidRPr="008704A6">
        <w:rPr>
          <w:rFonts w:ascii="Verdana" w:hAnsi="Verdana" w:cs="Arial"/>
          <w:i/>
          <w:sz w:val="20"/>
        </w:rPr>
        <w:t>/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="00450335">
        <w:rPr>
          <w:rFonts w:ascii="Verdana" w:hAnsi="Verdana"/>
          <w:i/>
          <w:caps/>
          <w:sz w:val="20"/>
        </w:rPr>
        <w:t>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7C4711F0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/>
          <w:b/>
          <w:bCs/>
          <w:caps/>
          <w:sz w:val="20"/>
        </w:rPr>
      </w:pPr>
    </w:p>
    <w:p w14:paraId="4D881E8B" w14:textId="77777777" w:rsidR="002509BD" w:rsidRPr="00450335" w:rsidRDefault="002509BD" w:rsidP="00450335">
      <w:pPr>
        <w:tabs>
          <w:tab w:val="left" w:pos="720"/>
        </w:tabs>
        <w:suppressAutoHyphens/>
        <w:jc w:val="center"/>
        <w:rPr>
          <w:rFonts w:ascii="Verdana" w:hAnsi="Verdana"/>
          <w:b/>
          <w:caps/>
          <w:sz w:val="20"/>
        </w:rPr>
      </w:pPr>
    </w:p>
    <w:p w14:paraId="0E0FF503" w14:textId="77777777" w:rsidR="002509BD" w:rsidRPr="008704A6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/>
          <w:b/>
          <w:bCs/>
          <w:caps/>
          <w:sz w:val="20"/>
        </w:rPr>
        <w:t>simplific pavarini distribuidora de títulos e valores mobiliários ltda.</w:t>
      </w:r>
    </w:p>
    <w:p w14:paraId="1537203A" w14:textId="1B021B6C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Agente Fiduciário</w:t>
      </w:r>
    </w:p>
    <w:p w14:paraId="3AE2CCAF" w14:textId="77777777" w:rsidR="002509BD" w:rsidRDefault="002509BD" w:rsidP="00450335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04"/>
      </w:tblGrid>
      <w:tr w:rsidR="002509BD" w:rsidRPr="008704A6" w14:paraId="4F781D99" w14:textId="77777777" w:rsidTr="008243A6">
        <w:trPr>
          <w:trHeight w:val="867"/>
          <w:jc w:val="center"/>
        </w:trPr>
        <w:tc>
          <w:tcPr>
            <w:tcW w:w="9040" w:type="dxa"/>
          </w:tcPr>
          <w:p w14:paraId="7EDC0405" w14:textId="77777777" w:rsidR="002509BD" w:rsidRDefault="002509BD" w:rsidP="008243A6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</w:p>
          <w:p w14:paraId="5993216F" w14:textId="77777777" w:rsidR="002509BD" w:rsidRPr="008704A6" w:rsidRDefault="002509BD" w:rsidP="008243A6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967"/>
              <w:gridCol w:w="4321"/>
            </w:tblGrid>
            <w:tr w:rsidR="002509BD" w:rsidRPr="008704A6" w14:paraId="324AA0E0" w14:textId="77777777" w:rsidTr="008243A6">
              <w:trPr>
                <w:jc w:val="center"/>
              </w:trPr>
              <w:tc>
                <w:tcPr>
                  <w:tcW w:w="4773" w:type="dxa"/>
                </w:tcPr>
                <w:p w14:paraId="7C7695A2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</w:t>
                  </w:r>
                </w:p>
                <w:p w14:paraId="6C5760C9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6F28DF73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14:paraId="0E11364B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_______________________________</w:t>
                  </w:r>
                </w:p>
                <w:p w14:paraId="455C83EF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093E3381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</w:tr>
          </w:tbl>
          <w:p w14:paraId="740A7003" w14:textId="77777777" w:rsidR="002509BD" w:rsidRPr="008704A6" w:rsidRDefault="002509BD" w:rsidP="008243A6">
            <w:pPr>
              <w:tabs>
                <w:tab w:val="left" w:pos="720"/>
              </w:tabs>
              <w:suppressAutoHyphens/>
              <w:jc w:val="left"/>
              <w:rPr>
                <w:rFonts w:ascii="Verdana" w:hAnsi="Verdana" w:cs="Arial"/>
                <w:sz w:val="20"/>
              </w:rPr>
            </w:pPr>
          </w:p>
        </w:tc>
      </w:tr>
    </w:tbl>
    <w:p w14:paraId="6C77B6F0" w14:textId="3BC3AD27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5CD67B1F" w14:textId="77777777" w:rsidR="002509BD" w:rsidRDefault="002509BD">
      <w:pPr>
        <w:spacing w:after="160" w:line="259" w:lineRule="auto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26D45B6A" w14:textId="77777777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47B20F65" w14:textId="3CB47222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  <w:r w:rsidRPr="008704A6">
        <w:rPr>
          <w:rFonts w:ascii="Verdana" w:hAnsi="Verdana" w:cs="Arial"/>
          <w:i/>
          <w:sz w:val="20"/>
        </w:rPr>
        <w:t xml:space="preserve">(Página de Assinaturas 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>/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="00450335">
        <w:rPr>
          <w:rFonts w:ascii="Verdana" w:hAnsi="Verdana"/>
          <w:i/>
          <w:caps/>
          <w:sz w:val="20"/>
        </w:rPr>
        <w:t>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1505796D" w14:textId="77777777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51773F1A" w14:textId="77777777" w:rsidR="002509BD" w:rsidRPr="008704A6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7BFB6E1B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bCs/>
          <w:caps/>
          <w:sz w:val="20"/>
        </w:rPr>
        <w:t>SIIF ENERGIES DO BRASIL LTDA.</w:t>
      </w:r>
    </w:p>
    <w:p w14:paraId="77BBFC17" w14:textId="3B05938B" w:rsidR="002A7954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Interveniente Anuente</w:t>
      </w:r>
    </w:p>
    <w:p w14:paraId="5FFA0FDD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p w14:paraId="2F9E9C43" w14:textId="77777777" w:rsidR="002509BD" w:rsidRPr="008704A6" w:rsidRDefault="002509BD" w:rsidP="00450335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p w14:paraId="01C2E8FC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4498169C" w14:textId="77777777" w:rsidTr="005F725C">
        <w:trPr>
          <w:jc w:val="center"/>
        </w:trPr>
        <w:tc>
          <w:tcPr>
            <w:tcW w:w="4773" w:type="dxa"/>
          </w:tcPr>
          <w:p w14:paraId="2D70AAF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565ABD8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22532E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181E28A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580B323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409238C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19A837FD" w14:textId="77777777" w:rsidR="002A7954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10DAA953" w14:textId="77777777" w:rsidR="002509BD" w:rsidRDefault="002509BD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7A059960" w14:textId="77777777" w:rsidR="002509BD" w:rsidRDefault="002509BD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578AC2A" w14:textId="77777777" w:rsidR="002A7954" w:rsidRPr="008704A6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171BD7E" w14:textId="77777777" w:rsidR="002A7954" w:rsidRPr="00450335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/>
          <w:i w:val="0"/>
          <w:color w:val="auto"/>
          <w:sz w:val="20"/>
        </w:rPr>
      </w:pPr>
      <w:r w:rsidRPr="00450335">
        <w:rPr>
          <w:rFonts w:ascii="Verdana" w:hAnsi="Verdana"/>
          <w:i w:val="0"/>
          <w:color w:val="auto"/>
          <w:sz w:val="20"/>
        </w:rPr>
        <w:t>TESTEMUNHAS</w:t>
      </w:r>
    </w:p>
    <w:p w14:paraId="637F7CBD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2CE14311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6"/>
        <w:gridCol w:w="4008"/>
      </w:tblGrid>
      <w:tr w:rsidR="002A7954" w:rsidRPr="008704A6" w14:paraId="5F328A35" w14:textId="77777777" w:rsidTr="005F725C">
        <w:trPr>
          <w:trHeight w:val="80"/>
          <w:jc w:val="center"/>
        </w:trPr>
        <w:tc>
          <w:tcPr>
            <w:tcW w:w="4773" w:type="dxa"/>
          </w:tcPr>
          <w:p w14:paraId="58D6A5F0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1.________________________________</w:t>
            </w:r>
          </w:p>
          <w:p w14:paraId="3DA8BBF5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0D3F82B2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58858E3A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  <w:tc>
          <w:tcPr>
            <w:tcW w:w="4773" w:type="dxa"/>
          </w:tcPr>
          <w:p w14:paraId="16AE1D5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2.____________________________</w:t>
            </w:r>
          </w:p>
          <w:p w14:paraId="30A7628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207B8E1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3F05DE6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</w:tr>
    </w:tbl>
    <w:p w14:paraId="0EBA8797" w14:textId="47BF22FA" w:rsidR="002A7954" w:rsidRPr="002A7954" w:rsidRDefault="002A7954">
      <w:pPr>
        <w:spacing w:line="320" w:lineRule="exact"/>
        <w:rPr>
          <w:rFonts w:ascii="Verdana" w:hAnsi="Verdana"/>
          <w:sz w:val="20"/>
        </w:rPr>
      </w:pPr>
      <w:r w:rsidRPr="00294054">
        <w:rPr>
          <w:rFonts w:ascii="Verdana" w:hAnsi="Verdana"/>
          <w:sz w:val="20"/>
        </w:rPr>
        <w:t xml:space="preserve"> </w:t>
      </w:r>
    </w:p>
    <w:sectPr w:rsidR="002A7954" w:rsidRPr="002A7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56DB"/>
    <w:multiLevelType w:val="multilevel"/>
    <w:tmpl w:val="CB9CC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6977EC"/>
    <w:multiLevelType w:val="hybridMultilevel"/>
    <w:tmpl w:val="0CF2DE20"/>
    <w:lvl w:ilvl="0" w:tplc="5138661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4A0"/>
    <w:multiLevelType w:val="hybridMultilevel"/>
    <w:tmpl w:val="D020FFA2"/>
    <w:lvl w:ilvl="0" w:tplc="3A16B1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6FD4"/>
    <w:multiLevelType w:val="hybridMultilevel"/>
    <w:tmpl w:val="63EE3E28"/>
    <w:lvl w:ilvl="0" w:tplc="D154F96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4A"/>
    <w:rsid w:val="001829CC"/>
    <w:rsid w:val="002509BD"/>
    <w:rsid w:val="002A7954"/>
    <w:rsid w:val="0043185C"/>
    <w:rsid w:val="00450335"/>
    <w:rsid w:val="0046267B"/>
    <w:rsid w:val="0049250B"/>
    <w:rsid w:val="004A19B4"/>
    <w:rsid w:val="005060D1"/>
    <w:rsid w:val="00560292"/>
    <w:rsid w:val="006541CF"/>
    <w:rsid w:val="00654C51"/>
    <w:rsid w:val="007125D6"/>
    <w:rsid w:val="0076394A"/>
    <w:rsid w:val="007F7A9C"/>
    <w:rsid w:val="009E6339"/>
    <w:rsid w:val="00AA5563"/>
    <w:rsid w:val="00B9154C"/>
    <w:rsid w:val="00BA25EF"/>
    <w:rsid w:val="00C331D4"/>
    <w:rsid w:val="00C47267"/>
    <w:rsid w:val="00CB3D75"/>
    <w:rsid w:val="00CD255D"/>
    <w:rsid w:val="00D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F98E"/>
  <w15:chartTrackingRefBased/>
  <w15:docId w15:val="{775502E2-A1BD-4B3B-A046-58E479A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4A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54C"/>
    <w:pPr>
      <w:keepNext/>
      <w:spacing w:line="360" w:lineRule="exact"/>
      <w:jc w:val="left"/>
      <w:outlineLvl w:val="0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9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39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915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95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4C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C5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C51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C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C51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C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rafael.avanzi</dc:creator>
  <cp:keywords/>
  <dc:description/>
  <cp:lastModifiedBy>rafael.avanzi</cp:lastModifiedBy>
  <cp:revision>2</cp:revision>
  <dcterms:created xsi:type="dcterms:W3CDTF">2017-09-05T14:46:00Z</dcterms:created>
  <dcterms:modified xsi:type="dcterms:W3CDTF">2017-09-05T14:46:00Z</dcterms:modified>
</cp:coreProperties>
</file>