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74222E36"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7785E35E"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 </w:t>
      </w:r>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na cidade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6C4DCEE5" w:rsidR="00AC5241" w:rsidRDefault="004D6582" w:rsidP="00B37AA3">
      <w:pPr>
        <w:tabs>
          <w:tab w:val="left" w:pos="993"/>
        </w:tabs>
        <w:spacing w:line="276" w:lineRule="auto"/>
        <w:jc w:val="both"/>
        <w:rPr>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1ª Emissão de Debêntures Simples, Não Conversíveis em Ações, da Espécie com Garantia Real e com Garantia Fidejussória para distribuição pública com esforços restritos da Priner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6445E8B3" w14:textId="315C4B5E"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Pr="00FE71AA">
        <w:rPr>
          <w:rFonts w:ascii="Verdana" w:hAnsi="Verdana" w:cs="Tahoma"/>
          <w:sz w:val="20"/>
          <w:highlight w:val="yellow"/>
        </w:rPr>
        <w:t xml:space="preserve">os </w:t>
      </w:r>
      <w:r w:rsidR="00FE71AA" w:rsidRPr="00FE71AA">
        <w:rPr>
          <w:rFonts w:ascii="Verdana" w:hAnsi="Verdana" w:cs="Tahoma"/>
          <w:sz w:val="20"/>
          <w:highlight w:val="yellow"/>
        </w:rPr>
        <w:t>Debenturistas 1ª Série</w:t>
      </w:r>
      <w:r w:rsidRPr="00FE71AA">
        <w:rPr>
          <w:rFonts w:ascii="Verdana" w:hAnsi="Verdana" w:cs="Tahoma"/>
          <w:sz w:val="20"/>
          <w:highlight w:val="yellow"/>
        </w:rPr>
        <w:t xml:space="preserve">, representando </w:t>
      </w:r>
      <w:r w:rsidR="00FE71AA" w:rsidRPr="00FE71AA">
        <w:rPr>
          <w:rFonts w:ascii="Verdana" w:hAnsi="Verdana" w:cs="Tahoma"/>
          <w:b/>
          <w:bCs/>
          <w:sz w:val="20"/>
          <w:highlight w:val="yellow"/>
        </w:rPr>
        <w:t>[...]</w:t>
      </w:r>
      <w:r w:rsidRPr="00FE71AA">
        <w:rPr>
          <w:rFonts w:ascii="Verdana" w:hAnsi="Verdana" w:cs="Tahoma"/>
          <w:b/>
          <w:bCs/>
          <w:sz w:val="20"/>
          <w:highlight w:val="yellow"/>
        </w:rPr>
        <w:t>% (</w:t>
      </w:r>
      <w:r w:rsidR="00FE71AA" w:rsidRPr="00FE71AA">
        <w:rPr>
          <w:rFonts w:ascii="Verdana" w:hAnsi="Verdana" w:cs="Tahoma"/>
          <w:b/>
          <w:bCs/>
          <w:sz w:val="20"/>
          <w:highlight w:val="yellow"/>
        </w:rPr>
        <w:t>...</w:t>
      </w:r>
      <w:r w:rsidRPr="00FE71AA">
        <w:rPr>
          <w:rFonts w:ascii="Verdana" w:hAnsi="Verdana" w:cs="Tahoma"/>
          <w:b/>
          <w:bCs/>
          <w:sz w:val="20"/>
          <w:highlight w:val="yellow"/>
        </w:rPr>
        <w:t>)</w:t>
      </w:r>
      <w:r w:rsidRPr="00FE71AA">
        <w:rPr>
          <w:rFonts w:ascii="Verdana" w:hAnsi="Verdana" w:cs="Tahoma"/>
          <w:sz w:val="20"/>
          <w:highlight w:val="yellow"/>
        </w:rPr>
        <w:t xml:space="preserve"> das Debêntures</w:t>
      </w:r>
      <w:r w:rsidR="00051CB2">
        <w:rPr>
          <w:rFonts w:ascii="Verdana" w:hAnsi="Verdana" w:cs="Tahoma"/>
          <w:sz w:val="20"/>
          <w:highlight w:val="yellow"/>
        </w:rPr>
        <w:t xml:space="preserve"> da 1ª Série</w:t>
      </w:r>
      <w:r w:rsidRPr="00FE71AA">
        <w:rPr>
          <w:rFonts w:ascii="Verdana" w:hAnsi="Verdana" w:cs="Tahoma"/>
          <w:sz w:val="20"/>
          <w:highlight w:val="yellow"/>
        </w:rPr>
        <w:t xml:space="preserve"> em circulação</w:t>
      </w:r>
      <w:r w:rsidR="00FE71AA" w:rsidRPr="00FE71AA">
        <w:rPr>
          <w:rFonts w:ascii="Verdana" w:hAnsi="Verdana" w:cs="Tahoma"/>
          <w:sz w:val="20"/>
          <w:highlight w:val="yellow"/>
        </w:rPr>
        <w:t xml:space="preserve"> e os Debenturistas 2ª Série, representando </w:t>
      </w:r>
      <w:r w:rsidR="00FE71AA" w:rsidRPr="00FE71AA">
        <w:rPr>
          <w:rFonts w:ascii="Verdana" w:hAnsi="Verdana" w:cs="Tahoma"/>
          <w:b/>
          <w:bCs/>
          <w:sz w:val="20"/>
          <w:highlight w:val="yellow"/>
        </w:rPr>
        <w:t>[...]% (...)</w:t>
      </w:r>
      <w:r w:rsidR="00FE71AA" w:rsidRPr="00FE71AA">
        <w:rPr>
          <w:rFonts w:ascii="Verdana" w:hAnsi="Verdana" w:cs="Tahoma"/>
          <w:sz w:val="20"/>
          <w:highlight w:val="yellow"/>
        </w:rPr>
        <w:t xml:space="preserve"> das Debêntures </w:t>
      </w:r>
      <w:r w:rsidR="00051CB2">
        <w:rPr>
          <w:rFonts w:ascii="Verdana" w:hAnsi="Verdana" w:cs="Tahoma"/>
          <w:sz w:val="20"/>
          <w:highlight w:val="yellow"/>
        </w:rPr>
        <w:t xml:space="preserve">da </w:t>
      </w:r>
      <w:r w:rsidR="00051CB2" w:rsidRPr="00FE71AA">
        <w:rPr>
          <w:rFonts w:ascii="Verdana" w:hAnsi="Verdana" w:cs="Tahoma"/>
          <w:sz w:val="20"/>
          <w:highlight w:val="yellow"/>
        </w:rPr>
        <w:t xml:space="preserve">2ª Série </w:t>
      </w:r>
      <w:r w:rsidR="00FE71AA" w:rsidRPr="00FE71AA">
        <w:rPr>
          <w:rFonts w:ascii="Verdana" w:hAnsi="Verdana" w:cs="Tahoma"/>
          <w:sz w:val="20"/>
          <w:highlight w:val="yellow"/>
        </w:rPr>
        <w:t>em circulação</w:t>
      </w:r>
      <w:r w:rsidRPr="00057F3B">
        <w:rPr>
          <w:rFonts w:ascii="Verdana" w:hAnsi="Verdana" w:cs="Tahoma"/>
          <w:sz w:val="20"/>
        </w:rPr>
        <w:t xml:space="preserve"> </w:t>
      </w:r>
      <w:r w:rsidRPr="00FE71AA">
        <w:rPr>
          <w:rFonts w:ascii="Verdana" w:hAnsi="Verdana" w:cs="Tahoma"/>
          <w:b/>
          <w:bCs/>
          <w:sz w:val="20"/>
        </w:rPr>
        <w:t>(ii)</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(iii)</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(iv)</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00FE71AA" w:rsidRPr="00AC5241">
        <w:rPr>
          <w:rFonts w:ascii="Verdana" w:hAnsi="Verdana" w:cs="Tahoma"/>
          <w:sz w:val="20"/>
          <w:u w:val="single"/>
        </w:rPr>
        <w:t>Priner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Geremário Dantas, nº 1.400, loja 250, CEP 22.760-401, na cidade do Rio de Janeiro, estado do Rio de Janeiro, inscrita no CNPJ/ME sob o nº 09.122.486/0001-05, neste ato devidamente representada nos termos do seu estatuto social (“</w:t>
      </w:r>
      <w:r w:rsidR="00FE71AA" w:rsidRPr="00AC5241">
        <w:rPr>
          <w:rFonts w:ascii="Verdana" w:hAnsi="Verdana" w:cs="Tahoma"/>
          <w:sz w:val="20"/>
          <w:u w:val="single"/>
        </w:rPr>
        <w:t>Smartcoat</w:t>
      </w:r>
      <w:r w:rsidR="00FE71AA" w:rsidRPr="00FE71AA">
        <w:rPr>
          <w:rFonts w:ascii="Verdana" w:hAnsi="Verdana" w:cs="Tahoma"/>
          <w:sz w:val="20"/>
        </w:rPr>
        <w:t>” e, quando em conjunto com a Priner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3F3A5235"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 w:name="OLE_LINK3"/>
      <w:bookmarkStart w:id="2" w:name="OLE_LINK4"/>
      <w:r w:rsidRPr="00F15C2A">
        <w:rPr>
          <w:rFonts w:ascii="Verdana" w:hAnsi="Verdana" w:cs="Tahoma"/>
          <w:sz w:val="20"/>
        </w:rPr>
        <w:t>Os trabalhos foram presididos pelo</w:t>
      </w:r>
      <w:r w:rsidR="00295BF4" w:rsidRPr="00F15C2A">
        <w:rPr>
          <w:rFonts w:ascii="Verdana" w:hAnsi="Verdana" w:cs="Tahoma"/>
          <w:sz w:val="20"/>
        </w:rPr>
        <w:t xml:space="preserve"> Sr.</w:t>
      </w:r>
      <w:r w:rsidR="00375DC9" w:rsidRPr="00F15C2A">
        <w:rPr>
          <w:rFonts w:ascii="Verdana" w:hAnsi="Verdana" w:cs="Tahoma"/>
          <w:sz w:val="20"/>
        </w:rPr>
        <w:t xml:space="preserve"> </w:t>
      </w:r>
      <w:r w:rsidR="007A44CA">
        <w:rPr>
          <w:rFonts w:ascii="Verdana" w:hAnsi="Verdana" w:cs="Tahoma"/>
          <w:sz w:val="20"/>
        </w:rPr>
        <w:t>[</w:t>
      </w:r>
      <w:r w:rsidR="007A44CA" w:rsidRPr="007A44CA">
        <w:rPr>
          <w:rFonts w:ascii="Verdana" w:hAnsi="Verdana" w:cs="Tahoma"/>
          <w:sz w:val="20"/>
          <w:highlight w:val="yellow"/>
        </w:rPr>
        <w:t>informar</w:t>
      </w:r>
      <w:r w:rsidR="007A44CA">
        <w:rPr>
          <w:rFonts w:ascii="Verdana" w:hAnsi="Verdana" w:cs="Tahoma"/>
          <w:sz w:val="20"/>
        </w:rPr>
        <w:t>]</w:t>
      </w:r>
      <w:r w:rsidRPr="00F15C2A">
        <w:rPr>
          <w:rFonts w:ascii="Verdana" w:hAnsi="Verdana" w:cs="Tahoma"/>
          <w:sz w:val="20"/>
        </w:rPr>
        <w:t>e secretariado</w:t>
      </w:r>
      <w:r w:rsidR="00AF18D9" w:rsidRPr="00F15C2A">
        <w:rPr>
          <w:rFonts w:ascii="Verdana" w:hAnsi="Verdana" w:cs="Tahoma"/>
          <w:sz w:val="20"/>
        </w:rPr>
        <w:t>s</w:t>
      </w:r>
      <w:r w:rsidRPr="00F15C2A">
        <w:rPr>
          <w:rFonts w:ascii="Verdana" w:hAnsi="Verdana" w:cs="Tahoma"/>
          <w:sz w:val="20"/>
        </w:rPr>
        <w:t xml:space="preserve"> pelo</w:t>
      </w:r>
      <w:bookmarkEnd w:id="1"/>
      <w:bookmarkEnd w:id="2"/>
      <w:r w:rsidR="001813E6" w:rsidRPr="00F15C2A">
        <w:rPr>
          <w:rFonts w:ascii="Verdana" w:hAnsi="Verdana" w:cs="Tahoma"/>
          <w:sz w:val="20"/>
        </w:rPr>
        <w:t xml:space="preserve"> Sr. </w:t>
      </w:r>
      <w:r w:rsidR="007A44CA">
        <w:rPr>
          <w:rFonts w:ascii="Verdana" w:hAnsi="Verdana" w:cs="Tahoma"/>
          <w:sz w:val="20"/>
        </w:rPr>
        <w:t>[</w:t>
      </w:r>
      <w:r w:rsidR="007A44CA" w:rsidRPr="007A44CA">
        <w:rPr>
          <w:rFonts w:ascii="Verdana" w:hAnsi="Verdana" w:cs="Tahoma"/>
          <w:sz w:val="20"/>
          <w:highlight w:val="yellow"/>
        </w:rPr>
        <w:t>informar</w:t>
      </w:r>
      <w:r w:rsidR="007A44CA">
        <w:rPr>
          <w:rFonts w:ascii="Verdana" w:hAnsi="Verdana" w:cs="Tahoma"/>
          <w:sz w:val="20"/>
        </w:rPr>
        <w:t>]</w:t>
      </w:r>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4DF4FB1C" w14:textId="023489C6" w:rsidR="004C4BC4" w:rsidRPr="00F15C2A" w:rsidRDefault="004D6582" w:rsidP="00B37AA3">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4C4BC4" w:rsidRPr="00F15C2A">
        <w:rPr>
          <w:rFonts w:ascii="Verdana" w:hAnsi="Verdana" w:cs="Tahoma"/>
          <w:sz w:val="20"/>
        </w:rPr>
        <w:t>:</w:t>
      </w:r>
    </w:p>
    <w:p w14:paraId="4A523A7C" w14:textId="77777777" w:rsidR="004C4BC4" w:rsidRPr="00F15C2A" w:rsidRDefault="004C4BC4" w:rsidP="00B37AA3">
      <w:pPr>
        <w:pStyle w:val="PargrafodaLista"/>
        <w:autoSpaceDE w:val="0"/>
        <w:autoSpaceDN w:val="0"/>
        <w:adjustRightInd w:val="0"/>
        <w:spacing w:line="276" w:lineRule="auto"/>
        <w:ind w:left="0"/>
        <w:jc w:val="both"/>
        <w:rPr>
          <w:rFonts w:ascii="Verdana" w:hAnsi="Verdana" w:cs="Tahoma"/>
          <w:sz w:val="20"/>
        </w:rPr>
      </w:pPr>
    </w:p>
    <w:p w14:paraId="13361274" w14:textId="3E10FEC9" w:rsidR="001C1A69" w:rsidRDefault="00FE71AA" w:rsidP="001C1A69">
      <w:pPr>
        <w:pStyle w:val="PargrafodaLista"/>
        <w:numPr>
          <w:ilvl w:val="0"/>
          <w:numId w:val="24"/>
        </w:numPr>
        <w:autoSpaceDE w:val="0"/>
        <w:autoSpaceDN w:val="0"/>
        <w:adjustRightInd w:val="0"/>
        <w:spacing w:line="276" w:lineRule="auto"/>
        <w:ind w:left="0" w:firstLine="0"/>
        <w:jc w:val="both"/>
        <w:rPr>
          <w:ins w:id="3" w:author="Leticia Alexandre Martins" w:date="2020-09-10T18:21:00Z"/>
          <w:rFonts w:ascii="Verdana" w:hAnsi="Verdana" w:cs="Tahoma"/>
          <w:sz w:val="20"/>
        </w:rPr>
      </w:pPr>
      <w:r w:rsidRPr="00FE71AA">
        <w:rPr>
          <w:rFonts w:ascii="Verdana" w:hAnsi="Verdana" w:cs="Tahoma"/>
          <w:sz w:val="20"/>
        </w:rPr>
        <w:t>declaração</w:t>
      </w:r>
      <w:r w:rsidR="001C1A69">
        <w:rPr>
          <w:rFonts w:ascii="Verdana" w:hAnsi="Verdana" w:cs="Tahoma"/>
          <w:sz w:val="20"/>
        </w:rPr>
        <w:t xml:space="preserve"> </w:t>
      </w:r>
      <w:ins w:id="4" w:author="Leticia Alexandre Martins" w:date="2020-09-10T18:15:00Z">
        <w:r w:rsidR="001C1A69">
          <w:rPr>
            <w:rFonts w:ascii="Verdana" w:hAnsi="Verdana" w:cs="Tahoma"/>
            <w:sz w:val="20"/>
          </w:rPr>
          <w:t>ou não</w:t>
        </w:r>
      </w:ins>
      <w:r w:rsidRPr="00FE71AA">
        <w:rPr>
          <w:rFonts w:ascii="Verdana" w:hAnsi="Verdana" w:cs="Tahoma"/>
          <w:sz w:val="20"/>
        </w:rPr>
        <w:t xml:space="preserve"> do vencimento antecipado das </w:t>
      </w:r>
      <w:del w:id="5" w:author="Leticia Alexandre Martins" w:date="2020-09-10T18:16:00Z">
        <w:r w:rsidRPr="00FE71AA" w:rsidDel="001C1A69">
          <w:rPr>
            <w:rFonts w:ascii="Verdana" w:hAnsi="Verdana" w:cs="Tahoma"/>
            <w:sz w:val="20"/>
          </w:rPr>
          <w:delText xml:space="preserve">Obrigações Garantidas da Companhia referentes às </w:delText>
        </w:r>
      </w:del>
      <w:r w:rsidRPr="00FE71AA">
        <w:rPr>
          <w:rFonts w:ascii="Verdana" w:hAnsi="Verdana" w:cs="Tahoma"/>
          <w:sz w:val="20"/>
        </w:rPr>
        <w:t xml:space="preserve">Debêntures, em razão do desenquadramento do Valor Mínimo de recursos nas Contas Vinculadas cedidas fiduciariamente em garantia da Emissão, nos </w:t>
      </w:r>
      <w:r w:rsidRPr="00FE71AA">
        <w:rPr>
          <w:rFonts w:ascii="Verdana" w:hAnsi="Verdana" w:cs="Tahoma"/>
          <w:sz w:val="20"/>
        </w:rPr>
        <w:lastRenderedPageBreak/>
        <w:t xml:space="preserve">termos da Cláusula 5.3.1 do </w:t>
      </w:r>
      <w:ins w:id="6" w:author="Leticia Alexandre Martins" w:date="2020-09-10T18:24:00Z">
        <w:r w:rsidR="00871AAA">
          <w:rPr>
            <w:rFonts w:ascii="Verdana" w:hAnsi="Verdana" w:cs="Tahoma"/>
            <w:sz w:val="20"/>
          </w:rPr>
          <w:t>“</w:t>
        </w:r>
      </w:ins>
      <w:r w:rsidRPr="00FE71AA">
        <w:rPr>
          <w:rFonts w:ascii="Verdana" w:hAnsi="Verdana" w:cs="Tahoma"/>
          <w:sz w:val="20"/>
        </w:rPr>
        <w:t>Instrumento Particular de Cessão Fiduciária de Recebíveis e de Conta Vinculada em Garantia e Outras Avenças</w:t>
      </w:r>
      <w:ins w:id="7" w:author="Leticia Alexandre Martins" w:date="2020-09-10T18:24:00Z">
        <w:r w:rsidR="00871AAA">
          <w:rPr>
            <w:rFonts w:ascii="Verdana" w:hAnsi="Verdana" w:cs="Tahoma"/>
            <w:sz w:val="20"/>
          </w:rPr>
          <w:t>”</w:t>
        </w:r>
      </w:ins>
      <w:r w:rsidRPr="00FE71AA">
        <w:rPr>
          <w:rFonts w:ascii="Verdana" w:hAnsi="Verdana" w:cs="Tahoma"/>
          <w:sz w:val="20"/>
        </w:rPr>
        <w:t xml:space="preserve"> celebrado</w:t>
      </w:r>
      <w:ins w:id="8" w:author="Leticia Alexandre Martins" w:date="2020-09-10T18:25:00Z">
        <w:r w:rsidR="00871AAA">
          <w:rPr>
            <w:rFonts w:ascii="Verdana" w:hAnsi="Verdana" w:cs="Tahoma"/>
            <w:sz w:val="20"/>
          </w:rPr>
          <w:t xml:space="preserve"> </w:t>
        </w:r>
      </w:ins>
      <w:del w:id="9" w:author="Leticia Alexandre Martins" w:date="2020-09-10T18:24:00Z">
        <w:r w:rsidRPr="00FE71AA" w:rsidDel="00871AAA">
          <w:rPr>
            <w:rFonts w:ascii="Verdana" w:hAnsi="Verdana" w:cs="Tahoma"/>
            <w:sz w:val="20"/>
          </w:rPr>
          <w:delText xml:space="preserve"> </w:delText>
        </w:r>
      </w:del>
      <w:ins w:id="10" w:author="Leticia Alexandre Martins" w:date="2020-09-10T18:24:00Z">
        <w:r w:rsidR="00871AAA">
          <w:rPr>
            <w:rFonts w:ascii="Verdana" w:hAnsi="Verdana" w:cs="Tahoma"/>
            <w:sz w:val="20"/>
          </w:rPr>
          <w:t>em [@] de</w:t>
        </w:r>
      </w:ins>
      <w:ins w:id="11" w:author="Leticia Alexandre Martins" w:date="2020-09-10T18:25:00Z">
        <w:r w:rsidR="00871AAA">
          <w:rPr>
            <w:rFonts w:ascii="Verdana" w:hAnsi="Verdana" w:cs="Tahoma"/>
            <w:sz w:val="20"/>
          </w:rPr>
          <w:t xml:space="preserve"> [@] de [@] (“Contrato de Cessão Fiduciária”) </w:t>
        </w:r>
      </w:ins>
      <w:del w:id="12" w:author="Leticia Alexandre Martins" w:date="2020-09-10T18:24:00Z">
        <w:r w:rsidRPr="00FE71AA" w:rsidDel="00871AAA">
          <w:rPr>
            <w:rFonts w:ascii="Verdana" w:hAnsi="Verdana" w:cs="Tahoma"/>
            <w:sz w:val="20"/>
          </w:rPr>
          <w:delText>conforme previsto na Cláusula 4.19.9 da Escritura de Emissão</w:delText>
        </w:r>
      </w:del>
      <w:ins w:id="13" w:author="Leticia Alexandre Martins" w:date="2020-09-10T18:21:00Z">
        <w:r w:rsidR="001C1A69">
          <w:rPr>
            <w:rFonts w:ascii="Verdana" w:hAnsi="Verdana" w:cs="Tahoma"/>
            <w:sz w:val="20"/>
          </w:rPr>
          <w:t>;</w:t>
        </w:r>
      </w:ins>
      <w:ins w:id="14" w:author="Leticia Alexandre Martins" w:date="2020-09-10T18:22:00Z">
        <w:r w:rsidR="001C1A69">
          <w:rPr>
            <w:rFonts w:ascii="Verdana" w:hAnsi="Verdana" w:cs="Tahoma"/>
            <w:sz w:val="20"/>
          </w:rPr>
          <w:t xml:space="preserve"> e</w:t>
        </w:r>
      </w:ins>
    </w:p>
    <w:p w14:paraId="5C38D332" w14:textId="77777777" w:rsidR="001C1A69" w:rsidRDefault="001C1A69" w:rsidP="001C1A69">
      <w:pPr>
        <w:pStyle w:val="PargrafodaLista"/>
        <w:autoSpaceDE w:val="0"/>
        <w:autoSpaceDN w:val="0"/>
        <w:adjustRightInd w:val="0"/>
        <w:spacing w:line="276" w:lineRule="auto"/>
        <w:ind w:left="0"/>
        <w:jc w:val="both"/>
        <w:rPr>
          <w:ins w:id="15" w:author="Leticia Alexandre Martins" w:date="2020-09-10T18:21:00Z"/>
          <w:rFonts w:ascii="Verdana" w:hAnsi="Verdana" w:cs="Tahoma"/>
          <w:sz w:val="20"/>
        </w:rPr>
      </w:pPr>
    </w:p>
    <w:p w14:paraId="0C2E6859" w14:textId="6427C93B" w:rsidR="004342BF" w:rsidRPr="002942C1" w:rsidRDefault="00FE71AA" w:rsidP="001C1A69">
      <w:pPr>
        <w:pStyle w:val="PargrafodaLista"/>
        <w:numPr>
          <w:ilvl w:val="0"/>
          <w:numId w:val="24"/>
        </w:numPr>
        <w:autoSpaceDE w:val="0"/>
        <w:autoSpaceDN w:val="0"/>
        <w:adjustRightInd w:val="0"/>
        <w:spacing w:line="276" w:lineRule="auto"/>
        <w:ind w:left="0" w:firstLine="0"/>
        <w:jc w:val="both"/>
        <w:rPr>
          <w:rFonts w:ascii="Verdana" w:hAnsi="Verdana" w:cs="Tahoma"/>
          <w:sz w:val="20"/>
        </w:rPr>
      </w:pPr>
      <w:del w:id="16" w:author="Leticia Alexandre Martins" w:date="2020-09-10T18:21:00Z">
        <w:r w:rsidRPr="00FE71AA" w:rsidDel="001C1A69">
          <w:rPr>
            <w:rFonts w:ascii="Verdana" w:hAnsi="Verdana" w:cs="Tahoma"/>
            <w:sz w:val="20"/>
          </w:rPr>
          <w:delText>.</w:delText>
        </w:r>
      </w:del>
      <w:ins w:id="17" w:author="Leticia Alexandre Martins" w:date="2020-09-10T18:21:00Z">
        <w:r w:rsidR="001C1A69">
          <w:rPr>
            <w:rFonts w:ascii="Verdana" w:hAnsi="Verdana" w:cs="Tahoma"/>
            <w:sz w:val="20"/>
          </w:rPr>
          <w:t>caso não sej</w:t>
        </w:r>
      </w:ins>
      <w:ins w:id="18" w:author="Leticia Alexandre Martins" w:date="2020-09-10T18:22:00Z">
        <w:r w:rsidR="001C1A69">
          <w:rPr>
            <w:rFonts w:ascii="Verdana" w:hAnsi="Verdana" w:cs="Tahoma"/>
            <w:sz w:val="20"/>
          </w:rPr>
          <w:t>a declarado o vencimento antecipado, conforme disposto no item (A) acima, a apresentação, pela Companhia, de garantia adicional de direitos creditórios em favor dos Debenturistas, representados pelo Agente Fiduciário.</w:t>
        </w:r>
      </w:ins>
      <w:del w:id="19" w:author="Leticia Alexandre Martins" w:date="2020-09-10T18:21:00Z">
        <w:r w:rsidR="003848D1" w:rsidRPr="003848D1" w:rsidDel="001C1A69">
          <w:rPr>
            <w:rFonts w:ascii="Verdana" w:hAnsi="Verdana" w:cs="Tahoma"/>
            <w:sz w:val="20"/>
          </w:rPr>
          <w:delText xml:space="preserve"> </w:delText>
        </w:r>
        <w:r w:rsidR="003848D1" w:rsidDel="001C1A69">
          <w:rPr>
            <w:rFonts w:ascii="Verdana" w:hAnsi="Verdana" w:cs="Tahoma"/>
            <w:sz w:val="20"/>
          </w:rPr>
          <w:delText xml:space="preserve"> </w:delText>
        </w:r>
        <w:r w:rsidR="003848D1" w:rsidRPr="003848D1" w:rsidDel="001C1A69">
          <w:rPr>
            <w:rFonts w:ascii="Verdana" w:hAnsi="Verdana" w:cs="Tahoma"/>
            <w:sz w:val="20"/>
          </w:rPr>
          <w:delText xml:space="preserve"> </w:delText>
        </w:r>
      </w:del>
    </w:p>
    <w:p w14:paraId="7ADBD157" w14:textId="1C2DC024" w:rsidR="00AF2CD8" w:rsidRPr="00F15C2A" w:rsidRDefault="0082432D" w:rsidP="00B37AA3">
      <w:pPr>
        <w:pStyle w:val="PargrafodaLista"/>
        <w:spacing w:line="276" w:lineRule="auto"/>
        <w:jc w:val="both"/>
        <w:rPr>
          <w:rFonts w:ascii="Verdana" w:hAnsi="Verdana" w:cs="Tahoma"/>
          <w:b/>
          <w:sz w:val="20"/>
        </w:rPr>
      </w:pPr>
      <w:r w:rsidRPr="00F15C2A">
        <w:rPr>
          <w:rFonts w:ascii="Verdana" w:hAnsi="Verdana" w:cs="Tahoma"/>
          <w:sz w:val="20"/>
        </w:rPr>
        <w:t xml:space="preserve"> </w:t>
      </w: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0D8C38AA"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ins w:id="20" w:author="Leticia Alexandre Martins" w:date="2020-09-10T18:17:00Z">
        <w:r w:rsidR="001C1A69">
          <w:rPr>
            <w:rFonts w:ascii="Verdana" w:hAnsi="Verdana" w:cs="Tahoma"/>
            <w:b/>
            <w:bCs/>
            <w:sz w:val="20"/>
          </w:rPr>
          <w:t xml:space="preserve">da </w:t>
        </w:r>
      </w:ins>
      <w:r w:rsidR="005573B5" w:rsidRPr="005A34A8">
        <w:rPr>
          <w:rFonts w:ascii="Verdana" w:hAnsi="Verdana" w:cs="Tahoma"/>
          <w:b/>
          <w:bCs/>
          <w:sz w:val="20"/>
        </w:rPr>
        <w:t xml:space="preserve">1ª Série </w:t>
      </w:r>
      <w:r w:rsidR="00FE71AA" w:rsidRPr="005A34A8">
        <w:rPr>
          <w:rFonts w:ascii="Verdana" w:hAnsi="Verdana" w:cs="Tahoma"/>
          <w:b/>
          <w:bCs/>
          <w:sz w:val="20"/>
        </w:rPr>
        <w:t xml:space="preserve">deliberaram, </w:t>
      </w:r>
      <w:r w:rsidR="00FE71AA" w:rsidRPr="005A34A8">
        <w:rPr>
          <w:rFonts w:ascii="Verdana" w:hAnsi="Verdana" w:cs="Tahoma"/>
          <w:b/>
          <w:bCs/>
          <w:sz w:val="20"/>
          <w:highlight w:val="yellow"/>
        </w:rPr>
        <w:t xml:space="preserve">por unanimidade </w:t>
      </w:r>
      <w:r w:rsidR="005573B5" w:rsidRPr="005A34A8">
        <w:rPr>
          <w:rFonts w:ascii="Verdana" w:hAnsi="Verdana" w:cs="Tahoma"/>
          <w:b/>
          <w:bCs/>
          <w:sz w:val="20"/>
          <w:highlight w:val="yellow"/>
        </w:rPr>
        <w:t>dos presentes</w:t>
      </w:r>
      <w:r w:rsidR="005573B5" w:rsidRPr="005A34A8">
        <w:rPr>
          <w:rFonts w:ascii="Verdana" w:hAnsi="Verdana" w:cs="Tahoma"/>
          <w:b/>
          <w:bCs/>
          <w:sz w:val="20"/>
        </w:rPr>
        <w:t xml:space="preserve"> </w:t>
      </w:r>
      <w:r w:rsidR="00FE71AA" w:rsidRPr="005A34A8">
        <w:rPr>
          <w:rFonts w:ascii="Verdana" w:hAnsi="Verdana" w:cs="Tahoma"/>
          <w:b/>
          <w:bCs/>
          <w:sz w:val="20"/>
        </w:rPr>
        <w:t>e sem restrições, 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0F9AFA26" w:rsidR="005573B5" w:rsidRDefault="00633828" w:rsidP="003848D1">
      <w:pPr>
        <w:pStyle w:val="PargrafodaLista"/>
        <w:numPr>
          <w:ilvl w:val="0"/>
          <w:numId w:val="33"/>
        </w:numPr>
        <w:autoSpaceDE w:val="0"/>
        <w:autoSpaceDN w:val="0"/>
        <w:adjustRightInd w:val="0"/>
        <w:spacing w:line="276" w:lineRule="auto"/>
        <w:jc w:val="both"/>
        <w:rPr>
          <w:rFonts w:ascii="Verdana" w:hAnsi="Verdana" w:cs="Tahoma"/>
          <w:sz w:val="20"/>
        </w:rPr>
      </w:pPr>
      <w:del w:id="21" w:author="Leticia Alexandre Martins" w:date="2020-09-10T18:23:00Z">
        <w:r w:rsidDel="001C1A69">
          <w:rPr>
            <w:rFonts w:ascii="Verdana" w:hAnsi="Verdana" w:cs="Tahoma"/>
            <w:sz w:val="20"/>
            <w:highlight w:val="yellow"/>
          </w:rPr>
          <w:delText>Em vista das garantias a obrigações adicionais oferecidas pela companhia</w:delText>
        </w:r>
      </w:del>
      <w:ins w:id="22" w:author="Leticia Alexandre Martins" w:date="2020-09-10T18:23:00Z">
        <w:r w:rsidR="001C1A69">
          <w:rPr>
            <w:rFonts w:ascii="Verdana" w:hAnsi="Verdana" w:cs="Tahoma"/>
            <w:sz w:val="20"/>
            <w:highlight w:val="yellow"/>
          </w:rPr>
          <w:t>Considerando a apresentação, pela Companhia, das Garantias Adicionais (conforme definidas abaixo)</w:t>
        </w:r>
      </w:ins>
      <w:r>
        <w:rPr>
          <w:rFonts w:ascii="Verdana" w:hAnsi="Verdana" w:cs="Tahoma"/>
          <w:sz w:val="20"/>
          <w:highlight w:val="yellow"/>
        </w:rPr>
        <w:t xml:space="preserve">, </w:t>
      </w:r>
      <w:r w:rsidRPr="00633828">
        <w:rPr>
          <w:rFonts w:ascii="Verdana" w:hAnsi="Verdana" w:cs="Tahoma"/>
          <w:b/>
          <w:bCs/>
          <w:sz w:val="20"/>
          <w:highlight w:val="yellow"/>
        </w:rPr>
        <w:t>n</w:t>
      </w:r>
      <w:r w:rsidR="005573B5" w:rsidRPr="00633828">
        <w:rPr>
          <w:rFonts w:ascii="Verdana" w:hAnsi="Verdana" w:cs="Tahoma"/>
          <w:b/>
          <w:bCs/>
          <w:sz w:val="20"/>
          <w:highlight w:val="yellow"/>
        </w:rPr>
        <w:t>ão Aprovar</w:t>
      </w:r>
      <w:r>
        <w:rPr>
          <w:rFonts w:ascii="Verdana" w:hAnsi="Verdana" w:cs="Tahoma"/>
          <w:b/>
          <w:bCs/>
          <w:sz w:val="20"/>
        </w:rPr>
        <w:t xml:space="preserve"> </w:t>
      </w:r>
      <w:r w:rsidRPr="00633828">
        <w:rPr>
          <w:rFonts w:ascii="Verdana" w:hAnsi="Verdana" w:cs="Tahoma"/>
          <w:sz w:val="20"/>
        </w:rPr>
        <w:t>a</w:t>
      </w:r>
      <w:r w:rsidR="005573B5">
        <w:rPr>
          <w:rFonts w:ascii="Verdana" w:hAnsi="Verdana" w:cs="Tahoma"/>
          <w:sz w:val="20"/>
        </w:rPr>
        <w:t xml:space="preserve"> </w:t>
      </w:r>
      <w:r w:rsidR="005573B5" w:rsidRPr="005573B5">
        <w:rPr>
          <w:rFonts w:ascii="Verdana" w:hAnsi="Verdana" w:cs="Tahoma"/>
          <w:sz w:val="20"/>
        </w:rPr>
        <w:t xml:space="preserve">declaração do vencimento antecipado das </w:t>
      </w:r>
      <w:del w:id="23" w:author="Leticia Alexandre Martins" w:date="2020-09-10T18:20:00Z">
        <w:r w:rsidR="005573B5" w:rsidRPr="005573B5" w:rsidDel="001C1A69">
          <w:rPr>
            <w:rFonts w:ascii="Verdana" w:hAnsi="Verdana" w:cs="Tahoma"/>
            <w:sz w:val="20"/>
          </w:rPr>
          <w:delText xml:space="preserve">Obrigações Garantidas da Companhia referentes às </w:delText>
        </w:r>
      </w:del>
      <w:r w:rsidR="005573B5" w:rsidRPr="005573B5">
        <w:rPr>
          <w:rFonts w:ascii="Verdana" w:hAnsi="Verdana" w:cs="Tahoma"/>
          <w:sz w:val="20"/>
        </w:rPr>
        <w:t>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sidR="005573B5">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3F08724C" w14:textId="58FB73AC" w:rsidR="008A1C06" w:rsidRPr="00633828" w:rsidRDefault="001C1A69" w:rsidP="00633828">
      <w:pPr>
        <w:pStyle w:val="PargrafodaLista"/>
        <w:numPr>
          <w:ilvl w:val="0"/>
          <w:numId w:val="33"/>
        </w:numPr>
        <w:autoSpaceDE w:val="0"/>
        <w:autoSpaceDN w:val="0"/>
        <w:adjustRightInd w:val="0"/>
        <w:spacing w:line="276" w:lineRule="auto"/>
        <w:jc w:val="both"/>
        <w:rPr>
          <w:rFonts w:ascii="Verdana" w:hAnsi="Verdana" w:cs="Tahoma"/>
          <w:sz w:val="20"/>
        </w:rPr>
      </w:pPr>
      <w:ins w:id="24" w:author="Leticia Alexandre Martins" w:date="2020-09-10T18:23:00Z">
        <w:r>
          <w:rPr>
            <w:rFonts w:ascii="Verdana" w:hAnsi="Verdana" w:cs="Tahoma"/>
            <w:sz w:val="20"/>
          </w:rPr>
          <w:t xml:space="preserve">Tendo em vista o disposto no item (A) acima, </w:t>
        </w:r>
      </w:ins>
      <w:del w:id="25" w:author="Leticia Alexandre Martins" w:date="2020-09-10T18:23:00Z">
        <w:r w:rsidR="00B50CDA" w:rsidDel="001C1A69">
          <w:rPr>
            <w:rFonts w:ascii="Verdana" w:hAnsi="Verdana" w:cs="Tahoma"/>
            <w:sz w:val="20"/>
          </w:rPr>
          <w:delText>O</w:delText>
        </w:r>
      </w:del>
      <w:ins w:id="26" w:author="Leticia Alexandre Martins" w:date="2020-09-10T18:23:00Z">
        <w:r>
          <w:rPr>
            <w:rFonts w:ascii="Verdana" w:hAnsi="Verdana" w:cs="Tahoma"/>
            <w:sz w:val="20"/>
          </w:rPr>
          <w:t>o</w:t>
        </w:r>
      </w:ins>
      <w:r w:rsidR="00633828" w:rsidRPr="00633828">
        <w:rPr>
          <w:rFonts w:ascii="Verdana" w:hAnsi="Verdana" w:cs="Tahoma"/>
          <w:sz w:val="20"/>
        </w:rPr>
        <w:t xml:space="preserve">s Debenturistas da Primeira Série aprovaram </w:t>
      </w:r>
      <w:del w:id="27" w:author="Leticia Alexandre Martins" w:date="2020-09-10T18:24:00Z">
        <w:r w:rsidR="00633828" w:rsidDel="001C1A69">
          <w:rPr>
            <w:rFonts w:ascii="Verdana" w:hAnsi="Verdana" w:cs="Tahoma"/>
            <w:sz w:val="20"/>
          </w:rPr>
          <w:delText>a proposta da Companhia nos seguintes termos</w:delText>
        </w:r>
        <w:r w:rsidR="00323020" w:rsidDel="001C1A69">
          <w:rPr>
            <w:rFonts w:ascii="Verdana" w:hAnsi="Verdana" w:cs="Tahoma"/>
            <w:sz w:val="20"/>
          </w:rPr>
          <w:delText xml:space="preserve"> (garantias a obrigações adicionais)</w:delText>
        </w:r>
      </w:del>
      <w:ins w:id="28" w:author="Leticia Alexandre Martins" w:date="2020-09-10T18:23:00Z">
        <w:r>
          <w:rPr>
            <w:rFonts w:ascii="Verdana" w:hAnsi="Verdana" w:cs="Tahoma"/>
            <w:sz w:val="20"/>
          </w:rPr>
          <w:t>(“Garantias Adicionais”)</w:t>
        </w:r>
      </w:ins>
      <w:r w:rsidR="005573B5" w:rsidRPr="00633828">
        <w:rPr>
          <w:rFonts w:ascii="Verdana" w:hAnsi="Verdana" w:cs="Tahoma"/>
          <w:sz w:val="20"/>
        </w:rPr>
        <w:t xml:space="preserve">: </w:t>
      </w:r>
    </w:p>
    <w:p w14:paraId="48BF66D7" w14:textId="71D912D4" w:rsidR="00633828" w:rsidRDefault="00633828" w:rsidP="00633828">
      <w:pPr>
        <w:pStyle w:val="PargrafodaLista"/>
        <w:autoSpaceDE w:val="0"/>
        <w:autoSpaceDN w:val="0"/>
        <w:adjustRightInd w:val="0"/>
        <w:spacing w:line="276" w:lineRule="auto"/>
        <w:jc w:val="both"/>
        <w:rPr>
          <w:rFonts w:ascii="Verdana" w:hAnsi="Verdana" w:cs="Tahoma"/>
          <w:sz w:val="20"/>
        </w:rPr>
      </w:pPr>
    </w:p>
    <w:p w14:paraId="3417ED9D" w14:textId="644C7995" w:rsidR="00633828" w:rsidRPr="00633828" w:rsidRDefault="00633828" w:rsidP="00721738">
      <w:pPr>
        <w:pStyle w:val="PargrafodaLista"/>
        <w:numPr>
          <w:ilvl w:val="1"/>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A aceitação dos direitos creditórios oriundos do contrato designado “Framework Services Agreement for Painting Services”, celebrado em 20 de agosto de 2020, entre Smartcoat Serviços de Revestimentos S.A. (“SmartCoat”)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 xml:space="preserve">do </w:t>
      </w:r>
      <w:ins w:id="29" w:author="Leticia Alexandre Martins" w:date="2020-09-10T18:25:00Z">
        <w:r w:rsidR="00871AAA">
          <w:rPr>
            <w:rFonts w:ascii="Verdana" w:hAnsi="Verdana" w:cs="Tahoma"/>
            <w:sz w:val="20"/>
          </w:rPr>
          <w:t>Contrato de Cessão Fiduciária</w:t>
        </w:r>
      </w:ins>
      <w:del w:id="30" w:author="Leticia Alexandre Martins" w:date="2020-09-10T18:25:00Z">
        <w:r w:rsidRPr="00FE71AA" w:rsidDel="00871AAA">
          <w:rPr>
            <w:rFonts w:ascii="Verdana" w:hAnsi="Verdana" w:cs="Tahoma"/>
            <w:sz w:val="20"/>
          </w:rPr>
          <w:delText>Instrumento Particular de Cessão Fiduciária de Recebíveis e de Conta Vinculada em Garantia e Outras Avenças</w:delText>
        </w:r>
      </w:del>
      <w:r w:rsidRPr="00633828">
        <w:rPr>
          <w:rFonts w:ascii="Verdana" w:hAnsi="Verdana" w:cs="Tahoma"/>
          <w:sz w:val="20"/>
        </w:rPr>
        <w:t>;</w:t>
      </w:r>
    </w:p>
    <w:p w14:paraId="15037CA6" w14:textId="77777777" w:rsidR="00633828" w:rsidRPr="00633828" w:rsidRDefault="00633828" w:rsidP="00633828">
      <w:pPr>
        <w:autoSpaceDE w:val="0"/>
        <w:autoSpaceDN w:val="0"/>
        <w:adjustRightInd w:val="0"/>
        <w:spacing w:line="276" w:lineRule="auto"/>
        <w:jc w:val="both"/>
        <w:rPr>
          <w:rFonts w:ascii="Verdana" w:hAnsi="Verdana" w:cs="Tahoma"/>
          <w:sz w:val="20"/>
        </w:rPr>
      </w:pPr>
    </w:p>
    <w:p w14:paraId="08D6B7FF" w14:textId="5878A376" w:rsidR="00633828" w:rsidRPr="00633828" w:rsidRDefault="006E286A" w:rsidP="00633828">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Criação de um mecanismo adicional de conta-depósito em garantia (“</w:t>
      </w:r>
      <w:r w:rsidR="00633828" w:rsidRPr="00633828">
        <w:rPr>
          <w:rFonts w:ascii="Verdana" w:hAnsi="Verdana" w:cs="Tahoma"/>
          <w:sz w:val="20"/>
        </w:rPr>
        <w:t xml:space="preserve">Cash </w:t>
      </w:r>
      <w:r>
        <w:rPr>
          <w:rFonts w:ascii="Verdana" w:hAnsi="Verdana" w:cs="Tahoma"/>
          <w:sz w:val="20"/>
        </w:rPr>
        <w:t>C</w:t>
      </w:r>
      <w:r w:rsidR="00633828" w:rsidRPr="00633828">
        <w:rPr>
          <w:rFonts w:ascii="Verdana" w:hAnsi="Verdana" w:cs="Tahoma"/>
          <w:sz w:val="20"/>
        </w:rPr>
        <w:t>olateral</w:t>
      </w:r>
      <w:r>
        <w:rPr>
          <w:rFonts w:ascii="Verdana" w:hAnsi="Verdana" w:cs="Tahoma"/>
          <w:sz w:val="20"/>
        </w:rPr>
        <w:t xml:space="preserve">”), </w:t>
      </w:r>
      <w:r w:rsidR="00633828" w:rsidRPr="00633828">
        <w:rPr>
          <w:rFonts w:ascii="Verdana" w:hAnsi="Verdana" w:cs="Tahoma"/>
          <w:sz w:val="20"/>
        </w:rPr>
        <w:t>com as seguintes condições:</w:t>
      </w:r>
    </w:p>
    <w:p w14:paraId="0402E746" w14:textId="63EDD0B5" w:rsidR="006E286A" w:rsidRDefault="006E286A"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Cessão fiduciária de conta-corrente 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 xml:space="preserve">.000.000,00 (dois milhões de reais) – valor esse a ser depositado pela Companhia, </w:t>
      </w:r>
    </w:p>
    <w:p w14:paraId="24D6EBB5" w14:textId="4B8F06EA"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sidR="006E286A">
        <w:rPr>
          <w:rFonts w:ascii="Verdana" w:hAnsi="Verdana" w:cs="Tahoma"/>
          <w:sz w:val="20"/>
        </w:rPr>
        <w:t>Valor Mínimo (conforme definido no</w:t>
      </w:r>
      <w:r w:rsidR="006E286A" w:rsidRPr="006E286A">
        <w:rPr>
          <w:rFonts w:ascii="Verdana" w:hAnsi="Verdana" w:cs="Tahoma"/>
          <w:sz w:val="20"/>
        </w:rPr>
        <w:t xml:space="preserve"> </w:t>
      </w:r>
      <w:ins w:id="31" w:author="Leticia Alexandre Martins" w:date="2020-09-10T18:25:00Z">
        <w:r w:rsidR="00871AAA">
          <w:rPr>
            <w:rFonts w:ascii="Verdana" w:hAnsi="Verdana" w:cs="Tahoma"/>
            <w:sz w:val="20"/>
          </w:rPr>
          <w:t>Contrato de Cessão Fiduciária</w:t>
        </w:r>
      </w:ins>
      <w:del w:id="32" w:author="Leticia Alexandre Martins" w:date="2020-09-10T18:25:00Z">
        <w:r w:rsidR="006E286A" w:rsidRPr="00FE71AA" w:rsidDel="00871AAA">
          <w:rPr>
            <w:rFonts w:ascii="Verdana" w:hAnsi="Verdana" w:cs="Tahoma"/>
            <w:sz w:val="20"/>
          </w:rPr>
          <w:delText>Instrumento Particular de Cessão Fiduciária de Recebíveis e de Conta Vinculada em Garantia e Outras Avenças</w:delText>
        </w:r>
      </w:del>
      <w:r w:rsidR="006E286A">
        <w:rPr>
          <w:rFonts w:ascii="Verdana" w:hAnsi="Verdana" w:cs="Tahoma"/>
          <w:sz w:val="20"/>
        </w:rPr>
        <w:t xml:space="preserve">) </w:t>
      </w:r>
      <w:r w:rsidRPr="00633828">
        <w:rPr>
          <w:rFonts w:ascii="Verdana" w:hAnsi="Verdana" w:cs="Tahoma"/>
          <w:sz w:val="20"/>
        </w:rPr>
        <w:t>não for atingido, o montante</w:t>
      </w:r>
      <w:r w:rsidR="006E286A">
        <w:rPr>
          <w:rFonts w:ascii="Verdana" w:hAnsi="Verdana" w:cs="Tahoma"/>
          <w:sz w:val="20"/>
        </w:rPr>
        <w:t xml:space="preserve"> depositado em conta</w:t>
      </w:r>
      <w:r w:rsidRPr="00633828">
        <w:rPr>
          <w:rFonts w:ascii="Verdana" w:hAnsi="Verdana" w:cs="Tahoma"/>
          <w:sz w:val="20"/>
        </w:rPr>
        <w:t xml:space="preserve"> será acrescido da parcela na qual o fluxo tenha sido insuficiente (diferença entre o fluxo real e R$ 3</w:t>
      </w:r>
      <w:r w:rsidR="006E286A">
        <w:rPr>
          <w:rFonts w:ascii="Verdana" w:hAnsi="Verdana" w:cs="Tahoma"/>
          <w:sz w:val="20"/>
        </w:rPr>
        <w:t>.000.000,00 (três</w:t>
      </w:r>
      <w:r w:rsidRPr="00633828">
        <w:rPr>
          <w:rFonts w:ascii="Verdana" w:hAnsi="Verdana" w:cs="Tahoma"/>
          <w:sz w:val="20"/>
        </w:rPr>
        <w:t xml:space="preserve"> milhões</w:t>
      </w:r>
      <w:r w:rsidR="006E286A">
        <w:rPr>
          <w:rFonts w:ascii="Verdana" w:hAnsi="Verdana" w:cs="Tahoma"/>
          <w:sz w:val="20"/>
        </w:rPr>
        <w:t xml:space="preserve"> de reais)</w:t>
      </w:r>
      <w:r w:rsidRPr="00633828">
        <w:rPr>
          <w:rFonts w:ascii="Verdana" w:hAnsi="Verdana" w:cs="Tahoma"/>
          <w:sz w:val="20"/>
        </w:rPr>
        <w:t>);</w:t>
      </w:r>
    </w:p>
    <w:p w14:paraId="641D347A" w14:textId="2E9AEB80"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lastRenderedPageBreak/>
        <w:t xml:space="preserve">No terceiro mês seguido em que o </w:t>
      </w:r>
      <w:r w:rsidR="006E286A">
        <w:rPr>
          <w:rFonts w:ascii="Verdana" w:hAnsi="Verdana" w:cs="Tahoma"/>
          <w:sz w:val="20"/>
        </w:rPr>
        <w:t>Valor Mínimo</w:t>
      </w:r>
      <w:r w:rsidRPr="00633828">
        <w:rPr>
          <w:rFonts w:ascii="Verdana" w:hAnsi="Verdana" w:cs="Tahoma"/>
          <w:sz w:val="20"/>
        </w:rPr>
        <w:t xml:space="preserve"> for atingido, o montante </w:t>
      </w:r>
      <w:r w:rsidR="006E286A">
        <w:rPr>
          <w:rFonts w:ascii="Verdana" w:hAnsi="Verdana" w:cs="Tahoma"/>
          <w:sz w:val="20"/>
        </w:rPr>
        <w:t xml:space="preserve">total depositado </w:t>
      </w:r>
      <w:r w:rsidRPr="00633828">
        <w:rPr>
          <w:rFonts w:ascii="Verdana" w:hAnsi="Verdana" w:cs="Tahoma"/>
          <w:sz w:val="20"/>
        </w:rPr>
        <w:t>(“</w:t>
      </w:r>
      <w:r w:rsidR="006E286A">
        <w:rPr>
          <w:rFonts w:ascii="Verdana" w:hAnsi="Verdana" w:cs="Tahoma"/>
          <w:sz w:val="20"/>
        </w:rPr>
        <w:t>C</w:t>
      </w:r>
      <w:r w:rsidRPr="00633828">
        <w:rPr>
          <w:rFonts w:ascii="Verdana" w:hAnsi="Verdana" w:cs="Tahoma"/>
          <w:sz w:val="20"/>
        </w:rPr>
        <w:t xml:space="preserve">ash </w:t>
      </w:r>
      <w:r w:rsidR="006E286A">
        <w:rPr>
          <w:rFonts w:ascii="Verdana" w:hAnsi="Verdana" w:cs="Tahoma"/>
          <w:sz w:val="20"/>
        </w:rPr>
        <w:t>C</w:t>
      </w:r>
      <w:r w:rsidRPr="00633828">
        <w:rPr>
          <w:rFonts w:ascii="Verdana" w:hAnsi="Verdana" w:cs="Tahoma"/>
          <w:sz w:val="20"/>
        </w:rPr>
        <w:t>olateral” inicial + complementos) será totalmente liberado;</w:t>
      </w:r>
    </w:p>
    <w:p w14:paraId="4F730F3A" w14:textId="6039F5D8" w:rsidR="00633828" w:rsidRPr="00633828" w:rsidRDefault="00E67BE7"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Após a liberação dos valores conforme item “iii” acima, na hipótese de </w:t>
      </w:r>
      <w:r w:rsidR="00633828" w:rsidRPr="00633828">
        <w:rPr>
          <w:rFonts w:ascii="Verdana" w:hAnsi="Verdana" w:cs="Tahoma"/>
          <w:sz w:val="20"/>
        </w:rPr>
        <w:t xml:space="preserve">o </w:t>
      </w:r>
      <w:r w:rsidR="006E286A">
        <w:rPr>
          <w:rFonts w:ascii="Verdana" w:hAnsi="Verdana" w:cs="Tahoma"/>
          <w:sz w:val="20"/>
        </w:rPr>
        <w:t>Valor Mínimo</w:t>
      </w:r>
      <w:r w:rsidR="00633828" w:rsidRPr="00633828">
        <w:rPr>
          <w:rFonts w:ascii="Verdana" w:hAnsi="Verdana" w:cs="Tahoma"/>
          <w:sz w:val="20"/>
        </w:rPr>
        <w:t xml:space="preserve"> </w:t>
      </w:r>
      <w:r>
        <w:rPr>
          <w:rFonts w:ascii="Verdana" w:hAnsi="Verdana" w:cs="Tahoma"/>
          <w:sz w:val="20"/>
        </w:rPr>
        <w:t>não ser</w:t>
      </w:r>
      <w:r w:rsidR="00633828" w:rsidRPr="00633828">
        <w:rPr>
          <w:rFonts w:ascii="Verdana" w:hAnsi="Verdana" w:cs="Tahoma"/>
          <w:sz w:val="20"/>
        </w:rPr>
        <w:t xml:space="preserve"> </w:t>
      </w:r>
      <w:r>
        <w:rPr>
          <w:rFonts w:ascii="Verdana" w:hAnsi="Verdana" w:cs="Tahoma"/>
          <w:sz w:val="20"/>
        </w:rPr>
        <w:t xml:space="preserve">novamente </w:t>
      </w:r>
      <w:r w:rsidR="00633828" w:rsidRPr="00633828">
        <w:rPr>
          <w:rFonts w:ascii="Verdana" w:hAnsi="Verdana" w:cs="Tahoma"/>
          <w:sz w:val="20"/>
        </w:rPr>
        <w:t xml:space="preserve">atingido, </w:t>
      </w:r>
      <w:r w:rsidR="006E286A">
        <w:rPr>
          <w:rFonts w:ascii="Verdana" w:hAnsi="Verdana" w:cs="Tahoma"/>
          <w:sz w:val="20"/>
        </w:rPr>
        <w:t xml:space="preserve">será </w:t>
      </w:r>
      <w:r>
        <w:rPr>
          <w:rFonts w:ascii="Verdana" w:hAnsi="Verdana" w:cs="Tahoma"/>
          <w:sz w:val="20"/>
        </w:rPr>
        <w:t>restabelecido o sistema de depósitos em garantia e liberações dos itens “i”, “ii” e “iii” acima</w:t>
      </w:r>
      <w:r w:rsidR="00B50CDA">
        <w:rPr>
          <w:rFonts w:ascii="Verdana" w:hAnsi="Verdana" w:cs="Tahoma"/>
          <w:sz w:val="20"/>
        </w:rPr>
        <w:t>;</w:t>
      </w:r>
    </w:p>
    <w:p w14:paraId="0C1BF4EC" w14:textId="77777777" w:rsidR="00633828" w:rsidRPr="00633828" w:rsidRDefault="00633828" w:rsidP="00B50CDA">
      <w:pPr>
        <w:pStyle w:val="PargrafodaLista"/>
        <w:autoSpaceDE w:val="0"/>
        <w:autoSpaceDN w:val="0"/>
        <w:adjustRightInd w:val="0"/>
        <w:spacing w:line="276" w:lineRule="auto"/>
        <w:jc w:val="both"/>
        <w:rPr>
          <w:rFonts w:ascii="Verdana" w:hAnsi="Verdana" w:cs="Tahoma"/>
          <w:sz w:val="20"/>
        </w:rPr>
      </w:pPr>
    </w:p>
    <w:p w14:paraId="278FB4D6" w14:textId="72164512" w:rsid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Criação de </w:t>
      </w:r>
      <w:r w:rsidR="00323020">
        <w:rPr>
          <w:rFonts w:ascii="Verdana" w:hAnsi="Verdana" w:cs="Tahoma"/>
          <w:sz w:val="20"/>
        </w:rPr>
        <w:t>c</w:t>
      </w:r>
      <w:r>
        <w:rPr>
          <w:rFonts w:ascii="Verdana" w:hAnsi="Verdana" w:cs="Tahoma"/>
          <w:sz w:val="20"/>
        </w:rPr>
        <w:t>ovenant financeiro adicional a ser cumprido pela Companhia igual a c</w:t>
      </w:r>
      <w:r w:rsidR="00633828" w:rsidRPr="00633828">
        <w:rPr>
          <w:rFonts w:ascii="Verdana" w:hAnsi="Verdana" w:cs="Tahoma"/>
          <w:sz w:val="20"/>
        </w:rPr>
        <w:t xml:space="preserve">aixa </w:t>
      </w:r>
      <w:r>
        <w:rPr>
          <w:rFonts w:ascii="Verdana" w:hAnsi="Verdana" w:cs="Tahoma"/>
          <w:sz w:val="20"/>
        </w:rPr>
        <w:t>líquido consolidado da Companhia ≥</w:t>
      </w:r>
      <w:r w:rsidR="00633828" w:rsidRPr="00633828">
        <w:rPr>
          <w:rFonts w:ascii="Verdana" w:hAnsi="Verdana" w:cs="Tahoma"/>
          <w:sz w:val="20"/>
        </w:rPr>
        <w:t xml:space="preserve"> a 1,2 X a dívida de curto prazo</w:t>
      </w:r>
      <w:r>
        <w:rPr>
          <w:rFonts w:ascii="Verdana" w:hAnsi="Verdana" w:cs="Tahoma"/>
          <w:sz w:val="20"/>
        </w:rPr>
        <w:t xml:space="preserve"> consolidada da Companhia;</w:t>
      </w:r>
    </w:p>
    <w:p w14:paraId="78F3D99F"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99AF4D" w14:textId="557F39C5" w:rsidR="00B50CDA" w:rsidRP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 xml:space="preserve">em razão do desenquadramento do Valor Mínimo de recursos nas Contas Vinculadas cedidas fiduciariamente em garantia da Emissão, nos termos da Cláusula 5.3.1 do </w:t>
      </w:r>
      <w:ins w:id="33" w:author="Leticia Alexandre Martins" w:date="2020-09-10T18:26:00Z">
        <w:r w:rsidR="00871AAA">
          <w:rPr>
            <w:rFonts w:ascii="Verdana" w:hAnsi="Verdana" w:cs="Tahoma"/>
            <w:sz w:val="20"/>
          </w:rPr>
          <w:t>Contrato de Cessão Fiduciária</w:t>
        </w:r>
      </w:ins>
      <w:del w:id="34" w:author="Leticia Alexandre Martins" w:date="2020-09-10T18:26:00Z">
        <w:r w:rsidRPr="005573B5" w:rsidDel="00871AAA">
          <w:rPr>
            <w:rFonts w:ascii="Verdana" w:hAnsi="Verdana" w:cs="Tahoma"/>
            <w:sz w:val="20"/>
          </w:rPr>
          <w:delText>Instrumento Particular de Cessão Fiduciária de Recebíveis e de Conta Vinculada em Garantia e Outras Avenças celebrado conforme previsto na Cláusula 4.19.9 da Escritura de Emissão</w:delText>
        </w:r>
      </w:del>
      <w:r>
        <w:rPr>
          <w:rFonts w:ascii="Verdana" w:hAnsi="Verdana" w:cs="Tahoma"/>
          <w:sz w:val="20"/>
        </w:rPr>
        <w:t>;</w:t>
      </w:r>
    </w:p>
    <w:p w14:paraId="1BADF7B7" w14:textId="7C04F195"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0C106E81" w14:textId="597AB686" w:rsidR="00B55930" w:rsidRDefault="008D7CA0" w:rsidP="003848D1">
      <w:pPr>
        <w:pStyle w:val="PargrafodaLista"/>
        <w:numPr>
          <w:ilvl w:val="0"/>
          <w:numId w:val="33"/>
        </w:numPr>
        <w:autoSpaceDE w:val="0"/>
        <w:autoSpaceDN w:val="0"/>
        <w:adjustRightInd w:val="0"/>
        <w:spacing w:line="276" w:lineRule="auto"/>
        <w:jc w:val="both"/>
        <w:rPr>
          <w:rFonts w:ascii="Verdana" w:hAnsi="Verdana" w:cs="Tahoma"/>
          <w:sz w:val="20"/>
        </w:rPr>
      </w:pPr>
      <w:del w:id="35" w:author="Leticia Alexandre Martins" w:date="2020-09-10T18:27:00Z">
        <w:r w:rsidRPr="005573B5" w:rsidDel="00871AAA">
          <w:rPr>
            <w:rFonts w:ascii="Verdana" w:hAnsi="Verdana" w:cs="Tahoma"/>
            <w:sz w:val="20"/>
            <w:highlight w:val="yellow"/>
          </w:rPr>
          <w:delText>Aprovar</w:delText>
        </w:r>
        <w:r w:rsidDel="00871AAA">
          <w:rPr>
            <w:rFonts w:ascii="Verdana" w:hAnsi="Verdana" w:cs="Tahoma"/>
            <w:sz w:val="20"/>
          </w:rPr>
          <w:delText xml:space="preserve"> </w:delText>
        </w:r>
      </w:del>
      <w:ins w:id="36" w:author="Leticia Alexandre Martins" w:date="2020-09-10T18:27:00Z">
        <w:r w:rsidR="00871AAA">
          <w:rPr>
            <w:rFonts w:ascii="Verdana" w:hAnsi="Verdana" w:cs="Tahoma"/>
            <w:sz w:val="20"/>
          </w:rPr>
          <w:t>Autorizar</w:t>
        </w:r>
        <w:r w:rsidR="00871AAA">
          <w:rPr>
            <w:rFonts w:ascii="Verdana" w:hAnsi="Verdana" w:cs="Tahoma"/>
            <w:sz w:val="20"/>
          </w:rPr>
          <w:t xml:space="preserve"> </w:t>
        </w:r>
      </w:ins>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B62DD9">
        <w:rPr>
          <w:rFonts w:ascii="Verdana" w:hAnsi="Verdana" w:cs="Tahoma"/>
          <w:sz w:val="20"/>
          <w:highlight w:val="yellow"/>
        </w:rPr>
        <w:t>, incluindo</w:t>
      </w:r>
      <w:r w:rsidR="00E4172B" w:rsidRPr="00B62DD9">
        <w:rPr>
          <w:rFonts w:ascii="Verdana" w:hAnsi="Verdana" w:cs="Tahoma"/>
          <w:sz w:val="20"/>
          <w:highlight w:val="yellow"/>
        </w:rPr>
        <w:t xml:space="preserve"> a assinatura</w:t>
      </w:r>
      <w:r w:rsidR="007E0E30" w:rsidRPr="00B62DD9">
        <w:rPr>
          <w:rFonts w:ascii="Verdana" w:hAnsi="Verdana" w:cs="Tahoma"/>
          <w:sz w:val="20"/>
          <w:highlight w:val="yellow"/>
        </w:rPr>
        <w:t xml:space="preserve"> </w:t>
      </w:r>
      <w:r w:rsidR="00E4172B" w:rsidRPr="00B62DD9">
        <w:rPr>
          <w:rFonts w:ascii="Verdana" w:hAnsi="Verdana" w:cs="Tahoma"/>
          <w:sz w:val="20"/>
          <w:highlight w:val="yellow"/>
        </w:rPr>
        <w:t>d</w:t>
      </w:r>
      <w:r w:rsidR="007E0E30" w:rsidRPr="00B62DD9">
        <w:rPr>
          <w:rFonts w:ascii="Verdana" w:hAnsi="Verdana" w:cs="Tahoma"/>
          <w:sz w:val="20"/>
          <w:highlight w:val="yellow"/>
        </w:rPr>
        <w:t xml:space="preserve">os </w:t>
      </w:r>
      <w:r w:rsidR="00B55930" w:rsidRPr="00B62DD9">
        <w:rPr>
          <w:rFonts w:ascii="Verdana" w:hAnsi="Verdana" w:cs="Tahoma"/>
          <w:sz w:val="20"/>
          <w:highlight w:val="yellow"/>
        </w:rPr>
        <w:t>aditivos à Escritura de Emissão, Contrato de Cessão de Fiduciária e Contrato de Conta Vinculada</w:t>
      </w:r>
      <w:r w:rsidR="00E4172B" w:rsidRPr="00B62DD9">
        <w:rPr>
          <w:rFonts w:ascii="Verdana" w:hAnsi="Verdana" w:cs="Tahoma"/>
          <w:sz w:val="20"/>
          <w:highlight w:val="yellow"/>
        </w:rPr>
        <w:t>, conforme aplicáveis</w:t>
      </w:r>
      <w:r w:rsidR="00B50CDA">
        <w:rPr>
          <w:rFonts w:ascii="Verdana" w:hAnsi="Verdana" w:cs="Tahoma"/>
          <w:sz w:val="20"/>
        </w:rPr>
        <w:t>.</w:t>
      </w:r>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10F06F9E" w14:textId="1CFE8E35" w:rsidR="005A34A8" w:rsidRPr="005A34A8" w:rsidRDefault="005A34A8"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Debenturistas 2ª Série deliberaram, </w:t>
      </w:r>
      <w:r w:rsidRPr="005A34A8">
        <w:rPr>
          <w:rFonts w:ascii="Verdana" w:hAnsi="Verdana" w:cs="Tahoma"/>
          <w:b/>
          <w:bCs/>
          <w:sz w:val="20"/>
          <w:highlight w:val="yellow"/>
        </w:rPr>
        <w:t>por unanimidade dos presentes</w:t>
      </w:r>
      <w:r w:rsidRPr="005A34A8">
        <w:rPr>
          <w:rFonts w:ascii="Verdana" w:hAnsi="Verdana" w:cs="Tahoma"/>
          <w:b/>
          <w:bCs/>
          <w:sz w:val="20"/>
        </w:rPr>
        <w:t xml:space="preserve"> e sem restrições, o seguinte:</w:t>
      </w:r>
      <w:ins w:id="37" w:author="Leticia Alexandre Martins" w:date="2020-09-10T18:27:00Z">
        <w:r w:rsidR="00871AAA">
          <w:rPr>
            <w:rFonts w:ascii="Verdana" w:hAnsi="Verdana" w:cs="Tahoma"/>
            <w:b/>
            <w:bCs/>
            <w:sz w:val="20"/>
          </w:rPr>
          <w:t xml:space="preserve"> [Fazer os mesmos ajustes acima – se forem os mesmos ajustes, pq não concentramos em 1 cláusula só? Dizendo que os debenturistas da 1ª série e da 2ª série aprovam?]</w:t>
        </w:r>
      </w:ins>
      <w:bookmarkStart w:id="38" w:name="_GoBack"/>
      <w:bookmarkEnd w:id="38"/>
    </w:p>
    <w:p w14:paraId="72F6C3C2" w14:textId="77777777" w:rsidR="005A34A8" w:rsidRPr="00F15C2A" w:rsidRDefault="005A34A8" w:rsidP="005A34A8">
      <w:pPr>
        <w:widowControl w:val="0"/>
        <w:autoSpaceDE w:val="0"/>
        <w:autoSpaceDN w:val="0"/>
        <w:adjustRightInd w:val="0"/>
        <w:spacing w:line="276" w:lineRule="auto"/>
        <w:jc w:val="both"/>
        <w:rPr>
          <w:rFonts w:ascii="Verdana" w:hAnsi="Verdana" w:cs="Tahoma"/>
          <w:sz w:val="20"/>
        </w:rPr>
      </w:pPr>
    </w:p>
    <w:p w14:paraId="0F8195B3" w14:textId="15EFEEB8" w:rsidR="00B50CDA" w:rsidRDefault="00B50CDA" w:rsidP="00B50CDA">
      <w:pPr>
        <w:pStyle w:val="PargrafodaLista"/>
        <w:numPr>
          <w:ilvl w:val="0"/>
          <w:numId w:val="37"/>
        </w:numPr>
        <w:autoSpaceDE w:val="0"/>
        <w:autoSpaceDN w:val="0"/>
        <w:adjustRightInd w:val="0"/>
        <w:spacing w:line="276" w:lineRule="auto"/>
        <w:jc w:val="both"/>
        <w:rPr>
          <w:rFonts w:ascii="Verdana" w:hAnsi="Verdana" w:cs="Tahoma"/>
          <w:sz w:val="20"/>
        </w:rPr>
      </w:pPr>
      <w:r>
        <w:rPr>
          <w:rFonts w:ascii="Verdana" w:hAnsi="Verdana" w:cs="Tahoma"/>
          <w:sz w:val="20"/>
          <w:highlight w:val="yellow"/>
        </w:rPr>
        <w:t xml:space="preserve">Em vista das garantias a obrigações adicionais oferecidas pela companhia, </w:t>
      </w:r>
      <w:r w:rsidRPr="00633828">
        <w:rPr>
          <w:rFonts w:ascii="Verdana" w:hAnsi="Verdana" w:cs="Tahoma"/>
          <w:b/>
          <w:bCs/>
          <w:sz w:val="20"/>
          <w:highlight w:val="yellow"/>
        </w:rPr>
        <w:t>não Aprovar</w:t>
      </w:r>
      <w:r>
        <w:rPr>
          <w:rFonts w:ascii="Verdana" w:hAnsi="Verdana" w:cs="Tahoma"/>
          <w:b/>
          <w:bCs/>
          <w:sz w:val="20"/>
        </w:rPr>
        <w:t xml:space="preserve"> </w:t>
      </w:r>
      <w:r w:rsidRPr="00633828">
        <w:rPr>
          <w:rFonts w:ascii="Verdana" w:hAnsi="Verdana" w:cs="Tahoma"/>
          <w:sz w:val="20"/>
        </w:rPr>
        <w:t>a</w:t>
      </w:r>
      <w:r>
        <w:rPr>
          <w:rFonts w:ascii="Verdana" w:hAnsi="Verdana" w:cs="Tahoma"/>
          <w:sz w:val="20"/>
        </w:rPr>
        <w:t xml:space="preserve"> </w:t>
      </w:r>
      <w:r w:rsidRPr="005573B5">
        <w:rPr>
          <w:rFonts w:ascii="Verdana" w:hAnsi="Verdana" w:cs="Tahoma"/>
          <w:sz w:val="20"/>
        </w:rPr>
        <w:t>declaração do vencimento antecipado das Obrigações Garantidas da Companhia referentes às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Pr>
          <w:rFonts w:ascii="Verdana" w:hAnsi="Verdana" w:cs="Tahoma"/>
          <w:sz w:val="20"/>
        </w:rPr>
        <w:t xml:space="preserve"> </w:t>
      </w:r>
    </w:p>
    <w:p w14:paraId="7958B86F" w14:textId="77777777" w:rsidR="00B50CDA" w:rsidRDefault="00B50CDA" w:rsidP="00B50CDA">
      <w:pPr>
        <w:pStyle w:val="PargrafodaLista"/>
        <w:autoSpaceDE w:val="0"/>
        <w:autoSpaceDN w:val="0"/>
        <w:adjustRightInd w:val="0"/>
        <w:spacing w:line="276" w:lineRule="auto"/>
        <w:jc w:val="both"/>
        <w:rPr>
          <w:rFonts w:ascii="Verdana" w:hAnsi="Verdana" w:cs="Tahoma"/>
          <w:sz w:val="20"/>
        </w:rPr>
      </w:pPr>
    </w:p>
    <w:p w14:paraId="5BA8744E" w14:textId="064731B2" w:rsidR="00B50CDA" w:rsidRPr="00633828" w:rsidRDefault="00B50CDA" w:rsidP="00B50CDA">
      <w:pPr>
        <w:pStyle w:val="PargrafodaLista"/>
        <w:numPr>
          <w:ilvl w:val="0"/>
          <w:numId w:val="37"/>
        </w:numPr>
        <w:autoSpaceDE w:val="0"/>
        <w:autoSpaceDN w:val="0"/>
        <w:adjustRightInd w:val="0"/>
        <w:spacing w:line="276" w:lineRule="auto"/>
        <w:jc w:val="both"/>
        <w:rPr>
          <w:rFonts w:ascii="Verdana" w:hAnsi="Verdana" w:cs="Tahoma"/>
          <w:sz w:val="20"/>
        </w:rPr>
      </w:pPr>
      <w:r>
        <w:rPr>
          <w:rFonts w:ascii="Verdana" w:hAnsi="Verdana" w:cs="Tahoma"/>
          <w:sz w:val="20"/>
        </w:rPr>
        <w:t>O</w:t>
      </w:r>
      <w:r w:rsidRPr="00633828">
        <w:rPr>
          <w:rFonts w:ascii="Verdana" w:hAnsi="Verdana" w:cs="Tahoma"/>
          <w:sz w:val="20"/>
        </w:rPr>
        <w:t xml:space="preserve">s Debenturistas da </w:t>
      </w:r>
      <w:r>
        <w:rPr>
          <w:rFonts w:ascii="Verdana" w:hAnsi="Verdana" w:cs="Tahoma"/>
          <w:sz w:val="20"/>
        </w:rPr>
        <w:t>Segunda</w:t>
      </w:r>
      <w:r w:rsidRPr="00633828">
        <w:rPr>
          <w:rFonts w:ascii="Verdana" w:hAnsi="Verdana" w:cs="Tahoma"/>
          <w:sz w:val="20"/>
        </w:rPr>
        <w:t xml:space="preserve"> Série aprovaram </w:t>
      </w:r>
      <w:r>
        <w:rPr>
          <w:rFonts w:ascii="Verdana" w:hAnsi="Verdana" w:cs="Tahoma"/>
          <w:sz w:val="20"/>
        </w:rPr>
        <w:t>a proposta da Companhia nos seguintes termos</w:t>
      </w:r>
      <w:r w:rsidR="00323020">
        <w:rPr>
          <w:rFonts w:ascii="Verdana" w:hAnsi="Verdana" w:cs="Tahoma"/>
          <w:sz w:val="20"/>
        </w:rPr>
        <w:t xml:space="preserve"> (garantias a obrigações adicionais)</w:t>
      </w:r>
      <w:r w:rsidRPr="00633828">
        <w:rPr>
          <w:rFonts w:ascii="Verdana" w:hAnsi="Verdana" w:cs="Tahoma"/>
          <w:sz w:val="20"/>
        </w:rPr>
        <w:t xml:space="preserve">: </w:t>
      </w:r>
    </w:p>
    <w:p w14:paraId="6882C972" w14:textId="77777777" w:rsidR="00B50CDA" w:rsidRDefault="00B50CDA" w:rsidP="00B50CDA">
      <w:pPr>
        <w:pStyle w:val="PargrafodaLista"/>
        <w:autoSpaceDE w:val="0"/>
        <w:autoSpaceDN w:val="0"/>
        <w:adjustRightInd w:val="0"/>
        <w:spacing w:line="276" w:lineRule="auto"/>
        <w:jc w:val="both"/>
        <w:rPr>
          <w:rFonts w:ascii="Verdana" w:hAnsi="Verdana" w:cs="Tahoma"/>
          <w:sz w:val="20"/>
        </w:rPr>
      </w:pPr>
    </w:p>
    <w:p w14:paraId="7C7716F1" w14:textId="77777777" w:rsidR="00B50CDA" w:rsidRPr="00633828" w:rsidRDefault="00B50CDA" w:rsidP="00B50CDA">
      <w:pPr>
        <w:pStyle w:val="PargrafodaLista"/>
        <w:numPr>
          <w:ilvl w:val="1"/>
          <w:numId w:val="37"/>
        </w:numPr>
        <w:autoSpaceDE w:val="0"/>
        <w:autoSpaceDN w:val="0"/>
        <w:adjustRightInd w:val="0"/>
        <w:spacing w:line="276" w:lineRule="auto"/>
        <w:jc w:val="both"/>
        <w:rPr>
          <w:rFonts w:ascii="Verdana" w:hAnsi="Verdana" w:cs="Tahoma"/>
          <w:sz w:val="20"/>
        </w:rPr>
      </w:pPr>
      <w:r w:rsidRPr="00633828">
        <w:rPr>
          <w:rFonts w:ascii="Verdana" w:hAnsi="Verdana" w:cs="Tahoma"/>
          <w:sz w:val="20"/>
        </w:rPr>
        <w:t>A aceitação dos direitos creditórios oriundos do contrato designado “Framework Services Agreement for Painting Services”, celebrado em 20 de agosto de 2020, entre Smartcoat Serviços de Revestimentos S.A. (“SmartCoat”)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do Instrumento Particular de Cessão Fiduciária de Recebíveis e de Conta Vinculada em Garantia e Outras Avenças</w:t>
      </w:r>
      <w:r w:rsidRPr="00633828">
        <w:rPr>
          <w:rFonts w:ascii="Verdana" w:hAnsi="Verdana" w:cs="Tahoma"/>
          <w:sz w:val="20"/>
        </w:rPr>
        <w:t>;</w:t>
      </w:r>
    </w:p>
    <w:p w14:paraId="7FB81767" w14:textId="77777777" w:rsidR="00B50CDA" w:rsidRPr="00633828" w:rsidRDefault="00B50CDA" w:rsidP="00B50CDA">
      <w:pPr>
        <w:autoSpaceDE w:val="0"/>
        <w:autoSpaceDN w:val="0"/>
        <w:adjustRightInd w:val="0"/>
        <w:spacing w:line="276" w:lineRule="auto"/>
        <w:jc w:val="both"/>
        <w:rPr>
          <w:rFonts w:ascii="Verdana" w:hAnsi="Verdana" w:cs="Tahoma"/>
          <w:sz w:val="20"/>
        </w:rPr>
      </w:pPr>
    </w:p>
    <w:p w14:paraId="5466D45C" w14:textId="77777777" w:rsidR="00B50CDA" w:rsidRPr="00633828" w:rsidRDefault="00B50CDA" w:rsidP="00B50CDA">
      <w:pPr>
        <w:pStyle w:val="PargrafodaLista"/>
        <w:numPr>
          <w:ilvl w:val="1"/>
          <w:numId w:val="37"/>
        </w:numPr>
        <w:autoSpaceDE w:val="0"/>
        <w:autoSpaceDN w:val="0"/>
        <w:adjustRightInd w:val="0"/>
        <w:spacing w:line="276" w:lineRule="auto"/>
        <w:jc w:val="both"/>
        <w:rPr>
          <w:rFonts w:ascii="Verdana" w:hAnsi="Verdana" w:cs="Tahoma"/>
          <w:sz w:val="20"/>
        </w:rPr>
      </w:pPr>
      <w:r>
        <w:rPr>
          <w:rFonts w:ascii="Verdana" w:hAnsi="Verdana" w:cs="Tahoma"/>
          <w:sz w:val="20"/>
        </w:rPr>
        <w:lastRenderedPageBreak/>
        <w:t>Criação de um mecanismo adicional de conta-depósito em garantia (“</w:t>
      </w:r>
      <w:r w:rsidRPr="00633828">
        <w:rPr>
          <w:rFonts w:ascii="Verdana" w:hAnsi="Verdana" w:cs="Tahoma"/>
          <w:sz w:val="20"/>
        </w:rPr>
        <w:t xml:space="preserve">Cash </w:t>
      </w:r>
      <w:r>
        <w:rPr>
          <w:rFonts w:ascii="Verdana" w:hAnsi="Verdana" w:cs="Tahoma"/>
          <w:sz w:val="20"/>
        </w:rPr>
        <w:t>C</w:t>
      </w:r>
      <w:r w:rsidRPr="00633828">
        <w:rPr>
          <w:rFonts w:ascii="Verdana" w:hAnsi="Verdana" w:cs="Tahoma"/>
          <w:sz w:val="20"/>
        </w:rPr>
        <w:t>olateral</w:t>
      </w:r>
      <w:r>
        <w:rPr>
          <w:rFonts w:ascii="Verdana" w:hAnsi="Verdana" w:cs="Tahoma"/>
          <w:sz w:val="20"/>
        </w:rPr>
        <w:t xml:space="preserve">”), </w:t>
      </w:r>
      <w:r w:rsidRPr="00633828">
        <w:rPr>
          <w:rFonts w:ascii="Verdana" w:hAnsi="Verdana" w:cs="Tahoma"/>
          <w:sz w:val="20"/>
        </w:rPr>
        <w:t>com as seguintes condições:</w:t>
      </w:r>
    </w:p>
    <w:p w14:paraId="07EDB6B3" w14:textId="77777777" w:rsidR="00B50CDA" w:rsidRDefault="00B50CDA" w:rsidP="00B50CDA">
      <w:pPr>
        <w:pStyle w:val="PargrafodaLista"/>
        <w:numPr>
          <w:ilvl w:val="2"/>
          <w:numId w:val="37"/>
        </w:numPr>
        <w:autoSpaceDE w:val="0"/>
        <w:autoSpaceDN w:val="0"/>
        <w:adjustRightInd w:val="0"/>
        <w:spacing w:line="276" w:lineRule="auto"/>
        <w:jc w:val="both"/>
        <w:rPr>
          <w:rFonts w:ascii="Verdana" w:hAnsi="Verdana" w:cs="Tahoma"/>
          <w:sz w:val="20"/>
        </w:rPr>
      </w:pPr>
      <w:r>
        <w:rPr>
          <w:rFonts w:ascii="Verdana" w:hAnsi="Verdana" w:cs="Tahoma"/>
          <w:sz w:val="20"/>
        </w:rPr>
        <w:t>Cessão fiduciária de conta-corrente 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 xml:space="preserve">.000.000,00 (dois milhões de reais) – valor esse a ser depositado pela Companhia, </w:t>
      </w:r>
    </w:p>
    <w:p w14:paraId="4586AC5F" w14:textId="77777777" w:rsidR="00B50CDA" w:rsidRPr="00633828" w:rsidRDefault="00B50CDA" w:rsidP="00B50CDA">
      <w:pPr>
        <w:pStyle w:val="PargrafodaLista"/>
        <w:numPr>
          <w:ilvl w:val="2"/>
          <w:numId w:val="37"/>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Pr>
          <w:rFonts w:ascii="Verdana" w:hAnsi="Verdana" w:cs="Tahoma"/>
          <w:sz w:val="20"/>
        </w:rPr>
        <w:t>Valor Mínimo (conforme definido no</w:t>
      </w:r>
      <w:r w:rsidRPr="006E286A">
        <w:rPr>
          <w:rFonts w:ascii="Verdana" w:hAnsi="Verdana" w:cs="Tahoma"/>
          <w:sz w:val="20"/>
        </w:rPr>
        <w:t xml:space="preserve"> </w:t>
      </w:r>
      <w:r w:rsidRPr="00FE71AA">
        <w:rPr>
          <w:rFonts w:ascii="Verdana" w:hAnsi="Verdana" w:cs="Tahoma"/>
          <w:sz w:val="20"/>
        </w:rPr>
        <w:t>Instrumento Particular de Cessão Fiduciária de Recebíveis e de Conta Vinculada em Garantia e Outras Avenças</w:t>
      </w:r>
      <w:r>
        <w:rPr>
          <w:rFonts w:ascii="Verdana" w:hAnsi="Verdana" w:cs="Tahoma"/>
          <w:sz w:val="20"/>
        </w:rPr>
        <w:t xml:space="preserve">) </w:t>
      </w:r>
      <w:r w:rsidRPr="00633828">
        <w:rPr>
          <w:rFonts w:ascii="Verdana" w:hAnsi="Verdana" w:cs="Tahoma"/>
          <w:sz w:val="20"/>
        </w:rPr>
        <w:t>não for atingido, o montante</w:t>
      </w:r>
      <w:r>
        <w:rPr>
          <w:rFonts w:ascii="Verdana" w:hAnsi="Verdana" w:cs="Tahoma"/>
          <w:sz w:val="20"/>
        </w:rPr>
        <w:t xml:space="preserve"> depositado em conta</w:t>
      </w:r>
      <w:r w:rsidRPr="00633828">
        <w:rPr>
          <w:rFonts w:ascii="Verdana" w:hAnsi="Verdana" w:cs="Tahoma"/>
          <w:sz w:val="20"/>
        </w:rPr>
        <w:t xml:space="preserve"> será acrescido da parcela na qual o fluxo tenha sido insuficiente (diferença entre o fluxo real e R$ 3</w:t>
      </w:r>
      <w:r>
        <w:rPr>
          <w:rFonts w:ascii="Verdana" w:hAnsi="Verdana" w:cs="Tahoma"/>
          <w:sz w:val="20"/>
        </w:rPr>
        <w:t>.000.000,00 (três</w:t>
      </w:r>
      <w:r w:rsidRPr="00633828">
        <w:rPr>
          <w:rFonts w:ascii="Verdana" w:hAnsi="Verdana" w:cs="Tahoma"/>
          <w:sz w:val="20"/>
        </w:rPr>
        <w:t xml:space="preserve"> milhões</w:t>
      </w:r>
      <w:r>
        <w:rPr>
          <w:rFonts w:ascii="Verdana" w:hAnsi="Verdana" w:cs="Tahoma"/>
          <w:sz w:val="20"/>
        </w:rPr>
        <w:t xml:space="preserve"> de reais)</w:t>
      </w:r>
      <w:r w:rsidRPr="00633828">
        <w:rPr>
          <w:rFonts w:ascii="Verdana" w:hAnsi="Verdana" w:cs="Tahoma"/>
          <w:sz w:val="20"/>
        </w:rPr>
        <w:t>);</w:t>
      </w:r>
    </w:p>
    <w:p w14:paraId="5A8F8CF4" w14:textId="77777777" w:rsidR="00B50CDA" w:rsidRPr="00633828" w:rsidRDefault="00B50CDA" w:rsidP="00B50CDA">
      <w:pPr>
        <w:pStyle w:val="PargrafodaLista"/>
        <w:numPr>
          <w:ilvl w:val="2"/>
          <w:numId w:val="37"/>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No terceiro mês seguido em que o </w:t>
      </w:r>
      <w:r>
        <w:rPr>
          <w:rFonts w:ascii="Verdana" w:hAnsi="Verdana" w:cs="Tahoma"/>
          <w:sz w:val="20"/>
        </w:rPr>
        <w:t>Valor Mínimo</w:t>
      </w:r>
      <w:r w:rsidRPr="00633828">
        <w:rPr>
          <w:rFonts w:ascii="Verdana" w:hAnsi="Verdana" w:cs="Tahoma"/>
          <w:sz w:val="20"/>
        </w:rPr>
        <w:t xml:space="preserve"> for atingido, o montante </w:t>
      </w:r>
      <w:r>
        <w:rPr>
          <w:rFonts w:ascii="Verdana" w:hAnsi="Verdana" w:cs="Tahoma"/>
          <w:sz w:val="20"/>
        </w:rPr>
        <w:t xml:space="preserve">total depositado </w:t>
      </w:r>
      <w:r w:rsidRPr="00633828">
        <w:rPr>
          <w:rFonts w:ascii="Verdana" w:hAnsi="Verdana" w:cs="Tahoma"/>
          <w:sz w:val="20"/>
        </w:rPr>
        <w:t>(“</w:t>
      </w:r>
      <w:r>
        <w:rPr>
          <w:rFonts w:ascii="Verdana" w:hAnsi="Verdana" w:cs="Tahoma"/>
          <w:sz w:val="20"/>
        </w:rPr>
        <w:t>C</w:t>
      </w:r>
      <w:r w:rsidRPr="00633828">
        <w:rPr>
          <w:rFonts w:ascii="Verdana" w:hAnsi="Verdana" w:cs="Tahoma"/>
          <w:sz w:val="20"/>
        </w:rPr>
        <w:t xml:space="preserve">ash </w:t>
      </w:r>
      <w:r>
        <w:rPr>
          <w:rFonts w:ascii="Verdana" w:hAnsi="Verdana" w:cs="Tahoma"/>
          <w:sz w:val="20"/>
        </w:rPr>
        <w:t>C</w:t>
      </w:r>
      <w:r w:rsidRPr="00633828">
        <w:rPr>
          <w:rFonts w:ascii="Verdana" w:hAnsi="Verdana" w:cs="Tahoma"/>
          <w:sz w:val="20"/>
        </w:rPr>
        <w:t>olateral” inicial + complementos) será totalmente liberado;</w:t>
      </w:r>
    </w:p>
    <w:p w14:paraId="01CBAE97" w14:textId="0B308A65" w:rsidR="00E67BE7" w:rsidRPr="00633828" w:rsidRDefault="00E67BE7" w:rsidP="00E67BE7">
      <w:pPr>
        <w:pStyle w:val="PargrafodaLista"/>
        <w:numPr>
          <w:ilvl w:val="2"/>
          <w:numId w:val="37"/>
        </w:numPr>
        <w:autoSpaceDE w:val="0"/>
        <w:autoSpaceDN w:val="0"/>
        <w:adjustRightInd w:val="0"/>
        <w:spacing w:line="276" w:lineRule="auto"/>
        <w:jc w:val="both"/>
        <w:rPr>
          <w:rFonts w:ascii="Verdana" w:hAnsi="Verdana" w:cs="Tahoma"/>
          <w:sz w:val="20"/>
        </w:rPr>
      </w:pPr>
      <w:r>
        <w:rPr>
          <w:rFonts w:ascii="Verdana" w:hAnsi="Verdana" w:cs="Tahoma"/>
          <w:sz w:val="20"/>
        </w:rPr>
        <w:t xml:space="preserve">Após a liberação dos valores conforme item “iii” acima, na hipótese de </w:t>
      </w:r>
      <w:r w:rsidRPr="00633828">
        <w:rPr>
          <w:rFonts w:ascii="Verdana" w:hAnsi="Verdana" w:cs="Tahoma"/>
          <w:sz w:val="20"/>
        </w:rPr>
        <w:t xml:space="preserve">o </w:t>
      </w:r>
      <w:r>
        <w:rPr>
          <w:rFonts w:ascii="Verdana" w:hAnsi="Verdana" w:cs="Tahoma"/>
          <w:sz w:val="20"/>
        </w:rPr>
        <w:t>Valor Mínimo</w:t>
      </w:r>
      <w:r w:rsidRPr="00633828">
        <w:rPr>
          <w:rFonts w:ascii="Verdana" w:hAnsi="Verdana" w:cs="Tahoma"/>
          <w:sz w:val="20"/>
        </w:rPr>
        <w:t xml:space="preserve"> </w:t>
      </w:r>
      <w:r>
        <w:rPr>
          <w:rFonts w:ascii="Verdana" w:hAnsi="Verdana" w:cs="Tahoma"/>
          <w:sz w:val="20"/>
        </w:rPr>
        <w:t>não ser</w:t>
      </w:r>
      <w:r w:rsidRPr="00633828">
        <w:rPr>
          <w:rFonts w:ascii="Verdana" w:hAnsi="Verdana" w:cs="Tahoma"/>
          <w:sz w:val="20"/>
        </w:rPr>
        <w:t xml:space="preserve"> </w:t>
      </w:r>
      <w:r>
        <w:rPr>
          <w:rFonts w:ascii="Verdana" w:hAnsi="Verdana" w:cs="Tahoma"/>
          <w:sz w:val="20"/>
        </w:rPr>
        <w:t xml:space="preserve">novamente </w:t>
      </w:r>
      <w:r w:rsidRPr="00633828">
        <w:rPr>
          <w:rFonts w:ascii="Verdana" w:hAnsi="Verdana" w:cs="Tahoma"/>
          <w:sz w:val="20"/>
        </w:rPr>
        <w:t xml:space="preserve">atingido, </w:t>
      </w:r>
      <w:r>
        <w:rPr>
          <w:rFonts w:ascii="Verdana" w:hAnsi="Verdana" w:cs="Tahoma"/>
          <w:sz w:val="20"/>
        </w:rPr>
        <w:t>será restabelecido o sistema de depósitos em garantia e liberações dos itens “i”, “ii” e “iii” acima;</w:t>
      </w:r>
    </w:p>
    <w:p w14:paraId="5EF31F69" w14:textId="77777777" w:rsidR="00B50CDA" w:rsidRPr="00633828" w:rsidRDefault="00B50CDA" w:rsidP="00B50CDA">
      <w:pPr>
        <w:pStyle w:val="PargrafodaLista"/>
        <w:autoSpaceDE w:val="0"/>
        <w:autoSpaceDN w:val="0"/>
        <w:adjustRightInd w:val="0"/>
        <w:spacing w:line="276" w:lineRule="auto"/>
        <w:jc w:val="both"/>
        <w:rPr>
          <w:rFonts w:ascii="Verdana" w:hAnsi="Verdana" w:cs="Tahoma"/>
          <w:sz w:val="20"/>
        </w:rPr>
      </w:pPr>
    </w:p>
    <w:p w14:paraId="3008D8C3" w14:textId="4F131624" w:rsidR="00B50CDA" w:rsidRDefault="00B50CDA" w:rsidP="00B50CDA">
      <w:pPr>
        <w:pStyle w:val="PargrafodaLista"/>
        <w:numPr>
          <w:ilvl w:val="1"/>
          <w:numId w:val="37"/>
        </w:numPr>
        <w:autoSpaceDE w:val="0"/>
        <w:autoSpaceDN w:val="0"/>
        <w:adjustRightInd w:val="0"/>
        <w:spacing w:line="276" w:lineRule="auto"/>
        <w:jc w:val="both"/>
        <w:rPr>
          <w:rFonts w:ascii="Verdana" w:hAnsi="Verdana" w:cs="Tahoma"/>
          <w:sz w:val="20"/>
        </w:rPr>
      </w:pPr>
      <w:r>
        <w:rPr>
          <w:rFonts w:ascii="Verdana" w:hAnsi="Verdana" w:cs="Tahoma"/>
          <w:sz w:val="20"/>
        </w:rPr>
        <w:t>Criação de covenant financeiro adicional a ser cumprido pela Companhia igual a c</w:t>
      </w:r>
      <w:r w:rsidRPr="00633828">
        <w:rPr>
          <w:rFonts w:ascii="Verdana" w:hAnsi="Verdana" w:cs="Tahoma"/>
          <w:sz w:val="20"/>
        </w:rPr>
        <w:t xml:space="preserve">aixa </w:t>
      </w:r>
      <w:r>
        <w:rPr>
          <w:rFonts w:ascii="Verdana" w:hAnsi="Verdana" w:cs="Tahoma"/>
          <w:sz w:val="20"/>
        </w:rPr>
        <w:t>líquido consolidado da Companhia ≥</w:t>
      </w:r>
      <w:r w:rsidRPr="00633828">
        <w:rPr>
          <w:rFonts w:ascii="Verdana" w:hAnsi="Verdana" w:cs="Tahoma"/>
          <w:sz w:val="20"/>
        </w:rPr>
        <w:t xml:space="preserve"> a 1,2 X a dívida de curto prazo</w:t>
      </w:r>
      <w:r>
        <w:rPr>
          <w:rFonts w:ascii="Verdana" w:hAnsi="Verdana" w:cs="Tahoma"/>
          <w:sz w:val="20"/>
        </w:rPr>
        <w:t xml:space="preserve"> consolidada da Companhia;</w:t>
      </w:r>
    </w:p>
    <w:p w14:paraId="5E706D9B"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29B910" w14:textId="77777777" w:rsidR="00B50CDA" w:rsidRPr="00633828" w:rsidRDefault="00B50CDA" w:rsidP="00B50CDA">
      <w:pPr>
        <w:pStyle w:val="PargrafodaLista"/>
        <w:numPr>
          <w:ilvl w:val="1"/>
          <w:numId w:val="37"/>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Pr>
          <w:rFonts w:ascii="Verdana" w:hAnsi="Verdana" w:cs="Tahoma"/>
          <w:sz w:val="20"/>
        </w:rPr>
        <w:t>.</w:t>
      </w:r>
    </w:p>
    <w:p w14:paraId="4DAD67EA"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03DE5675" w14:textId="77777777" w:rsidR="005A34A8" w:rsidRPr="00F15C2A" w:rsidRDefault="005A34A8" w:rsidP="005A34A8">
      <w:pPr>
        <w:rPr>
          <w:rFonts w:ascii="Verdana" w:hAnsi="Verdana" w:cs="Tahoma"/>
          <w:sz w:val="20"/>
        </w:rPr>
      </w:pPr>
    </w:p>
    <w:p w14:paraId="03A76DD8" w14:textId="7A840D9B" w:rsidR="005A34A8" w:rsidRDefault="005A34A8" w:rsidP="00B50CDA">
      <w:pPr>
        <w:pStyle w:val="PargrafodaLista"/>
        <w:numPr>
          <w:ilvl w:val="0"/>
          <w:numId w:val="37"/>
        </w:numPr>
        <w:autoSpaceDE w:val="0"/>
        <w:autoSpaceDN w:val="0"/>
        <w:adjustRightInd w:val="0"/>
        <w:spacing w:line="276" w:lineRule="auto"/>
        <w:jc w:val="both"/>
        <w:rPr>
          <w:rFonts w:ascii="Verdana" w:hAnsi="Verdana" w:cs="Tahoma"/>
          <w:sz w:val="20"/>
        </w:rPr>
      </w:pPr>
      <w:r w:rsidRPr="005573B5">
        <w:rPr>
          <w:rFonts w:ascii="Verdana" w:hAnsi="Verdana" w:cs="Tahoma"/>
          <w:sz w:val="20"/>
          <w:highlight w:val="yellow"/>
        </w:rPr>
        <w:t>Aprovar</w:t>
      </w:r>
      <w:r>
        <w:rPr>
          <w:rFonts w:ascii="Verdana" w:hAnsi="Verdana" w:cs="Tahoma"/>
          <w:sz w:val="20"/>
        </w:rPr>
        <w:t xml:space="preserve"> </w:t>
      </w:r>
      <w:r w:rsidRPr="00F15C2A">
        <w:rPr>
          <w:rFonts w:ascii="Verdana" w:hAnsi="Verdana" w:cs="Tahoma"/>
          <w:sz w:val="20"/>
        </w:rPr>
        <w:t xml:space="preserve">a Emissora, o Agente Fiduciário e as Fiadoras a procederem com todos os atos necessários para refletir os itens deliberados na presente </w:t>
      </w:r>
      <w:r>
        <w:rPr>
          <w:rFonts w:ascii="Verdana" w:hAnsi="Verdana" w:cs="Tahoma"/>
          <w:sz w:val="20"/>
        </w:rPr>
        <w:t>A</w:t>
      </w:r>
      <w:r w:rsidRPr="00F15C2A">
        <w:rPr>
          <w:rFonts w:ascii="Verdana" w:hAnsi="Verdana" w:cs="Tahoma"/>
          <w:sz w:val="20"/>
        </w:rPr>
        <w:t>ssembleia</w:t>
      </w:r>
      <w:r>
        <w:rPr>
          <w:rFonts w:ascii="Verdana" w:hAnsi="Verdana" w:cs="Tahoma"/>
          <w:sz w:val="20"/>
        </w:rPr>
        <w:t xml:space="preserve"> nos documentos da operação</w:t>
      </w:r>
      <w:r w:rsidRPr="00B62DD9">
        <w:rPr>
          <w:rFonts w:ascii="Verdana" w:hAnsi="Verdana" w:cs="Tahoma"/>
          <w:sz w:val="20"/>
          <w:highlight w:val="yellow"/>
        </w:rPr>
        <w:t>, incluindo a assinatura dos aditivos à Escritura de Emissão, Contrato de Cessão de Fiduciária e Contrato de Conta Vinculada, conforme aplicáveis</w:t>
      </w:r>
      <w:r w:rsidR="00B50CDA">
        <w:rPr>
          <w:rFonts w:ascii="Verdana" w:hAnsi="Verdana" w:cs="Tahoma"/>
          <w:sz w:val="20"/>
        </w:rPr>
        <w:t>.</w:t>
      </w:r>
    </w:p>
    <w:p w14:paraId="71637E47" w14:textId="77777777" w:rsidR="005A34A8" w:rsidRPr="005A34A8" w:rsidRDefault="005A34A8" w:rsidP="005A34A8">
      <w:pPr>
        <w:autoSpaceDE w:val="0"/>
        <w:autoSpaceDN w:val="0"/>
        <w:adjustRightInd w:val="0"/>
        <w:spacing w:line="276" w:lineRule="auto"/>
        <w:jc w:val="both"/>
        <w:rPr>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 xml:space="preserve">Termos com iniciais maiúsculas utilizados neste documento que não estiverem expressamente aqui definidos têm o significado que lhes </w:t>
      </w:r>
      <w:r w:rsidR="0082432D" w:rsidRPr="00F15C2A">
        <w:rPr>
          <w:rFonts w:ascii="Verdana" w:hAnsi="Verdana" w:cs="Tahoma"/>
          <w:b w:val="0"/>
          <w:color w:val="auto"/>
          <w:sz w:val="20"/>
        </w:rPr>
        <w:lastRenderedPageBreak/>
        <w:t>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9474896"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B62DD9">
        <w:rPr>
          <w:rFonts w:ascii="Verdana" w:hAnsi="Verdana" w:cs="Tahoma"/>
          <w:sz w:val="20"/>
        </w:rPr>
        <w:t>11</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0B8DD682" w:rsidR="004D6582" w:rsidRPr="00F15C2A" w:rsidRDefault="008A1C06" w:rsidP="00B37AA3">
            <w:pPr>
              <w:spacing w:line="276" w:lineRule="auto"/>
              <w:jc w:val="center"/>
              <w:rPr>
                <w:rFonts w:ascii="Verdana" w:hAnsi="Verdana" w:cs="Tahoma"/>
                <w:sz w:val="20"/>
              </w:rPr>
            </w:pPr>
            <w:r>
              <w:rPr>
                <w:rFonts w:ascii="Verdana" w:hAnsi="Verdana" w:cs="Tahoma"/>
                <w:sz w:val="20"/>
              </w:rPr>
              <w:t>[</w:t>
            </w:r>
            <w:r w:rsidRPr="008A1C06">
              <w:rPr>
                <w:rFonts w:ascii="Verdana" w:hAnsi="Verdana" w:cs="Tahoma"/>
                <w:sz w:val="20"/>
                <w:highlight w:val="yellow"/>
              </w:rPr>
              <w:t>.</w:t>
            </w:r>
            <w:r>
              <w:rPr>
                <w:rFonts w:ascii="Verdana" w:hAnsi="Verdana" w:cs="Tahoma"/>
                <w:sz w:val="20"/>
              </w:rPr>
              <w:t>]</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3D4A2208" w14:textId="0AAE27BF" w:rsidR="000B0598" w:rsidRPr="00F15C2A" w:rsidRDefault="008A1C06" w:rsidP="00B37AA3">
            <w:pPr>
              <w:spacing w:line="276" w:lineRule="auto"/>
              <w:jc w:val="center"/>
              <w:rPr>
                <w:rFonts w:ascii="Verdana" w:hAnsi="Verdana" w:cs="Tahoma"/>
                <w:sz w:val="20"/>
              </w:rPr>
            </w:pPr>
            <w:r>
              <w:rPr>
                <w:rFonts w:ascii="Verdana" w:hAnsi="Verdana" w:cs="Tahoma"/>
                <w:sz w:val="20"/>
              </w:rPr>
              <w:t>[</w:t>
            </w:r>
            <w:r w:rsidRPr="008A1C06">
              <w:rPr>
                <w:rFonts w:ascii="Verdana" w:hAnsi="Verdana" w:cs="Tahoma"/>
                <w:sz w:val="20"/>
                <w:highlight w:val="yellow"/>
              </w:rPr>
              <w:t>.</w:t>
            </w:r>
            <w:r>
              <w:rPr>
                <w:rFonts w:ascii="Verdana" w:hAnsi="Verdana" w:cs="Tahoma"/>
                <w:sz w:val="20"/>
              </w:rPr>
              <w:t>]</w:t>
            </w:r>
          </w:p>
          <w:p w14:paraId="600865C5" w14:textId="6797E112" w:rsidR="004D6582" w:rsidRPr="00F15C2A" w:rsidRDefault="00096CEF" w:rsidP="00B37AA3">
            <w:pPr>
              <w:tabs>
                <w:tab w:val="left" w:pos="567"/>
              </w:tabs>
              <w:spacing w:line="276" w:lineRule="auto"/>
              <w:jc w:val="both"/>
              <w:rPr>
                <w:rFonts w:ascii="Verdana" w:hAnsi="Verdana" w:cs="Tahoma"/>
                <w:sz w:val="20"/>
              </w:rPr>
            </w:pPr>
            <w:r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3C55EF08"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743B6B8C"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5302213"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31F09B86"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F15C2A">
        <w:rPr>
          <w:rFonts w:ascii="Verdana" w:hAnsi="Verdana" w:cs="Tahoma"/>
          <w:sz w:val="20"/>
        </w:rPr>
        <w:t>FATOR WINNETOU FUNDO DE INVESTIMENTO DE RENDA FIXA LONGO PRAZO CR</w:t>
      </w:r>
      <w:r w:rsidR="007A44CA">
        <w:rPr>
          <w:rFonts w:ascii="Verdana" w:hAnsi="Verdana" w:cs="Tahoma"/>
          <w:sz w:val="20"/>
        </w:rPr>
        <w:t>É</w:t>
      </w:r>
      <w:r w:rsidRPr="00F15C2A">
        <w:rPr>
          <w:rFonts w:ascii="Verdana" w:hAnsi="Verdana" w:cs="Tahoma"/>
          <w:sz w:val="20"/>
        </w:rPr>
        <w:t>DITO PRIVADO</w:t>
      </w:r>
      <w:r w:rsidRPr="00F15C2A">
        <w:rPr>
          <w:rFonts w:ascii="Verdana" w:hAnsi="Verdana" w:cs="Tahoma"/>
          <w:sz w:val="20"/>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649CDD2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22EFC965"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p>
    <w:p w14:paraId="4182B5D9" w14:textId="77777777" w:rsidR="00B62DD9" w:rsidRPr="00F15C2A" w:rsidRDefault="00B62DD9"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DD9">
      <w:pPr>
        <w:spacing w:line="300" w:lineRule="exact"/>
        <w:rPr>
          <w:rFonts w:ascii="Verdana" w:hAnsi="Verdana" w:cs="Tahoma"/>
          <w:sz w:val="20"/>
        </w:rPr>
      </w:pPr>
    </w:p>
    <w:p w14:paraId="60D758ED"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407B53EA" w14:textId="77777777" w:rsidR="00B62DD9" w:rsidRPr="00F15C2A" w:rsidRDefault="00B62DD9" w:rsidP="00B62DD9">
      <w:pPr>
        <w:jc w:val="center"/>
        <w:rPr>
          <w:rFonts w:ascii="Verdana" w:hAnsi="Verdana" w:cs="Tahoma"/>
          <w:sz w:val="20"/>
        </w:rPr>
      </w:pPr>
      <w:r w:rsidRPr="00F15C2A">
        <w:rPr>
          <w:rFonts w:ascii="Verdana" w:hAnsi="Verdana" w:cs="Tahoma"/>
          <w:sz w:val="20"/>
        </w:rPr>
        <w:t>AUGME HY MASTER FI MULTIMERCADO - CREDITO PRIVADO</w:t>
      </w:r>
      <w:r w:rsidRPr="00F15C2A">
        <w:rPr>
          <w:rFonts w:ascii="Verdana" w:hAnsi="Verdana" w:cs="Tahoma"/>
          <w:sz w:val="20"/>
        </w:rPr>
        <w:br/>
        <w:t>CNPJ: 27.347.315/0001-66</w:t>
      </w:r>
    </w:p>
    <w:p w14:paraId="564F0D5A" w14:textId="77777777" w:rsidR="00B62DD9" w:rsidRPr="00F15C2A" w:rsidRDefault="00B62DD9" w:rsidP="00B62DD9">
      <w:pPr>
        <w:jc w:val="center"/>
        <w:rPr>
          <w:rFonts w:ascii="Verdana" w:hAnsi="Verdana" w:cs="Tahoma"/>
          <w:sz w:val="20"/>
        </w:rPr>
      </w:pPr>
    </w:p>
    <w:p w14:paraId="31C00B44" w14:textId="0FB187DB" w:rsidR="00B62DD9" w:rsidRDefault="00B62DD9" w:rsidP="00B62DD9">
      <w:pPr>
        <w:jc w:val="center"/>
        <w:rPr>
          <w:rFonts w:ascii="Verdana" w:hAnsi="Verdana" w:cs="Tahoma"/>
          <w:sz w:val="20"/>
        </w:rPr>
      </w:pPr>
    </w:p>
    <w:p w14:paraId="28B58E8A" w14:textId="77777777" w:rsidR="000F1907" w:rsidRPr="00F15C2A" w:rsidRDefault="000F1907" w:rsidP="00B62DD9">
      <w:pPr>
        <w:jc w:val="center"/>
        <w:rPr>
          <w:rFonts w:ascii="Verdana" w:hAnsi="Verdana" w:cs="Tahoma"/>
          <w:sz w:val="20"/>
        </w:rPr>
      </w:pPr>
    </w:p>
    <w:p w14:paraId="2F7CF3D0" w14:textId="6234423B" w:rsidR="00B62DD9" w:rsidRDefault="00B62DD9" w:rsidP="00B62DD9">
      <w:pPr>
        <w:jc w:val="center"/>
        <w:rPr>
          <w:rFonts w:ascii="Verdana" w:hAnsi="Verdana" w:cs="Tahoma"/>
          <w:sz w:val="20"/>
        </w:rPr>
      </w:pPr>
    </w:p>
    <w:p w14:paraId="1135D922" w14:textId="77777777" w:rsidR="000F1907" w:rsidRPr="00F15C2A" w:rsidRDefault="000F1907" w:rsidP="000F1907">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9D7A3D3" w14:textId="77777777" w:rsidR="000F1907" w:rsidRPr="00F15C2A" w:rsidRDefault="000F1907" w:rsidP="000F1907">
      <w:pPr>
        <w:jc w:val="center"/>
        <w:rPr>
          <w:rFonts w:ascii="Verdana" w:hAnsi="Verdana" w:cs="Tahoma"/>
          <w:sz w:val="20"/>
        </w:rPr>
      </w:pPr>
      <w:r w:rsidRPr="00F15C2A">
        <w:rPr>
          <w:rFonts w:ascii="Verdana" w:hAnsi="Verdana" w:cs="Tahoma"/>
          <w:sz w:val="20"/>
        </w:rPr>
        <w:t>AUGME PRO FI MULTIMERCADO CREDITO PRIVADO</w:t>
      </w:r>
      <w:r w:rsidRPr="00F15C2A">
        <w:rPr>
          <w:rFonts w:ascii="Verdana" w:hAnsi="Verdana" w:cs="Tahoma"/>
          <w:sz w:val="20"/>
        </w:rPr>
        <w:br/>
        <w:t>CNPJ: 30.353.549/0001-20</w:t>
      </w:r>
    </w:p>
    <w:p w14:paraId="09DDCABF" w14:textId="40B4B184" w:rsidR="000F1907" w:rsidRDefault="000F1907" w:rsidP="00B62DD9">
      <w:pPr>
        <w:jc w:val="center"/>
        <w:rPr>
          <w:rFonts w:ascii="Verdana" w:hAnsi="Verdana" w:cs="Tahoma"/>
          <w:sz w:val="20"/>
        </w:rPr>
      </w:pPr>
    </w:p>
    <w:p w14:paraId="6F0AE2F3" w14:textId="77777777" w:rsidR="000F1907" w:rsidRDefault="000F1907" w:rsidP="00B62DD9">
      <w:pPr>
        <w:jc w:val="center"/>
        <w:rPr>
          <w:rFonts w:ascii="Verdana" w:hAnsi="Verdana" w:cs="Tahoma"/>
          <w:sz w:val="20"/>
        </w:rPr>
      </w:pPr>
    </w:p>
    <w:p w14:paraId="4F126EEA" w14:textId="77777777" w:rsidR="000F1907" w:rsidRPr="00F15C2A" w:rsidRDefault="000F1907" w:rsidP="00B62DD9">
      <w:pPr>
        <w:jc w:val="center"/>
        <w:rPr>
          <w:rFonts w:ascii="Verdana" w:hAnsi="Verdana" w:cs="Tahoma"/>
          <w:sz w:val="20"/>
        </w:rPr>
      </w:pPr>
    </w:p>
    <w:p w14:paraId="67A250AC" w14:textId="77777777" w:rsidR="00B62DD9" w:rsidRPr="00F15C2A" w:rsidRDefault="00B62DD9" w:rsidP="00B62DD9">
      <w:pPr>
        <w:jc w:val="center"/>
        <w:rPr>
          <w:rFonts w:ascii="Verdana" w:hAnsi="Verdana" w:cs="Tahoma"/>
          <w:sz w:val="20"/>
        </w:rPr>
      </w:pPr>
    </w:p>
    <w:p w14:paraId="58FDB5B8"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18312884" w14:textId="77777777" w:rsidR="00B62DD9" w:rsidRPr="00F15C2A" w:rsidRDefault="00B62DD9" w:rsidP="00B62DD9">
      <w:pPr>
        <w:jc w:val="center"/>
        <w:rPr>
          <w:rFonts w:ascii="Verdana" w:hAnsi="Verdana" w:cs="Tahoma"/>
          <w:sz w:val="20"/>
        </w:rPr>
      </w:pPr>
      <w:r w:rsidRPr="00F15C2A">
        <w:rPr>
          <w:rFonts w:ascii="Verdana" w:hAnsi="Verdana" w:cs="Tahoma"/>
          <w:sz w:val="20"/>
        </w:rPr>
        <w:t>QUASAR DIRECT LENDING FUNDO DE INVESTIMENTO MULTIMERCADO CREDITO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25513770" w14:textId="77777777" w:rsidR="00B62DD9" w:rsidRPr="00F15C2A" w:rsidRDefault="00B62DD9" w:rsidP="00B62DD9">
      <w:pPr>
        <w:rPr>
          <w:rFonts w:ascii="Verdana" w:hAnsi="Verdana" w:cs="Tahoma"/>
          <w:sz w:val="20"/>
        </w:rPr>
      </w:pPr>
    </w:p>
    <w:p w14:paraId="37C879D3" w14:textId="77777777" w:rsidR="00B62DD9" w:rsidRPr="00F15C2A" w:rsidRDefault="00B62DD9" w:rsidP="00B62DD9">
      <w:pPr>
        <w:jc w:val="center"/>
        <w:rPr>
          <w:rFonts w:ascii="Verdana" w:hAnsi="Verdana" w:cs="Tahoma"/>
          <w:sz w:val="20"/>
        </w:rPr>
      </w:pPr>
    </w:p>
    <w:p w14:paraId="20F66357"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490A" w14:textId="77777777" w:rsidR="001D75F2" w:rsidRDefault="001D75F2">
      <w:r>
        <w:separator/>
      </w:r>
    </w:p>
  </w:endnote>
  <w:endnote w:type="continuationSeparator" w:id="0">
    <w:p w14:paraId="018FE94C" w14:textId="77777777" w:rsidR="001D75F2" w:rsidRDefault="001D75F2">
      <w:r>
        <w:continuationSeparator/>
      </w:r>
    </w:p>
  </w:endnote>
  <w:endnote w:type="continuationNotice" w:id="1">
    <w:p w14:paraId="57291F0F" w14:textId="77777777" w:rsidR="001D75F2" w:rsidRDefault="001D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98HQMAADYGAAAOAAAAZHJzL2Uyb0RvYy54bWysVEtv2zAMvg/YfxB02GmpH3WcOGtSpCmy&#10;FUjbAOnQsyLLtTBbciWlcVf0v4+S5fSxHYZhF5siKT4+fuLJaVtX6IEpzaWY4ugoxIgJKnMu7qb4&#10;+81yMMZIGyJyUknBpviRaXw6+/jhZN9MWCxLWeVMIQgi9GTfTHFpTDMJAk1LVhN9JBsmwFhIVRMD&#10;R3UX5IrsIXpdBXEYpsFeqrxRkjKtQXveGfHMxS8KRs11UWhmUDXFUJtxX+W+W/sNZidkcqdIU3Lq&#10;yyD/UEVNuICkh1DnxBC0U/y3UDWnSmpZmCMq60AWBafM9QDdROG7bjYlaZjrBcDRzQEm/f/C0quH&#10;tUI8h9lhJEgNI7rcXKwXl8MRpUlE2DjNSTGKSB4lcRzTGKOcaQoIPn2630nz5RvR5ULmrDtN0tFx&#10;FIfxcfbZmxm/K403jhMgiDfc8tyUXj/Mhgf9uiKU1Uz0dzqXpZSGqU72AS5EzlofoPutFa+Jenzj&#10;tQEGADW9X+Tv3sjGa8JD4hUr+pygfLbM2Dd6AgBtGoDItGeytSh5vQalHXhbqNr+YZQI7MCxxwOv&#10;WGsQBeVomIZZMsSIgi1O01HoiBe83G6UNl+ZrJEVplhB1Y5O5GGlDWQE197FJhNyyavKcbcSaD/F&#10;6fEwdBcOFrhRCesLRUAML3WcfMqiOAnP4mywTMejQbJMhoNsFI4HYZSdZWmYZMn58tnGi5JJyfOc&#10;iRUXrH8fUfJ3/PMvtWO2eyFvStWy4rntw9Zmu1tUCj0QeKhb4MAPCzQ08coreFuOM0N3/d91GdiZ&#10;dbOxkmm3rR/YVuaPMEclAV+Ykm7okkPSFdFmTRQ8elDCIjPX8CkqCaBKL2FUSvXzT3rrD1iAFaM9&#10;LJEp1vc7ohhG1YWAVxoPkxBmjYw7gaCckEVJAodtrxW7eiGhb3iCUJYTra+perFQsr6FRTe36cBE&#10;BIWkAFQvLgycwACLkrL53MmwYBpiVmLTUBu6R/mmvSWq8UQzgN+V7PcMmbzjW+drbwo53xlZcEdG&#10;i2wHJ2BvD7Cc3BT8IrXb7/XZeb2s+9kvAA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Js4L3wdAwAANgYAAA4AAAAAAAAA&#10;AAAAAAAALgIAAGRycy9lMm9Eb2MueG1sUEsBAi0AFAAGAAgAAAAhALVDqtzeAAAACwEAAA8AAAAA&#10;AAAAAAAAAAAAdwUAAGRycy9kb3ducmV2LnhtbFBLBQYAAAAABAAEAPMAAACCBgAAAAA=&#10;" o:allowincell="f" filled="f" stroked="f" strokeweight=".5pt">
              <v:fill o:detectmouseclick="t"/>
              <v:textbox inset="20pt,0,,0">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r+HgMAAD8GAAAOAAAAZHJzL2Uyb0RvYy54bWysVN1vmzAQf5+0/8Hyw56WYiiQkpVOaaps&#10;lbK2Ujr12TEmoIHNbCehq/a/72xM2n08TNNe4L58vvvdz3f+vm8btOdK11LkODwhGHHBZFGLbY4/&#10;3y8nZxhpQ0VBGyl4jh+5xu8vXr86P3QzHslKNgVXCJIIPTt0Oa6M6WZBoFnFW6pPZMcFOEupWmpA&#10;VdugUPQA2dsmiAhJg4NURack41qD9Wpw4guXvyw5M7dlqblBTY6hNuO+yn039htcnNPZVtGuqpkv&#10;g/5DFS2tBVx6THVFDUU7Vf+Wqq2ZklqW5oTJNpBlWTPueoBuQvJLN+uKdtz1AuDo7giT/n9p2c3+&#10;TqG6yHGEkaAtjOjT+vpu8WlD0ixOwnCTZpuUkIRMyyTJQopRwTUDBJ/efN1J8+4j1dVCFnzQZun0&#10;NIxIdJq99W5ebyvjnWcxEMQ7HurCVN6eZMnRftdQxlsuxjNDyFJKw9Ug+wTXouC9T+CDaqXNHd36&#10;WnzcGjgA5PSRobfey85byPHqFS/HW8H43XLj0OkZQLTuACTTX8oeOD7aNRjtyPtStfYPw0TgB5Y9&#10;HpnFe4MYGKdJSgBOjBj4ojSdEke94Pl0B7V/4LJFVsixgqodoeh+pQ1UAqFjiL1MyGXdNI69jUCH&#10;HKenCXEHjh440QgbC0VADi8NrHzKwigml1E2WaZn00m8jJNJNiVnExJml1lK4iy+Wn63+cJ4VtVF&#10;wcWqFnx8IWH8dwz0b3XgtnsjP5WqZVMXtg9bm+1u0Si0p/BUN8CCLxZoaOJFVPBzOc4N3Y1/12Vg&#10;ZzbMxkqm3/SO38e5bWTxCONUEmCGYemOLS1xVtSSR8HrByNsNHMLn7KRgK30EkaVVN/+ZLfxAAl4&#10;MTrANsmx/rqjimPUXAt4rlESExg5Mk4DQTkhC+MYlM1oFbt2IaH90JXlRBtrmlEslWwfYOPN7XXg&#10;ooLBpYDXKC4MaOCAjcn4fO5k2DQdNSux7phNPYJ93z9Q1Xm+GYDxRo4Lh85+od0Qa08KOd8ZWdaO&#10;kxbgAU4YgVVgS7lh+I1q1+BL3UU97/2LH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C2Ler+HgMAAD8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5E646348" w:rsidR="00057F3B" w:rsidRDefault="00871AAA">
    <w:pPr>
      <w:pStyle w:val="Rodap"/>
      <w:jc w:val="right"/>
    </w:pPr>
    <w:r>
      <w:rPr>
        <w:noProof/>
      </w:rPr>
      <mc:AlternateContent>
        <mc:Choice Requires="wps">
          <w:drawing>
            <wp:anchor distT="0" distB="0" distL="114300" distR="114300" simplePos="0" relativeHeight="251661312" behindDoc="0" locked="0" layoutInCell="0" allowOverlap="1" wp14:anchorId="4C41AEB3" wp14:editId="6D817BFB">
              <wp:simplePos x="0" y="0"/>
              <wp:positionH relativeFrom="page">
                <wp:posOffset>0</wp:posOffset>
              </wp:positionH>
              <wp:positionV relativeFrom="page">
                <wp:posOffset>10235565</wp:posOffset>
              </wp:positionV>
              <wp:extent cx="7560945" cy="266700"/>
              <wp:effectExtent l="0" t="0" r="0" b="0"/>
              <wp:wrapNone/>
              <wp:docPr id="3" name="MSIPCM43b24306bcb360226c23df2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1AEB3" id="_x0000_t202" coordsize="21600,21600" o:spt="202" path="m,l,21600r21600,l21600,xe">
              <v:stroke joinstyle="miter"/>
              <v:path gradientshapeok="t" o:connecttype="rect"/>
            </v:shapetype>
            <v:shape id="MSIPCM43b24306bcb360226c23df21" o:spid="_x0000_s1028" type="#_x0000_t202" alt="{&quot;HashCode&quot;:673120239,&quot;Height&quot;:841.0,&quot;Width&quot;:595.0,&quot;Placement&quot;:&quot;Footer&quot;,&quot;Index&quot;:&quot;Primary&quot;,&quot;Section&quot;:2,&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V2IAMAAD0GAAAOAAAAZHJzL2Uyb0RvYy54bWysVMlu2zAQvRfoPxA89FRHi2U5UqMEjgO3&#10;AZzEgFPkTFNURFQiFZK2lQb59w4pyVnaQ1H0Qs7G4Sxv5uSsrSu0Y0pzKTIcHPkYMUFlzsV9hr/f&#10;LkbHGGlDRE4qKViGH5nGZ6cfP5zsm5SFspRVzhQCJ0Kn+ybDpTFN6nmalqwm+kg2TICykKomBlh1&#10;7+WK7MF7XXmh78feXqq8UZIyrUF60SnxqfNfFIyam6LQzKAqwxCbcady58ae3ukJSe8VaUpO+zDI&#10;P0RREy7g04OrC2II2ir+m6uaUyW1LMwRlbUni4JT5nKAbAL/XTbrkjTM5QLF0c2hTPr/uaXXu5VC&#10;PM/wGCNBamjR1fpyNb+KxpswGvvxhm7GsR+GMQ3HeREGGOVMU6jg06eHrTRfvhFdzmXOOi6Np+Mg&#10;9MNx8rlXM35fml55HAFAesUdz03ZyyfJ5CBfVYSymonhTWeykNIw1dG9g0uRs7Z30F0rxWuiHt9Y&#10;rQEBAM3eLuzf3sqml/iHj5esGP4E4bNFxr7RKRRo3UCJTHsuW0D4INcgtA1vC1XbG1qJQA8Yezzg&#10;irUGURBOJ7GfRBOMKOjCOJ76Dnjey+tGafOVyRpZIsMKonZwIrulNhAJmA4m9jMhF7yqHHYrgfYZ&#10;jscT3z04aOBFJawtBAE+eqrD5FMShJF/HiajRXw8HUWLaDJKpv7xyA+S8yT2oyS6WDxbf0GUljzP&#10;mVhywYb5CKK/w18/qR2y3YS8CVXLiuc2DxubzW5eKbQjMKgbwMAPW2hI4pWV9zYcp4bshttl6dme&#10;db2xlGk3rUN3OPRtI/NHaKeSUGZolm7ogsPfS6LNiiiYfRDCPjM3cBSVhNrKnsKolOrnn+TWHkoC&#10;Woz2sEsyrB+2RDGMqksBwxpOIh9ajozjgFCOSIIoAmYzSMW2nktIH2YMwnKktTXVQBZK1new72b2&#10;O1ARQeFTqNdAzg1woIB9Sdls5mjYMw0xS7FuqHU9FPu2vSOq6fFmoIzXclg3JH0Hu87WvhRytjWy&#10;4A6TtsBdOaEFloEd5ZrR71O7BF/zzupl65/+AgAA//8DAFBLAwQUAAYACAAAACEAtUOq3N4AAAAL&#10;AQAADwAAAGRycy9kb3ducmV2LnhtbEyPwU7DMBBE70j8g7VI3KhjEIWEOFVVqUhwQBD6AW68TdLa&#10;68h22vD3OCc47sxo9k25mqxhZ/ShdyRBLDJgSI3TPbUSdt/bu2dgISrSyjhCCT8YYFVdX5Wq0O5C&#10;X3iuY8tSCYVCSehiHArOQ9OhVWHhBqTkHZy3KqbTt1x7dUnl1vD7LFtyq3pKHzo14KbD5lSPVsIa&#10;RxHezPb42u/qz/fjR/R6k0t5ezOtX4BFnOJfGGb8hA5VYtq7kXRgRkIaEpO6FCIHNvsiz56A7Wft&#10;8SEHXpX8/4bqFwAA//8DAFBLAQItABQABgAIAAAAIQC2gziS/gAAAOEBAAATAAAAAAAAAAAAAAAA&#10;AAAAAABbQ29udGVudF9UeXBlc10ueG1sUEsBAi0AFAAGAAgAAAAhADj9If/WAAAAlAEAAAsAAAAA&#10;AAAAAAAAAAAALwEAAF9yZWxzLy5yZWxzUEsBAi0AFAAGAAgAAAAhANJt9XYgAwAAPQYAAA4AAAAA&#10;AAAAAAAAAAAALgIAAGRycy9lMm9Eb2MueG1sUEsBAi0AFAAGAAgAAAAhALVDqtzeAAAACwEAAA8A&#10;AAAAAAAAAAAAAAAAegUAAGRycy9kb3ducmV2LnhtbFBLBQYAAAAABAAEAPMAAACFBgAAAAA=&#10;" o:allowincell="f" filled="f" stroked="f" strokeweight=".5pt">
              <v:fill o:detectmouseclick="t"/>
              <v:textbox inset="20pt,0,,0">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9"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exHgMAAD8GAAAOAAAAZHJzL2Uyb0RvYy54bWysVMlu2zAQvRfoPxA89FRHi2XJcqMEjgO3&#10;AZwFcIqcaYqyhEqkQtKx0iD/3iFFOUt7KIpepNk4nHnzOMenXVOjByZVJXiGgyMfI8apyCu+zfD3&#10;2+VoipHShOekFpxl+JEpfHry8cPxvp2xUJSizplEkISr2b7NcKl1O/M8RUvWEHUkWsbBWQjZEA2q&#10;3Hq5JHvI3tRe6Puxtxcyb6WgTCmwnvdOfGLzFwWj+rooFNOozjDUpu1X2u/GfL2TYzLbStKWFXVl&#10;kH+ooiEVh0sPqc6JJmgnq99SNRWVQolCH1HReKIoKspsD9BN4L/rZl2SltleABzVHmBS/y8tvXq4&#10;kajKMxxhxEkDI7pcX9wsLtk0IVEQkU0S5XGYTElBSJAEgGHOFAUEnz7d74T+8o2ociFy1muzOBkH&#10;oR+O08/OzaptqZ1zGgFBnOOuynXp7JN0crDf1ISyhvHhTB+yFEIz2csuwQXPWecSuKBKKn1Dtq4W&#10;F7cGDgA5XWTorLeidRb/cPWKFcOtYHw23Ni3agYQrVsASXdnogOOD3YFRjPyrpCN+cMwEfgBoccD&#10;s1inEQVjMon9NJpgRMEXxnHiW+p5L6dbqP0rEw0yQoYlVG0JRR5WSkMlEDqEmMu4WFZ1bdlbc7TP&#10;cDye+PbAwQMnam5ioQjI4aSelU9pEEb+WZiOlvE0GUXLaDJKE3868oP0LI39KI3Ol88mXxDNyirP&#10;GV9VnA0vJIj+joHurfbctm/kTalK1FVu+jC1me4WtUQPBJ7qBljwwwANTbyK8t6WY93Q3fC3XXpm&#10;Zv1sjKS7TWf5PR7mthH5I4xTCoAZhqVaujTEWRFDHgmvH4yw0fQ1fIpaALbCSRiVQv78k93EAyTg&#10;xWgP2yTD6n5HJMOovuDwXMNJ5MPIkbYaCNIKaRBFoGwGK981CwHtB7YsK5pYXQ9iIUVzBxtvbq4D&#10;F+EULgW8BnGhQQMHbEzK5nMrw6ZpiV7xdUtN6gHs2+6OyNbxTQOMV2JYOGT2jnZ9rDnJxXynRVFZ&#10;ThqAezhhBEaBLWWH4TaqWYOvdRv1svdPfgE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DPopexHgMAAD8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0DD52" w14:textId="77777777" w:rsidR="001D75F2" w:rsidRDefault="001D75F2">
      <w:r>
        <w:separator/>
      </w:r>
    </w:p>
  </w:footnote>
  <w:footnote w:type="continuationSeparator" w:id="0">
    <w:p w14:paraId="1B4426CF" w14:textId="77777777" w:rsidR="001D75F2" w:rsidRDefault="001D75F2">
      <w:r>
        <w:continuationSeparator/>
      </w:r>
    </w:p>
  </w:footnote>
  <w:footnote w:type="continuationNotice" w:id="1">
    <w:p w14:paraId="0A21E9F0" w14:textId="77777777" w:rsidR="001D75F2" w:rsidRDefault="001D7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CEB5" w14:textId="77777777" w:rsidR="00871AAA" w:rsidRDefault="00871A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57F3B" w:rsidRPr="003832CD" w:rsidRDefault="00057F3B"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57F3B" w:rsidRDefault="00057F3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57F3B" w:rsidRPr="00AC679A" w:rsidRDefault="00057F3B"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icia Alexandre Martins">
    <w15:presenceInfo w15:providerId="AD" w15:userId="S::lamartins@itaubba.com::660c9c54-1399-4c75-9bce-4907241c6b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4E56"/>
    <w:rsid w:val="00096CEF"/>
    <w:rsid w:val="00096F02"/>
    <w:rsid w:val="0009729C"/>
    <w:rsid w:val="000A4341"/>
    <w:rsid w:val="000A5211"/>
    <w:rsid w:val="000B0598"/>
    <w:rsid w:val="000B0885"/>
    <w:rsid w:val="000B0EF2"/>
    <w:rsid w:val="000B14FB"/>
    <w:rsid w:val="000B1C54"/>
    <w:rsid w:val="000B4E7A"/>
    <w:rsid w:val="000B5E8E"/>
    <w:rsid w:val="000B644B"/>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2CD"/>
    <w:rsid w:val="004F07F2"/>
    <w:rsid w:val="004F14B4"/>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3F31"/>
    <w:rsid w:val="008E4E50"/>
    <w:rsid w:val="008E7C17"/>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74BB"/>
    <w:rsid w:val="009301B4"/>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57BF1"/>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6EB7"/>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045B"/>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E87FB-8F8E-4B01-90A8-5A1BBD35F31F}">
  <ds:schemaRefs>
    <ds:schemaRef ds:uri="http://purl.org/dc/terms/"/>
    <ds:schemaRef ds:uri="http://schemas.microsoft.com/office/2006/documentManagement/types"/>
    <ds:schemaRef ds:uri="http://purl.org/dc/dcmitype/"/>
    <ds:schemaRef ds:uri="http://purl.org/dc/elements/1.1/"/>
    <ds:schemaRef ds:uri="8aee1a6a-5f1d-47d4-815c-9699b838e25a"/>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987a76d-12af-4417-b7e3-4b8cc6f268f4"/>
  </ds:schemaRefs>
</ds:datastoreItem>
</file>

<file path=customXml/itemProps3.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4.xml><?xml version="1.0" encoding="utf-8"?>
<ds:datastoreItem xmlns:ds="http://schemas.openxmlformats.org/officeDocument/2006/customXml" ds:itemID="{5071D991-CB14-41E8-9006-B2BABBF9AC7D}">
  <ds:schemaRefs>
    <ds:schemaRef ds:uri="http://schemas.openxmlformats.org/officeDocument/2006/bibliography"/>
  </ds:schemaRefs>
</ds:datastoreItem>
</file>

<file path=customXml/itemProps5.xml><?xml version="1.0" encoding="utf-8"?>
<ds:datastoreItem xmlns:ds="http://schemas.openxmlformats.org/officeDocument/2006/customXml" ds:itemID="{602E436B-02FF-4B5F-95C1-A8F55F1A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2207</Words>
  <Characters>13880</Characters>
  <Application>Microsoft Office Word</Application>
  <DocSecurity>4</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Leticia Alexandre Martins</cp:lastModifiedBy>
  <cp:revision>2</cp:revision>
  <cp:lastPrinted>2019-11-13T20:18:00Z</cp:lastPrinted>
  <dcterms:created xsi:type="dcterms:W3CDTF">2020-09-10T21:28:00Z</dcterms:created>
  <dcterms:modified xsi:type="dcterms:W3CDTF">2020-09-10T21:28:00Z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