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C231" w14:textId="77777777" w:rsidR="00582524" w:rsidRPr="00C623A9" w:rsidRDefault="00376F39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62CDD2FA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0D23A05B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2ACB8D3D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5DF63041" w14:textId="40BF9515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C41FD3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C41FD3">
        <w:rPr>
          <w:szCs w:val="20"/>
          <w:lang w:eastAsia="af-ZA"/>
        </w:rPr>
        <w:t>20º andar, parte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48A61850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6FF81B7" w14:textId="36AD3F2E" w:rsidR="0079438F" w:rsidRPr="000C1361" w:rsidRDefault="004F3DE0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mallCaps/>
          <w:szCs w:val="20"/>
        </w:rPr>
        <w:t>BANCO SANTANDER (BRASIL) S.A.</w:t>
      </w:r>
      <w:r w:rsidRPr="00A62BF0">
        <w:rPr>
          <w:szCs w:val="20"/>
        </w:rPr>
        <w:t xml:space="preserve"> </w:t>
      </w:r>
      <w:r w:rsidR="00C41FD3" w:rsidRPr="00546F62">
        <w:rPr>
          <w:szCs w:val="20"/>
        </w:rPr>
        <w:t xml:space="preserve">e suas filiais, agências no exterior, controladas e demais empresas do grupo econômico ao qual pertence, instituição financeira com sede na Cidade de São Paulo, Estado de São Paulo, na Avenida Presidente Juscelino Kubitschek, 2.041 e 2.235 – Bloco A, inscrito no CNPJ/ME sob o nº 90.400.888/0001-42, neste ato representado nos termos do seu Estatuto Social, </w:t>
      </w:r>
      <w:r w:rsidR="00C41FD3" w:rsidRPr="00546F62">
        <w:t>neste ato por si própria e por sua agência em Grand Cayman</w:t>
      </w:r>
      <w:r w:rsidR="00C41FD3" w:rsidRPr="00546F62">
        <w:rPr>
          <w:szCs w:val="20"/>
        </w:rPr>
        <w:t xml:space="preserve">, </w:t>
      </w:r>
      <w:r w:rsidR="00C41FD3" w:rsidRPr="00546F62">
        <w:t>e na qualidade de debenturista titular da 2ª Série de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="00C41FD3" w:rsidRPr="00546F62">
        <w:rPr>
          <w:u w:val="single"/>
        </w:rPr>
        <w:t>Santander</w:t>
      </w:r>
      <w:r w:rsidR="00C41FD3" w:rsidRPr="00546F62">
        <w:t>”)</w:t>
      </w:r>
      <w:r w:rsidRPr="00A62BF0">
        <w:rPr>
          <w:szCs w:val="20"/>
        </w:rPr>
        <w:t>;</w:t>
      </w:r>
    </w:p>
    <w:p w14:paraId="33201C5A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71EC7E7C" w14:textId="77777777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r w:rsidRPr="00C41FD3">
        <w:rPr>
          <w:szCs w:val="20"/>
        </w:rPr>
        <w:t>”</w:t>
      </w:r>
      <w:r w:rsidRPr="00C623A9">
        <w:rPr>
          <w:szCs w:val="20"/>
        </w:rPr>
        <w:t>).</w:t>
      </w:r>
    </w:p>
    <w:p w14:paraId="18BD5A6D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342D958" w14:textId="77777777" w:rsidR="000C1361" w:rsidRPr="00C623A9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4F3DE0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>, 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2698E554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2A2919E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lastRenderedPageBreak/>
        <w:t>CONSIDERANDO QUE:</w:t>
      </w:r>
    </w:p>
    <w:p w14:paraId="41B94CE4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7CC78F48" w14:textId="77777777" w:rsidR="00A62E86" w:rsidRPr="00C623A9" w:rsidRDefault="00A62E8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4F3DE0">
        <w:t>8.335.436</w:t>
      </w:r>
      <w:r w:rsidR="004F3DE0" w:rsidRPr="00647EB0">
        <w:t xml:space="preserve"> </w:t>
      </w:r>
      <w:r w:rsidR="004F3DE0">
        <w:t xml:space="preserve">(oito milhões, trezentos e trinta e cinco mil, quatrocentas e trinta e seis) ações </w:t>
      </w:r>
      <w:r w:rsidRPr="00C623A9">
        <w:rPr>
          <w:szCs w:val="20"/>
        </w:rPr>
        <w:t xml:space="preserve">ordinárias emitidas pela </w:t>
      </w:r>
      <w:r w:rsidR="00B21431">
        <w:rPr>
          <w:szCs w:val="20"/>
        </w:rPr>
        <w:t>Companhia</w:t>
      </w:r>
      <w:r w:rsidRPr="00C623A9">
        <w:rPr>
          <w:szCs w:val="20"/>
        </w:rPr>
        <w:t xml:space="preserve">, em favor do </w:t>
      </w:r>
      <w:r w:rsidR="004F3DE0">
        <w:rPr>
          <w:szCs w:val="20"/>
        </w:rPr>
        <w:t>Santander</w:t>
      </w:r>
      <w:r w:rsidRPr="00C623A9">
        <w:rPr>
          <w:szCs w:val="20"/>
        </w:rPr>
        <w:t>, para garantia das Obrigações Garantidas;</w:t>
      </w:r>
    </w:p>
    <w:p w14:paraId="0ED0AFCD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76F4FBA6" w14:textId="77777777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>o Banco Bradesco S.A. (“</w:t>
      </w:r>
      <w:r w:rsidRPr="00C623A9">
        <w:rPr>
          <w:szCs w:val="20"/>
          <w:u w:val="single"/>
        </w:rPr>
        <w:t>Bradesco</w:t>
      </w:r>
      <w:r w:rsidRPr="00C623A9">
        <w:rPr>
          <w:szCs w:val="20"/>
        </w:rPr>
        <w:t xml:space="preserve">”),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r w:rsidR="004F3DE0" w:rsidRPr="004F3DE0">
        <w:rPr>
          <w:szCs w:val="20"/>
        </w:rPr>
        <w:t>Credit Suisse Próprio Fundo de Investimento Multimercado Investimento no Exterio</w:t>
      </w:r>
      <w:r w:rsidR="00970690">
        <w:rPr>
          <w:szCs w:val="20"/>
        </w:rPr>
        <w:t>r</w:t>
      </w:r>
      <w:r w:rsidR="004F3DE0" w:rsidRPr="004F3DE0">
        <w:rPr>
          <w:szCs w:val="20"/>
        </w:rPr>
        <w:t xml:space="preserve"> </w:t>
      </w:r>
      <w:r w:rsidR="004F3DE0">
        <w:rPr>
          <w:szCs w:val="20"/>
        </w:rPr>
        <w:t>(“</w:t>
      </w:r>
      <w:r w:rsidRPr="004F3DE0">
        <w:rPr>
          <w:szCs w:val="20"/>
          <w:u w:val="single"/>
        </w:rPr>
        <w:t>Credit Suisse</w:t>
      </w:r>
      <w:r w:rsidR="004F3DE0">
        <w:rPr>
          <w:szCs w:val="20"/>
        </w:rPr>
        <w:t>”)</w:t>
      </w:r>
      <w:r w:rsidRPr="00C623A9">
        <w:rPr>
          <w:szCs w:val="20"/>
        </w:rPr>
        <w:t>, o Santander,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2F6707A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1E9CEDA1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0555052B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29B407A2" w14:textId="77777777" w:rsidR="009B0EB5" w:rsidRPr="009B0EB5" w:rsidRDefault="00C76AAC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4F3DE0">
        <w:rPr>
          <w:szCs w:val="20"/>
        </w:rPr>
        <w:t>Santander</w:t>
      </w:r>
      <w:r w:rsidR="009B0EB5" w:rsidRPr="009B0EB5">
        <w:rPr>
          <w:szCs w:val="20"/>
        </w:rPr>
        <w:t xml:space="preserve">, a quantidade de ações alienadas fiduciariamente passado para </w:t>
      </w:r>
      <w:r w:rsidR="004F3DE0">
        <w:rPr>
          <w:rFonts w:eastAsia="MS Mincho"/>
          <w:color w:val="000000"/>
          <w:szCs w:val="20"/>
        </w:rPr>
        <w:t xml:space="preserve">12.012.280 </w:t>
      </w:r>
      <w:r w:rsidR="004F3DE0" w:rsidRPr="00500F67">
        <w:rPr>
          <w:rFonts w:eastAsia="MS Mincho"/>
          <w:color w:val="000000"/>
          <w:szCs w:val="20"/>
        </w:rPr>
        <w:t>(</w:t>
      </w:r>
      <w:r w:rsidR="004F3DE0">
        <w:rPr>
          <w:rFonts w:eastAsia="MS Mincho"/>
          <w:color w:val="000000"/>
          <w:szCs w:val="20"/>
        </w:rPr>
        <w:t>doze milhões, doze mil, duzentos e oitenta</w:t>
      </w:r>
      <w:r w:rsidR="004F3DE0" w:rsidRPr="00500F67">
        <w:rPr>
          <w:rFonts w:eastAsia="MS Mincho"/>
          <w:color w:val="000000"/>
          <w:szCs w:val="20"/>
        </w:rPr>
        <w:t>) ações ordinárias emitidas pela Companhia</w:t>
      </w:r>
      <w:r w:rsidR="00DC454E">
        <w:rPr>
          <w:szCs w:val="20"/>
        </w:rPr>
        <w:t>.</w:t>
      </w:r>
    </w:p>
    <w:p w14:paraId="7A95907D" w14:textId="77777777" w:rsidR="009B0EB5" w:rsidRPr="009B0EB5" w:rsidRDefault="009B0EB5" w:rsidP="009B0EB5">
      <w:pPr>
        <w:pStyle w:val="PargrafodaLista"/>
        <w:rPr>
          <w:szCs w:val="20"/>
        </w:rPr>
      </w:pPr>
    </w:p>
    <w:p w14:paraId="56D505EB" w14:textId="40870360" w:rsidR="002C472D" w:rsidRPr="002C472D" w:rsidRDefault="00DB24E2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Entre os meses de janeiro a março de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</w:t>
      </w:r>
      <w:r w:rsidR="002C472D">
        <w:rPr>
          <w:rFonts w:eastAsia="MS Mincho"/>
          <w:color w:val="000000"/>
          <w:szCs w:val="20"/>
        </w:rPr>
        <w:lastRenderedPageBreak/>
        <w:t xml:space="preserve">incluindo o segundo aditamento a este Contrato, tendo, em relação ao </w:t>
      </w:r>
      <w:r w:rsidR="004F3DE0">
        <w:rPr>
          <w:rFonts w:eastAsia="MS Mincho"/>
          <w:color w:val="000000"/>
          <w:szCs w:val="20"/>
        </w:rPr>
        <w:t>Santander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4F3DE0" w:rsidRPr="004F3DE0">
        <w:rPr>
          <w:rFonts w:eastAsia="MS Mincho"/>
          <w:color w:val="000000"/>
          <w:szCs w:val="20"/>
        </w:rPr>
        <w:t>12.879.519 (doze milhões, oitocentas e setenta e nove mil, quinhentos e dezenove)</w:t>
      </w:r>
      <w:r w:rsidR="004F3DE0">
        <w:rPr>
          <w:rFonts w:eastAsia="MS Mincho"/>
          <w:color w:val="000000"/>
          <w:szCs w:val="20"/>
        </w:rPr>
        <w:t xml:space="preserve"> </w:t>
      </w:r>
      <w:r w:rsidR="002C472D">
        <w:rPr>
          <w:rFonts w:eastAsia="Arial Unicode MS" w:cs="Tahoma"/>
          <w:szCs w:val="20"/>
        </w:rPr>
        <w:t>ações ordinárias 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4550E19C" w14:textId="77777777" w:rsidR="002C472D" w:rsidRPr="002C472D" w:rsidRDefault="002C472D" w:rsidP="002C472D">
      <w:pPr>
        <w:pStyle w:val="PargrafodaLista"/>
        <w:rPr>
          <w:szCs w:val="20"/>
        </w:rPr>
      </w:pPr>
    </w:p>
    <w:p w14:paraId="4AEC0453" w14:textId="77777777" w:rsidR="00A47F19" w:rsidRDefault="00145FA9" w:rsidP="00EB623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</w:t>
      </w:r>
      <w:r w:rsidR="00EB6234">
        <w:rPr>
          <w:rFonts w:eastAsia="MS Mincho"/>
          <w:color w:val="000000"/>
          <w:szCs w:val="20"/>
        </w:rPr>
        <w:t xml:space="preserve"> a Austral Seguradora S.A. notificou a QGSA sobre a liberação do ônus de primeiro grau constituído em seu favor </w:t>
      </w:r>
      <w:r w:rsidR="00EA26DB">
        <w:rPr>
          <w:rFonts w:eastAsia="MS Mincho"/>
          <w:color w:val="000000"/>
          <w:szCs w:val="20"/>
        </w:rPr>
        <w:t>(“</w:t>
      </w:r>
      <w:r w:rsidR="00267157" w:rsidRPr="00267157">
        <w:rPr>
          <w:rFonts w:eastAsia="MS Mincho"/>
          <w:color w:val="000000"/>
          <w:szCs w:val="20"/>
          <w:u w:val="single"/>
        </w:rPr>
        <w:t xml:space="preserve">Liberação </w:t>
      </w:r>
      <w:r w:rsidR="00EA26DB" w:rsidRPr="00267157">
        <w:rPr>
          <w:rFonts w:eastAsia="MS Mincho"/>
          <w:color w:val="000000"/>
          <w:szCs w:val="20"/>
          <w:u w:val="single"/>
        </w:rPr>
        <w:t>Austral</w:t>
      </w:r>
      <w:r w:rsidR="00EA26DB">
        <w:rPr>
          <w:rFonts w:eastAsia="MS Mincho"/>
          <w:color w:val="000000"/>
          <w:szCs w:val="20"/>
        </w:rPr>
        <w:t xml:space="preserve">”) </w:t>
      </w:r>
      <w:r w:rsidR="00EB6234">
        <w:rPr>
          <w:rFonts w:eastAsia="MS Mincho"/>
          <w:color w:val="000000"/>
          <w:szCs w:val="20"/>
        </w:rPr>
        <w:t xml:space="preserve">ficando, portanto, </w:t>
      </w:r>
      <w:r>
        <w:rPr>
          <w:rFonts w:eastAsia="MS Mincho"/>
          <w:color w:val="000000"/>
          <w:szCs w:val="20"/>
        </w:rPr>
        <w:t xml:space="preserve">as </w:t>
      </w:r>
      <w:r w:rsidR="00EB6234">
        <w:t xml:space="preserve">33.420.121 </w:t>
      </w:r>
      <w:r w:rsidR="00EB6234" w:rsidRPr="00A674E8">
        <w:t xml:space="preserve">(trinta e três milhões, quatrocentos e vinte mil, cento e vinte uma) ações </w:t>
      </w:r>
      <w:r w:rsidR="00EB6234">
        <w:rPr>
          <w:rFonts w:eastAsia="MS Mincho"/>
          <w:color w:val="000000"/>
          <w:szCs w:val="20"/>
        </w:rPr>
        <w:t>empenhadas</w:t>
      </w:r>
      <w:r w:rsidR="00970690">
        <w:rPr>
          <w:rFonts w:eastAsia="MS Mincho"/>
          <w:color w:val="000000"/>
          <w:szCs w:val="20"/>
        </w:rPr>
        <w:t xml:space="preserve">, em primeiro grau, </w:t>
      </w:r>
      <w:r w:rsidR="00EB6234">
        <w:rPr>
          <w:rFonts w:eastAsia="MS Mincho"/>
          <w:color w:val="000000"/>
          <w:szCs w:val="20"/>
        </w:rPr>
        <w:t xml:space="preserve">em 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 w:rsidR="00EA26DB">
        <w:rPr>
          <w:rFonts w:eastAsia="MS Mincho"/>
          <w:color w:val="000000"/>
          <w:szCs w:val="20"/>
        </w:rPr>
        <w:t xml:space="preserve"> (“</w:t>
      </w:r>
      <w:r w:rsidR="00EA26DB" w:rsidRPr="00EA26DB">
        <w:rPr>
          <w:rFonts w:eastAsia="MS Mincho"/>
          <w:color w:val="000000"/>
          <w:szCs w:val="20"/>
          <w:u w:val="single"/>
        </w:rPr>
        <w:t>Ações Empenhadas Credores CQGDNSA</w:t>
      </w:r>
      <w:r w:rsidR="00EA26DB">
        <w:rPr>
          <w:rFonts w:eastAsia="MS Mincho"/>
          <w:color w:val="000000"/>
          <w:szCs w:val="20"/>
        </w:rPr>
        <w:t>”)</w:t>
      </w:r>
      <w:r w:rsidR="00EB6234">
        <w:rPr>
          <w:rFonts w:eastAsia="MS Mincho"/>
          <w:color w:val="000000"/>
          <w:szCs w:val="20"/>
        </w:rPr>
        <w:t xml:space="preserve">. </w:t>
      </w:r>
    </w:p>
    <w:p w14:paraId="5B6EB825" w14:textId="77777777" w:rsidR="00EB6234" w:rsidRPr="00EB6234" w:rsidRDefault="00EB6234" w:rsidP="00EB6234">
      <w:pPr>
        <w:pStyle w:val="PargrafodaLista"/>
        <w:rPr>
          <w:rFonts w:eastAsia="MS Mincho"/>
          <w:color w:val="000000"/>
          <w:szCs w:val="20"/>
        </w:rPr>
      </w:pPr>
    </w:p>
    <w:p w14:paraId="5DECFE6F" w14:textId="7C9E5240" w:rsidR="00970690" w:rsidRPr="00E167CD" w:rsidRDefault="00B21431" w:rsidP="00E167CD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</w:t>
      </w:r>
      <w:r w:rsidRPr="00AF2EE4">
        <w:rPr>
          <w:szCs w:val="20"/>
        </w:rPr>
        <w:t xml:space="preserve">m </w:t>
      </w:r>
      <w:r w:rsidR="00E167CD" w:rsidRPr="00E167CD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="00EA26DB">
        <w:rPr>
          <w:szCs w:val="20"/>
        </w:rPr>
        <w:t>;</w:t>
      </w:r>
      <w:r w:rsidR="00E167CD">
        <w:rPr>
          <w:szCs w:val="20"/>
        </w:rPr>
        <w:t xml:space="preserve"> e</w:t>
      </w:r>
    </w:p>
    <w:p w14:paraId="5F0F95C6" w14:textId="77777777" w:rsidR="00E167CD" w:rsidRPr="00E167CD" w:rsidRDefault="00E167CD" w:rsidP="00E167CD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67E9BE31" w14:textId="61EC3A41" w:rsidR="00C76AAC" w:rsidRPr="00C623A9" w:rsidRDefault="00601A1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 w:rsidR="005D3D90">
        <w:rPr>
          <w:szCs w:val="20"/>
        </w:rPr>
        <w:t xml:space="preserve">esta data, </w:t>
      </w:r>
      <w:r w:rsidR="00E167CD" w:rsidRPr="00E167CD">
        <w:rPr>
          <w:szCs w:val="20"/>
        </w:rPr>
        <w:t>o Garantidor celebra (i) aditamentos a cada um dos Contratos Individualizados QGEP, com os respectivos Credores, a fim de alienar fiduciariamente parte 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E167CD">
        <w:rPr>
          <w:szCs w:val="20"/>
        </w:rPr>
        <w:t>;</w:t>
      </w:r>
      <w:r w:rsidR="00E75463" w:rsidRPr="00C623A9">
        <w:rPr>
          <w:szCs w:val="20"/>
        </w:rPr>
        <w:t xml:space="preserve"> </w:t>
      </w:r>
    </w:p>
    <w:p w14:paraId="0D323DCA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5B7915A5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970690">
        <w:rPr>
          <w:szCs w:val="20"/>
        </w:rPr>
        <w:t xml:space="preserve">Terceiro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4F403BAC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E3E226D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60BBB3D8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1BEF563D" w14:textId="3E83A8C8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 xml:space="preserve">centésimos)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970690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47CC23CC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7D862771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0D4B4E42" w14:textId="5E760AB2" w:rsidR="00970690" w:rsidRPr="00E167CD" w:rsidRDefault="00E167CD" w:rsidP="00E167CD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lastRenderedPageBreak/>
        <w:t>“</w:t>
      </w:r>
      <w:r w:rsidRPr="00E167CD">
        <w:rPr>
          <w:b/>
          <w:bCs/>
          <w:i/>
          <w:lang w:eastAsia="en-US"/>
        </w:rPr>
        <w:t>1.1</w:t>
      </w:r>
      <w:r>
        <w:rPr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4F3DE0">
        <w:rPr>
          <w:i/>
        </w:rPr>
        <w:t>Santander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</w:t>
      </w:r>
      <w:r w:rsidR="002E7D29" w:rsidRPr="00E167CD">
        <w:rPr>
          <w:i/>
        </w:rPr>
        <w:t xml:space="preserve">irrevogável e irretratável, a partir desta data até o cumprimento integral das Obrigações Garantidas, </w:t>
      </w:r>
      <w:r w:rsidRPr="00E167CD">
        <w:rPr>
          <w:i/>
        </w:rPr>
        <w:t xml:space="preserve">16.271.127 (dezesseis milhões, duzentas e setenta e um mil, cento e vinte e sete) </w:t>
      </w:r>
      <w:r w:rsidR="002E7D29" w:rsidRPr="00E167CD">
        <w:rPr>
          <w:i/>
        </w:rPr>
        <w:t xml:space="preserve">Ações, representativas de </w:t>
      </w:r>
      <w:bookmarkStart w:id="2" w:name="_Hlk17233772"/>
      <w:commentRangeStart w:id="3"/>
      <w:r w:rsidRPr="00E167CD">
        <w:rPr>
          <w:i/>
        </w:rPr>
        <w:t>6,1214</w:t>
      </w:r>
      <w:r w:rsidR="00B579B0" w:rsidRPr="00E167CD">
        <w:rPr>
          <w:i/>
        </w:rPr>
        <w:t>%</w:t>
      </w:r>
      <w:bookmarkEnd w:id="2"/>
      <w:r w:rsidRPr="00E167CD">
        <w:rPr>
          <w:i/>
        </w:rPr>
        <w:t xml:space="preserve"> </w:t>
      </w:r>
      <w:commentRangeEnd w:id="3"/>
      <w:r w:rsidRPr="00E167CD">
        <w:rPr>
          <w:rStyle w:val="Refdecomentrio"/>
        </w:rPr>
        <w:commentReference w:id="3"/>
      </w:r>
      <w:r w:rsidRPr="00E167CD">
        <w:rPr>
          <w:i/>
        </w:rPr>
        <w:t xml:space="preserve">(seis inteiros e mil, duzentos e quatorze décimos de milésimo </w:t>
      </w:r>
      <w:proofErr w:type="spellStart"/>
      <w:r w:rsidRPr="00E167CD">
        <w:rPr>
          <w:i/>
        </w:rPr>
        <w:t>por</w:t>
      </w:r>
      <w:proofErr w:type="spellEnd"/>
      <w:r w:rsidRPr="00E167CD">
        <w:rPr>
          <w:i/>
        </w:rPr>
        <w:t xml:space="preserve"> cento)</w:t>
      </w:r>
      <w:r w:rsidR="00B579B0" w:rsidRPr="00E167CD">
        <w:rPr>
          <w:i/>
        </w:rPr>
        <w:t xml:space="preserve"> </w:t>
      </w:r>
      <w:r w:rsidR="002E7D29" w:rsidRPr="00E167CD">
        <w:rPr>
          <w:i/>
        </w:rPr>
        <w:t>do capital social</w:t>
      </w:r>
      <w:r w:rsidR="002E7D29" w:rsidRPr="002E7D29">
        <w:rPr>
          <w:i/>
        </w:rPr>
        <w:t xml:space="preserve"> da Companhia (“</w:t>
      </w:r>
      <w:r w:rsidR="002E7D29" w:rsidRPr="002E7D29">
        <w:rPr>
          <w:i/>
          <w:u w:val="single"/>
        </w:rPr>
        <w:t>Ações Alienadas</w:t>
      </w:r>
      <w:r w:rsidR="002E7D29" w:rsidRPr="002E7D29">
        <w:rPr>
          <w:i/>
        </w:rPr>
        <w:t xml:space="preserve">”), e (ii) cede fiduciariamente em favor do </w:t>
      </w:r>
      <w:r w:rsidR="00BA464A">
        <w:rPr>
          <w:i/>
        </w:rPr>
        <w:t>Santander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>em caráter irrevogável e irretratável, a partir desta data até o cumprimento integral das Obrigações Garantidas, todos e quaisquer Direitos Econômicos das Ações Alienadas.</w:t>
      </w:r>
      <w:r>
        <w:rPr>
          <w:i/>
        </w:rPr>
        <w:t>”</w:t>
      </w:r>
    </w:p>
    <w:p w14:paraId="1D05EA02" w14:textId="77777777" w:rsidR="00C744BB" w:rsidRDefault="00B27994" w:rsidP="00C744BB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06EF12C4" w14:textId="77777777" w:rsidR="00C744BB" w:rsidRPr="00C744BB" w:rsidRDefault="00C744BB" w:rsidP="00C744BB">
      <w:pPr>
        <w:pStyle w:val="PargrafodaLista"/>
        <w:tabs>
          <w:tab w:val="left" w:pos="709"/>
        </w:tabs>
        <w:spacing w:before="0" w:after="0" w:line="320" w:lineRule="exact"/>
        <w:ind w:left="792"/>
        <w:rPr>
          <w:b/>
          <w:szCs w:val="20"/>
        </w:rPr>
      </w:pPr>
    </w:p>
    <w:p w14:paraId="1CAF99FC" w14:textId="77777777" w:rsidR="00C623A9" w:rsidRPr="00C744BB" w:rsidRDefault="00A62E86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744BB">
        <w:rPr>
          <w:szCs w:val="20"/>
        </w:rPr>
        <w:t>Os termos empregados neste Aditamento, iniciados em letras maiúsculas, salvo se de outra forma definidos</w:t>
      </w:r>
      <w:r w:rsidR="00B27994" w:rsidRPr="00C744BB">
        <w:rPr>
          <w:szCs w:val="20"/>
        </w:rPr>
        <w:t xml:space="preserve"> neste Aditamento</w:t>
      </w:r>
      <w:r w:rsidRPr="00C744BB">
        <w:rPr>
          <w:szCs w:val="20"/>
        </w:rPr>
        <w:t>, terão os mesmos significados a eles atribuídos no Contrato.</w:t>
      </w:r>
    </w:p>
    <w:p w14:paraId="17B3158B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C4E236D" w14:textId="77777777" w:rsidR="00C623A9" w:rsidRPr="00C744BB" w:rsidRDefault="0079438F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6CB1F3B2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1DEF179" w14:textId="77777777" w:rsidR="00C623A9" w:rsidRPr="00C744BB" w:rsidRDefault="00705E48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BA464A">
        <w:rPr>
          <w:szCs w:val="20"/>
        </w:rPr>
        <w:t>Santander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60E26188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7C48F8C" w14:textId="77777777" w:rsidR="00C623A9" w:rsidRPr="00C744BB" w:rsidRDefault="00FB197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7AC3E957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8DB95A2" w14:textId="77777777" w:rsidR="00A54ADE" w:rsidRPr="00C744BB" w:rsidRDefault="00FB197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2B083867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75688502" w14:textId="6157239E" w:rsidR="00205747" w:rsidRPr="00B450BC" w:rsidRDefault="001E581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4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4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E167CD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45C38367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7894F2FC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DC454E">
        <w:rPr>
          <w:szCs w:val="20"/>
        </w:rPr>
        <w:t>5</w:t>
      </w:r>
      <w:r w:rsidRPr="00C623A9">
        <w:rPr>
          <w:szCs w:val="20"/>
        </w:rPr>
        <w:t xml:space="preserve"> (</w:t>
      </w:r>
      <w:r w:rsidR="00DC454E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053AB552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384AC35C" w14:textId="4EBB4C8A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A67433">
        <w:rPr>
          <w:szCs w:val="20"/>
        </w:rPr>
        <w:t>ju</w:t>
      </w:r>
      <w:r w:rsidR="00DD28A1">
        <w:rPr>
          <w:szCs w:val="20"/>
        </w:rPr>
        <w:t>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27357F95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4A6C44D4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369960B8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520354E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A9CF99" w14:textId="77777777" w:rsidR="00A75ED6" w:rsidRPr="007248F7" w:rsidRDefault="008040BE" w:rsidP="00A75ED6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A67433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</w:t>
      </w:r>
      <w:r w:rsidR="00A75ED6" w:rsidRPr="007248F7">
        <w:rPr>
          <w:i/>
          <w:szCs w:val="20"/>
        </w:rPr>
        <w:t xml:space="preserve">Instrumento Particular de Constituição de Garantia – Alienação Fiduciária de Ações da Enauta Participações S.A. e Outras Avenças, celebrado entre Queiroz Galvão S.A., </w:t>
      </w:r>
      <w:r w:rsidR="00A75ED6">
        <w:rPr>
          <w:i/>
          <w:szCs w:val="20"/>
        </w:rPr>
        <w:t>Banco Santander (Brasil) S.A.</w:t>
      </w:r>
      <w:r w:rsidR="00A75ED6" w:rsidRPr="007248F7">
        <w:rPr>
          <w:i/>
          <w:szCs w:val="20"/>
        </w:rPr>
        <w:t>, TMF Administração e Gestão de Ativos Ltda.</w:t>
      </w:r>
      <w:r w:rsidR="00A75ED6">
        <w:rPr>
          <w:i/>
          <w:szCs w:val="20"/>
        </w:rPr>
        <w:t xml:space="preserve"> e Simplific Pavarini Distribuidora de Títulos e Valores Mobiliários Ltda.</w:t>
      </w:r>
      <w:r w:rsidR="00A75ED6" w:rsidRPr="007248F7">
        <w:rPr>
          <w:i/>
          <w:szCs w:val="20"/>
        </w:rPr>
        <w:t>)</w:t>
      </w:r>
    </w:p>
    <w:p w14:paraId="208DE764" w14:textId="77777777" w:rsidR="00A62E86" w:rsidRPr="007248F7" w:rsidRDefault="00A62E86" w:rsidP="00E71C03">
      <w:pPr>
        <w:spacing w:before="0" w:after="0" w:line="320" w:lineRule="exact"/>
        <w:contextualSpacing/>
        <w:rPr>
          <w:i/>
          <w:szCs w:val="20"/>
        </w:rPr>
      </w:pPr>
    </w:p>
    <w:p w14:paraId="7EF2B3C0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FE6D771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5E3EC49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63EC6503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EEC22A4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45EFDA24" w14:textId="77777777" w:rsidTr="00A34007">
        <w:trPr>
          <w:trHeight w:val="1202"/>
        </w:trPr>
        <w:tc>
          <w:tcPr>
            <w:tcW w:w="4888" w:type="dxa"/>
            <w:hideMark/>
          </w:tcPr>
          <w:p w14:paraId="43F9E5C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4F0512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266A49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6C59AC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5D0E29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990E00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D907052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931BA14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3BC6543" w14:textId="77777777" w:rsidR="00BA464A" w:rsidRPr="007248F7" w:rsidRDefault="00BA464A" w:rsidP="00BA464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3D858691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688509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688FB4F" w14:textId="77777777" w:rsidR="00582524" w:rsidRPr="007248F7" w:rsidRDefault="00BA464A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>BANCO SANTANDER (BRASIL) S.A.</w:t>
      </w:r>
    </w:p>
    <w:p w14:paraId="001DFDF7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9A48E60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54E065F8" w14:textId="77777777" w:rsidTr="00A34007">
        <w:trPr>
          <w:trHeight w:val="1202"/>
        </w:trPr>
        <w:tc>
          <w:tcPr>
            <w:tcW w:w="4888" w:type="dxa"/>
            <w:hideMark/>
          </w:tcPr>
          <w:p w14:paraId="58F6C1B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D7213E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C71639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5506BBA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59ABD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51223D7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99C902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652785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FB4C15F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146B3108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F44B960" w14:textId="77777777" w:rsidR="00AE138A" w:rsidRPr="007248F7" w:rsidRDefault="00BA464A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3A887DEE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153D639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284E1C7B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57A75101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8DB87A7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86D5AD5" w14:textId="77777777" w:rsidTr="00A34007">
        <w:trPr>
          <w:trHeight w:val="1202"/>
        </w:trPr>
        <w:tc>
          <w:tcPr>
            <w:tcW w:w="4888" w:type="dxa"/>
            <w:hideMark/>
          </w:tcPr>
          <w:p w14:paraId="28EFE7E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6A0B21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DDD953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8B15B6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370C801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759BE8D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940A08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F5B30D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06427619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3EB952F5" w14:textId="77777777" w:rsidR="0090539E" w:rsidRPr="007248F7" w:rsidRDefault="00582524" w:rsidP="0090539E">
      <w:pPr>
        <w:spacing w:before="0" w:after="200" w:line="276" w:lineRule="auto"/>
        <w:rPr>
          <w:i/>
          <w:szCs w:val="20"/>
        </w:rPr>
      </w:pPr>
      <w:r w:rsidRPr="007248F7">
        <w:rPr>
          <w:b/>
          <w:szCs w:val="20"/>
        </w:rPr>
        <w:br w:type="page"/>
      </w:r>
      <w:r w:rsidR="0090539E" w:rsidRPr="007248F7">
        <w:rPr>
          <w:i/>
          <w:szCs w:val="20"/>
        </w:rPr>
        <w:lastRenderedPageBreak/>
        <w:t xml:space="preserve">(Página de assinatura do </w:t>
      </w:r>
      <w:r w:rsidR="0090539E">
        <w:rPr>
          <w:i/>
          <w:szCs w:val="20"/>
        </w:rPr>
        <w:t xml:space="preserve">Terceiro </w:t>
      </w:r>
      <w:r w:rsidR="0090539E"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="0090539E">
        <w:rPr>
          <w:i/>
          <w:szCs w:val="20"/>
        </w:rPr>
        <w:t>Banco Santander (Brasil) S.A.</w:t>
      </w:r>
      <w:r w:rsidR="0090539E" w:rsidRPr="007248F7">
        <w:rPr>
          <w:i/>
          <w:szCs w:val="20"/>
        </w:rPr>
        <w:t>, TMF Administração e Gestão de Ativos Ltda.</w:t>
      </w:r>
      <w:r w:rsidR="0090539E">
        <w:rPr>
          <w:i/>
          <w:szCs w:val="20"/>
        </w:rPr>
        <w:t xml:space="preserve"> e Simplific Pavarini Distribuidora de Títulos e Valores Mobiliários Ltda.</w:t>
      </w:r>
      <w:r w:rsidR="0090539E" w:rsidRPr="007248F7">
        <w:rPr>
          <w:i/>
          <w:szCs w:val="20"/>
        </w:rPr>
        <w:t>)</w:t>
      </w:r>
    </w:p>
    <w:p w14:paraId="66B04B7B" w14:textId="77777777" w:rsidR="0090539E" w:rsidRPr="007248F7" w:rsidRDefault="0090539E" w:rsidP="0090539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44C9CA8" w14:textId="77777777" w:rsidR="0090539E" w:rsidRPr="0090539E" w:rsidRDefault="0090539E" w:rsidP="0090539E">
      <w:pPr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TÍTULOS E VALORES MOBILIÁRIOS LTDA</w:t>
      </w:r>
      <w:r>
        <w:rPr>
          <w:szCs w:val="20"/>
        </w:rPr>
        <w:t>.</w:t>
      </w:r>
    </w:p>
    <w:p w14:paraId="5A228CE1" w14:textId="77777777" w:rsidR="0090539E" w:rsidRPr="007248F7" w:rsidRDefault="0090539E" w:rsidP="0090539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A838840" w14:textId="77777777" w:rsidR="0090539E" w:rsidRPr="007248F7" w:rsidRDefault="0090539E" w:rsidP="0090539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90539E" w:rsidRPr="007248F7" w14:paraId="558428C6" w14:textId="77777777" w:rsidTr="00D32555">
        <w:trPr>
          <w:trHeight w:val="1202"/>
        </w:trPr>
        <w:tc>
          <w:tcPr>
            <w:tcW w:w="4888" w:type="dxa"/>
            <w:hideMark/>
          </w:tcPr>
          <w:p w14:paraId="230EEA66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E431B4E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F7B476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776FA3A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0E6C21F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7FB1E16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621D4F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AF49EFD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A1D1E1A" w14:textId="77777777" w:rsidR="0090539E" w:rsidRDefault="0090539E" w:rsidP="007248F7">
      <w:pPr>
        <w:spacing w:before="0" w:after="0" w:line="320" w:lineRule="exact"/>
        <w:contextualSpacing/>
        <w:jc w:val="left"/>
        <w:rPr>
          <w:b/>
          <w:szCs w:val="20"/>
        </w:rPr>
      </w:pPr>
    </w:p>
    <w:p w14:paraId="5A18B40B" w14:textId="77777777" w:rsidR="0090539E" w:rsidRDefault="0090539E">
      <w:pPr>
        <w:spacing w:before="0" w:after="200" w:line="276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00BFF9B8" w14:textId="77777777" w:rsidR="00AE138A" w:rsidRPr="007248F7" w:rsidRDefault="00BA464A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5FDBB4A6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0AAE35F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8596573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7895DE5E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880A41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005BD864" w14:textId="77777777" w:rsidTr="00A34007">
        <w:trPr>
          <w:trHeight w:val="1202"/>
        </w:trPr>
        <w:tc>
          <w:tcPr>
            <w:tcW w:w="4888" w:type="dxa"/>
            <w:hideMark/>
          </w:tcPr>
          <w:p w14:paraId="6A234457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601BCD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BB6218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453206D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2B3C9602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E539DE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8DD4BD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5CB3FF7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5E89203C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4DA68892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8D22B0D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01CA3551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456C229E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55DB0D7D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6078D819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1707199E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066E7069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4946815C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4FA147BB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7949AA2C" w14:textId="13BD0C9C" w:rsidR="00205747" w:rsidRPr="00E167CD" w:rsidRDefault="00E167CD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E167CD">
              <w:rPr>
                <w:rFonts w:ascii="Verdana" w:hAnsi="Verdana"/>
                <w:iCs/>
              </w:rPr>
              <w:t xml:space="preserve">16.271.127 (dezesseis milhões, duzentas e setenta e um mil, cento e vinte e sete) </w:t>
            </w:r>
            <w:r w:rsidRPr="00E167CD">
              <w:rPr>
                <w:rFonts w:ascii="Verdana" w:hAnsi="Verdana"/>
                <w:iCs/>
              </w:rPr>
              <w:t>ações ordinárias da Companhia</w:t>
            </w:r>
          </w:p>
        </w:tc>
        <w:tc>
          <w:tcPr>
            <w:tcW w:w="2828" w:type="dxa"/>
            <w:vAlign w:val="center"/>
          </w:tcPr>
          <w:p w14:paraId="1A1240A4" w14:textId="4D66503E" w:rsidR="004C406A" w:rsidRPr="00E167CD" w:rsidRDefault="00E167CD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E167CD">
              <w:rPr>
                <w:rFonts w:ascii="Verdana" w:hAnsi="Verdana"/>
                <w:iCs/>
              </w:rPr>
              <w:t>6,1214% (seis inteiros e mil, duzentos e quatorze décimos de milésimo por cento)</w:t>
            </w:r>
          </w:p>
        </w:tc>
      </w:tr>
    </w:tbl>
    <w:p w14:paraId="30DD7F96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3C747D2D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5BF2FF76" w14:textId="77777777" w:rsidR="00970690" w:rsidRPr="007248F7" w:rsidRDefault="00970690" w:rsidP="00970690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66112930" w14:textId="77777777" w:rsidR="001E5819" w:rsidRPr="007248F7" w:rsidRDefault="001E5819" w:rsidP="00F41F1F">
      <w:pPr>
        <w:spacing w:before="0" w:after="200" w:line="276" w:lineRule="auto"/>
        <w:jc w:val="left"/>
        <w:rPr>
          <w:szCs w:val="20"/>
        </w:rPr>
      </w:pPr>
    </w:p>
    <w:sectPr w:rsidR="001E5819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or" w:initials="A">
    <w:p w14:paraId="43531E5C" w14:textId="77777777" w:rsidR="00E167CD" w:rsidRDefault="00E167CD" w:rsidP="005A0DF7">
      <w:pPr>
        <w:pStyle w:val="Textodecomentrio"/>
        <w:jc w:val="left"/>
      </w:pPr>
      <w:r>
        <w:rPr>
          <w:rStyle w:val="Refdecomentrio"/>
        </w:rPr>
        <w:annotationRef/>
      </w:r>
      <w:r>
        <w:t>Nota MMSO: QG favor confirmar.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531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31E5C" w16cid:durableId="267084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3458" w14:textId="77777777" w:rsidR="00C657FB" w:rsidRDefault="00C657FB" w:rsidP="00C02DA8">
      <w:pPr>
        <w:spacing w:before="0" w:after="0" w:line="240" w:lineRule="auto"/>
      </w:pPr>
      <w:r>
        <w:separator/>
      </w:r>
    </w:p>
  </w:endnote>
  <w:endnote w:type="continuationSeparator" w:id="0">
    <w:p w14:paraId="4F288506" w14:textId="77777777" w:rsidR="00C657FB" w:rsidRDefault="00C657FB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6793" w14:textId="77777777" w:rsidR="001A3F24" w:rsidRDefault="001A3F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D00D" w14:textId="77777777" w:rsidR="001A3F24" w:rsidRDefault="001A3F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983" w14:textId="77777777" w:rsidR="001A3F24" w:rsidRDefault="001A3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B2BD" w14:textId="77777777" w:rsidR="00C657FB" w:rsidRDefault="00C657FB" w:rsidP="00C02DA8">
      <w:pPr>
        <w:spacing w:before="0" w:after="0" w:line="240" w:lineRule="auto"/>
      </w:pPr>
      <w:r>
        <w:separator/>
      </w:r>
    </w:p>
  </w:footnote>
  <w:footnote w:type="continuationSeparator" w:id="0">
    <w:p w14:paraId="1249517C" w14:textId="77777777" w:rsidR="00C657FB" w:rsidRDefault="00C657FB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EAB4" w14:textId="77777777" w:rsidR="001A3F24" w:rsidRDefault="001A3F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F678" w14:textId="77777777" w:rsidR="00C744BB" w:rsidRDefault="00C744BB" w:rsidP="00C744BB">
    <w:pPr>
      <w:pStyle w:val="Cabealho"/>
      <w:jc w:val="right"/>
      <w:rPr>
        <w:i/>
      </w:rPr>
    </w:pPr>
    <w:r>
      <w:rPr>
        <w:i/>
      </w:rPr>
      <w:t>Minuta para discussão</w:t>
    </w:r>
  </w:p>
  <w:p w14:paraId="13631D7B" w14:textId="5730554C" w:rsidR="00C744BB" w:rsidRDefault="001A3F24" w:rsidP="00C744BB">
    <w:pPr>
      <w:pStyle w:val="Cabealho"/>
      <w:jc w:val="right"/>
      <w:rPr>
        <w:i/>
      </w:rPr>
    </w:pPr>
    <w:r>
      <w:rPr>
        <w:i/>
      </w:rPr>
      <w:t>7</w:t>
    </w:r>
    <w:r w:rsidR="00DB24E2">
      <w:rPr>
        <w:i/>
      </w:rPr>
      <w:t xml:space="preserve"> de julho</w:t>
    </w:r>
    <w:r w:rsidR="00C744BB">
      <w:rPr>
        <w:i/>
      </w:rPr>
      <w:t xml:space="preserve"> de 2022</w:t>
    </w:r>
  </w:p>
  <w:p w14:paraId="5C6EC0E3" w14:textId="77777777" w:rsidR="00C744BB" w:rsidRDefault="00C744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E596" w14:textId="77777777" w:rsidR="001A3F24" w:rsidRDefault="001A3F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259EA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74801100">
    <w:abstractNumId w:val="11"/>
  </w:num>
  <w:num w:numId="2" w16cid:durableId="88431611">
    <w:abstractNumId w:val="11"/>
    <w:lvlOverride w:ilvl="0">
      <w:startOverride w:val="1"/>
    </w:lvlOverride>
  </w:num>
  <w:num w:numId="3" w16cid:durableId="1428767856">
    <w:abstractNumId w:val="3"/>
  </w:num>
  <w:num w:numId="4" w16cid:durableId="1337614514">
    <w:abstractNumId w:val="17"/>
  </w:num>
  <w:num w:numId="5" w16cid:durableId="1595437984">
    <w:abstractNumId w:val="16"/>
  </w:num>
  <w:num w:numId="6" w16cid:durableId="1155143038">
    <w:abstractNumId w:val="0"/>
  </w:num>
  <w:num w:numId="7" w16cid:durableId="12074022">
    <w:abstractNumId w:val="6"/>
  </w:num>
  <w:num w:numId="8" w16cid:durableId="874077019">
    <w:abstractNumId w:val="1"/>
  </w:num>
  <w:num w:numId="9" w16cid:durableId="938486653">
    <w:abstractNumId w:val="10"/>
  </w:num>
  <w:num w:numId="10" w16cid:durableId="539711638">
    <w:abstractNumId w:val="5"/>
  </w:num>
  <w:num w:numId="11" w16cid:durableId="2045783232">
    <w:abstractNumId w:val="2"/>
  </w:num>
  <w:num w:numId="12" w16cid:durableId="1569921797">
    <w:abstractNumId w:val="18"/>
  </w:num>
  <w:num w:numId="13" w16cid:durableId="1504511643">
    <w:abstractNumId w:val="14"/>
  </w:num>
  <w:num w:numId="14" w16cid:durableId="1148982278">
    <w:abstractNumId w:val="7"/>
  </w:num>
  <w:num w:numId="15" w16cid:durableId="300116863">
    <w:abstractNumId w:val="12"/>
  </w:num>
  <w:num w:numId="16" w16cid:durableId="62026001">
    <w:abstractNumId w:val="15"/>
  </w:num>
  <w:num w:numId="17" w16cid:durableId="1055618506">
    <w:abstractNumId w:val="9"/>
  </w:num>
  <w:num w:numId="18" w16cid:durableId="965281136">
    <w:abstractNumId w:val="13"/>
  </w:num>
  <w:num w:numId="19" w16cid:durableId="130681658">
    <w:abstractNumId w:val="4"/>
  </w:num>
  <w:num w:numId="20" w16cid:durableId="2084135993">
    <w:abstractNumId w:val="8"/>
  </w:num>
  <w:num w:numId="21" w16cid:durableId="459081094">
    <w:abstractNumId w:val="11"/>
  </w:num>
  <w:num w:numId="22" w16cid:durableId="122221076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528BD"/>
    <w:rsid w:val="00061DF8"/>
    <w:rsid w:val="00062BB1"/>
    <w:rsid w:val="000A464E"/>
    <w:rsid w:val="000B0702"/>
    <w:rsid w:val="000C1361"/>
    <w:rsid w:val="000D4C02"/>
    <w:rsid w:val="00106815"/>
    <w:rsid w:val="00114CCA"/>
    <w:rsid w:val="00144E6B"/>
    <w:rsid w:val="00145FA9"/>
    <w:rsid w:val="001507EB"/>
    <w:rsid w:val="0016456A"/>
    <w:rsid w:val="00172FC8"/>
    <w:rsid w:val="001A3524"/>
    <w:rsid w:val="001A3F24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25A42"/>
    <w:rsid w:val="00242285"/>
    <w:rsid w:val="00242F73"/>
    <w:rsid w:val="00267157"/>
    <w:rsid w:val="002720FE"/>
    <w:rsid w:val="002834A8"/>
    <w:rsid w:val="00291C5F"/>
    <w:rsid w:val="002B2025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9176E"/>
    <w:rsid w:val="003E7F96"/>
    <w:rsid w:val="003F316D"/>
    <w:rsid w:val="004001B5"/>
    <w:rsid w:val="00407F52"/>
    <w:rsid w:val="004137EE"/>
    <w:rsid w:val="004308A8"/>
    <w:rsid w:val="0046289F"/>
    <w:rsid w:val="00467374"/>
    <w:rsid w:val="00480949"/>
    <w:rsid w:val="00493ECA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14A40"/>
    <w:rsid w:val="00523091"/>
    <w:rsid w:val="005378BB"/>
    <w:rsid w:val="00541166"/>
    <w:rsid w:val="005606BA"/>
    <w:rsid w:val="00567058"/>
    <w:rsid w:val="00582524"/>
    <w:rsid w:val="00594446"/>
    <w:rsid w:val="005A0699"/>
    <w:rsid w:val="005C1624"/>
    <w:rsid w:val="005D1EE7"/>
    <w:rsid w:val="005D3D90"/>
    <w:rsid w:val="005E4D21"/>
    <w:rsid w:val="005E7870"/>
    <w:rsid w:val="00600A61"/>
    <w:rsid w:val="00601A16"/>
    <w:rsid w:val="00626F2E"/>
    <w:rsid w:val="00627B20"/>
    <w:rsid w:val="00657806"/>
    <w:rsid w:val="006649A4"/>
    <w:rsid w:val="00690701"/>
    <w:rsid w:val="006B0BF4"/>
    <w:rsid w:val="006B325A"/>
    <w:rsid w:val="006B47C4"/>
    <w:rsid w:val="006C08A3"/>
    <w:rsid w:val="006C6866"/>
    <w:rsid w:val="006F4121"/>
    <w:rsid w:val="006F44EA"/>
    <w:rsid w:val="00705E48"/>
    <w:rsid w:val="007237B9"/>
    <w:rsid w:val="007248F7"/>
    <w:rsid w:val="0075699B"/>
    <w:rsid w:val="00767CDA"/>
    <w:rsid w:val="0079197F"/>
    <w:rsid w:val="0079438F"/>
    <w:rsid w:val="007B3057"/>
    <w:rsid w:val="007C2ACD"/>
    <w:rsid w:val="007E24EB"/>
    <w:rsid w:val="007F01CB"/>
    <w:rsid w:val="008014D6"/>
    <w:rsid w:val="008040BE"/>
    <w:rsid w:val="00806C52"/>
    <w:rsid w:val="008107AD"/>
    <w:rsid w:val="00820793"/>
    <w:rsid w:val="00823D72"/>
    <w:rsid w:val="00841701"/>
    <w:rsid w:val="008529BE"/>
    <w:rsid w:val="00856F04"/>
    <w:rsid w:val="00890211"/>
    <w:rsid w:val="00890C95"/>
    <w:rsid w:val="0089398E"/>
    <w:rsid w:val="00896B74"/>
    <w:rsid w:val="00896CA9"/>
    <w:rsid w:val="008A15D7"/>
    <w:rsid w:val="008B6472"/>
    <w:rsid w:val="008C30F7"/>
    <w:rsid w:val="008E41BA"/>
    <w:rsid w:val="008F2AF3"/>
    <w:rsid w:val="0090539E"/>
    <w:rsid w:val="00934ACC"/>
    <w:rsid w:val="00954E48"/>
    <w:rsid w:val="00970690"/>
    <w:rsid w:val="0097740C"/>
    <w:rsid w:val="00986FB9"/>
    <w:rsid w:val="009956B5"/>
    <w:rsid w:val="009956FF"/>
    <w:rsid w:val="009A3161"/>
    <w:rsid w:val="009B0EB5"/>
    <w:rsid w:val="009B7143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D7334"/>
    <w:rsid w:val="00AE138A"/>
    <w:rsid w:val="00AE19BD"/>
    <w:rsid w:val="00AE4926"/>
    <w:rsid w:val="00AE6E54"/>
    <w:rsid w:val="00AF2EE4"/>
    <w:rsid w:val="00AF55FA"/>
    <w:rsid w:val="00B21431"/>
    <w:rsid w:val="00B27994"/>
    <w:rsid w:val="00B27AE0"/>
    <w:rsid w:val="00B301A8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306C3"/>
    <w:rsid w:val="00C362B7"/>
    <w:rsid w:val="00C41FD3"/>
    <w:rsid w:val="00C45B68"/>
    <w:rsid w:val="00C623A9"/>
    <w:rsid w:val="00C6536A"/>
    <w:rsid w:val="00C657FB"/>
    <w:rsid w:val="00C744BB"/>
    <w:rsid w:val="00C76AAC"/>
    <w:rsid w:val="00C95F2C"/>
    <w:rsid w:val="00C97F27"/>
    <w:rsid w:val="00CB4ABB"/>
    <w:rsid w:val="00CC25A6"/>
    <w:rsid w:val="00CF31F1"/>
    <w:rsid w:val="00D220EA"/>
    <w:rsid w:val="00D2262D"/>
    <w:rsid w:val="00D30BB9"/>
    <w:rsid w:val="00D468B1"/>
    <w:rsid w:val="00D71D2E"/>
    <w:rsid w:val="00D77167"/>
    <w:rsid w:val="00D85766"/>
    <w:rsid w:val="00DB24E2"/>
    <w:rsid w:val="00DB457C"/>
    <w:rsid w:val="00DC454E"/>
    <w:rsid w:val="00DD28A1"/>
    <w:rsid w:val="00DE7DB7"/>
    <w:rsid w:val="00DF7DC0"/>
    <w:rsid w:val="00E002D8"/>
    <w:rsid w:val="00E167CD"/>
    <w:rsid w:val="00E44891"/>
    <w:rsid w:val="00E52982"/>
    <w:rsid w:val="00E53A2A"/>
    <w:rsid w:val="00E55EBA"/>
    <w:rsid w:val="00E56FAA"/>
    <w:rsid w:val="00E71C03"/>
    <w:rsid w:val="00E74C31"/>
    <w:rsid w:val="00E75463"/>
    <w:rsid w:val="00E86AB6"/>
    <w:rsid w:val="00EA26DB"/>
    <w:rsid w:val="00EA427B"/>
    <w:rsid w:val="00EB6234"/>
    <w:rsid w:val="00EE5282"/>
    <w:rsid w:val="00F11B30"/>
    <w:rsid w:val="00F41F1F"/>
    <w:rsid w:val="00F44491"/>
    <w:rsid w:val="00F45691"/>
    <w:rsid w:val="00F45749"/>
    <w:rsid w:val="00F51CEB"/>
    <w:rsid w:val="00F63F17"/>
    <w:rsid w:val="00F71E7D"/>
    <w:rsid w:val="00FA575D"/>
    <w:rsid w:val="00FB1979"/>
    <w:rsid w:val="00FE130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8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9E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70690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70690"/>
    <w:pPr>
      <w:spacing w:after="0" w:line="240" w:lineRule="auto"/>
    </w:pPr>
    <w:rPr>
      <w:rFonts w:eastAsia="Times New Roman" w:cs="Times New Roman"/>
      <w:sz w:val="20"/>
      <w:szCs w:val="1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690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690"/>
    <w:rPr>
      <w:rFonts w:ascii="Segoe UI" w:eastAsia="Times New Roman" w:hAnsi="Segoe UI" w:cs="Segoe UI"/>
      <w:szCs w:val="1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67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67C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67CD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7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7CD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B480-5B03-42E9-B04C-128BCDE8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2222</Words>
  <Characters>12000</Characters>
  <Application>Microsoft Office Word</Application>
  <DocSecurity>0</DocSecurity>
  <Lines>100</Lines>
  <Paragraphs>28</Paragraphs>
  <ScaleCrop>false</ScaleCrop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2022-06-07T00:14:00Z</dcterms:created>
  <dcterms:modified xsi:type="dcterms:W3CDTF">2022-07-07T01:01:00Z</dcterms:modified>
</cp:coreProperties>
</file>