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7EC5C1F1"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03AE45E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FBD1C84" w14:textId="77777777" w:rsidR="006D214D" w:rsidRPr="008F7E2B" w:rsidRDefault="00E707B9" w:rsidP="00A36DF7">
      <w:pPr>
        <w:spacing w:after="0" w:line="300" w:lineRule="exact"/>
        <w:ind w:left="52" w:right="0" w:firstLine="0"/>
        <w:jc w:val="center"/>
        <w:rPr>
          <w:rFonts w:ascii="Verdana" w:hAnsi="Verdana"/>
          <w:sz w:val="20"/>
          <w:szCs w:val="20"/>
        </w:rPr>
      </w:pPr>
      <w:r w:rsidRPr="008F7E2B">
        <w:rPr>
          <w:rFonts w:ascii="Verdana" w:eastAsia="Times New Roman" w:hAnsi="Verdana" w:cs="Times New Roman"/>
          <w:sz w:val="20"/>
          <w:szCs w:val="20"/>
        </w:rPr>
        <w:t xml:space="preserve"> </w:t>
      </w:r>
    </w:p>
    <w:p w14:paraId="24FBCD1F" w14:textId="0BD94862" w:rsidR="006D214D" w:rsidRPr="008E527C" w:rsidRDefault="00E707B9" w:rsidP="00A36DF7">
      <w:pPr>
        <w:spacing w:after="0" w:line="300" w:lineRule="exact"/>
        <w:ind w:left="-5" w:right="0"/>
        <w:rPr>
          <w:rFonts w:ascii="Verdana" w:hAnsi="Verdana"/>
          <w:sz w:val="20"/>
          <w:szCs w:val="20"/>
        </w:rPr>
      </w:pPr>
      <w:bookmarkStart w:id="0"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r w:rsidR="00370B2A" w:rsidRPr="00117DA6">
        <w:rPr>
          <w:rFonts w:ascii="Verdana" w:hAnsi="Verdana"/>
          <w:b/>
          <w:sz w:val="20"/>
          <w:szCs w:val="20"/>
        </w:rPr>
        <w:t>DA ESPÉCIE COM GARANTIA REAL, COM GARANTIA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0"/>
      <w:r w:rsidR="00370B2A" w:rsidRPr="008E527C">
        <w:rPr>
          <w:rFonts w:ascii="Verdana" w:hAnsi="Verdana"/>
          <w:b/>
          <w:sz w:val="20"/>
          <w:szCs w:val="20"/>
        </w:rPr>
        <w:t xml:space="preserve"> EM </w:t>
      </w:r>
      <w:r w:rsidR="008B63A8">
        <w:rPr>
          <w:rFonts w:ascii="Verdana" w:hAnsi="Verdana"/>
          <w:b/>
          <w:sz w:val="20"/>
          <w:szCs w:val="20"/>
        </w:rPr>
        <w:t>21</w:t>
      </w:r>
      <w:r w:rsidR="00370B2A" w:rsidRPr="00117DA6">
        <w:rPr>
          <w:rFonts w:ascii="Verdana" w:hAnsi="Verdana"/>
          <w:b/>
          <w:sz w:val="20"/>
          <w:szCs w:val="20"/>
        </w:rPr>
        <w:t xml:space="preserve"> DE DEZEMBRO DE 2020</w:t>
      </w:r>
      <w:r w:rsidR="002406BE" w:rsidRPr="00117DA6">
        <w:rPr>
          <w:rFonts w:ascii="Verdana" w:hAnsi="Verdana"/>
          <w:b/>
          <w:sz w:val="20"/>
          <w:szCs w:val="20"/>
        </w:rPr>
        <w:t>.</w:t>
      </w:r>
      <w:r w:rsidRPr="008E527C">
        <w:rPr>
          <w:rFonts w:ascii="Verdana" w:hAnsi="Verdana"/>
          <w:b/>
          <w:sz w:val="20"/>
          <w:szCs w:val="20"/>
        </w:rPr>
        <w:t xml:space="preserve"> </w:t>
      </w:r>
    </w:p>
    <w:p w14:paraId="6AF8D794" w14:textId="00164B1A" w:rsidR="006D214D" w:rsidRPr="008E527C" w:rsidRDefault="006D214D" w:rsidP="00A36DF7">
      <w:pPr>
        <w:spacing w:after="0" w:line="300" w:lineRule="exact"/>
        <w:ind w:left="0" w:right="0" w:firstLine="0"/>
        <w:jc w:val="left"/>
        <w:rPr>
          <w:rFonts w:ascii="Verdana" w:hAnsi="Verdana"/>
          <w:sz w:val="20"/>
          <w:szCs w:val="20"/>
        </w:rPr>
      </w:pPr>
    </w:p>
    <w:p w14:paraId="6773473E" w14:textId="37226DD6"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 no dia</w:t>
      </w:r>
      <w:r w:rsidR="002406BE" w:rsidRPr="008E527C">
        <w:rPr>
          <w:rFonts w:ascii="Verdana" w:hAnsi="Verdana"/>
          <w:sz w:val="20"/>
          <w:szCs w:val="20"/>
        </w:rPr>
        <w:t xml:space="preserve"> </w:t>
      </w:r>
      <w:r w:rsidR="008B63A8">
        <w:rPr>
          <w:rFonts w:ascii="Verdana" w:hAnsi="Verdana"/>
          <w:sz w:val="20"/>
          <w:szCs w:val="20"/>
        </w:rPr>
        <w:t>21</w:t>
      </w:r>
      <w:r w:rsidR="00370B2A" w:rsidRPr="00117DA6">
        <w:rPr>
          <w:rFonts w:ascii="Verdana" w:hAnsi="Verdana"/>
          <w:sz w:val="20"/>
          <w:szCs w:val="20"/>
        </w:rPr>
        <w:t xml:space="preserve"> de dezembro de 2020</w:t>
      </w:r>
      <w:r w:rsidRPr="00117DA6">
        <w:rPr>
          <w:rFonts w:ascii="Verdana" w:hAnsi="Verdana"/>
          <w:sz w:val="20"/>
          <w:szCs w:val="20"/>
        </w:rPr>
        <w:t xml:space="preserve">, às </w:t>
      </w:r>
      <w:r w:rsidR="000A4D95">
        <w:rPr>
          <w:rFonts w:ascii="Verdana" w:hAnsi="Verdana"/>
          <w:sz w:val="20"/>
          <w:szCs w:val="20"/>
        </w:rPr>
        <w:t xml:space="preserve">9 </w:t>
      </w:r>
      <w:r w:rsidR="004709D4">
        <w:rPr>
          <w:rFonts w:ascii="Verdana" w:hAnsi="Verdana"/>
          <w:sz w:val="20"/>
          <w:szCs w:val="20"/>
        </w:rPr>
        <w:t>horas</w:t>
      </w:r>
      <w:r w:rsidR="00E307E7" w:rsidRPr="00117DA6">
        <w:rPr>
          <w:rFonts w:ascii="Verdana" w:hAnsi="Verdana"/>
          <w:sz w:val="20"/>
          <w:szCs w:val="20"/>
        </w:rPr>
        <w:t xml:space="preserve">. </w:t>
      </w:r>
    </w:p>
    <w:p w14:paraId="4C8106BD"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0CEC6C1C" w14:textId="31BAB528"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64FC33C7"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A5B4FAE" w14:textId="078C92F1"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w:t>
      </w:r>
      <w:proofErr w:type="spellStart"/>
      <w:r w:rsidRPr="008E527C">
        <w:rPr>
          <w:rFonts w:ascii="Verdana" w:hAnsi="Verdana"/>
          <w:b/>
          <w:sz w:val="20"/>
          <w:szCs w:val="20"/>
        </w:rPr>
        <w:t>ii</w:t>
      </w:r>
      <w:proofErr w:type="spellEnd"/>
      <w:r w:rsidRPr="008E527C">
        <w:rPr>
          <w:rFonts w:ascii="Verdana" w:hAnsi="Verdana"/>
          <w:b/>
          <w:sz w:val="20"/>
          <w:szCs w:val="20"/>
        </w:rPr>
        <w:t>)</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iii</w:t>
      </w:r>
      <w:proofErr w:type="spellEnd"/>
      <w:r w:rsidR="00090300" w:rsidRPr="008E527C">
        <w:rPr>
          <w:rFonts w:ascii="Verdana" w:hAnsi="Verdana"/>
          <w:b/>
          <w:bCs/>
          <w:sz w:val="20"/>
          <w:szCs w:val="20"/>
        </w:rPr>
        <w:t xml:space="preserve">) </w:t>
      </w:r>
      <w:r w:rsidR="00090300" w:rsidRPr="008E527C">
        <w:rPr>
          <w:rFonts w:ascii="Verdana" w:hAnsi="Verdana"/>
          <w:sz w:val="20"/>
          <w:szCs w:val="20"/>
        </w:rPr>
        <w:t xml:space="preserve">do </w:t>
      </w:r>
      <w:proofErr w:type="spellStart"/>
      <w:r w:rsidR="009E1A84" w:rsidRPr="008E527C">
        <w:rPr>
          <w:rFonts w:ascii="Verdana" w:hAnsi="Verdana"/>
          <w:sz w:val="20"/>
          <w:szCs w:val="20"/>
        </w:rPr>
        <w:t>Credit</w:t>
      </w:r>
      <w:proofErr w:type="spellEnd"/>
      <w:r w:rsidR="009E1A84" w:rsidRPr="008E527C">
        <w:rPr>
          <w:rFonts w:ascii="Verdana" w:hAnsi="Verdana"/>
          <w:sz w:val="20"/>
          <w:szCs w:val="20"/>
        </w:rPr>
        <w:t xml:space="preserve"> </w:t>
      </w:r>
      <w:proofErr w:type="spellStart"/>
      <w:r w:rsidR="009E1A84" w:rsidRPr="008E527C">
        <w:rPr>
          <w:rFonts w:ascii="Verdana" w:hAnsi="Verdana"/>
          <w:sz w:val="20"/>
          <w:szCs w:val="20"/>
        </w:rPr>
        <w:t>Suisse</w:t>
      </w:r>
      <w:proofErr w:type="spellEnd"/>
      <w:r w:rsidR="009E1A84" w:rsidRPr="008E527C">
        <w:rPr>
          <w:rFonts w:ascii="Verdana" w:hAnsi="Verdana"/>
          <w:sz w:val="20"/>
          <w:szCs w:val="20"/>
        </w:rPr>
        <w:t xml:space="preserve"> Próprio Fundo de Investimento Multimercado Crédito Privado Investimento no Exterior</w:t>
      </w:r>
      <w:r w:rsidR="00090300" w:rsidRPr="008E527C">
        <w:rPr>
          <w:rFonts w:ascii="Verdana" w:hAnsi="Verdana"/>
          <w:sz w:val="20"/>
          <w:szCs w:val="20"/>
        </w:rPr>
        <w:t xml:space="preserve"> (“</w:t>
      </w:r>
      <w:proofErr w:type="spellStart"/>
      <w:r w:rsidR="00090300" w:rsidRPr="008E527C">
        <w:rPr>
          <w:rFonts w:ascii="Verdana" w:hAnsi="Verdana"/>
          <w:sz w:val="20"/>
          <w:szCs w:val="20"/>
          <w:u w:val="single"/>
        </w:rPr>
        <w:t>Credit</w:t>
      </w:r>
      <w:proofErr w:type="spellEnd"/>
      <w:r w:rsidR="00090300" w:rsidRPr="008E527C">
        <w:rPr>
          <w:rFonts w:ascii="Verdana" w:hAnsi="Verdana"/>
          <w:sz w:val="20"/>
          <w:szCs w:val="20"/>
          <w:u w:val="single"/>
        </w:rPr>
        <w:t xml:space="preserve"> </w:t>
      </w:r>
      <w:proofErr w:type="spellStart"/>
      <w:r w:rsidR="00090300" w:rsidRPr="008E527C">
        <w:rPr>
          <w:rFonts w:ascii="Verdana" w:hAnsi="Verdana"/>
          <w:sz w:val="20"/>
          <w:szCs w:val="20"/>
          <w:u w:val="single"/>
        </w:rPr>
        <w:t>Suisse</w:t>
      </w:r>
      <w:proofErr w:type="spellEnd"/>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iv</w:t>
      </w:r>
      <w:proofErr w:type="spellEnd"/>
      <w:r w:rsidR="00090300" w:rsidRPr="008E527C">
        <w:rPr>
          <w:rFonts w:ascii="Verdana" w:hAnsi="Verdana"/>
          <w:b/>
          <w:bCs/>
          <w:sz w:val="20"/>
          <w:szCs w:val="20"/>
        </w:rPr>
        <w:t>)</w:t>
      </w:r>
      <w:r w:rsidR="00090300" w:rsidRPr="008E527C">
        <w:rPr>
          <w:rFonts w:ascii="Verdana" w:hAnsi="Verdana"/>
          <w:sz w:val="20"/>
          <w:szCs w:val="20"/>
        </w:rPr>
        <w:t xml:space="preserve"> </w:t>
      </w:r>
      <w:r w:rsidRPr="008E527C">
        <w:rPr>
          <w:rFonts w:ascii="Verdana" w:hAnsi="Verdana"/>
          <w:sz w:val="20"/>
          <w:szCs w:val="20"/>
        </w:rPr>
        <w:t xml:space="preserve">da </w:t>
      </w:r>
      <w:proofErr w:type="spellStart"/>
      <w:r w:rsidR="00687D94" w:rsidRPr="008E527C">
        <w:rPr>
          <w:rFonts w:ascii="Verdana" w:hAnsi="Verdana"/>
          <w:sz w:val="20"/>
          <w:szCs w:val="20"/>
        </w:rPr>
        <w:t>Simplific</w:t>
      </w:r>
      <w:proofErr w:type="spellEnd"/>
      <w:r w:rsidR="00687D94" w:rsidRPr="008E527C">
        <w:rPr>
          <w:rFonts w:ascii="Verdana" w:hAnsi="Verdana"/>
          <w:sz w:val="20"/>
          <w:szCs w:val="20"/>
        </w:rPr>
        <w:t xml:space="preserve"> </w:t>
      </w:r>
      <w:proofErr w:type="spellStart"/>
      <w:r w:rsidR="00687D94" w:rsidRPr="008E527C">
        <w:rPr>
          <w:rFonts w:ascii="Verdana" w:hAnsi="Verdana"/>
          <w:sz w:val="20"/>
          <w:szCs w:val="20"/>
        </w:rPr>
        <w:t>Pavarini</w:t>
      </w:r>
      <w:proofErr w:type="spellEnd"/>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xml:space="preserve">”), da CQG </w:t>
      </w:r>
      <w:proofErr w:type="spellStart"/>
      <w:r w:rsidR="00CB07BE" w:rsidRPr="008E527C">
        <w:rPr>
          <w:rFonts w:ascii="Verdana" w:hAnsi="Verdana"/>
          <w:sz w:val="20"/>
          <w:szCs w:val="20"/>
        </w:rPr>
        <w:t>Oil&amp;Gas</w:t>
      </w:r>
      <w:proofErr w:type="spellEnd"/>
      <w:r w:rsidR="00CB07BE" w:rsidRPr="008E527C">
        <w:rPr>
          <w:rFonts w:ascii="Verdana" w:hAnsi="Verdana"/>
          <w:sz w:val="20"/>
          <w:szCs w:val="20"/>
        </w:rPr>
        <w:t xml:space="preserve"> </w:t>
      </w:r>
      <w:proofErr w:type="spellStart"/>
      <w:r w:rsidR="00CB07BE" w:rsidRPr="008E527C">
        <w:rPr>
          <w:rFonts w:ascii="Verdana" w:hAnsi="Verdana"/>
          <w:sz w:val="20"/>
          <w:szCs w:val="20"/>
        </w:rPr>
        <w:t>Contractors</w:t>
      </w:r>
      <w:proofErr w:type="spellEnd"/>
      <w:r w:rsidR="00CB07BE" w:rsidRPr="008E527C">
        <w:rPr>
          <w:rFonts w:ascii="Verdana" w:hAnsi="Verdana"/>
          <w:sz w:val="20"/>
          <w:szCs w:val="20"/>
        </w:rPr>
        <w:t xml:space="preserve"> Inc. (“</w:t>
      </w:r>
      <w:r w:rsidR="00CB07BE" w:rsidRPr="008E527C">
        <w:rPr>
          <w:rFonts w:ascii="Verdana" w:hAnsi="Verdana"/>
          <w:sz w:val="20"/>
          <w:szCs w:val="20"/>
          <w:u w:val="single"/>
        </w:rPr>
        <w:t xml:space="preserve">CQG </w:t>
      </w:r>
      <w:proofErr w:type="spellStart"/>
      <w:r w:rsidR="00CB07BE" w:rsidRPr="008E527C">
        <w:rPr>
          <w:rFonts w:ascii="Verdana" w:hAnsi="Verdana"/>
          <w:sz w:val="20"/>
          <w:szCs w:val="20"/>
          <w:u w:val="single"/>
        </w:rPr>
        <w:t>Oil&amp;Gas</w:t>
      </w:r>
      <w:proofErr w:type="spellEnd"/>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Queiroz Galvão Desenvolvimento de Negócios S.A. (“</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 xml:space="preserve">da Queiroz Galvão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w:t>
      </w:r>
      <w:proofErr w:type="spellStart"/>
      <w:r w:rsidR="002E4A67" w:rsidRPr="008E527C">
        <w:rPr>
          <w:rFonts w:ascii="Verdana" w:hAnsi="Verdana"/>
          <w:sz w:val="20"/>
          <w:szCs w:val="20"/>
        </w:rPr>
        <w:t>Ltd</w:t>
      </w:r>
      <w:proofErr w:type="spellEnd"/>
      <w:r w:rsidR="002E4A67" w:rsidRPr="008E527C">
        <w:rPr>
          <w:rFonts w:ascii="Verdana" w:hAnsi="Verdana"/>
          <w:sz w:val="20"/>
          <w:szCs w:val="20"/>
        </w:rPr>
        <w:t>. (“</w:t>
      </w:r>
      <w:r w:rsidR="002E4A67" w:rsidRPr="008E527C">
        <w:rPr>
          <w:rFonts w:ascii="Verdana" w:hAnsi="Verdana"/>
          <w:sz w:val="20"/>
          <w:szCs w:val="20"/>
          <w:u w:val="single"/>
        </w:rPr>
        <w:t xml:space="preserve">QG </w:t>
      </w:r>
      <w:proofErr w:type="spellStart"/>
      <w:r w:rsidR="002E4A67" w:rsidRPr="008E527C">
        <w:rPr>
          <w:rFonts w:ascii="Verdana" w:hAnsi="Verdana"/>
          <w:sz w:val="20"/>
          <w:szCs w:val="20"/>
          <w:u w:val="single"/>
        </w:rPr>
        <w:t>International</w:t>
      </w:r>
      <w:proofErr w:type="spellEnd"/>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e da Timbaúba (“</w:t>
      </w:r>
      <w:r w:rsidR="002E4A67" w:rsidRPr="008E527C">
        <w:rPr>
          <w:rFonts w:ascii="Verdana" w:hAnsi="Verdana"/>
          <w:sz w:val="20"/>
          <w:szCs w:val="20"/>
          <w:u w:val="single"/>
        </w:rPr>
        <w:t>QG Alimentos</w:t>
      </w:r>
      <w:r w:rsidR="002E4A67" w:rsidRPr="008E527C">
        <w:rPr>
          <w:rFonts w:ascii="Verdana" w:hAnsi="Verdana"/>
          <w:sz w:val="20"/>
          <w:szCs w:val="20"/>
        </w:rPr>
        <w:t xml:space="preserve">” e, quando em conjunto com Pindaré, CQG, CQG – Angola, CQG – Chile, CQG </w:t>
      </w:r>
      <w:proofErr w:type="spellStart"/>
      <w:r w:rsidR="002E4A67" w:rsidRPr="008E527C">
        <w:rPr>
          <w:rFonts w:ascii="Verdana" w:hAnsi="Verdana"/>
          <w:sz w:val="20"/>
          <w:szCs w:val="20"/>
        </w:rPr>
        <w:t>Oil&amp;Gas</w:t>
      </w:r>
      <w:proofErr w:type="spellEnd"/>
      <w:r w:rsidR="002E4A67" w:rsidRPr="008E527C">
        <w:rPr>
          <w:rFonts w:ascii="Verdana" w:hAnsi="Verdana"/>
          <w:sz w:val="20"/>
          <w:szCs w:val="20"/>
        </w:rPr>
        <w:t xml:space="preserve">, COSIMA, QGDN, QG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w:t>
      </w:r>
      <w:r w:rsidR="002E4A67" w:rsidRPr="008E527C">
        <w:rPr>
          <w:rFonts w:ascii="Verdana" w:hAnsi="Verdana"/>
          <w:sz w:val="20"/>
          <w:szCs w:val="20"/>
        </w:rPr>
        <w:lastRenderedPageBreak/>
        <w:t xml:space="preserve">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w:t>
      </w:r>
      <w:proofErr w:type="spellStart"/>
      <w:r w:rsidR="0096064B" w:rsidRPr="008E527C">
        <w:rPr>
          <w:rFonts w:ascii="Verdana" w:hAnsi="Verdana"/>
          <w:b/>
          <w:sz w:val="20"/>
          <w:szCs w:val="20"/>
        </w:rPr>
        <w:t>vii</w:t>
      </w:r>
      <w:proofErr w:type="spellEnd"/>
      <w:r w:rsidR="0096064B" w:rsidRPr="008E527C">
        <w:rPr>
          <w:rFonts w:ascii="Verdana" w:hAnsi="Verdana"/>
          <w:b/>
          <w:sz w:val="20"/>
          <w:szCs w:val="20"/>
        </w:rPr>
        <w:t>)</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w:t>
      </w:r>
      <w:proofErr w:type="spellStart"/>
      <w:r w:rsidR="0096064B" w:rsidRPr="008E527C">
        <w:rPr>
          <w:rFonts w:ascii="Verdana" w:hAnsi="Verdana"/>
          <w:b/>
          <w:sz w:val="20"/>
          <w:szCs w:val="20"/>
        </w:rPr>
        <w:t>viii</w:t>
      </w:r>
      <w:proofErr w:type="spellEnd"/>
      <w:r w:rsidR="0096064B" w:rsidRPr="008E527C">
        <w:rPr>
          <w:rFonts w:ascii="Verdana" w:hAnsi="Verdana"/>
          <w:b/>
          <w:sz w:val="20"/>
          <w:szCs w:val="20"/>
        </w:rPr>
        <w:t>)</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5C0C9FC0" w14:textId="77777777" w:rsidR="006D214D" w:rsidRPr="008E527C" w:rsidRDefault="006D214D" w:rsidP="00A36DF7">
      <w:pPr>
        <w:spacing w:after="0" w:line="300" w:lineRule="exact"/>
        <w:ind w:left="0" w:right="0" w:firstLine="0"/>
        <w:jc w:val="left"/>
        <w:rPr>
          <w:rFonts w:ascii="Verdana" w:hAnsi="Verdana"/>
          <w:sz w:val="20"/>
          <w:szCs w:val="20"/>
        </w:rPr>
      </w:pPr>
    </w:p>
    <w:p w14:paraId="6B5964E9" w14:textId="2C8B7750"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r w:rsidR="008E65CC" w:rsidRPr="008E65CC">
        <w:rPr>
          <w:rFonts w:ascii="Verdana" w:hAnsi="Verdana"/>
          <w:sz w:val="20"/>
          <w:szCs w:val="20"/>
        </w:rPr>
        <w:t>Sidney Lee Saikovitch de Almeida</w:t>
      </w:r>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r w:rsidR="008E65CC">
        <w:rPr>
          <w:rFonts w:ascii="Verdana" w:hAnsi="Verdana"/>
          <w:sz w:val="20"/>
          <w:szCs w:val="20"/>
        </w:rPr>
        <w:t>Thiago Regueira</w:t>
      </w:r>
      <w:r w:rsidR="00E307E7" w:rsidRPr="00117DA6">
        <w:rPr>
          <w:rFonts w:ascii="Verdana" w:hAnsi="Verdana"/>
          <w:sz w:val="20"/>
          <w:szCs w:val="20"/>
        </w:rPr>
        <w:t xml:space="preserve">. </w:t>
      </w:r>
    </w:p>
    <w:p w14:paraId="5F812884" w14:textId="02CB68C2" w:rsidR="006D214D" w:rsidRPr="008E527C" w:rsidRDefault="006D214D" w:rsidP="00A36DF7">
      <w:pPr>
        <w:spacing w:after="0" w:line="300" w:lineRule="exact"/>
        <w:ind w:left="0" w:right="0" w:firstLine="0"/>
        <w:jc w:val="left"/>
        <w:rPr>
          <w:rFonts w:ascii="Verdana" w:hAnsi="Verdana"/>
          <w:sz w:val="20"/>
          <w:szCs w:val="20"/>
        </w:rPr>
      </w:pPr>
    </w:p>
    <w:p w14:paraId="7CDDB501" w14:textId="74C4545F" w:rsidR="00E448D4" w:rsidRPr="00810413" w:rsidRDefault="00E707B9" w:rsidP="00A36DF7">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 xml:space="preserve">examinar, discutir e deliberar sobre a autorização para a celebração, pelo Agente Fiduciário e pela Emissora, do </w:t>
      </w:r>
      <w:r w:rsidR="008B63A8">
        <w:rPr>
          <w:rFonts w:ascii="Verdana" w:hAnsi="Verdana"/>
          <w:sz w:val="20"/>
          <w:szCs w:val="20"/>
        </w:rPr>
        <w:t>t</w:t>
      </w:r>
      <w:r w:rsidR="00D96D42">
        <w:rPr>
          <w:rFonts w:ascii="Verdana" w:hAnsi="Verdana"/>
          <w:sz w:val="20"/>
          <w:szCs w:val="20"/>
        </w:rPr>
        <w:t>erceiro</w:t>
      </w:r>
      <w:r w:rsidR="00D96D42" w:rsidRPr="00745C74">
        <w:rPr>
          <w:rFonts w:ascii="Verdana" w:hAnsi="Verdana"/>
          <w:sz w:val="20"/>
          <w:szCs w:val="20"/>
        </w:rPr>
        <w:t xml:space="preserve"> aditamento à Escritura de Emissão (“</w:t>
      </w:r>
      <w:r w:rsidR="00D96D42" w:rsidRPr="008B63A8">
        <w:rPr>
          <w:rFonts w:ascii="Verdana" w:hAnsi="Verdana"/>
          <w:sz w:val="20"/>
          <w:szCs w:val="20"/>
          <w:u w:val="single"/>
        </w:rPr>
        <w:t>Terceiro Aditamento</w:t>
      </w:r>
      <w:r w:rsidR="00D96D42" w:rsidRPr="00745C74">
        <w:rPr>
          <w:rFonts w:ascii="Verdana" w:hAnsi="Verdana"/>
          <w:sz w:val="20"/>
          <w:szCs w:val="20"/>
        </w:rPr>
        <w:t xml:space="preserve">”), para: (i) aprovar a celebração de novos endividamentos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xml:space="preserve">, exclusivamente para aquisição de máquinas e equipamentos para utilização em obras a serem desenvolvidas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no valor total de até R$ </w:t>
      </w:r>
      <w:del w:id="1" w:author="Emily Correia | Machado Meyer Advogados" w:date="2020-12-29T13:26:00Z">
        <w:r w:rsidR="00D96D42" w:rsidRPr="00745C74">
          <w:rPr>
            <w:rFonts w:ascii="Verdana" w:hAnsi="Verdana"/>
            <w:sz w:val="20"/>
            <w:szCs w:val="20"/>
          </w:rPr>
          <w:delText>40</w:delText>
        </w:r>
      </w:del>
      <w:ins w:id="2" w:author="Emily Correia | Machado Meyer Advogados" w:date="2020-12-29T13:26:00Z">
        <w:r w:rsidR="00A416FE">
          <w:rPr>
            <w:rFonts w:ascii="Verdana" w:hAnsi="Verdana"/>
            <w:sz w:val="20"/>
            <w:szCs w:val="20"/>
          </w:rPr>
          <w:t>2</w:t>
        </w:r>
        <w:r w:rsidR="00D96D42" w:rsidRPr="00745C74">
          <w:rPr>
            <w:rFonts w:ascii="Verdana" w:hAnsi="Verdana"/>
            <w:sz w:val="20"/>
            <w:szCs w:val="20"/>
          </w:rPr>
          <w:t>0</w:t>
        </w:r>
      </w:ins>
      <w:r w:rsidR="00D96D42" w:rsidRPr="00745C74">
        <w:rPr>
          <w:rFonts w:ascii="Verdana" w:hAnsi="Verdana"/>
          <w:sz w:val="20"/>
          <w:szCs w:val="20"/>
        </w:rPr>
        <w:t>.000.000,00 (</w:t>
      </w:r>
      <w:del w:id="3" w:author="Emily Correia | Machado Meyer Advogados" w:date="2020-12-29T13:26:00Z">
        <w:r w:rsidR="00D96D42" w:rsidRPr="00745C74">
          <w:rPr>
            <w:rFonts w:ascii="Verdana" w:hAnsi="Verdana"/>
            <w:sz w:val="20"/>
            <w:szCs w:val="20"/>
          </w:rPr>
          <w:delText>quarenta</w:delText>
        </w:r>
      </w:del>
      <w:ins w:id="4" w:author="Emily Correia | Machado Meyer Advogados" w:date="2020-12-29T13:26:00Z">
        <w:r w:rsidR="00A416FE">
          <w:rPr>
            <w:rFonts w:ascii="Verdana" w:hAnsi="Verdana"/>
            <w:sz w:val="20"/>
            <w:szCs w:val="20"/>
          </w:rPr>
          <w:t>vinte</w:t>
        </w:r>
      </w:ins>
      <w:r w:rsidR="00A416FE" w:rsidRPr="00745C74">
        <w:rPr>
          <w:rFonts w:ascii="Verdana" w:hAnsi="Verdana"/>
          <w:sz w:val="20"/>
          <w:szCs w:val="20"/>
        </w:rPr>
        <w:t xml:space="preserve"> </w:t>
      </w:r>
      <w:r w:rsidR="00D96D42" w:rsidRPr="00745C74">
        <w:rPr>
          <w:rFonts w:ascii="Verdana" w:hAnsi="Verdana"/>
          <w:sz w:val="20"/>
          <w:szCs w:val="20"/>
        </w:rPr>
        <w:t>milhões de reais), de maneira agregada, em cada ano; (</w:t>
      </w:r>
      <w:proofErr w:type="spellStart"/>
      <w:r w:rsidR="00D96D42" w:rsidRPr="00745C74">
        <w:rPr>
          <w:rFonts w:ascii="Verdana" w:hAnsi="Verdana"/>
          <w:sz w:val="20"/>
          <w:szCs w:val="20"/>
        </w:rPr>
        <w:t>ii</w:t>
      </w:r>
      <w:proofErr w:type="spellEnd"/>
      <w:r w:rsidR="00D96D42" w:rsidRPr="00745C74">
        <w:rPr>
          <w:rFonts w:ascii="Verdana" w:hAnsi="Verdana"/>
          <w:sz w:val="20"/>
          <w:szCs w:val="20"/>
        </w:rPr>
        <w:t>) aprovar a substituição do Auditor Independente; (</w:t>
      </w:r>
      <w:proofErr w:type="spellStart"/>
      <w:r w:rsidR="00D96D42" w:rsidRPr="00745C74">
        <w:rPr>
          <w:rFonts w:ascii="Verdana" w:hAnsi="Verdana"/>
          <w:sz w:val="20"/>
          <w:szCs w:val="20"/>
        </w:rPr>
        <w:t>iii</w:t>
      </w:r>
      <w:proofErr w:type="spellEnd"/>
      <w:r w:rsidR="00D96D42" w:rsidRPr="00745C74">
        <w:rPr>
          <w:rFonts w:ascii="Verdana" w:hAnsi="Verdana"/>
          <w:sz w:val="20"/>
          <w:szCs w:val="20"/>
        </w:rPr>
        <w:t>) alterar a definição de “Evento de Liquidez” prevista no Anexo I – Glossário da Escritura de Emissão; (</w:t>
      </w:r>
      <w:proofErr w:type="spellStart"/>
      <w:r w:rsidR="00D96D42" w:rsidRPr="00745C74">
        <w:rPr>
          <w:rFonts w:ascii="Verdana" w:hAnsi="Verdana"/>
          <w:sz w:val="20"/>
          <w:szCs w:val="20"/>
        </w:rPr>
        <w:t>iv</w:t>
      </w:r>
      <w:proofErr w:type="spellEnd"/>
      <w:r w:rsidR="00D96D42" w:rsidRPr="00745C74">
        <w:rPr>
          <w:rFonts w:ascii="Verdana" w:hAnsi="Verdana"/>
          <w:sz w:val="20"/>
          <w:szCs w:val="20"/>
        </w:rPr>
        <w:t>) aprovar a alteração da periodicidade de pagamentos da Remuneração; (v) aprovar a alteração do cronograma de amortização do Valor Nominal Unitário; (vi) aprovar a alteração de cláusulas relativas ao pagamento da Terceira Tranche de Carcará; e (</w:t>
      </w:r>
      <w:proofErr w:type="spellStart"/>
      <w:r w:rsidR="00D96D42" w:rsidRPr="00745C74">
        <w:rPr>
          <w:rFonts w:ascii="Verdana" w:hAnsi="Verdana"/>
          <w:sz w:val="20"/>
          <w:szCs w:val="20"/>
        </w:rPr>
        <w:t>vii</w:t>
      </w:r>
      <w:proofErr w:type="spellEnd"/>
      <w:r w:rsidR="00D96D42" w:rsidRPr="00745C74">
        <w:rPr>
          <w:rFonts w:ascii="Verdana" w:hAnsi="Verdana"/>
          <w:sz w:val="20"/>
          <w:szCs w:val="20"/>
        </w:rPr>
        <w:t xml:space="preserve">) autorizar a celebração </w:t>
      </w:r>
      <w:r w:rsidR="00CB2ECD">
        <w:rPr>
          <w:rFonts w:ascii="Verdana" w:hAnsi="Verdana"/>
          <w:sz w:val="20"/>
          <w:szCs w:val="20"/>
        </w:rPr>
        <w:t xml:space="preserve">do </w:t>
      </w:r>
      <w:r w:rsidR="00D96D42">
        <w:rPr>
          <w:rFonts w:ascii="Verdana" w:hAnsi="Verdana"/>
          <w:sz w:val="20"/>
          <w:szCs w:val="20"/>
        </w:rPr>
        <w:t>Terceiro</w:t>
      </w:r>
      <w:r w:rsidR="00D96D42" w:rsidRPr="00745C74">
        <w:rPr>
          <w:rFonts w:ascii="Verdana" w:hAnsi="Verdana"/>
          <w:sz w:val="20"/>
          <w:szCs w:val="20"/>
        </w:rPr>
        <w:t xml:space="preserve"> Aditamento, pelo Agente Fiduciário, pela Emissora e pelas Fiadoras, de modo a incluir ou alterar certas definições e Cláusulas da Escritura de Emissão, conforme abaixo:</w:t>
      </w:r>
    </w:p>
    <w:p w14:paraId="26AEB283" w14:textId="464C8623" w:rsidR="00E448D4" w:rsidRPr="00CB2ECD" w:rsidRDefault="00E448D4" w:rsidP="00A36DF7">
      <w:pPr>
        <w:pStyle w:val="PargrafodaLista"/>
        <w:spacing w:after="0" w:line="300" w:lineRule="exact"/>
        <w:ind w:left="0" w:right="0" w:firstLine="0"/>
        <w:rPr>
          <w:rFonts w:ascii="Verdana" w:hAnsi="Verdana"/>
          <w:sz w:val="20"/>
          <w:szCs w:val="20"/>
        </w:rPr>
      </w:pPr>
    </w:p>
    <w:p w14:paraId="0D88ED87" w14:textId="2AE5AFB5" w:rsidR="00CB2ECD" w:rsidRPr="00745C74" w:rsidRDefault="00CB2ECD" w:rsidP="00CB2ECD">
      <w:pPr>
        <w:ind w:left="-5" w:right="0"/>
        <w:rPr>
          <w:rFonts w:ascii="Verdana" w:hAnsi="Verdana"/>
          <w:sz w:val="20"/>
          <w:szCs w:val="20"/>
        </w:rPr>
      </w:pPr>
      <w:r w:rsidRPr="00745C74">
        <w:rPr>
          <w:rFonts w:ascii="Verdana" w:hAnsi="Verdana"/>
          <w:b/>
          <w:bCs/>
          <w:sz w:val="20"/>
          <w:szCs w:val="20"/>
        </w:rPr>
        <w:t>(i)</w:t>
      </w:r>
      <w:r w:rsidRPr="00745C74">
        <w:rPr>
          <w:rFonts w:ascii="Verdana" w:hAnsi="Verdana"/>
          <w:sz w:val="20"/>
          <w:szCs w:val="20"/>
        </w:rPr>
        <w:tab/>
        <w:t xml:space="preserve">As Cláusulas </w:t>
      </w:r>
      <w:del w:id="5" w:author="Emily Correia | Machado Meyer Advogados" w:date="2020-12-29T13:26:00Z">
        <w:r w:rsidR="008B63A8" w:rsidRPr="008B63A8">
          <w:rPr>
            <w:rFonts w:ascii="Verdana" w:hAnsi="Verdana"/>
            <w:sz w:val="20"/>
            <w:szCs w:val="20"/>
          </w:rPr>
          <w:delText>.</w:delText>
        </w:r>
      </w:del>
      <w:r w:rsidR="008B63A8" w:rsidRPr="008B63A8">
        <w:rPr>
          <w:rFonts w:ascii="Verdana" w:hAnsi="Verdana"/>
          <w:sz w:val="20"/>
          <w:szCs w:val="20"/>
        </w:rPr>
        <w:t xml:space="preserve">3.1, 4.3.3, 4.4.1, 4.5.1, 6.1.6, 6.2.10, 6.2.12 </w:t>
      </w:r>
      <w:r w:rsidRPr="00745C74">
        <w:rPr>
          <w:rFonts w:ascii="Verdana" w:hAnsi="Verdana"/>
          <w:sz w:val="20"/>
          <w:szCs w:val="20"/>
        </w:rPr>
        <w:t>e 7.1(m) da Escritura de Emissão passarão a ter a seguinte redação:</w:t>
      </w:r>
    </w:p>
    <w:p w14:paraId="38E854E2" w14:textId="48927B82" w:rsidR="008B63A8" w:rsidRP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4.3.1</w:t>
      </w:r>
      <w:r w:rsidRPr="008B63A8">
        <w:rPr>
          <w:rFonts w:ascii="Verdana" w:hAnsi="Verdana"/>
          <w:i/>
          <w:iCs/>
          <w:sz w:val="20"/>
          <w:szCs w:val="20"/>
        </w:rPr>
        <w:tab/>
        <w:t xml:space="preserve">As Debêntures renderão os Juros Remuneratórios, que serão correspondentes aos percentuais, abaixo indicados, da variação acumulada da Taxa DI. Conforme o Cronograma de Pagamentos de Remuneração constante da tabela prevista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w:t>
      </w:r>
      <w:r w:rsidR="00222E31" w:rsidRPr="008B63A8">
        <w:rPr>
          <w:rFonts w:ascii="Verdana" w:hAnsi="Verdana"/>
          <w:i/>
          <w:iCs/>
          <w:sz w:val="20"/>
          <w:szCs w:val="20"/>
        </w:rPr>
        <w:t>(</w:t>
      </w:r>
      <w:r w:rsidR="000D2B35">
        <w:rPr>
          <w:rFonts w:ascii="Verdana" w:hAnsi="Verdana"/>
          <w:i/>
          <w:iCs/>
          <w:sz w:val="20"/>
          <w:szCs w:val="20"/>
        </w:rPr>
        <w:t>contados da desde a primeira Data de Integralização</w:t>
      </w:r>
      <w:r w:rsidR="00222E31">
        <w:rPr>
          <w:rFonts w:ascii="Verdana" w:hAnsi="Verdana"/>
          <w:i/>
          <w:iCs/>
          <w:sz w:val="20"/>
          <w:szCs w:val="20"/>
        </w:rPr>
        <w:t xml:space="preserve"> </w:t>
      </w:r>
      <w:r w:rsidR="00222E31" w:rsidRPr="008B63A8">
        <w:rPr>
          <w:rFonts w:ascii="Verdana" w:hAnsi="Verdana"/>
          <w:i/>
          <w:iCs/>
          <w:sz w:val="20"/>
          <w:szCs w:val="20"/>
        </w:rPr>
        <w:t xml:space="preserve">a </w:t>
      </w:r>
      <w:r w:rsidR="00222E31">
        <w:rPr>
          <w:rFonts w:ascii="Verdana" w:hAnsi="Verdana"/>
          <w:i/>
          <w:iCs/>
          <w:sz w:val="20"/>
          <w:szCs w:val="20"/>
        </w:rPr>
        <w:t>03</w:t>
      </w:r>
      <w:r w:rsidR="00222E31" w:rsidRPr="008B63A8">
        <w:rPr>
          <w:rFonts w:ascii="Verdana" w:hAnsi="Verdana"/>
          <w:i/>
          <w:iCs/>
          <w:sz w:val="20"/>
          <w:szCs w:val="20"/>
        </w:rPr>
        <w:t xml:space="preserve"> de janeiro de 202</w:t>
      </w:r>
      <w:r w:rsidR="00222E31">
        <w:rPr>
          <w:rFonts w:ascii="Verdana" w:hAnsi="Verdana"/>
          <w:i/>
          <w:iCs/>
          <w:sz w:val="20"/>
          <w:szCs w:val="20"/>
        </w:rPr>
        <w:t>0</w:t>
      </w:r>
      <w:r w:rsidR="00222E31" w:rsidRPr="008B63A8">
        <w:rPr>
          <w:rFonts w:ascii="Verdana" w:hAnsi="Verdana"/>
          <w:i/>
          <w:iCs/>
          <w:sz w:val="20"/>
          <w:szCs w:val="20"/>
        </w:rPr>
        <w:t xml:space="preserve"> (exclusive)) </w:t>
      </w:r>
      <w:r w:rsidRPr="008B63A8">
        <w:rPr>
          <w:rFonts w:ascii="Verdana" w:hAnsi="Verdana"/>
          <w:i/>
          <w:iCs/>
          <w:sz w:val="20"/>
          <w:szCs w:val="20"/>
        </w:rPr>
        <w:t>serão incorporados ao Valor Nominal Unitário ou ao saldo do Valor Nominal Unitário de cada Série, conforme o caso; e (</w:t>
      </w:r>
      <w:proofErr w:type="spellStart"/>
      <w:r w:rsidRPr="008B63A8">
        <w:rPr>
          <w:rFonts w:ascii="Verdana" w:hAnsi="Verdana"/>
          <w:i/>
          <w:iCs/>
          <w:sz w:val="20"/>
          <w:szCs w:val="20"/>
        </w:rPr>
        <w:t>ii</w:t>
      </w:r>
      <w:proofErr w:type="spellEnd"/>
      <w:r w:rsidRPr="008B63A8">
        <w:rPr>
          <w:rFonts w:ascii="Verdana" w:hAnsi="Verdana"/>
          <w:i/>
          <w:iCs/>
          <w:sz w:val="20"/>
          <w:szCs w:val="20"/>
        </w:rPr>
        <w:t xml:space="preserve">) os Juros Remuneratórios incorridos durante o terceiro Período de Capitalização (de 03 de julho de 2020 (inclusive) a </w:t>
      </w:r>
      <w:del w:id="6" w:author="Emily Correia | Machado Meyer Advogados" w:date="2020-12-29T13:26:00Z">
        <w:r w:rsidRPr="008B63A8">
          <w:rPr>
            <w:rFonts w:ascii="Verdana" w:hAnsi="Verdana"/>
            <w:i/>
            <w:iCs/>
            <w:sz w:val="20"/>
            <w:szCs w:val="20"/>
          </w:rPr>
          <w:delText>15</w:delText>
        </w:r>
      </w:del>
      <w:ins w:id="7" w:author="Emily Correia | Machado Meyer Advogados" w:date="2020-12-29T13:26:00Z">
        <w:r w:rsidR="00A416FE">
          <w:rPr>
            <w:rFonts w:ascii="Verdana" w:hAnsi="Verdana"/>
            <w:i/>
            <w:iCs/>
            <w:sz w:val="20"/>
            <w:szCs w:val="20"/>
          </w:rPr>
          <w:t>03</w:t>
        </w:r>
      </w:ins>
      <w:r w:rsidRPr="008B63A8">
        <w:rPr>
          <w:rFonts w:ascii="Verdana" w:hAnsi="Verdana"/>
          <w:i/>
          <w:iCs/>
          <w:sz w:val="20"/>
          <w:szCs w:val="20"/>
        </w:rPr>
        <w:t xml:space="preserve"> de janeiro de 2021 (exclusive)) serão incorporados ao Valor Nominal Unitário ou ao saldo do Valor Nominal Unitário de cada Série, conforme o caso:</w:t>
      </w:r>
    </w:p>
    <w:p w14:paraId="440D362C" w14:textId="65E4A3AE" w:rsidR="008B63A8" w:rsidRDefault="008B63A8" w:rsidP="008B63A8">
      <w:pPr>
        <w:pStyle w:val="PargrafodaLista"/>
        <w:ind w:left="708" w:firstLine="0"/>
        <w:rPr>
          <w:rFonts w:ascii="Verdana" w:hAnsi="Verdana"/>
          <w:i/>
          <w:iCs/>
          <w:sz w:val="20"/>
          <w:szCs w:val="20"/>
        </w:rPr>
      </w:pPr>
      <w:r w:rsidRPr="00E72800">
        <w:rPr>
          <w:rFonts w:ascii="Verdana" w:hAnsi="Verdana"/>
          <w:b/>
          <w:bCs/>
          <w:i/>
          <w:iCs/>
          <w:sz w:val="20"/>
          <w:szCs w:val="20"/>
        </w:rPr>
        <w:t>(i)</w:t>
      </w:r>
      <w:r w:rsidRPr="008B63A8">
        <w:rPr>
          <w:rFonts w:ascii="Verdana" w:hAnsi="Verdana"/>
          <w:i/>
          <w:iCs/>
          <w:sz w:val="20"/>
          <w:szCs w:val="20"/>
        </w:rPr>
        <w:tab/>
      </w:r>
      <w:bookmarkStart w:id="8" w:name="_Hlk59188764"/>
      <w:r w:rsidRPr="008B63A8">
        <w:rPr>
          <w:rFonts w:ascii="Verdana" w:hAnsi="Verdana"/>
          <w:i/>
          <w:iCs/>
          <w:sz w:val="20"/>
          <w:szCs w:val="20"/>
        </w:rPr>
        <w:t xml:space="preserve">até 3 de julho de 2021 (exclusive), ou o pagamento de 14% (quatorze por cento) do Valor Nominal Unitário ou ao saldo do Valor Nominal Unitário de cada Série, o que ocorrer por último, incidirão Juros Remuneratórios </w:t>
      </w:r>
      <w:r w:rsidRPr="008B63A8">
        <w:rPr>
          <w:rFonts w:ascii="Verdana" w:hAnsi="Verdana"/>
          <w:i/>
          <w:iCs/>
          <w:sz w:val="20"/>
          <w:szCs w:val="20"/>
        </w:rPr>
        <w:lastRenderedPageBreak/>
        <w:t xml:space="preserve">equivalentes a </w:t>
      </w:r>
      <w:r w:rsidRPr="008B63A8">
        <w:rPr>
          <w:rFonts w:ascii="Verdana" w:hAnsi="Verdana"/>
          <w:b/>
          <w:bCs/>
          <w:i/>
          <w:iCs/>
          <w:sz w:val="20"/>
          <w:szCs w:val="20"/>
        </w:rPr>
        <w:t>130%</w:t>
      </w:r>
      <w:r w:rsidRPr="008B63A8">
        <w:rPr>
          <w:rFonts w:ascii="Verdana" w:hAnsi="Verdana"/>
          <w:i/>
          <w:iCs/>
          <w:sz w:val="20"/>
          <w:szCs w:val="20"/>
        </w:rPr>
        <w:t xml:space="preserve"> (cento e trinta por cento) da variação acumulada da Taxa DI; e</w:t>
      </w:r>
    </w:p>
    <w:p w14:paraId="49E4082E" w14:textId="76F4AD02" w:rsidR="008B63A8" w:rsidRDefault="008B63A8" w:rsidP="008B63A8">
      <w:pPr>
        <w:pStyle w:val="PargrafodaLista"/>
        <w:ind w:left="708" w:firstLine="0"/>
        <w:rPr>
          <w:rFonts w:ascii="Verdana" w:hAnsi="Verdana"/>
          <w:i/>
          <w:iCs/>
          <w:sz w:val="20"/>
          <w:szCs w:val="20"/>
        </w:rPr>
      </w:pPr>
      <w:r w:rsidRPr="00E72800">
        <w:rPr>
          <w:rFonts w:ascii="Verdana" w:hAnsi="Verdana"/>
          <w:b/>
          <w:bCs/>
          <w:i/>
          <w:iCs/>
          <w:sz w:val="20"/>
          <w:szCs w:val="20"/>
        </w:rPr>
        <w:t>(</w:t>
      </w:r>
      <w:proofErr w:type="spellStart"/>
      <w:r w:rsidRPr="00E72800">
        <w:rPr>
          <w:rFonts w:ascii="Verdana" w:hAnsi="Verdana"/>
          <w:b/>
          <w:bCs/>
          <w:i/>
          <w:iCs/>
          <w:sz w:val="20"/>
          <w:szCs w:val="20"/>
        </w:rPr>
        <w:t>ii</w:t>
      </w:r>
      <w:proofErr w:type="spellEnd"/>
      <w:r w:rsidRPr="00E72800">
        <w:rPr>
          <w:rFonts w:ascii="Verdana" w:hAnsi="Verdana"/>
          <w:b/>
          <w:bCs/>
          <w:i/>
          <w:iCs/>
          <w:sz w:val="20"/>
          <w:szCs w:val="20"/>
        </w:rPr>
        <w:t>)</w:t>
      </w:r>
      <w:r w:rsidRPr="008B63A8">
        <w:rPr>
          <w:rFonts w:ascii="Verdana" w:hAnsi="Verdana"/>
          <w:i/>
          <w:iCs/>
          <w:sz w:val="20"/>
          <w:szCs w:val="20"/>
        </w:rPr>
        <w:tab/>
        <w:t xml:space="preserve">Observada a Cláusula 4.3.3 abaixo, a partir de 3 de julho de 2021 (inclusive), ou o pagamento de 14% (quatorze por cento) do Valor Nominal Unitário ou ao saldo do Valor Nominal Unitário de cada Série, o que ocorrer por último, até a Data de Vencimento, incidirão Juros Remuneratórios equivalentes a </w:t>
      </w:r>
      <w:r w:rsidRPr="008B63A8">
        <w:rPr>
          <w:rFonts w:ascii="Verdana" w:hAnsi="Verdana"/>
          <w:b/>
          <w:bCs/>
          <w:i/>
          <w:iCs/>
          <w:sz w:val="20"/>
          <w:szCs w:val="20"/>
        </w:rPr>
        <w:t>110%</w:t>
      </w:r>
      <w:r w:rsidRPr="008B63A8">
        <w:rPr>
          <w:rFonts w:ascii="Verdana" w:hAnsi="Verdana"/>
          <w:i/>
          <w:iCs/>
          <w:sz w:val="20"/>
          <w:szCs w:val="20"/>
        </w:rPr>
        <w:t xml:space="preserve"> (cento e dez por cento) da variação acumulada da Taxa DI, exceto se estiver em curso um Evento Impeditivo de Redução, caso em que permanecerão aplicáveis os Juros Remuneratórios previstos no item (i) acima;</w:t>
      </w:r>
    </w:p>
    <w:bookmarkEnd w:id="8"/>
    <w:p w14:paraId="4C1AB084" w14:textId="55720349"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r w:rsidR="00222E31">
        <w:rPr>
          <w:rFonts w:ascii="Verdana" w:hAnsi="Verdana"/>
          <w:i/>
          <w:iCs/>
          <w:sz w:val="20"/>
          <w:szCs w:val="20"/>
        </w:rPr>
        <w:t xml:space="preserve"> </w:t>
      </w:r>
    </w:p>
    <w:p w14:paraId="36F28FB2" w14:textId="19FE8A53"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4.3.3</w:t>
      </w:r>
      <w:r w:rsidRPr="008B63A8">
        <w:rPr>
          <w:rFonts w:ascii="Verdana" w:hAnsi="Verdana"/>
          <w:i/>
          <w:iCs/>
          <w:sz w:val="20"/>
          <w:szCs w:val="20"/>
        </w:rPr>
        <w:tab/>
        <w:t xml:space="preserve">As Partes concordam que, caso não esteja em curso um Evento Impeditivo de Redução, o Agente Fiduciário deverá convocar, (i) em até </w:t>
      </w:r>
      <w:r w:rsidR="004F7CC5">
        <w:rPr>
          <w:rFonts w:ascii="Verdana" w:hAnsi="Verdana"/>
          <w:i/>
          <w:iCs/>
          <w:sz w:val="20"/>
          <w:szCs w:val="20"/>
        </w:rPr>
        <w:t>5</w:t>
      </w:r>
      <w:r w:rsidR="004F7CC5" w:rsidRPr="008B63A8">
        <w:rPr>
          <w:rFonts w:ascii="Verdana" w:hAnsi="Verdana"/>
          <w:i/>
          <w:iCs/>
          <w:sz w:val="20"/>
          <w:szCs w:val="20"/>
        </w:rPr>
        <w:t xml:space="preserve"> </w:t>
      </w:r>
      <w:r w:rsidRPr="008B63A8">
        <w:rPr>
          <w:rFonts w:ascii="Verdana" w:hAnsi="Verdana"/>
          <w:i/>
          <w:iCs/>
          <w:sz w:val="20"/>
          <w:szCs w:val="20"/>
        </w:rPr>
        <w:t>(</w:t>
      </w:r>
      <w:r w:rsidR="004F7CC5">
        <w:rPr>
          <w:rFonts w:ascii="Verdana" w:hAnsi="Verdana"/>
          <w:i/>
          <w:iCs/>
          <w:sz w:val="20"/>
          <w:szCs w:val="20"/>
        </w:rPr>
        <w:t>cinco</w:t>
      </w:r>
      <w:r w:rsidRPr="008B63A8">
        <w:rPr>
          <w:rFonts w:ascii="Verdana" w:hAnsi="Verdana"/>
          <w:i/>
          <w:iCs/>
          <w:sz w:val="20"/>
          <w:szCs w:val="20"/>
        </w:rPr>
        <w:t xml:space="preserve">) Dias Úteis </w:t>
      </w:r>
      <w:r w:rsidR="004F7CC5">
        <w:rPr>
          <w:rFonts w:ascii="Verdana" w:hAnsi="Verdana"/>
          <w:i/>
          <w:iCs/>
          <w:sz w:val="20"/>
          <w:szCs w:val="20"/>
        </w:rPr>
        <w:t>antes de</w:t>
      </w:r>
      <w:r w:rsidR="004F7CC5" w:rsidRPr="008B63A8">
        <w:rPr>
          <w:rFonts w:ascii="Verdana" w:hAnsi="Verdana"/>
          <w:i/>
          <w:iCs/>
          <w:sz w:val="20"/>
          <w:szCs w:val="20"/>
        </w:rPr>
        <w:t xml:space="preserve"> </w:t>
      </w:r>
      <w:r w:rsidRPr="008B63A8">
        <w:rPr>
          <w:rFonts w:ascii="Verdana" w:hAnsi="Verdana"/>
          <w:i/>
          <w:iCs/>
          <w:sz w:val="20"/>
          <w:szCs w:val="20"/>
        </w:rPr>
        <w:t>3 de julho de 2021, e/ou (</w:t>
      </w:r>
      <w:proofErr w:type="spellStart"/>
      <w:r w:rsidRPr="008B63A8">
        <w:rPr>
          <w:rFonts w:ascii="Verdana" w:hAnsi="Verdana"/>
          <w:i/>
          <w:iCs/>
          <w:sz w:val="20"/>
          <w:szCs w:val="20"/>
        </w:rPr>
        <w:t>ii</w:t>
      </w:r>
      <w:proofErr w:type="spellEnd"/>
      <w:r w:rsidRPr="008B63A8">
        <w:rPr>
          <w:rFonts w:ascii="Verdana" w:hAnsi="Verdana"/>
          <w:i/>
          <w:iCs/>
          <w:sz w:val="20"/>
          <w:szCs w:val="20"/>
        </w:rPr>
        <w:t>) em até 2 (dois) Dias Úteis após a amortização de 14% (quatorze por cento) do Valor Nominal Unitário das Debêntures de cada Série; o que ocorrer por último, Assembleia Geral de Debenturistas para que os Debenturistas de cada uma das Séries possam deliberar sobre a redução dos Juros Remuneratórios, conforme previsto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w:t>
      </w:r>
      <w:r w:rsidR="000D2B35">
        <w:rPr>
          <w:rFonts w:ascii="Verdana" w:hAnsi="Verdana"/>
          <w:i/>
          <w:iCs/>
          <w:sz w:val="20"/>
          <w:szCs w:val="20"/>
        </w:rPr>
        <w:t xml:space="preserve">, </w:t>
      </w:r>
      <w:r w:rsidR="000D2B35" w:rsidRPr="000D2B35">
        <w:rPr>
          <w:rFonts w:ascii="Verdana" w:hAnsi="Verdana"/>
          <w:i/>
          <w:iCs/>
          <w:sz w:val="20"/>
          <w:szCs w:val="20"/>
        </w:rPr>
        <w:t>e informar a B3 sobre tal alteração na Remuneração com até 3 (três) dias úteis de antecedência</w:t>
      </w:r>
      <w:r w:rsidRPr="008B63A8">
        <w:rPr>
          <w:rFonts w:ascii="Verdana" w:hAnsi="Verdana"/>
          <w:i/>
          <w:iCs/>
          <w:sz w:val="20"/>
          <w:szCs w:val="20"/>
        </w:rPr>
        <w:t>.</w:t>
      </w:r>
    </w:p>
    <w:p w14:paraId="127F6E0B" w14:textId="4DA5A127"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3DAD4F53" w14:textId="36991261" w:rsidR="008B63A8" w:rsidRDefault="008B63A8" w:rsidP="008E65CC">
      <w:pPr>
        <w:pStyle w:val="PargrafodaLista"/>
        <w:ind w:left="360" w:firstLine="0"/>
        <w:rPr>
          <w:rFonts w:ascii="Verdana" w:hAnsi="Verdana"/>
          <w:i/>
          <w:iCs/>
          <w:sz w:val="20"/>
          <w:szCs w:val="20"/>
        </w:rPr>
      </w:pPr>
      <w:r w:rsidRPr="00E72800">
        <w:rPr>
          <w:rFonts w:ascii="Verdana" w:hAnsi="Verdana"/>
          <w:b/>
          <w:bCs/>
          <w:i/>
          <w:iCs/>
          <w:sz w:val="20"/>
          <w:szCs w:val="20"/>
        </w:rPr>
        <w:t>4.4.1</w:t>
      </w:r>
      <w:r w:rsidRPr="00E72800">
        <w:rPr>
          <w:rFonts w:ascii="Verdana" w:hAnsi="Verdana"/>
          <w:i/>
          <w:iCs/>
          <w:sz w:val="20"/>
          <w:szCs w:val="20"/>
        </w:rPr>
        <w:tab/>
        <w:t>Pagamento da Remuneração das Debêntures. 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w:t>
      </w:r>
      <w:r w:rsidR="000D2B35" w:rsidRPr="00E72800">
        <w:rPr>
          <w:rFonts w:ascii="Verdana" w:hAnsi="Verdana"/>
          <w:i/>
          <w:iCs/>
          <w:sz w:val="20"/>
          <w:szCs w:val="20"/>
        </w:rPr>
        <w:t xml:space="preserve"> (3 de janeiro de 2020)</w:t>
      </w:r>
      <w:r w:rsidRPr="00E72800">
        <w:rPr>
          <w:rFonts w:ascii="Verdana" w:hAnsi="Verdana"/>
          <w:i/>
          <w:iCs/>
          <w:sz w:val="20"/>
          <w:szCs w:val="20"/>
        </w:rPr>
        <w:t>, os Juros Remuneratórios incidentes até tal data serão incorporados ao Valor Nominal Unitário ou ao saldo do Valor Nominal Unitário de cada série, conforme o caso; (</w:t>
      </w:r>
      <w:proofErr w:type="spellStart"/>
      <w:r w:rsidRPr="00E72800">
        <w:rPr>
          <w:rFonts w:ascii="Verdana" w:hAnsi="Verdana"/>
          <w:i/>
          <w:iCs/>
          <w:sz w:val="20"/>
          <w:szCs w:val="20"/>
        </w:rPr>
        <w:t>ii</w:t>
      </w:r>
      <w:proofErr w:type="spellEnd"/>
      <w:r w:rsidRPr="00E72800">
        <w:rPr>
          <w:rFonts w:ascii="Verdana" w:hAnsi="Verdana"/>
          <w:i/>
          <w:iCs/>
          <w:sz w:val="20"/>
          <w:szCs w:val="20"/>
        </w:rPr>
        <w:t>) ao final do 2º (segundo) Período de Capitalização, os Juros Remuneratórios incidentes até tal data serão pagos em 03 de julho de 2020; (</w:t>
      </w:r>
      <w:proofErr w:type="spellStart"/>
      <w:r w:rsidRPr="00E72800">
        <w:rPr>
          <w:rFonts w:ascii="Verdana" w:hAnsi="Verdana"/>
          <w:i/>
          <w:iCs/>
          <w:sz w:val="20"/>
          <w:szCs w:val="20"/>
        </w:rPr>
        <w:t>iii</w:t>
      </w:r>
      <w:proofErr w:type="spellEnd"/>
      <w:r w:rsidRPr="00E72800">
        <w:rPr>
          <w:rFonts w:ascii="Verdana" w:hAnsi="Verdana"/>
          <w:i/>
          <w:iCs/>
          <w:sz w:val="20"/>
          <w:szCs w:val="20"/>
        </w:rPr>
        <w:t>) ao final do terceiro Período de Capitalização (</w:t>
      </w:r>
      <w:del w:id="9" w:author="Emily Correia | Machado Meyer Advogados" w:date="2020-12-29T13:26:00Z">
        <w:r w:rsidRPr="00E72800">
          <w:rPr>
            <w:rFonts w:ascii="Verdana" w:hAnsi="Verdana"/>
            <w:i/>
            <w:iCs/>
            <w:sz w:val="20"/>
            <w:szCs w:val="20"/>
          </w:rPr>
          <w:delText>15</w:delText>
        </w:r>
      </w:del>
      <w:ins w:id="10" w:author="Emily Correia | Machado Meyer Advogados" w:date="2020-12-29T13:26:00Z">
        <w:r w:rsidR="00A416FE">
          <w:rPr>
            <w:rFonts w:ascii="Verdana" w:hAnsi="Verdana"/>
            <w:i/>
            <w:iCs/>
            <w:sz w:val="20"/>
            <w:szCs w:val="20"/>
          </w:rPr>
          <w:t>03</w:t>
        </w:r>
      </w:ins>
      <w:r w:rsidRPr="00E72800">
        <w:rPr>
          <w:rFonts w:ascii="Verdana" w:hAnsi="Verdana"/>
          <w:i/>
          <w:iCs/>
          <w:sz w:val="20"/>
          <w:szCs w:val="20"/>
        </w:rPr>
        <w:t xml:space="preserve"> de janeiro de 2021 (exclusive)), os Juros Remuneratórios incidentes até tal data serão incorporados ao Valor Nominal Unitário ou saldo do Valor Nominal Unitário de cada Série, conforme o caso; e (</w:t>
      </w:r>
      <w:proofErr w:type="spellStart"/>
      <w:r w:rsidRPr="00E72800">
        <w:rPr>
          <w:rFonts w:ascii="Verdana" w:hAnsi="Verdana"/>
          <w:i/>
          <w:iCs/>
          <w:sz w:val="20"/>
          <w:szCs w:val="20"/>
        </w:rPr>
        <w:t>iv</w:t>
      </w:r>
      <w:proofErr w:type="spellEnd"/>
      <w:r w:rsidRPr="00E72800">
        <w:rPr>
          <w:rFonts w:ascii="Verdana" w:hAnsi="Verdana"/>
          <w:i/>
          <w:iCs/>
          <w:sz w:val="20"/>
          <w:szCs w:val="20"/>
        </w:rPr>
        <w:t>)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p>
    <w:p w14:paraId="5542AF34" w14:textId="7A4834F4" w:rsidR="008E65CC" w:rsidRDefault="008E65CC" w:rsidP="008E65CC">
      <w:pPr>
        <w:pStyle w:val="PargrafodaLista"/>
        <w:ind w:left="360" w:firstLine="0"/>
      </w:pPr>
    </w:p>
    <w:p w14:paraId="3F247764" w14:textId="77777777" w:rsidR="008E65CC" w:rsidRDefault="008E65CC" w:rsidP="00E72800">
      <w:pPr>
        <w:pStyle w:val="PargrafodaLista"/>
        <w:ind w:left="360" w:firstLine="0"/>
      </w:pPr>
    </w:p>
    <w:tbl>
      <w:tblPr>
        <w:tblStyle w:val="Tabelacomgrade"/>
        <w:tblW w:w="7621" w:type="dxa"/>
        <w:jc w:val="right"/>
        <w:tblLayout w:type="fixed"/>
        <w:tblLook w:val="04A0" w:firstRow="1" w:lastRow="0" w:firstColumn="1" w:lastColumn="0" w:noHBand="0" w:noVBand="1"/>
      </w:tblPr>
      <w:tblGrid>
        <w:gridCol w:w="2539"/>
        <w:gridCol w:w="2540"/>
        <w:gridCol w:w="2542"/>
      </w:tblGrid>
      <w:tr w:rsidR="008B63A8" w:rsidRPr="008B63A8" w14:paraId="024E741A" w14:textId="77777777" w:rsidTr="00191CB4">
        <w:trPr>
          <w:trHeight w:val="477"/>
          <w:jc w:val="right"/>
        </w:trPr>
        <w:tc>
          <w:tcPr>
            <w:tcW w:w="7621" w:type="dxa"/>
            <w:gridSpan w:val="3"/>
            <w:shd w:val="clear" w:color="auto" w:fill="D9D9D9" w:themeFill="background1" w:themeFillShade="D9"/>
            <w:vAlign w:val="center"/>
          </w:tcPr>
          <w:p w14:paraId="3CC8E6E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lastRenderedPageBreak/>
              <w:t>Cronograma de Pagamentos de Remuneração</w:t>
            </w:r>
          </w:p>
        </w:tc>
      </w:tr>
      <w:tr w:rsidR="008B63A8" w:rsidRPr="008B63A8" w14:paraId="2A7FABEC" w14:textId="77777777" w:rsidTr="00191CB4">
        <w:trPr>
          <w:trHeight w:val="753"/>
          <w:jc w:val="right"/>
        </w:trPr>
        <w:tc>
          <w:tcPr>
            <w:tcW w:w="2539" w:type="dxa"/>
            <w:shd w:val="clear" w:color="auto" w:fill="D9D9D9" w:themeFill="background1" w:themeFillShade="D9"/>
            <w:vAlign w:val="center"/>
          </w:tcPr>
          <w:p w14:paraId="16C8B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Parcelas/</w:t>
            </w:r>
          </w:p>
          <w:p w14:paraId="2C2A30C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Período de Capitalização</w:t>
            </w:r>
          </w:p>
        </w:tc>
        <w:tc>
          <w:tcPr>
            <w:tcW w:w="2540" w:type="dxa"/>
            <w:shd w:val="clear" w:color="auto" w:fill="D9D9D9" w:themeFill="background1" w:themeFillShade="D9"/>
            <w:vAlign w:val="center"/>
          </w:tcPr>
          <w:p w14:paraId="699CF53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Data do Pagamento da Remuneração ou data de capitalização</w:t>
            </w:r>
          </w:p>
        </w:tc>
        <w:tc>
          <w:tcPr>
            <w:tcW w:w="2542" w:type="dxa"/>
            <w:shd w:val="clear" w:color="auto" w:fill="D9D9D9" w:themeFill="background1" w:themeFillShade="D9"/>
            <w:vAlign w:val="center"/>
          </w:tcPr>
          <w:p w14:paraId="4578130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Juros Remuneratórios das Debêntures</w:t>
            </w:r>
          </w:p>
        </w:tc>
      </w:tr>
      <w:tr w:rsidR="008B63A8" w:rsidRPr="008B63A8" w14:paraId="49C1E77E" w14:textId="77777777" w:rsidTr="00191CB4">
        <w:trPr>
          <w:trHeight w:val="377"/>
          <w:jc w:val="right"/>
        </w:trPr>
        <w:tc>
          <w:tcPr>
            <w:tcW w:w="2539" w:type="dxa"/>
          </w:tcPr>
          <w:p w14:paraId="7EF33A2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w:t>
            </w:r>
          </w:p>
        </w:tc>
        <w:tc>
          <w:tcPr>
            <w:tcW w:w="2540" w:type="dxa"/>
          </w:tcPr>
          <w:p w14:paraId="540BA81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3-Jan-2020</w:t>
            </w:r>
          </w:p>
        </w:tc>
        <w:tc>
          <w:tcPr>
            <w:tcW w:w="2542" w:type="dxa"/>
          </w:tcPr>
          <w:p w14:paraId="5E3C48C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8B63A8" w:rsidRPr="008B63A8" w14:paraId="584EE583" w14:textId="77777777" w:rsidTr="00191CB4">
        <w:trPr>
          <w:trHeight w:val="367"/>
          <w:jc w:val="right"/>
        </w:trPr>
        <w:tc>
          <w:tcPr>
            <w:tcW w:w="2539" w:type="dxa"/>
          </w:tcPr>
          <w:p w14:paraId="2EDAB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2</w:t>
            </w:r>
          </w:p>
        </w:tc>
        <w:tc>
          <w:tcPr>
            <w:tcW w:w="2540" w:type="dxa"/>
          </w:tcPr>
          <w:p w14:paraId="170851C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3-Jul-2020</w:t>
            </w:r>
          </w:p>
        </w:tc>
        <w:tc>
          <w:tcPr>
            <w:tcW w:w="2542" w:type="dxa"/>
          </w:tcPr>
          <w:p w14:paraId="3535496F" w14:textId="167F6224"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1EB5B8D4" w14:textId="77777777" w:rsidTr="00191CB4">
        <w:trPr>
          <w:trHeight w:val="377"/>
          <w:jc w:val="right"/>
        </w:trPr>
        <w:tc>
          <w:tcPr>
            <w:tcW w:w="2539" w:type="dxa"/>
          </w:tcPr>
          <w:p w14:paraId="65C7C9A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w:t>
            </w:r>
          </w:p>
        </w:tc>
        <w:tc>
          <w:tcPr>
            <w:tcW w:w="2540" w:type="dxa"/>
          </w:tcPr>
          <w:p w14:paraId="3C8FD732" w14:textId="2962D926"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del w:id="11" w:author="Emily Correia | Machado Meyer Advogados" w:date="2020-12-29T13:26:00Z">
              <w:r w:rsidRPr="008B63A8">
                <w:rPr>
                  <w:rFonts w:ascii="Verdana" w:hAnsi="Verdana"/>
                  <w:i/>
                  <w:iCs/>
                  <w:sz w:val="20"/>
                  <w:szCs w:val="20"/>
                  <w:lang w:val="en-US"/>
                </w:rPr>
                <w:delText>15</w:delText>
              </w:r>
            </w:del>
            <w:ins w:id="12" w:author="Emily Correia | Machado Meyer Advogados" w:date="2020-12-29T13:26:00Z">
              <w:r w:rsidR="00A416FE">
                <w:rPr>
                  <w:rFonts w:ascii="Verdana" w:hAnsi="Verdana"/>
                  <w:i/>
                  <w:iCs/>
                  <w:sz w:val="20"/>
                  <w:szCs w:val="20"/>
                  <w:lang w:val="en-US"/>
                </w:rPr>
                <w:t>3</w:t>
              </w:r>
            </w:ins>
            <w:r w:rsidRPr="008B63A8">
              <w:rPr>
                <w:rFonts w:ascii="Verdana" w:hAnsi="Verdana"/>
                <w:i/>
                <w:iCs/>
                <w:sz w:val="20"/>
                <w:szCs w:val="20"/>
                <w:lang w:val="en-US"/>
              </w:rPr>
              <w:t>-Jan-2021</w:t>
            </w:r>
          </w:p>
        </w:tc>
        <w:tc>
          <w:tcPr>
            <w:tcW w:w="2542" w:type="dxa"/>
          </w:tcPr>
          <w:p w14:paraId="753F769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8B63A8" w:rsidRPr="008B63A8" w14:paraId="070154D9" w14:textId="77777777" w:rsidTr="00191CB4">
        <w:trPr>
          <w:trHeight w:val="367"/>
          <w:jc w:val="right"/>
        </w:trPr>
        <w:tc>
          <w:tcPr>
            <w:tcW w:w="2539" w:type="dxa"/>
          </w:tcPr>
          <w:p w14:paraId="3C807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w:t>
            </w:r>
          </w:p>
        </w:tc>
        <w:tc>
          <w:tcPr>
            <w:tcW w:w="2540" w:type="dxa"/>
          </w:tcPr>
          <w:p w14:paraId="266B0C1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3-Jul-2021</w:t>
            </w:r>
          </w:p>
        </w:tc>
        <w:tc>
          <w:tcPr>
            <w:tcW w:w="2542" w:type="dxa"/>
          </w:tcPr>
          <w:p w14:paraId="73BBCF0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482C4D4" w14:textId="77777777" w:rsidTr="00191CB4">
        <w:trPr>
          <w:trHeight w:val="377"/>
          <w:jc w:val="right"/>
        </w:trPr>
        <w:tc>
          <w:tcPr>
            <w:tcW w:w="2539" w:type="dxa"/>
          </w:tcPr>
          <w:p w14:paraId="5920C97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5</w:t>
            </w:r>
          </w:p>
        </w:tc>
        <w:tc>
          <w:tcPr>
            <w:tcW w:w="2540" w:type="dxa"/>
          </w:tcPr>
          <w:p w14:paraId="59DEDD9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15-Jan-2022</w:t>
            </w:r>
          </w:p>
        </w:tc>
        <w:tc>
          <w:tcPr>
            <w:tcW w:w="2542" w:type="dxa"/>
          </w:tcPr>
          <w:p w14:paraId="55E886A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2D02E35B" w14:textId="77777777" w:rsidTr="00191CB4">
        <w:trPr>
          <w:trHeight w:val="367"/>
          <w:jc w:val="right"/>
        </w:trPr>
        <w:tc>
          <w:tcPr>
            <w:tcW w:w="2539" w:type="dxa"/>
          </w:tcPr>
          <w:p w14:paraId="37C5E52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6</w:t>
            </w:r>
          </w:p>
        </w:tc>
        <w:tc>
          <w:tcPr>
            <w:tcW w:w="2540" w:type="dxa"/>
          </w:tcPr>
          <w:p w14:paraId="3DF44DA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15-Jul-2022</w:t>
            </w:r>
          </w:p>
        </w:tc>
        <w:tc>
          <w:tcPr>
            <w:tcW w:w="2542" w:type="dxa"/>
          </w:tcPr>
          <w:p w14:paraId="6054B72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04ACDF9D" w14:textId="77777777" w:rsidTr="00191CB4">
        <w:trPr>
          <w:trHeight w:val="377"/>
          <w:jc w:val="right"/>
        </w:trPr>
        <w:tc>
          <w:tcPr>
            <w:tcW w:w="2539" w:type="dxa"/>
          </w:tcPr>
          <w:p w14:paraId="62D8D68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7</w:t>
            </w:r>
          </w:p>
        </w:tc>
        <w:tc>
          <w:tcPr>
            <w:tcW w:w="2540" w:type="dxa"/>
          </w:tcPr>
          <w:p w14:paraId="33AAC2E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15-Jan-2023</w:t>
            </w:r>
          </w:p>
        </w:tc>
        <w:tc>
          <w:tcPr>
            <w:tcW w:w="2542" w:type="dxa"/>
          </w:tcPr>
          <w:p w14:paraId="3904B55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42051F29" w14:textId="77777777" w:rsidTr="00191CB4">
        <w:trPr>
          <w:trHeight w:val="367"/>
          <w:jc w:val="right"/>
        </w:trPr>
        <w:tc>
          <w:tcPr>
            <w:tcW w:w="2539" w:type="dxa"/>
          </w:tcPr>
          <w:p w14:paraId="770B2ED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8</w:t>
            </w:r>
          </w:p>
        </w:tc>
        <w:tc>
          <w:tcPr>
            <w:tcW w:w="2540" w:type="dxa"/>
          </w:tcPr>
          <w:p w14:paraId="0310359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15-Jul-2023</w:t>
            </w:r>
          </w:p>
        </w:tc>
        <w:tc>
          <w:tcPr>
            <w:tcW w:w="2542" w:type="dxa"/>
          </w:tcPr>
          <w:p w14:paraId="1FE57D5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FA7F549" w14:textId="77777777" w:rsidTr="00191CB4">
        <w:trPr>
          <w:trHeight w:val="377"/>
          <w:jc w:val="right"/>
        </w:trPr>
        <w:tc>
          <w:tcPr>
            <w:tcW w:w="2539" w:type="dxa"/>
          </w:tcPr>
          <w:p w14:paraId="5989421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9</w:t>
            </w:r>
          </w:p>
        </w:tc>
        <w:tc>
          <w:tcPr>
            <w:tcW w:w="2540" w:type="dxa"/>
          </w:tcPr>
          <w:p w14:paraId="01B9FA5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15-Jan-2024</w:t>
            </w:r>
          </w:p>
        </w:tc>
        <w:tc>
          <w:tcPr>
            <w:tcW w:w="2542" w:type="dxa"/>
          </w:tcPr>
          <w:p w14:paraId="56C506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734E24B1" w14:textId="77777777" w:rsidTr="00191CB4">
        <w:trPr>
          <w:trHeight w:val="367"/>
          <w:jc w:val="right"/>
        </w:trPr>
        <w:tc>
          <w:tcPr>
            <w:tcW w:w="2539" w:type="dxa"/>
          </w:tcPr>
          <w:p w14:paraId="4979E90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10</w:t>
            </w:r>
          </w:p>
        </w:tc>
        <w:tc>
          <w:tcPr>
            <w:tcW w:w="2540" w:type="dxa"/>
          </w:tcPr>
          <w:p w14:paraId="64EDA6E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15-Jul-2024</w:t>
            </w:r>
          </w:p>
        </w:tc>
        <w:tc>
          <w:tcPr>
            <w:tcW w:w="2542" w:type="dxa"/>
          </w:tcPr>
          <w:p w14:paraId="0C27F0D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6B352764" w14:textId="77777777" w:rsidTr="00191CB4">
        <w:trPr>
          <w:trHeight w:val="377"/>
          <w:jc w:val="right"/>
        </w:trPr>
        <w:tc>
          <w:tcPr>
            <w:tcW w:w="2539" w:type="dxa"/>
          </w:tcPr>
          <w:p w14:paraId="17E27E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11</w:t>
            </w:r>
          </w:p>
        </w:tc>
        <w:tc>
          <w:tcPr>
            <w:tcW w:w="2540" w:type="dxa"/>
          </w:tcPr>
          <w:p w14:paraId="672C483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15-Jan-2025</w:t>
            </w:r>
          </w:p>
        </w:tc>
        <w:tc>
          <w:tcPr>
            <w:tcW w:w="2542" w:type="dxa"/>
          </w:tcPr>
          <w:p w14:paraId="28DAC1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3B43B550" w14:textId="77777777" w:rsidTr="00191CB4">
        <w:trPr>
          <w:trHeight w:val="367"/>
          <w:jc w:val="right"/>
        </w:trPr>
        <w:tc>
          <w:tcPr>
            <w:tcW w:w="2539" w:type="dxa"/>
          </w:tcPr>
          <w:p w14:paraId="7135116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12</w:t>
            </w:r>
          </w:p>
        </w:tc>
        <w:tc>
          <w:tcPr>
            <w:tcW w:w="2540" w:type="dxa"/>
          </w:tcPr>
          <w:p w14:paraId="1BEA643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15-Jul-2025</w:t>
            </w:r>
          </w:p>
        </w:tc>
        <w:tc>
          <w:tcPr>
            <w:tcW w:w="2542" w:type="dxa"/>
          </w:tcPr>
          <w:p w14:paraId="0A13F8F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FD56227" w14:textId="77777777" w:rsidTr="00191CB4">
        <w:trPr>
          <w:trHeight w:val="377"/>
          <w:jc w:val="right"/>
        </w:trPr>
        <w:tc>
          <w:tcPr>
            <w:tcW w:w="2539" w:type="dxa"/>
          </w:tcPr>
          <w:p w14:paraId="2F8F88C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13</w:t>
            </w:r>
          </w:p>
        </w:tc>
        <w:tc>
          <w:tcPr>
            <w:tcW w:w="2540" w:type="dxa"/>
          </w:tcPr>
          <w:p w14:paraId="307EA4B7"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15-Jan-2026</w:t>
            </w:r>
          </w:p>
        </w:tc>
        <w:tc>
          <w:tcPr>
            <w:tcW w:w="2542" w:type="dxa"/>
          </w:tcPr>
          <w:p w14:paraId="0581CE5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48B979E3" w14:textId="77777777" w:rsidTr="00191CB4">
        <w:trPr>
          <w:trHeight w:val="367"/>
          <w:jc w:val="right"/>
        </w:trPr>
        <w:tc>
          <w:tcPr>
            <w:tcW w:w="2539" w:type="dxa"/>
          </w:tcPr>
          <w:p w14:paraId="18235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14</w:t>
            </w:r>
          </w:p>
        </w:tc>
        <w:tc>
          <w:tcPr>
            <w:tcW w:w="2540" w:type="dxa"/>
          </w:tcPr>
          <w:p w14:paraId="1E2A6EC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15-Jul-2026</w:t>
            </w:r>
          </w:p>
        </w:tc>
        <w:tc>
          <w:tcPr>
            <w:tcW w:w="2542" w:type="dxa"/>
          </w:tcPr>
          <w:p w14:paraId="5CE7EE9A"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6FCCD2A6" w14:textId="77777777" w:rsidTr="00191CB4">
        <w:trPr>
          <w:trHeight w:val="377"/>
          <w:jc w:val="right"/>
        </w:trPr>
        <w:tc>
          <w:tcPr>
            <w:tcW w:w="2539" w:type="dxa"/>
          </w:tcPr>
          <w:p w14:paraId="0E85E18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w:t>
            </w:r>
          </w:p>
        </w:tc>
        <w:tc>
          <w:tcPr>
            <w:tcW w:w="2540" w:type="dxa"/>
          </w:tcPr>
          <w:p w14:paraId="412A507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15-Jan-2027</w:t>
            </w:r>
          </w:p>
        </w:tc>
        <w:tc>
          <w:tcPr>
            <w:tcW w:w="2542" w:type="dxa"/>
          </w:tcPr>
          <w:p w14:paraId="0F5CA25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20085616" w14:textId="77777777" w:rsidTr="00191CB4">
        <w:trPr>
          <w:trHeight w:val="367"/>
          <w:jc w:val="right"/>
        </w:trPr>
        <w:tc>
          <w:tcPr>
            <w:tcW w:w="2539" w:type="dxa"/>
          </w:tcPr>
          <w:p w14:paraId="1FBA0B7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16</w:t>
            </w:r>
          </w:p>
        </w:tc>
        <w:tc>
          <w:tcPr>
            <w:tcW w:w="2540" w:type="dxa"/>
          </w:tcPr>
          <w:p w14:paraId="3F57848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3-Jul-2027</w:t>
            </w:r>
          </w:p>
        </w:tc>
        <w:tc>
          <w:tcPr>
            <w:tcW w:w="2542" w:type="dxa"/>
          </w:tcPr>
          <w:p w14:paraId="1B83881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1211C1EF" w14:textId="77777777" w:rsidTr="00191CB4">
        <w:trPr>
          <w:trHeight w:val="377"/>
          <w:jc w:val="right"/>
        </w:trPr>
        <w:tc>
          <w:tcPr>
            <w:tcW w:w="2539" w:type="dxa"/>
          </w:tcPr>
          <w:p w14:paraId="7ADB56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17</w:t>
            </w:r>
          </w:p>
        </w:tc>
        <w:tc>
          <w:tcPr>
            <w:tcW w:w="2540" w:type="dxa"/>
          </w:tcPr>
          <w:p w14:paraId="4B896B7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4-Jul-2027</w:t>
            </w:r>
            <w:r w:rsidRPr="008B63A8">
              <w:rPr>
                <w:rFonts w:ascii="Verdana" w:hAnsi="Verdana"/>
                <w:i/>
                <w:iCs/>
                <w:sz w:val="20"/>
                <w:szCs w:val="20"/>
              </w:rPr>
              <w:t xml:space="preserve"> (Data de Vencimento)</w:t>
            </w:r>
          </w:p>
        </w:tc>
        <w:tc>
          <w:tcPr>
            <w:tcW w:w="2542" w:type="dxa"/>
          </w:tcPr>
          <w:p w14:paraId="71EC51F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bl>
    <w:p w14:paraId="7A8CCF54" w14:textId="77777777" w:rsidR="008B63A8" w:rsidRPr="008B63A8" w:rsidRDefault="008B63A8" w:rsidP="008B63A8">
      <w:pPr>
        <w:pStyle w:val="PargrafodaLista"/>
        <w:autoSpaceDE w:val="0"/>
        <w:autoSpaceDN w:val="0"/>
        <w:spacing w:before="120"/>
        <w:ind w:left="709"/>
        <w:rPr>
          <w:rFonts w:ascii="Verdana" w:hAnsi="Verdana"/>
          <w:i/>
          <w:iCs/>
          <w:sz w:val="20"/>
          <w:szCs w:val="20"/>
        </w:rPr>
      </w:pPr>
      <w:r w:rsidRPr="008B63A8">
        <w:rPr>
          <w:rFonts w:ascii="Verdana" w:hAnsi="Verdana"/>
          <w:i/>
          <w:iCs/>
          <w:sz w:val="20"/>
          <w:szCs w:val="20"/>
        </w:rPr>
        <w:t>(...)</w:t>
      </w:r>
    </w:p>
    <w:p w14:paraId="2FA6618C" w14:textId="77777777" w:rsidR="008E65CC" w:rsidRDefault="008E65CC">
      <w:pPr>
        <w:spacing w:after="160" w:line="259" w:lineRule="auto"/>
        <w:ind w:left="0" w:right="0" w:firstLine="0"/>
        <w:jc w:val="left"/>
        <w:rPr>
          <w:rFonts w:ascii="Verdana" w:hAnsi="Verdana"/>
          <w:b/>
          <w:bCs/>
          <w:i/>
          <w:iCs/>
          <w:sz w:val="20"/>
          <w:szCs w:val="20"/>
        </w:rPr>
      </w:pPr>
      <w:r>
        <w:rPr>
          <w:rFonts w:ascii="Verdana" w:hAnsi="Verdana"/>
          <w:b/>
          <w:bCs/>
          <w:i/>
          <w:iCs/>
          <w:sz w:val="20"/>
          <w:szCs w:val="20"/>
        </w:rPr>
        <w:br w:type="page"/>
      </w:r>
    </w:p>
    <w:p w14:paraId="06FAD376" w14:textId="1CF8F946" w:rsidR="008B63A8" w:rsidRDefault="008B63A8" w:rsidP="008B63A8">
      <w:pPr>
        <w:pStyle w:val="PargrafodaLista"/>
        <w:autoSpaceDE w:val="0"/>
        <w:autoSpaceDN w:val="0"/>
        <w:spacing w:before="120"/>
        <w:rPr>
          <w:rFonts w:ascii="Verdana" w:hAnsi="Verdana"/>
          <w:i/>
          <w:iCs/>
          <w:sz w:val="20"/>
          <w:szCs w:val="20"/>
        </w:rPr>
      </w:pPr>
      <w:r w:rsidRPr="00E72800">
        <w:rPr>
          <w:rFonts w:ascii="Verdana" w:hAnsi="Verdana"/>
          <w:b/>
          <w:bCs/>
          <w:i/>
          <w:iCs/>
          <w:sz w:val="20"/>
          <w:szCs w:val="20"/>
        </w:rPr>
        <w:lastRenderedPageBreak/>
        <w:t>4.5.1</w:t>
      </w:r>
      <w:r w:rsidRPr="008B63A8">
        <w:rPr>
          <w:rFonts w:ascii="Verdana" w:hAnsi="Verdana"/>
          <w:i/>
          <w:iCs/>
          <w:sz w:val="20"/>
          <w:szCs w:val="20"/>
        </w:rPr>
        <w:tab/>
        <w:t xml:space="preserve">Amortização das Debêntures. O Valor Nominal Unitário das Debêntures será amortizado conforme o seguinte Cronograma de Pagamentos de Amortização: </w:t>
      </w:r>
    </w:p>
    <w:tbl>
      <w:tblPr>
        <w:tblStyle w:val="Tabelacomgrade"/>
        <w:tblW w:w="4270" w:type="pct"/>
        <w:jc w:val="right"/>
        <w:tblLook w:val="04A0" w:firstRow="1" w:lastRow="0" w:firstColumn="1" w:lastColumn="0" w:noHBand="0" w:noVBand="1"/>
      </w:tblPr>
      <w:tblGrid>
        <w:gridCol w:w="2069"/>
        <w:gridCol w:w="2905"/>
        <w:gridCol w:w="2285"/>
      </w:tblGrid>
      <w:tr w:rsidR="008B63A8" w:rsidRPr="008B63A8" w14:paraId="0FB66C01" w14:textId="77777777" w:rsidTr="00191CB4">
        <w:trPr>
          <w:trHeight w:val="539"/>
          <w:jc w:val="right"/>
        </w:trPr>
        <w:tc>
          <w:tcPr>
            <w:tcW w:w="5000" w:type="pct"/>
            <w:gridSpan w:val="3"/>
            <w:shd w:val="clear" w:color="auto" w:fill="D9D9D9" w:themeFill="background1" w:themeFillShade="D9"/>
            <w:vAlign w:val="center"/>
          </w:tcPr>
          <w:p w14:paraId="5F8F18C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Cronograma de Pagamentos de Amortização</w:t>
            </w:r>
          </w:p>
        </w:tc>
      </w:tr>
      <w:tr w:rsidR="008B63A8" w:rsidRPr="008B63A8" w14:paraId="53BE1246" w14:textId="77777777" w:rsidTr="00191CB4">
        <w:trPr>
          <w:trHeight w:val="773"/>
          <w:jc w:val="right"/>
        </w:trPr>
        <w:tc>
          <w:tcPr>
            <w:tcW w:w="1425" w:type="pct"/>
            <w:shd w:val="clear" w:color="auto" w:fill="D9D9D9" w:themeFill="background1" w:themeFillShade="D9"/>
            <w:vAlign w:val="center"/>
          </w:tcPr>
          <w:p w14:paraId="645A107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Parcelas</w:t>
            </w:r>
          </w:p>
        </w:tc>
        <w:tc>
          <w:tcPr>
            <w:tcW w:w="2001" w:type="pct"/>
            <w:shd w:val="clear" w:color="auto" w:fill="D9D9D9" w:themeFill="background1" w:themeFillShade="D9"/>
            <w:vAlign w:val="center"/>
          </w:tcPr>
          <w:p w14:paraId="6E35B416"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Data do Pagamento de Amortização das Debêntures</w:t>
            </w:r>
          </w:p>
        </w:tc>
        <w:tc>
          <w:tcPr>
            <w:tcW w:w="1574" w:type="pct"/>
            <w:shd w:val="clear" w:color="auto" w:fill="D9D9D9" w:themeFill="background1" w:themeFillShade="D9"/>
            <w:vAlign w:val="center"/>
          </w:tcPr>
          <w:p w14:paraId="1D4AA58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Percentual de Amortização do Valor Unitário Das Debêntures</w:t>
            </w:r>
          </w:p>
        </w:tc>
      </w:tr>
      <w:tr w:rsidR="008B63A8" w:rsidRPr="008B63A8" w14:paraId="26C9861A" w14:textId="77777777" w:rsidTr="00191CB4">
        <w:trPr>
          <w:trHeight w:val="376"/>
          <w:jc w:val="right"/>
        </w:trPr>
        <w:tc>
          <w:tcPr>
            <w:tcW w:w="1425" w:type="pct"/>
          </w:tcPr>
          <w:p w14:paraId="3DCFF18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w:t>
            </w:r>
          </w:p>
        </w:tc>
        <w:tc>
          <w:tcPr>
            <w:tcW w:w="2001" w:type="pct"/>
          </w:tcPr>
          <w:p w14:paraId="6D71A9A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15-Jul-2022</w:t>
            </w:r>
          </w:p>
        </w:tc>
        <w:tc>
          <w:tcPr>
            <w:tcW w:w="1574" w:type="pct"/>
          </w:tcPr>
          <w:p w14:paraId="3C871F5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20,0000%</w:t>
            </w:r>
          </w:p>
        </w:tc>
      </w:tr>
      <w:tr w:rsidR="008B63A8" w:rsidRPr="008B63A8" w14:paraId="6F8D361D" w14:textId="77777777" w:rsidTr="00191CB4">
        <w:trPr>
          <w:trHeight w:val="387"/>
          <w:jc w:val="right"/>
        </w:trPr>
        <w:tc>
          <w:tcPr>
            <w:tcW w:w="1425" w:type="pct"/>
          </w:tcPr>
          <w:p w14:paraId="1C2A49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w:t>
            </w:r>
          </w:p>
        </w:tc>
        <w:tc>
          <w:tcPr>
            <w:tcW w:w="2001" w:type="pct"/>
          </w:tcPr>
          <w:p w14:paraId="1D5FB8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15-Jul-2023</w:t>
            </w:r>
          </w:p>
        </w:tc>
        <w:tc>
          <w:tcPr>
            <w:tcW w:w="1574" w:type="pct"/>
          </w:tcPr>
          <w:p w14:paraId="7C3099E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6,0000%</w:t>
            </w:r>
          </w:p>
        </w:tc>
      </w:tr>
      <w:tr w:rsidR="008B63A8" w:rsidRPr="008B63A8" w14:paraId="5840E4DC" w14:textId="77777777" w:rsidTr="00191CB4">
        <w:trPr>
          <w:trHeight w:val="376"/>
          <w:jc w:val="right"/>
        </w:trPr>
        <w:tc>
          <w:tcPr>
            <w:tcW w:w="1425" w:type="pct"/>
          </w:tcPr>
          <w:p w14:paraId="1761F8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w:t>
            </w:r>
          </w:p>
        </w:tc>
        <w:tc>
          <w:tcPr>
            <w:tcW w:w="2001" w:type="pct"/>
          </w:tcPr>
          <w:p w14:paraId="2493FEC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15-Jan-2024</w:t>
            </w:r>
          </w:p>
        </w:tc>
        <w:tc>
          <w:tcPr>
            <w:tcW w:w="1574" w:type="pct"/>
          </w:tcPr>
          <w:p w14:paraId="5CA24514"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546967E9" w14:textId="77777777" w:rsidTr="00191CB4">
        <w:trPr>
          <w:trHeight w:val="387"/>
          <w:jc w:val="right"/>
        </w:trPr>
        <w:tc>
          <w:tcPr>
            <w:tcW w:w="1425" w:type="pct"/>
          </w:tcPr>
          <w:p w14:paraId="4C98A8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w:t>
            </w:r>
          </w:p>
        </w:tc>
        <w:tc>
          <w:tcPr>
            <w:tcW w:w="2001" w:type="pct"/>
          </w:tcPr>
          <w:p w14:paraId="178656B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15-Jul-2024</w:t>
            </w:r>
          </w:p>
        </w:tc>
        <w:tc>
          <w:tcPr>
            <w:tcW w:w="1574" w:type="pct"/>
          </w:tcPr>
          <w:p w14:paraId="17B9F7F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3363D16E" w14:textId="77777777" w:rsidTr="00191CB4">
        <w:trPr>
          <w:trHeight w:val="376"/>
          <w:jc w:val="right"/>
        </w:trPr>
        <w:tc>
          <w:tcPr>
            <w:tcW w:w="1425" w:type="pct"/>
          </w:tcPr>
          <w:p w14:paraId="6AC438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w:t>
            </w:r>
          </w:p>
        </w:tc>
        <w:tc>
          <w:tcPr>
            <w:tcW w:w="2001" w:type="pct"/>
          </w:tcPr>
          <w:p w14:paraId="04BA4A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15-Jan-2025</w:t>
            </w:r>
          </w:p>
        </w:tc>
        <w:tc>
          <w:tcPr>
            <w:tcW w:w="1574" w:type="pct"/>
          </w:tcPr>
          <w:p w14:paraId="79B86E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w:t>
            </w:r>
          </w:p>
        </w:tc>
      </w:tr>
      <w:tr w:rsidR="008B63A8" w:rsidRPr="008B63A8" w14:paraId="0A16F597" w14:textId="77777777" w:rsidTr="00191CB4">
        <w:trPr>
          <w:trHeight w:val="387"/>
          <w:jc w:val="right"/>
        </w:trPr>
        <w:tc>
          <w:tcPr>
            <w:tcW w:w="1425" w:type="pct"/>
          </w:tcPr>
          <w:p w14:paraId="17662CA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w:t>
            </w:r>
          </w:p>
        </w:tc>
        <w:tc>
          <w:tcPr>
            <w:tcW w:w="2001" w:type="pct"/>
          </w:tcPr>
          <w:p w14:paraId="45CAAA6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15-Jul-2025</w:t>
            </w:r>
          </w:p>
        </w:tc>
        <w:tc>
          <w:tcPr>
            <w:tcW w:w="1574" w:type="pct"/>
          </w:tcPr>
          <w:p w14:paraId="0AF8E93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4550F9FC" w14:textId="77777777" w:rsidTr="00191CB4">
        <w:trPr>
          <w:trHeight w:val="376"/>
          <w:jc w:val="right"/>
        </w:trPr>
        <w:tc>
          <w:tcPr>
            <w:tcW w:w="1425" w:type="pct"/>
          </w:tcPr>
          <w:p w14:paraId="2DD84D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w:t>
            </w:r>
          </w:p>
        </w:tc>
        <w:tc>
          <w:tcPr>
            <w:tcW w:w="2001" w:type="pct"/>
          </w:tcPr>
          <w:p w14:paraId="5E2EFC7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15-Jan-2026</w:t>
            </w:r>
          </w:p>
        </w:tc>
        <w:tc>
          <w:tcPr>
            <w:tcW w:w="1574" w:type="pct"/>
          </w:tcPr>
          <w:p w14:paraId="4B98F0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5464DC24" w14:textId="77777777" w:rsidTr="00191CB4">
        <w:trPr>
          <w:trHeight w:val="387"/>
          <w:jc w:val="right"/>
        </w:trPr>
        <w:tc>
          <w:tcPr>
            <w:tcW w:w="1425" w:type="pct"/>
          </w:tcPr>
          <w:p w14:paraId="4E930B3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8</w:t>
            </w:r>
          </w:p>
        </w:tc>
        <w:tc>
          <w:tcPr>
            <w:tcW w:w="2001" w:type="pct"/>
          </w:tcPr>
          <w:p w14:paraId="7A213E0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15-Jul-2026</w:t>
            </w:r>
          </w:p>
        </w:tc>
        <w:tc>
          <w:tcPr>
            <w:tcW w:w="1574" w:type="pct"/>
          </w:tcPr>
          <w:p w14:paraId="68565E1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BED3B48" w14:textId="77777777" w:rsidTr="00191CB4">
        <w:trPr>
          <w:trHeight w:val="387"/>
          <w:jc w:val="right"/>
        </w:trPr>
        <w:tc>
          <w:tcPr>
            <w:tcW w:w="1425" w:type="pct"/>
          </w:tcPr>
          <w:p w14:paraId="3C5E42F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9</w:t>
            </w:r>
          </w:p>
        </w:tc>
        <w:tc>
          <w:tcPr>
            <w:tcW w:w="2001" w:type="pct"/>
          </w:tcPr>
          <w:p w14:paraId="073C01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15-Jan-2027</w:t>
            </w:r>
          </w:p>
        </w:tc>
        <w:tc>
          <w:tcPr>
            <w:tcW w:w="1574" w:type="pct"/>
          </w:tcPr>
          <w:p w14:paraId="2413854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412EBDF" w14:textId="77777777" w:rsidTr="00191CB4">
        <w:trPr>
          <w:trHeight w:val="376"/>
          <w:jc w:val="right"/>
        </w:trPr>
        <w:tc>
          <w:tcPr>
            <w:tcW w:w="1425" w:type="pct"/>
          </w:tcPr>
          <w:p w14:paraId="7707F2F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w:t>
            </w:r>
          </w:p>
        </w:tc>
        <w:tc>
          <w:tcPr>
            <w:tcW w:w="2001" w:type="pct"/>
          </w:tcPr>
          <w:p w14:paraId="0702298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3-Jul-2027</w:t>
            </w:r>
          </w:p>
        </w:tc>
        <w:tc>
          <w:tcPr>
            <w:tcW w:w="1574" w:type="pct"/>
          </w:tcPr>
          <w:p w14:paraId="79001A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7,0000%</w:t>
            </w:r>
          </w:p>
        </w:tc>
      </w:tr>
      <w:tr w:rsidR="008B63A8" w:rsidRPr="008B63A8" w14:paraId="0DCFE279" w14:textId="77777777" w:rsidTr="00191CB4">
        <w:trPr>
          <w:trHeight w:val="48"/>
          <w:jc w:val="right"/>
        </w:trPr>
        <w:tc>
          <w:tcPr>
            <w:tcW w:w="1425" w:type="pct"/>
          </w:tcPr>
          <w:p w14:paraId="34EF99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11</w:t>
            </w:r>
          </w:p>
        </w:tc>
        <w:tc>
          <w:tcPr>
            <w:tcW w:w="2001" w:type="pct"/>
          </w:tcPr>
          <w:p w14:paraId="66DB45F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4-Jul-2027 (Data de Vencimento)</w:t>
            </w:r>
          </w:p>
        </w:tc>
        <w:tc>
          <w:tcPr>
            <w:tcW w:w="1574" w:type="pct"/>
          </w:tcPr>
          <w:p w14:paraId="05183C5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51,0000%</w:t>
            </w:r>
          </w:p>
        </w:tc>
      </w:tr>
    </w:tbl>
    <w:p w14:paraId="7B300203" w14:textId="68469AA3"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7BCA26EC" w14:textId="6ACDBFFF"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6.1.6</w:t>
      </w:r>
      <w:r w:rsidRPr="008B63A8">
        <w:rPr>
          <w:rFonts w:ascii="Verdana" w:hAnsi="Verdana"/>
          <w:i/>
          <w:iCs/>
          <w:sz w:val="20"/>
          <w:szCs w:val="20"/>
        </w:rPr>
        <w:tab/>
        <w:t>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14% (quatorze por cento) do Valor Nominal Unitário das Debêntures de cada Série e (b) a data prevista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 para redução dos Juros Remuneratórios, caso tal amortização antecipada tenha atingido, em relação à cada uma das Séries, a amortização de 14% (quatorze por cento) do Valor Nominal Unitário das Debêntures de cada Série.</w:t>
      </w:r>
    </w:p>
    <w:p w14:paraId="15441310" w14:textId="59879CC8"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6F9C12DE" w14:textId="251A81CF"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6.2.10</w:t>
      </w:r>
      <w:r w:rsidRPr="008B63A8">
        <w:rPr>
          <w:rFonts w:ascii="Verdana" w:hAnsi="Verdana"/>
          <w:i/>
          <w:iCs/>
          <w:sz w:val="20"/>
          <w:szCs w:val="20"/>
        </w:rPr>
        <w:tab/>
        <w:t xml:space="preserve">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w:t>
      </w:r>
      <w:r w:rsidRPr="008B63A8">
        <w:rPr>
          <w:rFonts w:ascii="Verdana" w:hAnsi="Verdana"/>
          <w:i/>
          <w:iCs/>
          <w:sz w:val="20"/>
          <w:szCs w:val="20"/>
        </w:rPr>
        <w:lastRenderedPageBreak/>
        <w:t>Nominal Unitário ou do saldo do Valor Unitário, conforme o caso, devidas nos termos da tabela constante da Cláusula 4.5.1 acima,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8B63A8">
        <w:rPr>
          <w:rFonts w:ascii="Verdana" w:hAnsi="Verdana"/>
          <w:i/>
          <w:iCs/>
          <w:sz w:val="20"/>
          <w:szCs w:val="20"/>
        </w:rPr>
        <w:t>ii</w:t>
      </w:r>
      <w:proofErr w:type="spellEnd"/>
      <w:r w:rsidRPr="008B63A8">
        <w:rPr>
          <w:rFonts w:ascii="Verdana" w:hAnsi="Verdana"/>
          <w:i/>
          <w:iCs/>
          <w:sz w:val="20"/>
          <w:szCs w:val="20"/>
        </w:rPr>
        <w:t>) R$ 196.366.454,00 (cento e noventa e seis milhões, trezentos e sessenta e seis mil, quatrocentos e cinquenta e quatro reais).</w:t>
      </w:r>
    </w:p>
    <w:p w14:paraId="518CC87B" w14:textId="69C69B1F"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20F3FE03" w14:textId="5D92F6DF"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6.2.12</w:t>
      </w:r>
      <w:r w:rsidRPr="008B63A8">
        <w:rPr>
          <w:rFonts w:ascii="Verdana" w:hAnsi="Verdana"/>
          <w:i/>
          <w:iCs/>
          <w:sz w:val="20"/>
          <w:szCs w:val="20"/>
        </w:rPr>
        <w:tab/>
        <w:t>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14% (quatorze por cento) do Valor Nominal Unitário das Debêntures de cada Série e (b) a data prevista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 para redução dos Juros Remuneratórios, caso tal amortização antecipada tenha atingido, em relação à cada uma das Séries, a amortização de 14% (quatorze por cento) do Valor Nominal Unitário das Debêntures de cada Série.</w:t>
      </w:r>
    </w:p>
    <w:p w14:paraId="4B647F13" w14:textId="5E068BFC"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696BC867" w14:textId="77777777" w:rsidR="008B63A8" w:rsidRP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7.1(m)</w:t>
      </w:r>
      <w:r w:rsidRPr="008B63A8">
        <w:rPr>
          <w:rFonts w:ascii="Verdana" w:hAnsi="Verdana"/>
          <w:i/>
          <w:iCs/>
          <w:sz w:val="20"/>
          <w:szCs w:val="20"/>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8B63A8">
        <w:rPr>
          <w:rFonts w:ascii="Verdana" w:hAnsi="Verdana"/>
          <w:i/>
          <w:iCs/>
          <w:sz w:val="20"/>
          <w:szCs w:val="20"/>
        </w:rPr>
        <w:t>ii</w:t>
      </w:r>
      <w:proofErr w:type="spellEnd"/>
      <w:r w:rsidRPr="008B63A8">
        <w:rPr>
          <w:rFonts w:ascii="Verdana" w:hAnsi="Verdana"/>
          <w:i/>
          <w:iCs/>
          <w:sz w:val="20"/>
          <w:szCs w:val="20"/>
        </w:rPr>
        <w:t>) R$ 196.366.454,00 (cento e noventa e seis milhões, trezentos e sessenta e seis mil, quatrocentos e cinquenta e quatro reais), conforme Cláusula 6.2.9 acima;</w:t>
      </w:r>
    </w:p>
    <w:p w14:paraId="04BA0197" w14:textId="77777777" w:rsidR="008257D0" w:rsidRPr="00745C74" w:rsidRDefault="008257D0" w:rsidP="008257D0">
      <w:pPr>
        <w:ind w:left="-5" w:right="0"/>
        <w:rPr>
          <w:rFonts w:ascii="Verdana" w:hAnsi="Verdana"/>
          <w:sz w:val="20"/>
          <w:szCs w:val="20"/>
        </w:rPr>
      </w:pPr>
      <w:r w:rsidRPr="00745C74">
        <w:rPr>
          <w:rFonts w:ascii="Verdana" w:hAnsi="Verdana"/>
          <w:b/>
          <w:bCs/>
          <w:sz w:val="20"/>
          <w:szCs w:val="20"/>
        </w:rPr>
        <w:t>(</w:t>
      </w:r>
      <w:proofErr w:type="spellStart"/>
      <w:r w:rsidRPr="00745C74">
        <w:rPr>
          <w:rFonts w:ascii="Verdana" w:hAnsi="Verdana"/>
          <w:b/>
          <w:bCs/>
          <w:sz w:val="20"/>
          <w:szCs w:val="20"/>
        </w:rPr>
        <w:t>iii</w:t>
      </w:r>
      <w:proofErr w:type="spellEnd"/>
      <w:r w:rsidRPr="00745C74">
        <w:rPr>
          <w:rFonts w:ascii="Verdana" w:hAnsi="Verdana"/>
          <w:b/>
          <w:bCs/>
          <w:sz w:val="20"/>
          <w:szCs w:val="20"/>
        </w:rPr>
        <w:t>)</w:t>
      </w:r>
      <w:r w:rsidRPr="00745C74">
        <w:rPr>
          <w:rFonts w:ascii="Verdana" w:hAnsi="Verdana"/>
          <w:b/>
          <w:bCs/>
          <w:sz w:val="20"/>
          <w:szCs w:val="20"/>
        </w:rPr>
        <w:tab/>
      </w:r>
      <w:r w:rsidRPr="00745C74">
        <w:rPr>
          <w:rFonts w:ascii="Verdana" w:hAnsi="Verdana"/>
          <w:sz w:val="20"/>
          <w:szCs w:val="20"/>
        </w:rPr>
        <w:t>As definições de “</w:t>
      </w:r>
      <w:r w:rsidRPr="00745C74">
        <w:rPr>
          <w:rFonts w:ascii="Verdana" w:hAnsi="Verdana"/>
          <w:b/>
          <w:bCs/>
          <w:sz w:val="20"/>
          <w:szCs w:val="20"/>
        </w:rPr>
        <w:t>Auditor Independente</w:t>
      </w:r>
      <w:r w:rsidRPr="00745C74">
        <w:rPr>
          <w:rFonts w:ascii="Verdana" w:hAnsi="Verdana"/>
          <w:sz w:val="20"/>
          <w:szCs w:val="20"/>
        </w:rPr>
        <w:t>”, “</w:t>
      </w:r>
      <w:r w:rsidRPr="00745C74">
        <w:rPr>
          <w:rFonts w:ascii="Verdana" w:hAnsi="Verdana"/>
          <w:b/>
          <w:bCs/>
          <w:sz w:val="20"/>
          <w:szCs w:val="20"/>
        </w:rPr>
        <w:t>Endividamento Permitido</w:t>
      </w:r>
      <w:r w:rsidRPr="00745C74">
        <w:rPr>
          <w:rFonts w:ascii="Verdana" w:hAnsi="Verdana"/>
          <w:sz w:val="20"/>
          <w:szCs w:val="20"/>
        </w:rPr>
        <w:t>” e “</w:t>
      </w:r>
      <w:r w:rsidRPr="00745C74">
        <w:rPr>
          <w:rFonts w:ascii="Verdana" w:hAnsi="Verdana"/>
          <w:b/>
          <w:bCs/>
          <w:sz w:val="20"/>
          <w:szCs w:val="20"/>
        </w:rPr>
        <w:t>Evento de Liquidez</w:t>
      </w:r>
      <w:r w:rsidRPr="00745C74">
        <w:rPr>
          <w:rFonts w:ascii="Verdana" w:hAnsi="Verdana"/>
          <w:sz w:val="20"/>
          <w:szCs w:val="20"/>
        </w:rPr>
        <w:t>” serão alteradas e passarão a ter a seguinte redação:</w:t>
      </w:r>
    </w:p>
    <w:p w14:paraId="4C2FDE47" w14:textId="77777777"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u w:color="000000"/>
        </w:rPr>
        <w:t>“</w:t>
      </w:r>
      <w:r w:rsidRPr="00745C74">
        <w:rPr>
          <w:rFonts w:ascii="Verdana" w:hAnsi="Verdana"/>
          <w:b/>
          <w:bCs/>
          <w:i/>
          <w:iCs/>
          <w:sz w:val="20"/>
          <w:szCs w:val="20"/>
          <w:u w:color="000000"/>
        </w:rPr>
        <w:t>Auditor Independente</w:t>
      </w:r>
      <w:r w:rsidRPr="00745C74">
        <w:rPr>
          <w:rFonts w:ascii="Verdana" w:hAnsi="Verdana"/>
          <w:i/>
          <w:iCs/>
          <w:sz w:val="20"/>
          <w:szCs w:val="20"/>
          <w:u w:color="000000"/>
        </w:rPr>
        <w:t xml:space="preserve">” significa a Grant Thornton, empresa de auditoria independente contratada pela Emissora para auditar as respectivas demonstrações financeiras das Devedoras referentes ao exercício social de 2020 em diante, ou empresa de auditoria independente a ser selecionada dentre Deloitte </w:t>
      </w:r>
      <w:proofErr w:type="spellStart"/>
      <w:r w:rsidRPr="00745C74">
        <w:rPr>
          <w:rFonts w:ascii="Verdana" w:hAnsi="Verdana"/>
          <w:i/>
          <w:iCs/>
          <w:sz w:val="20"/>
          <w:szCs w:val="20"/>
          <w:u w:color="000000"/>
        </w:rPr>
        <w:t>Touche</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Tohmatsu</w:t>
      </w:r>
      <w:proofErr w:type="spellEnd"/>
      <w:r w:rsidRPr="00745C74">
        <w:rPr>
          <w:rFonts w:ascii="Verdana" w:hAnsi="Verdana"/>
          <w:i/>
          <w:iCs/>
          <w:sz w:val="20"/>
          <w:szCs w:val="20"/>
          <w:u w:color="000000"/>
        </w:rPr>
        <w:t xml:space="preserve"> Consultores Ltda., Ernest &amp; Young Auditores Independentes S/S, KPMG Auditores Independentes, </w:t>
      </w:r>
      <w:proofErr w:type="spellStart"/>
      <w:r w:rsidRPr="00745C74">
        <w:rPr>
          <w:rFonts w:ascii="Verdana" w:hAnsi="Verdana"/>
          <w:i/>
          <w:iCs/>
          <w:sz w:val="20"/>
          <w:szCs w:val="20"/>
          <w:u w:color="000000"/>
        </w:rPr>
        <w:t>PricewaterhouseCoopers</w:t>
      </w:r>
      <w:proofErr w:type="spellEnd"/>
      <w:r w:rsidRPr="00745C74">
        <w:rPr>
          <w:rFonts w:ascii="Verdana" w:hAnsi="Verdana"/>
          <w:i/>
          <w:iCs/>
          <w:sz w:val="20"/>
          <w:szCs w:val="20"/>
          <w:u w:color="000000"/>
        </w:rPr>
        <w:t xml:space="preserve"> Auditores Independentes, para auditar as respectivas demonstrações financeiras das Devedoras do exercício social de 2021 em diante, além de prestar outras informações e confirmações previstas no âmbito da Reestruturação.</w:t>
      </w:r>
    </w:p>
    <w:p w14:paraId="636F177E" w14:textId="0FAB51D0"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lastRenderedPageBreak/>
        <w:t>“</w:t>
      </w:r>
      <w:r w:rsidRPr="00745C74">
        <w:rPr>
          <w:rFonts w:ascii="Verdana" w:hAnsi="Verdana"/>
          <w:b/>
          <w:bCs/>
          <w:i/>
          <w:iCs/>
          <w:sz w:val="20"/>
          <w:szCs w:val="20"/>
          <w:u w:color="000000"/>
        </w:rPr>
        <w:t>Endividamento Permitido</w:t>
      </w:r>
      <w:r w:rsidRPr="00745C74">
        <w:rPr>
          <w:rFonts w:ascii="Verdana" w:hAnsi="Verdana"/>
          <w:i/>
          <w:iCs/>
          <w:sz w:val="20"/>
          <w:szCs w:val="20"/>
          <w:u w:color="000000"/>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xml:space="preserve"> e performance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e (i.3) não sejam aplicados, direta ou indiretamente, em operações ou para a satisfação de obrigações de Pessoas fora do Ecossistema CQGDNSA; (</w:t>
      </w:r>
      <w:proofErr w:type="spellStart"/>
      <w:r w:rsidRPr="00745C74">
        <w:rPr>
          <w:rFonts w:ascii="Verdana" w:hAnsi="Verdana"/>
          <w:i/>
          <w:iCs/>
          <w:sz w:val="20"/>
          <w:szCs w:val="20"/>
          <w:u w:color="000000"/>
        </w:rPr>
        <w:t>ii</w:t>
      </w:r>
      <w:proofErr w:type="spellEnd"/>
      <w:r w:rsidRPr="00745C74">
        <w:rPr>
          <w:rFonts w:ascii="Verdana" w:hAnsi="Verdana"/>
          <w:i/>
          <w:iCs/>
          <w:sz w:val="20"/>
          <w:szCs w:val="20"/>
          <w:u w:color="000000"/>
        </w:rPr>
        <w:t>) Empréstimo Seniores concedidos pelas Emissora e/ou pelas Fiadoras nos termos da Cláusula 8.3; (</w:t>
      </w:r>
      <w:proofErr w:type="spellStart"/>
      <w:r w:rsidRPr="00745C74">
        <w:rPr>
          <w:rFonts w:ascii="Verdana" w:hAnsi="Verdana"/>
          <w:i/>
          <w:iCs/>
          <w:sz w:val="20"/>
          <w:szCs w:val="20"/>
          <w:u w:color="000000"/>
        </w:rPr>
        <w:t>iii</w:t>
      </w:r>
      <w:proofErr w:type="spellEnd"/>
      <w:r w:rsidRPr="00745C74">
        <w:rPr>
          <w:rFonts w:ascii="Verdana" w:hAnsi="Verdana"/>
          <w:i/>
          <w:iCs/>
          <w:sz w:val="20"/>
          <w:szCs w:val="20"/>
          <w:u w:color="000000"/>
        </w:rPr>
        <w:t>) Endividamentos previamente aprovados por escrito pelos Debenturistas; (</w:t>
      </w:r>
      <w:proofErr w:type="spellStart"/>
      <w:r w:rsidRPr="00745C74">
        <w:rPr>
          <w:rFonts w:ascii="Verdana" w:hAnsi="Verdana"/>
          <w:i/>
          <w:iCs/>
          <w:sz w:val="20"/>
          <w:szCs w:val="20"/>
          <w:u w:color="000000"/>
        </w:rPr>
        <w:t>iv</w:t>
      </w:r>
      <w:proofErr w:type="spellEnd"/>
      <w:r w:rsidRPr="00745C74">
        <w:rPr>
          <w:rFonts w:ascii="Verdana" w:hAnsi="Verdana"/>
          <w:i/>
          <w:iCs/>
          <w:sz w:val="20"/>
          <w:szCs w:val="20"/>
          <w:u w:color="000000"/>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745C74">
        <w:rPr>
          <w:rFonts w:ascii="Verdana" w:hAnsi="Verdana"/>
          <w:i/>
          <w:iCs/>
          <w:sz w:val="20"/>
          <w:szCs w:val="20"/>
          <w:u w:color="000000"/>
        </w:rPr>
        <w:t>vii</w:t>
      </w:r>
      <w:proofErr w:type="spellEnd"/>
      <w:r w:rsidRPr="00745C74">
        <w:rPr>
          <w:rFonts w:ascii="Verdana" w:hAnsi="Verdana"/>
          <w:i/>
          <w:iCs/>
          <w:sz w:val="20"/>
          <w:szCs w:val="20"/>
          <w:u w:color="000000"/>
        </w:rPr>
        <w:t>) quaisquer financiamentos contraídos pelas Devedoras, no curso ordinário dos seus negócios, destinados especificamente a um projeto determinado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no Ecossistema CQGDNSA, incluindo Endividamentos correlatos necessários a tal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com relação ao projeto em questão, sendo que, caso 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w:t>
      </w:r>
      <w:proofErr w:type="spellStart"/>
      <w:r w:rsidRPr="00745C74">
        <w:rPr>
          <w:rFonts w:ascii="Verdana" w:hAnsi="Verdana"/>
          <w:i/>
          <w:iCs/>
          <w:sz w:val="20"/>
          <w:szCs w:val="20"/>
          <w:u w:color="000000"/>
        </w:rPr>
        <w:t>viii</w:t>
      </w:r>
      <w:proofErr w:type="spellEnd"/>
      <w:r w:rsidRPr="00745C74">
        <w:rPr>
          <w:rFonts w:ascii="Verdana" w:hAnsi="Verdana"/>
          <w:i/>
          <w:iCs/>
          <w:sz w:val="20"/>
          <w:szCs w:val="20"/>
          <w:u w:color="000000"/>
        </w:rPr>
        <w:t>) os Instrumentos de Dívida; (</w:t>
      </w:r>
      <w:proofErr w:type="spellStart"/>
      <w:r w:rsidRPr="00745C74">
        <w:rPr>
          <w:rFonts w:ascii="Verdana" w:hAnsi="Verdana"/>
          <w:i/>
          <w:iCs/>
          <w:sz w:val="20"/>
          <w:szCs w:val="20"/>
          <w:u w:color="000000"/>
        </w:rPr>
        <w:t>ix</w:t>
      </w:r>
      <w:proofErr w:type="spellEnd"/>
      <w:r w:rsidRPr="00745C74">
        <w:rPr>
          <w:rFonts w:ascii="Verdana" w:hAnsi="Verdana"/>
          <w:i/>
          <w:iCs/>
          <w:sz w:val="20"/>
          <w:szCs w:val="20"/>
          <w:u w:color="000000"/>
        </w:rPr>
        <w:t xml:space="preserve">) desde que seja celebrado o instrumento da AF de Ações QGEP, e a respectiva Garantia esteja plenamente válida e eficaz (inclusive, com devido registro da Garantia perante o agente </w:t>
      </w:r>
      <w:proofErr w:type="spellStart"/>
      <w:r w:rsidRPr="00745C74">
        <w:rPr>
          <w:rFonts w:ascii="Verdana" w:hAnsi="Verdana"/>
          <w:i/>
          <w:iCs/>
          <w:sz w:val="20"/>
          <w:szCs w:val="20"/>
          <w:u w:color="000000"/>
        </w:rPr>
        <w:t>escriturador</w:t>
      </w:r>
      <w:proofErr w:type="spellEnd"/>
      <w:r w:rsidRPr="00745C74">
        <w:rPr>
          <w:rFonts w:ascii="Verdana" w:hAnsi="Verdana"/>
          <w:i/>
          <w:iCs/>
          <w:sz w:val="20"/>
          <w:szCs w:val="20"/>
          <w:u w:color="000000"/>
        </w:rPr>
        <w:t xml:space="preserve"> das respectivas ações), debêntures que sejam emitidas pela Emissora até 30 de setembro de 2019, nos termos apresentados ao Agente Fiduciário antes da Emissão (“</w:t>
      </w:r>
      <w:r w:rsidRPr="008B63A8">
        <w:rPr>
          <w:rFonts w:ascii="Verdana" w:hAnsi="Verdana"/>
          <w:i/>
          <w:iCs/>
          <w:sz w:val="20"/>
          <w:szCs w:val="20"/>
          <w:u w:val="single" w:color="000000"/>
        </w:rPr>
        <w:t>Debêntures Permitidas</w:t>
      </w:r>
      <w:r w:rsidRPr="00745C74">
        <w:rPr>
          <w:rFonts w:ascii="Verdana" w:hAnsi="Verdana"/>
          <w:i/>
          <w:iCs/>
          <w:sz w:val="20"/>
          <w:szCs w:val="20"/>
          <w:u w:color="000000"/>
        </w:rPr>
        <w:t xml:space="preserve">”); (x) performance e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bonds</w:t>
      </w:r>
      <w:proofErr w:type="spellEnd"/>
      <w:r w:rsidRPr="00745C74">
        <w:rPr>
          <w:rFonts w:ascii="Verdana" w:hAnsi="Verdana"/>
          <w:i/>
          <w:iCs/>
          <w:sz w:val="20"/>
          <w:szCs w:val="20"/>
          <w:u w:color="000000"/>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a </w:t>
      </w:r>
      <w:r w:rsidRPr="00745C74">
        <w:rPr>
          <w:rFonts w:ascii="Verdana" w:hAnsi="Verdana"/>
          <w:i/>
          <w:iCs/>
          <w:sz w:val="20"/>
          <w:szCs w:val="20"/>
          <w:u w:color="000000"/>
        </w:rPr>
        <w:lastRenderedPageBreak/>
        <w:t>apólices de seguro) para garantia de execuções judiciais em geral e (</w:t>
      </w:r>
      <w:proofErr w:type="spellStart"/>
      <w:r w:rsidRPr="00745C74">
        <w:rPr>
          <w:rFonts w:ascii="Verdana" w:hAnsi="Verdana"/>
          <w:i/>
          <w:iCs/>
          <w:sz w:val="20"/>
          <w:szCs w:val="20"/>
          <w:u w:color="000000"/>
        </w:rPr>
        <w:t>xii</w:t>
      </w:r>
      <w:proofErr w:type="spellEnd"/>
      <w:r w:rsidRPr="00745C74">
        <w:rPr>
          <w:rFonts w:ascii="Verdana" w:hAnsi="Verdana"/>
          <w:i/>
          <w:iCs/>
          <w:sz w:val="20"/>
          <w:szCs w:val="20"/>
          <w:u w:color="000000"/>
        </w:rPr>
        <w:t xml:space="preserve">) financiamentos de máquinas e equipamentos (FINAME), no valor total de até R$ </w:t>
      </w:r>
      <w:r w:rsidR="008B63A8">
        <w:rPr>
          <w:rFonts w:ascii="Verdana" w:hAnsi="Verdana"/>
          <w:i/>
          <w:iCs/>
          <w:sz w:val="20"/>
          <w:szCs w:val="20"/>
          <w:u w:color="000000"/>
        </w:rPr>
        <w:t>2</w:t>
      </w:r>
      <w:r w:rsidRPr="00745C74">
        <w:rPr>
          <w:rFonts w:ascii="Verdana" w:hAnsi="Verdana"/>
          <w:i/>
          <w:iCs/>
          <w:sz w:val="20"/>
          <w:szCs w:val="20"/>
          <w:u w:color="000000"/>
        </w:rPr>
        <w:t>0.000.000,00 (</w:t>
      </w:r>
      <w:r w:rsidR="008B63A8">
        <w:rPr>
          <w:rFonts w:ascii="Verdana" w:hAnsi="Verdana"/>
          <w:i/>
          <w:iCs/>
          <w:sz w:val="20"/>
          <w:szCs w:val="20"/>
          <w:u w:color="000000"/>
        </w:rPr>
        <w:t>vinte</w:t>
      </w:r>
      <w:r w:rsidRPr="00745C74">
        <w:rPr>
          <w:rFonts w:ascii="Verdana" w:hAnsi="Verdana"/>
          <w:i/>
          <w:iCs/>
          <w:sz w:val="20"/>
          <w:szCs w:val="20"/>
          <w:u w:color="000000"/>
        </w:rPr>
        <w:t xml:space="preserve"> milhões de reais)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de maneira agregada, em cada ano, exclusivamente para aquisição de máquinas e equipamentos para utilização em obras a serem desenvolvidas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w:t>
      </w:r>
    </w:p>
    <w:p w14:paraId="6A16379B" w14:textId="77777777" w:rsidR="008E65CC" w:rsidRDefault="008B63A8" w:rsidP="008257D0">
      <w:pPr>
        <w:pStyle w:val="PargrafodaLista"/>
        <w:autoSpaceDE w:val="0"/>
        <w:autoSpaceDN w:val="0"/>
        <w:spacing w:before="120" w:after="120" w:line="320" w:lineRule="exact"/>
        <w:ind w:left="709"/>
        <w:rPr>
          <w:rFonts w:ascii="Verdana" w:hAnsi="Verdana"/>
          <w:i/>
          <w:iCs/>
          <w:sz w:val="20"/>
          <w:szCs w:val="20"/>
          <w:u w:color="000000"/>
        </w:rPr>
      </w:pPr>
      <w:r w:rsidRPr="008B63A8">
        <w:rPr>
          <w:rFonts w:ascii="Verdana" w:hAnsi="Verdana"/>
          <w:i/>
          <w:iCs/>
          <w:sz w:val="20"/>
          <w:szCs w:val="20"/>
          <w:u w:color="000000"/>
        </w:rPr>
        <w:t>“</w:t>
      </w:r>
      <w:r w:rsidRPr="008B63A8">
        <w:rPr>
          <w:rFonts w:ascii="Verdana" w:hAnsi="Verdana"/>
          <w:b/>
          <w:bCs/>
          <w:i/>
          <w:iCs/>
          <w:sz w:val="20"/>
          <w:szCs w:val="20"/>
          <w:u w:color="000000"/>
        </w:rPr>
        <w:t>Evento de Liquidez</w:t>
      </w:r>
      <w:r w:rsidRPr="008B63A8">
        <w:rPr>
          <w:rFonts w:ascii="Verdana" w:hAnsi="Verdana"/>
          <w:i/>
          <w:iCs/>
          <w:sz w:val="20"/>
          <w:szCs w:val="20"/>
          <w:u w:color="000000"/>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proofErr w:type="spellStart"/>
      <w:r w:rsidRPr="008B63A8">
        <w:rPr>
          <w:rFonts w:ascii="Verdana" w:hAnsi="Verdana"/>
          <w:i/>
          <w:iCs/>
          <w:sz w:val="20"/>
          <w:szCs w:val="20"/>
          <w:u w:color="000000"/>
        </w:rPr>
        <w:t>a</w:t>
      </w:r>
      <w:proofErr w:type="spellEnd"/>
      <w:r w:rsidRPr="008B63A8">
        <w:rPr>
          <w:rFonts w:ascii="Verdana" w:hAnsi="Verdana"/>
          <w:i/>
          <w:iCs/>
          <w:sz w:val="20"/>
          <w:szCs w:val="20"/>
          <w:u w:color="000000"/>
        </w:rPr>
        <w:t xml:space="preserve"> Pessoa do Grupo Queiroz Galvão, excedente esse que será, para fins de esclarecimento, considerado um Evento de Liquidez)), (</w:t>
      </w:r>
      <w:proofErr w:type="spellStart"/>
      <w:r w:rsidRPr="008B63A8">
        <w:rPr>
          <w:rFonts w:ascii="Verdana" w:hAnsi="Verdana"/>
          <w:i/>
          <w:iCs/>
          <w:sz w:val="20"/>
          <w:szCs w:val="20"/>
          <w:u w:color="000000"/>
        </w:rPr>
        <w:t>ii</w:t>
      </w:r>
      <w:proofErr w:type="spellEnd"/>
      <w:r w:rsidRPr="008B63A8">
        <w:rPr>
          <w:rFonts w:ascii="Verdana" w:hAnsi="Verdana"/>
          <w:i/>
          <w:iCs/>
          <w:sz w:val="20"/>
          <w:szCs w:val="20"/>
          <w:u w:color="000000"/>
        </w:rPr>
        <w:t>) decorrentes de qualquer precatório, ação ou acordo judicial, no valor individual ou agregado superior a R$5.000.000,00 (cinco milhões de reais), exceto os Precatórios Deodoro e Alagoas; (</w:t>
      </w:r>
      <w:proofErr w:type="spellStart"/>
      <w:r w:rsidRPr="008B63A8">
        <w:rPr>
          <w:rFonts w:ascii="Verdana" w:hAnsi="Verdana"/>
          <w:i/>
          <w:iCs/>
          <w:sz w:val="20"/>
          <w:szCs w:val="20"/>
          <w:u w:color="000000"/>
        </w:rPr>
        <w:t>iii</w:t>
      </w:r>
      <w:proofErr w:type="spellEnd"/>
      <w:r w:rsidRPr="008B63A8">
        <w:rPr>
          <w:rFonts w:ascii="Verdana" w:hAnsi="Verdana"/>
          <w:i/>
          <w:iCs/>
          <w:sz w:val="20"/>
          <w:szCs w:val="20"/>
          <w:u w:color="000000"/>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sidRPr="008B63A8">
        <w:rPr>
          <w:rFonts w:ascii="Verdana" w:hAnsi="Verdana"/>
          <w:i/>
          <w:iCs/>
          <w:sz w:val="20"/>
          <w:szCs w:val="20"/>
          <w:u w:color="000000"/>
        </w:rPr>
        <w:t>iv</w:t>
      </w:r>
      <w:proofErr w:type="spellEnd"/>
      <w:r w:rsidRPr="008B63A8">
        <w:rPr>
          <w:rFonts w:ascii="Verdana" w:hAnsi="Verdana"/>
          <w:i/>
          <w:iCs/>
          <w:sz w:val="20"/>
          <w:szCs w:val="20"/>
          <w:u w:color="000000"/>
        </w:rPr>
        <w:t xml:space="preserve">)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w:t>
      </w:r>
      <w:proofErr w:type="gramStart"/>
      <w:r w:rsidRPr="008B63A8">
        <w:rPr>
          <w:rFonts w:ascii="Verdana" w:hAnsi="Verdana"/>
          <w:i/>
          <w:iCs/>
          <w:sz w:val="20"/>
          <w:szCs w:val="20"/>
          <w:u w:color="000000"/>
        </w:rPr>
        <w:t>demais Devedoras</w:t>
      </w:r>
      <w:proofErr w:type="gramEnd"/>
      <w:r w:rsidRPr="008B63A8">
        <w:rPr>
          <w:rFonts w:ascii="Verdana" w:hAnsi="Verdana"/>
          <w:i/>
          <w:iCs/>
          <w:sz w:val="20"/>
          <w:szCs w:val="20"/>
          <w:u w:color="000000"/>
        </w:rPr>
        <w:t>; e/ou (v) em decorrência da alienação, cessão e/ou transferência de qualquer bem ou direito de qualquer das sociedades cujas ações estejam oneradas em</w:t>
      </w:r>
    </w:p>
    <w:p w14:paraId="11AFC2C0" w14:textId="77777777" w:rsidR="008E65CC" w:rsidRDefault="008E65CC">
      <w:pPr>
        <w:spacing w:after="160" w:line="259" w:lineRule="auto"/>
        <w:ind w:left="0" w:right="0" w:firstLine="0"/>
        <w:jc w:val="left"/>
        <w:rPr>
          <w:rFonts w:ascii="Verdana" w:hAnsi="Verdana"/>
          <w:i/>
          <w:iCs/>
          <w:sz w:val="20"/>
          <w:szCs w:val="20"/>
          <w:u w:color="000000"/>
        </w:rPr>
      </w:pPr>
      <w:r>
        <w:rPr>
          <w:rFonts w:ascii="Verdana" w:hAnsi="Verdana"/>
          <w:i/>
          <w:iCs/>
          <w:sz w:val="20"/>
          <w:szCs w:val="20"/>
          <w:u w:color="000000"/>
        </w:rPr>
        <w:br w:type="page"/>
      </w:r>
    </w:p>
    <w:p w14:paraId="0A4D1E82" w14:textId="71602D1E" w:rsidR="008257D0"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r w:rsidRPr="008B63A8">
        <w:rPr>
          <w:rFonts w:ascii="Verdana" w:hAnsi="Verdana"/>
          <w:i/>
          <w:iCs/>
          <w:sz w:val="20"/>
          <w:szCs w:val="20"/>
          <w:u w:color="000000"/>
        </w:rPr>
        <w:lastRenderedPageBreak/>
        <w:t xml:space="preserve">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r>
        <w:rPr>
          <w:rFonts w:ascii="Verdana" w:hAnsi="Verdana"/>
          <w:i/>
          <w:iCs/>
          <w:sz w:val="20"/>
          <w:szCs w:val="20"/>
          <w:u w:color="000000"/>
        </w:rPr>
        <w:t>.</w:t>
      </w:r>
    </w:p>
    <w:p w14:paraId="7859A002" w14:textId="77777777" w:rsidR="008B63A8"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p>
    <w:p w14:paraId="6CB51EC8" w14:textId="7256E2F1"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Reorganização Societária QGDN</w:t>
      </w:r>
      <w:r w:rsidRPr="00745C74">
        <w:rPr>
          <w:rFonts w:ascii="Verdana" w:hAnsi="Verdana"/>
          <w:i/>
          <w:iCs/>
          <w:sz w:val="20"/>
          <w:szCs w:val="20"/>
          <w:u w:color="000000"/>
        </w:rPr>
        <w:t>” significa a reorganização societária que resultou na incorporação da QG Saneamento, QG Logística e da QG Infra pela QGDN em dezembro de 2019.</w:t>
      </w:r>
    </w:p>
    <w:p w14:paraId="1DFA90E8" w14:textId="584A9751" w:rsidR="00CB2ECD" w:rsidRDefault="00CB2ECD" w:rsidP="00CB2ECD">
      <w:pPr>
        <w:pStyle w:val="PargrafodaLista"/>
        <w:autoSpaceDE w:val="0"/>
        <w:autoSpaceDN w:val="0"/>
        <w:spacing w:before="120" w:after="120" w:line="320" w:lineRule="exact"/>
        <w:ind w:left="709"/>
        <w:rPr>
          <w:rFonts w:ascii="Garamond" w:hAnsi="Garamond"/>
          <w:sz w:val="24"/>
          <w:szCs w:val="24"/>
        </w:rPr>
      </w:pPr>
    </w:p>
    <w:p w14:paraId="549384C8" w14:textId="74AC8632" w:rsidR="008257D0" w:rsidRPr="00745C74" w:rsidRDefault="008257D0" w:rsidP="00745C74">
      <w:pPr>
        <w:ind w:left="-5" w:right="0"/>
        <w:rPr>
          <w:rFonts w:ascii="Verdana" w:hAnsi="Verdana"/>
          <w:sz w:val="20"/>
          <w:szCs w:val="20"/>
          <w:u w:color="000000"/>
        </w:rPr>
      </w:pPr>
      <w:r w:rsidRPr="00745C74">
        <w:rPr>
          <w:rFonts w:ascii="Verdana" w:hAnsi="Verdana"/>
          <w:b/>
          <w:bCs/>
          <w:sz w:val="20"/>
          <w:szCs w:val="20"/>
          <w:u w:color="000000"/>
        </w:rPr>
        <w:t>(</w:t>
      </w:r>
      <w:proofErr w:type="spellStart"/>
      <w:r w:rsidRPr="00745C74">
        <w:rPr>
          <w:rFonts w:ascii="Verdana" w:hAnsi="Verdana"/>
          <w:b/>
          <w:bCs/>
          <w:sz w:val="20"/>
          <w:szCs w:val="20"/>
          <w:u w:color="000000"/>
        </w:rPr>
        <w:t>iii</w:t>
      </w:r>
      <w:proofErr w:type="spellEnd"/>
      <w:r w:rsidRPr="00745C74">
        <w:rPr>
          <w:rFonts w:ascii="Verdana" w:hAnsi="Verdana"/>
          <w:b/>
          <w:bCs/>
          <w:sz w:val="20"/>
          <w:szCs w:val="20"/>
          <w:u w:color="000000"/>
        </w:rPr>
        <w:t>)</w:t>
      </w:r>
      <w:r w:rsidRPr="00745C74">
        <w:rPr>
          <w:rFonts w:ascii="Verdana" w:hAnsi="Verdana"/>
          <w:sz w:val="20"/>
          <w:szCs w:val="20"/>
          <w:u w:color="000000"/>
        </w:rPr>
        <w:tab/>
        <w:t>A definição de “</w:t>
      </w:r>
      <w:proofErr w:type="spellStart"/>
      <w:r w:rsidRPr="00745C74">
        <w:rPr>
          <w:rFonts w:ascii="Verdana" w:hAnsi="Verdana"/>
          <w:sz w:val="20"/>
          <w:szCs w:val="20"/>
          <w:u w:color="000000"/>
        </w:rPr>
        <w:t>Engetec</w:t>
      </w:r>
      <w:proofErr w:type="spellEnd"/>
      <w:r w:rsidRPr="00745C74">
        <w:rPr>
          <w:rFonts w:ascii="Verdana" w:hAnsi="Verdana"/>
          <w:sz w:val="20"/>
          <w:szCs w:val="20"/>
          <w:u w:color="000000"/>
        </w:rPr>
        <w:t xml:space="preserve">” será incluída no Anexo I – Glossário da Escritura de Emissão, conforme a seguinte redação: </w:t>
      </w:r>
      <w:r w:rsidRPr="00745C74">
        <w:rPr>
          <w:rFonts w:ascii="Verdana" w:hAnsi="Verdana"/>
          <w:i/>
          <w:iCs/>
          <w:sz w:val="20"/>
          <w:szCs w:val="20"/>
          <w:u w:color="000000"/>
        </w:rPr>
        <w:t>“</w:t>
      </w:r>
      <w:proofErr w:type="spellStart"/>
      <w:r w:rsidRPr="00745C74">
        <w:rPr>
          <w:rFonts w:ascii="Verdana" w:hAnsi="Verdana"/>
          <w:b/>
          <w:bCs/>
          <w:i/>
          <w:iCs/>
          <w:sz w:val="20"/>
          <w:szCs w:val="20"/>
          <w:u w:color="000000"/>
        </w:rPr>
        <w:t>Engetec</w:t>
      </w:r>
      <w:proofErr w:type="spellEnd"/>
      <w:r w:rsidRPr="00745C74">
        <w:rPr>
          <w:rFonts w:ascii="Verdana" w:hAnsi="Verdana"/>
          <w:i/>
          <w:iCs/>
          <w:sz w:val="20"/>
          <w:szCs w:val="20"/>
          <w:u w:color="000000"/>
        </w:rPr>
        <w:t xml:space="preserve">” significa 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Construções e Montagens S.A.</w:t>
      </w:r>
    </w:p>
    <w:p w14:paraId="06ECBB28" w14:textId="77777777" w:rsidR="00CB2ECD" w:rsidRPr="00745C74" w:rsidRDefault="00CB2ECD" w:rsidP="00745C74">
      <w:pPr>
        <w:ind w:left="0" w:firstLine="0"/>
        <w:rPr>
          <w:rFonts w:ascii="Verdana" w:hAnsi="Verdana"/>
          <w:sz w:val="20"/>
          <w:szCs w:val="20"/>
        </w:rPr>
      </w:pPr>
    </w:p>
    <w:p w14:paraId="13537F18"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sem qualquer ressalva ou restrição.</w:t>
      </w:r>
    </w:p>
    <w:p w14:paraId="053F7438" w14:textId="77777777" w:rsidR="0031777A" w:rsidRPr="008E527C" w:rsidRDefault="0031777A" w:rsidP="00A36DF7">
      <w:pPr>
        <w:spacing w:after="0" w:line="300" w:lineRule="exact"/>
        <w:ind w:left="-5" w:right="0"/>
        <w:rPr>
          <w:rFonts w:ascii="Verdana" w:hAnsi="Verdana"/>
          <w:sz w:val="20"/>
          <w:szCs w:val="20"/>
        </w:rPr>
      </w:pPr>
    </w:p>
    <w:p w14:paraId="6E5A3A2B"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ENCERRAMENTO:</w:t>
      </w:r>
      <w:r w:rsidRPr="008E52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8E527C" w:rsidRDefault="006D214D" w:rsidP="00AE7931">
      <w:pPr>
        <w:spacing w:after="0" w:line="320" w:lineRule="exact"/>
        <w:ind w:left="0" w:right="0" w:firstLine="0"/>
        <w:jc w:val="left"/>
        <w:rPr>
          <w:rFonts w:ascii="Verdana" w:hAnsi="Verdana"/>
          <w:sz w:val="20"/>
          <w:szCs w:val="20"/>
        </w:rPr>
      </w:pPr>
    </w:p>
    <w:p w14:paraId="5A787529" w14:textId="1E17F55C" w:rsidR="006D214D" w:rsidRPr="008E527C"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p w14:paraId="182C79B4" w14:textId="77777777" w:rsidR="00A61379" w:rsidRPr="008E527C" w:rsidRDefault="00A61379" w:rsidP="00AE7931">
      <w:pPr>
        <w:spacing w:after="0" w:line="320" w:lineRule="exact"/>
        <w:ind w:left="-5" w:right="0"/>
        <w:rPr>
          <w:rFonts w:ascii="Verdana" w:hAnsi="Verdana"/>
          <w:sz w:val="20"/>
          <w:szCs w:val="20"/>
        </w:rPr>
      </w:pPr>
    </w:p>
    <w:p w14:paraId="5A33923D" w14:textId="2E3F9823" w:rsidR="00E707B9" w:rsidRPr="008E527C" w:rsidRDefault="00E707B9" w:rsidP="00AE7931">
      <w:pPr>
        <w:spacing w:after="0" w:line="320" w:lineRule="exact"/>
        <w:ind w:left="-5" w:right="0"/>
        <w:rPr>
          <w:rFonts w:ascii="Verdana" w:hAnsi="Verdana"/>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97AA275" w14:textId="77777777" w:rsidTr="00F77EA5">
        <w:tc>
          <w:tcPr>
            <w:tcW w:w="4250" w:type="dxa"/>
          </w:tcPr>
          <w:p w14:paraId="25322348" w14:textId="66BF9CC4" w:rsidR="00A61379" w:rsidRPr="008E527C" w:rsidRDefault="00A61379" w:rsidP="00E72800">
            <w:pPr>
              <w:spacing w:after="0" w:line="320" w:lineRule="exact"/>
              <w:ind w:left="0" w:right="0" w:firstLine="0"/>
              <w:jc w:val="left"/>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r w:rsidR="008E65CC" w:rsidRPr="008E65CC">
              <w:rPr>
                <w:rFonts w:ascii="Verdana" w:hAnsi="Verdana"/>
                <w:sz w:val="20"/>
                <w:szCs w:val="20"/>
                <w:lang w:val="en-US"/>
              </w:rPr>
              <w:t>Sidney Lee Saikovitch de Almeida</w:t>
            </w:r>
            <w:r w:rsidRPr="008E527C">
              <w:rPr>
                <w:rFonts w:ascii="Verdana" w:hAnsi="Verdana"/>
                <w:sz w:val="20"/>
                <w:szCs w:val="20"/>
                <w:lang w:val="en-US"/>
              </w:rPr>
              <w:br/>
            </w:r>
            <w:r w:rsidRPr="008E527C">
              <w:rPr>
                <w:rFonts w:ascii="Verdana" w:hAnsi="Verdana"/>
                <w:sz w:val="20"/>
                <w:szCs w:val="20"/>
              </w:rPr>
              <w:t>Presidente</w:t>
            </w:r>
          </w:p>
        </w:tc>
        <w:tc>
          <w:tcPr>
            <w:tcW w:w="4250" w:type="dxa"/>
          </w:tcPr>
          <w:p w14:paraId="0F805647" w14:textId="7F46A90B"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r w:rsidR="008E65CC">
              <w:rPr>
                <w:rFonts w:ascii="Verdana" w:hAnsi="Verdana"/>
                <w:sz w:val="20"/>
                <w:szCs w:val="20"/>
              </w:rPr>
              <w:t>Thiago Regueira</w:t>
            </w:r>
            <w:r w:rsidRPr="00117DA6">
              <w:rPr>
                <w:rFonts w:ascii="Verdana" w:hAnsi="Verdana"/>
                <w:sz w:val="20"/>
                <w:szCs w:val="20"/>
              </w:rPr>
              <w:br/>
            </w:r>
            <w:r w:rsidRPr="008E527C">
              <w:rPr>
                <w:rFonts w:ascii="Verdana" w:hAnsi="Verdana"/>
                <w:sz w:val="20"/>
                <w:szCs w:val="20"/>
              </w:rPr>
              <w:t>Secretário</w:t>
            </w:r>
          </w:p>
        </w:tc>
      </w:tr>
    </w:tbl>
    <w:p w14:paraId="58BC446A" w14:textId="77777777" w:rsidR="00A61379" w:rsidRPr="00117DA6" w:rsidRDefault="00A61379" w:rsidP="00AE7931">
      <w:pPr>
        <w:spacing w:after="0" w:line="320" w:lineRule="exact"/>
        <w:ind w:left="-5" w:right="0"/>
        <w:rPr>
          <w:rFonts w:ascii="Verdana" w:hAnsi="Verdana"/>
          <w:sz w:val="20"/>
          <w:szCs w:val="20"/>
        </w:rPr>
      </w:pPr>
    </w:p>
    <w:p w14:paraId="57740753" w14:textId="31D232F2"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1949D3F2" w14:textId="7A0DA70E" w:rsidR="00E707B9" w:rsidRPr="008E527C" w:rsidRDefault="00E707B9"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4054A7C2" w14:textId="77777777" w:rsidR="00E707B9" w:rsidRPr="008E527C" w:rsidRDefault="00E707B9" w:rsidP="00E707B9">
      <w:pPr>
        <w:pStyle w:val="Estilo1"/>
        <w:rPr>
          <w:rFonts w:ascii="Verdana" w:hAnsi="Verdana"/>
          <w:sz w:val="20"/>
          <w:szCs w:val="20"/>
        </w:rPr>
      </w:pPr>
    </w:p>
    <w:p w14:paraId="0AB483D6" w14:textId="77777777" w:rsidR="00E707B9" w:rsidRPr="008E527C" w:rsidRDefault="00E707B9" w:rsidP="00E707B9">
      <w:pPr>
        <w:pStyle w:val="Estilo1"/>
        <w:rPr>
          <w:rFonts w:ascii="Verdana" w:hAnsi="Verdana"/>
          <w:sz w:val="20"/>
          <w:szCs w:val="20"/>
        </w:rPr>
      </w:pPr>
    </w:p>
    <w:p w14:paraId="4A3271B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0C419CE7" w14:textId="77777777" w:rsidR="00E707B9" w:rsidRPr="008E527C" w:rsidRDefault="00E707B9" w:rsidP="00E707B9">
      <w:pPr>
        <w:pStyle w:val="Estilo1"/>
        <w:rPr>
          <w:rFonts w:ascii="Verdana" w:hAnsi="Verdana"/>
          <w:sz w:val="20"/>
          <w:szCs w:val="20"/>
        </w:rPr>
      </w:pPr>
    </w:p>
    <w:p w14:paraId="4C2D0376" w14:textId="1881FCC2"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75EAB2E3" w14:textId="77777777" w:rsidR="00CB07BE" w:rsidRPr="008E527C" w:rsidRDefault="00CB07BE" w:rsidP="00E707B9">
      <w:pPr>
        <w:pStyle w:val="Estilo1"/>
        <w:rPr>
          <w:rFonts w:ascii="Verdana" w:hAnsi="Verdana"/>
          <w:b/>
          <w:sz w:val="20"/>
          <w:szCs w:val="20"/>
        </w:rPr>
      </w:pPr>
    </w:p>
    <w:p w14:paraId="47DD9351" w14:textId="77777777" w:rsidR="00E707B9" w:rsidRPr="008E527C" w:rsidRDefault="00E707B9" w:rsidP="00E707B9">
      <w:pPr>
        <w:pStyle w:val="Estilo1"/>
        <w:rPr>
          <w:rFonts w:ascii="Verdana" w:hAnsi="Verdana"/>
          <w:sz w:val="20"/>
          <w:szCs w:val="20"/>
        </w:rPr>
      </w:pPr>
    </w:p>
    <w:p w14:paraId="1A697726"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88A8734" w14:textId="77777777" w:rsidTr="007E05D0">
        <w:trPr>
          <w:cantSplit/>
        </w:trPr>
        <w:tc>
          <w:tcPr>
            <w:tcW w:w="4253" w:type="dxa"/>
            <w:tcBorders>
              <w:top w:val="single" w:sz="6" w:space="0" w:color="auto"/>
            </w:tcBorders>
          </w:tcPr>
          <w:p w14:paraId="5B0CB5C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1A6B6B7"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719461" w14:textId="77777777" w:rsidR="00E707B9" w:rsidRPr="00117DA6" w:rsidRDefault="00E707B9" w:rsidP="00E707B9">
      <w:pPr>
        <w:pStyle w:val="Estilo1"/>
        <w:rPr>
          <w:rFonts w:ascii="Verdana" w:hAnsi="Verdana"/>
          <w:sz w:val="20"/>
          <w:szCs w:val="20"/>
        </w:rPr>
      </w:pPr>
    </w:p>
    <w:p w14:paraId="515639CF" w14:textId="7942B177"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73F49B9A" w14:textId="77777777" w:rsidR="00777F10" w:rsidRPr="008E527C" w:rsidRDefault="00777F10" w:rsidP="00777F10">
      <w:pPr>
        <w:pStyle w:val="Estilo1"/>
        <w:rPr>
          <w:rFonts w:ascii="Verdana" w:hAnsi="Verdana"/>
          <w:sz w:val="20"/>
          <w:szCs w:val="20"/>
        </w:rPr>
      </w:pPr>
    </w:p>
    <w:p w14:paraId="0A02683F" w14:textId="77777777" w:rsidR="00777F10" w:rsidRPr="008E527C" w:rsidRDefault="00777F10" w:rsidP="00777F10">
      <w:pPr>
        <w:pStyle w:val="Estilo1"/>
        <w:rPr>
          <w:rFonts w:ascii="Verdana" w:hAnsi="Verdana"/>
          <w:sz w:val="20"/>
          <w:szCs w:val="20"/>
        </w:rPr>
      </w:pPr>
    </w:p>
    <w:p w14:paraId="1965F1C3"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76F87424" w14:textId="77777777" w:rsidR="00777F10" w:rsidRPr="008E527C" w:rsidRDefault="00777F10" w:rsidP="00777F10">
      <w:pPr>
        <w:pStyle w:val="Estilo1"/>
        <w:rPr>
          <w:rFonts w:ascii="Verdana" w:hAnsi="Verdana"/>
          <w:sz w:val="20"/>
          <w:szCs w:val="20"/>
        </w:rPr>
      </w:pPr>
    </w:p>
    <w:p w14:paraId="348C9306"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0FF11018" w14:textId="77777777" w:rsidR="00777F10" w:rsidRPr="008E527C" w:rsidRDefault="00777F10" w:rsidP="00777F10">
      <w:pPr>
        <w:pStyle w:val="Estilo1"/>
        <w:rPr>
          <w:rFonts w:ascii="Verdana" w:hAnsi="Verdana"/>
          <w:b/>
          <w:sz w:val="20"/>
          <w:szCs w:val="20"/>
        </w:rPr>
      </w:pPr>
    </w:p>
    <w:p w14:paraId="2E032410" w14:textId="77777777" w:rsidR="00777F10" w:rsidRPr="008E527C" w:rsidRDefault="00777F10" w:rsidP="00777F10">
      <w:pPr>
        <w:pStyle w:val="Estilo1"/>
        <w:rPr>
          <w:rFonts w:ascii="Verdana" w:hAnsi="Verdana"/>
          <w:sz w:val="20"/>
          <w:szCs w:val="20"/>
        </w:rPr>
      </w:pPr>
    </w:p>
    <w:p w14:paraId="498B4E42"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CDF46D6" w14:textId="77777777" w:rsidTr="008A3DEE">
        <w:trPr>
          <w:cantSplit/>
        </w:trPr>
        <w:tc>
          <w:tcPr>
            <w:tcW w:w="4253" w:type="dxa"/>
            <w:tcBorders>
              <w:top w:val="single" w:sz="6" w:space="0" w:color="auto"/>
            </w:tcBorders>
          </w:tcPr>
          <w:p w14:paraId="004608A8"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9C6BDDF"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CAD6892" w14:textId="77777777" w:rsidR="00777F10" w:rsidRPr="00117DA6" w:rsidRDefault="00777F10">
      <w:pPr>
        <w:spacing w:after="160" w:line="259" w:lineRule="auto"/>
        <w:ind w:left="0" w:right="0" w:firstLine="0"/>
        <w:jc w:val="left"/>
        <w:rPr>
          <w:rFonts w:ascii="Verdana" w:hAnsi="Verdana"/>
          <w:sz w:val="20"/>
          <w:szCs w:val="20"/>
        </w:rPr>
      </w:pPr>
    </w:p>
    <w:p w14:paraId="139160F0"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4B409DFF" w14:textId="3A4B4257"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8FA0C11" w14:textId="77777777" w:rsidR="00777F10" w:rsidRPr="008E527C" w:rsidRDefault="00777F10" w:rsidP="00777F10">
      <w:pPr>
        <w:pStyle w:val="Estilo1"/>
        <w:rPr>
          <w:rFonts w:ascii="Verdana" w:hAnsi="Verdana"/>
          <w:sz w:val="20"/>
          <w:szCs w:val="20"/>
        </w:rPr>
      </w:pPr>
    </w:p>
    <w:p w14:paraId="7BADA623" w14:textId="77777777" w:rsidR="00777F10" w:rsidRPr="008E527C" w:rsidRDefault="00777F10" w:rsidP="00777F10">
      <w:pPr>
        <w:pStyle w:val="Estilo1"/>
        <w:rPr>
          <w:rFonts w:ascii="Verdana" w:hAnsi="Verdana"/>
          <w:sz w:val="20"/>
          <w:szCs w:val="20"/>
        </w:rPr>
      </w:pPr>
    </w:p>
    <w:p w14:paraId="4FCB953C"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5028F6D6" w14:textId="77777777" w:rsidR="00777F10" w:rsidRPr="008E527C" w:rsidRDefault="00777F10" w:rsidP="00777F10">
      <w:pPr>
        <w:pStyle w:val="Estilo1"/>
        <w:rPr>
          <w:rFonts w:ascii="Verdana" w:hAnsi="Verdana"/>
          <w:sz w:val="20"/>
          <w:szCs w:val="20"/>
        </w:rPr>
      </w:pPr>
    </w:p>
    <w:p w14:paraId="4E9259FD" w14:textId="30B13177" w:rsidR="00777F10" w:rsidRPr="008E527C" w:rsidRDefault="009E1A84" w:rsidP="00777F10">
      <w:pPr>
        <w:pStyle w:val="Estilo1"/>
        <w:rPr>
          <w:rFonts w:ascii="Verdana" w:hAnsi="Verdana"/>
          <w:b/>
          <w:bCs w:val="0"/>
          <w:sz w:val="20"/>
          <w:szCs w:val="20"/>
        </w:rPr>
      </w:pPr>
      <w:proofErr w:type="spellStart"/>
      <w:r w:rsidRPr="008E527C">
        <w:rPr>
          <w:rFonts w:ascii="Verdana" w:hAnsi="Verdana"/>
          <w:b/>
          <w:bCs w:val="0"/>
          <w:sz w:val="20"/>
          <w:szCs w:val="20"/>
        </w:rPr>
        <w:t>Credit</w:t>
      </w:r>
      <w:proofErr w:type="spellEnd"/>
      <w:r w:rsidRPr="008E527C">
        <w:rPr>
          <w:rFonts w:ascii="Verdana" w:hAnsi="Verdana"/>
          <w:b/>
          <w:bCs w:val="0"/>
          <w:sz w:val="20"/>
          <w:szCs w:val="20"/>
        </w:rPr>
        <w:t xml:space="preserve"> </w:t>
      </w:r>
      <w:proofErr w:type="spellStart"/>
      <w:r w:rsidRPr="008E527C">
        <w:rPr>
          <w:rFonts w:ascii="Verdana" w:hAnsi="Verdana"/>
          <w:b/>
          <w:bCs w:val="0"/>
          <w:sz w:val="20"/>
          <w:szCs w:val="20"/>
        </w:rPr>
        <w:t>Suisse</w:t>
      </w:r>
      <w:proofErr w:type="spellEnd"/>
      <w:r w:rsidRPr="008E527C">
        <w:rPr>
          <w:rFonts w:ascii="Verdana" w:hAnsi="Verdana"/>
          <w:b/>
          <w:bCs w:val="0"/>
          <w:sz w:val="20"/>
          <w:szCs w:val="20"/>
        </w:rPr>
        <w:t xml:space="preserve"> Próprio Fundo de Investimento Multimercado Crédito Privado Investimento no Exterior</w:t>
      </w:r>
    </w:p>
    <w:p w14:paraId="5F932E7A" w14:textId="77777777" w:rsidR="00777F10" w:rsidRPr="008E527C" w:rsidRDefault="00777F10" w:rsidP="00777F10">
      <w:pPr>
        <w:pStyle w:val="Estilo1"/>
        <w:rPr>
          <w:rFonts w:ascii="Verdana" w:hAnsi="Verdana"/>
          <w:b/>
          <w:sz w:val="20"/>
          <w:szCs w:val="20"/>
        </w:rPr>
      </w:pPr>
    </w:p>
    <w:p w14:paraId="2C6AE9EB" w14:textId="77777777" w:rsidR="00777F10" w:rsidRPr="008E527C" w:rsidRDefault="00777F10" w:rsidP="00777F10">
      <w:pPr>
        <w:pStyle w:val="Estilo1"/>
        <w:rPr>
          <w:rFonts w:ascii="Verdana" w:hAnsi="Verdana"/>
          <w:sz w:val="20"/>
          <w:szCs w:val="20"/>
        </w:rPr>
      </w:pPr>
    </w:p>
    <w:p w14:paraId="1C9CAFEB"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E8E1FCA" w14:textId="77777777" w:rsidTr="008A3DEE">
        <w:trPr>
          <w:cantSplit/>
        </w:trPr>
        <w:tc>
          <w:tcPr>
            <w:tcW w:w="4253" w:type="dxa"/>
            <w:tcBorders>
              <w:top w:val="single" w:sz="6" w:space="0" w:color="auto"/>
            </w:tcBorders>
          </w:tcPr>
          <w:p w14:paraId="42159227"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094BC75"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D6658EE" w14:textId="77777777" w:rsidR="00777F10" w:rsidRPr="00117DA6" w:rsidRDefault="00777F10" w:rsidP="00E707B9">
      <w:pPr>
        <w:spacing w:after="200" w:line="276" w:lineRule="auto"/>
        <w:jc w:val="left"/>
        <w:rPr>
          <w:rFonts w:ascii="Verdana" w:hAnsi="Verdana"/>
          <w:bCs/>
          <w:sz w:val="20"/>
          <w:szCs w:val="20"/>
        </w:rPr>
      </w:pPr>
    </w:p>
    <w:p w14:paraId="1A6E866B"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1D277630" w14:textId="10949FC6"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DEDD593" w14:textId="77777777" w:rsidR="00E707B9" w:rsidRPr="008E527C" w:rsidRDefault="00E707B9" w:rsidP="00E707B9">
      <w:pPr>
        <w:pStyle w:val="Estilo1"/>
        <w:rPr>
          <w:rFonts w:ascii="Verdana" w:hAnsi="Verdana"/>
          <w:sz w:val="20"/>
          <w:szCs w:val="20"/>
        </w:rPr>
      </w:pPr>
    </w:p>
    <w:p w14:paraId="78271C79" w14:textId="77777777" w:rsidR="00E707B9" w:rsidRPr="008E527C" w:rsidRDefault="00E707B9" w:rsidP="00E707B9">
      <w:pPr>
        <w:pStyle w:val="Estilo1"/>
        <w:rPr>
          <w:rFonts w:ascii="Verdana" w:hAnsi="Verdana"/>
          <w:sz w:val="20"/>
          <w:szCs w:val="20"/>
        </w:rPr>
      </w:pPr>
    </w:p>
    <w:p w14:paraId="0F7C5761"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030DCCF" w14:textId="77777777" w:rsidR="00E707B9" w:rsidRPr="008E527C" w:rsidRDefault="00E707B9" w:rsidP="00E707B9">
      <w:pPr>
        <w:pStyle w:val="Estilo1"/>
        <w:rPr>
          <w:rFonts w:ascii="Verdana" w:hAnsi="Verdana"/>
          <w:sz w:val="20"/>
          <w:szCs w:val="20"/>
        </w:rPr>
      </w:pPr>
    </w:p>
    <w:p w14:paraId="5D93D05B"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0AAD2720" w14:textId="77777777" w:rsidR="00E707B9" w:rsidRPr="008E527C" w:rsidRDefault="00E707B9" w:rsidP="00E707B9">
      <w:pPr>
        <w:pStyle w:val="Estilo1"/>
        <w:rPr>
          <w:rFonts w:ascii="Verdana" w:hAnsi="Verdana"/>
          <w:sz w:val="20"/>
          <w:szCs w:val="20"/>
        </w:rPr>
      </w:pPr>
    </w:p>
    <w:p w14:paraId="2FC2B7F7"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2989D310" w14:textId="77777777" w:rsidTr="007E05D0">
        <w:trPr>
          <w:cantSplit/>
          <w:jc w:val="center"/>
        </w:trPr>
        <w:tc>
          <w:tcPr>
            <w:tcW w:w="5443" w:type="dxa"/>
            <w:tcBorders>
              <w:top w:val="single" w:sz="6" w:space="0" w:color="auto"/>
            </w:tcBorders>
          </w:tcPr>
          <w:p w14:paraId="5C18413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772D39F" w14:textId="77777777" w:rsidR="00E707B9" w:rsidRPr="00117DA6" w:rsidRDefault="00E707B9" w:rsidP="00E707B9">
      <w:pPr>
        <w:pStyle w:val="Estilo1"/>
        <w:rPr>
          <w:rFonts w:ascii="Verdana" w:hAnsi="Verdana"/>
          <w:sz w:val="20"/>
          <w:szCs w:val="20"/>
        </w:rPr>
      </w:pPr>
    </w:p>
    <w:p w14:paraId="7B2D472F"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1310E0C5" w14:textId="1E2BCD6D" w:rsidR="00E707B9" w:rsidRPr="008E527C" w:rsidRDefault="00777F10"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98BA170" w14:textId="77777777" w:rsidR="00E707B9" w:rsidRPr="008E527C" w:rsidRDefault="00E707B9" w:rsidP="00E707B9">
      <w:pPr>
        <w:pStyle w:val="Estilo1"/>
        <w:rPr>
          <w:rFonts w:ascii="Verdana" w:hAnsi="Verdana"/>
          <w:sz w:val="20"/>
          <w:szCs w:val="20"/>
        </w:rPr>
      </w:pPr>
    </w:p>
    <w:p w14:paraId="4CBCFE2F" w14:textId="77777777" w:rsidR="00E707B9" w:rsidRPr="008E527C" w:rsidRDefault="00E707B9" w:rsidP="00E707B9">
      <w:pPr>
        <w:pStyle w:val="Estilo1"/>
        <w:rPr>
          <w:rFonts w:ascii="Verdana" w:hAnsi="Verdana"/>
          <w:sz w:val="20"/>
          <w:szCs w:val="20"/>
        </w:rPr>
      </w:pPr>
    </w:p>
    <w:p w14:paraId="09702945"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EEBE787" w14:textId="77777777" w:rsidR="00E707B9" w:rsidRPr="008E527C" w:rsidRDefault="00E707B9" w:rsidP="00E707B9">
      <w:pPr>
        <w:pStyle w:val="Estilo1"/>
        <w:rPr>
          <w:rFonts w:ascii="Verdana" w:hAnsi="Verdana"/>
          <w:sz w:val="20"/>
          <w:szCs w:val="20"/>
        </w:rPr>
      </w:pPr>
    </w:p>
    <w:p w14:paraId="2B1DE702"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533FDB6" w14:textId="77777777" w:rsidR="00E707B9" w:rsidRPr="008E527C" w:rsidRDefault="00E707B9" w:rsidP="00E707B9">
      <w:pPr>
        <w:pStyle w:val="Estilo1"/>
        <w:rPr>
          <w:rFonts w:ascii="Verdana" w:hAnsi="Verdana"/>
          <w:sz w:val="20"/>
          <w:szCs w:val="20"/>
        </w:rPr>
      </w:pPr>
    </w:p>
    <w:p w14:paraId="2698FB9F"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B29720A" w14:textId="77777777" w:rsidTr="007E05D0">
        <w:trPr>
          <w:cantSplit/>
        </w:trPr>
        <w:tc>
          <w:tcPr>
            <w:tcW w:w="4253" w:type="dxa"/>
            <w:tcBorders>
              <w:top w:val="single" w:sz="6" w:space="0" w:color="auto"/>
            </w:tcBorders>
          </w:tcPr>
          <w:p w14:paraId="55F9C7B2"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6ED5B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008A679" w14:textId="77777777" w:rsidR="008A3DEE" w:rsidRPr="00117DA6" w:rsidRDefault="008A3DEE" w:rsidP="008A3DEE">
      <w:pPr>
        <w:pStyle w:val="Estilo1"/>
        <w:rPr>
          <w:rFonts w:ascii="Verdana" w:hAnsi="Verdana"/>
          <w:i/>
          <w:sz w:val="20"/>
          <w:szCs w:val="20"/>
        </w:rPr>
      </w:pPr>
    </w:p>
    <w:p w14:paraId="16E75CAE"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44DB4844" w14:textId="169C7E83"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2B70365D" w14:textId="77777777" w:rsidR="00E707B9" w:rsidRPr="008E527C" w:rsidRDefault="00E707B9" w:rsidP="00E707B9">
      <w:pPr>
        <w:pStyle w:val="Estilo1"/>
        <w:rPr>
          <w:rFonts w:ascii="Verdana" w:hAnsi="Verdana"/>
          <w:sz w:val="20"/>
          <w:szCs w:val="20"/>
        </w:rPr>
      </w:pPr>
    </w:p>
    <w:p w14:paraId="0AE26993" w14:textId="77777777" w:rsidR="00E707B9" w:rsidRPr="008E527C" w:rsidRDefault="00E707B9" w:rsidP="00E707B9">
      <w:pPr>
        <w:pStyle w:val="Estilo1"/>
        <w:rPr>
          <w:rFonts w:ascii="Verdana" w:hAnsi="Verdana"/>
          <w:sz w:val="20"/>
          <w:szCs w:val="20"/>
        </w:rPr>
      </w:pPr>
    </w:p>
    <w:p w14:paraId="2AF8F370"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2B9FCAA8" w14:textId="77777777" w:rsidR="00E707B9" w:rsidRPr="008E527C" w:rsidRDefault="00E707B9" w:rsidP="00E707B9">
      <w:pPr>
        <w:pStyle w:val="Estilo1"/>
        <w:rPr>
          <w:rFonts w:ascii="Verdana" w:hAnsi="Verdana"/>
          <w:sz w:val="20"/>
          <w:szCs w:val="20"/>
        </w:rPr>
      </w:pPr>
    </w:p>
    <w:p w14:paraId="2C2E6700"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0B3227EC" w14:textId="77777777" w:rsidR="00E707B9" w:rsidRPr="008E527C" w:rsidRDefault="00E707B9" w:rsidP="00E707B9">
      <w:pPr>
        <w:pStyle w:val="Estilo1"/>
        <w:rPr>
          <w:rFonts w:ascii="Verdana" w:hAnsi="Verdana"/>
          <w:sz w:val="20"/>
          <w:szCs w:val="20"/>
        </w:rPr>
      </w:pPr>
    </w:p>
    <w:p w14:paraId="1E322FB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5C64B229" w14:textId="77777777" w:rsidTr="008A3DEE">
        <w:trPr>
          <w:cantSplit/>
          <w:trHeight w:val="72"/>
        </w:trPr>
        <w:tc>
          <w:tcPr>
            <w:tcW w:w="4253" w:type="dxa"/>
            <w:tcBorders>
              <w:top w:val="single" w:sz="6" w:space="0" w:color="auto"/>
            </w:tcBorders>
          </w:tcPr>
          <w:p w14:paraId="065CAAE4"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C149D8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E13B5A0" w14:textId="77777777" w:rsidR="008A3DEE" w:rsidRPr="00117DA6" w:rsidRDefault="008A3DEE" w:rsidP="008A3DEE">
      <w:pPr>
        <w:pStyle w:val="Estilo1"/>
        <w:rPr>
          <w:rFonts w:ascii="Verdana" w:hAnsi="Verdana"/>
          <w:sz w:val="20"/>
          <w:szCs w:val="20"/>
        </w:rPr>
      </w:pPr>
    </w:p>
    <w:p w14:paraId="752B6FB9"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1E69F9AE" w14:textId="77777777" w:rsidR="008A3DEE" w:rsidRPr="008E527C" w:rsidRDefault="008A3DEE" w:rsidP="008A3DEE">
      <w:pPr>
        <w:pStyle w:val="Estilo1"/>
        <w:rPr>
          <w:rFonts w:ascii="Verdana" w:hAnsi="Verdana"/>
          <w:sz w:val="20"/>
          <w:szCs w:val="20"/>
        </w:rPr>
      </w:pPr>
    </w:p>
    <w:p w14:paraId="629C4A39"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51C80EF8" w14:textId="77777777" w:rsidTr="008A3DEE">
        <w:trPr>
          <w:cantSplit/>
          <w:trHeight w:val="72"/>
        </w:trPr>
        <w:tc>
          <w:tcPr>
            <w:tcW w:w="4253" w:type="dxa"/>
            <w:tcBorders>
              <w:top w:val="single" w:sz="6" w:space="0" w:color="auto"/>
            </w:tcBorders>
          </w:tcPr>
          <w:p w14:paraId="20D8478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43C98DA"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2F32ACC" w14:textId="77777777" w:rsidR="008A3DEE" w:rsidRPr="00117DA6" w:rsidRDefault="008A3DEE" w:rsidP="008A3DEE">
      <w:pPr>
        <w:pStyle w:val="Estilo1"/>
        <w:rPr>
          <w:rFonts w:ascii="Verdana" w:hAnsi="Verdana"/>
          <w:sz w:val="20"/>
          <w:szCs w:val="20"/>
        </w:rPr>
      </w:pPr>
    </w:p>
    <w:p w14:paraId="45BD7A66"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110D6DEE" w14:textId="77777777" w:rsidR="008A3DEE" w:rsidRPr="008E527C" w:rsidRDefault="008A3DEE" w:rsidP="008A3DEE">
      <w:pPr>
        <w:pStyle w:val="Estilo1"/>
        <w:rPr>
          <w:rFonts w:ascii="Verdana" w:hAnsi="Verdana"/>
          <w:sz w:val="20"/>
          <w:szCs w:val="20"/>
        </w:rPr>
      </w:pPr>
    </w:p>
    <w:p w14:paraId="4B3F09E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0B50FE" w14:textId="77777777" w:rsidTr="008A3DEE">
        <w:trPr>
          <w:cantSplit/>
          <w:trHeight w:val="72"/>
        </w:trPr>
        <w:tc>
          <w:tcPr>
            <w:tcW w:w="4253" w:type="dxa"/>
            <w:tcBorders>
              <w:top w:val="single" w:sz="6" w:space="0" w:color="auto"/>
            </w:tcBorders>
          </w:tcPr>
          <w:p w14:paraId="4C6B662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3A45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2EF086" w14:textId="77777777" w:rsidR="008A3DEE" w:rsidRPr="00117DA6" w:rsidRDefault="008A3DEE" w:rsidP="008A3DEE">
      <w:pPr>
        <w:pStyle w:val="Estilo1"/>
        <w:rPr>
          <w:rFonts w:ascii="Verdana" w:hAnsi="Verdana"/>
          <w:sz w:val="20"/>
          <w:szCs w:val="20"/>
        </w:rPr>
      </w:pPr>
    </w:p>
    <w:p w14:paraId="5BCE0CC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0ACC64A4" w14:textId="77777777" w:rsidR="008A3DEE" w:rsidRPr="008E527C" w:rsidRDefault="008A3DEE" w:rsidP="008A3DEE">
      <w:pPr>
        <w:pStyle w:val="Estilo1"/>
        <w:rPr>
          <w:rFonts w:ascii="Verdana" w:hAnsi="Verdana"/>
          <w:sz w:val="20"/>
          <w:szCs w:val="20"/>
        </w:rPr>
      </w:pPr>
    </w:p>
    <w:p w14:paraId="5E3DAC3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0A8EE60" w14:textId="77777777" w:rsidTr="008A3DEE">
        <w:trPr>
          <w:cantSplit/>
          <w:trHeight w:val="72"/>
        </w:trPr>
        <w:tc>
          <w:tcPr>
            <w:tcW w:w="4253" w:type="dxa"/>
            <w:tcBorders>
              <w:top w:val="single" w:sz="6" w:space="0" w:color="auto"/>
            </w:tcBorders>
          </w:tcPr>
          <w:p w14:paraId="7F047C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1B59D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BCD7652" w14:textId="77777777" w:rsidR="008A3DEE" w:rsidRPr="00117DA6" w:rsidRDefault="008A3DEE" w:rsidP="008A3DEE">
      <w:pPr>
        <w:pStyle w:val="Estilo1"/>
        <w:rPr>
          <w:rFonts w:ascii="Verdana" w:hAnsi="Verdana"/>
          <w:b/>
          <w:sz w:val="20"/>
          <w:szCs w:val="20"/>
        </w:rPr>
      </w:pPr>
    </w:p>
    <w:p w14:paraId="44411064"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 xml:space="preserve">CQG </w:t>
      </w:r>
      <w:proofErr w:type="spellStart"/>
      <w:r w:rsidRPr="008E527C">
        <w:rPr>
          <w:rFonts w:ascii="Verdana" w:hAnsi="Verdana"/>
          <w:b/>
          <w:sz w:val="20"/>
          <w:szCs w:val="20"/>
          <w:lang w:val="en-US"/>
        </w:rPr>
        <w:t>Oil&amp;Gas</w:t>
      </w:r>
      <w:proofErr w:type="spellEnd"/>
      <w:r w:rsidRPr="008E527C">
        <w:rPr>
          <w:rFonts w:ascii="Verdana" w:hAnsi="Verdana"/>
          <w:b/>
          <w:sz w:val="20"/>
          <w:szCs w:val="20"/>
          <w:lang w:val="en-US"/>
        </w:rPr>
        <w:t xml:space="preserve"> Contractors Inc.</w:t>
      </w:r>
    </w:p>
    <w:p w14:paraId="0F1EA13A" w14:textId="77777777" w:rsidR="008A3DEE" w:rsidRPr="008E527C" w:rsidRDefault="008A3DEE" w:rsidP="008A3DEE">
      <w:pPr>
        <w:pStyle w:val="Estilo1"/>
        <w:rPr>
          <w:rFonts w:ascii="Verdana" w:hAnsi="Verdana"/>
          <w:sz w:val="20"/>
          <w:szCs w:val="20"/>
          <w:lang w:val="en-US"/>
        </w:rPr>
      </w:pPr>
    </w:p>
    <w:p w14:paraId="251BD9D5"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10A01EFE" w14:textId="77777777" w:rsidTr="008A3DEE">
        <w:trPr>
          <w:cantSplit/>
          <w:trHeight w:val="72"/>
        </w:trPr>
        <w:tc>
          <w:tcPr>
            <w:tcW w:w="4253" w:type="dxa"/>
            <w:tcBorders>
              <w:top w:val="single" w:sz="6" w:space="0" w:color="auto"/>
            </w:tcBorders>
          </w:tcPr>
          <w:p w14:paraId="388076D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35C650F"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D1A840" w14:textId="77777777" w:rsidR="008A3DEE" w:rsidRPr="00117DA6" w:rsidRDefault="008A3DEE" w:rsidP="008A3DEE">
      <w:pPr>
        <w:pStyle w:val="Estilo1"/>
        <w:rPr>
          <w:rFonts w:ascii="Verdana" w:hAnsi="Verdana"/>
          <w:b/>
          <w:sz w:val="20"/>
          <w:szCs w:val="20"/>
        </w:rPr>
      </w:pPr>
    </w:p>
    <w:p w14:paraId="2B307F03" w14:textId="77777777" w:rsidR="008A3DEE" w:rsidRPr="008E527C" w:rsidRDefault="008A3DEE" w:rsidP="008A3DEE">
      <w:pPr>
        <w:pStyle w:val="Estilo1"/>
        <w:rPr>
          <w:rFonts w:ascii="Verdana" w:hAnsi="Verdana"/>
          <w:b/>
          <w:sz w:val="20"/>
          <w:szCs w:val="20"/>
        </w:rPr>
      </w:pPr>
    </w:p>
    <w:p w14:paraId="7E854ECF" w14:textId="77777777" w:rsidR="008A3DEE" w:rsidRPr="008E527C" w:rsidRDefault="008A3DEE" w:rsidP="008A3DEE">
      <w:pPr>
        <w:pStyle w:val="Estilo1"/>
        <w:rPr>
          <w:rFonts w:ascii="Verdana" w:hAnsi="Verdana"/>
          <w:b/>
          <w:sz w:val="20"/>
          <w:szCs w:val="20"/>
        </w:rPr>
      </w:pPr>
    </w:p>
    <w:p w14:paraId="5B2D484B" w14:textId="36DEF051"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733B5111" w14:textId="77777777" w:rsidR="008A3DEE" w:rsidRPr="008E527C" w:rsidRDefault="008A3DEE" w:rsidP="008A3DEE">
      <w:pPr>
        <w:pStyle w:val="Estilo1"/>
        <w:rPr>
          <w:rFonts w:ascii="Verdana" w:hAnsi="Verdana"/>
          <w:b/>
          <w:sz w:val="20"/>
          <w:szCs w:val="20"/>
        </w:rPr>
      </w:pPr>
    </w:p>
    <w:p w14:paraId="45A1E1A0"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6E59990E" w14:textId="77777777" w:rsidR="008A3DEE" w:rsidRPr="008E527C" w:rsidRDefault="008A3DEE" w:rsidP="008A3DEE">
      <w:pPr>
        <w:pStyle w:val="Estilo1"/>
        <w:rPr>
          <w:rFonts w:ascii="Verdana" w:hAnsi="Verdana"/>
          <w:sz w:val="20"/>
          <w:szCs w:val="20"/>
        </w:rPr>
      </w:pPr>
    </w:p>
    <w:p w14:paraId="7E51976F"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BA1D205" w14:textId="77777777" w:rsidTr="008A3DEE">
        <w:trPr>
          <w:cantSplit/>
          <w:trHeight w:val="72"/>
        </w:trPr>
        <w:tc>
          <w:tcPr>
            <w:tcW w:w="4253" w:type="dxa"/>
            <w:tcBorders>
              <w:top w:val="single" w:sz="6" w:space="0" w:color="auto"/>
            </w:tcBorders>
          </w:tcPr>
          <w:p w14:paraId="1B2B662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FA9E2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A02AFBB" w14:textId="77777777" w:rsidR="008A3DEE" w:rsidRPr="00117DA6" w:rsidRDefault="008A3DEE" w:rsidP="008A3DEE">
      <w:pPr>
        <w:pStyle w:val="Estilo1"/>
        <w:rPr>
          <w:rFonts w:ascii="Verdana" w:hAnsi="Verdana"/>
          <w:b/>
          <w:sz w:val="20"/>
          <w:szCs w:val="20"/>
        </w:rPr>
      </w:pPr>
    </w:p>
    <w:p w14:paraId="341C6F54"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41E7AD8D" w14:textId="77777777" w:rsidR="008A3DEE" w:rsidRPr="008E527C" w:rsidRDefault="008A3DEE" w:rsidP="008A3DEE">
      <w:pPr>
        <w:pStyle w:val="Estilo1"/>
        <w:rPr>
          <w:rFonts w:ascii="Verdana" w:hAnsi="Verdana"/>
          <w:sz w:val="20"/>
          <w:szCs w:val="20"/>
        </w:rPr>
      </w:pPr>
    </w:p>
    <w:p w14:paraId="6FF9D15D"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78B6A43" w14:textId="77777777" w:rsidTr="008A3DEE">
        <w:trPr>
          <w:cantSplit/>
          <w:trHeight w:val="72"/>
        </w:trPr>
        <w:tc>
          <w:tcPr>
            <w:tcW w:w="4253" w:type="dxa"/>
            <w:tcBorders>
              <w:top w:val="single" w:sz="6" w:space="0" w:color="auto"/>
            </w:tcBorders>
          </w:tcPr>
          <w:p w14:paraId="5DE1C0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894F9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A783F98" w14:textId="1953FD9E" w:rsidR="004D5C93" w:rsidRPr="00117DA6" w:rsidRDefault="004D5C93" w:rsidP="008A3DEE">
      <w:pPr>
        <w:pStyle w:val="Estilo1"/>
        <w:rPr>
          <w:rFonts w:ascii="Verdana" w:hAnsi="Verdana"/>
          <w:b/>
          <w:sz w:val="20"/>
          <w:szCs w:val="20"/>
        </w:rPr>
      </w:pPr>
    </w:p>
    <w:p w14:paraId="71DA0878" w14:textId="77777777" w:rsidR="004D5C93" w:rsidRPr="008E527C" w:rsidRDefault="004D5C93" w:rsidP="004D5C93">
      <w:pPr>
        <w:pStyle w:val="Estilo1"/>
        <w:rPr>
          <w:rFonts w:ascii="Verdana" w:hAnsi="Verdana"/>
          <w:b/>
          <w:sz w:val="20"/>
          <w:szCs w:val="20"/>
        </w:rPr>
      </w:pPr>
    </w:p>
    <w:p w14:paraId="5483D196" w14:textId="51549107" w:rsidR="004D5C93" w:rsidRPr="008E527C" w:rsidRDefault="004D5C93" w:rsidP="004D5C93">
      <w:pPr>
        <w:pStyle w:val="Estilo1"/>
        <w:rPr>
          <w:rFonts w:ascii="Verdana" w:hAnsi="Verdana"/>
          <w:b/>
          <w:sz w:val="20"/>
          <w:szCs w:val="20"/>
        </w:rPr>
      </w:pPr>
      <w:r w:rsidRPr="008E527C">
        <w:rPr>
          <w:rFonts w:ascii="Verdana" w:hAnsi="Verdana"/>
          <w:b/>
          <w:sz w:val="20"/>
          <w:szCs w:val="20"/>
        </w:rPr>
        <w:t xml:space="preserve">Queiroz Galvão </w:t>
      </w:r>
      <w:proofErr w:type="spellStart"/>
      <w:r w:rsidRPr="008E527C">
        <w:rPr>
          <w:rFonts w:ascii="Verdana" w:hAnsi="Verdana"/>
          <w:b/>
          <w:sz w:val="20"/>
          <w:szCs w:val="20"/>
        </w:rPr>
        <w:t>International</w:t>
      </w:r>
      <w:proofErr w:type="spellEnd"/>
      <w:r w:rsidRPr="008E527C">
        <w:rPr>
          <w:rFonts w:ascii="Verdana" w:hAnsi="Verdana"/>
          <w:b/>
          <w:sz w:val="20"/>
          <w:szCs w:val="20"/>
        </w:rPr>
        <w:t xml:space="preserve"> </w:t>
      </w:r>
      <w:proofErr w:type="spellStart"/>
      <w:r w:rsidRPr="008E527C">
        <w:rPr>
          <w:rFonts w:ascii="Verdana" w:hAnsi="Verdana"/>
          <w:b/>
          <w:sz w:val="20"/>
          <w:szCs w:val="20"/>
        </w:rPr>
        <w:t>Ltd</w:t>
      </w:r>
      <w:proofErr w:type="spellEnd"/>
      <w:r w:rsidRPr="008E527C">
        <w:rPr>
          <w:rFonts w:ascii="Verdana" w:hAnsi="Verdana"/>
          <w:b/>
          <w:sz w:val="20"/>
          <w:szCs w:val="20"/>
        </w:rPr>
        <w:t>.</w:t>
      </w:r>
    </w:p>
    <w:p w14:paraId="600C5A35" w14:textId="77777777" w:rsidR="004D5C93" w:rsidRPr="008E527C" w:rsidRDefault="004D5C93" w:rsidP="004D5C93">
      <w:pPr>
        <w:pStyle w:val="Estilo1"/>
        <w:rPr>
          <w:rFonts w:ascii="Verdana" w:hAnsi="Verdana"/>
          <w:sz w:val="20"/>
          <w:szCs w:val="20"/>
        </w:rPr>
      </w:pPr>
    </w:p>
    <w:p w14:paraId="54ED80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2A13A1A3" w14:textId="77777777" w:rsidTr="00F2793D">
        <w:trPr>
          <w:cantSplit/>
          <w:trHeight w:val="72"/>
        </w:trPr>
        <w:tc>
          <w:tcPr>
            <w:tcW w:w="4253" w:type="dxa"/>
            <w:tcBorders>
              <w:top w:val="single" w:sz="6" w:space="0" w:color="auto"/>
            </w:tcBorders>
          </w:tcPr>
          <w:p w14:paraId="366BED50"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7BED94"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E562699"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E2CACD3" w14:textId="77777777" w:rsidR="004D5C93" w:rsidRPr="00117DA6" w:rsidRDefault="004D5C93" w:rsidP="004D5C93">
      <w:pPr>
        <w:pStyle w:val="Estilo1"/>
        <w:rPr>
          <w:rFonts w:ascii="Verdana" w:hAnsi="Verdana"/>
          <w:b/>
          <w:sz w:val="20"/>
          <w:szCs w:val="20"/>
        </w:rPr>
      </w:pPr>
    </w:p>
    <w:p w14:paraId="22EF06DA" w14:textId="27BFC795"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46E697C3" w14:textId="77777777" w:rsidR="004D5C93" w:rsidRPr="008E527C" w:rsidRDefault="004D5C93" w:rsidP="004D5C93">
      <w:pPr>
        <w:pStyle w:val="Estilo1"/>
        <w:rPr>
          <w:rFonts w:ascii="Verdana" w:hAnsi="Verdana"/>
          <w:sz w:val="20"/>
          <w:szCs w:val="20"/>
        </w:rPr>
      </w:pPr>
    </w:p>
    <w:p w14:paraId="1758E105"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4212E64" w14:textId="77777777" w:rsidTr="00F2793D">
        <w:trPr>
          <w:cantSplit/>
          <w:trHeight w:val="72"/>
        </w:trPr>
        <w:tc>
          <w:tcPr>
            <w:tcW w:w="4253" w:type="dxa"/>
            <w:tcBorders>
              <w:top w:val="single" w:sz="6" w:space="0" w:color="auto"/>
            </w:tcBorders>
          </w:tcPr>
          <w:p w14:paraId="47BD33BD"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76B8F8"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25A2DDB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7FD9BE7" w14:textId="77777777" w:rsidR="004D5C93" w:rsidRPr="00117DA6" w:rsidRDefault="004D5C93" w:rsidP="004D5C93">
      <w:pPr>
        <w:pStyle w:val="Estilo1"/>
        <w:rPr>
          <w:rFonts w:ascii="Verdana" w:hAnsi="Verdana"/>
          <w:b/>
          <w:sz w:val="20"/>
          <w:szCs w:val="20"/>
        </w:rPr>
      </w:pPr>
    </w:p>
    <w:p w14:paraId="1752C436"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5D3E168B" w14:textId="77777777" w:rsidR="004D5C93" w:rsidRPr="008E527C" w:rsidRDefault="004D5C93" w:rsidP="004D5C93">
      <w:pPr>
        <w:pStyle w:val="Estilo1"/>
        <w:rPr>
          <w:rFonts w:ascii="Verdana" w:hAnsi="Verdana"/>
          <w:sz w:val="20"/>
          <w:szCs w:val="20"/>
        </w:rPr>
      </w:pPr>
    </w:p>
    <w:p w14:paraId="31F3C4EA"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36716BD0" w14:textId="77777777" w:rsidTr="00F2793D">
        <w:trPr>
          <w:cantSplit/>
          <w:trHeight w:val="72"/>
        </w:trPr>
        <w:tc>
          <w:tcPr>
            <w:tcW w:w="4253" w:type="dxa"/>
            <w:tcBorders>
              <w:top w:val="single" w:sz="6" w:space="0" w:color="auto"/>
            </w:tcBorders>
          </w:tcPr>
          <w:p w14:paraId="6FD6067E"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C4068A"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7B3B8BD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841D75D" w14:textId="77777777" w:rsidR="004D5C93" w:rsidRPr="00117DA6" w:rsidRDefault="004D5C93" w:rsidP="004D5C93">
      <w:pPr>
        <w:pStyle w:val="Estilo1"/>
        <w:rPr>
          <w:rFonts w:ascii="Verdana" w:hAnsi="Verdana"/>
          <w:sz w:val="20"/>
          <w:szCs w:val="20"/>
        </w:rPr>
      </w:pPr>
    </w:p>
    <w:p w14:paraId="6ADC34BB" w14:textId="77777777" w:rsidR="004D5C93" w:rsidRPr="008E527C" w:rsidRDefault="004D5C93" w:rsidP="008A3DEE">
      <w:pPr>
        <w:pStyle w:val="Estilo1"/>
        <w:rPr>
          <w:rFonts w:ascii="Verdana" w:hAnsi="Verdana"/>
          <w:b/>
          <w:sz w:val="20"/>
          <w:szCs w:val="20"/>
        </w:rPr>
      </w:pPr>
    </w:p>
    <w:p w14:paraId="235F47D8" w14:textId="3493DF91"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79E8631C" w14:textId="0C5C3C46"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632F14B1" w14:textId="77777777" w:rsidR="008A3DEE" w:rsidRPr="008E527C" w:rsidRDefault="008A3DEE" w:rsidP="008A3DEE">
      <w:pPr>
        <w:pStyle w:val="Estilo1"/>
        <w:rPr>
          <w:rFonts w:ascii="Verdana" w:hAnsi="Verdana"/>
          <w:sz w:val="20"/>
          <w:szCs w:val="20"/>
        </w:rPr>
      </w:pPr>
    </w:p>
    <w:p w14:paraId="2039BD51" w14:textId="77777777" w:rsidR="008A3DEE" w:rsidRPr="008E527C" w:rsidRDefault="008A3DEE" w:rsidP="008A3DEE">
      <w:pPr>
        <w:pStyle w:val="Estilo1"/>
        <w:rPr>
          <w:rFonts w:ascii="Verdana" w:hAnsi="Verdana"/>
          <w:sz w:val="20"/>
          <w:szCs w:val="20"/>
        </w:rPr>
      </w:pPr>
    </w:p>
    <w:p w14:paraId="62209F4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188BFC68" w14:textId="77777777" w:rsidR="008A3DEE" w:rsidRPr="008E527C" w:rsidRDefault="008A3DEE" w:rsidP="008A3DEE">
      <w:pPr>
        <w:pStyle w:val="Estilo1"/>
        <w:rPr>
          <w:rFonts w:ascii="Verdana" w:hAnsi="Verdana"/>
          <w:sz w:val="20"/>
          <w:szCs w:val="20"/>
        </w:rPr>
      </w:pPr>
    </w:p>
    <w:p w14:paraId="4D5ED46F" w14:textId="0DEE4293"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4A087812" w14:textId="77777777" w:rsidR="008A3DEE" w:rsidRPr="008E527C" w:rsidRDefault="008A3DEE" w:rsidP="008A3DEE">
      <w:pPr>
        <w:pStyle w:val="Estilo1"/>
        <w:rPr>
          <w:rFonts w:ascii="Verdana" w:hAnsi="Verdana"/>
          <w:sz w:val="20"/>
          <w:szCs w:val="20"/>
        </w:rPr>
      </w:pPr>
    </w:p>
    <w:p w14:paraId="41F32AE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0C139FD" w14:textId="77777777" w:rsidTr="008A3DEE">
        <w:trPr>
          <w:cantSplit/>
          <w:trHeight w:val="72"/>
        </w:trPr>
        <w:tc>
          <w:tcPr>
            <w:tcW w:w="4253" w:type="dxa"/>
            <w:tcBorders>
              <w:top w:val="single" w:sz="6" w:space="0" w:color="auto"/>
            </w:tcBorders>
          </w:tcPr>
          <w:p w14:paraId="28C183A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2E4B6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FDA9BAA" w14:textId="77777777" w:rsidR="008A3DEE" w:rsidRPr="00117DA6" w:rsidRDefault="008A3DEE" w:rsidP="008A3DEE">
      <w:pPr>
        <w:pStyle w:val="Estilo1"/>
        <w:rPr>
          <w:rFonts w:ascii="Verdana" w:hAnsi="Verdana"/>
          <w:sz w:val="20"/>
          <w:szCs w:val="20"/>
        </w:rPr>
      </w:pPr>
    </w:p>
    <w:p w14:paraId="3092B328" w14:textId="31AC10FB"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6EFDCAD" w14:textId="77777777" w:rsidR="008A3DEE" w:rsidRPr="008E527C" w:rsidRDefault="008A3DEE" w:rsidP="008A3DEE">
      <w:pPr>
        <w:pStyle w:val="Estilo1"/>
        <w:rPr>
          <w:rFonts w:ascii="Verdana" w:hAnsi="Verdana"/>
          <w:sz w:val="20"/>
          <w:szCs w:val="20"/>
        </w:rPr>
      </w:pPr>
    </w:p>
    <w:p w14:paraId="3AF195D7" w14:textId="77777777" w:rsidR="008A3DEE" w:rsidRPr="008E527C" w:rsidRDefault="008A3DEE" w:rsidP="008A3DEE">
      <w:pPr>
        <w:pStyle w:val="Estilo1"/>
        <w:rPr>
          <w:rFonts w:ascii="Verdana" w:hAnsi="Verdana"/>
          <w:sz w:val="20"/>
          <w:szCs w:val="20"/>
        </w:rPr>
      </w:pPr>
    </w:p>
    <w:p w14:paraId="610E2D6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77F08927" w14:textId="77777777" w:rsidR="008A3DEE" w:rsidRPr="008E527C" w:rsidRDefault="008A3DEE" w:rsidP="008A3DEE">
      <w:pPr>
        <w:pStyle w:val="Estilo1"/>
        <w:rPr>
          <w:rFonts w:ascii="Verdana" w:hAnsi="Verdana"/>
          <w:sz w:val="20"/>
          <w:szCs w:val="20"/>
        </w:rPr>
      </w:pPr>
    </w:p>
    <w:p w14:paraId="61CA9AF9"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34A81B66" w14:textId="77777777" w:rsidR="008A3DEE" w:rsidRPr="008E527C" w:rsidRDefault="008A3DEE" w:rsidP="008A3DEE">
      <w:pPr>
        <w:pStyle w:val="Estilo1"/>
        <w:rPr>
          <w:rFonts w:ascii="Verdana" w:hAnsi="Verdana"/>
          <w:sz w:val="20"/>
          <w:szCs w:val="20"/>
        </w:rPr>
      </w:pPr>
    </w:p>
    <w:p w14:paraId="302FE2D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4A2D490" w14:textId="77777777" w:rsidTr="008A3DEE">
        <w:trPr>
          <w:cantSplit/>
          <w:trHeight w:val="72"/>
        </w:trPr>
        <w:tc>
          <w:tcPr>
            <w:tcW w:w="4253" w:type="dxa"/>
            <w:tcBorders>
              <w:top w:val="single" w:sz="6" w:space="0" w:color="auto"/>
            </w:tcBorders>
          </w:tcPr>
          <w:p w14:paraId="381DE9D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EA166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C169AF"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69192F">
      <w:headerReference w:type="even" r:id="rId8"/>
      <w:footerReference w:type="even" r:id="rId9"/>
      <w:footerReference w:type="default" r:id="rId10"/>
      <w:headerReference w:type="first" r:id="rId11"/>
      <w:footerReference w:type="first" r:id="rId12"/>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5AA2" w14:textId="77777777" w:rsidR="00890E86" w:rsidRDefault="00890E86">
      <w:pPr>
        <w:spacing w:after="0" w:line="240" w:lineRule="auto"/>
      </w:pPr>
      <w:r>
        <w:separator/>
      </w:r>
    </w:p>
  </w:endnote>
  <w:endnote w:type="continuationSeparator" w:id="0">
    <w:p w14:paraId="4465B8BC" w14:textId="77777777" w:rsidR="00890E86" w:rsidRDefault="00890E86">
      <w:pPr>
        <w:spacing w:after="0" w:line="240" w:lineRule="auto"/>
      </w:pPr>
      <w:r>
        <w:continuationSeparator/>
      </w:r>
    </w:p>
  </w:endnote>
  <w:endnote w:type="continuationNotice" w:id="1">
    <w:p w14:paraId="23FD3D1D" w14:textId="77777777" w:rsidR="00890E86" w:rsidRDefault="00890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597991"/>
      <w:docPartObj>
        <w:docPartGallery w:val="Page Numbers (Bottom of Page)"/>
        <w:docPartUnique/>
      </w:docPartObj>
    </w:sdtPr>
    <w:sdtEndPr/>
    <w:sdtContent>
      <w:p w14:paraId="4635A587" w14:textId="37DDA0F6" w:rsidR="008E65CC" w:rsidRDefault="008E65CC">
        <w:pPr>
          <w:pStyle w:val="Rodap"/>
          <w:jc w:val="right"/>
        </w:pPr>
        <w:r>
          <w:fldChar w:fldCharType="begin"/>
        </w:r>
        <w:r>
          <w:instrText>PAGE   \* MERGEFORMAT</w:instrText>
        </w:r>
        <w:r>
          <w:fldChar w:fldCharType="separate"/>
        </w:r>
        <w:r>
          <w:t>2</w:t>
        </w:r>
        <w:r>
          <w:fldChar w:fldCharType="end"/>
        </w:r>
      </w:p>
    </w:sdtContent>
  </w:sdt>
  <w:p w14:paraId="75C0DC82" w14:textId="5EBAFAD5"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453636"/>
      <w:docPartObj>
        <w:docPartGallery w:val="Page Numbers (Bottom of Page)"/>
        <w:docPartUnique/>
      </w:docPartObj>
    </w:sdtPr>
    <w:sdtEndPr>
      <w:rPr>
        <w:rFonts w:ascii="Verdana" w:hAnsi="Verdana"/>
        <w:sz w:val="18"/>
        <w:szCs w:val="18"/>
      </w:rPr>
    </w:sdtEndPr>
    <w:sdtContent>
      <w:p w14:paraId="3131B704" w14:textId="0A146291" w:rsidR="00222E31" w:rsidRPr="00E72800" w:rsidRDefault="008E65CC" w:rsidP="00E72800">
        <w:pPr>
          <w:pStyle w:val="Rodap"/>
          <w:jc w:val="right"/>
          <w:rPr>
            <w:rFonts w:ascii="Verdana" w:hAnsi="Verdana"/>
            <w:sz w:val="18"/>
            <w:szCs w:val="18"/>
          </w:rPr>
        </w:pPr>
        <w:r w:rsidRPr="00E72800">
          <w:rPr>
            <w:rFonts w:ascii="Verdana" w:hAnsi="Verdana"/>
            <w:sz w:val="18"/>
            <w:szCs w:val="18"/>
          </w:rPr>
          <w:fldChar w:fldCharType="begin"/>
        </w:r>
        <w:r w:rsidRPr="00E72800">
          <w:rPr>
            <w:rFonts w:ascii="Verdana" w:hAnsi="Verdana"/>
            <w:sz w:val="18"/>
            <w:szCs w:val="18"/>
          </w:rPr>
          <w:instrText>PAGE   \* MERGEFORMAT</w:instrText>
        </w:r>
        <w:r w:rsidRPr="00E72800">
          <w:rPr>
            <w:rFonts w:ascii="Verdana" w:hAnsi="Verdana"/>
            <w:sz w:val="18"/>
            <w:szCs w:val="18"/>
          </w:rPr>
          <w:fldChar w:fldCharType="separate"/>
        </w:r>
        <w:r w:rsidRPr="00E72800">
          <w:rPr>
            <w:rFonts w:ascii="Verdana" w:hAnsi="Verdana"/>
            <w:sz w:val="18"/>
            <w:szCs w:val="18"/>
          </w:rPr>
          <w:t>2</w:t>
        </w:r>
        <w:r w:rsidRPr="00E72800">
          <w:rPr>
            <w:rFonts w:ascii="Verdana" w:hAnsi="Verdana"/>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9B31" w14:textId="0E5D1759"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05D04CC6" w14:textId="5A936F31" w:rsidR="00124958" w:rsidRPr="00542899" w:rsidRDefault="00124958" w:rsidP="00D94038">
        <w:pPr>
          <w:pStyle w:val="Rodap"/>
          <w:jc w:val="left"/>
          <w:rPr>
            <w:rFonts w:ascii="Verdana" w:hAnsi="Verdana"/>
            <w:sz w:val="14"/>
          </w:rPr>
        </w:pPr>
      </w:p>
      <w:p w14:paraId="697BE556" w14:textId="229BCDF2" w:rsidR="00124958" w:rsidRPr="004D5C93" w:rsidRDefault="00124958"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80FE2FF"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B573" w14:textId="77777777" w:rsidR="00890E86" w:rsidRDefault="00890E86">
      <w:pPr>
        <w:spacing w:after="0" w:line="240" w:lineRule="auto"/>
      </w:pPr>
      <w:r>
        <w:separator/>
      </w:r>
    </w:p>
  </w:footnote>
  <w:footnote w:type="continuationSeparator" w:id="0">
    <w:p w14:paraId="145DE937" w14:textId="77777777" w:rsidR="00890E86" w:rsidRDefault="00890E86">
      <w:pPr>
        <w:spacing w:after="0" w:line="240" w:lineRule="auto"/>
      </w:pPr>
      <w:r>
        <w:continuationSeparator/>
      </w:r>
    </w:p>
  </w:footnote>
  <w:footnote w:type="continuationNotice" w:id="1">
    <w:p w14:paraId="36BF7DFF" w14:textId="77777777" w:rsidR="00890E86" w:rsidRDefault="00890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AD4B"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1B41" w14:textId="0FCD15E2" w:rsidR="00124958" w:rsidDel="00BA497E" w:rsidRDefault="00124958" w:rsidP="008E527C">
    <w:pPr>
      <w:pStyle w:val="Cabealho"/>
      <w:ind w:left="718"/>
      <w:jc w:val="right"/>
      <w:rPr>
        <w:ins w:id="13" w:author="Emily Correia | Machado Meyer Advogados" w:date="2020-12-29T13:26:00Z"/>
        <w:del w:id="14" w:author="Pedro Henrique Jardim | Machado Meyer Advogados" w:date="2020-12-29T14:12:00Z"/>
        <w:rFonts w:ascii="Verdana" w:hAnsi="Verdana"/>
        <w:i/>
        <w:iCs/>
        <w:sz w:val="18"/>
        <w:szCs w:val="18"/>
      </w:rPr>
    </w:pPr>
    <w:del w:id="15" w:author="Pedro Henrique Jardim | Machado Meyer Advogados" w:date="2020-12-29T14:12:00Z">
      <w:r w:rsidRPr="008E527C" w:rsidDel="00BA497E">
        <w:rPr>
          <w:rFonts w:ascii="Verdana" w:hAnsi="Verdana"/>
          <w:i/>
          <w:iCs/>
          <w:sz w:val="18"/>
          <w:szCs w:val="18"/>
        </w:rPr>
        <w:delText xml:space="preserve">Minuta Machado Meyer </w:delText>
      </w:r>
      <w:r w:rsidR="00CB2ECD" w:rsidDel="00BA497E">
        <w:rPr>
          <w:rFonts w:ascii="Verdana" w:hAnsi="Verdana"/>
          <w:i/>
          <w:iCs/>
          <w:sz w:val="18"/>
          <w:szCs w:val="18"/>
        </w:rPr>
        <w:delText xml:space="preserve">– </w:delText>
      </w:r>
      <w:r w:rsidR="008175A8" w:rsidDel="00BA497E">
        <w:rPr>
          <w:rFonts w:ascii="Verdana" w:hAnsi="Verdana"/>
          <w:i/>
          <w:iCs/>
          <w:sz w:val="18"/>
          <w:szCs w:val="18"/>
        </w:rPr>
        <w:delText>18</w:delText>
      </w:r>
    </w:del>
    <w:ins w:id="16" w:author="Emily Correia | Machado Meyer Advogados" w:date="2020-12-29T13:26:00Z">
      <w:del w:id="17" w:author="Pedro Henrique Jardim | Machado Meyer Advogados" w:date="2020-12-29T14:12:00Z">
        <w:r w:rsidR="00267221" w:rsidDel="00BA497E">
          <w:rPr>
            <w:rFonts w:ascii="Verdana" w:hAnsi="Verdana"/>
            <w:i/>
            <w:iCs/>
            <w:sz w:val="18"/>
            <w:szCs w:val="18"/>
          </w:rPr>
          <w:delText>22</w:delText>
        </w:r>
      </w:del>
    </w:ins>
    <w:del w:id="18" w:author="Pedro Henrique Jardim | Machado Meyer Advogados" w:date="2020-12-29T14:12:00Z">
      <w:r w:rsidR="00CB2ECD" w:rsidDel="00BA497E">
        <w:rPr>
          <w:rFonts w:ascii="Verdana" w:hAnsi="Verdana"/>
          <w:i/>
          <w:iCs/>
          <w:sz w:val="18"/>
          <w:szCs w:val="18"/>
        </w:rPr>
        <w:delText>/12/2020</w:delText>
      </w:r>
    </w:del>
  </w:p>
  <w:p w14:paraId="30644417" w14:textId="49CD484F" w:rsidR="00267221" w:rsidRPr="008E527C" w:rsidRDefault="00267221" w:rsidP="008E527C">
    <w:pPr>
      <w:pStyle w:val="Cabealho"/>
      <w:ind w:left="718"/>
      <w:jc w:val="right"/>
      <w:rPr>
        <w:rFonts w:ascii="Verdana" w:hAnsi="Verdana"/>
        <w:i/>
        <w:iCs/>
        <w:sz w:val="18"/>
        <w:szCs w:val="18"/>
      </w:rPr>
    </w:pPr>
    <w:ins w:id="19" w:author="Emily Correia | Machado Meyer Advogados" w:date="2020-12-29T13:26:00Z">
      <w:del w:id="20" w:author="Pedro Henrique Jardim | Machado Meyer Advogados" w:date="2020-12-29T14:12:00Z">
        <w:r w:rsidDel="00BA497E">
          <w:rPr>
            <w:rFonts w:ascii="Verdana" w:hAnsi="Verdana"/>
            <w:i/>
            <w:iCs/>
            <w:sz w:val="18"/>
            <w:szCs w:val="18"/>
          </w:rPr>
          <w:delText>Comentários B3</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0"/>
  </w:num>
  <w:num w:numId="10">
    <w:abstractNumId w:val="8"/>
  </w:num>
  <w:num w:numId="11">
    <w:abstractNumId w:val="1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orreia | Machado Meyer Advogados">
    <w15:presenceInfo w15:providerId="AD" w15:userId="S::eoc@machadomeyer.com.br::eea0a624-f470-47d5-964b-fb03aeb8024c"/>
  </w15:person>
  <w15:person w15:author="Pedro Henrique Jardim | Machado Meyer Advogados">
    <w15:presenceInfo w15:providerId="AD" w15:userId="S::Phj@machadomeyer.com.br::61e80121-580f-445c-a52f-1b5a9faf4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42E71"/>
    <w:rsid w:val="00051640"/>
    <w:rsid w:val="000665C8"/>
    <w:rsid w:val="00090300"/>
    <w:rsid w:val="000960A1"/>
    <w:rsid w:val="000A1047"/>
    <w:rsid w:val="000A4D95"/>
    <w:rsid w:val="000C1FB2"/>
    <w:rsid w:val="000D2B35"/>
    <w:rsid w:val="00117DA6"/>
    <w:rsid w:val="0012121E"/>
    <w:rsid w:val="00123BFD"/>
    <w:rsid w:val="00124958"/>
    <w:rsid w:val="00124E33"/>
    <w:rsid w:val="00134FE9"/>
    <w:rsid w:val="001352F3"/>
    <w:rsid w:val="00147A95"/>
    <w:rsid w:val="00164FA4"/>
    <w:rsid w:val="001662D4"/>
    <w:rsid w:val="0017687F"/>
    <w:rsid w:val="001955A0"/>
    <w:rsid w:val="001A44C5"/>
    <w:rsid w:val="001A6359"/>
    <w:rsid w:val="001B2AE9"/>
    <w:rsid w:val="001B4403"/>
    <w:rsid w:val="001B77FE"/>
    <w:rsid w:val="001C0D31"/>
    <w:rsid w:val="001D07A9"/>
    <w:rsid w:val="001F1F8A"/>
    <w:rsid w:val="00207CCB"/>
    <w:rsid w:val="00222E31"/>
    <w:rsid w:val="002406BE"/>
    <w:rsid w:val="00243E76"/>
    <w:rsid w:val="00252948"/>
    <w:rsid w:val="0025437C"/>
    <w:rsid w:val="00267221"/>
    <w:rsid w:val="00286FC0"/>
    <w:rsid w:val="00296193"/>
    <w:rsid w:val="002B65AE"/>
    <w:rsid w:val="002E1DDC"/>
    <w:rsid w:val="002E4A67"/>
    <w:rsid w:val="00311D72"/>
    <w:rsid w:val="0031777A"/>
    <w:rsid w:val="00361D2D"/>
    <w:rsid w:val="00370B2A"/>
    <w:rsid w:val="00387185"/>
    <w:rsid w:val="003C36F8"/>
    <w:rsid w:val="00415BDC"/>
    <w:rsid w:val="00421D0E"/>
    <w:rsid w:val="004271B8"/>
    <w:rsid w:val="004452E1"/>
    <w:rsid w:val="004476CD"/>
    <w:rsid w:val="004552D0"/>
    <w:rsid w:val="004709D4"/>
    <w:rsid w:val="004A062F"/>
    <w:rsid w:val="004A3CD0"/>
    <w:rsid w:val="004C28B6"/>
    <w:rsid w:val="004C347F"/>
    <w:rsid w:val="004C4A52"/>
    <w:rsid w:val="004D5C93"/>
    <w:rsid w:val="004D6808"/>
    <w:rsid w:val="004E01BE"/>
    <w:rsid w:val="004F7CC5"/>
    <w:rsid w:val="005315A5"/>
    <w:rsid w:val="005333B8"/>
    <w:rsid w:val="00542899"/>
    <w:rsid w:val="00543209"/>
    <w:rsid w:val="00554E0F"/>
    <w:rsid w:val="005655C7"/>
    <w:rsid w:val="0059236A"/>
    <w:rsid w:val="005D19B9"/>
    <w:rsid w:val="005E615D"/>
    <w:rsid w:val="00604A7D"/>
    <w:rsid w:val="006230C9"/>
    <w:rsid w:val="00632186"/>
    <w:rsid w:val="00651BA3"/>
    <w:rsid w:val="00654225"/>
    <w:rsid w:val="00657211"/>
    <w:rsid w:val="00670656"/>
    <w:rsid w:val="00683059"/>
    <w:rsid w:val="00687D94"/>
    <w:rsid w:val="0069192F"/>
    <w:rsid w:val="00697102"/>
    <w:rsid w:val="006D214D"/>
    <w:rsid w:val="006E7C25"/>
    <w:rsid w:val="0073597C"/>
    <w:rsid w:val="00736AFC"/>
    <w:rsid w:val="00743006"/>
    <w:rsid w:val="00745C74"/>
    <w:rsid w:val="00750231"/>
    <w:rsid w:val="007535DC"/>
    <w:rsid w:val="00776070"/>
    <w:rsid w:val="00777F10"/>
    <w:rsid w:val="0078656C"/>
    <w:rsid w:val="007B7361"/>
    <w:rsid w:val="007D64C9"/>
    <w:rsid w:val="007E05D0"/>
    <w:rsid w:val="007F73FC"/>
    <w:rsid w:val="00810413"/>
    <w:rsid w:val="00816AC2"/>
    <w:rsid w:val="008175A8"/>
    <w:rsid w:val="00821A18"/>
    <w:rsid w:val="008257D0"/>
    <w:rsid w:val="00867402"/>
    <w:rsid w:val="00873580"/>
    <w:rsid w:val="00890E86"/>
    <w:rsid w:val="008A3DEE"/>
    <w:rsid w:val="008B63A8"/>
    <w:rsid w:val="008D23DC"/>
    <w:rsid w:val="008D69E7"/>
    <w:rsid w:val="008E075C"/>
    <w:rsid w:val="008E527C"/>
    <w:rsid w:val="008E65CC"/>
    <w:rsid w:val="008F4C72"/>
    <w:rsid w:val="008F7E2B"/>
    <w:rsid w:val="009109CC"/>
    <w:rsid w:val="00935E59"/>
    <w:rsid w:val="009506F9"/>
    <w:rsid w:val="0096064B"/>
    <w:rsid w:val="009606BB"/>
    <w:rsid w:val="00962A2E"/>
    <w:rsid w:val="00974E32"/>
    <w:rsid w:val="00991BBB"/>
    <w:rsid w:val="009A17F4"/>
    <w:rsid w:val="009A4F65"/>
    <w:rsid w:val="009E1A84"/>
    <w:rsid w:val="00A07765"/>
    <w:rsid w:val="00A07B2D"/>
    <w:rsid w:val="00A25435"/>
    <w:rsid w:val="00A3041D"/>
    <w:rsid w:val="00A34663"/>
    <w:rsid w:val="00A36DF7"/>
    <w:rsid w:val="00A37C21"/>
    <w:rsid w:val="00A416FE"/>
    <w:rsid w:val="00A61379"/>
    <w:rsid w:val="00AE1D27"/>
    <w:rsid w:val="00AE22E7"/>
    <w:rsid w:val="00AE7931"/>
    <w:rsid w:val="00AF5642"/>
    <w:rsid w:val="00AF7689"/>
    <w:rsid w:val="00B61753"/>
    <w:rsid w:val="00B720BF"/>
    <w:rsid w:val="00B823B6"/>
    <w:rsid w:val="00B93484"/>
    <w:rsid w:val="00BA497E"/>
    <w:rsid w:val="00BB448D"/>
    <w:rsid w:val="00BD24A9"/>
    <w:rsid w:val="00BD3F4D"/>
    <w:rsid w:val="00BE49AB"/>
    <w:rsid w:val="00C17F2B"/>
    <w:rsid w:val="00C229C1"/>
    <w:rsid w:val="00C2493D"/>
    <w:rsid w:val="00C73642"/>
    <w:rsid w:val="00C80360"/>
    <w:rsid w:val="00C90CAA"/>
    <w:rsid w:val="00CB07BE"/>
    <w:rsid w:val="00CB2ECD"/>
    <w:rsid w:val="00CC401B"/>
    <w:rsid w:val="00CC72C0"/>
    <w:rsid w:val="00D00E17"/>
    <w:rsid w:val="00D063F6"/>
    <w:rsid w:val="00D06C0F"/>
    <w:rsid w:val="00D1250B"/>
    <w:rsid w:val="00D24D69"/>
    <w:rsid w:val="00D856FD"/>
    <w:rsid w:val="00D9192C"/>
    <w:rsid w:val="00D94038"/>
    <w:rsid w:val="00D96D42"/>
    <w:rsid w:val="00DB076F"/>
    <w:rsid w:val="00DC0387"/>
    <w:rsid w:val="00DF0B56"/>
    <w:rsid w:val="00E10911"/>
    <w:rsid w:val="00E21304"/>
    <w:rsid w:val="00E307E7"/>
    <w:rsid w:val="00E33A10"/>
    <w:rsid w:val="00E34212"/>
    <w:rsid w:val="00E370A4"/>
    <w:rsid w:val="00E448D4"/>
    <w:rsid w:val="00E707B9"/>
    <w:rsid w:val="00E710F3"/>
    <w:rsid w:val="00E72800"/>
    <w:rsid w:val="00E879BB"/>
    <w:rsid w:val="00E90F4D"/>
    <w:rsid w:val="00EB1E93"/>
    <w:rsid w:val="00EB52C6"/>
    <w:rsid w:val="00EC78C5"/>
    <w:rsid w:val="00ED2E8A"/>
    <w:rsid w:val="00EE3106"/>
    <w:rsid w:val="00EE332A"/>
    <w:rsid w:val="00F1242E"/>
    <w:rsid w:val="00F175FD"/>
    <w:rsid w:val="00F2793D"/>
    <w:rsid w:val="00F41657"/>
    <w:rsid w:val="00F4591F"/>
    <w:rsid w:val="00F66340"/>
    <w:rsid w:val="00F77EA5"/>
    <w:rsid w:val="00FB2C21"/>
    <w:rsid w:val="00FB3BE5"/>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 T E X T ! 5 3 0 7 5 3 4 7 . 5 < / d o c u m e n t i d >  
     < s e n d e r i d > P H J < / s e n d e r i d >  
     < s e n d e r e m a i l > P J A R D I M @ M A C H A D O M E Y E R . C O M . B R < / s e n d e r e m a i l >  
     < l a s t m o d i f i e d > 2 0 2 0 - 1 2 - 2 9 T 1 4 : 1 2 : 0 0 . 0 0 0 0 0 0 0 - 0 3 : 0 0 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88B4-BAC2-4647-BF68-0A76F346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4107</Words>
  <Characters>22182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Pedro Henrique Jardim | Machado Meyer Advogados</cp:lastModifiedBy>
  <cp:revision>2</cp:revision>
  <dcterms:created xsi:type="dcterms:W3CDTF">2020-12-22T16:38:00Z</dcterms:created>
  <dcterms:modified xsi:type="dcterms:W3CDTF">2020-12-29T17:12:00Z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- 52696665v7 12469.9 </vt:lpwstr>
  </property>
  <property fmtid="{D5CDD505-2E9C-101B-9397-08002B2CF9AE}" pid="3" name="MSIP_Label_4aeda764-ac5d-4c78-8b24-fe1405747852_Enabled">
    <vt:lpwstr>true</vt:lpwstr>
  </property>
  <property fmtid="{D5CDD505-2E9C-101B-9397-08002B2CF9AE}" pid="4" name="MSIP_Label_4aeda764-ac5d-4c78-8b24-fe1405747852_SetDate">
    <vt:lpwstr>2020-12-21T23:30:46Z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ccb3bcc2-65b1-4f0c-9de9-e942c4fd19d7</vt:lpwstr>
  </property>
  <property fmtid="{D5CDD505-2E9C-101B-9397-08002B2CF9AE}" pid="9" name="MSIP_Label_4aeda764-ac5d-4c78-8b24-fe1405747852_ContentBits">
    <vt:lpwstr>2</vt:lpwstr>
  </property>
</Properties>
</file>