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AF" w:rsidRDefault="00510693">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r>
        <w:rPr>
          <w:noProof/>
          <w:lang w:val="pt-BR"/>
        </w:rPr>
        <w:drawing>
          <wp:anchor distT="0" distB="0" distL="114300" distR="114300" simplePos="0" relativeHeight="251660288" behindDoc="0" locked="0" layoutInCell="1" allowOverlap="1">
            <wp:simplePos x="0" y="0"/>
            <wp:positionH relativeFrom="column">
              <wp:posOffset>3913853</wp:posOffset>
            </wp:positionH>
            <wp:positionV relativeFrom="paragraph">
              <wp:posOffset>-520844</wp:posOffset>
            </wp:positionV>
            <wp:extent cx="1677670" cy="962025"/>
            <wp:effectExtent l="0" t="0" r="0" b="9525"/>
            <wp:wrapTopAndBottom/>
            <wp:docPr id="2" name="Imagem 2"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7767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8AF" w:rsidRDefault="00F918AF">
      <w:pPr>
        <w:spacing w:after="0" w:line="300" w:lineRule="exact"/>
        <w:jc w:val="center"/>
        <w:rPr>
          <w:rFonts w:ascii="Verdana" w:hAnsi="Verdana"/>
          <w:sz w:val="20"/>
          <w:szCs w:val="20"/>
        </w:rPr>
      </w:pPr>
    </w:p>
    <w:p w:rsidR="00F918AF" w:rsidRDefault="00510693">
      <w:pPr>
        <w:spacing w:after="0" w:line="300" w:lineRule="exact"/>
        <w:jc w:val="both"/>
        <w:rPr>
          <w:rFonts w:ascii="Verdana" w:hAnsi="Verdana"/>
          <w:b/>
          <w:sz w:val="20"/>
          <w:szCs w:val="20"/>
        </w:rPr>
      </w:pPr>
      <w:r>
        <w:rPr>
          <w:rFonts w:ascii="Verdana" w:hAnsi="Verdana"/>
          <w:b/>
          <w:bCs/>
          <w:sz w:val="20"/>
          <w:szCs w:val="20"/>
        </w:rPr>
        <w:t xml:space="preserve">PRIMEIRO ADITAMENTO À ESCRITURA PARTICULAR DA DÉCIMA TERCEIRA EMISSÃO DE DEBÊNTURES SIMPLES, NÃO CONVERSÍVEIS EM AÇÕES, DA ESPÉCIE QUIROGRAFÁRIA, EM ATÉ DUAS SÉRIES, PARA </w:t>
      </w:r>
      <w:r>
        <w:rPr>
          <w:rFonts w:ascii="Verdana" w:hAnsi="Verdana"/>
          <w:b/>
          <w:bCs/>
          <w:sz w:val="20"/>
          <w:szCs w:val="20"/>
        </w:rPr>
        <w:t xml:space="preserve">DISTRIBUIÇÃO PÚBLICA, </w:t>
      </w:r>
      <w:proofErr w:type="gramStart"/>
      <w:r>
        <w:rPr>
          <w:rFonts w:ascii="Verdana" w:hAnsi="Verdana"/>
          <w:b/>
          <w:bCs/>
          <w:sz w:val="20"/>
          <w:szCs w:val="20"/>
        </w:rPr>
        <w:t>DA RUMO</w:t>
      </w:r>
      <w:proofErr w:type="gramEnd"/>
      <w:r>
        <w:rPr>
          <w:rFonts w:ascii="Verdana" w:hAnsi="Verdana"/>
          <w:b/>
          <w:bCs/>
          <w:sz w:val="20"/>
          <w:szCs w:val="20"/>
        </w:rPr>
        <w:t xml:space="preserve"> S.A</w:t>
      </w:r>
      <w:r>
        <w:rPr>
          <w:rFonts w:ascii="Verdana" w:hAnsi="Verdana"/>
          <w:b/>
          <w:sz w:val="20"/>
          <w:szCs w:val="20"/>
        </w:rPr>
        <w:t>.</w:t>
      </w: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510693">
      <w:pPr>
        <w:pStyle w:val="c3"/>
        <w:spacing w:line="300" w:lineRule="exact"/>
        <w:rPr>
          <w:rFonts w:ascii="Verdana" w:hAnsi="Verdana"/>
          <w:sz w:val="20"/>
          <w:szCs w:val="20"/>
        </w:rPr>
      </w:pPr>
      <w:proofErr w:type="gramStart"/>
      <w:r>
        <w:rPr>
          <w:rFonts w:ascii="Verdana" w:hAnsi="Verdana"/>
          <w:sz w:val="20"/>
          <w:szCs w:val="20"/>
        </w:rPr>
        <w:t>entre</w:t>
      </w:r>
      <w:proofErr w:type="gramEnd"/>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510693">
      <w:pPr>
        <w:spacing w:after="0" w:line="30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rsidR="00F918AF" w:rsidRDefault="00510693">
      <w:pPr>
        <w:spacing w:after="0" w:line="300" w:lineRule="exact"/>
        <w:jc w:val="center"/>
        <w:rPr>
          <w:rFonts w:ascii="Verdana" w:hAnsi="Verdana"/>
          <w:i/>
          <w:iCs/>
          <w:sz w:val="20"/>
          <w:szCs w:val="20"/>
        </w:rPr>
      </w:pPr>
      <w:proofErr w:type="gramStart"/>
      <w:r>
        <w:rPr>
          <w:rFonts w:ascii="Verdana" w:hAnsi="Verdana"/>
          <w:i/>
          <w:iCs/>
          <w:sz w:val="20"/>
          <w:szCs w:val="20"/>
        </w:rPr>
        <w:t>como</w:t>
      </w:r>
      <w:proofErr w:type="gramEnd"/>
      <w:r>
        <w:rPr>
          <w:rFonts w:ascii="Verdana" w:hAnsi="Verdana"/>
          <w:i/>
          <w:iCs/>
          <w:sz w:val="20"/>
          <w:szCs w:val="20"/>
        </w:rPr>
        <w:t xml:space="preserve"> Emissora</w:t>
      </w: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outlineLvl w:val="0"/>
        <w:rPr>
          <w:rFonts w:ascii="Verdana" w:hAnsi="Verdana"/>
          <w:sz w:val="20"/>
          <w:szCs w:val="20"/>
        </w:rPr>
      </w:pPr>
    </w:p>
    <w:p w:rsidR="00F918AF" w:rsidRDefault="00F918AF">
      <w:pPr>
        <w:spacing w:after="0" w:line="300" w:lineRule="exact"/>
        <w:jc w:val="center"/>
        <w:outlineLvl w:val="0"/>
        <w:rPr>
          <w:rFonts w:ascii="Verdana" w:hAnsi="Verdana"/>
          <w:sz w:val="20"/>
          <w:szCs w:val="20"/>
        </w:rPr>
      </w:pPr>
    </w:p>
    <w:p w:rsidR="00F918AF" w:rsidRDefault="00510693">
      <w:pPr>
        <w:spacing w:after="0" w:line="300" w:lineRule="exact"/>
        <w:jc w:val="center"/>
        <w:outlineLvl w:val="0"/>
        <w:rPr>
          <w:rFonts w:ascii="Verdana" w:hAnsi="Verdana"/>
          <w:sz w:val="20"/>
          <w:szCs w:val="20"/>
        </w:rPr>
      </w:pPr>
      <w:proofErr w:type="gramStart"/>
      <w:r>
        <w:rPr>
          <w:rFonts w:ascii="Verdana" w:hAnsi="Verdana"/>
          <w:sz w:val="20"/>
          <w:szCs w:val="20"/>
        </w:rPr>
        <w:t>e</w:t>
      </w:r>
      <w:proofErr w:type="gramEnd"/>
    </w:p>
    <w:p w:rsidR="00F918AF" w:rsidRDefault="00F918AF">
      <w:pPr>
        <w:spacing w:after="0" w:line="300" w:lineRule="exact"/>
        <w:jc w:val="center"/>
        <w:outlineLvl w:val="0"/>
        <w:rPr>
          <w:rFonts w:ascii="Verdana" w:hAnsi="Verdana"/>
          <w:sz w:val="20"/>
          <w:szCs w:val="20"/>
        </w:rPr>
      </w:pPr>
    </w:p>
    <w:p w:rsidR="00F918AF" w:rsidRDefault="00F918AF">
      <w:pPr>
        <w:spacing w:after="0" w:line="300" w:lineRule="exact"/>
        <w:jc w:val="center"/>
        <w:outlineLvl w:val="0"/>
        <w:rPr>
          <w:rFonts w:ascii="Verdana" w:hAnsi="Verdana"/>
          <w:sz w:val="20"/>
          <w:szCs w:val="20"/>
        </w:rPr>
      </w:pPr>
    </w:p>
    <w:p w:rsidR="00F918AF" w:rsidRDefault="00F918AF">
      <w:pPr>
        <w:spacing w:after="0" w:line="300" w:lineRule="exact"/>
        <w:jc w:val="center"/>
        <w:outlineLvl w:val="0"/>
        <w:rPr>
          <w:rFonts w:ascii="Verdana" w:hAnsi="Verdana"/>
          <w:sz w:val="20"/>
          <w:szCs w:val="20"/>
        </w:rPr>
      </w:pPr>
    </w:p>
    <w:p w:rsidR="00F918AF" w:rsidRDefault="00510693">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rsidR="00F918AF" w:rsidRDefault="00510693">
      <w:pPr>
        <w:spacing w:after="0" w:line="300" w:lineRule="exact"/>
        <w:jc w:val="center"/>
        <w:rPr>
          <w:rFonts w:ascii="Verdana" w:hAnsi="Verdana"/>
          <w:sz w:val="20"/>
          <w:szCs w:val="20"/>
        </w:rPr>
      </w:pPr>
      <w:proofErr w:type="gramStart"/>
      <w:r>
        <w:rPr>
          <w:rFonts w:ascii="Verdana" w:hAnsi="Verdana"/>
          <w:i/>
          <w:iCs/>
          <w:sz w:val="20"/>
          <w:szCs w:val="20"/>
        </w:rPr>
        <w:t>como</w:t>
      </w:r>
      <w:proofErr w:type="gramEnd"/>
      <w:r>
        <w:rPr>
          <w:rFonts w:ascii="Verdana" w:hAnsi="Verdana"/>
          <w:i/>
          <w:iCs/>
          <w:sz w:val="20"/>
          <w:szCs w:val="20"/>
        </w:rPr>
        <w:t xml:space="preserve"> Agente Fiduciário, representando a comunhão de Debenturistas</w:t>
      </w: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i/>
          <w:iCs/>
          <w:sz w:val="20"/>
          <w:szCs w:val="20"/>
        </w:rPr>
      </w:pPr>
    </w:p>
    <w:p w:rsidR="00F918AF" w:rsidRDefault="00F918AF">
      <w:pPr>
        <w:spacing w:after="0" w:line="300" w:lineRule="exact"/>
        <w:jc w:val="center"/>
        <w:rPr>
          <w:rFonts w:ascii="Verdana" w:hAnsi="Verdana"/>
          <w:i/>
          <w:iCs/>
          <w:sz w:val="20"/>
          <w:szCs w:val="20"/>
        </w:rPr>
      </w:pP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510693">
      <w:pPr>
        <w:spacing w:after="0" w:line="300" w:lineRule="exact"/>
        <w:jc w:val="center"/>
        <w:rPr>
          <w:rFonts w:ascii="Verdana" w:hAnsi="Verdana"/>
          <w:sz w:val="20"/>
          <w:szCs w:val="20"/>
        </w:rPr>
      </w:pPr>
      <w:r>
        <w:rPr>
          <w:rFonts w:ascii="Verdana" w:hAnsi="Verdana"/>
          <w:sz w:val="20"/>
          <w:szCs w:val="20"/>
        </w:rPr>
        <w:t>________________________</w:t>
      </w:r>
    </w:p>
    <w:p w:rsidR="00F918AF" w:rsidRDefault="00F918AF">
      <w:pPr>
        <w:spacing w:after="0" w:line="300" w:lineRule="exact"/>
        <w:jc w:val="center"/>
        <w:rPr>
          <w:rFonts w:ascii="Verdana" w:hAnsi="Verdana"/>
          <w:sz w:val="20"/>
          <w:szCs w:val="20"/>
        </w:rPr>
      </w:pPr>
    </w:p>
    <w:p w:rsidR="00F918AF" w:rsidRDefault="00510693">
      <w:pPr>
        <w:spacing w:after="0" w:line="300" w:lineRule="exact"/>
        <w:jc w:val="center"/>
        <w:rPr>
          <w:rFonts w:ascii="Verdana" w:hAnsi="Verdana"/>
          <w:sz w:val="20"/>
          <w:szCs w:val="20"/>
        </w:rPr>
      </w:pPr>
      <w:r>
        <w:rPr>
          <w:rFonts w:ascii="Verdana" w:hAnsi="Verdana"/>
          <w:sz w:val="20"/>
          <w:szCs w:val="20"/>
        </w:rPr>
        <w:t xml:space="preserve">Datado </w:t>
      </w:r>
      <w:r>
        <w:rPr>
          <w:rFonts w:ascii="Verdana" w:hAnsi="Verdana"/>
          <w:sz w:val="20"/>
          <w:szCs w:val="20"/>
        </w:rPr>
        <w:t>de</w:t>
      </w:r>
    </w:p>
    <w:p w:rsidR="00F918AF" w:rsidRDefault="00510693">
      <w:pPr>
        <w:spacing w:after="0" w:line="300" w:lineRule="exact"/>
        <w:jc w:val="center"/>
        <w:rPr>
          <w:rFonts w:ascii="Verdana" w:hAnsi="Verdana"/>
          <w:sz w:val="20"/>
          <w:szCs w:val="20"/>
        </w:rPr>
      </w:pPr>
      <w:r>
        <w:rPr>
          <w:rFonts w:ascii="Verdana" w:hAnsi="Verdana"/>
          <w:sz w:val="20"/>
          <w:szCs w:val="20"/>
        </w:rPr>
        <w:t>24 de outubro de 2019</w:t>
      </w:r>
    </w:p>
    <w:p w:rsidR="00F918AF" w:rsidRDefault="00510693">
      <w:pPr>
        <w:spacing w:after="0" w:line="300" w:lineRule="exact"/>
        <w:jc w:val="center"/>
        <w:rPr>
          <w:rFonts w:ascii="Verdana" w:hAnsi="Verdana"/>
          <w:sz w:val="20"/>
          <w:szCs w:val="20"/>
        </w:rPr>
      </w:pPr>
      <w:r>
        <w:rPr>
          <w:rFonts w:ascii="Verdana" w:hAnsi="Verdana"/>
          <w:sz w:val="20"/>
          <w:szCs w:val="20"/>
        </w:rPr>
        <w:t>________________________</w:t>
      </w:r>
    </w:p>
    <w:p w:rsidR="00F918AF" w:rsidRDefault="00F918AF">
      <w:pPr>
        <w:pBdr>
          <w:bottom w:val="double" w:sz="6" w:space="1" w:color="auto"/>
        </w:pBdr>
        <w:spacing w:after="0" w:line="300" w:lineRule="exact"/>
        <w:jc w:val="center"/>
        <w:rPr>
          <w:rFonts w:ascii="Verdana" w:hAnsi="Verdana"/>
          <w:smallCaps/>
          <w:sz w:val="20"/>
          <w:szCs w:val="20"/>
        </w:rPr>
      </w:pPr>
    </w:p>
    <w:p w:rsidR="00F918AF" w:rsidRDefault="00F918AF">
      <w:pPr>
        <w:spacing w:after="0" w:line="300" w:lineRule="exact"/>
        <w:rPr>
          <w:rFonts w:ascii="Verdana" w:hAnsi="Verdana"/>
          <w:b/>
          <w:bCs/>
          <w:sz w:val="20"/>
          <w:szCs w:val="20"/>
        </w:rPr>
        <w:sectPr w:rsidR="00F918AF">
          <w:headerReference w:type="even" r:id="rId11"/>
          <w:headerReference w:type="default" r:id="rId12"/>
          <w:footerReference w:type="even" r:id="rId13"/>
          <w:footerReference w:type="default" r:id="rId14"/>
          <w:headerReference w:type="first" r:id="rId15"/>
          <w:footerReference w:type="first" r:id="rId16"/>
          <w:pgSz w:w="11906" w:h="16838" w:code="9"/>
          <w:pgMar w:top="1699" w:right="1411" w:bottom="1411" w:left="1699"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918AF" w:rsidRDefault="00510693">
      <w:pPr>
        <w:spacing w:after="0" w:line="300" w:lineRule="exact"/>
        <w:jc w:val="both"/>
        <w:rPr>
          <w:rFonts w:ascii="Verdana" w:hAnsi="Verdana"/>
          <w:b/>
          <w:sz w:val="20"/>
          <w:szCs w:val="20"/>
        </w:rPr>
      </w:pPr>
      <w:r>
        <w:rPr>
          <w:rFonts w:ascii="Verdana" w:hAnsi="Verdana"/>
          <w:b/>
          <w:bCs/>
          <w:sz w:val="20"/>
          <w:szCs w:val="20"/>
        </w:rPr>
        <w:lastRenderedPageBreak/>
        <w:t xml:space="preserve">PRIMEIRO ADITAMENTO À ESCRITURA PARTICULAR DA DÉCIMA TERCEIRA EMISSÃO DE DEBÊNTURES </w:t>
      </w:r>
      <w:r>
        <w:rPr>
          <w:rFonts w:ascii="Verdana" w:hAnsi="Verdana"/>
          <w:b/>
          <w:bCs/>
          <w:sz w:val="20"/>
          <w:szCs w:val="20"/>
        </w:rPr>
        <w:t xml:space="preserve">SIMPLES, NÃO CONVERSÍVEIS EM AÇÕES, DA ESPÉCIE QUIROGRAFÁRIA, EM ATÉ DUAS SÉRIES, PARA DISTRIBUIÇÃO PÚBLICA, </w:t>
      </w:r>
      <w:proofErr w:type="gramStart"/>
      <w:r>
        <w:rPr>
          <w:rFonts w:ascii="Verdana" w:hAnsi="Verdana"/>
          <w:b/>
          <w:bCs/>
          <w:sz w:val="20"/>
          <w:szCs w:val="20"/>
        </w:rPr>
        <w:t>DA RUMO</w:t>
      </w:r>
      <w:proofErr w:type="gramEnd"/>
      <w:r>
        <w:rPr>
          <w:rFonts w:ascii="Verdana" w:hAnsi="Verdana"/>
          <w:b/>
          <w:bCs/>
          <w:sz w:val="20"/>
          <w:szCs w:val="20"/>
        </w:rPr>
        <w:t xml:space="preserve"> S.A</w:t>
      </w:r>
      <w:r>
        <w:rPr>
          <w:rFonts w:ascii="Verdana" w:hAnsi="Verdana"/>
          <w:b/>
          <w:sz w:val="20"/>
          <w:szCs w:val="20"/>
        </w:rPr>
        <w:t>.</w:t>
      </w:r>
    </w:p>
    <w:p w:rsidR="00F918AF" w:rsidRDefault="00F918AF">
      <w:pPr>
        <w:spacing w:after="0" w:line="300" w:lineRule="exact"/>
        <w:jc w:val="both"/>
        <w:rPr>
          <w:rFonts w:ascii="Verdana" w:hAnsi="Verdana"/>
          <w:sz w:val="20"/>
          <w:szCs w:val="20"/>
        </w:rPr>
      </w:pPr>
    </w:p>
    <w:p w:rsidR="00F918AF" w:rsidRDefault="00F918AF">
      <w:pPr>
        <w:spacing w:after="0" w:line="300" w:lineRule="exact"/>
        <w:jc w:val="both"/>
        <w:rPr>
          <w:rFonts w:ascii="Verdana" w:hAnsi="Verdana"/>
          <w:sz w:val="20"/>
          <w:szCs w:val="20"/>
        </w:rPr>
      </w:pPr>
    </w:p>
    <w:p w:rsidR="00F918AF" w:rsidRDefault="00510693">
      <w:pPr>
        <w:spacing w:after="0" w:line="300" w:lineRule="exact"/>
        <w:jc w:val="both"/>
        <w:rPr>
          <w:rFonts w:ascii="Verdana" w:hAnsi="Verdana"/>
          <w:sz w:val="20"/>
          <w:szCs w:val="20"/>
        </w:rPr>
      </w:pPr>
      <w:r>
        <w:rPr>
          <w:rFonts w:ascii="Verdana" w:hAnsi="Verdana"/>
          <w:sz w:val="20"/>
          <w:szCs w:val="20"/>
        </w:rPr>
        <w:t xml:space="preserve">Pelo presente instrumento particular, </w:t>
      </w:r>
    </w:p>
    <w:p w:rsidR="00F918AF" w:rsidRDefault="00F918AF">
      <w:pPr>
        <w:spacing w:after="0" w:line="300" w:lineRule="exact"/>
        <w:jc w:val="both"/>
        <w:rPr>
          <w:rFonts w:ascii="Verdana" w:hAnsi="Verdana"/>
          <w:sz w:val="20"/>
          <w:szCs w:val="20"/>
        </w:rPr>
      </w:pPr>
    </w:p>
    <w:p w:rsidR="00F918AF" w:rsidRDefault="00510693">
      <w:pPr>
        <w:pStyle w:val="ListParagraph"/>
        <w:numPr>
          <w:ilvl w:val="0"/>
          <w:numId w:val="36"/>
        </w:numPr>
        <w:tabs>
          <w:tab w:val="clear" w:pos="1134"/>
          <w:tab w:val="num" w:pos="709"/>
        </w:tabs>
        <w:spacing w:line="300" w:lineRule="exact"/>
        <w:ind w:left="0" w:firstLine="0"/>
        <w:contextualSpacing/>
        <w:jc w:val="both"/>
        <w:rPr>
          <w:rFonts w:ascii="Verdana" w:hAnsi="Verdana" w:cs="Arial"/>
          <w:color w:val="000000"/>
          <w:sz w:val="20"/>
          <w:szCs w:val="20"/>
        </w:rPr>
      </w:pPr>
      <w:proofErr w:type="gramStart"/>
      <w:r>
        <w:rPr>
          <w:rFonts w:ascii="Verdana" w:hAnsi="Verdana" w:cs="Arial"/>
          <w:color w:val="000000"/>
          <w:sz w:val="20"/>
          <w:szCs w:val="20"/>
        </w:rPr>
        <w:t>de</w:t>
      </w:r>
      <w:proofErr w:type="gramEnd"/>
      <w:r>
        <w:rPr>
          <w:rFonts w:ascii="Verdana" w:hAnsi="Verdana" w:cs="Arial"/>
          <w:color w:val="000000"/>
          <w:sz w:val="20"/>
          <w:szCs w:val="20"/>
        </w:rPr>
        <w:t xml:space="preserve"> um lado, na qualidade de emissora das Debêntures (conforme definido abaixo):</w:t>
      </w:r>
    </w:p>
    <w:p w:rsidR="00F918AF" w:rsidRDefault="00F918AF">
      <w:pPr>
        <w:spacing w:after="0" w:line="300" w:lineRule="exact"/>
        <w:ind w:left="720"/>
        <w:jc w:val="both"/>
        <w:rPr>
          <w:rFonts w:ascii="Verdana" w:hAnsi="Verdana"/>
          <w:sz w:val="20"/>
          <w:szCs w:val="20"/>
        </w:rPr>
      </w:pPr>
    </w:p>
    <w:p w:rsidR="00F918AF" w:rsidRDefault="00510693">
      <w:pPr>
        <w:spacing w:after="0" w:line="30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w:t>
      </w:r>
      <w:r>
        <w:rPr>
          <w:rFonts w:ascii="Verdana" w:hAnsi="Verdana"/>
          <w:sz w:val="20"/>
          <w:szCs w:val="20"/>
        </w:rPr>
        <w:t xml:space="preserve">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 xml:space="preserve">Cadastro Nacional da Pessoa Jurídica do Ministério da </w:t>
      </w:r>
      <w:r>
        <w:rPr>
          <w:rFonts w:ascii="Verdana" w:hAnsi="Verdana" w:cs="Arial"/>
          <w:sz w:val="20"/>
          <w:szCs w:val="20"/>
        </w:rPr>
        <w:t>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xml:space="preserve">”) sob o Número de Identificação do Registro de Empresas – NIRE 41.300.019.886, neste </w:t>
      </w:r>
      <w:proofErr w:type="gramStart"/>
      <w:r>
        <w:rPr>
          <w:rFonts w:ascii="Verdana" w:hAnsi="Verdana"/>
          <w:sz w:val="20"/>
          <w:szCs w:val="20"/>
        </w:rPr>
        <w:t xml:space="preserve">ato representada por seus representantes legais devidamente </w:t>
      </w:r>
      <w:r>
        <w:rPr>
          <w:rFonts w:ascii="Verdana" w:hAnsi="Verdana"/>
          <w:sz w:val="20"/>
          <w:szCs w:val="20"/>
        </w:rPr>
        <w:t>constituídos na forma de seu estatuto social e identificados na respectiva página de assinatura deste instrumento</w:t>
      </w:r>
      <w:proofErr w:type="gramEnd"/>
      <w:r>
        <w:rPr>
          <w:rFonts w:ascii="Verdana" w:hAnsi="Verdana"/>
          <w:sz w:val="20"/>
          <w:szCs w:val="20"/>
        </w:rPr>
        <w:t xml:space="preserve"> (“</w:t>
      </w:r>
      <w:r>
        <w:rPr>
          <w:rFonts w:ascii="Verdana" w:hAnsi="Verdana"/>
          <w:sz w:val="20"/>
          <w:szCs w:val="20"/>
          <w:u w:val="single"/>
        </w:rPr>
        <w:t>Emissora</w:t>
      </w:r>
      <w:r>
        <w:rPr>
          <w:rFonts w:ascii="Verdana" w:hAnsi="Verdana"/>
          <w:sz w:val="20"/>
          <w:szCs w:val="20"/>
        </w:rPr>
        <w:t xml:space="preserve">”); e </w:t>
      </w:r>
    </w:p>
    <w:p w:rsidR="00F918AF" w:rsidRDefault="00F918AF">
      <w:pPr>
        <w:spacing w:after="0" w:line="300" w:lineRule="exact"/>
        <w:jc w:val="both"/>
        <w:rPr>
          <w:rFonts w:ascii="Verdana" w:hAnsi="Verdana"/>
          <w:sz w:val="20"/>
          <w:szCs w:val="20"/>
        </w:rPr>
      </w:pPr>
    </w:p>
    <w:p w:rsidR="00F918AF" w:rsidRDefault="00510693">
      <w:pPr>
        <w:pStyle w:val="ListParagraph"/>
        <w:numPr>
          <w:ilvl w:val="0"/>
          <w:numId w:val="36"/>
        </w:numPr>
        <w:tabs>
          <w:tab w:val="clear" w:pos="1134"/>
          <w:tab w:val="num" w:pos="709"/>
        </w:tabs>
        <w:spacing w:line="300" w:lineRule="exact"/>
        <w:ind w:left="709" w:hanging="709"/>
        <w:contextualSpacing/>
        <w:jc w:val="both"/>
        <w:rPr>
          <w:rFonts w:ascii="Verdana" w:hAnsi="Verdana"/>
          <w:sz w:val="20"/>
          <w:szCs w:val="20"/>
        </w:rPr>
      </w:pPr>
      <w:proofErr w:type="gramStart"/>
      <w:r>
        <w:rPr>
          <w:rFonts w:ascii="Verdana" w:hAnsi="Verdana"/>
          <w:sz w:val="20"/>
          <w:szCs w:val="20"/>
        </w:rPr>
        <w:t>de</w:t>
      </w:r>
      <w:proofErr w:type="gramEnd"/>
      <w:r>
        <w:rPr>
          <w:rFonts w:ascii="Verdana" w:hAnsi="Verdana"/>
          <w:sz w:val="20"/>
          <w:szCs w:val="20"/>
        </w:rPr>
        <w:t xml:space="preserv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w:t>
      </w:r>
      <w:r>
        <w:rPr>
          <w:rFonts w:ascii="Verdana" w:hAnsi="Verdana" w:cs="Arial"/>
          <w:color w:val="000000"/>
          <w:sz w:val="20"/>
          <w:szCs w:val="20"/>
          <w:u w:val="single"/>
        </w:rPr>
        <w:t>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rsidR="00F918AF" w:rsidRDefault="00F918AF">
      <w:pPr>
        <w:spacing w:after="0" w:line="300" w:lineRule="exact"/>
        <w:jc w:val="both"/>
        <w:rPr>
          <w:rFonts w:ascii="Verdana" w:hAnsi="Verdana"/>
          <w:b/>
          <w:sz w:val="20"/>
          <w:szCs w:val="20"/>
        </w:rPr>
      </w:pPr>
    </w:p>
    <w:p w:rsidR="00F918AF" w:rsidRDefault="00510693">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w:t>
      </w:r>
      <w:r>
        <w:rPr>
          <w:rFonts w:ascii="Verdana" w:hAnsi="Verdana" w:cs="Arial"/>
          <w:sz w:val="20"/>
          <w:szCs w:val="20"/>
        </w:rPr>
        <w:t>dade de São Paulo, Estado de São Paulo, na Rua Joaquim Floriano, 466 – Bloco B, Sala 1401, Itaim Bibi, inscrita no CNPJ/ME sob o nº 15.227.994/0004-01</w:t>
      </w:r>
      <w:r>
        <w:rPr>
          <w:rFonts w:ascii="Verdana" w:hAnsi="Verdana"/>
          <w:sz w:val="20"/>
          <w:szCs w:val="20"/>
        </w:rPr>
        <w:t xml:space="preserve">, neste </w:t>
      </w:r>
      <w:proofErr w:type="gramStart"/>
      <w:r>
        <w:rPr>
          <w:rFonts w:ascii="Verdana" w:hAnsi="Verdana"/>
          <w:sz w:val="20"/>
          <w:szCs w:val="20"/>
        </w:rPr>
        <w:t>ato representada por seu representante legal devidamente constituído na forma de seu estatuto soci</w:t>
      </w:r>
      <w:r>
        <w:rPr>
          <w:rFonts w:ascii="Verdana" w:hAnsi="Verdana"/>
          <w:sz w:val="20"/>
          <w:szCs w:val="20"/>
        </w:rPr>
        <w:t>al e identificado na respectiva página de assinatura deste instrumento</w:t>
      </w:r>
      <w:proofErr w:type="gramEnd"/>
      <w:r>
        <w:rPr>
          <w:rFonts w:ascii="Verdana" w:hAnsi="Verdana"/>
          <w:sz w:val="20"/>
          <w:szCs w:val="20"/>
        </w:rPr>
        <w:t xml:space="preserve"> (“</w:t>
      </w:r>
      <w:r>
        <w:rPr>
          <w:rFonts w:ascii="Verdana" w:hAnsi="Verdana"/>
          <w:sz w:val="20"/>
          <w:szCs w:val="20"/>
          <w:u w:val="single"/>
        </w:rPr>
        <w:t>Agente Fiduciário</w:t>
      </w:r>
      <w:r>
        <w:rPr>
          <w:rFonts w:ascii="Verdana" w:hAnsi="Verdana"/>
          <w:sz w:val="20"/>
          <w:szCs w:val="20"/>
        </w:rPr>
        <w:t xml:space="preserve">”); </w:t>
      </w:r>
    </w:p>
    <w:p w:rsidR="00F918AF" w:rsidRDefault="00F918AF">
      <w:pPr>
        <w:spacing w:after="0" w:line="300" w:lineRule="exact"/>
        <w:jc w:val="both"/>
        <w:rPr>
          <w:rFonts w:ascii="Verdana" w:hAnsi="Verdana"/>
          <w:sz w:val="20"/>
          <w:szCs w:val="20"/>
        </w:rPr>
      </w:pPr>
    </w:p>
    <w:p w:rsidR="00F918AF" w:rsidRDefault="00510693">
      <w:pPr>
        <w:spacing w:after="0" w:line="300" w:lineRule="exact"/>
        <w:jc w:val="both"/>
        <w:rPr>
          <w:rFonts w:ascii="Verdana" w:hAnsi="Verdana"/>
          <w:b/>
          <w:bCs/>
          <w:sz w:val="20"/>
          <w:szCs w:val="20"/>
        </w:rPr>
      </w:pPr>
      <w:proofErr w:type="gramStart"/>
      <w:r>
        <w:rPr>
          <w:rFonts w:ascii="Verdana" w:hAnsi="Verdana"/>
          <w:sz w:val="20"/>
          <w:szCs w:val="20"/>
        </w:rPr>
        <w:t>sendo</w:t>
      </w:r>
      <w:proofErr w:type="gramEnd"/>
      <w:r>
        <w:rPr>
          <w:rFonts w:ascii="Verdana" w:hAnsi="Verdana"/>
          <w:sz w:val="20"/>
          <w:szCs w:val="20"/>
        </w:rPr>
        <w:t xml:space="preserve">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rsidR="00F918AF" w:rsidRDefault="00F918AF">
      <w:pPr>
        <w:spacing w:after="0" w:line="300" w:lineRule="exact"/>
        <w:jc w:val="both"/>
        <w:rPr>
          <w:rFonts w:ascii="Verdana" w:hAnsi="Verdana"/>
          <w:sz w:val="20"/>
          <w:szCs w:val="20"/>
        </w:rPr>
      </w:pPr>
    </w:p>
    <w:p w:rsidR="00F918AF" w:rsidRDefault="00510693">
      <w:pPr>
        <w:keepNext/>
        <w:spacing w:after="0" w:line="276" w:lineRule="auto"/>
        <w:jc w:val="both"/>
        <w:rPr>
          <w:rFonts w:ascii="Verdana" w:eastAsia="Times New Roman" w:hAnsi="Verdana" w:cs="Times New Roman"/>
          <w:b/>
          <w:sz w:val="20"/>
          <w:szCs w:val="20"/>
          <w:lang w:eastAsia="pt-BR"/>
        </w:rPr>
      </w:pPr>
      <w:r>
        <w:rPr>
          <w:rFonts w:ascii="Verdana" w:eastAsia="Times New Roman" w:hAnsi="Verdana" w:cs="Times New Roman"/>
          <w:b/>
          <w:sz w:val="20"/>
          <w:szCs w:val="20"/>
          <w:lang w:eastAsia="pt-BR"/>
        </w:rPr>
        <w:lastRenderedPageBreak/>
        <w:t>CONSIDERANDO QUE:</w:t>
      </w:r>
    </w:p>
    <w:p w:rsidR="00F918AF" w:rsidRDefault="00F918AF">
      <w:pPr>
        <w:keepNext/>
        <w:spacing w:after="0" w:line="240" w:lineRule="auto"/>
        <w:rPr>
          <w:rFonts w:ascii="Verdana" w:eastAsia="Times New Roman" w:hAnsi="Verdana" w:cs="Times New Roman"/>
          <w:sz w:val="20"/>
          <w:szCs w:val="20"/>
          <w:lang w:eastAsia="pt-BR"/>
        </w:rPr>
      </w:pPr>
    </w:p>
    <w:p w:rsidR="00F918AF" w:rsidRDefault="00510693">
      <w:pPr>
        <w:keepNext/>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proofErr w:type="gramStart"/>
      <w:r>
        <w:rPr>
          <w:rFonts w:ascii="Verdana" w:eastAsia="Times New Roman" w:hAnsi="Verdana" w:cs="Times New Roman"/>
          <w:color w:val="000000"/>
          <w:sz w:val="20"/>
          <w:szCs w:val="20"/>
          <w:lang w:eastAsia="pt-BR"/>
        </w:rPr>
        <w:t>as</w:t>
      </w:r>
      <w:proofErr w:type="gramEnd"/>
      <w:r>
        <w:rPr>
          <w:rFonts w:ascii="Verdana" w:eastAsia="Times New Roman" w:hAnsi="Verdana" w:cs="Times New Roman"/>
          <w:color w:val="000000"/>
          <w:sz w:val="20"/>
          <w:szCs w:val="20"/>
          <w:lang w:eastAsia="pt-BR"/>
        </w:rPr>
        <w:t xml:space="preserve"> Partes celebraram, em 12 de setembro de 2019, a </w:t>
      </w:r>
      <w:r>
        <w:rPr>
          <w:rFonts w:ascii="Verdana" w:eastAsia="Times New Roman" w:hAnsi="Verdana" w:cs="Times New Roman"/>
          <w:sz w:val="20"/>
          <w:szCs w:val="20"/>
          <w:lang w:eastAsia="pt-BR"/>
        </w:rPr>
        <w:t>“Escritura Particular da Décima Terceira Emissão de Debêntures Simples, Não Conversíveis em Ações, da Espécie Quirografária, em Até Duas Séries, para Distribuição Pública, da Rumo S.A.”</w:t>
      </w:r>
      <w:r>
        <w:rPr>
          <w:rFonts w:ascii="Verdana" w:eastAsia="Times New Roman" w:hAnsi="Verdana" w:cs="Times New Roman"/>
          <w:color w:val="000000"/>
          <w:sz w:val="20"/>
          <w:szCs w:val="20"/>
          <w:lang w:eastAsia="pt-BR"/>
        </w:rPr>
        <w:t xml:space="preserve"> </w:t>
      </w:r>
      <w:r>
        <w:rPr>
          <w:rFonts w:ascii="Verdana" w:eastAsia="Times New Roman" w:hAnsi="Verdana" w:cs="Times New Roman"/>
          <w:sz w:val="20"/>
          <w:szCs w:val="20"/>
          <w:lang w:eastAsia="pt-BR"/>
        </w:rPr>
        <w:t>(“</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a qu</w:t>
      </w:r>
      <w:r>
        <w:rPr>
          <w:rFonts w:ascii="Verdana" w:eastAsia="Times New Roman" w:hAnsi="Verdana" w:cs="Times New Roman"/>
          <w:color w:val="000000"/>
          <w:sz w:val="20"/>
          <w:szCs w:val="20"/>
          <w:lang w:eastAsia="pt-BR"/>
        </w:rPr>
        <w:t>al foi arquivada na JUCEPAR em 17 de setembro de 2019</w:t>
      </w:r>
      <w:r>
        <w:rPr>
          <w:rFonts w:ascii="Verdana" w:eastAsia="Times New Roman" w:hAnsi="Verdana" w:cs="Times New Roman"/>
          <w:sz w:val="20"/>
          <w:szCs w:val="20"/>
          <w:lang w:eastAsia="pt-BR"/>
        </w:rPr>
        <w:t>, sob o nº </w:t>
      </w:r>
      <w:r>
        <w:rPr>
          <w:rFonts w:ascii="Verdana" w:eastAsia="Times New Roman" w:hAnsi="Verdana" w:cs="Times New Roman"/>
          <w:color w:val="000000"/>
          <w:sz w:val="20"/>
          <w:szCs w:val="20"/>
          <w:lang w:eastAsia="pt-BR"/>
        </w:rPr>
        <w:t>ED004448000</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para reger os termos e condições da distribuição pública das debêntures simples, não conversíveis em ações, da espécie quirografária, em [duas séries / série única], da 13ª (décim</w:t>
      </w:r>
      <w:r>
        <w:rPr>
          <w:rFonts w:ascii="Verdana" w:eastAsia="Times New Roman" w:hAnsi="Verdana" w:cs="Times New Roman"/>
          <w:color w:val="000000"/>
          <w:sz w:val="20"/>
          <w:szCs w:val="20"/>
          <w:lang w:eastAsia="pt-BR"/>
        </w:rPr>
        <w:t>a terceira) emissão da Emissora (“</w:t>
      </w:r>
      <w:r>
        <w:rPr>
          <w:rFonts w:ascii="Verdana" w:eastAsia="Times New Roman" w:hAnsi="Verdana" w:cs="Times New Roman"/>
          <w:color w:val="000000"/>
          <w:sz w:val="20"/>
          <w:szCs w:val="20"/>
          <w:u w:val="single"/>
          <w:lang w:eastAsia="pt-BR"/>
        </w:rPr>
        <w:t>Oferta</w:t>
      </w:r>
      <w:r>
        <w:rPr>
          <w:rFonts w:ascii="Verdana" w:eastAsia="Times New Roman" w:hAnsi="Verdana" w:cs="Times New Roman"/>
          <w:color w:val="000000"/>
          <w:sz w:val="20"/>
          <w:szCs w:val="20"/>
          <w:lang w:eastAsia="pt-BR"/>
        </w:rPr>
        <w:t>”, “</w:t>
      </w:r>
      <w:r>
        <w:rPr>
          <w:rFonts w:ascii="Verdana" w:eastAsia="Times New Roman" w:hAnsi="Verdana" w:cs="Times New Roman"/>
          <w:color w:val="000000"/>
          <w:sz w:val="20"/>
          <w:szCs w:val="20"/>
          <w:u w:val="single"/>
          <w:lang w:eastAsia="pt-BR"/>
        </w:rPr>
        <w:t>Debêntures</w:t>
      </w:r>
      <w:r>
        <w:rPr>
          <w:rFonts w:ascii="Verdana" w:eastAsia="Times New Roman" w:hAnsi="Verdana" w:cs="Times New Roman"/>
          <w:color w:val="000000"/>
          <w:sz w:val="20"/>
          <w:szCs w:val="20"/>
          <w:lang w:eastAsia="pt-BR"/>
        </w:rPr>
        <w:t>” e “</w:t>
      </w:r>
      <w:r>
        <w:rPr>
          <w:rFonts w:ascii="Verdana" w:eastAsia="Times New Roman" w:hAnsi="Verdana" w:cs="Times New Roman"/>
          <w:color w:val="000000"/>
          <w:sz w:val="20"/>
          <w:szCs w:val="20"/>
          <w:u w:val="single"/>
          <w:lang w:eastAsia="pt-BR"/>
        </w:rPr>
        <w:t>Emissão</w:t>
      </w:r>
      <w:r>
        <w:rPr>
          <w:rFonts w:ascii="Verdana" w:eastAsia="Times New Roman" w:hAnsi="Verdana" w:cs="Times New Roman"/>
          <w:color w:val="000000"/>
          <w:sz w:val="20"/>
          <w:szCs w:val="20"/>
          <w:lang w:eastAsia="pt-BR"/>
        </w:rPr>
        <w:t xml:space="preserve">”, respectivamente); </w:t>
      </w:r>
    </w:p>
    <w:p w:rsidR="00F918AF" w:rsidRDefault="00F918AF">
      <w:pPr>
        <w:widowControl w:val="0"/>
        <w:tabs>
          <w:tab w:val="left" w:pos="720"/>
          <w:tab w:val="left" w:pos="1080"/>
        </w:tabs>
        <w:spacing w:after="0" w:line="276" w:lineRule="auto"/>
        <w:jc w:val="both"/>
        <w:rPr>
          <w:rFonts w:ascii="Verdana" w:eastAsia="Times New Roman" w:hAnsi="Verdana" w:cs="Times New Roman"/>
          <w:bCs/>
          <w:sz w:val="20"/>
          <w:szCs w:val="20"/>
          <w:lang w:eastAsia="pt-BR"/>
        </w:rPr>
      </w:pPr>
    </w:p>
    <w:p w:rsidR="00F918AF" w:rsidRDefault="00510693">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proofErr w:type="gramStart"/>
      <w:r>
        <w:rPr>
          <w:rFonts w:ascii="Verdana" w:eastAsia="Times New Roman" w:hAnsi="Verdana" w:cs="Times New Roman"/>
          <w:color w:val="000000"/>
          <w:sz w:val="20"/>
          <w:szCs w:val="20"/>
          <w:lang w:eastAsia="pt-BR"/>
        </w:rPr>
        <w:t>conforme</w:t>
      </w:r>
      <w:proofErr w:type="gramEnd"/>
      <w:r>
        <w:rPr>
          <w:rFonts w:ascii="Verdana" w:eastAsia="Times New Roman" w:hAnsi="Verdana" w:cs="Times New Roman"/>
          <w:color w:val="000000"/>
          <w:sz w:val="20"/>
          <w:szCs w:val="20"/>
          <w:lang w:eastAsia="pt-BR"/>
        </w:rPr>
        <w:t xml:space="preserve"> previsto na Escritura, foi realizado, em </w:t>
      </w:r>
      <w:del w:id="89" w:author="user" w:date="2019-10-21T20:41:00Z">
        <w:r w:rsidDel="00510693">
          <w:rPr>
            <w:rFonts w:ascii="Verdana" w:eastAsia="Times New Roman" w:hAnsi="Verdana" w:cs="Times New Roman"/>
            <w:color w:val="000000"/>
            <w:sz w:val="20"/>
            <w:szCs w:val="20"/>
            <w:lang w:eastAsia="pt-BR"/>
          </w:rPr>
          <w:delText xml:space="preserve">25 </w:delText>
        </w:r>
      </w:del>
      <w:ins w:id="90" w:author="user" w:date="2019-10-21T20:41:00Z">
        <w:r>
          <w:rPr>
            <w:rFonts w:ascii="Verdana" w:eastAsia="Times New Roman" w:hAnsi="Verdana" w:cs="Times New Roman"/>
            <w:color w:val="000000"/>
            <w:sz w:val="20"/>
            <w:szCs w:val="20"/>
            <w:lang w:eastAsia="pt-BR"/>
          </w:rPr>
          <w:t>24</w:t>
        </w:r>
        <w:r>
          <w:rPr>
            <w:rFonts w:ascii="Verdana" w:eastAsia="Times New Roman" w:hAnsi="Verdana" w:cs="Times New Roman"/>
            <w:color w:val="000000"/>
            <w:sz w:val="20"/>
            <w:szCs w:val="20"/>
            <w:lang w:eastAsia="pt-BR"/>
          </w:rPr>
          <w:t xml:space="preserve"> </w:t>
        </w:r>
      </w:ins>
      <w:r>
        <w:rPr>
          <w:rFonts w:ascii="Verdana" w:eastAsia="Times New Roman" w:hAnsi="Verdana" w:cs="Times New Roman"/>
          <w:color w:val="000000"/>
          <w:sz w:val="20"/>
          <w:szCs w:val="20"/>
          <w:lang w:eastAsia="pt-BR"/>
        </w:rPr>
        <w:t xml:space="preserve">de outubro de 2019, </w:t>
      </w:r>
      <w:r>
        <w:rPr>
          <w:rFonts w:ascii="Verdana" w:eastAsia="Times New Roman" w:hAnsi="Verdana" w:cs="Times New Roman"/>
          <w:sz w:val="20"/>
          <w:szCs w:val="20"/>
          <w:lang w:eastAsia="pt-BR"/>
        </w:rPr>
        <w:t xml:space="preserve">procedimento de coleta de intenções de investimento, organizado pelos Coordenadores (conforme </w:t>
      </w:r>
      <w:r>
        <w:rPr>
          <w:rFonts w:ascii="Verdana" w:eastAsia="Times New Roman" w:hAnsi="Verdana" w:cs="Times New Roman"/>
          <w:sz w:val="20"/>
          <w:szCs w:val="20"/>
          <w:lang w:eastAsia="pt-BR"/>
        </w:rPr>
        <w:t>definido na Escritura), nos termos do disposto nos parágrafos 1º e 2º do artigo 23 e do artigo 44 da Instrução da CVM nº 400, de 29 de dezembro de 2003, conforme alterada (“</w:t>
      </w:r>
      <w:r>
        <w:rPr>
          <w:rFonts w:ascii="Verdana" w:eastAsia="Times New Roman" w:hAnsi="Verdana" w:cs="Times New Roman"/>
          <w:sz w:val="20"/>
          <w:szCs w:val="20"/>
          <w:u w:val="single"/>
          <w:lang w:eastAsia="pt-BR"/>
        </w:rPr>
        <w:t xml:space="preserve">Procedimento de </w:t>
      </w:r>
      <w:proofErr w:type="spellStart"/>
      <w:r>
        <w:rPr>
          <w:rFonts w:ascii="Verdana" w:eastAsia="Times New Roman" w:hAnsi="Verdana" w:cs="Times New Roman"/>
          <w:i/>
          <w:sz w:val="20"/>
          <w:szCs w:val="20"/>
          <w:u w:val="single"/>
          <w:lang w:eastAsia="pt-BR"/>
        </w:rPr>
        <w:t>Bookbuilding</w:t>
      </w:r>
      <w:proofErr w:type="spellEnd"/>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por meio do qual </w:t>
      </w:r>
      <w:r>
        <w:rPr>
          <w:rFonts w:ascii="Verdana" w:eastAsia="Times New Roman" w:hAnsi="Verdana" w:cs="Times New Roman"/>
          <w:sz w:val="20"/>
          <w:szCs w:val="20"/>
          <w:lang w:eastAsia="pt-BR"/>
        </w:rPr>
        <w:t>foram definidos, de comum acordo c</w:t>
      </w:r>
      <w:r>
        <w:rPr>
          <w:rFonts w:ascii="Verdana" w:eastAsia="Times New Roman" w:hAnsi="Verdana" w:cs="Times New Roman"/>
          <w:sz w:val="20"/>
          <w:szCs w:val="20"/>
          <w:lang w:eastAsia="pt-BR"/>
        </w:rPr>
        <w:t>om a Emissora: (</w:t>
      </w:r>
      <w:r>
        <w:rPr>
          <w:rFonts w:ascii="Verdana" w:hAnsi="Verdana"/>
          <w:sz w:val="20"/>
          <w:szCs w:val="20"/>
        </w:rPr>
        <w:t>(i) a quantidade de séries; (</w:t>
      </w:r>
      <w:proofErr w:type="spellStart"/>
      <w:r>
        <w:rPr>
          <w:rFonts w:ascii="Verdana" w:hAnsi="Verdana"/>
          <w:sz w:val="20"/>
          <w:szCs w:val="20"/>
        </w:rPr>
        <w:t>ii</w:t>
      </w:r>
      <w:proofErr w:type="spellEnd"/>
      <w:r>
        <w:rPr>
          <w:rFonts w:ascii="Verdana" w:hAnsi="Verdana"/>
          <w:sz w:val="20"/>
          <w:szCs w:val="20"/>
        </w:rPr>
        <w:t>) a taxa final dos Juros Remuneratórios; (</w:t>
      </w:r>
      <w:proofErr w:type="spellStart"/>
      <w:r>
        <w:rPr>
          <w:rFonts w:ascii="Verdana" w:hAnsi="Verdana"/>
          <w:sz w:val="20"/>
          <w:szCs w:val="20"/>
        </w:rPr>
        <w:t>iii</w:t>
      </w:r>
      <w:proofErr w:type="spellEnd"/>
      <w:r>
        <w:rPr>
          <w:rFonts w:ascii="Verdana" w:hAnsi="Verdana"/>
          <w:sz w:val="20"/>
          <w:szCs w:val="20"/>
        </w:rPr>
        <w:t>)[ a alocação das Debêntures entre as Séries; e (</w:t>
      </w:r>
      <w:proofErr w:type="spellStart"/>
      <w:r>
        <w:rPr>
          <w:rFonts w:ascii="Verdana" w:hAnsi="Verdana"/>
          <w:sz w:val="20"/>
          <w:szCs w:val="20"/>
        </w:rPr>
        <w:t>iv</w:t>
      </w:r>
      <w:proofErr w:type="spellEnd"/>
      <w:r>
        <w:rPr>
          <w:rFonts w:ascii="Verdana" w:hAnsi="Verdana"/>
          <w:sz w:val="20"/>
          <w:szCs w:val="20"/>
        </w:rPr>
        <w:t>)] a [não] colocação das Debêntures Adicionais e, consequentemente, a quantidade final de Debêntures, [e a(s) res</w:t>
      </w:r>
      <w:r>
        <w:rPr>
          <w:rFonts w:ascii="Verdana" w:hAnsi="Verdana"/>
          <w:sz w:val="20"/>
          <w:szCs w:val="20"/>
        </w:rPr>
        <w:t>pectiva(s) Série(s) de alocação das Debêntures Adicionais]</w:t>
      </w:r>
      <w:r>
        <w:rPr>
          <w:rFonts w:ascii="Verdana" w:eastAsia="Times New Roman" w:hAnsi="Verdana" w:cs="Times New Roman"/>
          <w:color w:val="000000"/>
          <w:sz w:val="20"/>
          <w:szCs w:val="20"/>
          <w:lang w:eastAsia="pt-BR"/>
        </w:rPr>
        <w:t>;</w:t>
      </w:r>
      <w:ins w:id="91" w:author="user" w:date="2019-10-21T20:42:00Z">
        <w:r>
          <w:rPr>
            <w:rFonts w:ascii="Verdana" w:eastAsia="Times New Roman" w:hAnsi="Verdana" w:cs="Times New Roman"/>
            <w:color w:val="000000"/>
            <w:sz w:val="20"/>
            <w:szCs w:val="20"/>
            <w:lang w:eastAsia="pt-BR"/>
          </w:rPr>
          <w:t xml:space="preserve"> [Nota IBBA: favor ajustar a redação da escritura neste aditamento, se entenderem que é o caso]</w:t>
        </w:r>
      </w:ins>
    </w:p>
    <w:p w:rsidR="00F918AF" w:rsidRDefault="00F918AF">
      <w:pPr>
        <w:pStyle w:val="ListParagraph"/>
        <w:rPr>
          <w:rFonts w:ascii="Verdana" w:hAnsi="Verdana"/>
          <w:color w:val="000000"/>
          <w:sz w:val="20"/>
          <w:szCs w:val="20"/>
        </w:rPr>
      </w:pPr>
    </w:p>
    <w:p w:rsidR="00F918AF" w:rsidRDefault="00510693">
      <w:pPr>
        <w:pStyle w:val="ListParagraph"/>
        <w:widowControl w:val="0"/>
        <w:numPr>
          <w:ilvl w:val="0"/>
          <w:numId w:val="19"/>
        </w:numPr>
        <w:tabs>
          <w:tab w:val="left" w:pos="1080"/>
        </w:tabs>
        <w:spacing w:line="276" w:lineRule="auto"/>
        <w:jc w:val="both"/>
        <w:rPr>
          <w:rFonts w:ascii="Verdana" w:hAnsi="Verdana"/>
          <w:color w:val="000000"/>
          <w:sz w:val="20"/>
          <w:szCs w:val="20"/>
        </w:rPr>
      </w:pPr>
      <w:proofErr w:type="gramStart"/>
      <w:r>
        <w:rPr>
          <w:rFonts w:ascii="Verdana" w:hAnsi="Verdana"/>
          <w:color w:val="000000"/>
          <w:sz w:val="20"/>
          <w:szCs w:val="20"/>
        </w:rPr>
        <w:t>as</w:t>
      </w:r>
      <w:proofErr w:type="gramEnd"/>
      <w:r>
        <w:rPr>
          <w:rFonts w:ascii="Verdana" w:hAnsi="Verdana"/>
          <w:color w:val="000000"/>
          <w:sz w:val="20"/>
          <w:szCs w:val="20"/>
        </w:rPr>
        <w:t xml:space="preserve"> Partes, em conjunto, decidiram alterar determinados termos e condições da Escritura, nos termos aqui dispostos, de forma a refletir a realização e o resultado do Procedimento de</w:t>
      </w:r>
      <w:r>
        <w:rPr>
          <w:rFonts w:ascii="Verdana" w:hAnsi="Verdana"/>
          <w:i/>
          <w:color w:val="000000"/>
          <w:sz w:val="20"/>
          <w:szCs w:val="20"/>
        </w:rPr>
        <w:t xml:space="preserve"> </w:t>
      </w:r>
      <w:proofErr w:type="spellStart"/>
      <w:r>
        <w:rPr>
          <w:rFonts w:ascii="Verdana" w:hAnsi="Verdana"/>
          <w:i/>
          <w:color w:val="000000"/>
          <w:sz w:val="20"/>
          <w:szCs w:val="20"/>
        </w:rPr>
        <w:t>Bookbuilding</w:t>
      </w:r>
      <w:proofErr w:type="spellEnd"/>
      <w:r>
        <w:rPr>
          <w:rFonts w:ascii="Verdana" w:hAnsi="Verdana"/>
          <w:color w:val="000000"/>
          <w:sz w:val="20"/>
          <w:szCs w:val="20"/>
        </w:rPr>
        <w:t xml:space="preserve">; </w:t>
      </w:r>
    </w:p>
    <w:p w:rsidR="00F918AF" w:rsidRDefault="00F918AF">
      <w:pPr>
        <w:tabs>
          <w:tab w:val="left" w:pos="1080"/>
        </w:tabs>
        <w:spacing w:after="0" w:line="276" w:lineRule="auto"/>
        <w:ind w:left="708"/>
        <w:rPr>
          <w:rFonts w:ascii="Verdana" w:hAnsi="Verdana"/>
          <w:color w:val="000000"/>
          <w:sz w:val="20"/>
          <w:szCs w:val="20"/>
        </w:rPr>
      </w:pPr>
    </w:p>
    <w:p w:rsidR="00F918AF" w:rsidRDefault="00510693">
      <w:pPr>
        <w:pStyle w:val="ListParagraph"/>
        <w:widowControl w:val="0"/>
        <w:numPr>
          <w:ilvl w:val="0"/>
          <w:numId w:val="19"/>
        </w:numPr>
        <w:tabs>
          <w:tab w:val="left" w:pos="1080"/>
        </w:tabs>
        <w:spacing w:line="276" w:lineRule="auto"/>
        <w:jc w:val="both"/>
        <w:rPr>
          <w:rFonts w:ascii="Verdana" w:hAnsi="Verdana"/>
          <w:color w:val="000000"/>
          <w:sz w:val="20"/>
          <w:szCs w:val="20"/>
        </w:rPr>
      </w:pPr>
      <w:proofErr w:type="gramStart"/>
      <w:r>
        <w:rPr>
          <w:rFonts w:ascii="Verdana" w:hAnsi="Verdana"/>
          <w:color w:val="000000"/>
          <w:sz w:val="20"/>
          <w:szCs w:val="20"/>
        </w:rPr>
        <w:t>as</w:t>
      </w:r>
      <w:proofErr w:type="gramEnd"/>
      <w:r>
        <w:rPr>
          <w:rFonts w:ascii="Verdana" w:hAnsi="Verdana"/>
          <w:color w:val="000000"/>
          <w:sz w:val="20"/>
          <w:szCs w:val="20"/>
        </w:rPr>
        <w:t xml:space="preserve"> Partes decidiram, ainda, incluir na Escritura o Selo ANBIMA – Categoria Agente Fiduciário, conforme apresentado no presente Primeiro Aditamento (conforme definido abaixo), nos termos do Art. 11 das “Regras de Procedimentos para o Uso dos Selos ANBIMA”</w:t>
      </w:r>
      <w:r>
        <w:rPr>
          <w:rFonts w:ascii="Verdana" w:hAnsi="Verdana"/>
          <w:color w:val="000000"/>
          <w:sz w:val="20"/>
          <w:szCs w:val="20"/>
        </w:rPr>
        <w:t>;</w:t>
      </w:r>
      <w:ins w:id="92" w:author="user" w:date="2019-10-21T20:42:00Z">
        <w:r>
          <w:rPr>
            <w:rFonts w:ascii="Verdana" w:hAnsi="Verdana"/>
            <w:color w:val="000000"/>
            <w:sz w:val="20"/>
            <w:szCs w:val="20"/>
          </w:rPr>
          <w:t xml:space="preserve"> [Nota IBBA: </w:t>
        </w:r>
        <w:proofErr w:type="spellStart"/>
        <w:r>
          <w:rPr>
            <w:rFonts w:ascii="Verdana" w:hAnsi="Verdana"/>
            <w:color w:val="000000"/>
            <w:sz w:val="20"/>
            <w:szCs w:val="20"/>
          </w:rPr>
          <w:t>vcs</w:t>
        </w:r>
        <w:proofErr w:type="spellEnd"/>
        <w:r>
          <w:rPr>
            <w:rFonts w:ascii="Verdana" w:hAnsi="Verdana"/>
            <w:color w:val="000000"/>
            <w:sz w:val="20"/>
            <w:szCs w:val="20"/>
          </w:rPr>
          <w:t xml:space="preserve"> entendem que </w:t>
        </w:r>
      </w:ins>
      <w:ins w:id="93" w:author="user" w:date="2019-10-21T20:43:00Z">
        <w:r>
          <w:rPr>
            <w:rFonts w:ascii="Verdana" w:hAnsi="Verdana"/>
            <w:color w:val="000000"/>
            <w:sz w:val="20"/>
            <w:szCs w:val="20"/>
          </w:rPr>
          <w:t>é melhor incluir isso aqui expressamente? Não decidimos incluir, estamos incluindo pela regulamentação. Único receio é ficar ‘’pior’’]</w:t>
        </w:r>
      </w:ins>
    </w:p>
    <w:p w:rsidR="00F918AF" w:rsidRDefault="00F918AF">
      <w:pPr>
        <w:tabs>
          <w:tab w:val="left" w:pos="1080"/>
        </w:tabs>
        <w:spacing w:after="0" w:line="276" w:lineRule="auto"/>
        <w:ind w:left="708"/>
        <w:rPr>
          <w:rFonts w:ascii="Verdana" w:eastAsia="Times New Roman" w:hAnsi="Verdana" w:cs="Times New Roman"/>
          <w:color w:val="000000"/>
          <w:sz w:val="20"/>
          <w:szCs w:val="20"/>
          <w:lang w:eastAsia="pt-BR"/>
        </w:rPr>
      </w:pPr>
    </w:p>
    <w:p w:rsidR="00F918AF" w:rsidRDefault="00510693">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proofErr w:type="gramStart"/>
      <w:r>
        <w:rPr>
          <w:rFonts w:ascii="Verdana" w:eastAsia="Times New Roman" w:hAnsi="Verdana" w:cs="Times New Roman"/>
          <w:color w:val="000000"/>
          <w:sz w:val="20"/>
          <w:szCs w:val="20"/>
          <w:lang w:eastAsia="pt-BR"/>
        </w:rPr>
        <w:t>conforme</w:t>
      </w:r>
      <w:proofErr w:type="gramEnd"/>
      <w:r>
        <w:rPr>
          <w:rFonts w:ascii="Verdana" w:eastAsia="Times New Roman" w:hAnsi="Verdana" w:cs="Times New Roman"/>
          <w:color w:val="000000"/>
          <w:sz w:val="20"/>
          <w:szCs w:val="20"/>
          <w:lang w:eastAsia="pt-BR"/>
        </w:rPr>
        <w:t xml:space="preserve"> previsto na Cláusula 1.2 da Escritura, as matérias objeto deste Primeiro Aditamento (conforme abaixo definido) independem de qualquer deliberação societária adicional da Emissora; e</w:t>
      </w:r>
    </w:p>
    <w:p w:rsidR="00F918AF" w:rsidRDefault="00F918AF">
      <w:pPr>
        <w:pStyle w:val="ListParagraph"/>
        <w:rPr>
          <w:rFonts w:ascii="Verdana" w:hAnsi="Verdana"/>
          <w:color w:val="000000"/>
          <w:sz w:val="20"/>
          <w:szCs w:val="20"/>
        </w:rPr>
      </w:pPr>
    </w:p>
    <w:p w:rsidR="00F918AF" w:rsidRDefault="00510693">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proofErr w:type="gramStart"/>
      <w:r>
        <w:rPr>
          <w:rFonts w:ascii="Verdana" w:eastAsia="Times New Roman" w:hAnsi="Verdana" w:cs="Times New Roman"/>
          <w:color w:val="000000"/>
          <w:sz w:val="20"/>
          <w:szCs w:val="20"/>
          <w:lang w:eastAsia="pt-BR"/>
        </w:rPr>
        <w:t>as</w:t>
      </w:r>
      <w:proofErr w:type="gramEnd"/>
      <w:r>
        <w:rPr>
          <w:rFonts w:ascii="Verdana" w:eastAsia="Times New Roman" w:hAnsi="Verdana" w:cs="Times New Roman"/>
          <w:color w:val="000000"/>
          <w:sz w:val="20"/>
          <w:szCs w:val="20"/>
          <w:lang w:eastAsia="pt-BR"/>
        </w:rPr>
        <w:t xml:space="preserve"> Debêntures ainda não foram subscritas e integralizadas, de</w:t>
      </w:r>
      <w:r>
        <w:rPr>
          <w:rFonts w:ascii="Verdana" w:eastAsia="Times New Roman" w:hAnsi="Verdana" w:cs="Times New Roman"/>
          <w:color w:val="000000"/>
          <w:sz w:val="20"/>
          <w:szCs w:val="20"/>
          <w:lang w:eastAsia="pt-BR"/>
        </w:rPr>
        <w:t xml:space="preserve"> modo que, exceto se de outra forma requerido pela legislação ou regulamentação aplicáveis, não se faz necessária a realização Assembleia Geral de </w:t>
      </w:r>
      <w:r>
        <w:rPr>
          <w:rFonts w:ascii="Verdana" w:eastAsia="Times New Roman" w:hAnsi="Verdana" w:cs="Times New Roman"/>
          <w:color w:val="000000"/>
          <w:sz w:val="20"/>
          <w:szCs w:val="20"/>
          <w:lang w:eastAsia="pt-BR"/>
        </w:rPr>
        <w:lastRenderedPageBreak/>
        <w:t>Debenturistas (conforme definida na Escritura);</w:t>
      </w:r>
    </w:p>
    <w:p w:rsidR="00F918AF" w:rsidRDefault="00F918AF">
      <w:pPr>
        <w:pStyle w:val="PargrafodaLista2"/>
        <w:spacing w:line="300" w:lineRule="exact"/>
        <w:ind w:left="0"/>
        <w:jc w:val="both"/>
        <w:rPr>
          <w:rFonts w:ascii="Verdana" w:hAnsi="Verdana"/>
          <w:sz w:val="20"/>
          <w:szCs w:val="20"/>
        </w:rPr>
      </w:pPr>
    </w:p>
    <w:p w:rsidR="00F918AF" w:rsidRDefault="00510693">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as Partes, de comum acordo e na melhor forma de dir</w:t>
      </w:r>
      <w:r>
        <w:rPr>
          <w:rFonts w:ascii="Verdana" w:hAnsi="Verdana"/>
          <w:sz w:val="20"/>
          <w:szCs w:val="20"/>
        </w:rPr>
        <w:t xml:space="preserve">eito, aditar a Escritura por meio do presente “Primeiro Aditamento à Escritura Particular da Décima Terceira Emissão de Debêntures Simples, Não Conversíveis em Ações, da Espécie Quirografária, em Até Duas Séries, para Distribuição Pública, </w:t>
      </w:r>
      <w:proofErr w:type="gramStart"/>
      <w:r>
        <w:rPr>
          <w:rFonts w:ascii="Verdana" w:hAnsi="Verdana"/>
          <w:sz w:val="20"/>
          <w:szCs w:val="20"/>
        </w:rPr>
        <w:t>da Rumo</w:t>
      </w:r>
      <w:proofErr w:type="gramEnd"/>
      <w:r>
        <w:rPr>
          <w:rFonts w:ascii="Verdana" w:hAnsi="Verdana"/>
          <w:sz w:val="20"/>
          <w:szCs w:val="20"/>
        </w:rPr>
        <w:t xml:space="preserve"> S.A.” (“</w:t>
      </w:r>
      <w:r>
        <w:rPr>
          <w:rFonts w:ascii="Verdana" w:hAnsi="Verdana"/>
          <w:sz w:val="20"/>
          <w:szCs w:val="20"/>
          <w:u w:val="single"/>
        </w:rPr>
        <w:t>Primeiro Aditamento</w:t>
      </w:r>
      <w:r>
        <w:rPr>
          <w:rFonts w:ascii="Verdana" w:hAnsi="Verdana"/>
          <w:sz w:val="20"/>
          <w:szCs w:val="20"/>
        </w:rPr>
        <w:t xml:space="preserve">”), mediante as cláusulas e condições a seguir. </w:t>
      </w:r>
    </w:p>
    <w:p w:rsidR="00F918AF" w:rsidRDefault="00F918AF">
      <w:pPr>
        <w:pStyle w:val="PargrafodaLista2"/>
        <w:spacing w:line="300" w:lineRule="exact"/>
        <w:ind w:left="0"/>
        <w:jc w:val="both"/>
        <w:rPr>
          <w:rFonts w:ascii="Verdana" w:hAnsi="Verdana"/>
          <w:sz w:val="20"/>
          <w:szCs w:val="20"/>
        </w:rPr>
      </w:pPr>
    </w:p>
    <w:p w:rsidR="00F918AF" w:rsidRDefault="00510693">
      <w:pPr>
        <w:pStyle w:val="PargrafodaLista2"/>
        <w:spacing w:line="300" w:lineRule="exact"/>
        <w:ind w:left="0"/>
        <w:jc w:val="both"/>
        <w:rPr>
          <w:rFonts w:ascii="Verdana" w:hAnsi="Verdana"/>
          <w:sz w:val="20"/>
          <w:szCs w:val="20"/>
        </w:rPr>
      </w:pPr>
      <w:r>
        <w:rPr>
          <w:rFonts w:ascii="Verdana" w:hAnsi="Verdana"/>
          <w:sz w:val="20"/>
          <w:szCs w:val="20"/>
        </w:rPr>
        <w:t>Os termos aqui iniciados em letra maiúscula</w:t>
      </w:r>
      <w:proofErr w:type="gramStart"/>
      <w:r>
        <w:rPr>
          <w:rFonts w:ascii="Verdana" w:hAnsi="Verdana"/>
          <w:sz w:val="20"/>
          <w:szCs w:val="20"/>
        </w:rPr>
        <w:t xml:space="preserve">, </w:t>
      </w:r>
      <w:r>
        <w:rPr>
          <w:rFonts w:ascii="Verdana" w:hAnsi="Verdana"/>
          <w:color w:val="000000"/>
          <w:sz w:val="20"/>
          <w:szCs w:val="20"/>
        </w:rPr>
        <w:t>estejam</w:t>
      </w:r>
      <w:proofErr w:type="gramEnd"/>
      <w:r>
        <w:rPr>
          <w:rFonts w:ascii="Verdana" w:hAnsi="Verdana"/>
          <w:color w:val="000000"/>
          <w:sz w:val="20"/>
          <w:szCs w:val="20"/>
        </w:rPr>
        <w:t xml:space="preserve"> no singular ou no plural,</w:t>
      </w:r>
      <w:r>
        <w:rPr>
          <w:rFonts w:ascii="Verdana" w:hAnsi="Verdana"/>
          <w:sz w:val="20"/>
          <w:szCs w:val="20"/>
        </w:rPr>
        <w:t xml:space="preserve"> terão o significado a eles atribuído </w:t>
      </w:r>
      <w:r>
        <w:rPr>
          <w:rFonts w:ascii="Verdana" w:hAnsi="Verdana"/>
          <w:color w:val="000000"/>
          <w:sz w:val="20"/>
          <w:szCs w:val="20"/>
        </w:rPr>
        <w:t xml:space="preserve">neste Primeiro Aditamento, ainda que posteriormente ao seu uso, sendo que os termos aqui indicados </w:t>
      </w:r>
      <w:r>
        <w:rPr>
          <w:rFonts w:ascii="Verdana" w:hAnsi="Verdana"/>
          <w:sz w:val="20"/>
          <w:szCs w:val="20"/>
        </w:rPr>
        <w:t>em letras maiúsculas que não estiverem aqui expressamente definidos têm o significado que lhes foi atribuído na Escritura.</w:t>
      </w:r>
    </w:p>
    <w:p w:rsidR="00F918AF" w:rsidRDefault="00F918AF">
      <w:pPr>
        <w:pStyle w:val="PargrafodaLista2"/>
        <w:spacing w:line="300" w:lineRule="exact"/>
        <w:ind w:left="0"/>
        <w:jc w:val="both"/>
        <w:rPr>
          <w:rFonts w:ascii="Verdana" w:hAnsi="Verdana"/>
          <w:sz w:val="20"/>
          <w:szCs w:val="20"/>
        </w:rPr>
      </w:pPr>
    </w:p>
    <w:p w:rsidR="00F918AF" w:rsidRDefault="00510693">
      <w:pPr>
        <w:pStyle w:val="ListParagraph"/>
        <w:keepNext/>
        <w:numPr>
          <w:ilvl w:val="6"/>
          <w:numId w:val="36"/>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Alterações</w:t>
      </w:r>
    </w:p>
    <w:p w:rsidR="00F918AF" w:rsidRDefault="00F918AF">
      <w:pPr>
        <w:keepNext/>
        <w:spacing w:after="0" w:line="300" w:lineRule="exact"/>
        <w:ind w:left="709" w:hanging="709"/>
        <w:jc w:val="both"/>
        <w:rPr>
          <w:rFonts w:ascii="Verdana" w:hAnsi="Verdana"/>
          <w:sz w:val="20"/>
          <w:szCs w:val="20"/>
        </w:rPr>
      </w:pPr>
    </w:p>
    <w:p w:rsidR="00F918AF" w:rsidRDefault="00510693">
      <w:pPr>
        <w:pStyle w:val="ListParagraph"/>
        <w:keepNext/>
        <w:numPr>
          <w:ilvl w:val="1"/>
          <w:numId w:val="75"/>
        </w:numPr>
        <w:spacing w:line="300" w:lineRule="exact"/>
        <w:jc w:val="both"/>
        <w:rPr>
          <w:rFonts w:ascii="Verdana" w:hAnsi="Verdana"/>
          <w:sz w:val="20"/>
          <w:szCs w:val="20"/>
        </w:rPr>
      </w:pPr>
      <w:r>
        <w:rPr>
          <w:rFonts w:ascii="Verdana" w:hAnsi="Verdana"/>
          <w:sz w:val="20"/>
          <w:szCs w:val="20"/>
        </w:rPr>
        <w:t>As Partes resolvem al</w:t>
      </w:r>
      <w:r>
        <w:rPr>
          <w:rFonts w:ascii="Verdana" w:hAnsi="Verdana"/>
          <w:sz w:val="20"/>
          <w:szCs w:val="20"/>
        </w:rPr>
        <w:t>terar a Cláusula 1.2 da Escritura, que passa a vigorar com a seguinte redação:</w:t>
      </w:r>
    </w:p>
    <w:p w:rsidR="00F918AF" w:rsidRDefault="00F918AF">
      <w:pPr>
        <w:keepNext/>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i/>
          <w:sz w:val="20"/>
          <w:szCs w:val="20"/>
        </w:rPr>
      </w:pPr>
      <w:r>
        <w:rPr>
          <w:rFonts w:ascii="Verdana" w:hAnsi="Verdana"/>
          <w:i/>
          <w:sz w:val="20"/>
          <w:szCs w:val="20"/>
        </w:rPr>
        <w:t xml:space="preserve">“1.2. </w:t>
      </w:r>
      <w:proofErr w:type="gramStart"/>
      <w:r>
        <w:rPr>
          <w:rFonts w:ascii="Verdana" w:hAnsi="Verdana"/>
          <w:i/>
          <w:sz w:val="20"/>
          <w:szCs w:val="20"/>
        </w:rPr>
        <w:t>Por meio da RCA da Emissão, a Diretoria da Emissora também foi autorizada a (i) praticar todos os atos necessários à efetivação das deliberações consubstanciadas na RCA d</w:t>
      </w:r>
      <w:r>
        <w:rPr>
          <w:rFonts w:ascii="Verdana" w:hAnsi="Verdana"/>
          <w:i/>
          <w:sz w:val="20"/>
          <w:szCs w:val="20"/>
        </w:rPr>
        <w:t xml:space="preserve">a Emissão, incluindo a celebração de todos os documentos indispensáveis à concretização da Emissão, dentre os quais o aditamento a esta Escritura que ratificou o resultado do Procedimento de </w:t>
      </w:r>
      <w:proofErr w:type="spellStart"/>
      <w:r>
        <w:rPr>
          <w:rFonts w:ascii="Verdana" w:hAnsi="Verdana"/>
          <w:sz w:val="20"/>
          <w:szCs w:val="20"/>
        </w:rPr>
        <w:t>Bookbuilding</w:t>
      </w:r>
      <w:proofErr w:type="spellEnd"/>
      <w:r>
        <w:rPr>
          <w:rFonts w:ascii="Verdana" w:hAnsi="Verdana"/>
          <w:i/>
          <w:sz w:val="20"/>
          <w:szCs w:val="20"/>
        </w:rPr>
        <w:t xml:space="preserve"> (conforme abaixo definido) e </w:t>
      </w:r>
      <w:r>
        <w:rPr>
          <w:rFonts w:ascii="Verdana" w:hAnsi="Verdana"/>
          <w:i/>
          <w:sz w:val="20"/>
          <w:szCs w:val="20"/>
          <w:lang w:val="pt-PT"/>
        </w:rPr>
        <w:t>que [c</w:t>
      </w:r>
      <w:proofErr w:type="spellStart"/>
      <w:r>
        <w:rPr>
          <w:rFonts w:ascii="Verdana" w:hAnsi="Verdana"/>
          <w:i/>
          <w:sz w:val="20"/>
          <w:szCs w:val="20"/>
        </w:rPr>
        <w:t>ontemplou</w:t>
      </w:r>
      <w:proofErr w:type="spellEnd"/>
      <w:r>
        <w:rPr>
          <w:rFonts w:ascii="Verdana" w:hAnsi="Verdana"/>
          <w:i/>
          <w:sz w:val="20"/>
          <w:szCs w:val="20"/>
        </w:rPr>
        <w:t xml:space="preserve"> o aumento do valor da Oferta mediante a colocação das/a não emissão das] Debêntures Adicionais;</w:t>
      </w:r>
      <w:proofErr w:type="gramEnd"/>
      <w:r>
        <w:rPr>
          <w:rFonts w:ascii="Verdana" w:hAnsi="Verdana"/>
          <w:i/>
          <w:sz w:val="20"/>
          <w:szCs w:val="20"/>
        </w:rPr>
        <w:t xml:space="preserve"> e (</w:t>
      </w:r>
      <w:proofErr w:type="spellStart"/>
      <w:r>
        <w:rPr>
          <w:rFonts w:ascii="Verdana" w:hAnsi="Verdana"/>
          <w:i/>
          <w:sz w:val="20"/>
          <w:szCs w:val="20"/>
        </w:rPr>
        <w:t>ii</w:t>
      </w:r>
      <w:proofErr w:type="spellEnd"/>
      <w:r>
        <w:rPr>
          <w:rFonts w:ascii="Verdana" w:hAnsi="Verdana"/>
          <w:i/>
          <w:sz w:val="20"/>
          <w:szCs w:val="20"/>
        </w:rPr>
        <w:t>) formalizar e efetivar a contratação dos Coordenadores (conforme abaixo definidos), do Agente Fiduciário e dos prestadores de serviços necessári</w:t>
      </w:r>
      <w:r>
        <w:rPr>
          <w:rFonts w:ascii="Verdana" w:hAnsi="Verdana"/>
          <w:i/>
          <w:sz w:val="20"/>
          <w:szCs w:val="20"/>
        </w:rPr>
        <w:t xml:space="preserve">os à implementação da Emissão e da Oferta, tais como </w:t>
      </w:r>
      <w:proofErr w:type="spellStart"/>
      <w:r>
        <w:rPr>
          <w:rFonts w:ascii="Verdana" w:hAnsi="Verdana"/>
          <w:i/>
          <w:sz w:val="20"/>
          <w:szCs w:val="20"/>
        </w:rPr>
        <w:t>escriturador</w:t>
      </w:r>
      <w:proofErr w:type="spellEnd"/>
      <w:r>
        <w:rPr>
          <w:rFonts w:ascii="Verdana" w:hAnsi="Verdana"/>
          <w:i/>
          <w:sz w:val="20"/>
          <w:szCs w:val="20"/>
        </w:rPr>
        <w:t xml:space="preserve">, banco liquidante, a B3 (conforme abaixo definido), a B3 – Segmento </w:t>
      </w:r>
      <w:proofErr w:type="spellStart"/>
      <w:r>
        <w:rPr>
          <w:rFonts w:ascii="Verdana" w:hAnsi="Verdana"/>
          <w:i/>
          <w:sz w:val="20"/>
          <w:szCs w:val="20"/>
        </w:rPr>
        <w:t>Cetip</w:t>
      </w:r>
      <w:proofErr w:type="spellEnd"/>
      <w:r>
        <w:rPr>
          <w:rFonts w:ascii="Verdana" w:hAnsi="Verdana"/>
          <w:i/>
          <w:sz w:val="20"/>
          <w:szCs w:val="20"/>
        </w:rPr>
        <w:t xml:space="preserve"> UTVM, dentre outros, podendo, para tanto, negociar e assinar os respectivos instrumentos de contratação e eventuais </w:t>
      </w:r>
      <w:r>
        <w:rPr>
          <w:rFonts w:ascii="Verdana" w:hAnsi="Verdana"/>
          <w:i/>
          <w:sz w:val="20"/>
          <w:szCs w:val="20"/>
        </w:rPr>
        <w:t xml:space="preserve">alterações em aditamentos.” </w:t>
      </w:r>
    </w:p>
    <w:p w:rsidR="00F918AF" w:rsidRDefault="00F918AF">
      <w:pPr>
        <w:spacing w:after="0" w:line="300" w:lineRule="exact"/>
        <w:ind w:left="709" w:hanging="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 Cláusula 3.3 da Escritura, que passa a vigorar com a seguinte redação:</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3.3. </w:t>
      </w:r>
      <w:r>
        <w:rPr>
          <w:rFonts w:ascii="Verdana" w:hAnsi="Verdana"/>
          <w:i/>
          <w:sz w:val="20"/>
          <w:szCs w:val="20"/>
          <w:u w:val="single"/>
        </w:rPr>
        <w:t>Quantidade de Debêntures</w:t>
      </w:r>
      <w:r>
        <w:rPr>
          <w:rFonts w:ascii="Verdana" w:hAnsi="Verdana"/>
          <w:i/>
          <w:sz w:val="20"/>
          <w:szCs w:val="20"/>
        </w:rPr>
        <w:t xml:space="preserve">. Serão emitidas [1.000.000 (um milhão) / [●] ([●]) Debêntures, já </w:t>
      </w:r>
      <w:r>
        <w:rPr>
          <w:rFonts w:ascii="Verdana" w:hAnsi="Verdana"/>
          <w:bCs/>
          <w:i/>
          <w:sz w:val="20"/>
          <w:szCs w:val="20"/>
        </w:rPr>
        <w:t xml:space="preserve">considerando as </w:t>
      </w:r>
      <w:r>
        <w:rPr>
          <w:rFonts w:ascii="Verdana" w:hAnsi="Verdana"/>
          <w:i/>
          <w:sz w:val="20"/>
          <w:szCs w:val="20"/>
        </w:rPr>
        <w:t>Debêntures A</w:t>
      </w:r>
      <w:r>
        <w:rPr>
          <w:rFonts w:ascii="Verdana" w:hAnsi="Verdana"/>
          <w:i/>
          <w:sz w:val="20"/>
          <w:szCs w:val="20"/>
        </w:rPr>
        <w:t xml:space="preserve">dicionais] </w:t>
      </w:r>
      <w:proofErr w:type="gramStart"/>
      <w:r>
        <w:rPr>
          <w:rFonts w:ascii="Verdana" w:hAnsi="Verdana"/>
          <w:i/>
          <w:sz w:val="20"/>
          <w:szCs w:val="20"/>
        </w:rPr>
        <w:t>[,</w:t>
      </w:r>
      <w:proofErr w:type="gramEnd"/>
      <w:r>
        <w:rPr>
          <w:rFonts w:ascii="Verdana" w:hAnsi="Verdana"/>
          <w:i/>
          <w:sz w:val="20"/>
          <w:szCs w:val="20"/>
        </w:rPr>
        <w:t>sendo (i) [●] ([●]) Debêntures da Primeira Série][; e (</w:t>
      </w:r>
      <w:proofErr w:type="spellStart"/>
      <w:r>
        <w:rPr>
          <w:rFonts w:ascii="Verdana" w:hAnsi="Verdana"/>
          <w:i/>
          <w:sz w:val="20"/>
          <w:szCs w:val="20"/>
        </w:rPr>
        <w:t>ii</w:t>
      </w:r>
      <w:proofErr w:type="spellEnd"/>
      <w:r>
        <w:rPr>
          <w:rFonts w:ascii="Verdana" w:hAnsi="Verdana"/>
          <w:i/>
          <w:sz w:val="20"/>
          <w:szCs w:val="20"/>
        </w:rPr>
        <w:t xml:space="preserve">) [●] ([●]) Debêntures da Segunda Série] </w:t>
      </w:r>
      <w:r>
        <w:rPr>
          <w:rFonts w:ascii="Verdana" w:hAnsi="Verdana"/>
          <w:i/>
          <w:iCs/>
          <w:sz w:val="20"/>
          <w:szCs w:val="20"/>
        </w:rPr>
        <w:t xml:space="preserve">conforme definido em sistema de vasos comunicantes, de acordo com a </w:t>
      </w:r>
      <w:r>
        <w:rPr>
          <w:rFonts w:ascii="Verdana" w:hAnsi="Verdana"/>
          <w:i/>
          <w:iCs/>
          <w:sz w:val="20"/>
          <w:szCs w:val="20"/>
        </w:rPr>
        <w:lastRenderedPageBreak/>
        <w:t xml:space="preserve">demanda das Debêntures apurada após a conclusão do Procedimento de </w:t>
      </w:r>
      <w:proofErr w:type="spellStart"/>
      <w:r>
        <w:rPr>
          <w:rFonts w:ascii="Verdana" w:hAnsi="Verdana"/>
          <w:i/>
          <w:iCs/>
          <w:sz w:val="20"/>
          <w:szCs w:val="20"/>
        </w:rPr>
        <w:t>Bookbuildi</w:t>
      </w:r>
      <w:r>
        <w:rPr>
          <w:rFonts w:ascii="Verdana" w:hAnsi="Verdana"/>
          <w:i/>
          <w:iCs/>
          <w:sz w:val="20"/>
          <w:szCs w:val="20"/>
        </w:rPr>
        <w:t>ng</w:t>
      </w:r>
      <w:proofErr w:type="spellEnd"/>
      <w:r>
        <w:rPr>
          <w:rFonts w:ascii="Verdana" w:hAnsi="Verdana"/>
          <w:bCs/>
          <w:sz w:val="20"/>
          <w:szCs w:val="20"/>
        </w:rPr>
        <w:t>.</w:t>
      </w:r>
    </w:p>
    <w:p w:rsidR="00F918AF" w:rsidRDefault="00F918AF">
      <w:pPr>
        <w:spacing w:after="0" w:line="300" w:lineRule="exact"/>
        <w:ind w:left="709" w:hanging="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 Cláusula 3.5 e 3.6 da Escritura, que passam a vigorar com a seguinte redação:</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Style w:val="DeltaViewInsertion"/>
          <w:rFonts w:ascii="Verdana" w:hAnsi="Verdana"/>
          <w:color w:val="auto"/>
          <w:sz w:val="20"/>
          <w:szCs w:val="20"/>
          <w:u w:val="none"/>
        </w:rPr>
      </w:pPr>
      <w:r>
        <w:rPr>
          <w:rFonts w:ascii="Verdana" w:hAnsi="Verdana"/>
          <w:sz w:val="20"/>
          <w:szCs w:val="20"/>
        </w:rPr>
        <w:t>“</w:t>
      </w:r>
      <w:r>
        <w:rPr>
          <w:rFonts w:ascii="Verdana" w:hAnsi="Verdana"/>
          <w:i/>
          <w:sz w:val="20"/>
          <w:szCs w:val="20"/>
        </w:rPr>
        <w:t>3.5.</w:t>
      </w:r>
      <w:r>
        <w:rPr>
          <w:rFonts w:ascii="Verdana" w:hAnsi="Verdana"/>
          <w:i/>
          <w:sz w:val="20"/>
          <w:szCs w:val="20"/>
        </w:rPr>
        <w:tab/>
      </w:r>
      <w:r>
        <w:rPr>
          <w:rFonts w:ascii="Verdana" w:hAnsi="Verdana"/>
          <w:i/>
          <w:sz w:val="20"/>
          <w:szCs w:val="20"/>
          <w:u w:val="single"/>
        </w:rPr>
        <w:t>Valor Total da Emissão</w:t>
      </w:r>
      <w:r>
        <w:rPr>
          <w:rFonts w:ascii="Verdana" w:hAnsi="Verdana"/>
          <w:i/>
          <w:sz w:val="20"/>
          <w:szCs w:val="20"/>
        </w:rPr>
        <w:t>. O valor total da Oferta será de [R$1.000.000.000,00 (um bilhão de reais</w:t>
      </w:r>
      <w:proofErr w:type="gramStart"/>
      <w:r>
        <w:rPr>
          <w:rFonts w:ascii="Verdana" w:hAnsi="Verdana"/>
          <w:i/>
          <w:sz w:val="20"/>
          <w:szCs w:val="20"/>
        </w:rPr>
        <w:t>)</w:t>
      </w:r>
      <w:proofErr w:type="gramEnd"/>
      <w:r>
        <w:rPr>
          <w:rFonts w:ascii="Verdana" w:hAnsi="Verdana"/>
          <w:i/>
          <w:sz w:val="20"/>
          <w:szCs w:val="20"/>
        </w:rPr>
        <w:t>/R$ [●] ([●])]</w:t>
      </w:r>
      <w:r>
        <w:rPr>
          <w:rStyle w:val="DeltaViewInsertion"/>
          <w:rFonts w:ascii="Verdana" w:hAnsi="Verdana"/>
          <w:i/>
          <w:color w:val="auto"/>
          <w:sz w:val="20"/>
          <w:szCs w:val="20"/>
          <w:u w:val="none"/>
        </w:rPr>
        <w:t>, na Data de Emissão (“</w:t>
      </w:r>
      <w:r>
        <w:rPr>
          <w:rStyle w:val="DeltaViewInsertion"/>
          <w:rFonts w:ascii="Verdana" w:hAnsi="Verdana"/>
          <w:i/>
          <w:color w:val="auto"/>
          <w:sz w:val="20"/>
          <w:szCs w:val="20"/>
          <w:u w:val="single"/>
        </w:rPr>
        <w:t>Valo</w:t>
      </w:r>
      <w:r>
        <w:rPr>
          <w:rStyle w:val="DeltaViewInsertion"/>
          <w:rFonts w:ascii="Verdana" w:hAnsi="Verdana"/>
          <w:i/>
          <w:color w:val="auto"/>
          <w:sz w:val="20"/>
          <w:szCs w:val="20"/>
          <w:u w:val="single"/>
        </w:rPr>
        <w:t>r Total da Emissão</w:t>
      </w:r>
      <w:r>
        <w:rPr>
          <w:rStyle w:val="DeltaViewInsertion"/>
          <w:rFonts w:ascii="Verdana" w:hAnsi="Verdana"/>
          <w:i/>
          <w:color w:val="auto"/>
          <w:sz w:val="20"/>
          <w:szCs w:val="20"/>
          <w:u w:val="none"/>
        </w:rPr>
        <w:t xml:space="preserve">”) [, já considerando </w:t>
      </w:r>
      <w:r>
        <w:rPr>
          <w:rFonts w:ascii="Verdana" w:hAnsi="Verdana"/>
          <w:i/>
          <w:sz w:val="20"/>
          <w:szCs w:val="20"/>
        </w:rPr>
        <w:t>as Debêntures Adicionais]</w:t>
      </w:r>
      <w:r>
        <w:rPr>
          <w:rFonts w:ascii="Verdana" w:hAnsi="Verdana"/>
          <w:sz w:val="20"/>
          <w:szCs w:val="20"/>
        </w:rPr>
        <w:t>.</w:t>
      </w:r>
      <w:r>
        <w:rPr>
          <w:rStyle w:val="DeltaViewInsertion"/>
          <w:rFonts w:ascii="Verdana" w:hAnsi="Verdana"/>
          <w:color w:val="auto"/>
          <w:sz w:val="20"/>
          <w:szCs w:val="20"/>
          <w:u w:val="none"/>
        </w:rPr>
        <w:t>”</w:t>
      </w:r>
    </w:p>
    <w:p w:rsidR="00F918AF" w:rsidRDefault="00F918AF">
      <w:pPr>
        <w:spacing w:after="0" w:line="300" w:lineRule="exact"/>
        <w:ind w:left="709"/>
        <w:jc w:val="both"/>
        <w:rPr>
          <w:rStyle w:val="DeltaViewInsertion"/>
          <w:rFonts w:ascii="Verdana" w:hAnsi="Verdana"/>
          <w:color w:val="auto"/>
          <w:sz w:val="20"/>
          <w:szCs w:val="20"/>
          <w:u w:val="none"/>
        </w:rPr>
      </w:pPr>
    </w:p>
    <w:p w:rsidR="00F918AF" w:rsidRDefault="00510693">
      <w:pPr>
        <w:spacing w:after="0" w:line="300" w:lineRule="exact"/>
        <w:ind w:left="709"/>
        <w:jc w:val="both"/>
        <w:rPr>
          <w:rFonts w:ascii="Verdana" w:hAnsi="Verdana"/>
          <w:sz w:val="20"/>
          <w:szCs w:val="20"/>
        </w:rPr>
      </w:pPr>
      <w:r>
        <w:rPr>
          <w:rStyle w:val="DeltaViewInsertion"/>
          <w:rFonts w:ascii="Verdana" w:hAnsi="Verdana"/>
          <w:color w:val="auto"/>
          <w:sz w:val="20"/>
          <w:szCs w:val="20"/>
          <w:u w:val="none"/>
        </w:rPr>
        <w:t>“</w:t>
      </w:r>
      <w:r>
        <w:rPr>
          <w:rStyle w:val="DeltaViewInsertion"/>
          <w:rFonts w:ascii="Verdana" w:hAnsi="Verdana"/>
          <w:i/>
          <w:color w:val="auto"/>
          <w:sz w:val="20"/>
          <w:szCs w:val="20"/>
          <w:u w:val="single"/>
        </w:rPr>
        <w:t>3.6.</w:t>
      </w:r>
      <w:r>
        <w:rPr>
          <w:rStyle w:val="DeltaViewInsertion"/>
          <w:rFonts w:ascii="Verdana" w:hAnsi="Verdana"/>
          <w:i/>
          <w:color w:val="auto"/>
          <w:sz w:val="20"/>
          <w:szCs w:val="20"/>
          <w:u w:val="single"/>
        </w:rPr>
        <w:tab/>
      </w:r>
      <w:r>
        <w:rPr>
          <w:rFonts w:ascii="Verdana" w:hAnsi="Verdana"/>
          <w:i/>
          <w:sz w:val="20"/>
          <w:szCs w:val="20"/>
          <w:u w:val="single"/>
        </w:rPr>
        <w:t>Número de Séries</w:t>
      </w:r>
      <w:bookmarkStart w:id="94" w:name="_DV_C41"/>
      <w:r>
        <w:rPr>
          <w:rFonts w:ascii="Verdana" w:hAnsi="Verdana"/>
          <w:i/>
          <w:sz w:val="20"/>
          <w:szCs w:val="20"/>
        </w:rPr>
        <w:t xml:space="preserve">. </w:t>
      </w:r>
      <w:bookmarkEnd w:id="94"/>
      <w:r>
        <w:rPr>
          <w:rFonts w:ascii="Verdana" w:hAnsi="Verdana"/>
          <w:i/>
          <w:sz w:val="20"/>
          <w:szCs w:val="20"/>
        </w:rPr>
        <w:t>A Emissão será realizada em [série única /2 (duas) séries (</w:t>
      </w:r>
      <w:proofErr w:type="gramStart"/>
      <w:r>
        <w:rPr>
          <w:rFonts w:ascii="Verdana" w:hAnsi="Verdana"/>
          <w:i/>
          <w:sz w:val="20"/>
          <w:szCs w:val="20"/>
        </w:rPr>
        <w:t>“</w:t>
      </w:r>
      <w:r>
        <w:rPr>
          <w:rFonts w:ascii="Verdana" w:hAnsi="Verdana"/>
          <w:i/>
          <w:sz w:val="20"/>
          <w:szCs w:val="20"/>
          <w:u w:val="single"/>
        </w:rPr>
        <w:t>Primeira</w:t>
      </w:r>
      <w:proofErr w:type="gramEnd"/>
      <w:r>
        <w:rPr>
          <w:rFonts w:ascii="Verdana" w:hAnsi="Verdana"/>
          <w:i/>
          <w:sz w:val="20"/>
          <w:szCs w:val="20"/>
          <w:u w:val="single"/>
        </w:rPr>
        <w:t xml:space="preserve"> Série</w:t>
      </w:r>
      <w:r>
        <w:rPr>
          <w:rFonts w:ascii="Verdana" w:hAnsi="Verdana"/>
          <w:i/>
          <w:sz w:val="20"/>
          <w:szCs w:val="20"/>
        </w:rPr>
        <w:t>” e “</w:t>
      </w:r>
      <w:r>
        <w:rPr>
          <w:rFonts w:ascii="Verdana" w:hAnsi="Verdana"/>
          <w:i/>
          <w:sz w:val="20"/>
          <w:szCs w:val="20"/>
          <w:u w:val="single"/>
        </w:rPr>
        <w:t>Segunda Série</w:t>
      </w:r>
      <w:r>
        <w:rPr>
          <w:rFonts w:ascii="Verdana" w:hAnsi="Verdana"/>
          <w:i/>
          <w:sz w:val="20"/>
          <w:szCs w:val="20"/>
        </w:rPr>
        <w:t>”, respectivamente e, quando em conjunto “</w:t>
      </w:r>
      <w:r>
        <w:rPr>
          <w:rFonts w:ascii="Verdana" w:hAnsi="Verdana"/>
          <w:i/>
          <w:sz w:val="20"/>
          <w:szCs w:val="20"/>
          <w:u w:val="single"/>
        </w:rPr>
        <w:t>Séries</w:t>
      </w:r>
      <w:r>
        <w:rPr>
          <w:rFonts w:ascii="Verdana" w:hAnsi="Verdana"/>
          <w:i/>
          <w:sz w:val="20"/>
          <w:szCs w:val="20"/>
        </w:rPr>
        <w:t xml:space="preserve">”)], sendo que a </w:t>
      </w:r>
      <w:r>
        <w:rPr>
          <w:rFonts w:ascii="Verdana" w:hAnsi="Verdana"/>
          <w:i/>
          <w:sz w:val="20"/>
          <w:szCs w:val="20"/>
        </w:rPr>
        <w:t xml:space="preserve">quantidade de séries da Emissão foi definida no Procedimento de </w:t>
      </w:r>
      <w:proofErr w:type="spellStart"/>
      <w:r>
        <w:rPr>
          <w:rFonts w:ascii="Verdana" w:hAnsi="Verdana"/>
          <w:i/>
          <w:sz w:val="20"/>
          <w:szCs w:val="20"/>
        </w:rPr>
        <w:t>Bookbuilding</w:t>
      </w:r>
      <w:proofErr w:type="spellEnd"/>
      <w:r>
        <w:rPr>
          <w:rFonts w:ascii="Verdana" w:hAnsi="Verdana"/>
          <w:i/>
          <w:sz w:val="20"/>
          <w:szCs w:val="20"/>
        </w:rPr>
        <w:t xml:space="preserve"> (conforme definido abaixo). [Para os fins da presente Escritura, as Debêntures emitidas na Primeira Série serão doravante referidas “</w:t>
      </w:r>
      <w:r>
        <w:rPr>
          <w:rFonts w:ascii="Verdana" w:hAnsi="Verdana"/>
          <w:i/>
          <w:sz w:val="20"/>
          <w:szCs w:val="20"/>
          <w:u w:val="single"/>
        </w:rPr>
        <w:t>Debêntures da Primeira Sér</w:t>
      </w:r>
      <w:r>
        <w:rPr>
          <w:rFonts w:ascii="Verdana" w:hAnsi="Verdana"/>
          <w:i/>
          <w:sz w:val="20"/>
          <w:szCs w:val="20"/>
        </w:rPr>
        <w:t xml:space="preserve">ie” e as Debêntures </w:t>
      </w:r>
      <w:r>
        <w:rPr>
          <w:rFonts w:ascii="Verdana" w:hAnsi="Verdana"/>
          <w:i/>
          <w:sz w:val="20"/>
          <w:szCs w:val="20"/>
        </w:rPr>
        <w:t>emitidas na Segunda Série serão referidas como “</w:t>
      </w:r>
      <w:r>
        <w:rPr>
          <w:rFonts w:ascii="Verdana" w:hAnsi="Verdana"/>
          <w:i/>
          <w:sz w:val="20"/>
          <w:szCs w:val="20"/>
          <w:u w:val="single"/>
        </w:rPr>
        <w:t>Debêntures da Segunda Série</w:t>
      </w:r>
      <w:r>
        <w:rPr>
          <w:rFonts w:ascii="Verdana" w:hAnsi="Verdana"/>
          <w:i/>
          <w:sz w:val="20"/>
          <w:szCs w:val="20"/>
        </w:rPr>
        <w:t>” e, quando em conjunto com as Debêntures da Primeira Série, as “</w:t>
      </w:r>
      <w:r>
        <w:rPr>
          <w:rFonts w:ascii="Verdana" w:hAnsi="Verdana"/>
          <w:i/>
          <w:sz w:val="20"/>
          <w:szCs w:val="20"/>
          <w:u w:val="single"/>
        </w:rPr>
        <w:t>Debêntures</w:t>
      </w:r>
      <w:r>
        <w:rPr>
          <w:rFonts w:ascii="Verdana" w:hAnsi="Verdana"/>
          <w:sz w:val="20"/>
          <w:szCs w:val="20"/>
        </w:rPr>
        <w:t>”].</w:t>
      </w:r>
    </w:p>
    <w:p w:rsidR="00F918AF" w:rsidRDefault="00F918AF">
      <w:pPr>
        <w:spacing w:after="0" w:line="300" w:lineRule="exact"/>
        <w:ind w:left="709"/>
        <w:jc w:val="both"/>
        <w:rPr>
          <w:rFonts w:ascii="Verdana" w:hAnsi="Verdana"/>
          <w:sz w:val="20"/>
          <w:szCs w:val="20"/>
        </w:rPr>
      </w:pPr>
    </w:p>
    <w:p w:rsidR="00F918AF" w:rsidRDefault="00F918AF">
      <w:pPr>
        <w:spacing w:after="0" w:line="300" w:lineRule="exact"/>
        <w:ind w:left="709" w:hanging="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as Cláusula 3.7 e 3.7.4 da Escritura, que passam a vigorar com a seguinte</w:t>
      </w:r>
      <w:r>
        <w:rPr>
          <w:rFonts w:ascii="Verdana" w:hAnsi="Verdana"/>
          <w:sz w:val="20"/>
          <w:szCs w:val="20"/>
        </w:rPr>
        <w:t xml:space="preserve"> redação:</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 </w:t>
      </w:r>
      <w:r>
        <w:rPr>
          <w:rFonts w:ascii="Verdana" w:hAnsi="Verdana"/>
          <w:i/>
          <w:sz w:val="20"/>
          <w:szCs w:val="20"/>
          <w:u w:val="single"/>
        </w:rPr>
        <w:t>Colocação e Procedimento de Distribuição</w:t>
      </w:r>
      <w:r>
        <w:rPr>
          <w:rFonts w:ascii="Verdana" w:hAnsi="Verdana"/>
          <w:i/>
          <w:sz w:val="20"/>
          <w:szCs w:val="20"/>
        </w:rPr>
        <w:t xml:space="preserve">. </w:t>
      </w:r>
      <w:bookmarkStart w:id="95" w:name="_DV_M62"/>
      <w:bookmarkEnd w:id="95"/>
      <w:r>
        <w:rPr>
          <w:rFonts w:ascii="Verdana" w:hAnsi="Verdana"/>
          <w:i/>
          <w:sz w:val="20"/>
          <w:szCs w:val="20"/>
        </w:rPr>
        <w:t>As Debêntures serão objeto de distribuição pública nos termos da Instrução CVM 400, especificamente o procedimento indicado para emissoras com grande exposição no mercado, conforme artigos 6º-A e 6</w:t>
      </w:r>
      <w:r>
        <w:rPr>
          <w:rFonts w:ascii="Verdana" w:hAnsi="Verdana"/>
          <w:i/>
          <w:sz w:val="20"/>
          <w:szCs w:val="20"/>
        </w:rPr>
        <w:t>º-B da referida instrução, sob o regime de garantia firme de colocação [(exceto pelas Debêntures Adicionais, as quais, serão colocadas sob o regime de melhores esforços de colocação)], com a intermediação de determinada instituição financeira líder (</w:t>
      </w:r>
      <w:proofErr w:type="gramStart"/>
      <w:r>
        <w:rPr>
          <w:rFonts w:ascii="Verdana" w:hAnsi="Verdana"/>
          <w:i/>
          <w:sz w:val="20"/>
          <w:szCs w:val="20"/>
        </w:rPr>
        <w:t>“</w:t>
      </w:r>
      <w:r>
        <w:rPr>
          <w:rFonts w:ascii="Verdana" w:hAnsi="Verdana"/>
          <w:i/>
          <w:sz w:val="20"/>
          <w:szCs w:val="20"/>
          <w:u w:val="single"/>
        </w:rPr>
        <w:t>Coord</w:t>
      </w:r>
      <w:r>
        <w:rPr>
          <w:rFonts w:ascii="Verdana" w:hAnsi="Verdana"/>
          <w:i/>
          <w:sz w:val="20"/>
          <w:szCs w:val="20"/>
          <w:u w:val="single"/>
        </w:rPr>
        <w:t>enador</w:t>
      </w:r>
      <w:proofErr w:type="gramEnd"/>
      <w:r>
        <w:rPr>
          <w:rFonts w:ascii="Verdana" w:hAnsi="Verdana"/>
          <w:i/>
          <w:sz w:val="20"/>
          <w:szCs w:val="20"/>
          <w:u w:val="single"/>
        </w:rPr>
        <w:t xml:space="preserve"> Líder</w:t>
      </w:r>
      <w:r>
        <w:rPr>
          <w:rFonts w:ascii="Verdana" w:hAnsi="Verdana"/>
          <w:i/>
          <w:sz w:val="20"/>
          <w:szCs w:val="20"/>
        </w:rPr>
        <w:t>”) e de outras instituições financeiras integrantes do sistema de distribuição de valores mobiliários contratadas para atuar na colocação das Debêntures (em conjunto com o Coordenador Líder, “</w:t>
      </w:r>
      <w:r>
        <w:rPr>
          <w:rFonts w:ascii="Verdana" w:hAnsi="Verdana"/>
          <w:i/>
          <w:sz w:val="20"/>
          <w:szCs w:val="20"/>
          <w:u w:val="single"/>
        </w:rPr>
        <w:t>Coordenadores</w:t>
      </w:r>
      <w:r>
        <w:rPr>
          <w:rFonts w:ascii="Verdana" w:hAnsi="Verdana"/>
          <w:i/>
          <w:sz w:val="20"/>
          <w:szCs w:val="20"/>
        </w:rPr>
        <w:t>”), nos termos do “Contrato de Estrutur</w:t>
      </w:r>
      <w:r>
        <w:rPr>
          <w:rFonts w:ascii="Verdana" w:hAnsi="Verdana"/>
          <w:i/>
          <w:sz w:val="20"/>
          <w:szCs w:val="20"/>
        </w:rPr>
        <w:t>ação, Coordenação e Distribuição Pública de Debêntures Simples, Não Conversíveis em Ações, da Espécie Quirografária, em Até Duas Séries, em Regime de Garantia Firme de Colocação, da Décima Terceira Emissão da Rumo S.A.”, celebrado em 12 de setembro de 2019</w:t>
      </w:r>
      <w:r>
        <w:rPr>
          <w:rFonts w:ascii="Verdana" w:hAnsi="Verdana"/>
          <w:i/>
          <w:sz w:val="20"/>
          <w:szCs w:val="20"/>
        </w:rPr>
        <w:t>, entre a Emissora e os Coordenadores (“</w:t>
      </w:r>
      <w:r>
        <w:rPr>
          <w:rFonts w:ascii="Verdana" w:hAnsi="Verdana"/>
          <w:i/>
          <w:sz w:val="20"/>
          <w:szCs w:val="20"/>
          <w:u w:val="single"/>
        </w:rPr>
        <w:t>Contrato de Distribuição</w:t>
      </w:r>
      <w:r>
        <w:rPr>
          <w:rFonts w:ascii="Verdana" w:hAnsi="Verdana"/>
          <w:i/>
          <w:sz w:val="20"/>
          <w:szCs w:val="20"/>
        </w:rPr>
        <w:t xml:space="preserve">”), com a intermediação de outras instituições financeiras, que não se enquadrem como Coordenadores, autorizadas a operar no mercado de capitais para participar da colocação das </w:t>
      </w:r>
      <w:r>
        <w:rPr>
          <w:rFonts w:ascii="Verdana" w:hAnsi="Verdana"/>
          <w:i/>
          <w:sz w:val="20"/>
          <w:szCs w:val="20"/>
        </w:rPr>
        <w:lastRenderedPageBreak/>
        <w:t>Debêntures jun</w:t>
      </w:r>
      <w:r>
        <w:rPr>
          <w:rFonts w:ascii="Verdana" w:hAnsi="Verdana"/>
          <w:i/>
          <w:sz w:val="20"/>
          <w:szCs w:val="20"/>
        </w:rPr>
        <w:t>to a potenciais investidores e clientes (“</w:t>
      </w:r>
      <w:r>
        <w:rPr>
          <w:rFonts w:ascii="Verdana" w:hAnsi="Verdana"/>
          <w:i/>
          <w:sz w:val="20"/>
          <w:szCs w:val="20"/>
          <w:u w:val="single"/>
        </w:rPr>
        <w:t>Participantes Especiais</w:t>
      </w:r>
      <w:r>
        <w:rPr>
          <w:rFonts w:ascii="Verdana" w:hAnsi="Verdana"/>
          <w:i/>
          <w:sz w:val="20"/>
          <w:szCs w:val="20"/>
        </w:rPr>
        <w:t>” e, em conjunto com os Coordenadores, “</w:t>
      </w:r>
      <w:r>
        <w:rPr>
          <w:rFonts w:ascii="Verdana" w:hAnsi="Verdana"/>
          <w:i/>
          <w:sz w:val="20"/>
          <w:szCs w:val="20"/>
          <w:u w:val="single"/>
        </w:rPr>
        <w:t>Instituições Participantes da Oferta</w:t>
      </w:r>
      <w:r>
        <w:rPr>
          <w:rFonts w:ascii="Verdana" w:hAnsi="Verdana"/>
          <w:i/>
          <w:sz w:val="20"/>
          <w:szCs w:val="20"/>
        </w:rPr>
        <w:t>”), utilizando-se o procedimento previsto no parágrafo 3º do artigo 33 da Instrução CVM 400 (“</w:t>
      </w:r>
      <w:r>
        <w:rPr>
          <w:rFonts w:ascii="Verdana" w:hAnsi="Verdana"/>
          <w:i/>
          <w:sz w:val="20"/>
          <w:szCs w:val="20"/>
          <w:u w:val="single"/>
        </w:rPr>
        <w:t>Plano de Distribuição</w:t>
      </w:r>
      <w:r>
        <w:rPr>
          <w:rFonts w:ascii="Verdana" w:hAnsi="Verdana"/>
          <w:i/>
          <w:sz w:val="20"/>
          <w:szCs w:val="20"/>
        </w:rPr>
        <w:t>”). Os termos e condições do Plano de Distribuição seguem descritos no Contrato de Distribuição e nos demais documentos da Oferta. A Oferta não contará com esforços de colocação no exterior.</w:t>
      </w:r>
      <w:r>
        <w:rPr>
          <w:rFonts w:ascii="Verdana" w:hAnsi="Verdana"/>
          <w:sz w:val="20"/>
          <w:szCs w:val="20"/>
        </w:rPr>
        <w:t>”</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 </w:t>
      </w:r>
      <w:r>
        <w:rPr>
          <w:rFonts w:ascii="Verdana" w:eastAsia="Times New Roman" w:hAnsi="Verdana" w:cs="Times New Roman"/>
          <w:i/>
          <w:sz w:val="20"/>
          <w:szCs w:val="20"/>
          <w:lang w:eastAsia="pt-BR"/>
        </w:rPr>
        <w:t xml:space="preserve">A quantidade de Debêntures inicialmente ofertada, [foi </w:t>
      </w:r>
      <w:r>
        <w:rPr>
          <w:rFonts w:ascii="Verdana" w:eastAsia="Times New Roman" w:hAnsi="Verdana" w:cs="Times New Roman"/>
          <w:i/>
          <w:sz w:val="20"/>
          <w:szCs w:val="20"/>
          <w:lang w:eastAsia="pt-BR"/>
        </w:rPr>
        <w:t>aumentada</w:t>
      </w:r>
      <w:r>
        <w:rPr>
          <w:rFonts w:ascii="Verdana" w:eastAsia="Times New Roman" w:hAnsi="Verdana" w:cs="Times New Roman"/>
          <w:color w:val="000000"/>
          <w:sz w:val="20"/>
          <w:szCs w:val="20"/>
          <w:lang w:eastAsia="pt-BR"/>
        </w:rPr>
        <w:t>/</w:t>
      </w:r>
      <w:r>
        <w:rPr>
          <w:rFonts w:ascii="Verdana" w:eastAsia="Times New Roman" w:hAnsi="Verdana" w:cs="Times New Roman"/>
          <w:i/>
          <w:sz w:val="20"/>
          <w:szCs w:val="20"/>
          <w:lang w:eastAsia="pt-BR"/>
        </w:rPr>
        <w:t xml:space="preserve">poderia ter sido aumentada, mas não foi,] </w:t>
      </w:r>
      <w:r>
        <w:rPr>
          <w:rFonts w:ascii="Verdana" w:hAnsi="Verdana"/>
          <w:i/>
          <w:sz w:val="20"/>
          <w:szCs w:val="20"/>
        </w:rPr>
        <w:t>em virtude de excesso de demanda constatado no âmbito da Oferta, mediante a emissão das Debêntures Adicionais, a critério da Emissora, nos termos do parágrafo 2º do artigo 14 da Instrução CVM 400, observa</w:t>
      </w:r>
      <w:r>
        <w:rPr>
          <w:rFonts w:ascii="Verdana" w:hAnsi="Verdana"/>
          <w:i/>
          <w:sz w:val="20"/>
          <w:szCs w:val="20"/>
        </w:rPr>
        <w:t>do o disposto na Cláusula 3.9 abaixo. Como [não houve / houve] excesso de demanda, [as Debêntures Adicionais não foram emitidas / foram emitidas [--] ([--]) Debêntures Adicionais]</w:t>
      </w:r>
      <w:proofErr w:type="gramStart"/>
      <w:r>
        <w:rPr>
          <w:rFonts w:ascii="Verdana" w:hAnsi="Verdana"/>
          <w:sz w:val="20"/>
          <w:szCs w:val="20"/>
        </w:rPr>
        <w:t>”</w:t>
      </w:r>
      <w:proofErr w:type="gramEnd"/>
    </w:p>
    <w:p w:rsidR="00F918AF" w:rsidRDefault="00F918AF">
      <w:pPr>
        <w:spacing w:after="0" w:line="300" w:lineRule="exact"/>
        <w:ind w:left="709" w:hanging="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excluir a Cláusula 3.7.4.1 da Escritura./As Partes res</w:t>
      </w:r>
      <w:r>
        <w:rPr>
          <w:rFonts w:ascii="Verdana" w:hAnsi="Verdana"/>
          <w:sz w:val="20"/>
          <w:szCs w:val="20"/>
        </w:rPr>
        <w:t>olvem alterar a Cláusula 3.7.4.1 da Escritura, que passa a vigorar com a seguinte redação:</w:t>
      </w:r>
      <w:proofErr w:type="gramStart"/>
      <w:r>
        <w:rPr>
          <w:rFonts w:ascii="Verdana" w:hAnsi="Verdana"/>
          <w:sz w:val="20"/>
          <w:szCs w:val="20"/>
        </w:rPr>
        <w:t>]</w:t>
      </w:r>
      <w:proofErr w:type="gramEnd"/>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3.7.4.1. Como o montante da Oferta foi aumentado nos termos da Cláusula 3.7.4 acima, os Coordenadores farão a distribuição das Debêntures Adicionais em regime de</w:t>
      </w:r>
      <w:r>
        <w:rPr>
          <w:rFonts w:ascii="Verdana" w:hAnsi="Verdana"/>
          <w:i/>
          <w:sz w:val="20"/>
          <w:szCs w:val="20"/>
        </w:rPr>
        <w:t xml:space="preserve"> melhores esforços de colocação.”</w:t>
      </w:r>
      <w:proofErr w:type="gramStart"/>
      <w:r>
        <w:rPr>
          <w:rFonts w:ascii="Verdana" w:hAnsi="Verdana"/>
          <w:i/>
          <w:sz w:val="20"/>
          <w:szCs w:val="20"/>
        </w:rPr>
        <w:t>]</w:t>
      </w:r>
      <w:proofErr w:type="gramEnd"/>
    </w:p>
    <w:p w:rsidR="00F918AF" w:rsidRDefault="00F918AF">
      <w:pPr>
        <w:spacing w:after="0" w:line="300" w:lineRule="exact"/>
        <w:ind w:left="709" w:hanging="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as Cláusulas 3.8, 3.8.1, 3.8.2, 3.8.3 e 3.8.3.3 da Escritura, que passam a vigorar com as seguintes redações, respectivamente:</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 </w:t>
      </w:r>
      <w:r>
        <w:rPr>
          <w:rFonts w:ascii="Verdana" w:hAnsi="Verdana"/>
          <w:i/>
          <w:sz w:val="20"/>
          <w:szCs w:val="20"/>
          <w:u w:val="single"/>
        </w:rPr>
        <w:t xml:space="preserve">Coleta de intenções de investimento (Procedimento de </w:t>
      </w:r>
      <w:proofErr w:type="spellStart"/>
      <w:r>
        <w:rPr>
          <w:rFonts w:ascii="Verdana" w:hAnsi="Verdana"/>
          <w:i/>
          <w:sz w:val="20"/>
          <w:szCs w:val="20"/>
          <w:u w:val="single"/>
        </w:rPr>
        <w:t>Bookbu</w:t>
      </w:r>
      <w:r>
        <w:rPr>
          <w:rFonts w:ascii="Verdana" w:hAnsi="Verdana"/>
          <w:i/>
          <w:sz w:val="20"/>
          <w:szCs w:val="20"/>
          <w:u w:val="single"/>
        </w:rPr>
        <w:t>ilding</w:t>
      </w:r>
      <w:proofErr w:type="spellEnd"/>
      <w:r>
        <w:rPr>
          <w:rFonts w:ascii="Verdana" w:hAnsi="Verdana"/>
          <w:i/>
          <w:sz w:val="20"/>
          <w:szCs w:val="20"/>
          <w:u w:val="single"/>
        </w:rPr>
        <w:t>)</w:t>
      </w:r>
      <w:r>
        <w:rPr>
          <w:rFonts w:ascii="Verdana" w:hAnsi="Verdana"/>
          <w:i/>
          <w:sz w:val="20"/>
          <w:szCs w:val="20"/>
        </w:rPr>
        <w:t xml:space="preserve">. Os Coordenadores organizaram procedimento de coleta de intenções de investimento, nos termos dos parágrafos 1º e 2º do artigo 23 e do artigo 44 da Instrução CVM 400, com recebimento de reservas, e </w:t>
      </w:r>
      <w:bookmarkStart w:id="96" w:name="_DV_C54"/>
      <w:r>
        <w:rPr>
          <w:rFonts w:ascii="Verdana" w:hAnsi="Verdana"/>
          <w:i/>
          <w:sz w:val="20"/>
          <w:szCs w:val="20"/>
        </w:rPr>
        <w:t>observado o disposto na Cláusula 3.8.4, abaixo, pa</w:t>
      </w:r>
      <w:r>
        <w:rPr>
          <w:rFonts w:ascii="Verdana" w:hAnsi="Verdana"/>
          <w:i/>
          <w:sz w:val="20"/>
          <w:szCs w:val="20"/>
        </w:rPr>
        <w:t>ra verificação da demanda pelas Debêntures em diferentes níveis de taxa de juros</w:t>
      </w:r>
      <w:bookmarkEnd w:id="96"/>
      <w:r>
        <w:rPr>
          <w:rFonts w:ascii="Verdana" w:hAnsi="Verdana"/>
          <w:i/>
          <w:sz w:val="20"/>
          <w:szCs w:val="20"/>
        </w:rPr>
        <w:t>, o qual definiu, de comum acordo com a Emissora (i) a quantidade de Séries; [(</w:t>
      </w:r>
      <w:proofErr w:type="spellStart"/>
      <w:proofErr w:type="gramStart"/>
      <w:r>
        <w:rPr>
          <w:rFonts w:ascii="Verdana" w:hAnsi="Verdana"/>
          <w:i/>
          <w:sz w:val="20"/>
          <w:szCs w:val="20"/>
        </w:rPr>
        <w:t>ii</w:t>
      </w:r>
      <w:proofErr w:type="spellEnd"/>
      <w:proofErr w:type="gramEnd"/>
      <w:r>
        <w:rPr>
          <w:rFonts w:ascii="Verdana" w:hAnsi="Verdana"/>
          <w:i/>
          <w:sz w:val="20"/>
          <w:szCs w:val="20"/>
        </w:rPr>
        <w:t>) a aplicação do Sistema de Vasos Comunicantes e, por sua vez, a quantidade de Debêntures aloca</w:t>
      </w:r>
      <w:r>
        <w:rPr>
          <w:rFonts w:ascii="Verdana" w:hAnsi="Verdana"/>
          <w:i/>
          <w:sz w:val="20"/>
          <w:szCs w:val="20"/>
        </w:rPr>
        <w:t>das em cada Série]; [(</w:t>
      </w:r>
      <w:proofErr w:type="spellStart"/>
      <w:r>
        <w:rPr>
          <w:rFonts w:ascii="Verdana" w:hAnsi="Verdana"/>
          <w:i/>
          <w:sz w:val="20"/>
          <w:szCs w:val="20"/>
        </w:rPr>
        <w:t>ii</w:t>
      </w:r>
      <w:proofErr w:type="spellEnd"/>
      <w:r>
        <w:rPr>
          <w:rFonts w:ascii="Verdana" w:hAnsi="Verdana"/>
          <w:i/>
          <w:sz w:val="20"/>
          <w:szCs w:val="20"/>
        </w:rPr>
        <w:t>) / (</w:t>
      </w:r>
      <w:proofErr w:type="spellStart"/>
      <w:r>
        <w:rPr>
          <w:rFonts w:ascii="Verdana" w:hAnsi="Verdana"/>
          <w:i/>
          <w:sz w:val="20"/>
          <w:szCs w:val="20"/>
        </w:rPr>
        <w:t>iii</w:t>
      </w:r>
      <w:proofErr w:type="spellEnd"/>
      <w:r>
        <w:rPr>
          <w:rFonts w:ascii="Verdana" w:hAnsi="Verdana"/>
          <w:i/>
          <w:sz w:val="20"/>
          <w:szCs w:val="20"/>
        </w:rPr>
        <w:t>)] a taxa final dos Juros Remuneratórios [ da Primeira Série nos termos da Cláusula 5.6.2, abaixo]; [(</w:t>
      </w:r>
      <w:proofErr w:type="spellStart"/>
      <w:r>
        <w:rPr>
          <w:rFonts w:ascii="Verdana" w:hAnsi="Verdana"/>
          <w:i/>
          <w:sz w:val="20"/>
          <w:szCs w:val="20"/>
        </w:rPr>
        <w:t>iv</w:t>
      </w:r>
      <w:proofErr w:type="spellEnd"/>
      <w:r>
        <w:rPr>
          <w:rFonts w:ascii="Verdana" w:hAnsi="Verdana"/>
          <w:i/>
          <w:sz w:val="20"/>
          <w:szCs w:val="20"/>
        </w:rPr>
        <w:t>) a taxa final dos Juros Remuneratórios da Segunda Série ], nos termos da Cláusula 5.6.2, abaixo; [(</w:t>
      </w:r>
      <w:proofErr w:type="spellStart"/>
      <w:r>
        <w:rPr>
          <w:rFonts w:ascii="Verdana" w:hAnsi="Verdana"/>
          <w:i/>
          <w:sz w:val="20"/>
          <w:szCs w:val="20"/>
        </w:rPr>
        <w:t>iii</w:t>
      </w:r>
      <w:proofErr w:type="spellEnd"/>
      <w:r>
        <w:rPr>
          <w:rFonts w:ascii="Verdana" w:hAnsi="Verdana"/>
          <w:i/>
          <w:sz w:val="20"/>
          <w:szCs w:val="20"/>
        </w:rPr>
        <w:t>) / (v)] a alocaç</w:t>
      </w:r>
      <w:r>
        <w:rPr>
          <w:rFonts w:ascii="Verdana" w:hAnsi="Verdana"/>
          <w:i/>
          <w:sz w:val="20"/>
          <w:szCs w:val="20"/>
        </w:rPr>
        <w:t>ão das Debêntures entre os Investidores da Oferta; e [(</w:t>
      </w:r>
      <w:proofErr w:type="spellStart"/>
      <w:r>
        <w:rPr>
          <w:rFonts w:ascii="Verdana" w:hAnsi="Verdana"/>
          <w:i/>
          <w:sz w:val="20"/>
          <w:szCs w:val="20"/>
        </w:rPr>
        <w:t>iv</w:t>
      </w:r>
      <w:proofErr w:type="spellEnd"/>
      <w:r>
        <w:rPr>
          <w:rFonts w:ascii="Verdana" w:hAnsi="Verdana"/>
          <w:i/>
          <w:sz w:val="20"/>
          <w:szCs w:val="20"/>
        </w:rPr>
        <w:t xml:space="preserve">) / </w:t>
      </w:r>
      <w:r>
        <w:rPr>
          <w:rFonts w:ascii="Verdana" w:hAnsi="Verdana"/>
          <w:i/>
          <w:sz w:val="20"/>
          <w:szCs w:val="20"/>
        </w:rPr>
        <w:lastRenderedPageBreak/>
        <w:t>(vi)] a [não] colocação das Debêntures Adicionais (“</w:t>
      </w:r>
      <w:r>
        <w:rPr>
          <w:rFonts w:ascii="Verdana" w:hAnsi="Verdana"/>
          <w:i/>
          <w:sz w:val="20"/>
          <w:szCs w:val="20"/>
          <w:u w:val="single"/>
        </w:rPr>
        <w:t xml:space="preserve">Procedimento de </w:t>
      </w:r>
      <w:proofErr w:type="spellStart"/>
      <w:r>
        <w:rPr>
          <w:rFonts w:ascii="Verdana" w:hAnsi="Verdana"/>
          <w:i/>
          <w:iCs/>
          <w:sz w:val="20"/>
          <w:szCs w:val="20"/>
          <w:u w:val="single"/>
        </w:rPr>
        <w:t>Bookbuilding</w:t>
      </w:r>
      <w:proofErr w:type="spellEnd"/>
      <w:r>
        <w:rPr>
          <w:rFonts w:ascii="Verdana" w:hAnsi="Verdana"/>
          <w:i/>
          <w:sz w:val="20"/>
          <w:szCs w:val="20"/>
        </w:rPr>
        <w:t>”).</w:t>
      </w:r>
      <w:r>
        <w:rPr>
          <w:rFonts w:ascii="Verdana" w:hAnsi="Verdana"/>
          <w:sz w:val="20"/>
          <w:szCs w:val="20"/>
        </w:rPr>
        <w:t>”</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3.8.1 A alocação das Debêntures entre Debêntures da Primeira Série e Debêntures da Segunda Série foi realiza</w:t>
      </w:r>
      <w:r>
        <w:rPr>
          <w:rFonts w:ascii="Verdana" w:hAnsi="Verdana"/>
          <w:i/>
          <w:sz w:val="20"/>
          <w:szCs w:val="20"/>
        </w:rPr>
        <w:t>da no sistema de vasos comunicantes, ou seja, a alocação da quantidade total de Debêntures [entre Debêntures da Primeira Série e Debêntures da Segunda Série, observada a quantidade total de Debêntures e as Debêntures Adicionais, estas se emitidas]</w:t>
      </w:r>
      <w:proofErr w:type="gramStart"/>
      <w:r>
        <w:rPr>
          <w:rFonts w:ascii="Verdana" w:hAnsi="Verdana"/>
          <w:i/>
          <w:sz w:val="20"/>
          <w:szCs w:val="20"/>
        </w:rPr>
        <w:t>, será</w:t>
      </w:r>
      <w:proofErr w:type="gramEnd"/>
      <w:r>
        <w:rPr>
          <w:rFonts w:ascii="Verdana" w:hAnsi="Verdana"/>
          <w:i/>
          <w:sz w:val="20"/>
          <w:szCs w:val="20"/>
        </w:rPr>
        <w:t xml:space="preserve"> de</w:t>
      </w:r>
      <w:r>
        <w:rPr>
          <w:rFonts w:ascii="Verdana" w:hAnsi="Verdana"/>
          <w:i/>
          <w:sz w:val="20"/>
          <w:szCs w:val="20"/>
        </w:rPr>
        <w:t xml:space="preserve">finida no Procedimento de </w:t>
      </w:r>
      <w:proofErr w:type="spellStart"/>
      <w:r>
        <w:rPr>
          <w:rFonts w:ascii="Verdana" w:hAnsi="Verdana"/>
          <w:i/>
          <w:sz w:val="20"/>
          <w:szCs w:val="20"/>
        </w:rPr>
        <w:t>Bookbuilding</w:t>
      </w:r>
      <w:proofErr w:type="spellEnd"/>
      <w:r>
        <w:rPr>
          <w:rFonts w:ascii="Verdana" w:hAnsi="Verdana"/>
          <w:i/>
          <w:sz w:val="20"/>
          <w:szCs w:val="20"/>
        </w:rPr>
        <w:t>, observado que (i) uma das séries [poderia não ser / não foi] emitida, [hipótese na qual a Emissão seria realizada/sendo a Emissão realizada] em série única; [e (</w:t>
      </w:r>
      <w:proofErr w:type="spellStart"/>
      <w:r>
        <w:rPr>
          <w:rFonts w:ascii="Verdana" w:hAnsi="Verdana"/>
          <w:i/>
          <w:sz w:val="20"/>
          <w:szCs w:val="20"/>
        </w:rPr>
        <w:t>ii</w:t>
      </w:r>
      <w:proofErr w:type="spellEnd"/>
      <w:r>
        <w:rPr>
          <w:rFonts w:ascii="Verdana" w:hAnsi="Verdana"/>
          <w:i/>
          <w:sz w:val="20"/>
          <w:szCs w:val="20"/>
        </w:rPr>
        <w:t xml:space="preserve">) o somatório das Debêntures da Primeira Série e das </w:t>
      </w:r>
      <w:r>
        <w:rPr>
          <w:rFonts w:ascii="Verdana" w:hAnsi="Verdana"/>
          <w:i/>
          <w:sz w:val="20"/>
          <w:szCs w:val="20"/>
        </w:rPr>
        <w:t>Debêntures da Segunda Série não excederia o Valor Total da Emissão, observada a possibilidade de emissão de Debêntures Adicionais (“</w:t>
      </w:r>
      <w:r>
        <w:rPr>
          <w:rFonts w:ascii="Verdana" w:hAnsi="Verdana"/>
          <w:i/>
          <w:sz w:val="20"/>
          <w:szCs w:val="20"/>
          <w:u w:val="single"/>
        </w:rPr>
        <w:t>Sistema de Vasos Comunicantes</w:t>
      </w:r>
      <w:r>
        <w:rPr>
          <w:rFonts w:ascii="Verdana" w:hAnsi="Verdana"/>
          <w:i/>
          <w:sz w:val="20"/>
          <w:szCs w:val="20"/>
        </w:rPr>
        <w:t>”)].]”</w:t>
      </w:r>
    </w:p>
    <w:p w:rsidR="00F918AF" w:rsidRDefault="00F918AF">
      <w:pPr>
        <w:spacing w:after="0" w:line="300" w:lineRule="exact"/>
        <w:ind w:left="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3.8.2 Participaram do Procedimento de </w:t>
      </w:r>
      <w:proofErr w:type="spellStart"/>
      <w:r>
        <w:rPr>
          <w:rFonts w:ascii="Verdana" w:hAnsi="Verdana"/>
          <w:i/>
          <w:sz w:val="20"/>
          <w:szCs w:val="20"/>
        </w:rPr>
        <w:t>Bookbuilding</w:t>
      </w:r>
      <w:proofErr w:type="spellEnd"/>
      <w:r>
        <w:rPr>
          <w:rFonts w:ascii="Verdana" w:hAnsi="Verdana"/>
          <w:i/>
          <w:sz w:val="20"/>
          <w:szCs w:val="20"/>
        </w:rPr>
        <w:t xml:space="preserve"> para definição dos Juros Remunerató</w:t>
      </w:r>
      <w:r>
        <w:rPr>
          <w:rFonts w:ascii="Verdana" w:hAnsi="Verdana"/>
          <w:i/>
          <w:sz w:val="20"/>
          <w:szCs w:val="20"/>
        </w:rPr>
        <w:t xml:space="preserve">rios e alocação das Debêntures entre as Séries exclusivamente Investidores Institucionais. Nesse sentido, os Investidores Não Institucionais não participaram do Procedimento de </w:t>
      </w:r>
      <w:proofErr w:type="spellStart"/>
      <w:r>
        <w:rPr>
          <w:rFonts w:ascii="Verdana" w:hAnsi="Verdana"/>
          <w:i/>
          <w:sz w:val="20"/>
          <w:szCs w:val="20"/>
        </w:rPr>
        <w:t>Bookbuilding</w:t>
      </w:r>
      <w:proofErr w:type="spellEnd"/>
      <w:r>
        <w:rPr>
          <w:rFonts w:ascii="Verdana" w:hAnsi="Verdana"/>
          <w:i/>
          <w:sz w:val="20"/>
          <w:szCs w:val="20"/>
        </w:rPr>
        <w:t xml:space="preserve"> para a definição dos Juros Remuneratórios e alocação das Debênture</w:t>
      </w:r>
      <w:r>
        <w:rPr>
          <w:rFonts w:ascii="Verdana" w:hAnsi="Verdana"/>
          <w:i/>
          <w:sz w:val="20"/>
          <w:szCs w:val="20"/>
        </w:rPr>
        <w:t>s entre as Séries.</w:t>
      </w:r>
      <w:r>
        <w:rPr>
          <w:rFonts w:ascii="Verdana" w:hAnsi="Verdana"/>
          <w:sz w:val="20"/>
          <w:szCs w:val="20"/>
        </w:rPr>
        <w:t>”</w:t>
      </w:r>
    </w:p>
    <w:p w:rsidR="00F918AF" w:rsidRDefault="00F918AF">
      <w:pPr>
        <w:spacing w:after="0" w:line="300" w:lineRule="exact"/>
        <w:ind w:left="709"/>
        <w:jc w:val="both"/>
        <w:rPr>
          <w:rFonts w:ascii="Verdana" w:hAnsi="Verdana"/>
          <w:sz w:val="20"/>
          <w:szCs w:val="20"/>
        </w:rPr>
      </w:pPr>
    </w:p>
    <w:p w:rsidR="00F918AF" w:rsidRDefault="00510693">
      <w:pPr>
        <w:spacing w:after="0" w:line="300" w:lineRule="exact"/>
        <w:ind w:left="709"/>
        <w:jc w:val="both"/>
        <w:rPr>
          <w:rFonts w:ascii="Verdana" w:hAnsi="Verdana"/>
          <w:i/>
          <w:sz w:val="20"/>
          <w:szCs w:val="20"/>
        </w:rPr>
      </w:pPr>
      <w:r>
        <w:rPr>
          <w:rFonts w:ascii="Verdana" w:hAnsi="Verdana"/>
          <w:i/>
          <w:sz w:val="20"/>
          <w:szCs w:val="20"/>
        </w:rPr>
        <w:t xml:space="preserve">“3.8.3 Ao final do Procedimento de </w:t>
      </w:r>
      <w:proofErr w:type="spellStart"/>
      <w:r>
        <w:rPr>
          <w:rFonts w:ascii="Verdana" w:hAnsi="Verdana"/>
          <w:i/>
          <w:sz w:val="20"/>
          <w:szCs w:val="20"/>
        </w:rPr>
        <w:t>Bookbuilding</w:t>
      </w:r>
      <w:proofErr w:type="spellEnd"/>
      <w:r>
        <w:rPr>
          <w:rFonts w:ascii="Verdana" w:hAnsi="Verdana"/>
          <w:i/>
          <w:sz w:val="20"/>
          <w:szCs w:val="20"/>
        </w:rPr>
        <w:t>, a Emissora ratificou (i) a quantidade de séries; (</w:t>
      </w:r>
      <w:proofErr w:type="spellStart"/>
      <w:proofErr w:type="gramStart"/>
      <w:r>
        <w:rPr>
          <w:rFonts w:ascii="Verdana" w:hAnsi="Verdana"/>
          <w:i/>
          <w:sz w:val="20"/>
          <w:szCs w:val="20"/>
        </w:rPr>
        <w:t>ii</w:t>
      </w:r>
      <w:proofErr w:type="spellEnd"/>
      <w:proofErr w:type="gramEnd"/>
      <w:r>
        <w:rPr>
          <w:rFonts w:ascii="Verdana" w:hAnsi="Verdana"/>
          <w:i/>
          <w:sz w:val="20"/>
          <w:szCs w:val="20"/>
        </w:rPr>
        <w:t>) a taxa final dos Juros Remuneratórios; (</w:t>
      </w:r>
      <w:proofErr w:type="spellStart"/>
      <w:r>
        <w:rPr>
          <w:rFonts w:ascii="Verdana" w:hAnsi="Verdana"/>
          <w:i/>
          <w:sz w:val="20"/>
          <w:szCs w:val="20"/>
        </w:rPr>
        <w:t>iii</w:t>
      </w:r>
      <w:proofErr w:type="spellEnd"/>
      <w:r>
        <w:rPr>
          <w:rFonts w:ascii="Verdana" w:hAnsi="Verdana"/>
          <w:i/>
          <w:sz w:val="20"/>
          <w:szCs w:val="20"/>
        </w:rPr>
        <w:t>) a alocação das Debêntures entre as Séries; e (</w:t>
      </w:r>
      <w:proofErr w:type="spellStart"/>
      <w:r>
        <w:rPr>
          <w:rFonts w:ascii="Verdana" w:hAnsi="Verdana"/>
          <w:i/>
          <w:sz w:val="20"/>
          <w:szCs w:val="20"/>
        </w:rPr>
        <w:t>iv</w:t>
      </w:r>
      <w:proofErr w:type="spellEnd"/>
      <w:r>
        <w:rPr>
          <w:rFonts w:ascii="Verdana" w:hAnsi="Verdana"/>
          <w:i/>
          <w:sz w:val="20"/>
          <w:szCs w:val="20"/>
        </w:rPr>
        <w:t xml:space="preserve">) e a [não] colocação das Debêntures </w:t>
      </w:r>
      <w:r>
        <w:rPr>
          <w:rFonts w:ascii="Verdana" w:hAnsi="Verdana"/>
          <w:i/>
          <w:sz w:val="20"/>
          <w:szCs w:val="20"/>
        </w:rPr>
        <w:t xml:space="preserve">Adicionais [e a(s) respectiva(s) Série(s) de alocação das Debêntures Adicionais], por meio de aditamento a esta Escritura, que deverá ser arquivado na JUCEPAR, nos termos da Cláusula 2.1.4 acima, sem necessidade de nova aprovação societária pela Emissora, </w:t>
      </w:r>
      <w:r>
        <w:rPr>
          <w:rFonts w:ascii="Verdana" w:hAnsi="Verdana"/>
          <w:i/>
          <w:sz w:val="20"/>
          <w:szCs w:val="20"/>
        </w:rPr>
        <w:t xml:space="preserve">nos termos da RCA da Emissão, ou de realização de Assembleia Geral de Debenturistas. O resultado do Procedimento de </w:t>
      </w:r>
      <w:proofErr w:type="spellStart"/>
      <w:r>
        <w:rPr>
          <w:rFonts w:ascii="Verdana" w:hAnsi="Verdana"/>
          <w:i/>
          <w:sz w:val="20"/>
          <w:szCs w:val="20"/>
        </w:rPr>
        <w:t>Bookbuilding</w:t>
      </w:r>
      <w:proofErr w:type="spellEnd"/>
      <w:r>
        <w:rPr>
          <w:rFonts w:ascii="Verdana" w:hAnsi="Verdana"/>
          <w:i/>
          <w:sz w:val="20"/>
          <w:szCs w:val="20"/>
        </w:rPr>
        <w:t xml:space="preserve"> será divulgado por meio do Anúncio de Início, nos termos do artigo 23, parágrafo 2º, da Instrução CVM 400.”</w:t>
      </w:r>
    </w:p>
    <w:p w:rsidR="00F918AF" w:rsidRDefault="00510693">
      <w:pPr>
        <w:spacing w:after="0" w:line="300" w:lineRule="exact"/>
        <w:ind w:left="709" w:hanging="709"/>
        <w:jc w:val="both"/>
        <w:rPr>
          <w:rFonts w:ascii="Verdana" w:hAnsi="Verdana"/>
          <w:i/>
          <w:sz w:val="20"/>
          <w:szCs w:val="20"/>
        </w:rPr>
      </w:pPr>
      <w:r>
        <w:rPr>
          <w:rFonts w:ascii="Verdana" w:hAnsi="Verdana"/>
          <w:i/>
          <w:sz w:val="20"/>
          <w:szCs w:val="20"/>
        </w:rPr>
        <w:t xml:space="preserve"> </w:t>
      </w:r>
    </w:p>
    <w:p w:rsidR="00F918AF" w:rsidRDefault="00510693">
      <w:pPr>
        <w:pStyle w:val="ListParagraph"/>
        <w:tabs>
          <w:tab w:val="left" w:pos="709"/>
        </w:tabs>
        <w:spacing w:line="300" w:lineRule="exact"/>
        <w:ind w:left="709"/>
        <w:jc w:val="both"/>
        <w:rPr>
          <w:rFonts w:ascii="Verdana" w:hAnsi="Verdana"/>
          <w:i/>
          <w:sz w:val="20"/>
          <w:szCs w:val="20"/>
        </w:rPr>
      </w:pPr>
      <w:r>
        <w:rPr>
          <w:rFonts w:ascii="Verdana" w:hAnsi="Verdana"/>
          <w:sz w:val="20"/>
          <w:szCs w:val="20"/>
        </w:rPr>
        <w:t>“</w:t>
      </w:r>
      <w:r>
        <w:rPr>
          <w:rFonts w:ascii="Verdana" w:hAnsi="Verdana"/>
          <w:i/>
          <w:sz w:val="20"/>
          <w:szCs w:val="20"/>
        </w:rPr>
        <w:t>3.8.4 Nos termos</w:t>
      </w:r>
      <w:r>
        <w:rPr>
          <w:rFonts w:ascii="Verdana" w:hAnsi="Verdana"/>
          <w:i/>
          <w:sz w:val="20"/>
          <w:szCs w:val="20"/>
        </w:rPr>
        <w:t xml:space="preserve"> do artigo 55 da Instrução CVM 400, [não] foi aceita a participação de Investidores da Oferta que fossem Pessoas Vinculadas na Oferta. Tendo em vista que [foi / não foi], verificado excesso de demanda superior em 1/3 (um terço) à quantidade de Debêntures i</w:t>
      </w:r>
      <w:r>
        <w:rPr>
          <w:rFonts w:ascii="Verdana" w:hAnsi="Verdana"/>
          <w:i/>
          <w:sz w:val="20"/>
          <w:szCs w:val="20"/>
        </w:rPr>
        <w:t xml:space="preserve">nicialmente ofertada (sem considerar as Debêntures Adicionais), [não foi/foi] permitida </w:t>
      </w:r>
      <w:proofErr w:type="gramStart"/>
      <w:r>
        <w:rPr>
          <w:rFonts w:ascii="Verdana" w:hAnsi="Verdana"/>
          <w:i/>
          <w:sz w:val="20"/>
          <w:szCs w:val="20"/>
        </w:rPr>
        <w:t>a</w:t>
      </w:r>
      <w:proofErr w:type="gramEnd"/>
      <w:r>
        <w:rPr>
          <w:rFonts w:ascii="Verdana" w:hAnsi="Verdana"/>
          <w:i/>
          <w:sz w:val="20"/>
          <w:szCs w:val="20"/>
        </w:rPr>
        <w:t xml:space="preserve"> colocação de Debêntures junto aos Investidores da Oferta que sejam Pessoas Vinculadas, [tendo suas ordens de investimento ou Pedidos de Reserva sido, conforme o </w:t>
      </w:r>
      <w:r>
        <w:rPr>
          <w:rFonts w:ascii="Verdana" w:hAnsi="Verdana"/>
          <w:i/>
          <w:sz w:val="20"/>
          <w:szCs w:val="20"/>
        </w:rPr>
        <w:lastRenderedPageBreak/>
        <w:t>caso,</w:t>
      </w:r>
      <w:r>
        <w:rPr>
          <w:rFonts w:ascii="Verdana" w:hAnsi="Verdana"/>
          <w:i/>
          <w:sz w:val="20"/>
          <w:szCs w:val="20"/>
        </w:rPr>
        <w:t xml:space="preserve"> automaticamente cancelados, observado o disposto na Cláusula [3.8.3.2 / 3.8.4.2 abaixo].”</w:t>
      </w:r>
    </w:p>
    <w:p w:rsidR="00F918AF" w:rsidRDefault="00F918AF">
      <w:pPr>
        <w:pStyle w:val="ListParagraph"/>
        <w:tabs>
          <w:tab w:val="left" w:pos="709"/>
        </w:tabs>
        <w:spacing w:line="300" w:lineRule="exact"/>
        <w:ind w:left="709"/>
        <w:jc w:val="both"/>
        <w:rPr>
          <w:rFonts w:ascii="Verdana" w:hAnsi="Verdana"/>
          <w:i/>
          <w:sz w:val="20"/>
          <w:szCs w:val="20"/>
        </w:rPr>
      </w:pPr>
    </w:p>
    <w:p w:rsidR="00F918AF" w:rsidRDefault="00510693">
      <w:pPr>
        <w:pStyle w:val="ListParagraph"/>
        <w:tabs>
          <w:tab w:val="left" w:pos="709"/>
        </w:tabs>
        <w:spacing w:line="300" w:lineRule="exact"/>
        <w:ind w:left="709"/>
        <w:jc w:val="both"/>
        <w:rPr>
          <w:rFonts w:ascii="Verdana" w:hAnsi="Verdana"/>
          <w:i/>
          <w:sz w:val="20"/>
          <w:szCs w:val="20"/>
        </w:rPr>
      </w:pPr>
      <w:r>
        <w:rPr>
          <w:rFonts w:ascii="Verdana" w:hAnsi="Verdana"/>
          <w:i/>
          <w:sz w:val="20"/>
          <w:szCs w:val="20"/>
        </w:rPr>
        <w:t>[…]</w:t>
      </w:r>
    </w:p>
    <w:p w:rsidR="00F918AF" w:rsidRDefault="00F918AF">
      <w:pPr>
        <w:pStyle w:val="ListParagraph"/>
        <w:tabs>
          <w:tab w:val="left" w:pos="709"/>
        </w:tabs>
        <w:spacing w:line="300" w:lineRule="exact"/>
        <w:ind w:left="709"/>
        <w:jc w:val="both"/>
        <w:rPr>
          <w:rFonts w:ascii="Verdana" w:hAnsi="Verdana"/>
          <w:i/>
          <w:sz w:val="20"/>
          <w:szCs w:val="20"/>
        </w:rPr>
      </w:pPr>
    </w:p>
    <w:p w:rsidR="00F918AF" w:rsidRDefault="00510693">
      <w:pPr>
        <w:pStyle w:val="ListParagraph"/>
        <w:spacing w:line="300" w:lineRule="exact"/>
        <w:ind w:left="720"/>
        <w:jc w:val="both"/>
        <w:rPr>
          <w:rFonts w:ascii="Verdana" w:hAnsi="Verdana"/>
          <w:sz w:val="20"/>
          <w:szCs w:val="20"/>
        </w:rPr>
      </w:pPr>
      <w:r>
        <w:rPr>
          <w:rFonts w:ascii="Verdana" w:hAnsi="Verdana"/>
          <w:i/>
          <w:sz w:val="20"/>
          <w:szCs w:val="20"/>
        </w:rPr>
        <w:t xml:space="preserve">3.8.4.3 </w:t>
      </w:r>
      <w:r>
        <w:rPr>
          <w:rFonts w:ascii="Verdana" w:hAnsi="Verdana" w:cs="Garamond,Italic"/>
          <w:i/>
          <w:iCs/>
          <w:sz w:val="20"/>
          <w:szCs w:val="20"/>
        </w:rPr>
        <w:t xml:space="preserve">As intenções de investimento do Formador de Mercado foram alocadas na taxa de juros apurada no Procedimento de </w:t>
      </w:r>
      <w:proofErr w:type="spellStart"/>
      <w:r>
        <w:rPr>
          <w:rFonts w:ascii="Verdana" w:hAnsi="Verdana" w:cs="Garamond,Italic"/>
          <w:iCs/>
          <w:sz w:val="20"/>
          <w:szCs w:val="20"/>
        </w:rPr>
        <w:t>Bookbuilding</w:t>
      </w:r>
      <w:proofErr w:type="spellEnd"/>
      <w:r>
        <w:rPr>
          <w:rFonts w:ascii="Verdana" w:hAnsi="Verdana" w:cs="Garamond,Italic"/>
          <w:i/>
          <w:iCs/>
          <w:sz w:val="20"/>
          <w:szCs w:val="20"/>
        </w:rPr>
        <w:t>, não tendo ocorrido, portan</w:t>
      </w:r>
      <w:r>
        <w:rPr>
          <w:rFonts w:ascii="Verdana" w:hAnsi="Verdana" w:cs="Garamond,Italic"/>
          <w:i/>
          <w:iCs/>
          <w:sz w:val="20"/>
          <w:szCs w:val="20"/>
        </w:rPr>
        <w:t xml:space="preserve">to, qualquer influência por parte do Formador de Mercado na definição dos Juros Remuneratórios das Debêntures durante o Procedimento </w:t>
      </w:r>
      <w:r>
        <w:rPr>
          <w:rFonts w:ascii="Verdana" w:eastAsiaTheme="minorHAnsi" w:hAnsi="Verdana" w:cs="Garamond,Italic"/>
          <w:i/>
          <w:iCs/>
          <w:sz w:val="20"/>
          <w:szCs w:val="20"/>
          <w:lang w:eastAsia="en-US"/>
        </w:rPr>
        <w:t xml:space="preserve">de </w:t>
      </w:r>
      <w:proofErr w:type="spellStart"/>
      <w:r>
        <w:rPr>
          <w:rFonts w:ascii="Verdana" w:eastAsiaTheme="minorHAnsi" w:hAnsi="Verdana" w:cs="Garamond,Italic"/>
          <w:i/>
          <w:iCs/>
          <w:sz w:val="20"/>
          <w:szCs w:val="20"/>
          <w:lang w:eastAsia="en-US"/>
        </w:rPr>
        <w:t>Bookbuilding</w:t>
      </w:r>
      <w:proofErr w:type="spellEnd"/>
      <w:r>
        <w:rPr>
          <w:rFonts w:ascii="Verdana" w:eastAsiaTheme="minorHAnsi" w:hAnsi="Verdana" w:cs="Garamond,Italic"/>
          <w:i/>
          <w:iCs/>
          <w:sz w:val="20"/>
          <w:szCs w:val="20"/>
          <w:lang w:eastAsia="en-US"/>
        </w:rPr>
        <w:t>.</w:t>
      </w:r>
      <w:proofErr w:type="gramStart"/>
      <w:r>
        <w:rPr>
          <w:rFonts w:ascii="Verdana" w:eastAsiaTheme="minorHAnsi" w:hAnsi="Verdana" w:cs="Garamond,Italic"/>
          <w:i/>
          <w:iCs/>
          <w:sz w:val="20"/>
          <w:szCs w:val="20"/>
          <w:lang w:eastAsia="en-US"/>
        </w:rPr>
        <w:t>”</w:t>
      </w:r>
      <w:proofErr w:type="gramEnd"/>
    </w:p>
    <w:p w:rsidR="00F918AF" w:rsidRDefault="00F918AF">
      <w:pPr>
        <w:pStyle w:val="ListParagraph"/>
        <w:spacing w:line="300" w:lineRule="exact"/>
        <w:ind w:left="720"/>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 xml:space="preserve">As Partes resolvem alterar a Cláusula 3.9 da Escritura, que passa a vigorar com a seguinte redação: </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w:t>
      </w:r>
      <w:r>
        <w:rPr>
          <w:rFonts w:ascii="Verdana" w:hAnsi="Verdana"/>
          <w:i/>
          <w:sz w:val="20"/>
          <w:szCs w:val="20"/>
        </w:rPr>
        <w:t xml:space="preserve">.9. </w:t>
      </w:r>
      <w:r>
        <w:rPr>
          <w:rFonts w:ascii="Verdana" w:hAnsi="Verdana"/>
          <w:i/>
          <w:sz w:val="20"/>
          <w:szCs w:val="20"/>
          <w:u w:val="single"/>
        </w:rPr>
        <w:t>Aumento da Oferta</w:t>
      </w:r>
      <w:r>
        <w:rPr>
          <w:rFonts w:ascii="Verdana" w:hAnsi="Verdana"/>
          <w:i/>
          <w:sz w:val="20"/>
          <w:szCs w:val="20"/>
        </w:rPr>
        <w:t xml:space="preserve">. Nos termos do parágrafo 2º do artigo 14 da Instrução CVM 400, a quantidade de Debêntures inicialmente ofertada [poderia ter sido, mas não foi] {ou} ser [foi] aumentada em [20% (vinte por cento)], ou seja, em [200.000 (duzentas mil)] </w:t>
      </w:r>
      <w:r>
        <w:rPr>
          <w:rFonts w:ascii="Verdana" w:hAnsi="Verdana"/>
          <w:i/>
          <w:sz w:val="20"/>
          <w:szCs w:val="20"/>
        </w:rPr>
        <w:t>Debêntures adicionais, nas mesmas condições das Debêntures inicialmente ofertadas (</w:t>
      </w:r>
      <w:proofErr w:type="gramStart"/>
      <w:r>
        <w:rPr>
          <w:rFonts w:ascii="Verdana" w:hAnsi="Verdana"/>
          <w:i/>
          <w:sz w:val="20"/>
          <w:szCs w:val="20"/>
        </w:rPr>
        <w:t>“</w:t>
      </w:r>
      <w:r>
        <w:rPr>
          <w:rFonts w:ascii="Verdana" w:hAnsi="Verdana"/>
          <w:i/>
          <w:sz w:val="20"/>
          <w:szCs w:val="20"/>
          <w:u w:val="single"/>
        </w:rPr>
        <w:t>Debêntures</w:t>
      </w:r>
      <w:proofErr w:type="gramEnd"/>
      <w:r>
        <w:rPr>
          <w:rFonts w:ascii="Verdana" w:hAnsi="Verdana"/>
          <w:i/>
          <w:sz w:val="20"/>
          <w:szCs w:val="20"/>
          <w:u w:val="single"/>
        </w:rPr>
        <w:t xml:space="preserve"> Adicionais</w:t>
      </w:r>
      <w:r>
        <w:rPr>
          <w:rFonts w:ascii="Verdana" w:hAnsi="Verdana"/>
          <w:i/>
          <w:sz w:val="20"/>
          <w:szCs w:val="20"/>
        </w:rPr>
        <w:t xml:space="preserve">”), sem a necessidade de novo pedido de registro à CVM, podendo ser emitidas pela Emissora até a data de conclusão do Procedimento de </w:t>
      </w:r>
      <w:proofErr w:type="spellStart"/>
      <w:r>
        <w:rPr>
          <w:rFonts w:ascii="Verdana" w:hAnsi="Verdana"/>
          <w:i/>
          <w:sz w:val="20"/>
          <w:szCs w:val="20"/>
        </w:rPr>
        <w:t>Bookbuilding</w:t>
      </w:r>
      <w:proofErr w:type="spellEnd"/>
      <w:r>
        <w:rPr>
          <w:rFonts w:ascii="Verdana" w:hAnsi="Verdana"/>
          <w:i/>
          <w:sz w:val="20"/>
          <w:szCs w:val="20"/>
        </w:rPr>
        <w:t xml:space="preserve">. </w:t>
      </w:r>
      <w:r>
        <w:rPr>
          <w:rFonts w:ascii="Verdana" w:hAnsi="Verdana"/>
          <w:bCs/>
          <w:i/>
          <w:sz w:val="20"/>
          <w:szCs w:val="20"/>
        </w:rPr>
        <w:t>A c</w:t>
      </w:r>
      <w:r>
        <w:rPr>
          <w:rFonts w:ascii="Verdana" w:hAnsi="Verdana"/>
          <w:bCs/>
          <w:i/>
          <w:sz w:val="20"/>
          <w:szCs w:val="20"/>
        </w:rPr>
        <w:t xml:space="preserve">ritério dos Coordenadores e da Emissora, conforme verificado pelo Procedimento de </w:t>
      </w:r>
      <w:proofErr w:type="spellStart"/>
      <w:r>
        <w:rPr>
          <w:rFonts w:ascii="Verdana" w:hAnsi="Verdana"/>
          <w:bCs/>
          <w:i/>
          <w:sz w:val="20"/>
          <w:szCs w:val="20"/>
        </w:rPr>
        <w:t>Bookbuilding</w:t>
      </w:r>
      <w:proofErr w:type="spellEnd"/>
      <w:r>
        <w:rPr>
          <w:rFonts w:ascii="Verdana" w:hAnsi="Verdana"/>
          <w:bCs/>
          <w:i/>
          <w:sz w:val="20"/>
          <w:szCs w:val="20"/>
        </w:rPr>
        <w:t xml:space="preserve">, as Debêntures Adicionais [poderiam ter sido, mas não foram] {ou} [foram] alocadas [em nenhuma das Séries das Debêntures] {ou} [junto às Debêntures da [Primeira </w:t>
      </w:r>
      <w:r>
        <w:rPr>
          <w:rFonts w:ascii="Verdana" w:hAnsi="Verdana"/>
          <w:bCs/>
          <w:i/>
          <w:sz w:val="20"/>
          <w:szCs w:val="20"/>
        </w:rPr>
        <w:t>Série] {ou} [Segunda Série] [, sendo: (a) [[●] ([●]) Debêntures da Primeira Série;] e (b)[ [●] ([●]) Debêntures da Segunda Séries.</w:t>
      </w:r>
      <w:r>
        <w:rPr>
          <w:rFonts w:ascii="Verdana" w:hAnsi="Verdana"/>
          <w:i/>
          <w:sz w:val="20"/>
          <w:szCs w:val="20"/>
        </w:rPr>
        <w:t xml:space="preserve"> [As Debêntures Adicionais eventualmente emitidas passarão a integrar o conceito de “</w:t>
      </w:r>
      <w:r>
        <w:rPr>
          <w:rFonts w:ascii="Verdana" w:hAnsi="Verdana"/>
          <w:i/>
          <w:sz w:val="20"/>
          <w:szCs w:val="20"/>
          <w:u w:val="single"/>
        </w:rPr>
        <w:t>Debêntures</w:t>
      </w:r>
      <w:r>
        <w:rPr>
          <w:rFonts w:ascii="Verdana" w:hAnsi="Verdana"/>
          <w:i/>
          <w:sz w:val="20"/>
          <w:szCs w:val="20"/>
        </w:rPr>
        <w:t xml:space="preserve">” e serão colocadas sob regime </w:t>
      </w:r>
      <w:r>
        <w:rPr>
          <w:rFonts w:ascii="Verdana" w:hAnsi="Verdana"/>
          <w:i/>
          <w:sz w:val="20"/>
          <w:szCs w:val="20"/>
        </w:rPr>
        <w:t>de melhores esforços de colocação pelos Coordenadores</w:t>
      </w:r>
      <w:r>
        <w:rPr>
          <w:rFonts w:ascii="Verdana" w:hAnsi="Verdana"/>
          <w:bCs/>
          <w:i/>
          <w:sz w:val="20"/>
          <w:szCs w:val="20"/>
        </w:rPr>
        <w:t>.]</w:t>
      </w:r>
      <w:r>
        <w:rPr>
          <w:rFonts w:ascii="Verdana" w:hAnsi="Verdana"/>
          <w:sz w:val="20"/>
          <w:szCs w:val="20"/>
        </w:rPr>
        <w:t>”</w:t>
      </w:r>
    </w:p>
    <w:p w:rsidR="00F918AF" w:rsidRDefault="00F918AF">
      <w:pPr>
        <w:spacing w:after="0" w:line="300" w:lineRule="exact"/>
        <w:ind w:left="709" w:hanging="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alterar a Cláusula 5.6.2.1, [5.6.2.2] e 5.6.2.5 da Escritura, que passa a vigorar com a seguinte redação:</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5.6.2.1 </w:t>
      </w:r>
      <w:r>
        <w:rPr>
          <w:rFonts w:ascii="Verdana" w:hAnsi="Verdana"/>
          <w:i/>
          <w:sz w:val="20"/>
          <w:szCs w:val="20"/>
          <w:u w:val="single"/>
        </w:rPr>
        <w:t>Juros Remuneratórios das Debêntures [da Primeira Série]</w:t>
      </w:r>
      <w:r>
        <w:rPr>
          <w:rFonts w:ascii="Verdana" w:hAnsi="Verdana"/>
          <w:i/>
          <w:sz w:val="20"/>
          <w:szCs w:val="20"/>
        </w:rPr>
        <w:t xml:space="preserve">. Sobre </w:t>
      </w:r>
      <w:r>
        <w:rPr>
          <w:rFonts w:ascii="Verdana" w:hAnsi="Verdana"/>
          <w:i/>
          <w:sz w:val="20"/>
          <w:szCs w:val="20"/>
        </w:rPr>
        <w:t>o Valor Nominal Atualizado das Debêntures da Primeira Série incidirão juros remuneratórios correspondentes a [●</w:t>
      </w:r>
      <w:proofErr w:type="gramStart"/>
      <w:r>
        <w:rPr>
          <w:rFonts w:ascii="Verdana" w:hAnsi="Verdana"/>
          <w:i/>
          <w:sz w:val="20"/>
          <w:szCs w:val="20"/>
        </w:rPr>
        <w:t>]</w:t>
      </w:r>
      <w:proofErr w:type="gramEnd"/>
      <w:r>
        <w:rPr>
          <w:rFonts w:ascii="Verdana" w:hAnsi="Verdana"/>
          <w:i/>
          <w:sz w:val="20"/>
          <w:szCs w:val="20"/>
        </w:rPr>
        <w:t>% ([●] por cento) ao ano, base 252 (duzentos e cinquenta e dois) Dias Úteis (“</w:t>
      </w:r>
      <w:r>
        <w:rPr>
          <w:rFonts w:ascii="Verdana" w:hAnsi="Verdana"/>
          <w:i/>
          <w:sz w:val="20"/>
          <w:szCs w:val="20"/>
          <w:u w:val="single"/>
        </w:rPr>
        <w:t>Juros Remuneratórios [ da Primeira Série]</w:t>
      </w:r>
      <w:r>
        <w:rPr>
          <w:rFonts w:ascii="Verdana" w:hAnsi="Verdana"/>
          <w:i/>
          <w:sz w:val="20"/>
          <w:szCs w:val="20"/>
        </w:rPr>
        <w:t>”).</w:t>
      </w:r>
      <w:r>
        <w:rPr>
          <w:rFonts w:ascii="Verdana" w:hAnsi="Verdana"/>
          <w:sz w:val="20"/>
          <w:szCs w:val="20"/>
        </w:rPr>
        <w:t>”</w:t>
      </w:r>
    </w:p>
    <w:p w:rsidR="00F918AF" w:rsidRDefault="00F918AF">
      <w:pPr>
        <w:spacing w:after="0" w:line="300" w:lineRule="exact"/>
        <w:ind w:left="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r>
        <w:rPr>
          <w:rFonts w:ascii="Verdana" w:hAnsi="Verdana"/>
          <w:sz w:val="20"/>
          <w:szCs w:val="20"/>
        </w:rPr>
        <w:lastRenderedPageBreak/>
        <w:t>“[</w:t>
      </w:r>
      <w:r>
        <w:rPr>
          <w:rFonts w:ascii="Verdana" w:hAnsi="Verdana"/>
          <w:i/>
          <w:sz w:val="20"/>
          <w:szCs w:val="20"/>
        </w:rPr>
        <w:t xml:space="preserve">5.6.2.2 </w:t>
      </w:r>
      <w:r>
        <w:rPr>
          <w:rFonts w:ascii="Verdana" w:hAnsi="Verdana"/>
          <w:i/>
          <w:sz w:val="20"/>
          <w:szCs w:val="20"/>
          <w:u w:val="single"/>
        </w:rPr>
        <w:t>Juros Rem</w:t>
      </w:r>
      <w:r>
        <w:rPr>
          <w:rFonts w:ascii="Verdana" w:hAnsi="Verdana"/>
          <w:i/>
          <w:sz w:val="20"/>
          <w:szCs w:val="20"/>
          <w:u w:val="single"/>
        </w:rPr>
        <w:t>uneratórios das Debêntures [da Segunda Série]</w:t>
      </w:r>
      <w:r>
        <w:rPr>
          <w:rFonts w:ascii="Verdana" w:hAnsi="Verdana"/>
          <w:i/>
          <w:sz w:val="20"/>
          <w:szCs w:val="20"/>
        </w:rPr>
        <w:t>. Sobre o Valor Nominal Atualizado das Debêntures da Segunda incidirão juros remuneratórios correspondentes a [●</w:t>
      </w:r>
      <w:proofErr w:type="gramStart"/>
      <w:r>
        <w:rPr>
          <w:rFonts w:ascii="Verdana" w:hAnsi="Verdana"/>
          <w:i/>
          <w:sz w:val="20"/>
          <w:szCs w:val="20"/>
        </w:rPr>
        <w:t>]</w:t>
      </w:r>
      <w:proofErr w:type="gramEnd"/>
      <w:r>
        <w:rPr>
          <w:rFonts w:ascii="Verdana" w:hAnsi="Verdana"/>
          <w:i/>
          <w:sz w:val="20"/>
          <w:szCs w:val="20"/>
        </w:rPr>
        <w:t>% ([●] por cento) ao ano, base 252 (duzentos e cinquenta e dois) Dias Úteis (“</w:t>
      </w:r>
      <w:r>
        <w:rPr>
          <w:rFonts w:ascii="Verdana" w:hAnsi="Verdana"/>
          <w:i/>
          <w:sz w:val="20"/>
          <w:szCs w:val="20"/>
          <w:u w:val="single"/>
        </w:rPr>
        <w:t>Juros Remuneratórios</w:t>
      </w:r>
      <w:r>
        <w:rPr>
          <w:rFonts w:ascii="Verdana" w:hAnsi="Verdana"/>
          <w:i/>
          <w:sz w:val="20"/>
          <w:szCs w:val="20"/>
          <w:u w:val="single"/>
        </w:rPr>
        <w:t xml:space="preserve"> da Segunda Série</w:t>
      </w:r>
      <w:r>
        <w:rPr>
          <w:rFonts w:ascii="Verdana" w:hAnsi="Verdana"/>
          <w:i/>
          <w:sz w:val="20"/>
          <w:szCs w:val="20"/>
        </w:rPr>
        <w:t>”).]</w:t>
      </w:r>
      <w:r>
        <w:rPr>
          <w:rFonts w:ascii="Verdana" w:hAnsi="Verdana"/>
          <w:sz w:val="20"/>
          <w:szCs w:val="20"/>
        </w:rPr>
        <w:t>”</w:t>
      </w:r>
    </w:p>
    <w:p w:rsidR="00F918AF" w:rsidRDefault="00F918AF">
      <w:pPr>
        <w:spacing w:after="0" w:line="300" w:lineRule="exact"/>
        <w:ind w:left="709"/>
        <w:jc w:val="both"/>
        <w:rPr>
          <w:rFonts w:ascii="Verdana" w:hAnsi="Verdana"/>
          <w:sz w:val="20"/>
          <w:szCs w:val="20"/>
        </w:rPr>
      </w:pPr>
    </w:p>
    <w:p w:rsidR="00F918AF" w:rsidRDefault="00F918AF">
      <w:pPr>
        <w:spacing w:after="0" w:line="300" w:lineRule="exact"/>
        <w:ind w:left="709"/>
        <w:jc w:val="both"/>
        <w:rPr>
          <w:rFonts w:ascii="Verdana" w:hAnsi="Verdana"/>
          <w:sz w:val="20"/>
          <w:szCs w:val="20"/>
        </w:rPr>
      </w:pPr>
    </w:p>
    <w:p w:rsidR="00F918AF" w:rsidRDefault="00510693">
      <w:pPr>
        <w:spacing w:after="0" w:line="300" w:lineRule="exact"/>
        <w:ind w:left="709"/>
        <w:jc w:val="both"/>
        <w:rPr>
          <w:rFonts w:ascii="Verdana" w:hAnsi="Verdana"/>
          <w:sz w:val="20"/>
          <w:szCs w:val="20"/>
        </w:rPr>
      </w:pPr>
      <w:proofErr w:type="gramStart"/>
      <w:r>
        <w:rPr>
          <w:rFonts w:ascii="Verdana" w:hAnsi="Verdana"/>
          <w:sz w:val="20"/>
          <w:szCs w:val="20"/>
        </w:rPr>
        <w:t xml:space="preserve">“[5.6.2.4 / </w:t>
      </w:r>
      <w:r>
        <w:rPr>
          <w:rFonts w:ascii="Verdana" w:hAnsi="Verdana"/>
          <w:i/>
          <w:sz w:val="20"/>
          <w:szCs w:val="20"/>
        </w:rPr>
        <w:t xml:space="preserve">5.6.2.5.] </w:t>
      </w:r>
      <w:r>
        <w:rPr>
          <w:rFonts w:ascii="Verdana" w:hAnsi="Verdana"/>
          <w:i/>
          <w:snapToGrid w:val="0"/>
          <w:sz w:val="20"/>
          <w:szCs w:val="20"/>
        </w:rPr>
        <w:t xml:space="preserve">Os Juros </w:t>
      </w:r>
      <w:r>
        <w:rPr>
          <w:rFonts w:ascii="Verdana" w:hAnsi="Verdana"/>
          <w:i/>
          <w:sz w:val="20"/>
          <w:szCs w:val="20"/>
        </w:rPr>
        <w:t>Remuneratórios</w:t>
      </w:r>
      <w:r>
        <w:rPr>
          <w:rFonts w:ascii="Verdana" w:hAnsi="Verdana"/>
          <w:i/>
          <w:snapToGrid w:val="0"/>
          <w:sz w:val="20"/>
          <w:szCs w:val="20"/>
        </w:rPr>
        <w:t xml:space="preserve"> serão calculados de acordo com a seguinte fórmula:</w:t>
      </w:r>
      <w:r>
        <w:rPr>
          <w:rFonts w:ascii="Verdana" w:hAnsi="Verdana"/>
          <w:snapToGrid w:val="0"/>
          <w:sz w:val="20"/>
          <w:szCs w:val="20"/>
        </w:rPr>
        <w:t xml:space="preserve"> </w:t>
      </w:r>
    </w:p>
    <w:p w:rsidR="00F918AF" w:rsidRDefault="00F918AF">
      <w:pPr>
        <w:pStyle w:val="ListParagraph"/>
        <w:spacing w:line="300" w:lineRule="exact"/>
        <w:rPr>
          <w:rFonts w:ascii="Verdana" w:hAnsi="Verdana"/>
          <w:sz w:val="20"/>
          <w:szCs w:val="20"/>
        </w:rPr>
      </w:pPr>
      <w:proofErr w:type="gramEnd"/>
    </w:p>
    <w:p w:rsidR="00F918AF" w:rsidRDefault="00510693">
      <w:pPr>
        <w:spacing w:after="0" w:line="300" w:lineRule="exact"/>
        <w:ind w:left="720"/>
        <w:jc w:val="center"/>
        <w:rPr>
          <w:rFonts w:ascii="Verdana" w:hAnsi="Verdana"/>
          <w:i/>
          <w:sz w:val="20"/>
          <w:szCs w:val="20"/>
        </w:rPr>
      </w:pPr>
      <w:r>
        <w:rPr>
          <w:rFonts w:ascii="Verdana" w:hAnsi="Verdana"/>
          <w:i/>
          <w:sz w:val="20"/>
          <w:szCs w:val="20"/>
        </w:rPr>
        <w:t>J = {</w:t>
      </w:r>
      <w:proofErr w:type="spellStart"/>
      <w:proofErr w:type="gramStart"/>
      <w:r>
        <w:rPr>
          <w:rFonts w:ascii="Verdana" w:hAnsi="Verdana"/>
          <w:i/>
          <w:sz w:val="20"/>
          <w:szCs w:val="20"/>
        </w:rPr>
        <w:t>VNa</w:t>
      </w:r>
      <w:proofErr w:type="spellEnd"/>
      <w:proofErr w:type="gramEnd"/>
      <w:r>
        <w:rPr>
          <w:rFonts w:ascii="Verdana" w:hAnsi="Verdana"/>
          <w:i/>
          <w:sz w:val="20"/>
          <w:szCs w:val="20"/>
        </w:rPr>
        <w:t xml:space="preserve"> x [FatorJuros-1]}</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proofErr w:type="gramStart"/>
      <w:r>
        <w:rPr>
          <w:rFonts w:ascii="Verdana" w:hAnsi="Verdana"/>
          <w:i/>
          <w:sz w:val="20"/>
          <w:szCs w:val="20"/>
        </w:rPr>
        <w:t>onde</w:t>
      </w:r>
      <w:proofErr w:type="gramEnd"/>
      <w:r>
        <w:rPr>
          <w:rFonts w:ascii="Verdana" w:hAnsi="Verdana"/>
          <w:i/>
          <w:sz w:val="20"/>
          <w:szCs w:val="20"/>
        </w:rPr>
        <w:t>,</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r>
        <w:rPr>
          <w:rFonts w:ascii="Verdana" w:hAnsi="Verdana"/>
          <w:i/>
          <w:sz w:val="20"/>
          <w:szCs w:val="20"/>
        </w:rPr>
        <w:t xml:space="preserve">J = valor unitário dos Juros Remuneratórios devidos no final de cada Período de Capitalização, </w:t>
      </w:r>
      <w:r>
        <w:rPr>
          <w:rFonts w:ascii="Verdana" w:hAnsi="Verdana"/>
          <w:i/>
          <w:sz w:val="20"/>
          <w:szCs w:val="20"/>
        </w:rPr>
        <w:t>calculado com 8 (oito) casas decimais, sem arredondamento;</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proofErr w:type="spellStart"/>
      <w:proofErr w:type="gramStart"/>
      <w:r>
        <w:rPr>
          <w:rFonts w:ascii="Verdana" w:hAnsi="Verdana"/>
          <w:i/>
          <w:sz w:val="20"/>
          <w:szCs w:val="20"/>
        </w:rPr>
        <w:t>VNa</w:t>
      </w:r>
      <w:proofErr w:type="spellEnd"/>
      <w:proofErr w:type="gramEnd"/>
      <w:r>
        <w:rPr>
          <w:rFonts w:ascii="Verdana" w:hAnsi="Verdana"/>
          <w:i/>
          <w:sz w:val="20"/>
          <w:szCs w:val="20"/>
        </w:rPr>
        <w:t xml:space="preserve"> = Valor Nominal Atualizado, calculado com 8 (oito) casas decimais, sem arredondamento;</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proofErr w:type="spellStart"/>
      <w:proofErr w:type="gramStart"/>
      <w:r>
        <w:rPr>
          <w:rFonts w:ascii="Verdana" w:hAnsi="Verdana"/>
          <w:i/>
          <w:sz w:val="20"/>
          <w:szCs w:val="20"/>
        </w:rPr>
        <w:t>FatorJuros</w:t>
      </w:r>
      <w:proofErr w:type="spellEnd"/>
      <w:proofErr w:type="gramEnd"/>
      <w:r>
        <w:rPr>
          <w:rFonts w:ascii="Verdana" w:hAnsi="Verdana"/>
          <w:i/>
          <w:sz w:val="20"/>
          <w:szCs w:val="20"/>
        </w:rPr>
        <w:t xml:space="preserve"> = fator de juros fixos, calculado com 9 (nove) casas decimais, com arredondamento, de acordo </w:t>
      </w:r>
      <w:r>
        <w:rPr>
          <w:rFonts w:ascii="Verdana" w:hAnsi="Verdana"/>
          <w:i/>
          <w:sz w:val="20"/>
          <w:szCs w:val="20"/>
        </w:rPr>
        <w:t>com a seguinte fórmula:</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r>
        <w:rPr>
          <w:rFonts w:ascii="Verdana" w:hAnsi="Verdana" w:cs="Arial"/>
          <w:noProof/>
          <w:sz w:val="20"/>
          <w:szCs w:val="20"/>
          <w:lang w:eastAsia="pt-BR"/>
        </w:rPr>
        <w:drawing>
          <wp:anchor distT="0" distB="0" distL="114300" distR="114300" simplePos="0" relativeHeight="251659264"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F918AF" w:rsidRDefault="00F918AF">
      <w:pPr>
        <w:spacing w:after="0" w:line="300" w:lineRule="exact"/>
        <w:ind w:left="720"/>
        <w:jc w:val="both"/>
        <w:rPr>
          <w:rFonts w:ascii="Verdana" w:hAnsi="Verdana"/>
          <w:i/>
          <w:sz w:val="20"/>
          <w:szCs w:val="20"/>
        </w:rPr>
      </w:pP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proofErr w:type="gramStart"/>
      <w:r>
        <w:rPr>
          <w:rFonts w:ascii="Verdana" w:hAnsi="Verdana"/>
          <w:i/>
          <w:sz w:val="20"/>
          <w:szCs w:val="20"/>
        </w:rPr>
        <w:t>onde</w:t>
      </w:r>
      <w:proofErr w:type="gramEnd"/>
      <w:r>
        <w:rPr>
          <w:rFonts w:ascii="Verdana" w:hAnsi="Verdana"/>
          <w:i/>
          <w:sz w:val="20"/>
          <w:szCs w:val="20"/>
        </w:rPr>
        <w:t>,</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r>
        <w:rPr>
          <w:rFonts w:ascii="Verdana" w:hAnsi="Verdana"/>
          <w:i/>
          <w:sz w:val="20"/>
          <w:szCs w:val="20"/>
        </w:rPr>
        <w:t>Taxa = [--] ([--]);</w:t>
      </w:r>
    </w:p>
    <w:p w:rsidR="00F918AF" w:rsidRDefault="00F918AF">
      <w:pPr>
        <w:spacing w:after="0" w:line="300" w:lineRule="exact"/>
        <w:ind w:left="720"/>
        <w:jc w:val="both"/>
        <w:rPr>
          <w:rFonts w:ascii="Verdana" w:hAnsi="Verdana"/>
          <w:i/>
          <w:sz w:val="20"/>
          <w:szCs w:val="20"/>
        </w:rPr>
      </w:pPr>
    </w:p>
    <w:p w:rsidR="00F918AF" w:rsidRDefault="00510693">
      <w:pPr>
        <w:spacing w:after="0" w:line="300" w:lineRule="exact"/>
        <w:ind w:left="720"/>
        <w:jc w:val="both"/>
        <w:rPr>
          <w:rFonts w:ascii="Verdana" w:hAnsi="Verdana"/>
          <w:i/>
          <w:sz w:val="20"/>
          <w:szCs w:val="20"/>
        </w:rPr>
      </w:pPr>
      <w:r>
        <w:rPr>
          <w:rFonts w:ascii="Verdana" w:hAnsi="Verdana"/>
          <w:i/>
          <w:sz w:val="20"/>
          <w:szCs w:val="20"/>
        </w:rPr>
        <w:t xml:space="preserve">DP = número de Dias Úteis entre a Primeira Data de Integralização (ou a Data de Pagamento de Juros </w:t>
      </w:r>
      <w:proofErr w:type="gramStart"/>
      <w:r>
        <w:rPr>
          <w:rFonts w:ascii="Verdana" w:hAnsi="Verdana"/>
          <w:i/>
          <w:sz w:val="20"/>
          <w:szCs w:val="20"/>
        </w:rPr>
        <w:t>Remuneratórios imediatamente anterior</w:t>
      </w:r>
      <w:proofErr w:type="gramEnd"/>
      <w:r>
        <w:rPr>
          <w:rFonts w:ascii="Verdana" w:hAnsi="Verdana"/>
          <w:i/>
          <w:sz w:val="20"/>
          <w:szCs w:val="20"/>
        </w:rPr>
        <w:t>, conforme o caso), e a data de cálculo, sendo “DP” um número i</w:t>
      </w:r>
      <w:r>
        <w:rPr>
          <w:rFonts w:ascii="Verdana" w:hAnsi="Verdana"/>
          <w:i/>
          <w:sz w:val="20"/>
          <w:szCs w:val="20"/>
        </w:rPr>
        <w:t>nteiro”</w:t>
      </w:r>
    </w:p>
    <w:p w:rsidR="00F918AF" w:rsidRDefault="00F918AF">
      <w:pPr>
        <w:spacing w:after="0" w:line="300" w:lineRule="exact"/>
        <w:ind w:left="709"/>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As Partes resolvem excluir as Cláusulas [3.8.1], 3.9.1, [4.1.4] e 5.6.2.2 e 5.6.2.3 da Escritura.</w:t>
      </w:r>
    </w:p>
    <w:p w:rsidR="00F918AF" w:rsidRDefault="00F918AF">
      <w:pPr>
        <w:pStyle w:val="ListParagraph"/>
        <w:spacing w:line="300" w:lineRule="exact"/>
        <w:ind w:left="720"/>
        <w:jc w:val="both"/>
        <w:rPr>
          <w:rFonts w:ascii="Verdana" w:hAnsi="Verdana"/>
          <w:sz w:val="20"/>
          <w:szCs w:val="20"/>
        </w:rPr>
      </w:pPr>
    </w:p>
    <w:p w:rsidR="00F918AF" w:rsidRDefault="00510693">
      <w:pPr>
        <w:pStyle w:val="ListParagraph"/>
        <w:numPr>
          <w:ilvl w:val="1"/>
          <w:numId w:val="75"/>
        </w:numPr>
        <w:spacing w:line="300" w:lineRule="exact"/>
        <w:jc w:val="both"/>
        <w:rPr>
          <w:rFonts w:ascii="Verdana" w:hAnsi="Verdana"/>
          <w:sz w:val="20"/>
          <w:szCs w:val="20"/>
        </w:rPr>
      </w:pPr>
      <w:r>
        <w:rPr>
          <w:rFonts w:ascii="Verdana" w:hAnsi="Verdana"/>
          <w:sz w:val="20"/>
          <w:szCs w:val="20"/>
        </w:rPr>
        <w:t xml:space="preserve">As Partes resolvem incluir na Escritura de Emissão </w:t>
      </w:r>
      <w:r>
        <w:rPr>
          <w:rFonts w:ascii="Verdana" w:hAnsi="Verdana"/>
          <w:color w:val="000000"/>
          <w:sz w:val="20"/>
          <w:szCs w:val="20"/>
        </w:rPr>
        <w:t xml:space="preserve">o Selo ANBIMA – Categoria Agente Fiduciário, conforme apresentado na capa do presente Primeiro </w:t>
      </w:r>
      <w:r>
        <w:rPr>
          <w:rFonts w:ascii="Verdana" w:hAnsi="Verdana"/>
          <w:color w:val="000000"/>
          <w:sz w:val="20"/>
          <w:szCs w:val="20"/>
        </w:rPr>
        <w:lastRenderedPageBreak/>
        <w:t>Ad</w:t>
      </w:r>
      <w:r>
        <w:rPr>
          <w:rFonts w:ascii="Verdana" w:hAnsi="Verdana"/>
          <w:color w:val="000000"/>
          <w:sz w:val="20"/>
          <w:szCs w:val="20"/>
        </w:rPr>
        <w:t xml:space="preserve">itamento, nos termos do Art. 11 das </w:t>
      </w:r>
      <w:proofErr w:type="gramStart"/>
      <w:r>
        <w:rPr>
          <w:rFonts w:ascii="Verdana" w:hAnsi="Verdana"/>
          <w:color w:val="000000"/>
          <w:sz w:val="20"/>
          <w:szCs w:val="20"/>
        </w:rPr>
        <w:t>“Regras de Procedimentos para o Uso dos Selos ANBIMA.</w:t>
      </w:r>
      <w:proofErr w:type="gramEnd"/>
      <w:ins w:id="97" w:author="user" w:date="2019-10-21T20:46:00Z">
        <w:r>
          <w:rPr>
            <w:rFonts w:ascii="Verdana" w:hAnsi="Verdana"/>
            <w:color w:val="000000"/>
            <w:sz w:val="20"/>
            <w:szCs w:val="20"/>
          </w:rPr>
          <w:t xml:space="preserve"> [Nota IBBA: vide comentário acima]</w:t>
        </w:r>
      </w:ins>
      <w:bookmarkStart w:id="98" w:name="_GoBack"/>
      <w:bookmarkEnd w:id="98"/>
    </w:p>
    <w:p w:rsidR="00F918AF" w:rsidRDefault="00F918AF">
      <w:pPr>
        <w:spacing w:after="0" w:line="300" w:lineRule="exact"/>
        <w:ind w:left="709" w:hanging="709"/>
        <w:jc w:val="both"/>
        <w:rPr>
          <w:rFonts w:ascii="Verdana" w:hAnsi="Verdana"/>
          <w:sz w:val="20"/>
          <w:szCs w:val="20"/>
        </w:rPr>
      </w:pPr>
    </w:p>
    <w:p w:rsidR="00F918AF" w:rsidRDefault="00510693">
      <w:pPr>
        <w:pStyle w:val="ListParagraph"/>
        <w:keepNext/>
        <w:keepLines/>
        <w:numPr>
          <w:ilvl w:val="0"/>
          <w:numId w:val="75"/>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Disposições Gerais</w:t>
      </w:r>
    </w:p>
    <w:p w:rsidR="00F918AF" w:rsidRDefault="00F918AF">
      <w:pPr>
        <w:keepNext/>
        <w:keepLines/>
        <w:spacing w:after="0" w:line="300" w:lineRule="exact"/>
        <w:ind w:left="709"/>
        <w:jc w:val="both"/>
        <w:rPr>
          <w:rFonts w:ascii="Verdana" w:hAnsi="Verdana"/>
          <w:smallCaps/>
          <w:sz w:val="20"/>
          <w:szCs w:val="20"/>
          <w:u w:val="single"/>
        </w:rPr>
      </w:pPr>
    </w:p>
    <w:p w:rsidR="00F918AF" w:rsidRDefault="00510693">
      <w:pPr>
        <w:spacing w:after="0" w:line="300" w:lineRule="exact"/>
        <w:ind w:left="709" w:hanging="709"/>
        <w:jc w:val="both"/>
        <w:rPr>
          <w:rFonts w:ascii="Verdana" w:eastAsia="Times New Roman" w:hAnsi="Verdana" w:cs="Times New Roman"/>
          <w:snapToGrid w:val="0"/>
          <w:sz w:val="20"/>
          <w:szCs w:val="20"/>
          <w:lang w:eastAsia="pt-BR"/>
        </w:rPr>
      </w:pPr>
      <w:bookmarkStart w:id="99" w:name="_DV_M429"/>
      <w:bookmarkEnd w:id="99"/>
      <w:r>
        <w:rPr>
          <w:rFonts w:ascii="Verdana" w:hAnsi="Verdana"/>
          <w:sz w:val="20"/>
          <w:szCs w:val="20"/>
        </w:rPr>
        <w:t>2.1</w:t>
      </w:r>
      <w:r>
        <w:rPr>
          <w:rFonts w:ascii="Verdana" w:hAnsi="Verdana"/>
          <w:sz w:val="20"/>
          <w:szCs w:val="20"/>
        </w:rPr>
        <w:tab/>
      </w:r>
      <w:r>
        <w:rPr>
          <w:rFonts w:ascii="Verdana" w:eastAsia="Times New Roman" w:hAnsi="Verdana" w:cs="Times New Roman"/>
          <w:snapToGrid w:val="0"/>
          <w:sz w:val="20"/>
          <w:szCs w:val="20"/>
          <w:lang w:eastAsia="pt-BR"/>
        </w:rPr>
        <w:t xml:space="preserve">Todos os termos e condições da Escritura que não tenham sido expressamente alterados pelo presente Primeiro Aditamento são neste ato </w:t>
      </w:r>
      <w:r>
        <w:rPr>
          <w:rFonts w:ascii="Verdana" w:eastAsia="Times New Roman" w:hAnsi="Verdana" w:cs="Times New Roman"/>
          <w:snapToGrid w:val="0"/>
          <w:sz w:val="20"/>
          <w:szCs w:val="20"/>
          <w:lang w:eastAsia="pt-BR"/>
        </w:rPr>
        <w:t xml:space="preserve">ratificados e permanecem em </w:t>
      </w:r>
      <w:proofErr w:type="gramStart"/>
      <w:r>
        <w:rPr>
          <w:rFonts w:ascii="Verdana" w:eastAsia="Times New Roman" w:hAnsi="Verdana" w:cs="Times New Roman"/>
          <w:snapToGrid w:val="0"/>
          <w:sz w:val="20"/>
          <w:szCs w:val="20"/>
          <w:lang w:eastAsia="pt-BR"/>
        </w:rPr>
        <w:t>pleno vigor</w:t>
      </w:r>
      <w:proofErr w:type="gramEnd"/>
      <w:r>
        <w:rPr>
          <w:rFonts w:ascii="Verdana" w:eastAsia="Times New Roman" w:hAnsi="Verdana" w:cs="Times New Roman"/>
          <w:snapToGrid w:val="0"/>
          <w:sz w:val="20"/>
          <w:szCs w:val="20"/>
          <w:lang w:eastAsia="pt-BR"/>
        </w:rPr>
        <w:t xml:space="preserve"> e efeito.</w:t>
      </w:r>
    </w:p>
    <w:p w:rsidR="00F918AF" w:rsidRDefault="00F918AF">
      <w:pPr>
        <w:spacing w:after="0" w:line="300" w:lineRule="exact"/>
        <w:ind w:left="709" w:hanging="709"/>
        <w:jc w:val="both"/>
        <w:rPr>
          <w:rFonts w:ascii="Verdana" w:eastAsia="Times New Roman" w:hAnsi="Verdana" w:cs="Times New Roman"/>
          <w:snapToGrid w:val="0"/>
          <w:sz w:val="20"/>
          <w:szCs w:val="20"/>
          <w:lang w:eastAsia="pt-BR"/>
        </w:rPr>
      </w:pPr>
    </w:p>
    <w:p w:rsidR="00F918AF" w:rsidRDefault="00510693">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2.2.</w:t>
      </w:r>
      <w:r>
        <w:rPr>
          <w:rFonts w:ascii="Verdana" w:eastAsia="Times New Roman" w:hAnsi="Verdana" w:cs="Times New Roman"/>
          <w:snapToGrid w:val="0"/>
          <w:sz w:val="20"/>
          <w:szCs w:val="20"/>
          <w:lang w:eastAsia="pt-BR"/>
        </w:rPr>
        <w:tab/>
        <w:t xml:space="preserve">O Agente Fiduciário declara e garante, neste ato, que todas as declarações e garantias previstas na Cláusula 9.2 da Escritura permanecem verdadeiras, corretas e plenamente válidas e eficazes na data </w:t>
      </w:r>
      <w:r>
        <w:rPr>
          <w:rFonts w:ascii="Verdana" w:eastAsia="Times New Roman" w:hAnsi="Verdana" w:cs="Times New Roman"/>
          <w:snapToGrid w:val="0"/>
          <w:sz w:val="20"/>
          <w:szCs w:val="20"/>
          <w:lang w:eastAsia="pt-BR"/>
        </w:rPr>
        <w:t>de assinatura deste Primeiro Aditamento.</w:t>
      </w:r>
    </w:p>
    <w:p w:rsidR="00F918AF" w:rsidRDefault="00F918AF">
      <w:pPr>
        <w:spacing w:after="0" w:line="300" w:lineRule="exact"/>
        <w:ind w:left="709" w:hanging="709"/>
        <w:jc w:val="both"/>
        <w:rPr>
          <w:rFonts w:ascii="Verdana" w:eastAsia="Times New Roman" w:hAnsi="Verdana" w:cs="Times New Roman"/>
          <w:snapToGrid w:val="0"/>
          <w:sz w:val="20"/>
          <w:szCs w:val="20"/>
          <w:lang w:eastAsia="pt-BR"/>
        </w:rPr>
      </w:pPr>
    </w:p>
    <w:p w:rsidR="00F918AF" w:rsidRDefault="00510693">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2.3.</w:t>
      </w:r>
      <w:r>
        <w:rPr>
          <w:rFonts w:ascii="Verdana" w:eastAsia="Times New Roman" w:hAnsi="Verdana" w:cs="Times New Roman"/>
          <w:snapToGrid w:val="0"/>
          <w:sz w:val="20"/>
          <w:szCs w:val="20"/>
          <w:lang w:eastAsia="pt-BR"/>
        </w:rPr>
        <w:tab/>
        <w:t xml:space="preserve">A Emissora declara e garante ao Agente </w:t>
      </w:r>
      <w:proofErr w:type="gramStart"/>
      <w:r>
        <w:rPr>
          <w:rFonts w:ascii="Verdana" w:eastAsia="Times New Roman" w:hAnsi="Verdana" w:cs="Times New Roman"/>
          <w:snapToGrid w:val="0"/>
          <w:sz w:val="20"/>
          <w:szCs w:val="20"/>
          <w:lang w:eastAsia="pt-BR"/>
        </w:rPr>
        <w:t>Fiduciário, neste ato, que todas as declarações e garantias previstas na Cláusula 11.1 da Escritura permanecem verdadeiras, corretas e plenamente válidas e eficazes na da</w:t>
      </w:r>
      <w:r>
        <w:rPr>
          <w:rFonts w:ascii="Verdana" w:eastAsia="Times New Roman" w:hAnsi="Verdana" w:cs="Times New Roman"/>
          <w:snapToGrid w:val="0"/>
          <w:sz w:val="20"/>
          <w:szCs w:val="20"/>
          <w:lang w:eastAsia="pt-BR"/>
        </w:rPr>
        <w:t>ta de assinatura deste Primeiro Aditamento</w:t>
      </w:r>
      <w:proofErr w:type="gramEnd"/>
      <w:r>
        <w:rPr>
          <w:rFonts w:ascii="Verdana" w:eastAsia="Times New Roman" w:hAnsi="Verdana" w:cs="Times New Roman"/>
          <w:snapToGrid w:val="0"/>
          <w:sz w:val="20"/>
          <w:szCs w:val="20"/>
          <w:lang w:eastAsia="pt-BR"/>
        </w:rPr>
        <w:t>.</w:t>
      </w:r>
    </w:p>
    <w:p w:rsidR="00F918AF" w:rsidRDefault="00F918AF">
      <w:pPr>
        <w:spacing w:after="0" w:line="300" w:lineRule="exact"/>
        <w:ind w:left="709" w:hanging="709"/>
        <w:jc w:val="both"/>
        <w:rPr>
          <w:rFonts w:ascii="Verdana" w:eastAsia="Times New Roman" w:hAnsi="Verdana" w:cs="Times New Roman"/>
          <w:snapToGrid w:val="0"/>
          <w:sz w:val="20"/>
          <w:szCs w:val="20"/>
          <w:lang w:eastAsia="pt-BR"/>
        </w:rPr>
      </w:pPr>
    </w:p>
    <w:p w:rsidR="00F918AF" w:rsidRDefault="00510693">
      <w:pPr>
        <w:spacing w:after="0" w:line="300" w:lineRule="exact"/>
        <w:ind w:left="709" w:hanging="709"/>
        <w:jc w:val="both"/>
        <w:rPr>
          <w:rFonts w:ascii="Verdana" w:hAnsi="Verdana"/>
          <w:sz w:val="20"/>
          <w:szCs w:val="20"/>
        </w:rPr>
      </w:pPr>
      <w:r>
        <w:rPr>
          <w:rFonts w:ascii="Verdana" w:eastAsia="Times New Roman" w:hAnsi="Verdana" w:cs="Times New Roman"/>
          <w:snapToGrid w:val="0"/>
          <w:sz w:val="20"/>
          <w:szCs w:val="20"/>
          <w:lang w:eastAsia="pt-BR"/>
        </w:rPr>
        <w:t>2.4.</w:t>
      </w:r>
      <w:r>
        <w:rPr>
          <w:rFonts w:ascii="Verdana" w:eastAsia="Times New Roman" w:hAnsi="Verdana" w:cs="Times New Roman"/>
          <w:snapToGrid w:val="0"/>
          <w:sz w:val="20"/>
          <w:szCs w:val="20"/>
          <w:lang w:eastAsia="pt-BR"/>
        </w:rPr>
        <w:tab/>
        <w:t>Este Primeiro Aditamento, bem como as posteriores alterações da Escritura, serão registrados na JUCEPAR, de acordo com o parágrafo 3º do artigo 62 da Lei das Sociedades por Ações, nos termos da Cláusula 2.1</w:t>
      </w:r>
      <w:r>
        <w:rPr>
          <w:rFonts w:ascii="Verdana" w:eastAsia="Times New Roman" w:hAnsi="Verdana" w:cs="Times New Roman"/>
          <w:snapToGrid w:val="0"/>
          <w:sz w:val="20"/>
          <w:szCs w:val="20"/>
          <w:lang w:eastAsia="pt-BR"/>
        </w:rPr>
        <w:t>.4 da Escritura.</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hanging="709"/>
        <w:jc w:val="both"/>
        <w:rPr>
          <w:rFonts w:ascii="Verdana" w:hAnsi="Verdana"/>
          <w:sz w:val="20"/>
          <w:szCs w:val="20"/>
        </w:rPr>
      </w:pPr>
      <w:r>
        <w:rPr>
          <w:rFonts w:ascii="Verdana" w:hAnsi="Verdana"/>
          <w:sz w:val="20"/>
          <w:szCs w:val="20"/>
        </w:rPr>
        <w:t>2.5.</w:t>
      </w:r>
      <w:r>
        <w:rPr>
          <w:rFonts w:ascii="Verdana" w:hAnsi="Verdana"/>
          <w:sz w:val="20"/>
          <w:szCs w:val="20"/>
        </w:rPr>
        <w:tab/>
        <w:t>O presente Primeiro Aditamento é celebrado de acordo com a autorização da RCA da Emissão (conforme definida na Escritura) na qual, dentre outros, foi autorizado à Diretoria da Emissora negociar e praticar todos os atos relativos às D</w:t>
      </w:r>
      <w:r>
        <w:rPr>
          <w:rFonts w:ascii="Verdana" w:hAnsi="Verdana"/>
          <w:sz w:val="20"/>
          <w:szCs w:val="20"/>
        </w:rPr>
        <w:t>ebêntures, incluindo, mas não se limitando, a celebração deste Primeiro Aditamento.</w:t>
      </w:r>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hanging="709"/>
        <w:jc w:val="both"/>
        <w:rPr>
          <w:rFonts w:ascii="Verdana" w:hAnsi="Verdana"/>
          <w:sz w:val="20"/>
          <w:szCs w:val="20"/>
        </w:rPr>
      </w:pPr>
      <w:proofErr w:type="gramStart"/>
      <w:r>
        <w:rPr>
          <w:rFonts w:ascii="Verdana" w:hAnsi="Verdana"/>
          <w:sz w:val="20"/>
          <w:szCs w:val="20"/>
        </w:rPr>
        <w:t>2.6.</w:t>
      </w:r>
      <w:r>
        <w:rPr>
          <w:rFonts w:ascii="Verdana" w:hAnsi="Verdana"/>
          <w:sz w:val="20"/>
          <w:szCs w:val="20"/>
        </w:rPr>
        <w:tab/>
        <w:t>Este Primeiro Aditamento, a Escritura e as Debêntures constituem títulos executivos extrajudiciais nos termos dos incisos I e III do artigo 784 da Lei nº 13.105, de 1</w:t>
      </w:r>
      <w:r>
        <w:rPr>
          <w:rFonts w:ascii="Verdana" w:hAnsi="Verdana"/>
          <w:sz w:val="20"/>
          <w:szCs w:val="20"/>
        </w:rPr>
        <w:t>6 de março de 2015, conforme alterada (“</w:t>
      </w:r>
      <w:r>
        <w:rPr>
          <w:rFonts w:ascii="Verdana" w:hAnsi="Verdana"/>
          <w:sz w:val="20"/>
          <w:szCs w:val="20"/>
          <w:u w:val="single"/>
        </w:rPr>
        <w:t>Código de Processo Civil</w:t>
      </w:r>
      <w:r>
        <w:rPr>
          <w:rFonts w:ascii="Verdana" w:hAnsi="Verdana"/>
          <w:sz w:val="20"/>
          <w:szCs w:val="20"/>
        </w:rPr>
        <w:t xml:space="preserve">”), reconhecendo as Partes desde já que, independentemente de quaisquer outras medidas cabíveis, as obrigações assumidas nos termos deste Primeiro Aditamento e na Escritura comportam execução </w:t>
      </w:r>
      <w:r>
        <w:rPr>
          <w:rFonts w:ascii="Verdana" w:hAnsi="Verdana"/>
          <w:sz w:val="20"/>
          <w:szCs w:val="20"/>
        </w:rPr>
        <w:t>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da Escritura.</w:t>
      </w:r>
      <w:proofErr w:type="gramEnd"/>
    </w:p>
    <w:p w:rsidR="00F918AF" w:rsidRDefault="00F918AF">
      <w:pPr>
        <w:spacing w:after="0" w:line="300" w:lineRule="exact"/>
        <w:ind w:left="709" w:hanging="709"/>
        <w:jc w:val="both"/>
        <w:rPr>
          <w:rFonts w:ascii="Verdana" w:hAnsi="Verdana"/>
          <w:sz w:val="20"/>
          <w:szCs w:val="20"/>
        </w:rPr>
      </w:pPr>
    </w:p>
    <w:p w:rsidR="00F918AF" w:rsidRDefault="00510693">
      <w:pPr>
        <w:spacing w:after="0" w:line="300" w:lineRule="exact"/>
        <w:ind w:left="709" w:hanging="709"/>
        <w:jc w:val="both"/>
        <w:rPr>
          <w:rFonts w:ascii="Verdana" w:hAnsi="Verdana"/>
          <w:sz w:val="20"/>
          <w:szCs w:val="20"/>
        </w:rPr>
      </w:pPr>
      <w:r>
        <w:rPr>
          <w:rFonts w:ascii="Verdana" w:hAnsi="Verdana"/>
          <w:sz w:val="20"/>
          <w:szCs w:val="20"/>
        </w:rPr>
        <w:lastRenderedPageBreak/>
        <w:t>2.7.</w:t>
      </w:r>
      <w:r>
        <w:rPr>
          <w:rFonts w:ascii="Verdana" w:hAnsi="Verdana"/>
          <w:sz w:val="20"/>
          <w:szCs w:val="20"/>
        </w:rPr>
        <w:tab/>
        <w:t>Este Primeiro Aditamento é celebrado em caráter irre</w:t>
      </w:r>
      <w:r>
        <w:rPr>
          <w:rFonts w:ascii="Verdana" w:hAnsi="Verdana"/>
          <w:sz w:val="20"/>
          <w:szCs w:val="20"/>
        </w:rPr>
        <w:t xml:space="preserve">vogável e irretratável, </w:t>
      </w:r>
      <w:r>
        <w:rPr>
          <w:rFonts w:ascii="Verdana" w:eastAsia="Times New Roman" w:hAnsi="Verdana" w:cs="Times New Roman"/>
          <w:snapToGrid w:val="0"/>
          <w:sz w:val="20"/>
          <w:szCs w:val="20"/>
          <w:lang w:eastAsia="pt-BR"/>
        </w:rPr>
        <w:t>obrigando-se a Emissora e o Agente Fiduciário ao seu fiel, pontual e integral cumprimento por si e por seus sucessores e cessionários, a qualquer título.</w:t>
      </w:r>
    </w:p>
    <w:p w:rsidR="00F918AF" w:rsidRDefault="00F918AF">
      <w:pPr>
        <w:spacing w:after="0" w:line="300" w:lineRule="exact"/>
        <w:ind w:left="709"/>
        <w:jc w:val="both"/>
        <w:rPr>
          <w:rFonts w:ascii="Verdana" w:hAnsi="Verdana"/>
          <w:sz w:val="20"/>
          <w:szCs w:val="20"/>
        </w:rPr>
      </w:pPr>
    </w:p>
    <w:p w:rsidR="00F918AF" w:rsidRDefault="00510693">
      <w:pPr>
        <w:numPr>
          <w:ilvl w:val="0"/>
          <w:numId w:val="75"/>
        </w:numPr>
        <w:spacing w:after="0" w:line="300" w:lineRule="exact"/>
        <w:jc w:val="both"/>
        <w:rPr>
          <w:rFonts w:ascii="Verdana" w:hAnsi="Verdana"/>
          <w:smallCaps/>
          <w:sz w:val="20"/>
          <w:szCs w:val="20"/>
          <w:u w:val="single"/>
        </w:rPr>
      </w:pPr>
      <w:bookmarkStart w:id="100" w:name="_DV_M431"/>
      <w:bookmarkEnd w:id="100"/>
      <w:r>
        <w:rPr>
          <w:rFonts w:ascii="Verdana" w:hAnsi="Verdana"/>
          <w:smallCaps/>
          <w:sz w:val="20"/>
          <w:szCs w:val="20"/>
          <w:u w:val="single"/>
        </w:rPr>
        <w:t>Lei Aplicável</w:t>
      </w:r>
    </w:p>
    <w:p w:rsidR="00F918AF" w:rsidRDefault="00F918AF">
      <w:pPr>
        <w:spacing w:after="0" w:line="300" w:lineRule="exact"/>
        <w:ind w:left="709"/>
        <w:jc w:val="both"/>
        <w:rPr>
          <w:rFonts w:ascii="Verdana" w:hAnsi="Verdana"/>
          <w:sz w:val="20"/>
          <w:szCs w:val="20"/>
        </w:rPr>
      </w:pPr>
    </w:p>
    <w:p w:rsidR="00F918AF" w:rsidRDefault="00510693">
      <w:pPr>
        <w:numPr>
          <w:ilvl w:val="1"/>
          <w:numId w:val="75"/>
        </w:numPr>
        <w:spacing w:after="0" w:line="300" w:lineRule="exact"/>
        <w:jc w:val="both"/>
        <w:rPr>
          <w:rFonts w:ascii="Verdana" w:hAnsi="Verdana"/>
          <w:sz w:val="20"/>
          <w:szCs w:val="20"/>
        </w:rPr>
      </w:pPr>
      <w:r>
        <w:rPr>
          <w:rFonts w:ascii="Verdana" w:hAnsi="Verdana"/>
          <w:sz w:val="20"/>
          <w:szCs w:val="20"/>
        </w:rPr>
        <w:t xml:space="preserve">Este Primeiro Aditamento é regido pelas Leis da República </w:t>
      </w:r>
      <w:r>
        <w:rPr>
          <w:rFonts w:ascii="Verdana" w:hAnsi="Verdana"/>
          <w:sz w:val="20"/>
          <w:szCs w:val="20"/>
        </w:rPr>
        <w:t>Federativa do Brasil.</w:t>
      </w:r>
    </w:p>
    <w:p w:rsidR="00F918AF" w:rsidRDefault="00F918AF">
      <w:pPr>
        <w:spacing w:after="0" w:line="300" w:lineRule="exact"/>
        <w:ind w:left="709"/>
        <w:jc w:val="both"/>
        <w:rPr>
          <w:rFonts w:ascii="Verdana" w:hAnsi="Verdana"/>
          <w:sz w:val="20"/>
          <w:szCs w:val="20"/>
        </w:rPr>
      </w:pPr>
    </w:p>
    <w:p w:rsidR="00F918AF" w:rsidRDefault="00510693">
      <w:pPr>
        <w:numPr>
          <w:ilvl w:val="0"/>
          <w:numId w:val="75"/>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rsidR="00F918AF" w:rsidRDefault="00F918AF">
      <w:pPr>
        <w:spacing w:after="0" w:line="300" w:lineRule="exact"/>
        <w:ind w:left="709"/>
        <w:jc w:val="both"/>
        <w:rPr>
          <w:rFonts w:ascii="Verdana" w:hAnsi="Verdana"/>
          <w:sz w:val="20"/>
          <w:szCs w:val="20"/>
        </w:rPr>
      </w:pPr>
    </w:p>
    <w:p w:rsidR="00F918AF" w:rsidRDefault="00510693">
      <w:pPr>
        <w:numPr>
          <w:ilvl w:val="1"/>
          <w:numId w:val="75"/>
        </w:numPr>
        <w:spacing w:after="0" w:line="300" w:lineRule="exact"/>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deste Primeiro Aditamento, com renúncia a qualquer outro, por mais privilegiado que seja. </w:t>
      </w:r>
    </w:p>
    <w:p w:rsidR="00F918AF" w:rsidRDefault="00F918AF">
      <w:pPr>
        <w:autoSpaceDE w:val="0"/>
        <w:autoSpaceDN w:val="0"/>
        <w:adjustRightInd w:val="0"/>
        <w:spacing w:after="0" w:line="300" w:lineRule="exact"/>
        <w:jc w:val="both"/>
        <w:rPr>
          <w:rFonts w:ascii="Verdana" w:hAnsi="Verdana"/>
          <w:sz w:val="20"/>
          <w:szCs w:val="20"/>
        </w:rPr>
      </w:pPr>
    </w:p>
    <w:p w:rsidR="00F918AF" w:rsidRDefault="00510693">
      <w:pPr>
        <w:autoSpaceDE w:val="0"/>
        <w:autoSpaceDN w:val="0"/>
        <w:adjustRightInd w:val="0"/>
        <w:spacing w:after="0" w:line="300" w:lineRule="exact"/>
        <w:jc w:val="both"/>
        <w:rPr>
          <w:rFonts w:ascii="Verdana" w:hAnsi="Verdana"/>
          <w:sz w:val="20"/>
          <w:szCs w:val="20"/>
        </w:rPr>
      </w:pPr>
      <w:r>
        <w:rPr>
          <w:rFonts w:ascii="Verdana" w:hAnsi="Verdana"/>
          <w:sz w:val="20"/>
          <w:szCs w:val="20"/>
        </w:rPr>
        <w:t>Estando assim</w:t>
      </w:r>
      <w:r>
        <w:rPr>
          <w:rFonts w:ascii="Verdana" w:hAnsi="Verdana"/>
          <w:sz w:val="20"/>
          <w:szCs w:val="20"/>
        </w:rPr>
        <w:t xml:space="preserve"> as Partes certas e ajustadas, firmam o presente instrumento, em 3 (três) vias de igual teor e forma, juntamente com 2 (duas) testemunhas, que também o assinam.</w:t>
      </w:r>
    </w:p>
    <w:p w:rsidR="00F918AF" w:rsidRDefault="00F918AF">
      <w:pPr>
        <w:autoSpaceDE w:val="0"/>
        <w:autoSpaceDN w:val="0"/>
        <w:adjustRightInd w:val="0"/>
        <w:spacing w:after="0" w:line="300" w:lineRule="exact"/>
        <w:jc w:val="both"/>
        <w:rPr>
          <w:rFonts w:ascii="Verdana" w:hAnsi="Verdana"/>
          <w:sz w:val="20"/>
          <w:szCs w:val="20"/>
        </w:rPr>
      </w:pPr>
    </w:p>
    <w:p w:rsidR="00F918AF" w:rsidRDefault="00510693">
      <w:pPr>
        <w:autoSpaceDE w:val="0"/>
        <w:autoSpaceDN w:val="0"/>
        <w:adjustRightInd w:val="0"/>
        <w:spacing w:after="0" w:line="30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rsidR="00F918AF" w:rsidRDefault="00F918AF">
      <w:pPr>
        <w:spacing w:after="0" w:line="300" w:lineRule="exact"/>
        <w:jc w:val="both"/>
        <w:rPr>
          <w:rFonts w:ascii="Verdana" w:hAnsi="Verdana"/>
          <w:sz w:val="20"/>
          <w:szCs w:val="20"/>
        </w:rPr>
      </w:pPr>
    </w:p>
    <w:p w:rsidR="00F918AF" w:rsidRDefault="00510693">
      <w:pPr>
        <w:spacing w:after="0" w:line="300" w:lineRule="exact"/>
        <w:jc w:val="center"/>
        <w:rPr>
          <w:rFonts w:ascii="Verdana" w:hAnsi="Verdana"/>
          <w:sz w:val="20"/>
          <w:szCs w:val="20"/>
        </w:rPr>
      </w:pPr>
      <w:r>
        <w:rPr>
          <w:rFonts w:ascii="Verdana" w:hAnsi="Verdana"/>
          <w:sz w:val="20"/>
          <w:szCs w:val="20"/>
        </w:rPr>
        <w:t>(ASSINATURAS SE ENCONTRAM NAS 2 (DUAS) PÁGINAS SEGUINTES)</w:t>
      </w:r>
    </w:p>
    <w:p w:rsidR="00F918AF" w:rsidRDefault="00F918AF">
      <w:pPr>
        <w:spacing w:after="0" w:line="300" w:lineRule="exact"/>
        <w:jc w:val="center"/>
        <w:rPr>
          <w:rFonts w:ascii="Verdana" w:hAnsi="Verdana"/>
          <w:sz w:val="20"/>
          <w:szCs w:val="20"/>
        </w:rPr>
      </w:pPr>
    </w:p>
    <w:p w:rsidR="00F918AF" w:rsidRDefault="00510693">
      <w:pPr>
        <w:spacing w:after="0" w:line="300" w:lineRule="exact"/>
        <w:jc w:val="center"/>
        <w:rPr>
          <w:rFonts w:ascii="Verdana" w:hAnsi="Verdana"/>
          <w:sz w:val="20"/>
          <w:szCs w:val="20"/>
        </w:rPr>
        <w:sectPr w:rsidR="00F918AF">
          <w:footerReference w:type="default" r:id="rId18"/>
          <w:pgSz w:w="11906" w:h="16838" w:code="9"/>
          <w:pgMar w:top="1699" w:right="1411" w:bottom="1411" w:left="1699" w:header="706" w:footer="2835" w:gutter="0"/>
          <w:pgNumType w:start="1"/>
          <w:cols w:space="708"/>
          <w:docGrid w:linePitch="360"/>
        </w:sectPr>
      </w:pPr>
      <w:r>
        <w:rPr>
          <w:rFonts w:ascii="Verdana" w:hAnsi="Verdana"/>
          <w:sz w:val="20"/>
          <w:szCs w:val="20"/>
        </w:rPr>
        <w:t>(RESTANTE DA PÁGINA INTENCIONALMENTE DEIXADO EM BRANCO</w:t>
      </w:r>
      <w:proofErr w:type="gramStart"/>
      <w:r>
        <w:rPr>
          <w:rFonts w:ascii="Verdana" w:hAnsi="Verdana"/>
          <w:sz w:val="20"/>
          <w:szCs w:val="20"/>
        </w:rPr>
        <w:t>)</w:t>
      </w:r>
      <w:proofErr w:type="gramEnd"/>
    </w:p>
    <w:p w:rsidR="00F918AF" w:rsidRDefault="00510693">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1/2 do Primeiro Aditamento à Escritura Particular da Décima Terceira</w:t>
      </w:r>
      <w:r>
        <w:rPr>
          <w:rFonts w:ascii="Verdana" w:hAnsi="Verdana"/>
          <w:bCs/>
          <w:i/>
          <w:iCs/>
          <w:w w:val="0"/>
          <w:sz w:val="20"/>
          <w:szCs w:val="20"/>
        </w:rPr>
        <w:t xml:space="preserve"> Emissão de Debêntures Simples, Não Conversíveis em Ações, da Espécie Quirografária, em até Duas Séries, para Distribuição Pública, </w:t>
      </w:r>
      <w:proofErr w:type="gramStart"/>
      <w:r>
        <w:rPr>
          <w:rFonts w:ascii="Verdana" w:hAnsi="Verdana"/>
          <w:bCs/>
          <w:i/>
          <w:iCs/>
          <w:w w:val="0"/>
          <w:sz w:val="20"/>
          <w:szCs w:val="20"/>
        </w:rPr>
        <w:t>da Rumo</w:t>
      </w:r>
      <w:proofErr w:type="gramEnd"/>
      <w:r>
        <w:rPr>
          <w:rFonts w:ascii="Verdana" w:hAnsi="Verdana"/>
          <w:bCs/>
          <w:i/>
          <w:iCs/>
          <w:w w:val="0"/>
          <w:sz w:val="20"/>
          <w:szCs w:val="20"/>
        </w:rPr>
        <w:t xml:space="preserve"> S.A.)</w:t>
      </w:r>
    </w:p>
    <w:p w:rsidR="00F918AF" w:rsidRDefault="00F918AF">
      <w:pPr>
        <w:spacing w:after="0" w:line="300" w:lineRule="exact"/>
        <w:jc w:val="both"/>
        <w:rPr>
          <w:rFonts w:ascii="Verdana" w:hAnsi="Verdana"/>
          <w:bCs/>
          <w:w w:val="0"/>
          <w:sz w:val="20"/>
          <w:szCs w:val="20"/>
        </w:rPr>
      </w:pPr>
    </w:p>
    <w:p w:rsidR="00F918AF" w:rsidRDefault="00F918AF">
      <w:pPr>
        <w:spacing w:after="0" w:line="300" w:lineRule="exact"/>
        <w:jc w:val="center"/>
        <w:rPr>
          <w:rFonts w:ascii="Verdana" w:hAnsi="Verdana"/>
          <w:bCs/>
          <w:w w:val="0"/>
          <w:sz w:val="20"/>
          <w:szCs w:val="20"/>
        </w:rPr>
      </w:pPr>
    </w:p>
    <w:p w:rsidR="00F918AF" w:rsidRDefault="00F918AF">
      <w:pPr>
        <w:spacing w:after="0" w:line="300" w:lineRule="exact"/>
        <w:jc w:val="center"/>
        <w:rPr>
          <w:rFonts w:ascii="Verdana" w:hAnsi="Verdana"/>
          <w:bCs/>
          <w:w w:val="0"/>
          <w:sz w:val="20"/>
          <w:szCs w:val="20"/>
        </w:rPr>
      </w:pPr>
    </w:p>
    <w:p w:rsidR="00F918AF" w:rsidRDefault="00F918AF">
      <w:pPr>
        <w:spacing w:after="0" w:line="300" w:lineRule="exact"/>
        <w:jc w:val="center"/>
        <w:rPr>
          <w:rFonts w:ascii="Verdana" w:hAnsi="Verdana"/>
          <w:sz w:val="20"/>
          <w:szCs w:val="20"/>
        </w:rPr>
      </w:pPr>
    </w:p>
    <w:p w:rsidR="00F918AF" w:rsidRDefault="00F918AF">
      <w:pPr>
        <w:spacing w:after="0" w:line="300" w:lineRule="exact"/>
        <w:jc w:val="center"/>
        <w:rPr>
          <w:rFonts w:ascii="Verdana" w:hAnsi="Verdana"/>
          <w:sz w:val="20"/>
          <w:szCs w:val="20"/>
        </w:rPr>
      </w:pPr>
    </w:p>
    <w:p w:rsidR="00F918AF" w:rsidRDefault="00510693">
      <w:pPr>
        <w:spacing w:after="0" w:line="300" w:lineRule="exact"/>
        <w:jc w:val="center"/>
        <w:rPr>
          <w:rFonts w:ascii="Verdana" w:hAnsi="Verdana"/>
          <w:b/>
          <w:bCs/>
          <w:smallCaps/>
          <w:sz w:val="20"/>
          <w:szCs w:val="20"/>
        </w:rPr>
      </w:pPr>
      <w:r>
        <w:rPr>
          <w:rFonts w:ascii="Verdana" w:hAnsi="Verdana"/>
          <w:b/>
          <w:bCs/>
          <w:smallCaps/>
          <w:sz w:val="20"/>
          <w:szCs w:val="20"/>
        </w:rPr>
        <w:t>RUMO S.A.</w:t>
      </w:r>
    </w:p>
    <w:p w:rsidR="00F918AF" w:rsidRDefault="00F918AF">
      <w:pPr>
        <w:pStyle w:val="para"/>
        <w:widowControl/>
        <w:tabs>
          <w:tab w:val="left" w:pos="2366"/>
        </w:tabs>
        <w:spacing w:line="300" w:lineRule="exact"/>
        <w:jc w:val="center"/>
        <w:rPr>
          <w:rFonts w:ascii="Verdana" w:hAnsi="Verdana"/>
          <w:color w:val="auto"/>
          <w:sz w:val="20"/>
          <w:szCs w:val="20"/>
        </w:rPr>
      </w:pPr>
    </w:p>
    <w:p w:rsidR="00F918AF" w:rsidRDefault="00F918AF">
      <w:pPr>
        <w:pStyle w:val="para"/>
        <w:widowControl/>
        <w:tabs>
          <w:tab w:val="left" w:pos="2366"/>
        </w:tabs>
        <w:spacing w:line="300" w:lineRule="exact"/>
        <w:jc w:val="center"/>
        <w:rPr>
          <w:rFonts w:ascii="Verdana" w:hAnsi="Verdana"/>
          <w:color w:val="auto"/>
          <w:sz w:val="20"/>
          <w:szCs w:val="20"/>
        </w:rPr>
      </w:pPr>
    </w:p>
    <w:p w:rsidR="00F918AF" w:rsidRDefault="00F918AF">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F918AF">
        <w:tc>
          <w:tcPr>
            <w:tcW w:w="4489" w:type="dxa"/>
          </w:tcPr>
          <w:p w:rsidR="00F918AF" w:rsidRDefault="00510693">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rsidR="00F918AF" w:rsidRDefault="00510693">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rsidR="00F918AF">
        <w:tc>
          <w:tcPr>
            <w:tcW w:w="4489" w:type="dxa"/>
          </w:tcPr>
          <w:p w:rsidR="00F918AF" w:rsidRDefault="00510693">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rsidR="00F918AF" w:rsidRDefault="00510693">
            <w:pPr>
              <w:tabs>
                <w:tab w:val="left" w:pos="2366"/>
              </w:tabs>
              <w:spacing w:after="0" w:line="300" w:lineRule="exact"/>
              <w:rPr>
                <w:rFonts w:ascii="Verdana" w:hAnsi="Verdana" w:cs="Arial"/>
                <w:sz w:val="20"/>
                <w:szCs w:val="20"/>
              </w:rPr>
            </w:pPr>
            <w:r>
              <w:rPr>
                <w:rFonts w:ascii="Verdana" w:hAnsi="Verdana" w:cs="Arial"/>
                <w:sz w:val="20"/>
                <w:szCs w:val="20"/>
              </w:rPr>
              <w:t>Nome:</w:t>
            </w:r>
          </w:p>
        </w:tc>
      </w:tr>
      <w:tr w:rsidR="00F918AF">
        <w:tc>
          <w:tcPr>
            <w:tcW w:w="4489" w:type="dxa"/>
          </w:tcPr>
          <w:p w:rsidR="00F918AF" w:rsidRDefault="00510693">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rsidR="00F918AF" w:rsidRDefault="00510693">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rsidR="00F918AF" w:rsidRDefault="00510693">
      <w:pPr>
        <w:spacing w:after="0" w:line="300" w:lineRule="exact"/>
        <w:jc w:val="both"/>
        <w:rPr>
          <w:rFonts w:ascii="Verdana" w:hAnsi="Verdana"/>
          <w:bCs/>
          <w:i/>
          <w:iCs/>
          <w:w w:val="0"/>
          <w:sz w:val="20"/>
          <w:szCs w:val="20"/>
        </w:rPr>
      </w:pPr>
      <w:r>
        <w:rPr>
          <w:rFonts w:ascii="Verdana" w:hAnsi="Verdana"/>
          <w:sz w:val="20"/>
          <w:szCs w:val="20"/>
        </w:rPr>
        <w:br w:type="page"/>
      </w:r>
    </w:p>
    <w:p w:rsidR="00F918AF" w:rsidRDefault="00510693">
      <w:pPr>
        <w:spacing w:after="0" w:line="300" w:lineRule="exact"/>
        <w:jc w:val="both"/>
        <w:rPr>
          <w:rFonts w:ascii="Verdana" w:hAnsi="Verdana"/>
          <w:bCs/>
          <w:i/>
          <w:iCs/>
          <w:w w:val="0"/>
          <w:sz w:val="20"/>
          <w:szCs w:val="20"/>
        </w:rPr>
      </w:pPr>
      <w:r>
        <w:rPr>
          <w:rFonts w:ascii="Verdana" w:hAnsi="Verdana"/>
          <w:bCs/>
          <w:i/>
          <w:iCs/>
          <w:w w:val="0"/>
          <w:sz w:val="20"/>
          <w:szCs w:val="20"/>
        </w:rPr>
        <w:lastRenderedPageBreak/>
        <w:t xml:space="preserve">(Página de Assinatura 2/2 do Primeiro Aditamento à Escritura Particular da Décima Terceira Emissão de Debêntures Simples, Não Conversíveis em Ações, da Espécie Quirografária, em até Duas Séries, para Distribuição Pública, </w:t>
      </w:r>
      <w:proofErr w:type="gramStart"/>
      <w:r>
        <w:rPr>
          <w:rFonts w:ascii="Verdana" w:hAnsi="Verdana"/>
          <w:bCs/>
          <w:i/>
          <w:iCs/>
          <w:w w:val="0"/>
          <w:sz w:val="20"/>
          <w:szCs w:val="20"/>
        </w:rPr>
        <w:t>da Rumo</w:t>
      </w:r>
      <w:proofErr w:type="gramEnd"/>
      <w:r>
        <w:rPr>
          <w:rFonts w:ascii="Verdana" w:hAnsi="Verdana"/>
          <w:bCs/>
          <w:i/>
          <w:iCs/>
          <w:w w:val="0"/>
          <w:sz w:val="20"/>
          <w:szCs w:val="20"/>
        </w:rPr>
        <w:t xml:space="preserve"> S.A.)</w:t>
      </w:r>
    </w:p>
    <w:p w:rsidR="00F918AF" w:rsidRDefault="00F918AF">
      <w:pPr>
        <w:spacing w:after="0" w:line="300" w:lineRule="exact"/>
        <w:jc w:val="both"/>
        <w:rPr>
          <w:rFonts w:ascii="Verdana" w:hAnsi="Verdana"/>
          <w:bCs/>
          <w:w w:val="0"/>
          <w:sz w:val="20"/>
          <w:szCs w:val="20"/>
        </w:rPr>
      </w:pPr>
    </w:p>
    <w:p w:rsidR="00F918AF" w:rsidRDefault="00F918AF">
      <w:pPr>
        <w:spacing w:after="0" w:line="300" w:lineRule="exact"/>
        <w:jc w:val="both"/>
        <w:rPr>
          <w:rFonts w:ascii="Verdana" w:hAnsi="Verdana"/>
          <w:bCs/>
          <w:w w:val="0"/>
          <w:sz w:val="20"/>
          <w:szCs w:val="20"/>
        </w:rPr>
      </w:pPr>
    </w:p>
    <w:p w:rsidR="00F918AF" w:rsidRDefault="00F918AF">
      <w:pPr>
        <w:spacing w:after="0" w:line="300" w:lineRule="exact"/>
        <w:jc w:val="both"/>
        <w:rPr>
          <w:rFonts w:ascii="Verdana" w:hAnsi="Verdana"/>
          <w:bCs/>
          <w:w w:val="0"/>
          <w:sz w:val="20"/>
          <w:szCs w:val="20"/>
        </w:rPr>
      </w:pPr>
    </w:p>
    <w:p w:rsidR="00F918AF" w:rsidRDefault="00F918AF">
      <w:pPr>
        <w:spacing w:after="0" w:line="300" w:lineRule="exact"/>
        <w:jc w:val="both"/>
        <w:rPr>
          <w:rFonts w:ascii="Verdana" w:hAnsi="Verdana"/>
          <w:bCs/>
          <w:w w:val="0"/>
          <w:sz w:val="20"/>
          <w:szCs w:val="20"/>
        </w:rPr>
      </w:pPr>
    </w:p>
    <w:p w:rsidR="00F918AF" w:rsidRDefault="00F918AF">
      <w:pPr>
        <w:spacing w:after="0" w:line="300" w:lineRule="exact"/>
        <w:jc w:val="both"/>
        <w:rPr>
          <w:rFonts w:ascii="Verdana" w:hAnsi="Verdana"/>
          <w:bCs/>
          <w:w w:val="0"/>
          <w:sz w:val="20"/>
          <w:szCs w:val="20"/>
        </w:rPr>
      </w:pPr>
    </w:p>
    <w:p w:rsidR="00F918AF" w:rsidRDefault="00510693">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 xml:space="preserve">SIMPLIFIC </w:t>
      </w:r>
      <w:r>
        <w:rPr>
          <w:rFonts w:ascii="Verdana" w:hAnsi="Verdana"/>
          <w:b/>
          <w:bCs/>
          <w:sz w:val="20"/>
          <w:szCs w:val="20"/>
        </w:rPr>
        <w:t>PAVARINI DISTRIBUIDORA DE TÍTULOS E VALORES MOBILIÁRIOS LTDA.</w:t>
      </w:r>
    </w:p>
    <w:p w:rsidR="00F918AF" w:rsidRDefault="00F918AF">
      <w:pPr>
        <w:autoSpaceDE w:val="0"/>
        <w:autoSpaceDN w:val="0"/>
        <w:adjustRightInd w:val="0"/>
        <w:spacing w:after="0" w:line="300" w:lineRule="exact"/>
        <w:rPr>
          <w:rFonts w:ascii="Verdana" w:hAnsi="Verdana"/>
          <w:sz w:val="20"/>
          <w:szCs w:val="20"/>
        </w:rPr>
      </w:pPr>
    </w:p>
    <w:p w:rsidR="00F918AF" w:rsidRDefault="00F918AF">
      <w:pPr>
        <w:autoSpaceDE w:val="0"/>
        <w:autoSpaceDN w:val="0"/>
        <w:adjustRightInd w:val="0"/>
        <w:spacing w:after="0" w:line="300" w:lineRule="exact"/>
        <w:rPr>
          <w:rFonts w:ascii="Verdana" w:hAnsi="Verdana"/>
          <w:sz w:val="20"/>
          <w:szCs w:val="20"/>
        </w:rPr>
      </w:pPr>
    </w:p>
    <w:p w:rsidR="00F918AF" w:rsidRDefault="00F918AF">
      <w:pPr>
        <w:autoSpaceDE w:val="0"/>
        <w:autoSpaceDN w:val="0"/>
        <w:adjustRightInd w:val="0"/>
        <w:spacing w:after="0" w:line="30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F918AF">
        <w:trPr>
          <w:cantSplit/>
        </w:trPr>
        <w:tc>
          <w:tcPr>
            <w:tcW w:w="4729" w:type="dxa"/>
            <w:tcBorders>
              <w:top w:val="single" w:sz="6" w:space="0" w:color="auto"/>
            </w:tcBorders>
          </w:tcPr>
          <w:p w:rsidR="00F918AF" w:rsidRDefault="00510693">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rsidR="00F918AF" w:rsidRDefault="00F918AF">
            <w:pPr>
              <w:autoSpaceDE w:val="0"/>
              <w:autoSpaceDN w:val="0"/>
              <w:adjustRightInd w:val="0"/>
              <w:spacing w:after="0" w:line="300" w:lineRule="exact"/>
              <w:rPr>
                <w:rFonts w:ascii="Verdana" w:hAnsi="Verdana"/>
                <w:sz w:val="20"/>
                <w:szCs w:val="20"/>
              </w:rPr>
            </w:pPr>
          </w:p>
        </w:tc>
      </w:tr>
    </w:tbl>
    <w:p w:rsidR="00F918AF" w:rsidRDefault="00F918AF">
      <w:pPr>
        <w:autoSpaceDE w:val="0"/>
        <w:autoSpaceDN w:val="0"/>
        <w:adjustRightInd w:val="0"/>
        <w:spacing w:after="0" w:line="300" w:lineRule="exact"/>
        <w:jc w:val="both"/>
        <w:rPr>
          <w:rFonts w:ascii="Verdana" w:hAnsi="Verdana"/>
          <w:bCs/>
          <w:i/>
          <w:smallCaps/>
          <w:sz w:val="20"/>
          <w:szCs w:val="20"/>
        </w:rPr>
      </w:pPr>
      <w:bookmarkStart w:id="101" w:name="_DV_M443"/>
      <w:bookmarkStart w:id="102" w:name="_DV_M444"/>
      <w:bookmarkStart w:id="103" w:name="_DV_M445"/>
      <w:bookmarkStart w:id="104" w:name="_DV_M447"/>
      <w:bookmarkStart w:id="105" w:name="_DV_M448"/>
      <w:bookmarkStart w:id="106" w:name="_DV_M449"/>
      <w:bookmarkEnd w:id="101"/>
      <w:bookmarkEnd w:id="102"/>
      <w:bookmarkEnd w:id="103"/>
      <w:bookmarkEnd w:id="104"/>
      <w:bookmarkEnd w:id="105"/>
      <w:bookmarkEnd w:id="106"/>
    </w:p>
    <w:p w:rsidR="00F918AF" w:rsidRDefault="00F918AF">
      <w:pPr>
        <w:spacing w:after="0" w:line="300" w:lineRule="exact"/>
        <w:jc w:val="both"/>
        <w:rPr>
          <w:rFonts w:ascii="Verdana" w:hAnsi="Verdana"/>
          <w:bCs/>
          <w:w w:val="0"/>
          <w:sz w:val="20"/>
          <w:szCs w:val="20"/>
        </w:rPr>
      </w:pPr>
    </w:p>
    <w:p w:rsidR="00F918AF" w:rsidRDefault="00F918AF">
      <w:pPr>
        <w:spacing w:after="0" w:line="300" w:lineRule="exact"/>
        <w:jc w:val="both"/>
        <w:rPr>
          <w:rFonts w:ascii="Verdana" w:hAnsi="Verdana"/>
          <w:bCs/>
          <w:w w:val="0"/>
          <w:sz w:val="20"/>
          <w:szCs w:val="20"/>
        </w:rPr>
      </w:pPr>
    </w:p>
    <w:p w:rsidR="00F918AF" w:rsidRDefault="00510693">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rsidR="00F918AF" w:rsidRDefault="00F918AF">
      <w:pPr>
        <w:autoSpaceDE w:val="0"/>
        <w:autoSpaceDN w:val="0"/>
        <w:adjustRightInd w:val="0"/>
        <w:spacing w:after="0" w:line="300" w:lineRule="exact"/>
        <w:rPr>
          <w:rFonts w:ascii="Verdana" w:hAnsi="Verdana"/>
          <w:sz w:val="20"/>
          <w:szCs w:val="20"/>
        </w:rPr>
      </w:pPr>
    </w:p>
    <w:p w:rsidR="00F918AF" w:rsidRDefault="00F918AF">
      <w:pPr>
        <w:autoSpaceDE w:val="0"/>
        <w:autoSpaceDN w:val="0"/>
        <w:adjustRightInd w:val="0"/>
        <w:spacing w:after="0" w:line="300" w:lineRule="exact"/>
        <w:rPr>
          <w:rFonts w:ascii="Verdana" w:hAnsi="Verdana"/>
          <w:sz w:val="20"/>
          <w:szCs w:val="20"/>
        </w:rPr>
      </w:pPr>
    </w:p>
    <w:p w:rsidR="00F918AF" w:rsidRDefault="00F918AF">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918AF">
        <w:trPr>
          <w:cantSplit/>
        </w:trPr>
        <w:tc>
          <w:tcPr>
            <w:tcW w:w="4253" w:type="dxa"/>
            <w:tcBorders>
              <w:top w:val="single" w:sz="6" w:space="0" w:color="auto"/>
            </w:tcBorders>
          </w:tcPr>
          <w:p w:rsidR="00F918AF" w:rsidRDefault="00510693">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rsidR="00F918AF" w:rsidRDefault="00F918AF">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rsidR="00F918AF" w:rsidRDefault="00510693">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rsidR="00F918AF" w:rsidRDefault="00F918AF">
      <w:pPr>
        <w:spacing w:after="0" w:line="300" w:lineRule="exact"/>
        <w:rPr>
          <w:rFonts w:ascii="Verdana" w:hAnsi="Verdana"/>
          <w:sz w:val="20"/>
          <w:szCs w:val="20"/>
        </w:rPr>
      </w:pPr>
    </w:p>
    <w:sectPr w:rsidR="00F918AF">
      <w:headerReference w:type="default" r:id="rId19"/>
      <w:footerReference w:type="default" r:id="rId20"/>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AF" w:rsidRDefault="00510693">
      <w:pPr>
        <w:spacing w:after="0" w:line="240" w:lineRule="auto"/>
      </w:pPr>
      <w:r>
        <w:separator/>
      </w:r>
    </w:p>
  </w:endnote>
  <w:endnote w:type="continuationSeparator" w:id="0">
    <w:p w:rsidR="00F918AF" w:rsidRDefault="0051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aramond,Italic">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510693">
    <w:pPr>
      <w:pStyle w:val="Footer"/>
    </w:pPr>
    <w:r>
      <w:fldChar w:fldCharType="begin"/>
    </w:r>
    <w:r>
      <w:instrText xml:space="preserve"> DOCPROPERTY iManageFooter \* MERGEFORMAT </w:instrText>
    </w:r>
    <w:r>
      <w:fldChar w:fldCharType="separate"/>
    </w:r>
    <w:r>
      <w:t>JUR_SP - 34477746v20 - 599032.447248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510693">
    <w:pPr>
      <w:pStyle w:val="Footer"/>
    </w:pPr>
    <w:r>
      <w:fldChar w:fldCharType="begin"/>
    </w:r>
    <w:r>
      <w:instrText xml:space="preserve"> DOCPROPERTY iManageFooter \* MERGEFORMAT </w:instrText>
    </w:r>
    <w:r>
      <w:fldChar w:fldCharType="separate"/>
    </w:r>
    <w:r>
      <w:t>JUR_SP - 34477746v18 - 599032.447248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Footer"/>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AF" w:rsidRDefault="00510693">
      <w:pPr>
        <w:spacing w:after="0" w:line="240" w:lineRule="auto"/>
      </w:pPr>
      <w:r>
        <w:separator/>
      </w:r>
    </w:p>
  </w:footnote>
  <w:footnote w:type="continuationSeparator" w:id="0">
    <w:p w:rsidR="00F918AF" w:rsidRDefault="00510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Header"/>
      <w:jc w:val="right"/>
      <w:rPr>
        <w:rFonts w:ascii="Garamond" w:hAnsi="Garamond"/>
      </w:rPr>
    </w:pPr>
  </w:p>
  <w:p w:rsidR="00F918AF" w:rsidRDefault="00F918AF">
    <w:pPr>
      <w:pStyle w:val="Header"/>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Header"/>
      <w:jc w:val="right"/>
      <w:rPr>
        <w:rFonts w:ascii="Garamond" w:hAnsi="Garamond"/>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AF" w:rsidRDefault="00F918AF">
    <w:pPr>
      <w:pStyle w:val="Header"/>
      <w:jc w:val="right"/>
      <w:rPr>
        <w:rFonts w:ascii="Garamond" w:hAnsi="Garamond"/>
      </w:rPr>
    </w:pPr>
  </w:p>
  <w:p w:rsidR="00F918AF" w:rsidRDefault="00F918AF">
    <w:pPr>
      <w:pStyle w:val="Header"/>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26A3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94516F"/>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8">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9392594"/>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3">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7480FE3"/>
    <w:multiLevelType w:val="multilevel"/>
    <w:tmpl w:val="58844224"/>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76F6648"/>
    <w:multiLevelType w:val="multilevel"/>
    <w:tmpl w:val="8278ABE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7976DA4"/>
    <w:multiLevelType w:val="multilevel"/>
    <w:tmpl w:val="F7F28460"/>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5AF13BC"/>
    <w:multiLevelType w:val="multilevel"/>
    <w:tmpl w:val="4F28497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Garamond" w:hAnsi="Garamond" w:cs="Tahoma" w:hint="default"/>
        <w:b w:val="0"/>
        <w:i w:val="0"/>
        <w:caps w:val="0"/>
        <w:strike w:val="0"/>
        <w:dstrike w:val="0"/>
        <w:vanish w:val="0"/>
        <w:color w:val="000000"/>
        <w:sz w:val="24"/>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5">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39">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2">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B842BFE"/>
    <w:multiLevelType w:val="multilevel"/>
    <w:tmpl w:val="8C9CD0AC"/>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Garamond" w:hAnsi="Garamond" w:hint="default"/>
        <w:sz w:val="24"/>
        <w:szCs w:val="24"/>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6">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8">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631C7446"/>
    <w:multiLevelType w:val="multilevel"/>
    <w:tmpl w:val="B40A5C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2">
    <w:nsid w:val="641B3E8C"/>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4DF0343"/>
    <w:multiLevelType w:val="multilevel"/>
    <w:tmpl w:val="AEEE603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nsid w:val="65E1444F"/>
    <w:multiLevelType w:val="multilevel"/>
    <w:tmpl w:val="AE8A7568"/>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6A190C2B"/>
    <w:multiLevelType w:val="multilevel"/>
    <w:tmpl w:val="EACEA048"/>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710221A1"/>
    <w:multiLevelType w:val="multilevel"/>
    <w:tmpl w:val="6D62A68A"/>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3">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4">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nsid w:val="78355D7B"/>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B2755EE"/>
    <w:multiLevelType w:val="multilevel"/>
    <w:tmpl w:val="C3784484"/>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0"/>
  </w:num>
  <w:num w:numId="2">
    <w:abstractNumId w:val="59"/>
  </w:num>
  <w:num w:numId="3">
    <w:abstractNumId w:val="7"/>
  </w:num>
  <w:num w:numId="4">
    <w:abstractNumId w:val="29"/>
  </w:num>
  <w:num w:numId="5">
    <w:abstractNumId w:val="35"/>
  </w:num>
  <w:num w:numId="6">
    <w:abstractNumId w:val="63"/>
  </w:num>
  <w:num w:numId="7">
    <w:abstractNumId w:val="9"/>
  </w:num>
  <w:num w:numId="8">
    <w:abstractNumId w:val="61"/>
  </w:num>
  <w:num w:numId="9">
    <w:abstractNumId w:val="58"/>
  </w:num>
  <w:num w:numId="10">
    <w:abstractNumId w:val="37"/>
  </w:num>
  <w:num w:numId="11">
    <w:abstractNumId w:val="40"/>
  </w:num>
  <w:num w:numId="12">
    <w:abstractNumId w:val="36"/>
  </w:num>
  <w:num w:numId="13">
    <w:abstractNumId w:val="16"/>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7"/>
  </w:num>
  <w:num w:numId="15">
    <w:abstractNumId w:val="25"/>
  </w:num>
  <w:num w:numId="16">
    <w:abstractNumId w:val="26"/>
  </w:num>
  <w:num w:numId="17">
    <w:abstractNumId w:val="62"/>
  </w:num>
  <w:num w:numId="18">
    <w:abstractNumId w:val="55"/>
  </w:num>
  <w:num w:numId="19">
    <w:abstractNumId w:val="54"/>
  </w:num>
  <w:num w:numId="20">
    <w:abstractNumId w:val="20"/>
  </w:num>
  <w:num w:numId="21">
    <w:abstractNumId w:val="21"/>
  </w:num>
  <w:num w:numId="22">
    <w:abstractNumId w:val="32"/>
  </w:num>
  <w:num w:numId="23">
    <w:abstractNumId w:val="50"/>
  </w:num>
  <w:num w:numId="24">
    <w:abstractNumId w:val="17"/>
  </w:num>
  <w:num w:numId="25">
    <w:abstractNumId w:val="51"/>
  </w:num>
  <w:num w:numId="26">
    <w:abstractNumId w:val="47"/>
  </w:num>
  <w:num w:numId="27">
    <w:abstractNumId w:val="41"/>
  </w:num>
  <w:num w:numId="28">
    <w:abstractNumId w:val="39"/>
  </w:num>
  <w:num w:numId="29">
    <w:abstractNumId w:val="45"/>
  </w:num>
  <w:num w:numId="30">
    <w:abstractNumId w:val="65"/>
  </w:num>
  <w:num w:numId="31">
    <w:abstractNumId w:val="24"/>
  </w:num>
  <w:num w:numId="32">
    <w:abstractNumId w:val="38"/>
  </w:num>
  <w:num w:numId="33">
    <w:abstractNumId w:val="34"/>
  </w:num>
  <w:num w:numId="34">
    <w:abstractNumId w:val="8"/>
  </w:num>
  <w:num w:numId="35">
    <w:abstractNumId w:val="66"/>
  </w:num>
  <w:num w:numId="36">
    <w:abstractNumId w:val="2"/>
  </w:num>
  <w:num w:numId="37">
    <w:abstractNumId w:val="4"/>
  </w:num>
  <w:num w:numId="38">
    <w:abstractNumId w:val="57"/>
  </w:num>
  <w:num w:numId="39">
    <w:abstractNumId w:val="11"/>
  </w:num>
  <w:num w:numId="40">
    <w:abstractNumId w:val="6"/>
  </w:num>
  <w:num w:numId="41">
    <w:abstractNumId w:val="0"/>
  </w:num>
  <w:num w:numId="42">
    <w:abstractNumId w:val="15"/>
  </w:num>
  <w:num w:numId="43">
    <w:abstractNumId w:val="46"/>
  </w:num>
  <w:num w:numId="44">
    <w:abstractNumId w:val="18"/>
  </w:num>
  <w:num w:numId="45">
    <w:abstractNumId w:val="39"/>
  </w:num>
  <w:num w:numId="46">
    <w:abstractNumId w:val="39"/>
  </w:num>
  <w:num w:numId="47">
    <w:abstractNumId w:val="49"/>
  </w:num>
  <w:num w:numId="48">
    <w:abstractNumId w:val="13"/>
  </w:num>
  <w:num w:numId="49">
    <w:abstractNumId w:val="48"/>
  </w:num>
  <w:num w:numId="50">
    <w:abstractNumId w:val="1"/>
  </w:num>
  <w:num w:numId="51">
    <w:abstractNumId w:val="68"/>
  </w:num>
  <w:num w:numId="52">
    <w:abstractNumId w:val="64"/>
  </w:num>
  <w:num w:numId="53">
    <w:abstractNumId w:val="5"/>
  </w:num>
  <w:num w:numId="54">
    <w:abstractNumId w:val="31"/>
  </w:num>
  <w:num w:numId="55">
    <w:abstractNumId w:val="42"/>
  </w:num>
  <w:num w:numId="56">
    <w:abstractNumId w:val="28"/>
  </w:num>
  <w:num w:numId="57">
    <w:abstractNumId w:val="67"/>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6"/>
  </w:num>
  <w:num w:numId="61">
    <w:abstractNumId w:val="14"/>
  </w:num>
  <w:num w:numId="62">
    <w:abstractNumId w:val="10"/>
  </w:num>
  <w:num w:numId="63">
    <w:abstractNumId w:val="12"/>
  </w:num>
  <w:num w:numId="64">
    <w:abstractNumId w:val="23"/>
  </w:num>
  <w:num w:numId="65">
    <w:abstractNumId w:val="43"/>
  </w:num>
  <w:num w:numId="66">
    <w:abstractNumId w:val="52"/>
  </w:num>
  <w:num w:numId="67">
    <w:abstractNumId w:val="69"/>
  </w:num>
  <w:num w:numId="68">
    <w:abstractNumId w:val="30"/>
  </w:num>
  <w:num w:numId="69">
    <w:abstractNumId w:val="22"/>
  </w:num>
  <w:num w:numId="70">
    <w:abstractNumId w:val="44"/>
  </w:num>
  <w:num w:numId="71">
    <w:abstractNumId w:val="33"/>
  </w:num>
  <w:num w:numId="72">
    <w:abstractNumId w:val="3"/>
  </w:num>
  <w:num w:numId="73">
    <w:abstractNumId w:val="39"/>
  </w:num>
  <w:num w:numId="74">
    <w:abstractNumId w:val="39"/>
  </w:num>
  <w:num w:numId="7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09"/>
  <w:hyphenationZone w:val="425"/>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AF"/>
    <w:rsid w:val="00510693"/>
    <w:rsid w:val="00F91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8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BodyText">
    <w:name w:val="Body Text"/>
    <w:aliases w:val="bt,BT,.BT,body text,bd,5"/>
    <w:basedOn w:val="Normal"/>
    <w:link w:val="BodyTextChar"/>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aliases w:val="bt Char,BT Char,.BT Char,body text Char,bd Char,5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lutation">
    <w:name w:val="Salutation"/>
    <w:basedOn w:val="Normal"/>
    <w:next w:val="Normal"/>
    <w:link w:val="Salutation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x-none" w:eastAsia="x-none"/>
    </w:rPr>
  </w:style>
  <w:style w:type="character" w:styleId="Emphasis">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FootnoteReference">
    <w:name w:val="footnote reference"/>
    <w:semiHidden/>
    <w:rPr>
      <w:vertAlign w:val="superscript"/>
    </w:rPr>
  </w:style>
  <w:style w:type="paragraph" w:styleId="FootnoteText">
    <w:name w:val="footnote text"/>
    <w:basedOn w:val="Normal"/>
    <w:next w:val="Normal"/>
    <w:link w:val="FootnoteText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FootnoteTextChar">
    <w:name w:val="Footnote Text Char"/>
    <w:basedOn w:val="DefaultParagraphFont"/>
    <w:link w:val="FootnoteText"/>
    <w:rPr>
      <w:rFonts w:ascii="Arial" w:eastAsia="Times New Roman" w:hAnsi="Arial" w:cs="Arial"/>
      <w:sz w:val="16"/>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9"/>
    <w:unhideWhenUsed/>
    <w:pPr>
      <w:numPr>
        <w:numId w:val="41"/>
      </w:numPr>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pt-BR"/>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DefaultParagraphFont"/>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BodyText">
    <w:name w:val="Body Text"/>
    <w:aliases w:val="bt,BT,.BT,body text,bd,5"/>
    <w:basedOn w:val="Normal"/>
    <w:link w:val="BodyTextChar"/>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aliases w:val="bt Char,BT Char,.BT Char,body text Char,bd Char,5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lutation">
    <w:name w:val="Salutation"/>
    <w:basedOn w:val="Normal"/>
    <w:next w:val="Normal"/>
    <w:link w:val="Salutation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x-none" w:eastAsia="x-none"/>
    </w:rPr>
  </w:style>
  <w:style w:type="character" w:styleId="Emphasis">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FootnoteReference">
    <w:name w:val="footnote reference"/>
    <w:semiHidden/>
    <w:rPr>
      <w:vertAlign w:val="superscript"/>
    </w:rPr>
  </w:style>
  <w:style w:type="paragraph" w:styleId="FootnoteText">
    <w:name w:val="footnote text"/>
    <w:basedOn w:val="Normal"/>
    <w:next w:val="Normal"/>
    <w:link w:val="FootnoteText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FootnoteTextChar">
    <w:name w:val="Footnote Text Char"/>
    <w:basedOn w:val="DefaultParagraphFont"/>
    <w:link w:val="FootnoteText"/>
    <w:rPr>
      <w:rFonts w:ascii="Arial" w:eastAsia="Times New Roman" w:hAnsi="Arial" w:cs="Arial"/>
      <w:sz w:val="16"/>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9"/>
    <w:unhideWhenUsed/>
    <w:pPr>
      <w:numPr>
        <w:numId w:val="41"/>
      </w:numPr>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pt-BR"/>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DefaultParagraphFont"/>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png@01D57392.53F4337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8ED8-F2CF-441B-9492-A1EC7ED8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3318</Words>
  <Characters>17922</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user</cp:lastModifiedBy>
  <cp:revision>2</cp:revision>
  <cp:lastPrinted>2019-02-13T05:05:00Z</cp:lastPrinted>
  <dcterms:created xsi:type="dcterms:W3CDTF">2019-10-21T23:47:00Z</dcterms:created>
  <dcterms:modified xsi:type="dcterms:W3CDTF">2019-10-21T23:47:00Z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- 34477746v20 - 599032.447248</vt:lpwstr>
  </property>
</Properties>
</file>