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after="57"/>
        <w:jc w:val="center"/>
        <w:rPr>
          <w:rFonts w:ascii="Verdana" w:hAnsi="Verdana" w:cs="TimesNewRomanPS-BoldMT"/>
          <w:b/>
          <w:bCs/>
          <w:sz w:val="14"/>
          <w:szCs w:val="14"/>
          <w:lang w:val="pt-BR"/>
        </w:rPr>
      </w:pPr>
      <w:r>
        <w:rPr>
          <w:rFonts w:ascii="Verdana" w:hAnsi="Verdana" w:cs="TimesNewRomanPS-BoldMT"/>
          <w:b/>
          <w:bCs/>
          <w:sz w:val="14"/>
          <w:szCs w:val="14"/>
          <w:lang w:val="pt-BR"/>
        </w:rPr>
        <w:t>PROSPECTO PRELIMINAR DA OFERTA PÚBLICA DE DISTRIBUIÇÃO DE DEBÊNTURES SIMPLES, NÃO CONVERSÍVEIS EM AÇÕES,</w:t>
      </w:r>
      <w:r>
        <w:rPr>
          <w:rFonts w:ascii="Verdana" w:hAnsi="Verdana" w:cs="TimesNewRomanPS-BoldMT"/>
          <w:b/>
          <w:bCs/>
          <w:sz w:val="14"/>
          <w:szCs w:val="14"/>
          <w:lang w:val="pt-BR"/>
        </w:rPr>
        <w:t xml:space="preserve"> </w:t>
      </w:r>
      <w:r>
        <w:rPr>
          <w:rFonts w:ascii="Verdana" w:hAnsi="Verdana" w:cs="TimesNewRomanPS-BoldMT"/>
          <w:b/>
          <w:bCs/>
          <w:sz w:val="14"/>
          <w:szCs w:val="14"/>
          <w:lang w:val="pt-BR"/>
        </w:rPr>
        <w:t>DA ESPÉCIE QUIROGRAFÁRIA, EM SÉRIE ÚNICA, DA 13ª EMISSÃO DA</w:t>
      </w:r>
    </w:p>
    <w:p>
      <w:pPr>
        <w:spacing w:after="0"/>
        <w:jc w:val="left"/>
        <w:rPr>
          <w:rFonts w:ascii="Verdana" w:hAnsi="Verdana" w:cs="TimesNewRomanPS-BoldMT"/>
          <w:b/>
          <w:bCs/>
          <w:sz w:val="12"/>
          <w:szCs w:val="12"/>
          <w:lang w:val="pt-BR"/>
        </w:rPr>
      </w:pPr>
      <w:r>
        <w:rPr>
          <w:rFonts w:ascii="Verdana" w:hAnsi="Verdana"/>
          <w:noProof/>
          <w:lang w:val="pt-BR" w:eastAsia="pt-BR"/>
        </w:rPr>
        <w:drawing>
          <wp:anchor distT="0" distB="0" distL="114300" distR="114300" simplePos="0" relativeHeight="251660288" behindDoc="0" locked="0" layoutInCell="1" allowOverlap="1">
            <wp:simplePos x="0" y="0"/>
            <wp:positionH relativeFrom="column">
              <wp:posOffset>2180615</wp:posOffset>
            </wp:positionH>
            <wp:positionV relativeFrom="paragraph">
              <wp:posOffset>40511</wp:posOffset>
            </wp:positionV>
            <wp:extent cx="1282700" cy="382905"/>
            <wp:effectExtent l="0" t="0" r="0" b="0"/>
            <wp:wrapSquare wrapText="bothSides"/>
            <wp:docPr id="28" name="Picture 28"/>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3">
                      <a:extLst>
                        <a:ext uri="{28A0092B-C50C-407E-A947-70E740481C1C}">
                          <a14:useLocalDpi xmlns:a14="http://schemas.microsoft.com/office/drawing/2010/main" val="0"/>
                        </a:ext>
                      </a:extLst>
                    </a:blip>
                    <a:stretch>
                      <a:fillRect/>
                    </a:stretch>
                  </pic:blipFill>
                  <pic:spPr>
                    <a:xfrm>
                      <a:off x="0" y="0"/>
                      <a:ext cx="1282700" cy="382905"/>
                    </a:xfrm>
                    <a:prstGeom prst="rect">
                      <a:avLst/>
                    </a:prstGeom>
                  </pic:spPr>
                </pic:pic>
              </a:graphicData>
            </a:graphic>
          </wp:anchor>
        </w:drawing>
      </w:r>
      <w:r>
        <w:rPr>
          <w:rFonts w:ascii="Verdana" w:hAnsi="Verdana" w:cs="TimesNewRomanPS-BoldMT"/>
          <w:b/>
          <w:bCs/>
          <w:sz w:val="12"/>
          <w:szCs w:val="12"/>
          <w:lang w:val="pt-BR"/>
        </w:rPr>
        <w:br w:type="textWrapping" w:clear="all"/>
      </w:r>
    </w:p>
    <w:p>
      <w:pPr>
        <w:pStyle w:val="BasicParagraph"/>
        <w:spacing w:after="0"/>
        <w:jc w:val="center"/>
        <w:rPr>
          <w:rFonts w:ascii="Verdana" w:hAnsi="Verdana" w:cs="TimesNewRomanPS-BoldMT"/>
          <w:b/>
          <w:bCs/>
          <w:color w:val="auto"/>
          <w:lang w:val="pt-PT"/>
        </w:rPr>
      </w:pPr>
      <w:r>
        <w:rPr>
          <w:rFonts w:ascii="Verdana" w:hAnsi="Verdana" w:cs="TimesNewRomanPS-BoldMT"/>
          <w:b/>
          <w:bCs/>
          <w:color w:val="auto"/>
          <w:lang w:val="pt-PT"/>
        </w:rPr>
        <w:t>RUMO S.A.</w:t>
      </w:r>
    </w:p>
    <w:p>
      <w:pPr>
        <w:pStyle w:val="BasicParagraph"/>
        <w:spacing w:after="0"/>
        <w:jc w:val="center"/>
        <w:rPr>
          <w:rFonts w:ascii="Verdana" w:hAnsi="Verdana" w:cs="TimesNewRomanPSMT"/>
          <w:sz w:val="12"/>
          <w:szCs w:val="12"/>
          <w:lang w:val="pt-PT"/>
        </w:rPr>
      </w:pPr>
      <w:r>
        <w:rPr>
          <w:rFonts w:ascii="Verdana" w:hAnsi="Verdana" w:cs="TimesNewRomanPSMT"/>
          <w:sz w:val="12"/>
          <w:szCs w:val="12"/>
          <w:lang w:val="pt-PT"/>
        </w:rPr>
        <w:t>Companhia Aberta de Capital Autorizado – CVM nº 1745-0 - CNPJ/ME nº 02.387.241/0001-60 - NIRE 41.300.019.886</w:t>
      </w:r>
    </w:p>
    <w:p>
      <w:pPr>
        <w:pStyle w:val="BasicParagraph"/>
        <w:spacing w:after="0"/>
        <w:jc w:val="center"/>
        <w:rPr>
          <w:rFonts w:ascii="Verdana" w:hAnsi="Verdana" w:cs="TimesNewRomanPSMT"/>
          <w:sz w:val="12"/>
          <w:szCs w:val="12"/>
          <w:lang w:val="pt-PT"/>
        </w:rPr>
      </w:pPr>
      <w:r>
        <w:rPr>
          <w:rFonts w:ascii="Verdana" w:hAnsi="Verdana" w:cs="TimesNewRomanPSMT"/>
          <w:sz w:val="12"/>
          <w:szCs w:val="12"/>
          <w:lang w:val="pt-PT"/>
        </w:rPr>
        <w:t>Rua Emilio Bertolini, nº 100, CEP 82920-030, Curitiba, Paraná.</w:t>
      </w:r>
    </w:p>
    <w:p>
      <w:pPr>
        <w:suppressAutoHyphens/>
        <w:spacing w:after="0"/>
        <w:jc w:val="center"/>
        <w:rPr>
          <w:rFonts w:ascii="Verdana" w:hAnsi="Verdana" w:cs="TimesNewRomanPSMT"/>
          <w:sz w:val="12"/>
          <w:szCs w:val="12"/>
          <w:lang w:val="pt-PT"/>
        </w:rPr>
      </w:pPr>
    </w:p>
    <w:p>
      <w:pPr>
        <w:suppressAutoHyphens/>
        <w:spacing w:after="113"/>
        <w:jc w:val="center"/>
        <w:rPr>
          <w:rFonts w:ascii="Verdana" w:hAnsi="Verdana" w:cs="Arial-BoldMT"/>
          <w:b/>
          <w:bCs/>
          <w:sz w:val="12"/>
          <w:szCs w:val="12"/>
          <w:lang w:val="pt-PT"/>
        </w:rPr>
      </w:pPr>
      <w:r>
        <w:rPr>
          <w:rFonts w:ascii="Verdana" w:hAnsi="Verdana" w:cs="Arial-BoldMT"/>
          <w:b/>
          <w:bCs/>
          <w:sz w:val="12"/>
          <w:szCs w:val="12"/>
          <w:lang w:val="pt-PT"/>
        </w:rPr>
        <w:t>Perfazendo o montante total de, inicialmente,</w:t>
      </w:r>
    </w:p>
    <w:p>
      <w:pPr>
        <w:suppressAutoHyphens/>
        <w:spacing w:after="0"/>
        <w:jc w:val="center"/>
        <w:rPr>
          <w:rFonts w:ascii="Verdana" w:hAnsi="Verdana" w:cs="Arial-BoldMT"/>
          <w:b/>
          <w:bCs/>
          <w:sz w:val="32"/>
          <w:szCs w:val="32"/>
          <w:lang w:val="pt-PT"/>
        </w:rPr>
      </w:pPr>
      <w:r>
        <w:rPr>
          <w:rFonts w:ascii="Verdana" w:eastAsiaTheme="minorHAnsi" w:hAnsi="Verdana"/>
          <w:noProof/>
          <w:sz w:val="24"/>
          <w:szCs w:val="24"/>
          <w:lang w:val="pt-BR" w:eastAsia="pt-BR"/>
        </w:rPr>
        <mc:AlternateContent>
          <mc:Choice Requires="wps">
            <w:drawing>
              <wp:anchor distT="0" distB="0" distL="114300" distR="114300" simplePos="0" relativeHeight="251659264" behindDoc="1" locked="0" layoutInCell="1" allowOverlap="1">
                <wp:simplePos x="0" y="0"/>
                <wp:positionH relativeFrom="column">
                  <wp:posOffset>-641985</wp:posOffset>
                </wp:positionH>
                <wp:positionV relativeFrom="page">
                  <wp:posOffset>876300</wp:posOffset>
                </wp:positionV>
                <wp:extent cx="247650" cy="8058150"/>
                <wp:effectExtent l="0" t="0" r="0" b="0"/>
                <wp:wrapNone/>
                <wp:docPr id="9" name="Caixa de tex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8058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pPr>
                              <w:pStyle w:val="DeltaViewTableBody"/>
                              <w:jc w:val="center"/>
                              <w:rPr>
                                <w:rFonts w:cs="Arial"/>
                                <w:color w:val="FF0000"/>
                                <w:spacing w:val="-2"/>
                                <w:sz w:val="10"/>
                                <w:szCs w:val="10"/>
                                <w:lang w:val="pt-BR"/>
                              </w:rPr>
                            </w:pPr>
                            <w:r>
                              <w:rPr>
                                <w:rFonts w:cs="Arial"/>
                                <w:color w:val="FF0000"/>
                                <w:sz w:val="9"/>
                                <w:szCs w:val="9"/>
                                <w:lang w:val="pt-BR"/>
                              </w:rPr>
                              <w:t>As informações contidas neste Prospecto Preliminar estão sob análise da Comissão de Valores Mobiliários, que ainda não se manifestou a seu respeito. O presente Prospecto Preliminar está sujeito à complementação e correção. O Prospecto Definitivo estará disponível nas páginas da rede mundial de computadores da Emissora; da instituição intermediária responsável pela oferta ou, se for o caso, das instituições intermediárias integrantes do consórcio de distribuição; das entidades administradoras de mercado organizado de valores mobiliários onde os valores mobiliários da Emissora sejam admitidos à negociação;e da Comissão de Valores Mobiliários.</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9" o:spid="_x0000_s1026" type="#_x0000_t202" style="position:absolute;left:0;text-align:left;margin-left:-50.55pt;margin-top:69pt;width:19.5pt;height:63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" stroked="f">
                <v:textbox style="layout-flow:vertical;mso-layout-flow-alt:bottom-to-top" inset="0,0,0,0">
                  <w:txbxContent>
                    <w:p>
                      <w:pPr>
                        <w:pStyle w:val="DeltaViewTableBody"/>
                        <w:jc w:val="center"/>
                        <w:rPr>
                          <w:rFonts w:cs="Arial"/>
                          <w:color w:val="FF0000"/>
                          <w:spacing w:val="-2"/>
                          <w:sz w:val="10"/>
                          <w:szCs w:val="10"/>
                          <w:lang w:val="pt-BR"/>
                        </w:rPr>
                      </w:pPr>
                      <w:r>
                        <w:rPr>
                          <w:rFonts w:cs="Arial"/>
                          <w:color w:val="FF0000"/>
                          <w:sz w:val="9"/>
                          <w:szCs w:val="9"/>
                          <w:lang w:val="pt-BR"/>
                        </w:rPr>
                        <w:t>As informações contidas neste Prospecto Preliminar estão sob análise da Comissão de Valores Mobiliários, que ainda não se manifestou a seu respeito. O presente Prospecto Preliminar está sujeito à complementação e correção. O Prospecto Definitivo estará disponível nas páginas da rede mundial de computadores da Emissora; da instituição intermediária responsável pela oferta ou, se for o caso, das instituições intermediárias integrantes do consórcio de distribuição; das entidades administradoras de mercado organizado de valores mobiliários onde os valores mobiliários da Emissora sejam admitidos à negociação;e da Comissão de Valores Mobiliários.</w:t>
                      </w:r>
                    </w:p>
                  </w:txbxContent>
                </v:textbox>
                <w10:wrap anchory="page"/>
              </v:shape>
            </w:pict>
          </mc:Fallback>
        </mc:AlternateContent>
      </w:r>
      <w:r>
        <w:rPr>
          <w:rFonts w:ascii="Verdana" w:hAnsi="Verdana" w:cs="Arial-BoldMT"/>
          <w:b/>
          <w:bCs/>
          <w:sz w:val="32"/>
          <w:szCs w:val="32"/>
          <w:lang w:val="pt-PT"/>
        </w:rPr>
        <w:t>R$ 1.000.000.000,00</w:t>
      </w:r>
    </w:p>
    <w:p>
      <w:pPr>
        <w:pStyle w:val="BasicParagraph"/>
        <w:spacing w:before="57" w:after="0" w:line="240" w:lineRule="auto"/>
        <w:jc w:val="center"/>
        <w:rPr>
          <w:rFonts w:ascii="Verdana" w:hAnsi="Verdana" w:cs="TimesNewRomanPS-BoldMT"/>
          <w:b/>
          <w:bCs/>
          <w:sz w:val="7"/>
          <w:szCs w:val="7"/>
          <w:lang w:val="pt-PT"/>
        </w:rPr>
      </w:pPr>
      <w:r>
        <w:rPr>
          <w:rFonts w:ascii="Verdana" w:hAnsi="Verdana" w:cs="TimesNewRomanPS-BoldMT"/>
          <w:b/>
          <w:bCs/>
          <w:sz w:val="7"/>
          <w:szCs w:val="7"/>
          <w:lang w:val="pt-PT"/>
        </w:rPr>
        <w:t xml:space="preserve">Código ISIN das Debêntures: </w:t>
      </w:r>
      <w:r>
        <w:rPr>
          <w:rFonts w:ascii="Verdana" w:hAnsi="Verdana" w:cs="TimesNewRomanPS-BoldMT"/>
          <w:b/>
          <w:bCs/>
          <w:sz w:val="7"/>
          <w:szCs w:val="7"/>
          <w:lang w:val="pt-PT"/>
        </w:rPr>
        <w:t>[●]</w:t>
      </w:r>
    </w:p>
    <w:p>
      <w:pPr>
        <w:pStyle w:val="BasicParagraph"/>
        <w:spacing w:before="57" w:after="57" w:line="240" w:lineRule="auto"/>
        <w:jc w:val="center"/>
        <w:rPr>
          <w:rFonts w:ascii="Verdana" w:hAnsi="Verdana" w:cs="TimesNewRomanPS-BoldMT"/>
          <w:b/>
          <w:bCs/>
          <w:sz w:val="7"/>
          <w:szCs w:val="7"/>
          <w:lang w:val="pt-PT"/>
        </w:rPr>
      </w:pPr>
      <w:r>
        <w:rPr>
          <w:rFonts w:ascii="Verdana" w:hAnsi="Verdana" w:cs="TimesNewRomanPS-BoldMT"/>
          <w:b/>
          <w:bCs/>
          <w:sz w:val="7"/>
          <w:szCs w:val="7"/>
          <w:lang w:val="pt-PT"/>
        </w:rPr>
        <w:t>Classificação de Risco Preliminar da Emissão (</w:t>
      </w:r>
      <w:r>
        <w:rPr>
          <w:rFonts w:ascii="Verdana" w:hAnsi="Verdana" w:cs="TimesNewRomanPS-BoldItalicMT"/>
          <w:b/>
          <w:bCs/>
          <w:i/>
          <w:iCs/>
          <w:sz w:val="7"/>
          <w:szCs w:val="7"/>
          <w:lang w:val="pt-PT"/>
        </w:rPr>
        <w:t>Rating</w:t>
      </w:r>
      <w:r>
        <w:rPr>
          <w:rFonts w:ascii="Verdana" w:hAnsi="Verdana" w:cs="TimesNewRomanPS-BoldMT"/>
          <w:b/>
          <w:bCs/>
          <w:sz w:val="7"/>
          <w:szCs w:val="7"/>
          <w:lang w:val="pt-PT"/>
        </w:rPr>
        <w:t>) pela Fitch: “[</w:t>
      </w:r>
      <w:r>
        <w:rPr>
          <w:rFonts w:ascii="Verdana" w:hAnsi="Verdana" w:cs="TimesNewRomanPS-BoldMT"/>
          <w:b/>
          <w:bCs/>
          <w:sz w:val="7"/>
          <w:szCs w:val="7"/>
          <w:lang w:val="pt-PT"/>
        </w:rPr>
        <w:sym w:font="Symbol" w:char="F0B7"/>
      </w:r>
      <w:r>
        <w:rPr>
          <w:rFonts w:ascii="Verdana" w:hAnsi="Verdana" w:cs="TimesNewRomanPS-BoldMT"/>
          <w:b/>
          <w:bCs/>
          <w:sz w:val="7"/>
          <w:szCs w:val="7"/>
          <w:lang w:val="pt-PT"/>
        </w:rPr>
        <w:t>]”</w:t>
      </w:r>
    </w:p>
    <w:p>
      <w:pPr>
        <w:suppressAutoHyphens/>
        <w:spacing w:after="0"/>
        <w:rPr>
          <w:rFonts w:ascii="Verdana" w:hAnsi="Verdana"/>
          <w:sz w:val="7"/>
          <w:szCs w:val="7"/>
          <w:lang w:val="pt-PT"/>
        </w:rPr>
      </w:pPr>
      <w:r>
        <w:rPr>
          <w:rFonts w:ascii="Verdana" w:hAnsi="Verdana"/>
          <w:sz w:val="7"/>
          <w:szCs w:val="7"/>
          <w:lang w:val="pt-PT"/>
        </w:rPr>
        <w:t xml:space="preserve">A </w:t>
      </w:r>
      <w:r>
        <w:rPr>
          <w:rFonts w:ascii="Verdana" w:hAnsi="Verdana" w:cs="Arial-BoldMT"/>
          <w:b/>
          <w:bCs/>
          <w:sz w:val="7"/>
          <w:szCs w:val="7"/>
          <w:lang w:val="pt-PT"/>
        </w:rPr>
        <w:t>RUMO S.A.</w:t>
      </w:r>
      <w:r>
        <w:rPr>
          <w:rFonts w:ascii="Verdana" w:hAnsi="Verdana"/>
          <w:sz w:val="7"/>
          <w:szCs w:val="7"/>
          <w:lang w:val="pt-PT"/>
        </w:rPr>
        <w:t xml:space="preserve"> (“</w:t>
      </w:r>
      <w:r>
        <w:rPr>
          <w:rFonts w:ascii="Verdana" w:hAnsi="Verdana" w:cs="Arial-BoldMT"/>
          <w:b/>
          <w:bCs/>
          <w:sz w:val="7"/>
          <w:szCs w:val="7"/>
          <w:lang w:val="pt-PT"/>
        </w:rPr>
        <w:t>Emissora</w:t>
      </w:r>
      <w:r>
        <w:rPr>
          <w:rFonts w:ascii="Verdana" w:hAnsi="Verdana"/>
          <w:sz w:val="7"/>
          <w:szCs w:val="7"/>
          <w:lang w:val="pt-PT"/>
        </w:rPr>
        <w:t>” ou “</w:t>
      </w:r>
      <w:r>
        <w:rPr>
          <w:rFonts w:ascii="Verdana" w:hAnsi="Verdana" w:cs="Arial-BoldMT"/>
          <w:b/>
          <w:bCs/>
          <w:sz w:val="7"/>
          <w:szCs w:val="7"/>
          <w:lang w:val="pt-PT"/>
        </w:rPr>
        <w:t>Companhia</w:t>
      </w:r>
      <w:r>
        <w:rPr>
          <w:rFonts w:ascii="Verdana" w:hAnsi="Verdana"/>
          <w:sz w:val="7"/>
          <w:szCs w:val="7"/>
          <w:lang w:val="pt-PT"/>
        </w:rPr>
        <w:t>”) está realizando uma oferta pública de distribuição de, inicialmente, 1.000.000 debêntures (“</w:t>
      </w:r>
      <w:r>
        <w:rPr>
          <w:rFonts w:ascii="Verdana" w:hAnsi="Verdana" w:cs="Arial-BoldMT"/>
          <w:b/>
          <w:bCs/>
          <w:sz w:val="7"/>
          <w:szCs w:val="7"/>
          <w:lang w:val="pt-PT"/>
        </w:rPr>
        <w:t>Debêntures</w:t>
      </w:r>
      <w:r>
        <w:rPr>
          <w:rFonts w:ascii="Verdana" w:hAnsi="Verdana"/>
          <w:sz w:val="7"/>
          <w:szCs w:val="7"/>
          <w:lang w:val="pt-PT"/>
        </w:rPr>
        <w:t>”), sem considerar as Debêntures Adicionais (conforme definido neste Prospecto), todas nominativas, escriturais, simples, não conversíveis em ações, da espécie quirografária, em série única, da sua 13ª emissão (“</w:t>
      </w:r>
      <w:r>
        <w:rPr>
          <w:rFonts w:ascii="Verdana" w:hAnsi="Verdana" w:cs="Arial-BoldMT"/>
          <w:b/>
          <w:bCs/>
          <w:sz w:val="7"/>
          <w:szCs w:val="7"/>
          <w:lang w:val="pt-PT"/>
        </w:rPr>
        <w:t>Emissão</w:t>
      </w:r>
      <w:r>
        <w:rPr>
          <w:rFonts w:ascii="Verdana" w:hAnsi="Verdana"/>
          <w:sz w:val="7"/>
          <w:szCs w:val="7"/>
          <w:lang w:val="pt-PT"/>
        </w:rPr>
        <w:t>”), com valor nominal unitário de R$ 1.000,00, na data de emissão das Debêntures, qual seja, 15 de outubro de 2019 (“</w:t>
      </w:r>
      <w:r>
        <w:rPr>
          <w:rFonts w:ascii="Verdana" w:hAnsi="Verdana" w:cs="Arial-BoldMT"/>
          <w:b/>
          <w:bCs/>
          <w:sz w:val="7"/>
          <w:szCs w:val="7"/>
          <w:lang w:val="pt-PT"/>
        </w:rPr>
        <w:t>Data de Emissão</w:t>
      </w:r>
      <w:r>
        <w:rPr>
          <w:rFonts w:ascii="Verdana" w:hAnsi="Verdana"/>
          <w:sz w:val="7"/>
          <w:szCs w:val="7"/>
          <w:lang w:val="pt-PT"/>
        </w:rPr>
        <w:t>”), perfazendo o montante total de, inicialmente, R$1.000.000.000,00 (um bilhão de reais), sem considerar as Debêntures Adicionais, sob a coordenação do Banco Itaú BBA S.A. ou (“</w:t>
      </w:r>
      <w:r>
        <w:rPr>
          <w:rFonts w:ascii="Verdana" w:hAnsi="Verdana" w:cs="Arial-BoldMT"/>
          <w:b/>
          <w:bCs/>
          <w:sz w:val="7"/>
          <w:szCs w:val="7"/>
          <w:lang w:val="pt-PT"/>
        </w:rPr>
        <w:t>Itaú BBA</w:t>
      </w:r>
      <w:r>
        <w:rPr>
          <w:rFonts w:ascii="Verdana" w:hAnsi="Verdana"/>
          <w:sz w:val="7"/>
          <w:szCs w:val="7"/>
          <w:lang w:val="pt-PT"/>
        </w:rPr>
        <w:t>” ou “</w:t>
      </w:r>
      <w:r>
        <w:rPr>
          <w:rFonts w:ascii="Verdana" w:hAnsi="Verdana" w:cs="Arial-BoldMT"/>
          <w:b/>
          <w:bCs/>
          <w:sz w:val="7"/>
          <w:szCs w:val="7"/>
          <w:lang w:val="pt-PT"/>
        </w:rPr>
        <w:t>Coordenador Líder</w:t>
      </w:r>
      <w:r>
        <w:rPr>
          <w:rFonts w:ascii="Verdana" w:hAnsi="Verdana"/>
          <w:sz w:val="7"/>
          <w:szCs w:val="7"/>
          <w:lang w:val="pt-PT"/>
        </w:rPr>
        <w:t>”), do Banco Bradesco BBI S.A. (“</w:t>
      </w:r>
      <w:r>
        <w:rPr>
          <w:rFonts w:ascii="Verdana" w:hAnsi="Verdana" w:cs="Arial-BoldMT"/>
          <w:b/>
          <w:bCs/>
          <w:sz w:val="7"/>
          <w:szCs w:val="7"/>
          <w:lang w:val="pt-PT"/>
        </w:rPr>
        <w:t>Bradesco BBI</w:t>
      </w:r>
      <w:r>
        <w:rPr>
          <w:rFonts w:ascii="Verdana" w:hAnsi="Verdana"/>
          <w:sz w:val="7"/>
          <w:szCs w:val="7"/>
          <w:lang w:val="pt-PT"/>
        </w:rPr>
        <w:t>”), do Banco Santander (Brasil) S.A. (“</w:t>
      </w:r>
      <w:r>
        <w:rPr>
          <w:rFonts w:ascii="Verdana" w:hAnsi="Verdana" w:cs="Arial-BoldMT"/>
          <w:b/>
          <w:bCs/>
          <w:sz w:val="7"/>
          <w:szCs w:val="7"/>
          <w:lang w:val="pt-PT"/>
        </w:rPr>
        <w:t>Santander</w:t>
      </w:r>
      <w:r>
        <w:rPr>
          <w:rFonts w:ascii="Verdana" w:hAnsi="Verdana"/>
          <w:sz w:val="7"/>
          <w:szCs w:val="7"/>
          <w:lang w:val="pt-PT"/>
        </w:rPr>
        <w:t>”), do BB – Banco de Investimento S.A. (“</w:t>
      </w:r>
      <w:r>
        <w:rPr>
          <w:rFonts w:ascii="Verdana" w:hAnsi="Verdana" w:cs="Arial-BoldMT"/>
          <w:b/>
          <w:bCs/>
          <w:sz w:val="7"/>
          <w:szCs w:val="7"/>
          <w:lang w:val="pt-PT"/>
        </w:rPr>
        <w:t>BB-BI</w:t>
      </w:r>
      <w:r>
        <w:rPr>
          <w:rFonts w:ascii="Verdana" w:hAnsi="Verdana"/>
          <w:sz w:val="7"/>
          <w:szCs w:val="7"/>
          <w:lang w:val="pt-PT"/>
        </w:rPr>
        <w:t>”),  da XP Investimentos Corretora de Câmbio, Títulos e Valores Mobiliários S.A. (“</w:t>
      </w:r>
      <w:r>
        <w:rPr>
          <w:rFonts w:ascii="Verdana" w:hAnsi="Verdana" w:cs="Arial-BoldMT"/>
          <w:b/>
          <w:bCs/>
          <w:sz w:val="7"/>
          <w:szCs w:val="7"/>
          <w:lang w:val="pt-PT"/>
        </w:rPr>
        <w:t>XP Investimentos</w:t>
      </w:r>
      <w:r>
        <w:rPr>
          <w:rFonts w:ascii="Verdana" w:hAnsi="Verdana"/>
          <w:sz w:val="7"/>
          <w:szCs w:val="7"/>
          <w:lang w:val="pt-PT"/>
        </w:rPr>
        <w:t>”); e do Banco BTG Pactual S.A. (“</w:t>
      </w:r>
      <w:r>
        <w:rPr>
          <w:rFonts w:ascii="Verdana" w:hAnsi="Verdana" w:cs="Arial-BoldMT"/>
          <w:b/>
          <w:bCs/>
          <w:sz w:val="7"/>
          <w:szCs w:val="7"/>
          <w:lang w:val="pt-PT"/>
        </w:rPr>
        <w:t>BTG Pactual</w:t>
      </w:r>
      <w:r>
        <w:rPr>
          <w:rFonts w:ascii="Verdana" w:hAnsi="Verdana"/>
          <w:sz w:val="7"/>
          <w:szCs w:val="7"/>
          <w:lang w:val="pt-PT"/>
        </w:rPr>
        <w:t xml:space="preserve"> e, em conjunto com o Coordenador Líder, o Bradesco BBI, o Santander, o BB-BI e a XP Investimentos, “</w:t>
      </w:r>
      <w:r>
        <w:rPr>
          <w:rFonts w:ascii="Verdana" w:hAnsi="Verdana" w:cs="Arial-BoldMT"/>
          <w:b/>
          <w:bCs/>
          <w:sz w:val="7"/>
          <w:szCs w:val="7"/>
          <w:lang w:val="pt-PT"/>
        </w:rPr>
        <w:t>Coordenadores</w:t>
      </w:r>
      <w:r>
        <w:rPr>
          <w:rFonts w:ascii="Verdana" w:hAnsi="Verdana"/>
          <w:sz w:val="7"/>
          <w:szCs w:val="7"/>
          <w:lang w:val="pt-PT"/>
        </w:rPr>
        <w:t>”), nos termos da Instrução da Comissão de Valores Mobiliários (“</w:t>
      </w:r>
      <w:r>
        <w:rPr>
          <w:rFonts w:ascii="Verdana" w:hAnsi="Verdana" w:cs="Arial-BoldMT"/>
          <w:b/>
          <w:bCs/>
          <w:sz w:val="7"/>
          <w:szCs w:val="7"/>
          <w:lang w:val="pt-PT"/>
        </w:rPr>
        <w:t>CVM</w:t>
      </w:r>
      <w:r>
        <w:rPr>
          <w:rFonts w:ascii="Verdana" w:hAnsi="Verdana"/>
          <w:sz w:val="7"/>
          <w:szCs w:val="7"/>
          <w:lang w:val="pt-PT"/>
        </w:rPr>
        <w:t>”) n° 400, de 29 de dezembro de 2003, conforme alterada (“</w:t>
      </w:r>
      <w:r>
        <w:rPr>
          <w:rFonts w:ascii="Verdana" w:hAnsi="Verdana" w:cs="Arial-BoldMT"/>
          <w:b/>
          <w:bCs/>
          <w:sz w:val="7"/>
          <w:szCs w:val="7"/>
          <w:lang w:val="pt-PT"/>
        </w:rPr>
        <w:t>Instrução CVM 400</w:t>
      </w:r>
      <w:r>
        <w:rPr>
          <w:rFonts w:ascii="Verdana" w:hAnsi="Verdana"/>
          <w:sz w:val="7"/>
          <w:szCs w:val="7"/>
          <w:lang w:val="pt-PT"/>
        </w:rPr>
        <w:t>”), do Código ANBIMA de Ofertas Públicas (conforme definido neste Prospecto), e das demais disposições legais e regulamentares aplicáveis (“</w:t>
      </w:r>
      <w:r>
        <w:rPr>
          <w:rFonts w:ascii="Verdana" w:hAnsi="Verdana" w:cs="Arial-BoldMT"/>
          <w:b/>
          <w:bCs/>
          <w:sz w:val="7"/>
          <w:szCs w:val="7"/>
          <w:lang w:val="pt-PT"/>
        </w:rPr>
        <w:t>Oferta</w:t>
      </w:r>
      <w:r>
        <w:rPr>
          <w:rFonts w:ascii="Verdana" w:hAnsi="Verdana"/>
          <w:sz w:val="7"/>
          <w:szCs w:val="7"/>
          <w:lang w:val="pt-PT"/>
        </w:rPr>
        <w:t xml:space="preserve">”). </w:t>
      </w:r>
    </w:p>
    <w:p>
      <w:pPr>
        <w:suppressAutoHyphens/>
        <w:spacing w:after="0"/>
        <w:rPr>
          <w:rFonts w:ascii="Verdana" w:hAnsi="Verdana"/>
          <w:sz w:val="7"/>
          <w:szCs w:val="7"/>
          <w:lang w:val="pt-PT"/>
        </w:rPr>
      </w:pPr>
    </w:p>
    <w:p>
      <w:pPr>
        <w:suppressAutoHyphens/>
        <w:spacing w:after="0"/>
        <w:rPr>
          <w:rFonts w:ascii="Verdana" w:hAnsi="Verdana" w:cs="Arial-BoldMT"/>
          <w:b/>
          <w:bCs/>
          <w:sz w:val="7"/>
          <w:szCs w:val="7"/>
          <w:lang w:val="pt-PT"/>
        </w:rPr>
      </w:pPr>
      <w:r>
        <w:rPr>
          <w:rFonts w:ascii="Verdana" w:hAnsi="Verdana"/>
          <w:sz w:val="7"/>
          <w:szCs w:val="7"/>
          <w:lang w:val="pt-PT"/>
        </w:rPr>
        <w:t>As Debêntures serão objeto de distribuição pública, nos termos da Lei nº 6.385, de 7 de dezembro de 1976, conforme alterada (“</w:t>
      </w:r>
      <w:r>
        <w:rPr>
          <w:rFonts w:ascii="Verdana" w:hAnsi="Verdana" w:cs="Arial-BoldMT"/>
          <w:b/>
          <w:bCs/>
          <w:sz w:val="7"/>
          <w:szCs w:val="7"/>
          <w:lang w:val="pt-PT"/>
        </w:rPr>
        <w:t>Lei do Mercado de Capitais</w:t>
      </w:r>
      <w:r>
        <w:rPr>
          <w:rFonts w:ascii="Verdana" w:hAnsi="Verdana"/>
          <w:sz w:val="7"/>
          <w:szCs w:val="7"/>
          <w:lang w:val="pt-PT"/>
        </w:rPr>
        <w:t>”), da Instrução CVM 400, observado especialmente o procedimento de concessão automático de registro de oferta pública de valores mobiliários emitidos por emissores com grande exposição no mercado, conforme disposto nos artigos 6º - A e 6º- B da Instrução CVM 400,</w:t>
      </w:r>
      <w:r>
        <w:rPr>
          <w:rFonts w:ascii="Verdana" w:hAnsi="Verdana" w:cs="Arial-BoldMT"/>
          <w:b/>
          <w:bCs/>
          <w:sz w:val="7"/>
          <w:szCs w:val="7"/>
          <w:lang w:val="pt-PT"/>
        </w:rPr>
        <w:t xml:space="preserve"> </w:t>
      </w:r>
      <w:r>
        <w:rPr>
          <w:rFonts w:ascii="Verdana" w:hAnsi="Verdana"/>
          <w:sz w:val="7"/>
          <w:szCs w:val="7"/>
          <w:lang w:val="pt-PT"/>
        </w:rPr>
        <w:t xml:space="preserve">do Código ANBIMA de Ofertas Públicas e das demais disposições legais e regulamentares aplicáveis, nos termos do Contrato de Distribuição (conforme definido neste Prospecto), com a intermediação dos Coordenadores e/ou outras instituições financeiras autorizadas a operar no mercado de capitais para participar da colocação das Debêntures junto a potenciais Investidores da Oferta (conforme definido neste Prospecto). Nos termos do Contrato de Distribuição, e desde que cumpridas as condições precedentes elencadas no Contrato de Distribuição, os Coordenadores realizarão a Oferta de acordo com o Plano de Distribuição (conforme definido neste Prospecto), sob o regime de garantia firme de colocação, de forma individual e não solidária entre os Coordenadores, para o montante total de R$1.000.000.000,00 (um bilhão de reais), sem considerar as Debêntures Adicionais (as quais, caso sejam emitidas, serão distribuídas em regime de melhores esforços de colocação). </w:t>
      </w:r>
      <w:r>
        <w:rPr>
          <w:rFonts w:ascii="Verdana" w:hAnsi="Verdana" w:cs="Arial-BoldMT"/>
          <w:b/>
          <w:bCs/>
          <w:sz w:val="7"/>
          <w:szCs w:val="7"/>
          <w:lang w:val="pt-PT"/>
        </w:rPr>
        <w:t>Para mais informações sobre o regime de colocação das Debêntures, veja a seção “Informações Relativas à Emissão, à Oferta e às Debêntures - Contrato de Distribuição - Regime de Colocação”, na página [</w:t>
      </w:r>
      <w:r>
        <w:rPr>
          <w:rFonts w:ascii="Verdana" w:hAnsi="Verdana" w:cs="Arial-BoldMT"/>
          <w:b/>
          <w:bCs/>
          <w:sz w:val="7"/>
          <w:szCs w:val="7"/>
          <w:lang w:val="pt-PT"/>
        </w:rPr>
        <w:sym w:font="Symbol" w:char="F0B7"/>
      </w:r>
      <w:r>
        <w:rPr>
          <w:rFonts w:ascii="Verdana" w:hAnsi="Verdana" w:cs="Arial-BoldMT"/>
          <w:b/>
          <w:bCs/>
          <w:sz w:val="7"/>
          <w:szCs w:val="7"/>
          <w:lang w:val="pt-PT"/>
        </w:rPr>
        <w:t>] deste Prospecto.</w:t>
      </w:r>
    </w:p>
    <w:p>
      <w:pPr>
        <w:suppressAutoHyphens/>
        <w:spacing w:after="0"/>
        <w:rPr>
          <w:rFonts w:ascii="Verdana" w:hAnsi="Verdana" w:cs="Arial-BoldMT"/>
          <w:b/>
          <w:bCs/>
          <w:sz w:val="7"/>
          <w:szCs w:val="7"/>
          <w:lang w:val="pt-PT"/>
        </w:rPr>
      </w:pPr>
    </w:p>
    <w:p>
      <w:pPr>
        <w:suppressAutoHyphens/>
        <w:spacing w:after="0"/>
        <w:rPr>
          <w:rFonts w:ascii="Verdana" w:hAnsi="Verdana"/>
          <w:sz w:val="7"/>
          <w:szCs w:val="7"/>
          <w:lang w:val="pt-PT"/>
        </w:rPr>
      </w:pPr>
      <w:r>
        <w:rPr>
          <w:rFonts w:ascii="Verdana" w:hAnsi="Verdana"/>
          <w:sz w:val="7"/>
          <w:szCs w:val="7"/>
          <w:lang w:val="pt-PT"/>
        </w:rPr>
        <w:t>Será adotado o procedimento de coleta de intenções de investimento, organizado pelos Coordenadores, nos termos do artigo 23, parágrafo 1° e 2º do artigo 44 da Instrução CVM 400 (“</w:t>
      </w:r>
      <w:r>
        <w:rPr>
          <w:rFonts w:ascii="Verdana" w:hAnsi="Verdana" w:cs="Arial-BoldMT"/>
          <w:b/>
          <w:bCs/>
          <w:sz w:val="7"/>
          <w:szCs w:val="7"/>
          <w:lang w:val="pt-PT"/>
        </w:rPr>
        <w:t xml:space="preserve">Procedimento de </w:t>
      </w:r>
      <w:r>
        <w:rPr>
          <w:rFonts w:ascii="Verdana" w:hAnsi="Verdana" w:cs="Arial-BoldItalicMT"/>
          <w:b/>
          <w:bCs/>
          <w:i/>
          <w:iCs/>
          <w:sz w:val="7"/>
          <w:szCs w:val="7"/>
          <w:lang w:val="pt-PT"/>
        </w:rPr>
        <w:t>Bookbuilding</w:t>
      </w:r>
      <w:r>
        <w:rPr>
          <w:rFonts w:ascii="Verdana" w:hAnsi="Verdana"/>
          <w:sz w:val="7"/>
          <w:szCs w:val="7"/>
          <w:lang w:val="pt-PT"/>
        </w:rPr>
        <w:t xml:space="preserve">”), o qual definirá, de comum acordo com a Emissora: (a) a taxa final dos Juros Remuneratórios (conforme definidos neste Prospecto); (b) a alocação das Debêntures entre os Investidores da Oferta e (c) a colocação, ou não, das Debêntures Adicionais. Participarão do Procedimento de </w:t>
      </w:r>
      <w:r>
        <w:rPr>
          <w:rFonts w:ascii="Verdana" w:hAnsi="Verdana" w:cs="Arial-ItalicMT"/>
          <w:i/>
          <w:iCs/>
          <w:sz w:val="7"/>
          <w:szCs w:val="7"/>
          <w:lang w:val="pt-PT"/>
        </w:rPr>
        <w:t xml:space="preserve">Bookbuilding </w:t>
      </w:r>
      <w:r>
        <w:rPr>
          <w:rFonts w:ascii="Verdana" w:hAnsi="Verdana"/>
          <w:sz w:val="7"/>
          <w:szCs w:val="7"/>
          <w:lang w:val="pt-PT"/>
        </w:rPr>
        <w:t xml:space="preserve">para definição dos Juros Remuneratórios exclusivamente Investidores Institucionais (conforme definido neste Prospecto). Os Investidores Não Institucionais não participarão do Procedimento de </w:t>
      </w:r>
      <w:r>
        <w:rPr>
          <w:rFonts w:ascii="Verdana" w:hAnsi="Verdana" w:cs="Arial-ItalicMT"/>
          <w:i/>
          <w:iCs/>
          <w:sz w:val="7"/>
          <w:szCs w:val="7"/>
          <w:lang w:val="pt-PT"/>
        </w:rPr>
        <w:t>Bookbuilding</w:t>
      </w:r>
      <w:r>
        <w:rPr>
          <w:rFonts w:ascii="Verdana" w:hAnsi="Verdana"/>
          <w:sz w:val="7"/>
          <w:szCs w:val="7"/>
          <w:lang w:val="pt-PT"/>
        </w:rPr>
        <w:t xml:space="preserve"> para a definição dos Juros Remuneratórios.</w:t>
      </w:r>
      <w:r>
        <w:rPr>
          <w:rFonts w:ascii="Verdana" w:hAnsi="Verdana" w:cs="Arial-BoldMT"/>
          <w:b/>
          <w:bCs/>
          <w:sz w:val="7"/>
          <w:szCs w:val="7"/>
          <w:lang w:val="pt-PT"/>
        </w:rPr>
        <w:t xml:space="preserve"> Para mais informações sobre o Procedimento de </w:t>
      </w:r>
      <w:r>
        <w:rPr>
          <w:rFonts w:ascii="Verdana" w:hAnsi="Verdana" w:cs="Arial-BoldItalicMT"/>
          <w:b/>
          <w:bCs/>
          <w:i/>
          <w:iCs/>
          <w:sz w:val="7"/>
          <w:szCs w:val="7"/>
          <w:lang w:val="pt-PT"/>
        </w:rPr>
        <w:t>Bookbuilding</w:t>
      </w:r>
      <w:r>
        <w:rPr>
          <w:rFonts w:ascii="Verdana" w:hAnsi="Verdana" w:cs="Arial-BoldMT"/>
          <w:b/>
          <w:bCs/>
          <w:sz w:val="7"/>
          <w:szCs w:val="7"/>
          <w:lang w:val="pt-PT"/>
        </w:rPr>
        <w:t>, veja a seção “Informações Relativas à Emissão, à Oferta e às Debêntures - Características da Oferta – Procedimento de Coleta de Intenções de Investimento (Procedimento de</w:t>
      </w:r>
      <w:r>
        <w:rPr>
          <w:rFonts w:ascii="Verdana" w:hAnsi="Verdana" w:cs="Arial-BoldItalicMT"/>
          <w:b/>
          <w:bCs/>
          <w:i/>
          <w:iCs/>
          <w:sz w:val="7"/>
          <w:szCs w:val="7"/>
          <w:lang w:val="pt-PT"/>
        </w:rPr>
        <w:t xml:space="preserve"> Bookbuilding</w:t>
      </w:r>
      <w:r>
        <w:rPr>
          <w:rFonts w:ascii="Verdana" w:hAnsi="Verdana" w:cs="Arial-BoldMT"/>
          <w:b/>
          <w:bCs/>
          <w:sz w:val="7"/>
          <w:szCs w:val="7"/>
          <w:lang w:val="pt-PT"/>
        </w:rPr>
        <w:t>)”, na página [</w:t>
      </w:r>
      <w:r>
        <w:rPr>
          <w:rFonts w:ascii="Verdana" w:hAnsi="Verdana" w:cs="Arial-BoldMT"/>
          <w:b/>
          <w:bCs/>
          <w:sz w:val="7"/>
          <w:szCs w:val="7"/>
          <w:lang w:val="pt-PT"/>
        </w:rPr>
        <w:sym w:font="Symbol" w:char="F0B7"/>
      </w:r>
      <w:r>
        <w:rPr>
          <w:rFonts w:ascii="Verdana" w:hAnsi="Verdana" w:cs="Arial-BoldMT"/>
          <w:b/>
          <w:bCs/>
          <w:sz w:val="7"/>
          <w:szCs w:val="7"/>
          <w:lang w:val="pt-PT"/>
        </w:rPr>
        <w:t>]deste Prospecto</w:t>
      </w:r>
      <w:r>
        <w:rPr>
          <w:rFonts w:ascii="Verdana" w:hAnsi="Verdana"/>
          <w:sz w:val="7"/>
          <w:szCs w:val="7"/>
          <w:lang w:val="pt-PT"/>
        </w:rPr>
        <w:t xml:space="preserve">. </w:t>
      </w:r>
    </w:p>
    <w:p>
      <w:pPr>
        <w:suppressAutoHyphens/>
        <w:spacing w:after="0"/>
        <w:rPr>
          <w:rFonts w:ascii="Verdana" w:hAnsi="Verdana"/>
          <w:sz w:val="7"/>
          <w:szCs w:val="7"/>
          <w:lang w:val="pt-PT"/>
        </w:rPr>
      </w:pPr>
    </w:p>
    <w:p>
      <w:pPr>
        <w:suppressAutoHyphens/>
        <w:spacing w:after="0"/>
        <w:rPr>
          <w:rFonts w:ascii="Verdana" w:hAnsi="Verdana"/>
          <w:sz w:val="7"/>
          <w:szCs w:val="7"/>
          <w:lang w:val="pt-PT"/>
        </w:rPr>
      </w:pPr>
      <w:r>
        <w:rPr>
          <w:rFonts w:ascii="Verdana" w:hAnsi="Verdana"/>
          <w:sz w:val="7"/>
          <w:szCs w:val="7"/>
          <w:lang w:val="pt-PT"/>
        </w:rPr>
        <w:t>Nos termos do artigo 14, parágrafo 2°, da Instrução CVM 400, a quantidade de Debêntures inicialmente ofertada poderá ser acrescida em até 20% (vinte por cento), ou seja, em até 200.000 (duzentas mil) Debêntures adicionais, nas mesmas condições das Debêntures inicialmente ofertadas (“</w:t>
      </w:r>
      <w:r>
        <w:rPr>
          <w:rFonts w:ascii="Verdana" w:hAnsi="Verdana" w:cs="Arial-BoldMT"/>
          <w:b/>
          <w:bCs/>
          <w:sz w:val="7"/>
          <w:szCs w:val="7"/>
          <w:lang w:val="pt-PT"/>
        </w:rPr>
        <w:t>Debêntures Adicionais</w:t>
      </w:r>
      <w:r>
        <w:rPr>
          <w:rFonts w:ascii="Verdana" w:hAnsi="Verdana"/>
          <w:sz w:val="7"/>
          <w:szCs w:val="7"/>
          <w:lang w:val="pt-PT"/>
        </w:rPr>
        <w:t>”), sem a necessidade de novo pedido de registro ou modificação dos termos da Emissão e da Oferta à CVM, podendo ser emitidas pela Emissora até a data de divulgação do Anúncio de Início da Oferta</w:t>
      </w:r>
      <w:r>
        <w:rPr>
          <w:rFonts w:ascii="Verdana" w:hAnsi="Verdana" w:cs="Arial-ItalicMT"/>
          <w:i/>
          <w:iCs/>
          <w:sz w:val="7"/>
          <w:szCs w:val="7"/>
          <w:lang w:val="pt-PT"/>
        </w:rPr>
        <w:t xml:space="preserve"> </w:t>
      </w:r>
      <w:r>
        <w:rPr>
          <w:rFonts w:ascii="Verdana" w:hAnsi="Verdana"/>
          <w:sz w:val="7"/>
          <w:szCs w:val="7"/>
          <w:lang w:val="pt-PT"/>
        </w:rPr>
        <w:t>(“</w:t>
      </w:r>
      <w:r>
        <w:rPr>
          <w:rFonts w:ascii="Verdana" w:hAnsi="Verdana" w:cs="Arial-BoldMT"/>
          <w:b/>
          <w:bCs/>
          <w:sz w:val="7"/>
          <w:szCs w:val="7"/>
          <w:lang w:val="pt-PT"/>
        </w:rPr>
        <w:t>Opção de Debêntures Adicionais</w:t>
      </w:r>
      <w:r>
        <w:rPr>
          <w:rFonts w:ascii="Verdana" w:hAnsi="Verdana"/>
          <w:sz w:val="7"/>
          <w:szCs w:val="7"/>
          <w:lang w:val="pt-PT"/>
        </w:rPr>
        <w:t>”).</w:t>
      </w:r>
    </w:p>
    <w:p>
      <w:pPr>
        <w:suppressAutoHyphens/>
        <w:spacing w:after="0"/>
        <w:rPr>
          <w:rFonts w:ascii="Verdana" w:hAnsi="Verdana"/>
          <w:sz w:val="7"/>
          <w:szCs w:val="7"/>
          <w:lang w:val="pt-PT"/>
        </w:rPr>
      </w:pPr>
    </w:p>
    <w:p>
      <w:pPr>
        <w:suppressAutoHyphens/>
        <w:spacing w:after="0"/>
        <w:rPr>
          <w:rFonts w:ascii="Verdana" w:hAnsi="Verdana"/>
          <w:sz w:val="7"/>
          <w:szCs w:val="7"/>
          <w:lang w:val="pt-PT"/>
        </w:rPr>
      </w:pPr>
      <w:r>
        <w:rPr>
          <w:rFonts w:ascii="Verdana" w:hAnsi="Verdana"/>
          <w:sz w:val="7"/>
          <w:szCs w:val="7"/>
          <w:lang w:val="pt-PT"/>
        </w:rPr>
        <w:t>As Debêntures serão depositadas para (a) distribuição no mercado primário por meio (i) do MDA - Módulo de Distribuição de Ativos, administrado e operacionalizado pela B3 S.A. - Brasil, Bolsa, Balcão – Segmento CETIP UTVM (“</w:t>
      </w:r>
      <w:r>
        <w:rPr>
          <w:rFonts w:ascii="Verdana" w:hAnsi="Verdana" w:cs="Arial-BoldMT"/>
          <w:b/>
          <w:bCs/>
          <w:sz w:val="7"/>
          <w:szCs w:val="7"/>
          <w:lang w:val="pt-PT"/>
        </w:rPr>
        <w:t>B3 - Segmento Cetip UTVM</w:t>
      </w:r>
      <w:r>
        <w:rPr>
          <w:rFonts w:ascii="Verdana" w:hAnsi="Verdana"/>
          <w:sz w:val="7"/>
          <w:szCs w:val="7"/>
          <w:lang w:val="pt-PT"/>
        </w:rPr>
        <w:t>”), sendo a distribuição liquidada financeiramente por meio da B3 – Segmento Cetip UTVM; e/ou (ii) do DDA - Sistema de Distribuição de Ativos, administrado e operacionalizado pela B3 S.A. - Brasil, Bolsa, Balcão (“</w:t>
      </w:r>
      <w:r>
        <w:rPr>
          <w:rFonts w:ascii="Verdana" w:hAnsi="Verdana" w:cs="Arial-BoldMT"/>
          <w:b/>
          <w:bCs/>
          <w:sz w:val="7"/>
          <w:szCs w:val="7"/>
          <w:lang w:val="pt-PT"/>
        </w:rPr>
        <w:t>B3</w:t>
      </w:r>
      <w:r>
        <w:rPr>
          <w:rFonts w:ascii="Verdana" w:hAnsi="Verdana"/>
          <w:sz w:val="7"/>
          <w:szCs w:val="7"/>
          <w:lang w:val="pt-PT"/>
        </w:rPr>
        <w:t xml:space="preserve">”), sendo a distribuição liquidada financeiramente por meio da B3; e (b) negociação no mercado secundário por meio (i) do CETIP21 – Títulos e Valores Mobiliários, administrado e operacionalizado pela B3 - Segmento Cetip UTVM, sendo as negociações liquidadas e as Debêntures custodiadas eletronicamente na B3 - Segmento Cetip UTVM; e/ou (ii) da plataforma eletrônica de negociação de multi ativos PUMA Trading System Plataforma Unificada de Multi Ativos da B3, administrada e operacionalizada pela B3, sendo processadas pela B3 a custódia, a liquidação financeira e a negociação das Debêntures. </w:t>
      </w:r>
    </w:p>
    <w:p>
      <w:pPr>
        <w:suppressAutoHyphens/>
        <w:spacing w:after="0"/>
        <w:rPr>
          <w:rFonts w:ascii="Verdana" w:hAnsi="Verdana"/>
          <w:sz w:val="7"/>
          <w:szCs w:val="7"/>
          <w:lang w:val="pt-PT"/>
        </w:rPr>
      </w:pPr>
    </w:p>
    <w:p>
      <w:pPr>
        <w:suppressAutoHyphens/>
        <w:spacing w:after="0"/>
        <w:rPr>
          <w:rFonts w:ascii="Verdana" w:hAnsi="Verdana"/>
          <w:sz w:val="7"/>
          <w:szCs w:val="7"/>
          <w:lang w:val="pt-PT"/>
        </w:rPr>
      </w:pPr>
      <w:r>
        <w:rPr>
          <w:rFonts w:ascii="Verdana" w:hAnsi="Verdana"/>
          <w:sz w:val="7"/>
          <w:szCs w:val="7"/>
          <w:lang w:val="pt-PT"/>
        </w:rPr>
        <w:t>A Emissão e a Oferta serão realizadas de acordo com os termos e condições constantes da “Escritura Particular da Décima Terceira Emissão de Debêntures Simples, Não Conversíveis em Ações, da Espécie Quirografária, em Série Única, para Distribuição Pública, da Rumo S.A”, celebrada em [</w:t>
      </w:r>
      <w:r>
        <w:rPr>
          <w:rFonts w:ascii="Verdana" w:hAnsi="Verdana"/>
          <w:sz w:val="7"/>
          <w:szCs w:val="7"/>
          <w:lang w:val="pt-PT"/>
        </w:rPr>
        <w:sym w:font="Symbol" w:char="F0B7"/>
      </w:r>
      <w:r>
        <w:rPr>
          <w:rFonts w:ascii="Verdana" w:hAnsi="Verdana"/>
          <w:sz w:val="7"/>
          <w:szCs w:val="7"/>
          <w:lang w:val="pt-PT"/>
        </w:rPr>
        <w:t>] de [</w:t>
      </w:r>
      <w:r>
        <w:rPr>
          <w:rFonts w:ascii="Verdana" w:hAnsi="Verdana"/>
          <w:sz w:val="7"/>
          <w:szCs w:val="7"/>
          <w:lang w:val="pt-PT"/>
        </w:rPr>
        <w:sym w:font="Symbol" w:char="F0B7"/>
      </w:r>
      <w:r>
        <w:rPr>
          <w:rFonts w:ascii="Verdana" w:hAnsi="Verdana"/>
          <w:sz w:val="7"/>
          <w:szCs w:val="7"/>
          <w:lang w:val="pt-PT"/>
        </w:rPr>
        <w:t>] de 2019 entre a Emissora e a Simplific Pavarini Distribuidora de Títulos e Valores Mobiliários, na qualidade de representante da comunhão dos Debenturistas (conforme definidos neste Prospecto), a qual será inscrita na Junta Comercial do Estado do Paraná (“</w:t>
      </w:r>
      <w:r>
        <w:rPr>
          <w:rFonts w:ascii="Verdana" w:hAnsi="Verdana" w:cs="Arial-BoldMT"/>
          <w:b/>
          <w:bCs/>
          <w:sz w:val="7"/>
          <w:szCs w:val="7"/>
          <w:lang w:val="pt-PT"/>
        </w:rPr>
        <w:t>JUCEPAR</w:t>
      </w:r>
      <w:r>
        <w:rPr>
          <w:rFonts w:ascii="Verdana" w:hAnsi="Verdana"/>
          <w:sz w:val="7"/>
          <w:szCs w:val="7"/>
          <w:lang w:val="pt-PT"/>
        </w:rPr>
        <w:t>”), de acordo com o inciso II do artigo 62 da Lei das Sociedades por Ações (“</w:t>
      </w:r>
      <w:r>
        <w:rPr>
          <w:rFonts w:ascii="Verdana" w:hAnsi="Verdana" w:cs="Arial-BoldMT"/>
          <w:b/>
          <w:bCs/>
          <w:sz w:val="7"/>
          <w:szCs w:val="7"/>
          <w:lang w:val="pt-PT"/>
        </w:rPr>
        <w:t>Escritura</w:t>
      </w:r>
      <w:r>
        <w:rPr>
          <w:rFonts w:ascii="Verdana" w:hAnsi="Verdana"/>
          <w:sz w:val="7"/>
          <w:szCs w:val="7"/>
          <w:lang w:val="pt-PT"/>
        </w:rPr>
        <w:t xml:space="preserve">”). A Escritura será objeto de aditamento para refletir o resultado do Procedimento de </w:t>
      </w:r>
      <w:r>
        <w:rPr>
          <w:rFonts w:ascii="Verdana" w:hAnsi="Verdana" w:cs="Arial-ItalicMT"/>
          <w:i/>
          <w:iCs/>
          <w:sz w:val="7"/>
          <w:szCs w:val="7"/>
          <w:lang w:val="pt-PT"/>
        </w:rPr>
        <w:t>Bookbuilding</w:t>
      </w:r>
      <w:r>
        <w:rPr>
          <w:rFonts w:ascii="Verdana" w:hAnsi="Verdana"/>
          <w:sz w:val="7"/>
          <w:szCs w:val="7"/>
          <w:lang w:val="pt-PT"/>
        </w:rPr>
        <w:t>, sem a necessidade de nova aprovação societária pela Emissora ou Assembleia Geral de Debenturistas (conforme definida neste Prospecto), o qual será inscrito na JUCEPAR.</w:t>
      </w:r>
    </w:p>
    <w:p>
      <w:pPr>
        <w:suppressAutoHyphens/>
        <w:spacing w:after="0"/>
        <w:rPr>
          <w:rFonts w:ascii="Verdana" w:hAnsi="Verdana"/>
          <w:sz w:val="7"/>
          <w:szCs w:val="7"/>
          <w:lang w:val="pt-PT"/>
        </w:rPr>
      </w:pPr>
    </w:p>
    <w:p>
      <w:pPr>
        <w:suppressAutoHyphens/>
        <w:spacing w:after="0"/>
        <w:rPr>
          <w:rFonts w:ascii="Verdana" w:hAnsi="Verdana"/>
          <w:sz w:val="7"/>
          <w:szCs w:val="7"/>
          <w:lang w:val="pt-PT"/>
        </w:rPr>
      </w:pPr>
      <w:r>
        <w:rPr>
          <w:rFonts w:ascii="Verdana" w:hAnsi="Verdana"/>
          <w:sz w:val="7"/>
          <w:szCs w:val="7"/>
          <w:lang w:val="pt-PT"/>
        </w:rPr>
        <w:t>A Escritura foi celebrada com base nas deliberações tomadas pelo Conselho de Administração da Emissora, em reunião realizada em [</w:t>
      </w:r>
      <w:r>
        <w:rPr>
          <w:rFonts w:ascii="Verdana" w:hAnsi="Verdana"/>
          <w:sz w:val="7"/>
          <w:szCs w:val="7"/>
          <w:lang w:val="pt-PT"/>
        </w:rPr>
        <w:sym w:font="Symbol" w:char="F0B7"/>
      </w:r>
      <w:r>
        <w:rPr>
          <w:rFonts w:ascii="Verdana" w:hAnsi="Verdana"/>
          <w:sz w:val="7"/>
          <w:szCs w:val="7"/>
          <w:lang w:val="pt-PT"/>
        </w:rPr>
        <w:t>] de [</w:t>
      </w:r>
      <w:r>
        <w:rPr>
          <w:rFonts w:ascii="Verdana" w:hAnsi="Verdana"/>
          <w:sz w:val="7"/>
          <w:szCs w:val="7"/>
          <w:lang w:val="pt-PT"/>
        </w:rPr>
        <w:sym w:font="Symbol" w:char="F0B7"/>
      </w:r>
      <w:r>
        <w:rPr>
          <w:rFonts w:ascii="Verdana" w:hAnsi="Verdana"/>
          <w:sz w:val="7"/>
          <w:szCs w:val="7"/>
          <w:lang w:val="pt-PT"/>
        </w:rPr>
        <w:t>] de 2019, na qual foram deliberados e aprovados, dentre outros, os termos e condições da Emissão e das Debêntures, nos termos do artigo 59, parágrafo 1º, da Lei n° 6.404, de 15 de dezembro de 1976, conforme alterada (“</w:t>
      </w:r>
      <w:r>
        <w:rPr>
          <w:rFonts w:ascii="Verdana" w:hAnsi="Verdana" w:cs="Arial-BoldMT"/>
          <w:b/>
          <w:bCs/>
          <w:sz w:val="7"/>
          <w:szCs w:val="7"/>
          <w:lang w:val="pt-PT"/>
        </w:rPr>
        <w:t>Lei das Sociedades por Ações</w:t>
      </w:r>
      <w:r>
        <w:rPr>
          <w:rFonts w:ascii="Verdana" w:hAnsi="Verdana"/>
          <w:sz w:val="7"/>
          <w:szCs w:val="7"/>
          <w:lang w:val="pt-PT"/>
        </w:rPr>
        <w:t xml:space="preserve">”), as quais serão objeto de distribuição pública, nos termos da Lei do Mercado de Capitais, da Instrução CVM 400, do Código ANBIMA de Ofertas Públicas e das demais disposições legais e regulamentares aplicáveis, cuja ata será arquivada na JUCEPAR, e publicada no DOEPR e no jornal “Bem Paraná” em atendimento ao disposto no inciso I do artigo 62 e no artigo 289 da Lei das Sociedades por Ações. </w:t>
      </w:r>
    </w:p>
    <w:p>
      <w:pPr>
        <w:suppressAutoHyphens/>
        <w:spacing w:after="0"/>
        <w:rPr>
          <w:rFonts w:ascii="Verdana" w:hAnsi="Verdana"/>
          <w:sz w:val="7"/>
          <w:szCs w:val="7"/>
          <w:lang w:val="pt-PT"/>
        </w:rPr>
      </w:pPr>
    </w:p>
    <w:p>
      <w:pPr>
        <w:suppressAutoHyphens/>
        <w:spacing w:after="0"/>
        <w:rPr>
          <w:rFonts w:ascii="Verdana" w:hAnsi="Verdana" w:cs="Arial-BoldMT"/>
          <w:b/>
          <w:bCs/>
          <w:sz w:val="7"/>
          <w:szCs w:val="7"/>
          <w:lang w:val="pt-PT"/>
        </w:rPr>
      </w:pPr>
      <w:r>
        <w:rPr>
          <w:rFonts w:ascii="Verdana" w:hAnsi="Verdana" w:cs="Arial-BoldMT"/>
          <w:b/>
          <w:bCs/>
          <w:sz w:val="7"/>
          <w:szCs w:val="7"/>
          <w:lang w:val="pt-PT"/>
        </w:rPr>
        <w:t xml:space="preserve">AS DEBÊNTURES SÃO ENQUADRADAS NO ARTIGO 2º DA LEI Nº 12.431, DE 24 DE JUNHO DE 2011, CONFORME ALTERADA (“LEI 12.431”), DO DECRETO N° 8.874, DE 11 DE OUTUBRO DE 2016 (“DECRETO 8.874”), DA RESOLUÇÃO DO CONSELHO MONETÁRIO NACIONAL (“CMN”) N° 3.947, DE 27 DE JANEIRO DE 2011 (“RESOLUÇÃO CMN 3.947”), DA PORTARIA GM DO MINISTÉRIO DOS TRANSPORTES, PORTOS E AVIAÇÃO CIVIL (ATUALMENTE DENOMINADO MINISTÉRIO DA INFRAESTRUTURA) (“MINISTÉRIO DA INFRAESTRUTURA”) Nº 009, DE 27 DE JANEIRO DE 2012 (“PORTARIA 009/2012”), OU NORMA POSTERIOR QUE AS ALTEREM, SUBSTITUAM OU COMPLEMENTEM, CONFORME APLICÁVEIS. </w:t>
      </w:r>
    </w:p>
    <w:p>
      <w:pPr>
        <w:suppressAutoHyphens/>
        <w:spacing w:after="0"/>
        <w:rPr>
          <w:rFonts w:ascii="Verdana" w:hAnsi="Verdana" w:cs="Arial-BoldMT"/>
          <w:b/>
          <w:bCs/>
          <w:sz w:val="7"/>
          <w:szCs w:val="7"/>
          <w:lang w:val="pt-PT"/>
        </w:rPr>
      </w:pPr>
    </w:p>
    <w:p>
      <w:pPr>
        <w:suppressAutoHyphens/>
        <w:spacing w:after="0"/>
        <w:rPr>
          <w:rFonts w:ascii="Verdana" w:hAnsi="Verdana" w:cs="Arial-BoldMT"/>
          <w:b/>
          <w:bCs/>
          <w:sz w:val="7"/>
          <w:szCs w:val="7"/>
          <w:lang w:val="pt-PT"/>
        </w:rPr>
      </w:pPr>
      <w:r>
        <w:rPr>
          <w:rFonts w:ascii="Verdana" w:hAnsi="Verdana" w:cs="Arial-BoldMT"/>
          <w:b/>
          <w:bCs/>
          <w:sz w:val="7"/>
          <w:szCs w:val="7"/>
          <w:lang w:val="pt-PT"/>
        </w:rPr>
        <w:t>NOS TERMOS DA LEI 12.431, DO DECRETO 8.874 E DA PORTARIA 009/2012, A PORTARIA Nº [●], DE [●] DE [●] DE 2019, PUBLICADA NO DIÁRIO OFICIAL DA UNIÃO EM [</w:t>
      </w:r>
      <w:r>
        <w:rPr>
          <w:rFonts w:ascii="Verdana" w:hAnsi="Verdana" w:cs="Arial-BoldMT"/>
          <w:b/>
          <w:bCs/>
          <w:sz w:val="7"/>
          <w:szCs w:val="7"/>
          <w:lang w:val="pt-PT"/>
        </w:rPr>
        <w:sym w:font="Symbol" w:char="F0B7"/>
      </w:r>
      <w:r>
        <w:rPr>
          <w:rFonts w:ascii="Verdana" w:hAnsi="Verdana" w:cs="Arial-BoldMT"/>
          <w:b/>
          <w:bCs/>
          <w:sz w:val="7"/>
          <w:szCs w:val="7"/>
          <w:lang w:val="pt-PT"/>
        </w:rPr>
        <w:t>] DE [</w:t>
      </w:r>
      <w:r>
        <w:rPr>
          <w:rFonts w:ascii="Verdana" w:hAnsi="Verdana" w:cs="Arial-BoldMT"/>
          <w:b/>
          <w:bCs/>
          <w:sz w:val="7"/>
          <w:szCs w:val="7"/>
          <w:lang w:val="pt-PT"/>
        </w:rPr>
        <w:sym w:font="Symbol" w:char="F0B7"/>
      </w:r>
      <w:r>
        <w:rPr>
          <w:rFonts w:ascii="Verdana" w:hAnsi="Verdana" w:cs="Arial-BoldMT"/>
          <w:b/>
          <w:bCs/>
          <w:sz w:val="7"/>
          <w:szCs w:val="7"/>
          <w:lang w:val="pt-PT"/>
        </w:rPr>
        <w:t>] DE 2019 (“</w:t>
      </w:r>
      <w:r>
        <w:rPr>
          <w:rFonts w:ascii="Verdana" w:hAnsi="Verdana" w:cs="Arial-BoldMT"/>
          <w:b/>
          <w:bCs/>
          <w:sz w:val="7"/>
          <w:szCs w:val="7"/>
          <w:u w:val="single"/>
          <w:lang w:val="pt-PT"/>
        </w:rPr>
        <w:t xml:space="preserve">PORTARIA DO </w:t>
      </w:r>
      <w:r>
        <w:rPr>
          <w:rFonts w:ascii="Verdana" w:hAnsi="Verdana" w:cs="Arial-BoldMT"/>
          <w:b/>
          <w:bCs/>
          <w:caps/>
          <w:sz w:val="7"/>
          <w:szCs w:val="7"/>
          <w:u w:val="single"/>
          <w:lang w:val="pt-PT"/>
        </w:rPr>
        <w:t>Ministério da Infraestrutura</w:t>
      </w:r>
      <w:r>
        <w:rPr>
          <w:rFonts w:ascii="Verdana" w:hAnsi="Verdana" w:cs="Arial-BoldMT"/>
          <w:b/>
          <w:bCs/>
          <w:sz w:val="7"/>
          <w:szCs w:val="7"/>
          <w:lang w:val="pt-PT"/>
        </w:rPr>
        <w:t xml:space="preserve">”) FOI EXPEDIDA PELO </w:t>
      </w:r>
      <w:r>
        <w:rPr>
          <w:rFonts w:ascii="Verdana" w:hAnsi="Verdana" w:cs="Arial-BoldMT"/>
          <w:b/>
          <w:bCs/>
          <w:caps/>
          <w:sz w:val="7"/>
          <w:szCs w:val="7"/>
          <w:lang w:val="pt-PT"/>
        </w:rPr>
        <w:t>Ministério da Infraestrutura</w:t>
      </w:r>
      <w:r>
        <w:rPr>
          <w:rFonts w:ascii="Verdana" w:hAnsi="Verdana" w:cs="Arial-BoldMT"/>
          <w:b/>
          <w:bCs/>
          <w:sz w:val="7"/>
          <w:szCs w:val="7"/>
          <w:lang w:val="pt-PT"/>
        </w:rPr>
        <w:t xml:space="preserve"> PARA ENQUADRAMENTO DO PROJETO COMO PRIORITÁRIO. PARA MAIS INFORMAÇÕES SOBRE O PROJETO E A DESTINAÇÃO DOS RECURSOS DAS DEBÊNTURES, VEJA A SEÇÃO “DESTINAÇÃO DOS RECURSOS”, NA PÁGINA [</w:t>
      </w:r>
      <w:r>
        <w:rPr>
          <w:rFonts w:ascii="Verdana" w:hAnsi="Verdana" w:cs="Arial-BoldMT"/>
          <w:b/>
          <w:bCs/>
          <w:sz w:val="7"/>
          <w:szCs w:val="7"/>
          <w:lang w:val="pt-PT"/>
        </w:rPr>
        <w:sym w:font="Symbol" w:char="F0B7"/>
      </w:r>
      <w:r>
        <w:rPr>
          <w:rFonts w:ascii="Verdana" w:hAnsi="Verdana" w:cs="Arial-BoldMT"/>
          <w:b/>
          <w:bCs/>
          <w:sz w:val="7"/>
          <w:szCs w:val="7"/>
          <w:lang w:val="pt-PT"/>
        </w:rPr>
        <w:t xml:space="preserve">] DESTE PROSPECTO. OS RECURSOS OBTIDOS POR MEIO DA PRESENTE EMISSÃO SERÃO DESTINADOS AO PROJETO APROVADO PELA PORTARIA DO </w:t>
      </w:r>
      <w:r>
        <w:rPr>
          <w:rFonts w:ascii="Verdana" w:hAnsi="Verdana" w:cs="Arial-BoldMT"/>
          <w:b/>
          <w:bCs/>
          <w:caps/>
          <w:sz w:val="7"/>
          <w:szCs w:val="7"/>
          <w:lang w:val="pt-PT"/>
        </w:rPr>
        <w:t>Ministério da Infraestrutura</w:t>
      </w:r>
      <w:r>
        <w:rPr>
          <w:rFonts w:ascii="Verdana" w:hAnsi="Verdana" w:cs="Arial-BoldMT"/>
          <w:b/>
          <w:bCs/>
          <w:sz w:val="7"/>
          <w:szCs w:val="7"/>
          <w:lang w:val="pt-PT"/>
        </w:rPr>
        <w:t>.</w:t>
      </w:r>
    </w:p>
    <w:p>
      <w:pPr>
        <w:suppressAutoHyphens/>
        <w:spacing w:after="0"/>
        <w:rPr>
          <w:rFonts w:ascii="Verdana" w:hAnsi="Verdana" w:cs="Arial-BoldMT"/>
          <w:b/>
          <w:bCs/>
          <w:sz w:val="7"/>
          <w:szCs w:val="7"/>
          <w:lang w:val="pt-PT"/>
        </w:rPr>
      </w:pPr>
    </w:p>
    <w:p>
      <w:pPr>
        <w:suppressAutoHyphens/>
        <w:spacing w:after="0"/>
        <w:rPr>
          <w:rFonts w:ascii="Verdana" w:hAnsi="Verdana" w:cs="Arial-BoldMT"/>
          <w:b/>
          <w:bCs/>
          <w:sz w:val="7"/>
          <w:szCs w:val="7"/>
          <w:lang w:val="pt-PT"/>
        </w:rPr>
      </w:pPr>
      <w:r>
        <w:rPr>
          <w:rFonts w:ascii="Verdana" w:hAnsi="Verdana" w:cs="Arial-BoldMT"/>
          <w:b/>
          <w:bCs/>
          <w:sz w:val="7"/>
          <w:szCs w:val="7"/>
          <w:lang w:val="pt-PT"/>
        </w:rPr>
        <w:t>ESTE PROSPECTO NÃO DEVE, EM QUALQUER CIRCUNSTÂNCIA, SER CONSIDERADO COMO UMA RECOMENDAÇÃO DE INVESTIMENTO OU DE SUBSCRIÇÃO DAS DEBÊNTURES. ANTES DE TOMAR A DECISÃO DE INVESTIMENTO NAS DEBÊNTURES QUE VENHAM A SER DISTRIBUÍDAS NO ÂMBITO DA OFERTA, A EMISSORA E OS COORDENADORES RECOMENDAM AOS POTENCIAIS INVESTIDORES QUE FAÇAM A SUA PRÓPRIA ANÁLISE E AVALIAÇÃO DA CONDIÇÃO FINANCEIRA DA EMISSORA, DE SUAS ATIVIDADES E DOS RISCOS DECORRENTES DO INVESTIMENTO NAS DEBÊNTURES.</w:t>
      </w:r>
    </w:p>
    <w:p>
      <w:pPr>
        <w:suppressAutoHyphens/>
        <w:spacing w:after="0"/>
        <w:rPr>
          <w:rFonts w:ascii="Verdana" w:hAnsi="Verdana" w:cs="Arial-BoldMT"/>
          <w:b/>
          <w:bCs/>
          <w:sz w:val="7"/>
          <w:szCs w:val="7"/>
          <w:lang w:val="pt-PT"/>
        </w:rPr>
      </w:pPr>
    </w:p>
    <w:p>
      <w:pPr>
        <w:suppressAutoHyphens/>
        <w:spacing w:after="0"/>
        <w:rPr>
          <w:rFonts w:ascii="Verdana" w:hAnsi="Verdana" w:cs="Arial-BoldMT"/>
          <w:b/>
          <w:bCs/>
          <w:sz w:val="7"/>
          <w:szCs w:val="7"/>
          <w:lang w:val="pt-PT"/>
        </w:rPr>
      </w:pPr>
      <w:r>
        <w:rPr>
          <w:rFonts w:ascii="Verdana" w:hAnsi="Verdana" w:cs="Arial-BoldMT"/>
          <w:b/>
          <w:bCs/>
          <w:sz w:val="7"/>
          <w:szCs w:val="7"/>
          <w:lang w:val="pt-PT"/>
        </w:rPr>
        <w:t>Este Prospecto foi preparado com base nas informações prestadas pela Emissora, sendo que os Coordenadores tomaram todas as cautelas e agiram com elevados padrões de diligência, respondendo pela falta de diligência ou omissão, para assegurar que: (i) as informações prestadas pela Emissora sejam verdadeiras, consistentes, corretas e suficientes, permitindo aos investidores uma tomada de decisão fundamentada a respeito da Oferta; e (ii) as informações fornecidas ao mercado durante todo o prazo de distribuição, inclusive aquelas eventuais ou periódicas constantes da atualização do registro da Emissora, sejam suficientes, permitindo aos investidores a tomada de decisão fundamentada a respeito da Oferta.</w:t>
      </w:r>
    </w:p>
    <w:p>
      <w:pPr>
        <w:suppressAutoHyphens/>
        <w:spacing w:after="0"/>
        <w:rPr>
          <w:rFonts w:ascii="Verdana" w:hAnsi="Verdana" w:cs="Arial-BoldMT"/>
          <w:b/>
          <w:bCs/>
          <w:sz w:val="7"/>
          <w:szCs w:val="7"/>
          <w:lang w:val="pt-PT"/>
        </w:rPr>
      </w:pPr>
    </w:p>
    <w:p>
      <w:pPr>
        <w:suppressAutoHyphens/>
        <w:spacing w:after="0"/>
        <w:rPr>
          <w:rFonts w:ascii="Verdana" w:hAnsi="Verdana" w:cs="Arial-BoldMT"/>
          <w:b/>
          <w:bCs/>
          <w:sz w:val="7"/>
          <w:szCs w:val="7"/>
          <w:lang w:val="pt-PT"/>
        </w:rPr>
      </w:pPr>
      <w:r>
        <w:rPr>
          <w:rFonts w:ascii="Verdana" w:hAnsi="Verdana" w:cs="Arial-BoldMT"/>
          <w:b/>
          <w:bCs/>
          <w:sz w:val="7"/>
          <w:szCs w:val="7"/>
          <w:lang w:val="pt-PT"/>
        </w:rPr>
        <w:t>O investimento nas Debêntures não é adequado a investidores que: (i) não tenham profundo conhecimento dos riscos envolvidos na operação ou que não tenham acesso à consultoria especializada; (ii) necessitem de liquidez com relação às Debêntures a serem subscritas, tendo em vista a possibilidade de serem pequenas ou inexistentes as negociações das Debêntures no mercado secundário; e/ou (iii) não estejam dispostos a correr o risco de crédito de empresa do setor privado e/ou dos setores em que a Emissora atua, em particular de transportes ferroviários. Para uma avaliação adequada dos riscos associados ao investimento nas Debêntures, os investidores deverão ler a seção “Fatores de Risco Relacionados à Oferta e às Debêntures”, na página [</w:t>
      </w:r>
      <w:r>
        <w:rPr>
          <w:rFonts w:ascii="Verdana" w:hAnsi="Verdana" w:cs="Arial-BoldMT"/>
          <w:b/>
          <w:bCs/>
          <w:sz w:val="7"/>
          <w:szCs w:val="7"/>
          <w:lang w:val="pt-PT"/>
        </w:rPr>
        <w:sym w:font="Symbol" w:char="F0B7"/>
      </w:r>
      <w:r>
        <w:rPr>
          <w:rFonts w:ascii="Verdana" w:hAnsi="Verdana" w:cs="Arial-BoldMT"/>
          <w:b/>
          <w:bCs/>
          <w:sz w:val="7"/>
          <w:szCs w:val="7"/>
          <w:lang w:val="pt-PT"/>
        </w:rPr>
        <w:t>] deste Prospecto, bem como a seção “4. Fatores de Risco” do Formulário de Referência (conforme definido neste Prospecto) da Emissora antes de aceitar a Oferta.</w:t>
      </w:r>
    </w:p>
    <w:p>
      <w:pPr>
        <w:suppressAutoHyphens/>
        <w:spacing w:after="0"/>
        <w:rPr>
          <w:rFonts w:ascii="Verdana" w:hAnsi="Verdana" w:cs="Arial-BoldMT"/>
          <w:b/>
          <w:bCs/>
          <w:sz w:val="7"/>
          <w:szCs w:val="7"/>
          <w:lang w:val="pt-PT"/>
        </w:rPr>
      </w:pPr>
    </w:p>
    <w:p>
      <w:pPr>
        <w:suppressAutoHyphens/>
        <w:spacing w:after="0"/>
        <w:rPr>
          <w:rFonts w:ascii="Verdana" w:hAnsi="Verdana" w:cs="Arial-BoldMT"/>
          <w:b/>
          <w:bCs/>
          <w:sz w:val="7"/>
          <w:szCs w:val="7"/>
          <w:lang w:val="pt-PT"/>
        </w:rPr>
      </w:pPr>
      <w:r>
        <w:rPr>
          <w:rFonts w:ascii="Verdana" w:hAnsi="Verdana" w:cs="Arial-BoldMT"/>
          <w:b/>
          <w:bCs/>
          <w:sz w:val="7"/>
          <w:szCs w:val="7"/>
          <w:lang w:val="pt-PT"/>
        </w:rPr>
        <w:t>Este Prospecto deve ser lido em conjunto com as informações apresentadas no Formulário de Referência, o qual foi elaborado nos termos da Instrução da CVM nº 480, de 7 de dezembro de 2009, conforme alterada, e com as demonstrações financeiras da Emissora, os quais são incorporados por referência a este Prospecto, conforme elencado nos endereços indicados na seção “Documentos e Informações Incorporados a este Prospecto por Referência”, na página [</w:t>
      </w:r>
      <w:r>
        <w:rPr>
          <w:rFonts w:ascii="Verdana" w:hAnsi="Verdana" w:cs="Arial-BoldMT"/>
          <w:b/>
          <w:bCs/>
          <w:sz w:val="7"/>
          <w:szCs w:val="7"/>
          <w:lang w:val="pt-PT"/>
        </w:rPr>
        <w:sym w:font="Symbol" w:char="F0B7"/>
      </w:r>
      <w:r>
        <w:rPr>
          <w:rFonts w:ascii="Verdana" w:hAnsi="Verdana" w:cs="Arial-BoldMT"/>
          <w:b/>
          <w:bCs/>
          <w:sz w:val="7"/>
          <w:szCs w:val="7"/>
          <w:lang w:val="pt-PT"/>
        </w:rPr>
        <w:t>] deste Prospecto.</w:t>
      </w:r>
      <w:r>
        <w:rPr>
          <w:rFonts w:ascii="Verdana" w:hAnsi="Verdana"/>
          <w:sz w:val="7"/>
          <w:szCs w:val="7"/>
          <w:lang w:val="pt-PT"/>
        </w:rPr>
        <w:t xml:space="preserve"> </w:t>
      </w:r>
      <w:r>
        <w:rPr>
          <w:rFonts w:ascii="Verdana" w:hAnsi="Verdana" w:cs="Arial-BoldMT"/>
          <w:b/>
          <w:bCs/>
          <w:sz w:val="7"/>
          <w:szCs w:val="7"/>
          <w:lang w:val="pt-PT"/>
        </w:rPr>
        <w:t>e as demonstrações financeiras consolidadas da Emissora referentes aos exercícios sociais encerrados em 31 de dezembro de 2018, 2017 e 2016, e respectivas notas explicativas, cujo acesso está indicado na Seção “Documentos e Informações Incorporados a este Prospecto por Referência” na página [</w:t>
      </w:r>
      <w:r>
        <w:rPr>
          <w:rFonts w:ascii="Verdana" w:hAnsi="Verdana" w:cs="Arial-BoldMT"/>
          <w:b/>
          <w:bCs/>
          <w:sz w:val="7"/>
          <w:szCs w:val="7"/>
          <w:lang w:val="pt-PT"/>
        </w:rPr>
        <w:sym w:font="Symbol" w:char="F0B7"/>
      </w:r>
      <w:r>
        <w:rPr>
          <w:rFonts w:ascii="Verdana" w:hAnsi="Verdana" w:cs="Arial-BoldMT"/>
          <w:b/>
          <w:bCs/>
          <w:sz w:val="7"/>
          <w:szCs w:val="7"/>
          <w:lang w:val="pt-PT"/>
        </w:rPr>
        <w:t>] deste Prospecto</w:t>
      </w:r>
    </w:p>
    <w:p>
      <w:pPr>
        <w:suppressAutoHyphens/>
        <w:spacing w:after="0"/>
        <w:rPr>
          <w:rFonts w:ascii="Verdana" w:hAnsi="Verdana" w:cs="Arial-BoldMT"/>
          <w:b/>
          <w:bCs/>
          <w:sz w:val="7"/>
          <w:szCs w:val="7"/>
          <w:lang w:val="pt-PT"/>
        </w:rPr>
      </w:pPr>
    </w:p>
    <w:p>
      <w:pPr>
        <w:suppressAutoHyphens/>
        <w:spacing w:after="0"/>
        <w:rPr>
          <w:rFonts w:ascii="Verdana" w:hAnsi="Verdana"/>
          <w:sz w:val="7"/>
          <w:szCs w:val="7"/>
          <w:lang w:val="pt-PT"/>
        </w:rPr>
      </w:pPr>
      <w:r>
        <w:rPr>
          <w:rFonts w:ascii="Verdana" w:hAnsi="Verdana"/>
          <w:sz w:val="7"/>
          <w:szCs w:val="7"/>
          <w:lang w:val="pt-PT"/>
        </w:rPr>
        <w:t>A Oferta será registrada perante a CVM, nos termos da Lei do Mercado de Capitais, da Instrução CVM 400, bem como das demais disposições legais e regulamentares aplicáveis, observado especificamente o procedimento indicado para emissoras com grande exposição no mercado, conforme artigos 6º-A e 6º-B da Instrução CVM 400. A Oferta será registrada na Associação Brasileira das Entidades dos Mercados Financeiro e de Capitais (“</w:t>
      </w:r>
      <w:r>
        <w:rPr>
          <w:rFonts w:ascii="Verdana" w:hAnsi="Verdana" w:cs="Arial-BoldMT"/>
          <w:b/>
          <w:bCs/>
          <w:sz w:val="7"/>
          <w:szCs w:val="7"/>
          <w:lang w:val="pt-PT"/>
        </w:rPr>
        <w:t>ANBIMA</w:t>
      </w:r>
      <w:r>
        <w:rPr>
          <w:rFonts w:ascii="Verdana" w:hAnsi="Verdana"/>
          <w:sz w:val="7"/>
          <w:szCs w:val="7"/>
          <w:lang w:val="pt-PT"/>
        </w:rPr>
        <w:t>”), no prazo máximo de 15 (quinze) dias, a contar da data do encerramento da Oferta, nos termos do artigo 16 do Código ANBIMA de Ofertas Públicas.</w:t>
      </w:r>
    </w:p>
    <w:p>
      <w:pPr>
        <w:suppressAutoHyphens/>
        <w:spacing w:after="0"/>
        <w:rPr>
          <w:rFonts w:ascii="Verdana" w:hAnsi="Verdana"/>
          <w:sz w:val="7"/>
          <w:szCs w:val="7"/>
          <w:lang w:val="pt-PT"/>
        </w:rPr>
      </w:pPr>
      <w:r>
        <w:rPr>
          <w:rFonts w:ascii="Verdana" w:hAnsi="Verdana"/>
          <w:sz w:val="7"/>
          <w:szCs w:val="7"/>
          <w:lang w:val="pt-PT"/>
        </w:rPr>
        <w:t xml:space="preserve"> </w:t>
      </w:r>
    </w:p>
    <w:p>
      <w:pPr>
        <w:suppressAutoHyphens/>
        <w:spacing w:after="0"/>
        <w:rPr>
          <w:rFonts w:ascii="Verdana" w:hAnsi="Verdana"/>
          <w:sz w:val="7"/>
          <w:szCs w:val="7"/>
          <w:lang w:val="pt-PT"/>
        </w:rPr>
      </w:pPr>
      <w:r>
        <w:rPr>
          <w:rFonts w:ascii="Verdana" w:hAnsi="Verdana"/>
          <w:sz w:val="7"/>
          <w:szCs w:val="7"/>
          <w:lang w:val="pt-PT"/>
        </w:rPr>
        <w:t>Este Prospecto está disponível nos endereços e páginas da rede mundial de computadores da CVM, da B3, da B3 - Segmento Cetip UTVM, dos Coordenadores e da Emissora, indicados na seção “Informações Adicionais”, na página [</w:t>
      </w:r>
      <w:r>
        <w:rPr>
          <w:rFonts w:ascii="Verdana" w:hAnsi="Verdana"/>
          <w:sz w:val="7"/>
          <w:szCs w:val="7"/>
          <w:lang w:val="pt-PT"/>
        </w:rPr>
        <w:sym w:font="Symbol" w:char="F0B7"/>
      </w:r>
      <w:r>
        <w:rPr>
          <w:rFonts w:ascii="Verdana" w:hAnsi="Verdana"/>
          <w:sz w:val="7"/>
          <w:szCs w:val="7"/>
          <w:lang w:val="pt-PT"/>
        </w:rPr>
        <w:t>] deste Prospecto.</w:t>
      </w:r>
    </w:p>
    <w:p>
      <w:pPr>
        <w:suppressAutoHyphens/>
        <w:spacing w:after="0"/>
        <w:rPr>
          <w:rFonts w:ascii="Verdana" w:hAnsi="Verdana"/>
          <w:sz w:val="7"/>
          <w:szCs w:val="7"/>
          <w:lang w:val="pt-PT"/>
        </w:rPr>
      </w:pPr>
    </w:p>
    <w:p>
      <w:pPr>
        <w:suppressAutoHyphens/>
        <w:spacing w:after="0"/>
        <w:rPr>
          <w:rFonts w:ascii="Verdana" w:hAnsi="Verdana"/>
          <w:sz w:val="7"/>
          <w:szCs w:val="7"/>
          <w:lang w:val="pt-PT"/>
        </w:rPr>
      </w:pPr>
      <w:r>
        <w:rPr>
          <w:rFonts w:ascii="Verdana" w:hAnsi="Verdana"/>
          <w:sz w:val="7"/>
          <w:szCs w:val="7"/>
          <w:lang w:val="pt-PT"/>
        </w:rPr>
        <w:t>Será admitido o recebimento de reservas para a subscrição das Debêntures, a partir da data indicada no Aviso ao Mercado (conforme definido neste Prospecto) e na seção “Cronograma Estimado das Etapas da Oferta” na página [</w:t>
      </w:r>
      <w:r>
        <w:rPr>
          <w:rFonts w:ascii="Verdana" w:hAnsi="Verdana"/>
          <w:sz w:val="7"/>
          <w:szCs w:val="7"/>
          <w:lang w:val="pt-PT"/>
        </w:rPr>
        <w:sym w:font="Symbol" w:char="F0B7"/>
      </w:r>
      <w:r>
        <w:rPr>
          <w:rFonts w:ascii="Verdana" w:hAnsi="Verdana"/>
          <w:sz w:val="7"/>
          <w:szCs w:val="7"/>
          <w:lang w:val="pt-PT"/>
        </w:rPr>
        <w:t xml:space="preserve">] deste Prospecto, sendo certo que as reservas somente serão confirmadas pelo subscritor após o início do período de distribuição das Debêntures. </w:t>
      </w:r>
    </w:p>
    <w:p>
      <w:pPr>
        <w:suppressAutoHyphens/>
        <w:spacing w:after="0"/>
        <w:rPr>
          <w:rFonts w:ascii="Verdana" w:hAnsi="Verdana"/>
          <w:sz w:val="7"/>
          <w:szCs w:val="7"/>
          <w:lang w:val="pt-PT"/>
        </w:rPr>
      </w:pPr>
    </w:p>
    <w:p>
      <w:pPr>
        <w:suppressAutoHyphens/>
        <w:spacing w:after="0"/>
        <w:rPr>
          <w:rFonts w:ascii="Verdana" w:hAnsi="Verdana" w:cs="Arial-BoldMT"/>
          <w:b/>
          <w:bCs/>
          <w:sz w:val="7"/>
          <w:szCs w:val="7"/>
          <w:lang w:val="pt-PT"/>
        </w:rPr>
      </w:pPr>
      <w:r>
        <w:rPr>
          <w:rFonts w:ascii="Verdana" w:hAnsi="Verdana" w:cs="Arial-BoldMT"/>
          <w:b/>
          <w:bCs/>
          <w:sz w:val="7"/>
          <w:szCs w:val="7"/>
          <w:lang w:val="pt-PT"/>
        </w:rPr>
        <w:t>A OCORRÊNCIA DE QUALQUER EVENTO DE PAGAMENTO ANTECIPADO, INCLUINDO A POSSIBILIDADE DE VENCIMENTO ANTECIPADO E RESGATE OBRIGATÓRIO E AQUISIÇÃO FACULTATIVA DAS DEBÊNTURES, NOS TERMOS PREVISTOS NESTE PROSPECTO E NA ESCRITURA, PODERÁ (I) ACARRETAR NA REDUÇÃO DO HORIZONTE ORIGINAL DE INVESTIMENTO ESPERADO PELOS DEBENTURISTAS; (II) GERAR DIFICULDADE DE REINVESTIMENTO DO CAPITAL INVESTIDO PELOS DEBENTURISTAS À MESMA TAXA ESTABELECIDA PARA AS DEBÊNTURES; E/OU (III) TER IMPACTO ADVERSO NA LIQUIDEZ DAS DEBÊNTURES NO MERCADO SECUNDÁRIO, UMA VEZ QUE, CONFORME O CASO, PARTE CONSIDERÁVEL DAS DEBÊNTURES PODERÁ SER RETIRADA DE NEGOCIAÇÃO. PARA MAIS INFORMAÇÕES, FAVOR CONSULTAR OS FATORES DE RISCO “AS OBRIGAÇÕES DA EMISSORA CONSTANTES DA [</w:t>
      </w:r>
      <w:r>
        <w:rPr>
          <w:rFonts w:ascii="Verdana" w:hAnsi="Verdana" w:cs="Arial-BoldMT"/>
          <w:b/>
          <w:bCs/>
          <w:sz w:val="7"/>
          <w:szCs w:val="7"/>
          <w:lang w:val="pt-PT"/>
        </w:rPr>
        <w:sym w:font="Symbol" w:char="F0B7"/>
      </w:r>
      <w:r>
        <w:rPr>
          <w:rFonts w:ascii="Verdana" w:hAnsi="Verdana" w:cs="Arial-BoldMT"/>
          <w:b/>
          <w:bCs/>
          <w:sz w:val="7"/>
          <w:szCs w:val="7"/>
          <w:lang w:val="pt-PT"/>
        </w:rPr>
        <w:t>] ESTÃO SUJEITAS A HIPÓTESES DE VENCIMENTO ANTECIPADO”, “AS DEBÊNTURES PODERÃO SER OBJETO DE AQUISIÇÃO FACULTATIVA, NOS TERMOS PREVISTOS NA ESCRITURA, O QUE PODERÁ IMPACTAR DE MANEIRA ADVERSA NA LIQUIDEZ DAS DEBÊNTURES NO MERCADO SECUNDÁRIO” E “AS DEBÊNTURES PODERÃO SER OBJETO DE RESGATE OBRIGATÓRIO NAS HIPÓTESES PREVISTAS NA ESCRIITURA”, NAS PÁGINAS [</w:t>
      </w:r>
      <w:r>
        <w:rPr>
          <w:rFonts w:ascii="Verdana" w:hAnsi="Verdana" w:cs="Arial-BoldMT"/>
          <w:b/>
          <w:bCs/>
          <w:sz w:val="7"/>
          <w:szCs w:val="7"/>
          <w:lang w:val="pt-PT"/>
        </w:rPr>
        <w:sym w:font="Symbol" w:char="F0B7"/>
      </w:r>
      <w:r>
        <w:rPr>
          <w:rFonts w:ascii="Verdana" w:hAnsi="Verdana" w:cs="Arial-BoldMT"/>
          <w:b/>
          <w:bCs/>
          <w:sz w:val="7"/>
          <w:szCs w:val="7"/>
          <w:lang w:val="pt-PT"/>
        </w:rPr>
        <w:t>] E [</w:t>
      </w:r>
      <w:r>
        <w:rPr>
          <w:rFonts w:ascii="Verdana" w:hAnsi="Verdana" w:cs="Arial-BoldMT"/>
          <w:b/>
          <w:bCs/>
          <w:sz w:val="7"/>
          <w:szCs w:val="7"/>
          <w:lang w:val="pt-PT"/>
        </w:rPr>
        <w:sym w:font="Symbol" w:char="F0B7"/>
      </w:r>
      <w:r>
        <w:rPr>
          <w:rFonts w:ascii="Verdana" w:hAnsi="Verdana" w:cs="Arial-BoldMT"/>
          <w:b/>
          <w:bCs/>
          <w:sz w:val="7"/>
          <w:szCs w:val="7"/>
          <w:lang w:val="pt-PT"/>
        </w:rPr>
        <w:t xml:space="preserve">] DESTE PROSPECTO. </w:t>
      </w:r>
    </w:p>
    <w:p>
      <w:pPr>
        <w:suppressAutoHyphens/>
        <w:spacing w:after="0"/>
        <w:rPr>
          <w:rFonts w:ascii="Verdana" w:hAnsi="Verdana" w:cs="Arial-BoldMT"/>
          <w:b/>
          <w:bCs/>
          <w:sz w:val="7"/>
          <w:szCs w:val="7"/>
          <w:lang w:val="pt-PT"/>
        </w:rPr>
      </w:pPr>
    </w:p>
    <w:p>
      <w:pPr>
        <w:suppressAutoHyphens/>
        <w:spacing w:after="0"/>
        <w:rPr>
          <w:rFonts w:ascii="Verdana" w:hAnsi="Verdana"/>
          <w:sz w:val="7"/>
          <w:szCs w:val="7"/>
          <w:lang w:val="pt-PT"/>
        </w:rPr>
      </w:pPr>
      <w:r>
        <w:rPr>
          <w:rFonts w:ascii="Verdana" w:hAnsi="Verdana" w:cs="Arial-BoldMT"/>
          <w:b/>
          <w:bCs/>
          <w:sz w:val="7"/>
          <w:szCs w:val="7"/>
          <w:lang w:val="pt-PT"/>
        </w:rPr>
        <w:t>OS INVESTIDORES DEVEM LER A SEÇÃO “4. FATORES DE RISCO” DO FORMULÁRIO DE REFERÊNCIA E A SEÇÃO “FATORES DE RISCO RELACIONADOS À OFERTA E ÀS DEBÊNTURES”, NA PÁGINA [</w:t>
      </w:r>
      <w:r>
        <w:rPr>
          <w:rFonts w:ascii="Verdana" w:hAnsi="Verdana" w:cs="Arial-BoldMT"/>
          <w:b/>
          <w:bCs/>
          <w:sz w:val="7"/>
          <w:szCs w:val="7"/>
          <w:lang w:val="pt-PT"/>
        </w:rPr>
        <w:sym w:font="Symbol" w:char="F0B7"/>
      </w:r>
      <w:r>
        <w:rPr>
          <w:rFonts w:ascii="Verdana" w:hAnsi="Verdana" w:cs="Arial-BoldMT"/>
          <w:b/>
          <w:bCs/>
          <w:sz w:val="7"/>
          <w:szCs w:val="7"/>
          <w:lang w:val="pt-PT"/>
        </w:rPr>
        <w:t>] DESTE PROSPECTO, PARA CIÊNCIA DE CERTOS FATORES DE RISCO QUE DEVEM SER CONSIDERADOS COM RELAÇÃO AO INVESTIMENTO NAS DEBÊNTURES.</w:t>
      </w:r>
      <w:r>
        <w:rPr>
          <w:rFonts w:ascii="Verdana" w:hAnsi="Verdana"/>
          <w:sz w:val="7"/>
          <w:szCs w:val="7"/>
          <w:lang w:val="pt-PT"/>
        </w:rPr>
        <w:t xml:space="preserve"> </w:t>
      </w:r>
    </w:p>
    <w:p>
      <w:pPr>
        <w:suppressAutoHyphens/>
        <w:spacing w:after="0"/>
        <w:rPr>
          <w:rFonts w:ascii="Verdana" w:hAnsi="Verdana"/>
          <w:sz w:val="7"/>
          <w:szCs w:val="7"/>
          <w:lang w:val="pt-PT"/>
        </w:rPr>
      </w:pPr>
    </w:p>
    <w:p>
      <w:pPr>
        <w:suppressAutoHyphens/>
        <w:spacing w:after="0"/>
        <w:rPr>
          <w:rFonts w:ascii="Verdana" w:hAnsi="Verdana"/>
          <w:sz w:val="7"/>
          <w:szCs w:val="7"/>
          <w:lang w:val="pt-PT"/>
        </w:rPr>
      </w:pPr>
      <w:r>
        <w:rPr>
          <w:rFonts w:ascii="Verdana" w:hAnsi="Verdana"/>
          <w:sz w:val="7"/>
          <w:szCs w:val="7"/>
          <w:lang w:val="pt-PT"/>
        </w:rPr>
        <w:t>A Emissora é responsável pela veracidade, consistência, qualidade e suficiência das informações prestadas por ocasião do registro e fornecidas ao mercado durante a distribuição das Debêntures.</w:t>
      </w:r>
    </w:p>
    <w:p>
      <w:pPr>
        <w:suppressAutoHyphens/>
        <w:spacing w:after="0"/>
        <w:rPr>
          <w:rFonts w:ascii="Verdana" w:hAnsi="Verdana"/>
          <w:sz w:val="7"/>
          <w:szCs w:val="7"/>
          <w:lang w:val="pt-PT"/>
        </w:rPr>
      </w:pPr>
    </w:p>
    <w:p>
      <w:pPr>
        <w:suppressAutoHyphens/>
        <w:spacing w:after="0"/>
        <w:rPr>
          <w:rFonts w:ascii="Verdana" w:hAnsi="Verdana" w:cs="Arial-BoldMT"/>
          <w:b/>
          <w:bCs/>
          <w:sz w:val="7"/>
          <w:szCs w:val="7"/>
          <w:lang w:val="pt-PT"/>
        </w:rPr>
      </w:pPr>
      <w:r>
        <w:rPr>
          <w:rFonts w:ascii="Verdana" w:hAnsi="Verdana" w:cs="Arial-BoldMT"/>
          <w:b/>
          <w:bCs/>
          <w:sz w:val="7"/>
          <w:szCs w:val="7"/>
          <w:lang w:val="pt-PT"/>
        </w:rPr>
        <w:t>O pedido de registro da Oferta foi requerido junto à CVM nesta data, [</w:t>
      </w:r>
      <w:r>
        <w:rPr>
          <w:rFonts w:ascii="Verdana" w:hAnsi="Verdana" w:cs="Arial-BoldMT"/>
          <w:b/>
          <w:bCs/>
          <w:sz w:val="7"/>
          <w:szCs w:val="7"/>
          <w:lang w:val="pt-PT"/>
        </w:rPr>
        <w:sym w:font="Symbol" w:char="F0B7"/>
      </w:r>
      <w:r>
        <w:rPr>
          <w:rFonts w:ascii="Verdana" w:hAnsi="Verdana" w:cs="Arial-BoldMT"/>
          <w:b/>
          <w:bCs/>
          <w:sz w:val="7"/>
          <w:szCs w:val="7"/>
          <w:lang w:val="pt-PT"/>
        </w:rPr>
        <w:t>] de [</w:t>
      </w:r>
      <w:r>
        <w:rPr>
          <w:rFonts w:ascii="Verdana" w:hAnsi="Verdana" w:cs="Arial-BoldMT"/>
          <w:b/>
          <w:bCs/>
          <w:sz w:val="7"/>
          <w:szCs w:val="7"/>
          <w:lang w:val="pt-PT"/>
        </w:rPr>
        <w:sym w:font="Symbol" w:char="F0B7"/>
      </w:r>
      <w:r>
        <w:rPr>
          <w:rFonts w:ascii="Verdana" w:hAnsi="Verdana" w:cs="Arial-BoldMT"/>
          <w:b/>
          <w:bCs/>
          <w:sz w:val="7"/>
          <w:szCs w:val="7"/>
          <w:lang w:val="pt-PT"/>
        </w:rPr>
        <w:t xml:space="preserve">] de 2019, estando a Oferta sujeita à análise e aprovação da CVM. A Oferta será registrada em conformidade com os procedimentos previstos nos artigos 6ºA e 6ºB da Instrução CVM 400, do Código ANBIMA de Ofertas Públicas e demais disposições legais e regulamentares aplicáveis. </w:t>
      </w:r>
    </w:p>
    <w:p>
      <w:pPr>
        <w:suppressAutoHyphens/>
        <w:spacing w:after="0"/>
        <w:rPr>
          <w:rFonts w:ascii="Verdana" w:hAnsi="Verdana" w:cs="Arial-BoldMT"/>
          <w:b/>
          <w:bCs/>
          <w:sz w:val="7"/>
          <w:szCs w:val="7"/>
          <w:lang w:val="pt-PT"/>
        </w:rPr>
      </w:pPr>
    </w:p>
    <w:p>
      <w:pPr>
        <w:suppressAutoHyphens/>
        <w:spacing w:after="0"/>
        <w:rPr>
          <w:rFonts w:ascii="Verdana" w:hAnsi="Verdana" w:cs="Arial-BoldMT"/>
          <w:b/>
          <w:bCs/>
          <w:sz w:val="7"/>
          <w:szCs w:val="7"/>
          <w:lang w:val="pt-PT"/>
        </w:rPr>
      </w:pPr>
      <w:r>
        <w:rPr>
          <w:rFonts w:ascii="Verdana" w:hAnsi="Verdana" w:cs="Arial-BoldMT"/>
          <w:b/>
          <w:bCs/>
          <w:sz w:val="7"/>
          <w:szCs w:val="7"/>
          <w:lang w:val="pt-PT"/>
        </w:rPr>
        <w:t>A Oferta foi registrada pela CVM em [•] de [•] de 2019, sob o nº CVM/SRE/DEB/2019/[•]</w:t>
      </w:r>
    </w:p>
    <w:p>
      <w:pPr>
        <w:suppressAutoHyphens/>
        <w:spacing w:after="0"/>
        <w:rPr>
          <w:rFonts w:ascii="Verdana" w:hAnsi="Verdana" w:cs="Arial-BoldMT"/>
          <w:b/>
          <w:bCs/>
          <w:sz w:val="7"/>
          <w:szCs w:val="7"/>
          <w:lang w:val="pt-PT"/>
        </w:rPr>
      </w:pPr>
    </w:p>
    <w:p>
      <w:pPr>
        <w:suppressAutoHyphens/>
        <w:spacing w:after="0"/>
        <w:rPr>
          <w:rFonts w:ascii="Verdana" w:hAnsi="Verdana" w:cs="Arial-BoldMT"/>
          <w:b/>
          <w:bCs/>
          <w:sz w:val="7"/>
          <w:szCs w:val="7"/>
          <w:lang w:val="pt-PT"/>
        </w:rPr>
      </w:pPr>
      <w:r>
        <w:rPr>
          <w:rFonts w:ascii="Verdana" w:hAnsi="Verdana" w:cs="Arial-BoldMT"/>
          <w:b/>
          <w:bCs/>
          <w:sz w:val="7"/>
          <w:szCs w:val="7"/>
          <w:lang w:val="pt-PT"/>
        </w:rPr>
        <w:t>“O REGISTRO DA PRESENTE OFERTA NÃO IMPLICA, POR PARTE DA CVM, GARANTIA DA VERACIDADE DAS INFORMAÇÕES PRESTADAS OU EM JULGAMENTO SOBRE A QUALIDADE DA EMISSORA, BEM COMO SOBRE AS DEBÊNTURES A SEREM DISTRIBUÍDAS”.</w:t>
      </w:r>
    </w:p>
    <w:p>
      <w:pPr>
        <w:suppressAutoHyphens/>
        <w:spacing w:after="0"/>
        <w:rPr>
          <w:rFonts w:ascii="Verdana" w:hAnsi="Verdana" w:cs="Arial-BoldMT"/>
          <w:b/>
          <w:bCs/>
          <w:sz w:val="7"/>
          <w:szCs w:val="7"/>
          <w:lang w:val="pt-PT"/>
        </w:rPr>
      </w:pPr>
    </w:p>
    <w:p>
      <w:pPr>
        <w:suppressAutoHyphens/>
        <w:spacing w:after="0"/>
        <w:rPr>
          <w:rFonts w:ascii="Verdana" w:hAnsi="Verdana"/>
          <w:sz w:val="7"/>
          <w:szCs w:val="7"/>
          <w:lang w:val="pt-PT"/>
        </w:rPr>
      </w:pPr>
      <w:r>
        <w:rPr>
          <w:rFonts w:ascii="Verdana" w:hAnsi="Verdana"/>
          <w:sz w:val="7"/>
          <w:szCs w:val="7"/>
          <w:lang w:val="pt-PT"/>
        </w:rPr>
        <w:t>Mais informações sobre a Emissora e a Oferta poderão ser obtidas junto aos Coordenadores e à CVM nos endereços indicados na seção “Informações Adicionais”, na página [</w:t>
      </w:r>
      <w:r>
        <w:rPr>
          <w:rFonts w:ascii="Verdana" w:hAnsi="Verdana"/>
          <w:sz w:val="7"/>
          <w:szCs w:val="7"/>
          <w:lang w:val="pt-PT"/>
        </w:rPr>
        <w:sym w:font="Symbol" w:char="F0B7"/>
      </w:r>
      <w:r>
        <w:rPr>
          <w:rFonts w:ascii="Verdana" w:hAnsi="Verdana"/>
          <w:sz w:val="7"/>
          <w:szCs w:val="7"/>
          <w:lang w:val="pt-PT"/>
        </w:rPr>
        <w:t>] deste Prospecto.</w:t>
      </w:r>
    </w:p>
    <w:p>
      <w:pPr>
        <w:suppressAutoHyphens/>
        <w:spacing w:after="0"/>
        <w:jc w:val="center"/>
        <w:rPr>
          <w:rFonts w:ascii="Verdana" w:hAnsi="Verdana"/>
          <w:sz w:val="7"/>
          <w:szCs w:val="7"/>
          <w:lang w:val="pt-BR"/>
        </w:rPr>
      </w:pPr>
    </w:p>
    <w:p>
      <w:pPr>
        <w:suppressAutoHyphens/>
        <w:spacing w:after="0"/>
        <w:jc w:val="center"/>
        <w:rPr>
          <w:rFonts w:ascii="Verdana" w:hAnsi="Verdana"/>
          <w:sz w:val="7"/>
          <w:szCs w:val="7"/>
          <w:lang w:val="pt-BR"/>
        </w:rPr>
      </w:pPr>
      <w:r>
        <w:rPr>
          <w:rFonts w:ascii="Verdana" w:hAnsi="Verdana"/>
          <w:sz w:val="7"/>
          <w:szCs w:val="7"/>
          <w:lang w:val="pt-BR"/>
        </w:rPr>
        <w:t>[</w:t>
      </w:r>
      <w:r>
        <w:rPr>
          <w:rFonts w:ascii="Verdana" w:hAnsi="Verdana"/>
          <w:sz w:val="7"/>
          <w:szCs w:val="7"/>
          <w:highlight w:val="yellow"/>
          <w:lang w:val="pt-BR"/>
        </w:rPr>
        <w:t>Selo ANBIMA de Ofertas Públicas</w:t>
      </w:r>
      <w:r>
        <w:rPr>
          <w:rFonts w:ascii="Verdana" w:hAnsi="Verdana"/>
          <w:sz w:val="7"/>
          <w:szCs w:val="7"/>
          <w:lang w:val="pt-BR"/>
        </w:rPr>
        <w:t>]</w:t>
      </w:r>
    </w:p>
    <w:p>
      <w:pPr>
        <w:suppressAutoHyphens/>
        <w:spacing w:after="0"/>
        <w:jc w:val="center"/>
        <w:rPr>
          <w:rFonts w:ascii="Verdana" w:hAnsi="Verdana"/>
          <w:sz w:val="7"/>
          <w:szCs w:val="7"/>
          <w:lang w:val="pt-BR"/>
        </w:rPr>
      </w:pPr>
    </w:p>
    <w:p>
      <w:pPr>
        <w:suppressAutoHyphens/>
        <w:spacing w:after="0"/>
        <w:jc w:val="center"/>
        <w:rPr>
          <w:rFonts w:ascii="Verdana" w:hAnsi="Verdana"/>
          <w:sz w:val="7"/>
          <w:szCs w:val="7"/>
          <w:lang w:val="pt-BR"/>
        </w:rPr>
      </w:pPr>
      <w:r>
        <w:rPr>
          <w:rFonts w:ascii="Verdana" w:hAnsi="Verdana"/>
          <w:sz w:val="7"/>
          <w:szCs w:val="7"/>
          <w:lang w:val="pt-BR"/>
        </w:rPr>
        <w:t>[</w:t>
      </w:r>
      <w:r>
        <w:rPr>
          <w:rFonts w:ascii="Verdana" w:hAnsi="Verdana"/>
          <w:sz w:val="7"/>
          <w:szCs w:val="7"/>
          <w:highlight w:val="yellow"/>
          <w:lang w:val="pt-BR"/>
        </w:rPr>
        <w:t>Logos a serem inseridos</w:t>
      </w:r>
      <w:r>
        <w:rPr>
          <w:rFonts w:ascii="Verdana" w:hAnsi="Verdana"/>
          <w:sz w:val="7"/>
          <w:szCs w:val="7"/>
          <w:lang w:val="pt-BR"/>
        </w:rPr>
        <w:t>]</w:t>
      </w:r>
    </w:p>
    <w:p>
      <w:pPr>
        <w:suppressAutoHyphens/>
        <w:spacing w:after="0"/>
        <w:jc w:val="center"/>
        <w:rPr>
          <w:rFonts w:ascii="Verdana" w:eastAsia="MS Mincho" w:hAnsi="Verdana" w:cs="Arial"/>
          <w:spacing w:val="-2"/>
          <w:sz w:val="8"/>
          <w:szCs w:val="8"/>
          <w:lang w:val="pt-BR"/>
        </w:rPr>
      </w:pPr>
    </w:p>
    <w:p>
      <w:pPr>
        <w:suppressAutoHyphens/>
        <w:spacing w:after="0"/>
        <w:jc w:val="center"/>
        <w:rPr>
          <w:rFonts w:ascii="Verdana" w:hAnsi="Verdana"/>
          <w:lang w:val="pt-BR"/>
        </w:rPr>
      </w:pPr>
      <w:r>
        <w:rPr>
          <w:rFonts w:ascii="Verdana" w:eastAsia="MS Mincho" w:hAnsi="Verdana" w:cs="Arial"/>
          <w:spacing w:val="-2"/>
          <w:sz w:val="8"/>
          <w:szCs w:val="8"/>
          <w:lang w:val="pt-BR"/>
        </w:rPr>
        <w:t>A data deste Prospecto Preliminar é [13] de setembro de 2019</w:t>
      </w:r>
    </w:p>
    <w:p>
      <w:pPr>
        <w:pStyle w:val="HOMEBRBodyText"/>
        <w:jc w:val="center"/>
        <w:outlineLvl w:val="0"/>
        <w:rPr>
          <w:rFonts w:ascii="Verdana" w:hAnsi="Verdana" w:cs="Arial"/>
          <w:b/>
        </w:rPr>
        <w:sectPr>
          <w:headerReference w:type="even" r:id="rId14"/>
          <w:headerReference w:type="default" r:id="rId15"/>
          <w:footerReference w:type="even" r:id="rId16"/>
          <w:footerReference w:type="default" r:id="rId17"/>
          <w:headerReference w:type="first" r:id="rId18"/>
          <w:footerReference w:type="first" r:id="rId19"/>
          <w:pgSz w:w="12240" w:h="15840" w:code="153"/>
          <w:pgMar w:top="1418" w:right="1701" w:bottom="1418" w:left="1701" w:header="720" w:footer="482" w:gutter="0"/>
          <w:pgNumType w:fmt="lowerRoman" w:start="1"/>
          <w:cols w:space="720"/>
        </w:sectPr>
      </w:pPr>
    </w:p>
    <w:p>
      <w:pPr>
        <w:pStyle w:val="HOMEBRBodyText"/>
        <w:jc w:val="center"/>
        <w:outlineLvl w:val="0"/>
        <w:rPr>
          <w:rFonts w:ascii="Verdana" w:hAnsi="Verdana" w:cs="Arial"/>
          <w:b/>
        </w:rPr>
      </w:pPr>
      <w:r>
        <w:rPr>
          <w:rFonts w:ascii="Verdana" w:hAnsi="Verdana" w:cs="Arial"/>
          <w:b/>
        </w:rPr>
        <w:lastRenderedPageBreak/>
        <w:t>ÍNDICE</w:t>
      </w:r>
    </w:p>
    <w:p>
      <w:pPr>
        <w:spacing w:after="0"/>
        <w:rPr>
          <w:rFonts w:ascii="Verdana" w:hAnsi="Verdana"/>
          <w:sz w:val="8"/>
          <w:szCs w:val="8"/>
          <w:lang w:val="pt-BR"/>
        </w:rPr>
      </w:pPr>
    </w:p>
    <w:p>
      <w:pPr>
        <w:pStyle w:val="Ttulo1"/>
        <w:keepNext w:val="0"/>
        <w:pageBreakBefore w:val="0"/>
        <w:widowControl w:val="0"/>
        <w:tabs>
          <w:tab w:val="right" w:leader="dot" w:pos="8505"/>
          <w:tab w:val="right" w:leader="dot" w:pos="8647"/>
        </w:tabs>
        <w:spacing w:after="0" w:line="260" w:lineRule="exact"/>
        <w:rPr>
          <w:rFonts w:ascii="Verdana" w:hAnsi="Verdana"/>
          <w:lang w:val="pt-BR"/>
        </w:rPr>
      </w:pPr>
      <w:r>
        <w:rPr>
          <w:rFonts w:ascii="Verdana" w:hAnsi="Verdana"/>
          <w:highlight w:val="yellow"/>
          <w:lang w:val="pt-BR"/>
        </w:rPr>
        <w:t>[</w:t>
      </w:r>
      <w:r>
        <w:rPr>
          <w:rFonts w:ascii="Verdana" w:hAnsi="Verdana"/>
          <w:i/>
          <w:caps w:val="0"/>
          <w:highlight w:val="yellow"/>
          <w:lang w:val="pt-BR"/>
        </w:rPr>
        <w:t>Nota PNA: A ser inserido oportunamente.</w:t>
      </w:r>
      <w:r>
        <w:rPr>
          <w:rFonts w:ascii="Verdana" w:hAnsi="Verdana"/>
          <w:caps w:val="0"/>
          <w:highlight w:val="yellow"/>
          <w:lang w:val="pt-BR"/>
        </w:rPr>
        <w:t>]</w:t>
      </w:r>
    </w:p>
    <w:p>
      <w:pPr>
        <w:pStyle w:val="Ttulo1"/>
        <w:keepNext w:val="0"/>
        <w:pageBreakBefore w:val="0"/>
        <w:widowControl w:val="0"/>
        <w:tabs>
          <w:tab w:val="right" w:leader="dot" w:pos="8505"/>
          <w:tab w:val="right" w:leader="dot" w:pos="8647"/>
        </w:tabs>
        <w:spacing w:after="0" w:line="260" w:lineRule="exact"/>
        <w:rPr>
          <w:rFonts w:ascii="Verdana" w:hAnsi="Verdana"/>
          <w:lang w:val="pt-BR"/>
        </w:rPr>
      </w:pPr>
    </w:p>
    <w:p>
      <w:pPr>
        <w:pStyle w:val="Ttulo1"/>
        <w:keepNext w:val="0"/>
        <w:pageBreakBefore w:val="0"/>
        <w:widowControl w:val="0"/>
        <w:tabs>
          <w:tab w:val="left" w:leader="dot" w:pos="8222"/>
          <w:tab w:val="right" w:leader="dot" w:pos="8539"/>
        </w:tabs>
        <w:spacing w:after="0" w:line="260" w:lineRule="exact"/>
        <w:rPr>
          <w:rFonts w:ascii="Verdana" w:hAnsi="Verdana"/>
          <w:lang w:val="pt-BR"/>
        </w:rPr>
      </w:pPr>
    </w:p>
    <w:p>
      <w:pPr>
        <w:pStyle w:val="Ttulo1"/>
        <w:keepNext w:val="0"/>
        <w:pageBreakBefore w:val="0"/>
        <w:widowControl w:val="0"/>
        <w:tabs>
          <w:tab w:val="left" w:leader="dot" w:pos="8222"/>
          <w:tab w:val="right" w:leader="dot" w:pos="8539"/>
        </w:tabs>
        <w:spacing w:after="0" w:line="260" w:lineRule="exact"/>
        <w:rPr>
          <w:rFonts w:ascii="Verdana" w:hAnsi="Verdana"/>
          <w:lang w:val="pt-BR"/>
        </w:rPr>
      </w:pPr>
    </w:p>
    <w:p>
      <w:pPr>
        <w:pStyle w:val="Ttulo1"/>
        <w:keepNext w:val="0"/>
        <w:pageBreakBefore w:val="0"/>
        <w:widowControl w:val="0"/>
        <w:tabs>
          <w:tab w:val="left" w:leader="dot" w:pos="8222"/>
          <w:tab w:val="right" w:leader="dot" w:pos="8539"/>
        </w:tabs>
        <w:spacing w:after="0" w:line="260" w:lineRule="exact"/>
        <w:rPr>
          <w:rFonts w:ascii="Verdana" w:hAnsi="Verdana"/>
          <w:lang w:val="pt-BR"/>
        </w:rPr>
      </w:pPr>
    </w:p>
    <w:p>
      <w:pPr>
        <w:pStyle w:val="Ttulo1"/>
        <w:keepNext w:val="0"/>
        <w:pageBreakBefore w:val="0"/>
        <w:widowControl w:val="0"/>
        <w:tabs>
          <w:tab w:val="left" w:leader="dot" w:pos="8222"/>
          <w:tab w:val="right" w:leader="dot" w:pos="8539"/>
        </w:tabs>
        <w:spacing w:after="0" w:line="260" w:lineRule="exact"/>
        <w:rPr>
          <w:rFonts w:ascii="Verdana" w:hAnsi="Verdana"/>
          <w:lang w:val="pt-BR"/>
        </w:rPr>
      </w:pPr>
    </w:p>
    <w:p>
      <w:pPr>
        <w:spacing w:after="0"/>
        <w:rPr>
          <w:rFonts w:ascii="Verdana" w:eastAsia="MS Mincho" w:hAnsi="Verdana" w:cs="Arial-BoldMT"/>
          <w:b/>
          <w:bCs/>
          <w:color w:val="000000"/>
          <w:sz w:val="22"/>
          <w:szCs w:val="22"/>
          <w:lang w:val="pt-BR" w:eastAsia="pt-BR"/>
        </w:rPr>
      </w:pPr>
      <w:r>
        <w:rPr>
          <w:rFonts w:ascii="Verdana" w:eastAsia="MS Mincho" w:hAnsi="Verdana" w:cs="Arial-BoldMT"/>
          <w:b/>
          <w:bCs/>
          <w:color w:val="000000"/>
          <w:sz w:val="22"/>
          <w:szCs w:val="22"/>
          <w:lang w:val="pt-BR" w:eastAsia="pt-BR"/>
        </w:rPr>
        <w:br w:type="page"/>
      </w:r>
    </w:p>
    <w:p>
      <w:pPr>
        <w:pBdr>
          <w:bottom w:val="single" w:sz="8" w:space="4" w:color="000000"/>
        </w:pBdr>
        <w:suppressAutoHyphens/>
        <w:autoSpaceDE w:val="0"/>
        <w:autoSpaceDN w:val="0"/>
        <w:adjustRightInd w:val="0"/>
        <w:spacing w:after="113" w:line="240" w:lineRule="atLeast"/>
        <w:textAlignment w:val="center"/>
        <w:rPr>
          <w:rFonts w:ascii="Verdana" w:eastAsia="MS Mincho" w:hAnsi="Verdana" w:cs="Arial"/>
          <w:b/>
          <w:bCs/>
          <w:color w:val="000000"/>
          <w:lang w:val="pt-BR" w:eastAsia="pt-BR"/>
        </w:rPr>
      </w:pPr>
      <w:r>
        <w:rPr>
          <w:rFonts w:ascii="Verdana" w:eastAsia="MS Mincho" w:hAnsi="Verdana" w:cs="Arial"/>
          <w:b/>
          <w:bCs/>
          <w:color w:val="000000"/>
          <w:lang w:val="pt-BR" w:eastAsia="pt-BR"/>
        </w:rPr>
        <w:lastRenderedPageBreak/>
        <w:t>ANEXOS</w:t>
      </w:r>
    </w:p>
    <w:p>
      <w:pPr>
        <w:tabs>
          <w:tab w:val="left" w:pos="1280"/>
          <w:tab w:val="left" w:leader="dot" w:pos="8483"/>
        </w:tabs>
        <w:suppressAutoHyphens/>
        <w:autoSpaceDE w:val="0"/>
        <w:autoSpaceDN w:val="0"/>
        <w:adjustRightInd w:val="0"/>
        <w:spacing w:before="85" w:after="113" w:line="288" w:lineRule="auto"/>
        <w:ind w:left="1701" w:hanging="1701"/>
        <w:jc w:val="left"/>
        <w:textAlignment w:val="center"/>
        <w:rPr>
          <w:rFonts w:ascii="Verdana" w:eastAsia="MS Mincho" w:hAnsi="Verdana" w:cs="Arial"/>
          <w:b/>
          <w:bCs/>
          <w:color w:val="000000"/>
          <w:lang w:val="pt-BR" w:eastAsia="pt-BR"/>
        </w:rPr>
      </w:pPr>
      <w:r>
        <w:rPr>
          <w:rFonts w:ascii="Verdana" w:eastAsia="MS Mincho" w:hAnsi="Verdana" w:cs="Arial"/>
          <w:b/>
          <w:bCs/>
          <w:color w:val="000000"/>
          <w:lang w:val="pt-BR" w:eastAsia="pt-BR"/>
        </w:rPr>
        <w:t>ANEXO A</w:t>
      </w:r>
      <w:r>
        <w:rPr>
          <w:rFonts w:ascii="Verdana" w:eastAsia="MS Mincho" w:hAnsi="Verdana" w:cs="Arial"/>
          <w:b/>
          <w:bCs/>
          <w:color w:val="000000"/>
          <w:lang w:val="pt-BR" w:eastAsia="pt-BR"/>
        </w:rPr>
        <w:tab/>
        <w:t>-</w:t>
      </w:r>
      <w:r>
        <w:rPr>
          <w:rFonts w:ascii="Verdana" w:eastAsia="MS Mincho" w:hAnsi="Verdana" w:cs="Arial"/>
          <w:b/>
          <w:bCs/>
          <w:color w:val="000000"/>
          <w:lang w:val="pt-BR" w:eastAsia="pt-BR"/>
        </w:rPr>
        <w:tab/>
      </w:r>
      <w:r>
        <w:rPr>
          <w:rFonts w:ascii="Verdana" w:eastAsia="MS Mincho" w:hAnsi="Verdana" w:cs="Arial"/>
          <w:color w:val="000000"/>
          <w:lang w:val="pt-BR" w:eastAsia="pt-BR"/>
        </w:rPr>
        <w:t>ESTATUTO SOCIAL CONSOLIDADO DA EMISSORA</w:t>
      </w:r>
      <w:r>
        <w:rPr>
          <w:rFonts w:ascii="Verdana" w:eastAsia="MS Mincho" w:hAnsi="Verdana" w:cs="Arial"/>
          <w:color w:val="000000"/>
          <w:lang w:val="pt-BR" w:eastAsia="pt-BR"/>
        </w:rPr>
        <w:tab/>
        <w:t>127</w:t>
      </w:r>
    </w:p>
    <w:p>
      <w:pPr>
        <w:tabs>
          <w:tab w:val="left" w:pos="1280"/>
          <w:tab w:val="left" w:leader="dot" w:pos="8483"/>
          <w:tab w:val="decimal" w:pos="8789"/>
        </w:tabs>
        <w:suppressAutoHyphens/>
        <w:autoSpaceDE w:val="0"/>
        <w:autoSpaceDN w:val="0"/>
        <w:adjustRightInd w:val="0"/>
        <w:spacing w:before="85" w:after="113" w:line="288" w:lineRule="auto"/>
        <w:ind w:left="1701" w:hanging="1701"/>
        <w:jc w:val="left"/>
        <w:textAlignment w:val="center"/>
        <w:rPr>
          <w:rFonts w:ascii="Verdana" w:eastAsia="MS Mincho" w:hAnsi="Verdana" w:cs="Arial"/>
          <w:b/>
          <w:bCs/>
          <w:color w:val="000000"/>
          <w:lang w:val="pt-BR" w:eastAsia="pt-BR"/>
        </w:rPr>
      </w:pPr>
      <w:r>
        <w:rPr>
          <w:rFonts w:ascii="Verdana" w:eastAsia="MS Mincho" w:hAnsi="Verdana" w:cs="Arial"/>
          <w:b/>
          <w:bCs/>
          <w:color w:val="000000"/>
          <w:lang w:val="pt-BR" w:eastAsia="pt-BR"/>
        </w:rPr>
        <w:t>ANEXO B</w:t>
      </w:r>
      <w:r>
        <w:rPr>
          <w:rFonts w:ascii="Verdana" w:eastAsia="MS Mincho" w:hAnsi="Verdana" w:cs="Arial"/>
          <w:b/>
          <w:bCs/>
          <w:color w:val="000000"/>
          <w:lang w:val="pt-BR" w:eastAsia="pt-BR"/>
        </w:rPr>
        <w:tab/>
        <w:t>-</w:t>
      </w:r>
      <w:r>
        <w:rPr>
          <w:rFonts w:ascii="Verdana" w:eastAsia="MS Mincho" w:hAnsi="Verdana" w:cs="Arial"/>
          <w:b/>
          <w:bCs/>
          <w:color w:val="000000"/>
          <w:lang w:val="pt-BR" w:eastAsia="pt-BR"/>
        </w:rPr>
        <w:tab/>
      </w:r>
      <w:r>
        <w:rPr>
          <w:rFonts w:ascii="Verdana" w:eastAsia="MS Mincho" w:hAnsi="Verdana" w:cs="Arial"/>
          <w:color w:val="000000"/>
          <w:lang w:val="pt-BR" w:eastAsia="pt-BR"/>
        </w:rPr>
        <w:t>ESCRITURA DE EMISSÃO ACOMPANHADA DE EVIDÊNCIA DE PROTOCOLO NA JUCEPAR</w:t>
      </w:r>
      <w:r>
        <w:rPr>
          <w:rFonts w:ascii="Verdana" w:eastAsia="MS Mincho" w:hAnsi="Verdana" w:cs="Arial"/>
          <w:color w:val="000000"/>
          <w:lang w:val="pt-BR" w:eastAsia="pt-BR"/>
        </w:rPr>
        <w:tab/>
        <w:t>155</w:t>
      </w:r>
    </w:p>
    <w:p>
      <w:pPr>
        <w:tabs>
          <w:tab w:val="left" w:pos="1280"/>
          <w:tab w:val="left" w:leader="dot" w:pos="8483"/>
          <w:tab w:val="decimal" w:pos="8789"/>
        </w:tabs>
        <w:suppressAutoHyphens/>
        <w:autoSpaceDE w:val="0"/>
        <w:autoSpaceDN w:val="0"/>
        <w:adjustRightInd w:val="0"/>
        <w:spacing w:before="85" w:after="113" w:line="288" w:lineRule="auto"/>
        <w:ind w:left="1701" w:hanging="1701"/>
        <w:jc w:val="left"/>
        <w:textAlignment w:val="center"/>
        <w:rPr>
          <w:rFonts w:ascii="Verdana" w:eastAsia="MS Mincho" w:hAnsi="Verdana" w:cs="Arial"/>
          <w:b/>
          <w:bCs/>
          <w:color w:val="000000"/>
          <w:lang w:val="pt-BR" w:eastAsia="pt-BR"/>
        </w:rPr>
      </w:pPr>
      <w:r>
        <w:rPr>
          <w:rFonts w:ascii="Verdana" w:eastAsia="MS Mincho" w:hAnsi="Verdana" w:cs="Arial"/>
          <w:b/>
          <w:bCs/>
          <w:color w:val="000000"/>
          <w:lang w:val="pt-BR" w:eastAsia="pt-BR"/>
        </w:rPr>
        <w:t>ANEXO C</w:t>
      </w:r>
      <w:r>
        <w:rPr>
          <w:rFonts w:ascii="Verdana" w:eastAsia="MS Mincho" w:hAnsi="Verdana" w:cs="Arial"/>
          <w:b/>
          <w:bCs/>
          <w:color w:val="000000"/>
          <w:lang w:val="pt-BR" w:eastAsia="pt-BR"/>
        </w:rPr>
        <w:tab/>
        <w:t>-</w:t>
      </w:r>
      <w:r>
        <w:rPr>
          <w:rFonts w:ascii="Verdana" w:eastAsia="MS Mincho" w:hAnsi="Verdana" w:cs="Arial"/>
          <w:b/>
          <w:bCs/>
          <w:color w:val="000000"/>
          <w:lang w:val="pt-BR" w:eastAsia="pt-BR"/>
        </w:rPr>
        <w:tab/>
      </w:r>
      <w:r>
        <w:rPr>
          <w:rFonts w:ascii="Verdana" w:eastAsia="MS Mincho" w:hAnsi="Verdana" w:cs="Arial"/>
          <w:color w:val="000000"/>
          <w:lang w:val="pt-BR" w:eastAsia="pt-BR"/>
        </w:rPr>
        <w:t xml:space="preserve">MINUTA DO ADITAMENTO À ESCRITURA DE EMISSÃO REFERENTE </w:t>
      </w:r>
      <w:r>
        <w:rPr>
          <w:rFonts w:ascii="Verdana" w:eastAsia="MS Mincho" w:hAnsi="Verdana" w:cs="Arial"/>
          <w:color w:val="000000"/>
          <w:lang w:val="pt-BR" w:eastAsia="pt-BR"/>
        </w:rPr>
        <w:br/>
        <w:t xml:space="preserve">AO RESULTADO DO PROCEDIMENTO DE </w:t>
      </w:r>
      <w:r>
        <w:rPr>
          <w:rFonts w:ascii="Verdana" w:eastAsia="MS Mincho" w:hAnsi="Verdana" w:cs="Arial"/>
          <w:i/>
          <w:iCs/>
          <w:color w:val="000000"/>
          <w:lang w:val="pt-BR" w:eastAsia="pt-BR"/>
        </w:rPr>
        <w:t>BOOKBUILDING</w:t>
      </w:r>
      <w:r>
        <w:rPr>
          <w:rFonts w:ascii="Verdana" w:eastAsia="MS Mincho" w:hAnsi="Verdana" w:cs="Arial"/>
          <w:i/>
          <w:iCs/>
          <w:color w:val="000000"/>
          <w:lang w:val="pt-BR" w:eastAsia="pt-BR"/>
        </w:rPr>
        <w:tab/>
        <w:t>229</w:t>
      </w:r>
    </w:p>
    <w:p>
      <w:pPr>
        <w:tabs>
          <w:tab w:val="left" w:pos="1280"/>
          <w:tab w:val="left" w:leader="dot" w:pos="8483"/>
          <w:tab w:val="decimal" w:pos="8789"/>
        </w:tabs>
        <w:suppressAutoHyphens/>
        <w:autoSpaceDE w:val="0"/>
        <w:autoSpaceDN w:val="0"/>
        <w:adjustRightInd w:val="0"/>
        <w:spacing w:before="85" w:after="113" w:line="288" w:lineRule="auto"/>
        <w:ind w:left="1701" w:hanging="1701"/>
        <w:jc w:val="left"/>
        <w:textAlignment w:val="center"/>
        <w:rPr>
          <w:rFonts w:ascii="Verdana" w:eastAsia="MS Mincho" w:hAnsi="Verdana" w:cs="Arial"/>
          <w:b/>
          <w:bCs/>
          <w:color w:val="000000"/>
          <w:lang w:val="pt-BR" w:eastAsia="pt-BR"/>
        </w:rPr>
      </w:pPr>
      <w:r>
        <w:rPr>
          <w:rFonts w:ascii="Verdana" w:eastAsia="MS Mincho" w:hAnsi="Verdana" w:cs="Arial"/>
          <w:b/>
          <w:bCs/>
          <w:color w:val="000000"/>
          <w:lang w:val="pt-BR" w:eastAsia="pt-BR"/>
        </w:rPr>
        <w:t>ANEXO D</w:t>
      </w:r>
      <w:r>
        <w:rPr>
          <w:rFonts w:ascii="Verdana" w:eastAsia="MS Mincho" w:hAnsi="Verdana" w:cs="Arial"/>
          <w:b/>
          <w:bCs/>
          <w:color w:val="000000"/>
          <w:lang w:val="pt-BR" w:eastAsia="pt-BR"/>
        </w:rPr>
        <w:tab/>
        <w:t>-</w:t>
      </w:r>
      <w:r>
        <w:rPr>
          <w:rFonts w:ascii="Verdana" w:eastAsia="MS Mincho" w:hAnsi="Verdana" w:cs="Arial"/>
          <w:b/>
          <w:bCs/>
          <w:color w:val="000000"/>
          <w:lang w:val="pt-BR" w:eastAsia="pt-BR"/>
        </w:rPr>
        <w:tab/>
      </w:r>
      <w:r>
        <w:rPr>
          <w:rFonts w:ascii="Verdana" w:eastAsia="MS Mincho" w:hAnsi="Verdana" w:cs="Arial"/>
          <w:color w:val="000000"/>
          <w:lang w:val="pt-BR" w:eastAsia="pt-BR"/>
        </w:rPr>
        <w:t>ATA DA REUNIÃO DO CONSELHO DE ADMINISTRAÇÃO DA</w:t>
      </w:r>
      <w:r>
        <w:rPr>
          <w:rFonts w:ascii="Verdana" w:eastAsia="MS Mincho" w:hAnsi="Verdana" w:cs="Arial"/>
          <w:color w:val="000000"/>
          <w:lang w:val="pt-BR" w:eastAsia="pt-BR"/>
        </w:rPr>
        <w:br/>
        <w:t>EMISSORA QUE APROVOU A EMISSÃO E A OFERTA</w:t>
      </w:r>
      <w:r>
        <w:rPr>
          <w:rFonts w:ascii="Verdana" w:eastAsia="MS Mincho" w:hAnsi="Verdana" w:cs="Arial"/>
          <w:color w:val="000000"/>
          <w:lang w:val="pt-BR" w:eastAsia="pt-BR"/>
        </w:rPr>
        <w:br/>
        <w:t>ACOMPANHADA DE EVIDÊNCIA DE PROTOCOLO NA JUCEPAR</w:t>
      </w:r>
      <w:r>
        <w:rPr>
          <w:rFonts w:ascii="Verdana" w:eastAsia="MS Mincho" w:hAnsi="Verdana" w:cs="Arial"/>
          <w:color w:val="000000"/>
          <w:lang w:val="pt-BR" w:eastAsia="pt-BR"/>
        </w:rPr>
        <w:tab/>
        <w:t>245</w:t>
      </w:r>
    </w:p>
    <w:p>
      <w:pPr>
        <w:tabs>
          <w:tab w:val="left" w:pos="1280"/>
          <w:tab w:val="left" w:leader="dot" w:pos="8483"/>
          <w:tab w:val="decimal" w:pos="8789"/>
        </w:tabs>
        <w:suppressAutoHyphens/>
        <w:autoSpaceDE w:val="0"/>
        <w:autoSpaceDN w:val="0"/>
        <w:adjustRightInd w:val="0"/>
        <w:spacing w:before="85" w:after="113" w:line="288" w:lineRule="auto"/>
        <w:ind w:left="1701" w:hanging="1701"/>
        <w:jc w:val="left"/>
        <w:textAlignment w:val="center"/>
        <w:rPr>
          <w:rFonts w:ascii="Verdana" w:eastAsia="MS Mincho" w:hAnsi="Verdana" w:cs="Arial"/>
          <w:b/>
          <w:bCs/>
          <w:color w:val="000000"/>
          <w:lang w:val="pt-BR" w:eastAsia="pt-BR"/>
        </w:rPr>
      </w:pPr>
      <w:r>
        <w:rPr>
          <w:rFonts w:ascii="Verdana" w:eastAsia="MS Mincho" w:hAnsi="Verdana" w:cs="Arial"/>
          <w:b/>
          <w:bCs/>
          <w:color w:val="000000"/>
          <w:lang w:val="pt-BR" w:eastAsia="pt-BR"/>
        </w:rPr>
        <w:t>ANEXO E</w:t>
      </w:r>
      <w:r>
        <w:rPr>
          <w:rFonts w:ascii="Verdana" w:eastAsia="MS Mincho" w:hAnsi="Verdana" w:cs="Arial"/>
          <w:b/>
          <w:bCs/>
          <w:color w:val="000000"/>
          <w:lang w:val="pt-BR" w:eastAsia="pt-BR"/>
        </w:rPr>
        <w:tab/>
        <w:t>-</w:t>
      </w:r>
      <w:r>
        <w:rPr>
          <w:rFonts w:ascii="Verdana" w:eastAsia="MS Mincho" w:hAnsi="Verdana" w:cs="Arial"/>
          <w:b/>
          <w:bCs/>
          <w:color w:val="000000"/>
          <w:lang w:val="pt-BR" w:eastAsia="pt-BR"/>
        </w:rPr>
        <w:tab/>
      </w:r>
      <w:r>
        <w:rPr>
          <w:rFonts w:ascii="Verdana" w:eastAsia="MS Mincho" w:hAnsi="Verdana" w:cs="Arial"/>
          <w:color w:val="000000"/>
          <w:lang w:val="pt-BR" w:eastAsia="pt-BR"/>
        </w:rPr>
        <w:t>DECLARAÇÃO DA EMISSORA, NOS TERMOS DO ARTIGO 56</w:t>
      </w:r>
      <w:r>
        <w:rPr>
          <w:rFonts w:ascii="Verdana" w:eastAsia="MS Mincho" w:hAnsi="Verdana" w:cs="Arial"/>
          <w:color w:val="000000"/>
          <w:lang w:val="pt-BR" w:eastAsia="pt-BR"/>
        </w:rPr>
        <w:br/>
        <w:t>DA INSTRUÇÃO CVM 400</w:t>
      </w:r>
      <w:r>
        <w:rPr>
          <w:rFonts w:ascii="Verdana" w:eastAsia="MS Mincho" w:hAnsi="Verdana" w:cs="Arial"/>
          <w:color w:val="000000"/>
          <w:lang w:val="pt-BR" w:eastAsia="pt-BR"/>
        </w:rPr>
        <w:tab/>
        <w:t>257</w:t>
      </w:r>
    </w:p>
    <w:p>
      <w:pPr>
        <w:tabs>
          <w:tab w:val="left" w:pos="1280"/>
          <w:tab w:val="left" w:leader="dot" w:pos="8483"/>
          <w:tab w:val="decimal" w:pos="8789"/>
        </w:tabs>
        <w:suppressAutoHyphens/>
        <w:autoSpaceDE w:val="0"/>
        <w:autoSpaceDN w:val="0"/>
        <w:adjustRightInd w:val="0"/>
        <w:spacing w:before="85" w:after="113" w:line="288" w:lineRule="auto"/>
        <w:ind w:left="1701" w:hanging="1701"/>
        <w:jc w:val="left"/>
        <w:textAlignment w:val="center"/>
        <w:rPr>
          <w:rFonts w:ascii="Verdana" w:eastAsia="MS Mincho" w:hAnsi="Verdana" w:cs="Arial"/>
          <w:b/>
          <w:bCs/>
          <w:color w:val="000000"/>
          <w:lang w:val="pt-BR" w:eastAsia="pt-BR"/>
        </w:rPr>
      </w:pPr>
      <w:r>
        <w:rPr>
          <w:rFonts w:ascii="Verdana" w:eastAsia="MS Mincho" w:hAnsi="Verdana" w:cs="Arial"/>
          <w:b/>
          <w:bCs/>
          <w:color w:val="000000"/>
          <w:lang w:val="pt-BR" w:eastAsia="pt-BR"/>
        </w:rPr>
        <w:t>ANEXO F</w:t>
      </w:r>
      <w:r>
        <w:rPr>
          <w:rFonts w:ascii="Verdana" w:eastAsia="MS Mincho" w:hAnsi="Verdana" w:cs="Arial"/>
          <w:b/>
          <w:bCs/>
          <w:color w:val="000000"/>
          <w:lang w:val="pt-BR" w:eastAsia="pt-BR"/>
        </w:rPr>
        <w:tab/>
        <w:t>-</w:t>
      </w:r>
      <w:r>
        <w:rPr>
          <w:rFonts w:ascii="Verdana" w:eastAsia="MS Mincho" w:hAnsi="Verdana" w:cs="Arial"/>
          <w:b/>
          <w:bCs/>
          <w:color w:val="000000"/>
          <w:lang w:val="pt-BR" w:eastAsia="pt-BR"/>
        </w:rPr>
        <w:tab/>
      </w:r>
      <w:r>
        <w:rPr>
          <w:rFonts w:ascii="Verdana" w:eastAsia="MS Mincho" w:hAnsi="Verdana" w:cs="Arial"/>
          <w:color w:val="000000"/>
          <w:lang w:val="pt-BR" w:eastAsia="pt-BR"/>
        </w:rPr>
        <w:t>DECLARAÇÃO DO COORDENADOR LÍDER, NOS TERMOS</w:t>
      </w:r>
      <w:r>
        <w:rPr>
          <w:rFonts w:ascii="Verdana" w:eastAsia="MS Mincho" w:hAnsi="Verdana" w:cs="Arial"/>
          <w:color w:val="000000"/>
          <w:lang w:val="pt-BR" w:eastAsia="pt-BR"/>
        </w:rPr>
        <w:br/>
        <w:t>DO ARTIGO 56 DA INSTRUÇÃO CVM 400</w:t>
      </w:r>
      <w:r>
        <w:rPr>
          <w:rFonts w:ascii="Verdana" w:eastAsia="MS Mincho" w:hAnsi="Verdana" w:cs="Arial"/>
          <w:color w:val="000000"/>
          <w:lang w:val="pt-BR" w:eastAsia="pt-BR"/>
        </w:rPr>
        <w:tab/>
        <w:t>261</w:t>
      </w:r>
    </w:p>
    <w:p>
      <w:pPr>
        <w:tabs>
          <w:tab w:val="left" w:pos="1280"/>
          <w:tab w:val="left" w:leader="dot" w:pos="8483"/>
          <w:tab w:val="decimal" w:pos="8789"/>
        </w:tabs>
        <w:suppressAutoHyphens/>
        <w:autoSpaceDE w:val="0"/>
        <w:autoSpaceDN w:val="0"/>
        <w:adjustRightInd w:val="0"/>
        <w:spacing w:before="85" w:after="113" w:line="288" w:lineRule="auto"/>
        <w:ind w:left="1701" w:hanging="1701"/>
        <w:jc w:val="left"/>
        <w:textAlignment w:val="center"/>
        <w:rPr>
          <w:rFonts w:ascii="Verdana" w:eastAsia="MS Mincho" w:hAnsi="Verdana" w:cs="Arial"/>
          <w:b/>
          <w:bCs/>
          <w:color w:val="000000"/>
          <w:lang w:val="pt-BR" w:eastAsia="pt-BR"/>
        </w:rPr>
      </w:pPr>
      <w:r>
        <w:rPr>
          <w:rFonts w:ascii="Verdana" w:eastAsia="MS Mincho" w:hAnsi="Verdana" w:cs="Arial"/>
          <w:b/>
          <w:bCs/>
          <w:color w:val="000000"/>
          <w:lang w:val="pt-BR" w:eastAsia="pt-BR"/>
        </w:rPr>
        <w:t>ANEXO G</w:t>
      </w:r>
      <w:r>
        <w:rPr>
          <w:rFonts w:ascii="Verdana" w:eastAsia="MS Mincho" w:hAnsi="Verdana" w:cs="Arial"/>
          <w:b/>
          <w:bCs/>
          <w:color w:val="000000"/>
          <w:lang w:val="pt-BR" w:eastAsia="pt-BR"/>
        </w:rPr>
        <w:tab/>
        <w:t>-</w:t>
      </w:r>
      <w:r>
        <w:rPr>
          <w:rFonts w:ascii="Verdana" w:eastAsia="MS Mincho" w:hAnsi="Verdana" w:cs="Arial"/>
          <w:b/>
          <w:bCs/>
          <w:color w:val="000000"/>
          <w:lang w:val="pt-BR" w:eastAsia="pt-BR"/>
        </w:rPr>
        <w:tab/>
      </w:r>
      <w:r>
        <w:rPr>
          <w:rFonts w:ascii="Verdana" w:eastAsia="MS Mincho" w:hAnsi="Verdana" w:cs="Arial"/>
          <w:color w:val="000000"/>
          <w:lang w:val="pt-BR" w:eastAsia="pt-BR"/>
        </w:rPr>
        <w:t>PORTARIA Nº [</w:t>
      </w:r>
      <w:r>
        <w:rPr>
          <w:rFonts w:ascii="Verdana" w:eastAsia="MS Mincho" w:hAnsi="Verdana" w:cs="Arial"/>
          <w:color w:val="000000"/>
          <w:lang w:val="pt-BR" w:eastAsia="pt-BR"/>
        </w:rPr>
        <w:sym w:font="Symbol" w:char="F0B7"/>
      </w:r>
      <w:r>
        <w:rPr>
          <w:rFonts w:ascii="Verdana" w:eastAsia="MS Mincho" w:hAnsi="Verdana" w:cs="Arial"/>
          <w:color w:val="000000"/>
          <w:lang w:val="pt-BR" w:eastAsia="pt-BR"/>
        </w:rPr>
        <w:t>], DE [●] DE [●] DE [●], DO MINISTÉRIO DA INFRAESTRUTURA</w:t>
      </w:r>
      <w:r>
        <w:rPr>
          <w:rFonts w:ascii="Verdana" w:eastAsia="MS Mincho" w:hAnsi="Verdana" w:cs="Arial"/>
          <w:color w:val="000000"/>
          <w:lang w:val="pt-BR" w:eastAsia="pt-BR"/>
        </w:rPr>
        <w:tab/>
        <w:t>267</w:t>
      </w:r>
    </w:p>
    <w:p>
      <w:pPr>
        <w:tabs>
          <w:tab w:val="left" w:pos="1280"/>
          <w:tab w:val="left" w:leader="dot" w:pos="8483"/>
          <w:tab w:val="decimal" w:pos="8789"/>
          <w:tab w:val="right" w:leader="dot" w:pos="8842"/>
        </w:tabs>
        <w:spacing w:after="60"/>
        <w:ind w:left="1701" w:right="432" w:hanging="1701"/>
        <w:rPr>
          <w:rFonts w:ascii="Verdana" w:eastAsia="MS Mincho" w:hAnsi="Verdana" w:cs="Arial"/>
          <w:color w:val="000000"/>
          <w:lang w:val="pt-BR" w:eastAsia="pt-BR"/>
        </w:rPr>
      </w:pPr>
      <w:r>
        <w:rPr>
          <w:rFonts w:ascii="Verdana" w:eastAsia="MS Mincho" w:hAnsi="Verdana" w:cs="Arial"/>
          <w:b/>
          <w:bCs/>
          <w:color w:val="000000"/>
          <w:lang w:val="pt-BR" w:eastAsia="pt-BR"/>
        </w:rPr>
        <w:t>ANEXO H</w:t>
      </w:r>
      <w:r>
        <w:rPr>
          <w:rFonts w:ascii="Verdana" w:eastAsia="MS Mincho" w:hAnsi="Verdana" w:cs="Arial"/>
          <w:b/>
          <w:bCs/>
          <w:color w:val="000000"/>
          <w:lang w:val="pt-BR" w:eastAsia="pt-BR"/>
        </w:rPr>
        <w:tab/>
        <w:t>-</w:t>
      </w:r>
      <w:r>
        <w:rPr>
          <w:rFonts w:ascii="Verdana" w:eastAsia="MS Mincho" w:hAnsi="Verdana" w:cs="Arial"/>
          <w:b/>
          <w:bCs/>
          <w:color w:val="000000"/>
          <w:lang w:val="pt-BR" w:eastAsia="pt-BR"/>
        </w:rPr>
        <w:tab/>
      </w:r>
      <w:r>
        <w:rPr>
          <w:rFonts w:ascii="Verdana" w:eastAsia="MS Mincho" w:hAnsi="Verdana" w:cs="Arial"/>
          <w:color w:val="000000"/>
          <w:lang w:val="pt-BR" w:eastAsia="pt-BR"/>
        </w:rPr>
        <w:t>SÚMULA DE CLASSIFICAÇÃO DE RISCO (</w:t>
      </w:r>
      <w:r>
        <w:rPr>
          <w:rFonts w:ascii="Verdana" w:eastAsia="MS Mincho" w:hAnsi="Verdana" w:cs="Arial"/>
          <w:i/>
          <w:iCs/>
          <w:color w:val="000000"/>
          <w:lang w:val="pt-BR" w:eastAsia="pt-BR"/>
        </w:rPr>
        <w:t>RATING</w:t>
      </w:r>
      <w:r>
        <w:rPr>
          <w:rFonts w:ascii="Verdana" w:eastAsia="MS Mincho" w:hAnsi="Verdana" w:cs="Arial"/>
          <w:color w:val="000000"/>
          <w:lang w:val="pt-BR" w:eastAsia="pt-BR"/>
        </w:rPr>
        <w:t>)</w:t>
      </w:r>
      <w:r>
        <w:rPr>
          <w:rFonts w:ascii="Verdana" w:eastAsia="MS Mincho" w:hAnsi="Verdana" w:cs="Arial"/>
          <w:color w:val="000000"/>
          <w:lang w:val="pt-BR" w:eastAsia="pt-BR"/>
        </w:rPr>
        <w:tab/>
        <w:t>273</w:t>
      </w:r>
    </w:p>
    <w:p>
      <w:pPr>
        <w:tabs>
          <w:tab w:val="left" w:pos="1280"/>
          <w:tab w:val="left" w:leader="dot" w:pos="8483"/>
          <w:tab w:val="decimal" w:pos="8789"/>
          <w:tab w:val="right" w:leader="dot" w:pos="8842"/>
        </w:tabs>
        <w:spacing w:after="60"/>
        <w:ind w:left="1701" w:right="432" w:hanging="1701"/>
        <w:rPr>
          <w:rFonts w:ascii="Verdana" w:eastAsia="MS Mincho" w:hAnsi="Verdana" w:cs="Arial"/>
          <w:color w:val="000000"/>
          <w:lang w:val="pt-BR" w:eastAsia="pt-BR"/>
        </w:rPr>
      </w:pPr>
    </w:p>
    <w:p>
      <w:pPr>
        <w:tabs>
          <w:tab w:val="left" w:pos="1280"/>
          <w:tab w:val="left" w:leader="dot" w:pos="8505"/>
          <w:tab w:val="decimal" w:pos="8789"/>
          <w:tab w:val="right" w:leader="dot" w:pos="8842"/>
        </w:tabs>
        <w:spacing w:after="60"/>
        <w:ind w:left="1701" w:right="432" w:hanging="1701"/>
        <w:rPr>
          <w:rFonts w:ascii="Verdana" w:eastAsia="MS Mincho" w:hAnsi="Verdana" w:cs="ArialMT"/>
          <w:color w:val="000000"/>
          <w:lang w:val="pt-BR" w:eastAsia="pt-BR"/>
        </w:rPr>
      </w:pPr>
    </w:p>
    <w:p>
      <w:pPr>
        <w:tabs>
          <w:tab w:val="left" w:pos="1280"/>
          <w:tab w:val="left" w:leader="dot" w:pos="8505"/>
          <w:tab w:val="decimal" w:pos="8789"/>
          <w:tab w:val="right" w:leader="dot" w:pos="8842"/>
        </w:tabs>
        <w:spacing w:after="60"/>
        <w:ind w:right="432"/>
        <w:rPr>
          <w:rFonts w:ascii="Verdana" w:hAnsi="Verdana" w:cs="Arial"/>
          <w:b/>
          <w:lang w:val="pt-BR"/>
        </w:rPr>
        <w:sectPr>
          <w:pgSz w:w="12240" w:h="15840" w:code="153"/>
          <w:pgMar w:top="1418" w:right="1701" w:bottom="1418" w:left="1701" w:header="720" w:footer="482" w:gutter="0"/>
          <w:pgNumType w:fmt="lowerRoman" w:start="1"/>
          <w:cols w:space="720"/>
        </w:sectPr>
      </w:pPr>
    </w:p>
    <w:p>
      <w:pPr>
        <w:pStyle w:val="Ttulo1"/>
        <w:spacing w:line="300" w:lineRule="exact"/>
        <w:rPr>
          <w:rFonts w:ascii="Verdana" w:hAnsi="Verdana"/>
          <w:lang w:val="pt-BR"/>
        </w:rPr>
      </w:pPr>
      <w:bookmarkStart w:id="0" w:name="_Toc428306440"/>
      <w:bookmarkStart w:id="1" w:name="_Toc484715944"/>
      <w:r>
        <w:rPr>
          <w:rFonts w:ascii="Verdana" w:hAnsi="Verdana"/>
          <w:lang w:val="pt-BR"/>
        </w:rPr>
        <w:lastRenderedPageBreak/>
        <w:t>DEFINIÇÕES</w:t>
      </w:r>
      <w:bookmarkEnd w:id="0"/>
      <w:bookmarkEnd w:id="1"/>
    </w:p>
    <w:p>
      <w:pPr>
        <w:pStyle w:val="HOMEBRBodyText"/>
        <w:keepLines w:val="0"/>
        <w:widowControl w:val="0"/>
        <w:spacing w:line="300" w:lineRule="exact"/>
        <w:rPr>
          <w:rFonts w:ascii="Verdana" w:hAnsi="Verdana" w:cs="Arial"/>
        </w:rPr>
      </w:pPr>
      <w:r>
        <w:rPr>
          <w:rFonts w:ascii="Verdana" w:hAnsi="Verdana" w:cs="Arial"/>
        </w:rPr>
        <w:t>Para fins do presente Prospecto, “</w:t>
      </w:r>
      <w:r>
        <w:rPr>
          <w:rFonts w:ascii="Verdana" w:hAnsi="Verdana" w:cs="Arial"/>
          <w:b/>
        </w:rPr>
        <w:t>Emissora</w:t>
      </w:r>
      <w:r>
        <w:rPr>
          <w:rFonts w:ascii="Verdana" w:hAnsi="Verdana" w:cs="Arial"/>
        </w:rPr>
        <w:t>”, “</w:t>
      </w:r>
      <w:r>
        <w:rPr>
          <w:rFonts w:ascii="Verdana" w:hAnsi="Verdana" w:cs="Arial"/>
          <w:b/>
        </w:rPr>
        <w:t>Companhia</w:t>
      </w:r>
      <w:r>
        <w:rPr>
          <w:rFonts w:ascii="Verdana" w:hAnsi="Verdana" w:cs="Arial"/>
        </w:rPr>
        <w:t>” ou “</w:t>
      </w:r>
      <w:r>
        <w:rPr>
          <w:rFonts w:ascii="Verdana" w:hAnsi="Verdana" w:cs="Arial"/>
          <w:b/>
        </w:rPr>
        <w:t>Rumo</w:t>
      </w:r>
      <w:r>
        <w:rPr>
          <w:rFonts w:ascii="Verdana" w:hAnsi="Verdana" w:cs="Arial"/>
        </w:rPr>
        <w:t>” referem-se, a menos que o contexto determine de forma diversa, à Rumo S.A. Todos os termos relacionados especificamente com a Oferta e respectivos significados constam da seção “Sumário da Oferta” na página [</w:t>
      </w:r>
      <w:r>
        <w:rPr>
          <w:rFonts w:ascii="Verdana" w:hAnsi="Verdana" w:cs="Arial"/>
        </w:rPr>
        <w:sym w:font="Symbol" w:char="F0B7"/>
      </w:r>
      <w:r>
        <w:rPr>
          <w:rFonts w:ascii="Verdana" w:hAnsi="Verdana" w:cs="Arial"/>
        </w:rPr>
        <w:t>] deste Prospecto. Ademais, os termos indicados abaixo terão o significado a eles atribuídos nesta seção, salvo referência diversa neste Prospecto.</w:t>
      </w:r>
    </w:p>
    <w:tbl>
      <w:tblPr>
        <w:tblW w:w="5000" w:type="pct"/>
        <w:tblBorders>
          <w:top w:val="dotted" w:sz="4" w:space="0" w:color="auto"/>
          <w:left w:val="dotted" w:sz="4" w:space="0" w:color="auto"/>
          <w:bottom w:val="dotted" w:sz="4" w:space="0" w:color="auto"/>
          <w:right w:val="dotted" w:sz="4" w:space="0" w:color="auto"/>
        </w:tblBorders>
        <w:tblLayout w:type="fixed"/>
        <w:tblCellMar>
          <w:left w:w="72" w:type="dxa"/>
          <w:right w:w="72" w:type="dxa"/>
        </w:tblCellMar>
        <w:tblLook w:val="01E0" w:firstRow="1" w:lastRow="1" w:firstColumn="1" w:lastColumn="1" w:noHBand="0" w:noVBand="0"/>
      </w:tblPr>
      <w:tblGrid>
        <w:gridCol w:w="3132"/>
        <w:gridCol w:w="5696"/>
      </w:tblGrid>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“Administradores”</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Membros do Conselho de Administração e da Diretoria da Emissora.</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“Afiliadas dos Coordenadores”</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hAnsi="Verdana" w:cs="Arial"/>
              </w:rPr>
              <w:t>Sociedades controladas, controladoras ou sob controle comum dos Coordenadores.</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“Agência de Classificação de Risco” ou [“Fitch”]</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hAnsi="Verdana" w:cs="Arial"/>
              </w:rPr>
              <w:t xml:space="preserve">[Fitch Ratings Brasil Ltda.], com sede na cidade de São Paulo, Estado de São Paulo, na Avenida Brigadeiro Faria Lima, nº 201, 18º andar, inscrita no CNPJ/ME sob o nº </w:t>
            </w:r>
            <w:r>
              <w:rPr>
                <w:rFonts w:ascii="Verdana" w:hAnsi="Verdana" w:cs="Arial"/>
                <w:lang w:eastAsia="pt-BR"/>
              </w:rPr>
              <w:t>02.295.585/0001.40</w:t>
            </w:r>
            <w:r>
              <w:rPr>
                <w:rFonts w:ascii="Verdana" w:hAnsi="Verdana" w:cs="Arial"/>
              </w:rPr>
              <w:t>.</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“Agente Fiduciário”</w:t>
            </w:r>
          </w:p>
        </w:tc>
        <w:tc>
          <w:tcPr>
            <w:tcW w:w="3226" w:type="pct"/>
            <w:shd w:val="clear" w:color="auto" w:fill="auto"/>
          </w:tcPr>
          <w:p>
            <w:pPr>
              <w:pStyle w:val="HOMEBRBodyText"/>
              <w:keepLines w:val="0"/>
              <w:widowControl w:val="0"/>
              <w:spacing w:line="300" w:lineRule="exact"/>
              <w:rPr>
                <w:rFonts w:ascii="Verdana" w:eastAsia="Calibri" w:hAnsi="Verdana" w:cs="Arial"/>
                <w:spacing w:val="-2"/>
              </w:rPr>
            </w:pPr>
            <w:r>
              <w:rPr>
                <w:rFonts w:ascii="Verdana" w:eastAsia="Calibri" w:hAnsi="Verdana" w:cs="Arial"/>
                <w:b/>
                <w:spacing w:val="-2"/>
              </w:rPr>
              <w:t>Simplific Pavarini Distribuidora de Títulos e Valores Mobiliários Ltda.</w:t>
            </w:r>
            <w:r>
              <w:rPr>
                <w:rFonts w:ascii="Verdana" w:eastAsia="Calibri" w:hAnsi="Verdana" w:cs="Arial"/>
                <w:spacing w:val="-2"/>
              </w:rPr>
              <w:t>, instituição financeira, neste ato por sua filial, com endereço na cidade de São Paulo, Estado de São Paulo, na Rua Joaquim Floriano, 466 – Bloco B, Sala 1401, Itaim Bibi, inscrita no CNPJ/ME sob o nº 15.227.994/0004-01 (www.simplificpavarini.com.br)</w:t>
            </w:r>
            <w:r>
              <w:rPr>
                <w:rFonts w:ascii="Verdana" w:eastAsiaTheme="minorHAnsi" w:hAnsi="Verdana" w:cs="Arial"/>
                <w:spacing w:val="-2"/>
                <w:sz w:val="16"/>
                <w:szCs w:val="16"/>
                <w:lang w:val="pt-PT"/>
              </w:rPr>
              <w:t xml:space="preserve"> </w:t>
            </w:r>
            <w:r>
              <w:rPr>
                <w:rFonts w:ascii="Verdana" w:eastAsia="Calibri" w:hAnsi="Verdana" w:cs="Arial"/>
                <w:spacing w:val="-2"/>
                <w:lang w:val="pt-PT"/>
              </w:rPr>
              <w:t xml:space="preserve">representada pelos Srs. </w:t>
            </w:r>
            <w:r>
              <w:rPr>
                <w:rFonts w:ascii="Verdana" w:eastAsia="Calibri" w:hAnsi="Verdana" w:cs="Arial"/>
                <w:spacing w:val="-2"/>
              </w:rPr>
              <w:t>Carlos Alberto Bacha, Matheus Gomes Faria e Rinaldo Rabello Ferreira</w:t>
            </w:r>
            <w:r>
              <w:rPr>
                <w:rFonts w:ascii="Verdana" w:eastAsia="Calibri" w:hAnsi="Verdana" w:cs="Arial"/>
                <w:spacing w:val="-2"/>
                <w:lang w:val="pt-PT"/>
              </w:rPr>
              <w:t xml:space="preserve">, telefones </w:t>
            </w:r>
            <w:r>
              <w:rPr>
                <w:rFonts w:ascii="Verdana" w:eastAsia="Calibri" w:hAnsi="Verdana" w:cs="Arial"/>
                <w:spacing w:val="-2"/>
              </w:rPr>
              <w:t>(11) 3090-0447 ou (21) 2507-1949</w:t>
            </w:r>
            <w:r>
              <w:rPr>
                <w:rFonts w:ascii="Verdana" w:eastAsia="Calibri" w:hAnsi="Verdana" w:cs="Arial"/>
                <w:spacing w:val="-2"/>
                <w:lang w:val="pt-PT"/>
              </w:rPr>
              <w:t xml:space="preserve">, correio eletrônico: </w:t>
            </w:r>
            <w:r>
              <w:rPr>
                <w:rFonts w:ascii="Verdana" w:eastAsia="Calibri" w:hAnsi="Verdana" w:cs="Arial"/>
                <w:spacing w:val="-2"/>
              </w:rPr>
              <w:t xml:space="preserve">fiduciario@simplificpavarini.com.br. </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“ANBIMA”</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hAnsi="Verdana" w:cs="Arial"/>
              </w:rPr>
              <w:t>Associação Brasileira das Entidades dos Mercados Financeiro e de Capitais.</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“Anúncio de Encerramento”</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hAnsi="Verdana" w:cs="Arial"/>
              </w:rPr>
              <w:t>Anúncio de encerramento da Oferta, o qual será elaborado nos termos do artigo 29 da Instrução CVM 400 e divulgado nos termos do artigo 54-A da Instrução CVM 400 na página da rede mundial de computadores: (a) da Emissora; (b) dos Coordenadores; (c) da B3; (d) da B3 – Segmento Cetip UTVM; e (e) da CVM.</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“Anúncio de Início”</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hAnsi="Verdana" w:cs="Arial"/>
              </w:rPr>
              <w:t xml:space="preserve">Anúncio de início da Oferta, o qual será elaborado nos termos dos artigos 23, parágrafo 2º e 52 da Instrução CVM 400 e divulgado nos termos do artigo 54-A da </w:t>
            </w:r>
            <w:r>
              <w:rPr>
                <w:rFonts w:ascii="Verdana" w:hAnsi="Verdana" w:cs="Arial"/>
              </w:rPr>
              <w:lastRenderedPageBreak/>
              <w:t>Instrução CVM 400 na página da rede mundial de computadores: (a) da Emissora; (b) dos Coordenadores; (c) da B3; (d) da B3 – Segmento Cetip UTVM; e (e) da CVM.</w:t>
            </w:r>
          </w:p>
        </w:tc>
      </w:tr>
      <w:tr>
        <w:trPr>
          <w:trHeight w:val="1358"/>
        </w:trP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lastRenderedPageBreak/>
              <w:t>“Apresentações para Potenciais Investidores”</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hAnsi="Verdana" w:cs="Arial"/>
              </w:rPr>
              <w:t>Apresentações para potenciais investidores (reuniões em grupo, almoços coletivos</w:t>
            </w:r>
            <w:r>
              <w:rPr>
                <w:rFonts w:ascii="Verdana" w:hAnsi="Verdana" w:cs="Arial"/>
                <w:i/>
              </w:rPr>
              <w:t xml:space="preserve"> </w:t>
            </w:r>
            <w:r>
              <w:rPr>
                <w:rFonts w:ascii="Verdana" w:hAnsi="Verdana" w:cs="Arial"/>
              </w:rPr>
              <w:t xml:space="preserve">e/ou </w:t>
            </w:r>
            <w:r>
              <w:rPr>
                <w:rFonts w:ascii="Verdana" w:hAnsi="Verdana" w:cs="Arial"/>
                <w:i/>
              </w:rPr>
              <w:t>one-on-ones</w:t>
            </w:r>
            <w:r>
              <w:rPr>
                <w:rFonts w:ascii="Verdana" w:hAnsi="Verdana" w:cs="Arial"/>
              </w:rPr>
              <w:t>) a serem realizadas a critério dos Coordenadores, de comum acordo com a Emissora, após a divulgação do Aviso ao Mercado e a disponibilização deste Prospecto.</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hAnsi="Verdana" w:cs="Arial"/>
                <w:b/>
              </w:rPr>
              <w:t>“Assembleia Geral de Debenturistas”</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hAnsi="Verdana" w:cs="Arial"/>
              </w:rPr>
              <w:t>Assembleia geral, de acordo com o disposto no artigo 71 da Lei das Sociedades por Ações, na qual os Debenturistas poderão, a qualquer tempo, se reunir a fim de deliberar sobre matéria de interesse comum da comunhão dos Debenturistas, na forma estabelecida na Escritura.</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hAnsi="Verdana" w:cs="Arial"/>
                <w:b/>
              </w:rPr>
              <w:t>“Atualização Monetária”</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hAnsi="Verdana" w:cs="Arial"/>
              </w:rPr>
              <w:t xml:space="preserve">Atualização monetária do Valor Nominal Unitário ou do saldo do Valor Nominal Unitário, conforme o caso, das Debêntures, pela variação acumulada do IPCA, apurado e divulgado mensalmente pelo IBGE, calculada de forma exponencial e cumulativa </w:t>
            </w:r>
            <w:r>
              <w:rPr>
                <w:rFonts w:ascii="Verdana" w:hAnsi="Verdana" w:cs="Arial"/>
                <w:i/>
              </w:rPr>
              <w:t>pro rata temporis</w:t>
            </w:r>
            <w:r>
              <w:rPr>
                <w:rFonts w:ascii="Verdana" w:hAnsi="Verdana" w:cs="Arial"/>
              </w:rPr>
              <w:t xml:space="preserve"> desde a Primeira Data de Integralização até a data de seu efetivo pagamento. </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 xml:space="preserve">“Auditores Independentes” </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hAnsi="Verdana" w:cs="Arial"/>
              </w:rPr>
              <w:t xml:space="preserve">KPMG Auditores Independentes, com sede na cidade de São Paulo, estado de São Paulo, na Rua Arquiteto Olavo Redig de Campos, nº 105, Torre A, 6º a 12º andares (parte) inscrita no CNPJ/ME sob o nº 57.755.217/0001-29. </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“Aviso ao Mercado”</w:t>
            </w:r>
          </w:p>
        </w:tc>
        <w:tc>
          <w:tcPr>
            <w:tcW w:w="3226" w:type="pct"/>
            <w:shd w:val="clear" w:color="auto" w:fill="auto"/>
          </w:tcPr>
          <w:p>
            <w:pPr>
              <w:pStyle w:val="HOMEBRBodyText"/>
              <w:keepLines w:val="0"/>
              <w:widowControl w:val="0"/>
              <w:spacing w:line="300" w:lineRule="exact"/>
              <w:rPr>
                <w:rFonts w:ascii="Verdana" w:hAnsi="Verdana" w:cs="Arial"/>
                <w:spacing w:val="-4"/>
              </w:rPr>
            </w:pPr>
            <w:r>
              <w:rPr>
                <w:rFonts w:ascii="Verdana" w:hAnsi="Verdana" w:cs="Arial"/>
                <w:spacing w:val="-4"/>
              </w:rPr>
              <w:t>Aviso ao mercado sobre a Oferta, o qual foi elaborado nos termos do artigo 53 da Instrução CVM 400 e divulgado, em 13 de setembro de 2019, nos termos do artigo 54-A da Instrução CVM 400, na página da rede mundial de computadores: (a) da Emissora; (b) dos Coordenadores; (c) da B3; (d) da B3 – Segmento Cetip UTVM; e (e) da CVM.</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“B3”</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 xml:space="preserve">B3 S.A. – Brasil, Bolsa, Balcão. </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“B3 – Segmento Cetip UTVM”</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Segmento Cetip UTVM da B3.</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lastRenderedPageBreak/>
              <w:t>“Banco Central” ou “BACEN”</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Banco Central do Brasil.</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“Banco Liquidante”</w:t>
            </w:r>
          </w:p>
        </w:tc>
        <w:tc>
          <w:tcPr>
            <w:tcW w:w="3226" w:type="pct"/>
            <w:shd w:val="clear" w:color="auto" w:fill="auto"/>
          </w:tcPr>
          <w:p>
            <w:pPr>
              <w:pStyle w:val="HOMEBRBodyText"/>
              <w:keepLines w:val="0"/>
              <w:widowControl w:val="0"/>
              <w:spacing w:line="300" w:lineRule="exact"/>
              <w:rPr>
                <w:rFonts w:ascii="Verdana" w:eastAsia="Calibri" w:hAnsi="Verdana" w:cs="Arial"/>
                <w:spacing w:val="-4"/>
              </w:rPr>
            </w:pPr>
            <w:r>
              <w:rPr>
                <w:rFonts w:ascii="Verdana" w:hAnsi="Verdana" w:cs="Arial"/>
              </w:rPr>
              <w:t>Banco Bradesco S.A., instituição financeira com sede na Cidade de Osasco, Estado de São Paulo, no núcleo administrativo denominado Cidade de Deus s/n°, Vila Yara, inscrita no CNPJ/ME sob o nº 60.746.948/0001-12</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“BB-BI”</w:t>
            </w:r>
          </w:p>
        </w:tc>
        <w:tc>
          <w:tcPr>
            <w:tcW w:w="3226" w:type="pct"/>
            <w:shd w:val="clear" w:color="auto" w:fill="auto"/>
          </w:tcPr>
          <w:p>
            <w:pPr>
              <w:pStyle w:val="HOMEBRBodyText"/>
              <w:keepLines w:val="0"/>
              <w:widowControl w:val="0"/>
              <w:spacing w:line="300" w:lineRule="exact"/>
              <w:rPr>
                <w:rFonts w:ascii="Verdana" w:eastAsia="Calibri" w:hAnsi="Verdana" w:cs="Arial"/>
                <w:spacing w:val="-4"/>
              </w:rPr>
            </w:pPr>
            <w:r>
              <w:rPr>
                <w:rFonts w:ascii="Verdana" w:eastAsia="Calibri" w:hAnsi="Verdana" w:cs="Arial"/>
                <w:spacing w:val="-4"/>
              </w:rPr>
              <w:t>BB–Banco de Investimento S.A., instituição financeira com sede na Cidade do Rio de Janeiro, Estado do Rio de Janeiro, na Rua Senador Dantas, nº 105, 37º andar, CEP 20031-923, inscrita no CNPJ/ME sob o nº 24.933.830/0001-30.</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“Boletim de Subscrição”</w:t>
            </w:r>
          </w:p>
        </w:tc>
        <w:tc>
          <w:tcPr>
            <w:tcW w:w="3226" w:type="pct"/>
            <w:shd w:val="clear" w:color="auto" w:fill="auto"/>
          </w:tcPr>
          <w:p>
            <w:pPr>
              <w:pStyle w:val="HOMEBRBodyText"/>
              <w:keepLines w:val="0"/>
              <w:widowControl w:val="0"/>
              <w:spacing w:line="300" w:lineRule="exact"/>
              <w:rPr>
                <w:rFonts w:ascii="Verdana" w:eastAsia="Calibri" w:hAnsi="Verdana" w:cs="Arial"/>
                <w:spacing w:val="-4"/>
              </w:rPr>
            </w:pPr>
            <w:r>
              <w:rPr>
                <w:rFonts w:ascii="Verdana" w:eastAsia="Calibri" w:hAnsi="Verdana" w:cs="Arial"/>
                <w:spacing w:val="-4"/>
              </w:rPr>
              <w:t>Boletim de subscrição das Debêntures a ser assinado pelos Investidores da Oferta que aderirem à Oferta.</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“Bradesco BBI”</w:t>
            </w:r>
          </w:p>
        </w:tc>
        <w:tc>
          <w:tcPr>
            <w:tcW w:w="3226" w:type="pct"/>
            <w:shd w:val="clear" w:color="auto" w:fill="auto"/>
          </w:tcPr>
          <w:p>
            <w:pPr>
              <w:pStyle w:val="HOMEBRBodyText"/>
              <w:keepLines w:val="0"/>
              <w:widowControl w:val="0"/>
              <w:spacing w:line="300" w:lineRule="exact"/>
              <w:rPr>
                <w:rFonts w:ascii="Verdana" w:eastAsia="Calibri" w:hAnsi="Verdana" w:cs="Arial"/>
                <w:spacing w:val="-4"/>
              </w:rPr>
            </w:pPr>
            <w:r>
              <w:rPr>
                <w:rFonts w:ascii="Verdana" w:eastAsia="Calibri" w:hAnsi="Verdana" w:cs="Arial"/>
                <w:spacing w:val="-4"/>
              </w:rPr>
              <w:t>Banco Bradesco BBI S.A., instituição financeira integrante do sistema de distribuição de valores mobiliários, constituída sob a forma de sociedade por ações, com estabelecimento na Cidade de São Paulo, Estado de São Paulo, na Avenida Brigadeiro Faria Lima, n° 3.064, 10° andar, inscrita no CNPJ/ME sob nº 06.271.464/0103-43.</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“BNDES”</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Significa o Banco Nacional do Desenvolvimento Econômico e Social – BNDES</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“Brasil” ou “País”</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República Federativa do Brasil.</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“BTG Pactual”</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 xml:space="preserve">Banco BTG Pactual S.A., </w:t>
            </w:r>
            <w:r>
              <w:rPr>
                <w:rFonts w:ascii="Verdana" w:eastAsia="Calibri" w:hAnsi="Verdana" w:cs="Arial"/>
                <w:spacing w:val="-4"/>
              </w:rPr>
              <w:t>instituição financeira integrante do sistema de distribuição de valores mobiliários, constituída sob a forma de sociedade por ações, com estabelecimento na Cidade de São Paulo, Estado de São Paulo, na Avenida Brigadeiro Faria Lima, n° 3.477, 12° andar, inscrita no CNPJ/ME sob nº 30.306.294/0001-45.</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“CETIP21”</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hAnsi="Verdana" w:cs="Arial"/>
              </w:rPr>
              <w:t>CETIP21 – Títulos e Valores Mobiliários, administrado e o</w:t>
            </w:r>
            <w:r>
              <w:rPr>
                <w:rFonts w:ascii="Verdana" w:eastAsia="Calibri" w:hAnsi="Verdana" w:cs="Arial"/>
              </w:rPr>
              <w:t xml:space="preserve">peracionalizado pela </w:t>
            </w:r>
            <w:r>
              <w:rPr>
                <w:rFonts w:ascii="Verdana" w:hAnsi="Verdana" w:cs="Arial"/>
              </w:rPr>
              <w:t>B3 – Segmento Cetip UTVM</w:t>
            </w:r>
            <w:r>
              <w:rPr>
                <w:rFonts w:ascii="Verdana" w:eastAsia="Calibri" w:hAnsi="Verdana" w:cs="Arial"/>
              </w:rPr>
              <w:t>.</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“CMN”</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Conselho Monetário Nacional.</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“CNPJ/ME”</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 xml:space="preserve">Cadastro Nacional da Pessoa Jurídica do Ministério da Economia. </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 xml:space="preserve">“Código ANBIMA de </w:t>
            </w:r>
            <w:r>
              <w:rPr>
                <w:rFonts w:ascii="Verdana" w:eastAsia="Calibri" w:hAnsi="Verdana" w:cs="Arial"/>
                <w:b/>
              </w:rPr>
              <w:lastRenderedPageBreak/>
              <w:t>Ofertas Públicas”</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lastRenderedPageBreak/>
              <w:t xml:space="preserve">“Código ANBIMA de Regulação e Melhores Práticas para </w:t>
            </w:r>
            <w:r>
              <w:rPr>
                <w:rFonts w:ascii="Verdana" w:eastAsia="Calibri" w:hAnsi="Verdana" w:cs="Arial"/>
              </w:rPr>
              <w:lastRenderedPageBreak/>
              <w:t>Ofertas Públicas”, datado de 28 de fevereiro de 2019.</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lastRenderedPageBreak/>
              <w:t>“COMGÁS”</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hAnsi="Verdana" w:cs="Arial"/>
              </w:rPr>
              <w:t>Companhia de Gás de São Paulo - COMGÁS</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“Comissionamento”</w:t>
            </w:r>
          </w:p>
        </w:tc>
        <w:tc>
          <w:tcPr>
            <w:tcW w:w="3226" w:type="pct"/>
            <w:shd w:val="clear" w:color="auto" w:fill="auto"/>
          </w:tcPr>
          <w:p>
            <w:pPr>
              <w:pStyle w:val="HOMEBRBodyText"/>
              <w:keepLines w:val="0"/>
              <w:widowControl w:val="0"/>
              <w:spacing w:line="300" w:lineRule="exact"/>
              <w:rPr>
                <w:rFonts w:ascii="Verdana" w:eastAsia="Calibri" w:hAnsi="Verdana" w:cs="Arial"/>
                <w:spacing w:val="-4"/>
              </w:rPr>
            </w:pPr>
            <w:r>
              <w:rPr>
                <w:rFonts w:ascii="Verdana" w:hAnsi="Verdana" w:cs="Arial"/>
                <w:spacing w:val="-4"/>
              </w:rPr>
              <w:t xml:space="preserve">Remuneração devida aos Coordenadores pelo </w:t>
            </w:r>
            <w:r>
              <w:rPr>
                <w:rFonts w:ascii="Verdana" w:eastAsia="Calibri" w:hAnsi="Verdana" w:cs="Arial"/>
                <w:spacing w:val="-4"/>
              </w:rPr>
              <w:t>desempenho das obrigações previstas no Contrato de Distribuição, conforme identificadas na seção “Informações Relativas à Emissão, à Oferta e às Debêntures – Contrato de Distribuição – Comissionamento dos Coordenadores”, na página [</w:t>
            </w:r>
            <w:r>
              <w:rPr>
                <w:rFonts w:ascii="Verdana" w:eastAsia="Calibri" w:hAnsi="Verdana" w:cs="Arial"/>
                <w:spacing w:val="-4"/>
              </w:rPr>
              <w:sym w:font="Symbol" w:char="F0B7"/>
            </w:r>
            <w:r>
              <w:rPr>
                <w:rFonts w:ascii="Verdana" w:eastAsia="Calibri" w:hAnsi="Verdana" w:cs="Arial"/>
                <w:spacing w:val="-4"/>
              </w:rPr>
              <w:t>] deste Prospecto.</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“Conselho de Administração”</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 xml:space="preserve">Conselho de Administração da Emissora. </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“Contrato de Distribuição”</w:t>
            </w:r>
          </w:p>
        </w:tc>
        <w:tc>
          <w:tcPr>
            <w:tcW w:w="3226" w:type="pct"/>
            <w:shd w:val="clear" w:color="auto" w:fill="auto"/>
          </w:tcPr>
          <w:p>
            <w:pPr>
              <w:pStyle w:val="HOMEBRBodyText"/>
              <w:keepLines w:val="0"/>
              <w:widowControl w:val="0"/>
              <w:spacing w:line="300" w:lineRule="exact"/>
              <w:rPr>
                <w:rFonts w:ascii="Verdana" w:hAnsi="Verdana" w:cs="Arial"/>
                <w:spacing w:val="-4"/>
              </w:rPr>
            </w:pPr>
            <w:r>
              <w:rPr>
                <w:rFonts w:ascii="Verdana" w:hAnsi="Verdana" w:cs="Arial"/>
                <w:spacing w:val="-4"/>
              </w:rPr>
              <w:t>“Contrato de Estruturação, Coordenação e Distribuição Pública de Debêntures Simples, Não Conversíveis em Ações, da Espécie Quirografária, em Série Única, em Regime de Garantia Firme de Colocação, da Décima Terceira Emissão da Rumo S.A”</w:t>
            </w:r>
            <w:r>
              <w:rPr>
                <w:rFonts w:ascii="Verdana" w:eastAsia="Calibri" w:hAnsi="Verdana" w:cs="Arial"/>
                <w:spacing w:val="-4"/>
              </w:rPr>
              <w:t>, celebrado entre a Emissora e os Coordenadores em [</w:t>
            </w:r>
            <w:r>
              <w:rPr>
                <w:rFonts w:ascii="Verdana" w:eastAsia="Calibri" w:hAnsi="Verdana" w:cs="Arial"/>
                <w:spacing w:val="-4"/>
              </w:rPr>
              <w:sym w:font="Symbol" w:char="F0B7"/>
            </w:r>
            <w:r>
              <w:rPr>
                <w:rFonts w:ascii="Verdana" w:eastAsia="Calibri" w:hAnsi="Verdana" w:cs="Arial"/>
                <w:spacing w:val="-4"/>
              </w:rPr>
              <w:t>] de [</w:t>
            </w:r>
            <w:r>
              <w:rPr>
                <w:rFonts w:ascii="Verdana" w:eastAsia="Calibri" w:hAnsi="Verdana" w:cs="Arial"/>
                <w:spacing w:val="-4"/>
              </w:rPr>
              <w:sym w:font="Symbol" w:char="F0B7"/>
            </w:r>
            <w:r>
              <w:rPr>
                <w:rFonts w:ascii="Verdana" w:eastAsia="Calibri" w:hAnsi="Verdana" w:cs="Arial"/>
                <w:spacing w:val="-4"/>
              </w:rPr>
              <w:t xml:space="preserve">] de 2019. </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“Contrato de Formador de Mercado”</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hAnsi="Verdana" w:cs="Arial"/>
              </w:rPr>
              <w:t xml:space="preserve">“Instrumento Particular de Contrato de Prestação de Serviços de Formado de Mercado”, celebrado entre a Emissora e o Formador de Mercado em </w:t>
            </w:r>
            <w:r>
              <w:rPr>
                <w:rFonts w:ascii="Verdana" w:eastAsia="Calibri" w:hAnsi="Verdana" w:cs="Arial"/>
                <w:spacing w:val="-4"/>
              </w:rPr>
              <w:t>[</w:t>
            </w:r>
            <w:r>
              <w:rPr>
                <w:rFonts w:ascii="Verdana" w:eastAsia="Calibri" w:hAnsi="Verdana" w:cs="Arial"/>
                <w:spacing w:val="-4"/>
              </w:rPr>
              <w:sym w:font="Symbol" w:char="F0B7"/>
            </w:r>
            <w:r>
              <w:rPr>
                <w:rFonts w:ascii="Verdana" w:eastAsia="Calibri" w:hAnsi="Verdana" w:cs="Arial"/>
                <w:spacing w:val="-4"/>
              </w:rPr>
              <w:t>]</w:t>
            </w:r>
            <w:r>
              <w:rPr>
                <w:rFonts w:ascii="Verdana" w:hAnsi="Verdana" w:cs="Arial"/>
              </w:rPr>
              <w:t xml:space="preserve"> de [</w:t>
            </w:r>
            <w:r>
              <w:rPr>
                <w:rFonts w:ascii="Verdana" w:hAnsi="Verdana" w:cs="Arial"/>
              </w:rPr>
              <w:sym w:font="Symbol" w:char="F0B7"/>
            </w:r>
            <w:r>
              <w:rPr>
                <w:rFonts w:ascii="Verdana" w:hAnsi="Verdana" w:cs="Arial"/>
              </w:rPr>
              <w:t>] de 2019, tendo por objeto as Debêntures, com a finalidade de fomentar a liquidez das Debêntures no mercado secundário mediante a existência de ordens firmes diárias de compra e venda para as Debêntures, por meio dos ambientes administrados e operacionalizados pela B3 – Segmento CETIP UTVM, pelo prazo de um ano, contado da Primeira Data de Integralização, podendo ser renovado de comum acordo entre a Emissora e o Formador de Mercado, nos termos da Instrução CVM 384, do Manual de Normas para Formadores de Mercado no ambiente da CETIP, de 01 de julho de 2008 e do Comunicado CETIP nº 111, de 06 de novembro de 2006, conforme alterado pelo Comunicado CETIP nº 085/07, de 30 de julho de 2007</w:t>
            </w:r>
            <w:r>
              <w:rPr>
                <w:rFonts w:ascii="Verdana" w:hAnsi="Verdana" w:cs="Arial"/>
                <w:sz w:val="22"/>
                <w:szCs w:val="22"/>
              </w:rPr>
              <w:t xml:space="preserve"> </w:t>
            </w:r>
            <w:r>
              <w:rPr>
                <w:rFonts w:ascii="Verdana" w:hAnsi="Verdana" w:cs="Arial"/>
              </w:rPr>
              <w:t xml:space="preserve">e do Ofício Circular 004/2012-DN da B3. Até 10% das Debêntures (sem considerar as Debêntures Adicionais), equivalente a até </w:t>
            </w:r>
            <w:r>
              <w:rPr>
                <w:rFonts w:ascii="Verdana" w:hAnsi="Verdana" w:cs="Arial"/>
                <w:bCs/>
              </w:rPr>
              <w:t xml:space="preserve">100.000 </w:t>
            </w:r>
            <w:r>
              <w:rPr>
                <w:rFonts w:ascii="Verdana" w:hAnsi="Verdana" w:cs="Arial"/>
              </w:rPr>
              <w:t xml:space="preserve">Debêntures, destinadas à Oferta Institucional será preferencialmente destinado à colocação do Formador de Mercado, a fim de lhe </w:t>
            </w:r>
            <w:r>
              <w:rPr>
                <w:rFonts w:ascii="Verdana" w:hAnsi="Verdana" w:cs="Arial"/>
              </w:rPr>
              <w:lastRenderedPageBreak/>
              <w:t>possibilitar a atuação como formador de mercado (</w:t>
            </w:r>
            <w:r>
              <w:rPr>
                <w:rFonts w:ascii="Verdana" w:hAnsi="Verdana" w:cs="Arial"/>
                <w:i/>
              </w:rPr>
              <w:t>market maker</w:t>
            </w:r>
            <w:r>
              <w:rPr>
                <w:rFonts w:ascii="Verdana" w:hAnsi="Verdana" w:cs="Arial"/>
              </w:rPr>
              <w:t xml:space="preserve">) das Debêntures, garantindo a existência e a permanência de ofertas firmes diárias de compra e venda para as Debêntures durante a vigência do Contrato de Formador de Mercado e nos termos da legislação aplicável. As intenções de investimento do Formador de Mercado devem ser apresentadas na taxa de juros que vier a ser apurada no Procedimento de </w:t>
            </w:r>
            <w:r>
              <w:rPr>
                <w:rFonts w:ascii="Verdana" w:hAnsi="Verdana" w:cs="Arial"/>
                <w:i/>
              </w:rPr>
              <w:t>Bookbuilding</w:t>
            </w:r>
            <w:r>
              <w:rPr>
                <w:rFonts w:ascii="Verdana" w:hAnsi="Verdana" w:cs="Arial"/>
              </w:rPr>
              <w:t xml:space="preserve">, não havendo, portanto, qualquer influência por parte do Formador de Mercado na definição dos Juros Remuneratórios durante o Procedimento de </w:t>
            </w:r>
            <w:r>
              <w:rPr>
                <w:rFonts w:ascii="Verdana" w:hAnsi="Verdana" w:cs="Arial"/>
                <w:i/>
              </w:rPr>
              <w:t>Bookbuilding</w:t>
            </w:r>
            <w:r>
              <w:rPr>
                <w:rFonts w:ascii="Verdana" w:hAnsi="Verdana" w:cs="Arial"/>
              </w:rPr>
              <w:t xml:space="preserve">. </w:t>
            </w:r>
            <w:r>
              <w:rPr>
                <w:rFonts w:ascii="Verdana" w:hAnsi="Verdana" w:cs="Arial"/>
                <w:b/>
              </w:rPr>
              <w:t>Para mais informações, veja a seção “Informações Relativas à Emissão, à Oferta e às Debêntures – Características da Emissão e das Debêntures – Formador de Mercado”, na página [</w:t>
            </w:r>
            <w:r>
              <w:rPr>
                <w:rFonts w:ascii="Verdana" w:hAnsi="Verdana" w:cs="Arial"/>
                <w:b/>
              </w:rPr>
              <w:sym w:font="Symbol" w:char="F0B7"/>
            </w:r>
            <w:r>
              <w:rPr>
                <w:rFonts w:ascii="Verdana" w:hAnsi="Verdana" w:cs="Arial"/>
                <w:b/>
              </w:rPr>
              <w:t xml:space="preserve">] deste Prospecto. </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lastRenderedPageBreak/>
              <w:t>“Coordenador Líder” ou “Itaú BBA”</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eastAsia="Calibri" w:hAnsi="Verdana" w:cs="Arial"/>
                <w:lang w:val="es-ES"/>
              </w:rPr>
              <w:t>Banco Itaú BBA S.A.</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“Coordenadores”</w:t>
            </w:r>
          </w:p>
        </w:tc>
        <w:tc>
          <w:tcPr>
            <w:tcW w:w="3226" w:type="pct"/>
            <w:shd w:val="clear" w:color="auto" w:fill="auto"/>
          </w:tcPr>
          <w:p>
            <w:pPr>
              <w:pStyle w:val="HOMEBRBodyText"/>
              <w:keepLines w:val="0"/>
              <w:widowControl w:val="0"/>
              <w:spacing w:line="300" w:lineRule="exact"/>
              <w:rPr>
                <w:rFonts w:ascii="Verdana" w:eastAsia="Calibri" w:hAnsi="Verdana" w:cs="Arial"/>
                <w:lang w:val="es-ES"/>
              </w:rPr>
            </w:pPr>
            <w:r>
              <w:rPr>
                <w:rFonts w:ascii="Verdana" w:eastAsia="Calibri" w:hAnsi="Verdana" w:cs="Arial"/>
              </w:rPr>
              <w:t>Coordenador Líder, Bradesco BBI, Santander, BB-BI, XP Investimentos e BTG Pactual, considerados em conjunto.</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“CVM”</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Comissão de Valores Mobiliários.</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“Data de Apuração”</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hAnsi="Verdana" w:cs="Arial"/>
              </w:rPr>
              <w:t xml:space="preserve">O Dia Útil imediatamente anterior à data de realização do Procedimento de </w:t>
            </w:r>
            <w:r>
              <w:rPr>
                <w:rFonts w:ascii="Verdana" w:hAnsi="Verdana" w:cs="Arial"/>
                <w:i/>
              </w:rPr>
              <w:t>Bookbuilding.</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“Data de Emissão”</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hAnsi="Verdana" w:cs="Arial"/>
              </w:rPr>
              <w:t xml:space="preserve">15 de outubro de 2019. </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lastRenderedPageBreak/>
              <w:t>“Datas de Pagamento dos Juros Remuneratórios”</w:t>
            </w:r>
          </w:p>
        </w:tc>
        <w:tc>
          <w:tcPr>
            <w:tcW w:w="3226" w:type="pct"/>
            <w:shd w:val="clear" w:color="auto" w:fill="auto"/>
          </w:tcPr>
          <w:p>
            <w:pPr>
              <w:pStyle w:val="Ttulo3"/>
              <w:spacing w:line="300" w:lineRule="exact"/>
              <w:rPr>
                <w:rFonts w:ascii="Verdana" w:eastAsia="Calibri" w:hAnsi="Verdana"/>
                <w:lang w:val="pt-BR"/>
              </w:rPr>
            </w:pPr>
            <w:r>
              <w:rPr>
                <w:rFonts w:ascii="Verdana" w:hAnsi="Verdana"/>
                <w:b w:val="0"/>
                <w:lang w:val="pt-BR"/>
              </w:rPr>
              <w:t>Cada uma das datas de pagamento dos Juros Remuneratórios, as quais, ressalvadas as hipóteses de pagamento em decorrência da declaração de vencimento antecipado das Debêntures e, se permitido pelas regras expedidas pelo CMN e pela legislação e regulamentação aplicáveis, do Resgate Obrigatório, ocorrerão anualmente, a partir da Data de Emissão, sendo, portanto, os pagamentos pela Emissora aos Debenturistas devidos no dia 15 (quinze) do mês de outubro de cada ano. O primeiro pagamento ocorrerá em 15 de outubro de 2020 e o último pagamento ocorrerá na Data de Vencimento.</w:t>
            </w:r>
            <w:r>
              <w:rPr>
                <w:rFonts w:ascii="Verdana" w:hAnsi="Verdana"/>
                <w:lang w:val="pt-BR"/>
              </w:rPr>
              <w:t xml:space="preserve"> Para mais informações, veja a seção “Informações Relativas à Emissão, à Oferta e às Debêntures – Características da Emissão e das Debêntures – Juros Remuneratórios das Debêntures e Pagamento dos Juros Remuneratórios”, na página [</w:t>
            </w:r>
            <w:r>
              <w:rPr>
                <w:rFonts w:ascii="Verdana" w:hAnsi="Verdana"/>
                <w:lang w:val="pt-BR"/>
              </w:rPr>
              <w:sym w:font="Symbol" w:char="F0B7"/>
            </w:r>
            <w:r>
              <w:rPr>
                <w:rFonts w:ascii="Verdana" w:hAnsi="Verdana"/>
                <w:lang w:val="pt-BR"/>
              </w:rPr>
              <w:t>] deste Prospecto.</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“Data de Vencimento”</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hAnsi="Verdana" w:cs="Arial"/>
              </w:rPr>
              <w:t>15 de novembro de 2029.</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“Data Limite da Garantia da Firme”</w:t>
            </w:r>
          </w:p>
        </w:tc>
        <w:tc>
          <w:tcPr>
            <w:tcW w:w="3226" w:type="pct"/>
            <w:shd w:val="clear" w:color="auto" w:fill="auto"/>
          </w:tcPr>
          <w:p>
            <w:pPr>
              <w:pStyle w:val="HOMEBRBodyText"/>
              <w:keepLines w:val="0"/>
              <w:widowControl w:val="0"/>
              <w:spacing w:line="300" w:lineRule="exact"/>
              <w:rPr>
                <w:rFonts w:ascii="Verdana" w:eastAsia="Calibri" w:hAnsi="Verdana" w:cs="Arial"/>
                <w:highlight w:val="yellow"/>
              </w:rPr>
            </w:pPr>
            <w:r>
              <w:rPr>
                <w:rFonts w:ascii="Verdana" w:eastAsia="Calibri" w:hAnsi="Verdana" w:cs="Arial"/>
              </w:rPr>
              <w:t>1 de novembro de 2019</w:t>
            </w:r>
            <w:r>
              <w:rPr>
                <w:rFonts w:ascii="Verdana" w:hAnsi="Verdana" w:cs="Arial"/>
              </w:rPr>
              <w:t>.</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“Data do Resgate Obrigatório”</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hAnsi="Verdana" w:cs="Arial"/>
              </w:rPr>
              <w:t>Significa a efetiva data de um Resgate Obrigatório.</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“DDA”</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hAnsi="Verdana" w:cs="Arial"/>
              </w:rPr>
              <w:t>DDA – Sistema de Distribuição de Ativos, administrado e operacionalizado pela B3.</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“Debêntures”</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hAnsi="Verdana" w:cs="Arial"/>
              </w:rPr>
              <w:t>Inicialmente, as 1.000.000 (um milhão) de debêntures (sem considerar as Debêntures Adicionais), todas nominativas, escriturais, não conversíveis em ações, da espécie quirografária, da Emissão.</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“Debêntures Adicionais”</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hAnsi="Verdana" w:cs="Arial"/>
              </w:rPr>
              <w:t xml:space="preserve">Até 200.000 (duzentas mil) Debêntures adicionais, nas mesmas condições das Debêntures inicialmente ofertadas, equivalentes a até 20% (vinte por cento) das Debêntures inicialmente ofertadas que, nos termos do artigo 14, parágrafo 2º, da Instrução CVM 400, poderão ser acrescidas à Oferta, sem a necessidade de novo pedido de registro da Oferta à CVM, podendo ser emitidas pela Emissora até a data de conclusão do Procedimento de </w:t>
            </w:r>
            <w:r>
              <w:rPr>
                <w:rFonts w:ascii="Verdana" w:hAnsi="Verdana" w:cs="Arial"/>
                <w:i/>
              </w:rPr>
              <w:t>Bookbuilding</w:t>
            </w:r>
            <w:r>
              <w:rPr>
                <w:rFonts w:ascii="Verdana" w:hAnsi="Verdana" w:cs="Arial"/>
              </w:rPr>
              <w:t xml:space="preserve">. </w:t>
            </w:r>
          </w:p>
          <w:p>
            <w:pPr>
              <w:pStyle w:val="HOMEBRBodyText"/>
              <w:keepLines w:val="0"/>
              <w:widowControl w:val="0"/>
              <w:spacing w:line="300" w:lineRule="exact"/>
              <w:rPr>
                <w:rFonts w:ascii="Verdana" w:hAnsi="Verdana" w:cs="Arial"/>
              </w:rPr>
            </w:pPr>
            <w:r>
              <w:rPr>
                <w:rFonts w:ascii="Verdana" w:hAnsi="Verdana" w:cs="Arial"/>
              </w:rPr>
              <w:lastRenderedPageBreak/>
              <w:t xml:space="preserve">As Debêntures Adicionais eventualmente emitidas passarão a ter as mesmas características das Debêntures inicialmente ofertadas e passarão a integrar o conceito de “Debêntures”. </w:t>
            </w:r>
          </w:p>
          <w:p>
            <w:pPr>
              <w:pStyle w:val="HOMEBRBodyText"/>
              <w:keepLines w:val="0"/>
              <w:widowControl w:val="0"/>
              <w:spacing w:line="300" w:lineRule="exact"/>
              <w:rPr>
                <w:rFonts w:ascii="Verdana" w:hAnsi="Verdana" w:cs="Arial"/>
              </w:rPr>
            </w:pPr>
            <w:r>
              <w:rPr>
                <w:rFonts w:ascii="Verdana" w:hAnsi="Verdana" w:cs="Arial"/>
              </w:rPr>
              <w:t>As Debêntures Adicionais, se emitidas, serão colocadas sob o regime de melhores esforços de colocação pelos Coordenadores.</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lastRenderedPageBreak/>
              <w:t>“Debêntures de Infraestrutura”</w:t>
            </w:r>
          </w:p>
        </w:tc>
        <w:tc>
          <w:tcPr>
            <w:tcW w:w="3226" w:type="pct"/>
            <w:shd w:val="clear" w:color="auto" w:fill="auto"/>
          </w:tcPr>
          <w:p>
            <w:pPr>
              <w:pStyle w:val="HOMEBRBodyText"/>
              <w:keepLines w:val="0"/>
              <w:widowControl w:val="0"/>
              <w:spacing w:line="300" w:lineRule="exact"/>
              <w:rPr>
                <w:rFonts w:ascii="Verdana" w:hAnsi="Verdana" w:cs="Arial"/>
                <w:spacing w:val="2"/>
              </w:rPr>
            </w:pPr>
            <w:r>
              <w:rPr>
                <w:rFonts w:ascii="Verdana" w:hAnsi="Verdana" w:cs="Arial"/>
                <w:spacing w:val="2"/>
              </w:rPr>
              <w:t xml:space="preserve">Debêntures que apresentem as seguintes características: (i) remuneração por taxa de juros prefixada, vinculada à índice de preço ou à taxa referencial; (ii) não admitir a pactuação total ou parcial de taxa de juros pós-fixada; (iii) prazo médio ponderado superior a quatro anos; (iv) </w:t>
            </w:r>
            <w:r>
              <w:rPr>
                <w:rFonts w:ascii="Verdana" w:hAnsi="Verdana" w:cs="Arial"/>
                <w:spacing w:val="2"/>
                <w:lang w:eastAsia="pt-BR"/>
              </w:rPr>
              <w:t>vedação à resgate antecipado pelo respectivo emissor, salvo na forma a ser regulamentada pelo CMN</w:t>
            </w:r>
            <w:r>
              <w:rPr>
                <w:rFonts w:ascii="Verdana" w:hAnsi="Verdana" w:cs="Arial"/>
                <w:spacing w:val="2"/>
              </w:rPr>
              <w:t>; (v) vedação a compromisso de revenda assumido pelo titular; (vi) prazo de pagamento periódico de rendimentos, se existente, com intervalos de, no mínimo, 180 dias; (vii) comprovação de seu registro em sistema de registro devidamente autorizado pelo Banco Central do Brasil ou pela CVM, nas suas respectivas áreas de competência; e (viii) procedimento simplificado que demonstre o compromisso de alocar os recursos captados com as Debêntures de Infraestrutura em projetos de investimento considerado como prioritário pelo Ministério competente</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“Debêntures em Circulação”</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hAnsi="Verdana" w:cs="Arial"/>
              </w:rPr>
              <w:t>Todas as Debêntures subscritas, integralizadas e não resgatadas, excluídas aquelas (i) mantidas em tesouraria pela Emissora; ou (ii) de titularidade de: (a) empresas controladas pela Emissora (diretas ou indiretas), (b) controladoras (ou grupo de controle) da Emissora, e (c) Administradores da Emissora, de empresas controladas pela Emissora (diretas ou indiretas) ou de controladoras (ou grupo de controle) da Emissora, incluindo, mas não se limitando a, pessoas direta ou indiretamente relacionadas a qualquer das pessoas anteriormente mencionadas.</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“Debenturistas”</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hAnsi="Verdana" w:cs="Arial"/>
              </w:rPr>
              <w:t>Os titulares das Debêntures.</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“Decreto 8.874”</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hAnsi="Verdana" w:cs="Arial"/>
                <w:iCs/>
              </w:rPr>
              <w:t xml:space="preserve">Decreto nº 8.874, de 11 de outubro de 2016, publicado </w:t>
            </w:r>
            <w:r>
              <w:rPr>
                <w:rFonts w:ascii="Verdana" w:hAnsi="Verdana" w:cs="Arial"/>
                <w:iCs/>
              </w:rPr>
              <w:lastRenderedPageBreak/>
              <w:t>no DOU em 13 de outubro de 2016.</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hAnsi="Verdana" w:cs="Arial"/>
                <w:b/>
              </w:rPr>
              <w:lastRenderedPageBreak/>
              <w:t>“Dia(s) Útil(eis)”</w:t>
            </w:r>
          </w:p>
        </w:tc>
        <w:tc>
          <w:tcPr>
            <w:tcW w:w="3226" w:type="pct"/>
            <w:shd w:val="clear" w:color="auto" w:fill="auto"/>
          </w:tcPr>
          <w:p>
            <w:pPr>
              <w:pStyle w:val="HOMEBRBodyText"/>
              <w:keepLines w:val="0"/>
              <w:widowControl w:val="0"/>
              <w:spacing w:line="300" w:lineRule="exact"/>
              <w:rPr>
                <w:rFonts w:ascii="Verdana" w:hAnsi="Verdana" w:cs="Arial"/>
                <w:spacing w:val="-2"/>
              </w:rPr>
            </w:pPr>
            <w:r>
              <w:rPr>
                <w:rFonts w:ascii="Verdana" w:hAnsi="Verdana" w:cs="Arial"/>
                <w:spacing w:val="-2"/>
              </w:rPr>
              <w:t xml:space="preserve">(i) com relação a qualquer obrigação pecuniária realizada por meio da B3 e/ou B3 – Segmento Cetip UTVM, qualquer dia que não seja sábado, domingo ou feriado declarado nacional; </w:t>
            </w:r>
            <w:r>
              <w:rPr>
                <w:rFonts w:ascii="Verdana" w:hAnsi="Verdana" w:cs="Arial"/>
                <w:b/>
                <w:spacing w:val="-2"/>
              </w:rPr>
              <w:t>(ii)</w:t>
            </w:r>
            <w:r>
              <w:rPr>
                <w:rFonts w:ascii="Verdana" w:hAnsi="Verdana" w:cs="Arial"/>
                <w:spacing w:val="-2"/>
              </w:rPr>
              <w:t xml:space="preserve"> com relação a qualquer obrigação pecuniária realizada por meio da B3 e/ou B3 – Segmento Cetip UTVM, qualquer dia que não seja sábado, domingo ou feriado declarado nacional, ou data em que, por qualquer motivo, não haja expediente na B3; </w:t>
            </w:r>
            <w:r>
              <w:rPr>
                <w:rFonts w:ascii="Verdana" w:hAnsi="Verdana" w:cs="Arial"/>
                <w:b/>
                <w:spacing w:val="-2"/>
              </w:rPr>
              <w:t>(iii)</w:t>
            </w:r>
            <w:r>
              <w:rPr>
                <w:rFonts w:ascii="Verdana" w:hAnsi="Verdana" w:cs="Arial"/>
                <w:spacing w:val="-2"/>
              </w:rPr>
              <w:t xml:space="preserve"> com relação a qualquer obrigação pecuniária que não seja realizada por meio da B3 – Segmento Cetip UTVM e/ou da B3, conforme o caso, qualquer dia no qual haja expediente nos bancos comerciais na Cidade de São Paulo, Estado de São Paulo, e na Cidade de Curitiba, Estado do Paraná, e que não seja sábado ou domingo; e </w:t>
            </w:r>
            <w:r>
              <w:rPr>
                <w:rFonts w:ascii="Verdana" w:hAnsi="Verdana" w:cs="Arial"/>
                <w:b/>
                <w:spacing w:val="-2"/>
              </w:rPr>
              <w:t>(iv)</w:t>
            </w:r>
            <w:r>
              <w:rPr>
                <w:rFonts w:ascii="Verdana" w:hAnsi="Verdana" w:cs="Arial"/>
                <w:spacing w:val="-2"/>
              </w:rPr>
              <w:t xml:space="preserve"> com relação a qualquer obrigação não pecuniária prevista na Escritura, qualquer dia que não seja sábado ou domingo ou feriado na Cidade de Osasco, Estado de São Paulo e na Cidade de Curitiba, Estado do Paraná</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“Diretoria”</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A Diretoria da Emissora.</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“DOEPR”</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Diário Oficial do Estado do Paraná.</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“DOU”</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Diário Oficial da União.</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“Emissão”</w:t>
            </w:r>
          </w:p>
        </w:tc>
        <w:tc>
          <w:tcPr>
            <w:tcW w:w="3226" w:type="pct"/>
            <w:shd w:val="clear" w:color="auto" w:fill="auto"/>
          </w:tcPr>
          <w:p>
            <w:pPr>
              <w:pStyle w:val="HOMEBRBodyText"/>
              <w:spacing w:line="300" w:lineRule="exact"/>
              <w:rPr>
                <w:rFonts w:ascii="Verdana" w:eastAsia="Calibri" w:hAnsi="Verdana" w:cs="Arial"/>
              </w:rPr>
            </w:pPr>
            <w:r>
              <w:rPr>
                <w:rFonts w:ascii="Verdana" w:hAnsi="Verdana" w:cs="Arial"/>
              </w:rPr>
              <w:t>A presente emissão de Debêntures, que representa a 13º (décima terceira) emissão da Emissora.</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“Emissora”, “Companhia” ou “Rumo”</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hAnsi="Verdana" w:cs="Arial"/>
              </w:rPr>
              <w:t>Rumo S.A., sociedade por ações, registrada perante a CVM na categoria “A”, sob o código 17450, com sede na Rua Emilio Bertolini, nº 100, sala 1, Cajuru, na Cidade de Curitiba, Estado do Paraná, inscrita no CNPJ/ME sob o nº 02.387.241/0001-60 e na JUCEPAR sob o Número de Identificação do Registro de Empresas – NIRE 41.300.019.886.</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“Encargos Moratórios”</w:t>
            </w:r>
          </w:p>
        </w:tc>
        <w:tc>
          <w:tcPr>
            <w:tcW w:w="3226" w:type="pct"/>
            <w:shd w:val="clear" w:color="auto" w:fill="auto"/>
          </w:tcPr>
          <w:p>
            <w:pPr>
              <w:pStyle w:val="HOMEBRBodyText"/>
              <w:keepLines w:val="0"/>
              <w:widowControl w:val="0"/>
              <w:spacing w:line="300" w:lineRule="exact"/>
              <w:rPr>
                <w:rFonts w:ascii="Verdana" w:eastAsia="Calibri" w:hAnsi="Verdana" w:cs="Arial"/>
                <w:spacing w:val="-4"/>
              </w:rPr>
            </w:pPr>
            <w:r>
              <w:rPr>
                <w:rFonts w:ascii="Verdana" w:eastAsia="Calibri" w:hAnsi="Verdana" w:cs="Arial"/>
                <w:spacing w:val="-4"/>
              </w:rPr>
              <w:t xml:space="preserve">Encargos moratórios que serão devidos em caso de impontualidade no pagamento de qualquer quantia devida aos Debenturistas relativamente a qualquer obrigação decorrente da Escritura, hipótese em que os débitos em atraso, sem prejuízo do pagamento da Remuneração, ficarão sujeitos a (i) juros de mora não compensatórios calculados à taxa de 1% ao mês sobre o </w:t>
            </w:r>
            <w:r>
              <w:rPr>
                <w:rFonts w:ascii="Verdana" w:eastAsia="Calibri" w:hAnsi="Verdana" w:cs="Arial"/>
                <w:spacing w:val="-4"/>
              </w:rPr>
              <w:lastRenderedPageBreak/>
              <w:t>montante devido e não pago; e (ii) multa moratória convencional, irredutível e de natureza não compensatória, de 2% sobre o valor devido e não pago. Os encargos moratórios incidirão desde o efetivo descumprimento da obrigação respectiva até a data do seu efetivo pagamento, independentemente de aviso, notificação ou interpelação judicial ou extrajudicial.</w:t>
            </w:r>
          </w:p>
        </w:tc>
      </w:tr>
      <w:tr>
        <w:trPr>
          <w:trHeight w:val="2196"/>
        </w:trP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lastRenderedPageBreak/>
              <w:t>“Escritura”</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“Escritura Particular da Décima Terceira Emissão de Debêntures Simples, Não Conversíveis em Ações, da Espécie Quirografária, em Série Única, para Distribuição Pública, da Rumo S.A”, celebrada entre a Emissora e o Agente Fiduciário, em [</w:t>
            </w:r>
            <w:r>
              <w:rPr>
                <w:rFonts w:ascii="Verdana" w:eastAsia="Calibri" w:hAnsi="Verdana" w:cs="Arial"/>
              </w:rPr>
              <w:sym w:font="Symbol" w:char="F0B7"/>
            </w:r>
            <w:r>
              <w:rPr>
                <w:rFonts w:ascii="Verdana" w:eastAsia="Calibri" w:hAnsi="Verdana" w:cs="Arial"/>
              </w:rPr>
              <w:t>] de [</w:t>
            </w:r>
            <w:r>
              <w:rPr>
                <w:rFonts w:ascii="Verdana" w:eastAsia="Calibri" w:hAnsi="Verdana" w:cs="Arial"/>
              </w:rPr>
              <w:sym w:font="Symbol" w:char="F0B7"/>
            </w:r>
            <w:r>
              <w:rPr>
                <w:rFonts w:ascii="Verdana" w:eastAsia="Calibri" w:hAnsi="Verdana" w:cs="Arial"/>
              </w:rPr>
              <w:t>] de 2019, protocolizada na JUCEPAR em [</w:t>
            </w:r>
            <w:r>
              <w:rPr>
                <w:rFonts w:ascii="Verdana" w:eastAsia="Calibri" w:hAnsi="Verdana" w:cs="Arial"/>
              </w:rPr>
              <w:sym w:font="Symbol" w:char="F0B7"/>
            </w:r>
            <w:r>
              <w:rPr>
                <w:rFonts w:ascii="Verdana" w:eastAsia="Calibri" w:hAnsi="Verdana" w:cs="Arial"/>
              </w:rPr>
              <w:t>] de [</w:t>
            </w:r>
            <w:r>
              <w:rPr>
                <w:rFonts w:ascii="Verdana" w:eastAsia="Calibri" w:hAnsi="Verdana" w:cs="Arial"/>
              </w:rPr>
              <w:sym w:font="Symbol" w:char="F0B7"/>
            </w:r>
            <w:r>
              <w:rPr>
                <w:rFonts w:ascii="Verdana" w:eastAsia="Calibri" w:hAnsi="Verdana" w:cs="Arial"/>
              </w:rPr>
              <w:t>] de 2019 sob o nº [</w:t>
            </w:r>
            <w:r>
              <w:rPr>
                <w:rFonts w:ascii="Verdana" w:eastAsia="Calibri" w:hAnsi="Verdana" w:cs="Arial"/>
              </w:rPr>
              <w:sym w:font="Symbol" w:char="F0B7"/>
            </w:r>
            <w:r>
              <w:rPr>
                <w:rFonts w:ascii="Verdana" w:eastAsia="Calibri" w:hAnsi="Verdana" w:cs="Arial"/>
              </w:rPr>
              <w:t>].</w:t>
            </w:r>
            <w:r>
              <w:rPr>
                <w:rFonts w:ascii="Verdana" w:hAnsi="Verdana" w:cs="Arial"/>
              </w:rPr>
              <w:t xml:space="preserve"> A Escritura</w:t>
            </w:r>
            <w:r>
              <w:rPr>
                <w:rFonts w:ascii="Verdana" w:eastAsia="Calibri" w:hAnsi="Verdana" w:cs="Arial"/>
              </w:rPr>
              <w:t>, acompanhada do protocolo na JUCEPAR,</w:t>
            </w:r>
            <w:r>
              <w:rPr>
                <w:rFonts w:ascii="Verdana" w:hAnsi="Verdana" w:cs="Arial"/>
              </w:rPr>
              <w:t xml:space="preserve"> encontra-se anexa ao presente Prospecto na forma do Anexo B </w:t>
            </w:r>
            <w:r>
              <w:rPr>
                <w:rFonts w:ascii="Verdana" w:eastAsia="Calibri" w:hAnsi="Verdana" w:cs="Arial"/>
              </w:rPr>
              <w:t>e a minuta do aditamento à Escritura encontra-se anexo ao presente Prospecto na forma do Anexo C</w:t>
            </w:r>
            <w:r>
              <w:rPr>
                <w:rFonts w:ascii="Verdana" w:hAnsi="Verdana" w:cs="Arial"/>
              </w:rPr>
              <w:t>.</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“Escriturador”</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hAnsi="Verdana" w:cs="Arial"/>
              </w:rPr>
              <w:t>Banco Bradesco S.A., instituição financeira com sede na Cidade de Osasco, Estado de São Paulo, no núcleo administrativo denominado “Cidade de Deus”, s/n, Prédio Amarelo, 1º andar, Vila Yara, CEP 06029-900, inscrito no CNPJ/ME sob o n.º 60.746.948/0001-12.</w:t>
            </w:r>
          </w:p>
        </w:tc>
      </w:tr>
      <w:tr>
        <w:tc>
          <w:tcPr>
            <w:tcW w:w="1774" w:type="pct"/>
            <w:shd w:val="clear" w:color="auto" w:fill="auto"/>
            <w:vAlign w:val="center"/>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“Estatuto Social”</w:t>
            </w:r>
          </w:p>
        </w:tc>
        <w:tc>
          <w:tcPr>
            <w:tcW w:w="3226" w:type="pct"/>
            <w:shd w:val="clear" w:color="auto" w:fill="auto"/>
            <w:vAlign w:val="center"/>
          </w:tcPr>
          <w:p>
            <w:pPr>
              <w:pStyle w:val="HOMEBRBodyText"/>
              <w:keepLines w:val="0"/>
              <w:widowControl w:val="0"/>
              <w:spacing w:line="300" w:lineRule="exact"/>
              <w:rPr>
                <w:rFonts w:ascii="Verdana" w:eastAsia="Calibri" w:hAnsi="Verdana" w:cs="Arial"/>
                <w:spacing w:val="-4"/>
              </w:rPr>
            </w:pPr>
            <w:r>
              <w:rPr>
                <w:rFonts w:ascii="Verdana" w:eastAsia="Calibri" w:hAnsi="Verdana" w:cs="Arial"/>
              </w:rPr>
              <w:t>Estatuto social da Emissora.</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“Eventos de Inadimplemento”</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 xml:space="preserve">Hipóteses descritas na seção </w:t>
            </w:r>
            <w:r>
              <w:rPr>
                <w:rFonts w:ascii="Verdana" w:eastAsia="Calibri" w:hAnsi="Verdana" w:cs="Arial"/>
                <w:b/>
              </w:rPr>
              <w:t>“Informações Relativas à Emissão, à Oferta e às Debêntures – Vencimento Antecipado”</w:t>
            </w:r>
            <w:r>
              <w:rPr>
                <w:rFonts w:ascii="Verdana" w:eastAsia="Calibri" w:hAnsi="Verdana" w:cs="Arial"/>
              </w:rPr>
              <w:t>, na página [</w:t>
            </w:r>
            <w:r>
              <w:rPr>
                <w:rFonts w:ascii="Verdana" w:eastAsia="Calibri" w:hAnsi="Verdana" w:cs="Arial"/>
              </w:rPr>
              <w:sym w:font="Symbol" w:char="F0B7"/>
            </w:r>
            <w:r>
              <w:rPr>
                <w:rFonts w:ascii="Verdana" w:eastAsia="Calibri" w:hAnsi="Verdana" w:cs="Arial"/>
              </w:rPr>
              <w:t xml:space="preserve">] deste Prospecto, sendo cada uma, um Evento de Inadimplemento. </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 xml:space="preserve">“Formulário de Referência” </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Formulário de Referência da Emissora, elaborado nos termos da Instrução CVM 480</w:t>
            </w:r>
            <w:r>
              <w:rPr>
                <w:rFonts w:ascii="Verdana" w:eastAsia="Tahoma" w:hAnsi="Verdana" w:cs="Arial"/>
                <w:color w:val="000000"/>
                <w:spacing w:val="5"/>
                <w:sz w:val="18"/>
              </w:rPr>
              <w:t xml:space="preserve"> </w:t>
            </w:r>
            <w:r>
              <w:rPr>
                <w:rFonts w:ascii="Verdana" w:eastAsia="Calibri" w:hAnsi="Verdana" w:cs="Arial"/>
              </w:rPr>
              <w:t>e incorporado por referência a este Prospecto, podendo ser encontrado nos endereços indicados na seção “Documentos e Informações Incorporados a este Prospecto por Referência” na página [</w:t>
            </w:r>
            <w:r>
              <w:rPr>
                <w:rFonts w:ascii="Verdana" w:eastAsia="Calibri" w:hAnsi="Verdana" w:cs="Arial"/>
              </w:rPr>
              <w:sym w:font="Symbol" w:char="F0B7"/>
            </w:r>
            <w:r>
              <w:rPr>
                <w:rFonts w:ascii="Verdana" w:eastAsia="Calibri" w:hAnsi="Verdana" w:cs="Arial"/>
              </w:rPr>
              <w:t>] deste Prospecto.</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 xml:space="preserve">“Formador de Mercado” </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w:t>
            </w:r>
            <w:r>
              <w:rPr>
                <w:rFonts w:ascii="Verdana" w:eastAsia="Calibri" w:hAnsi="Verdana" w:cs="Arial"/>
              </w:rPr>
              <w:sym w:font="Symbol" w:char="F0B7"/>
            </w:r>
            <w:r>
              <w:rPr>
                <w:rFonts w:ascii="Verdana" w:eastAsia="Calibri" w:hAnsi="Verdana" w:cs="Arial"/>
              </w:rPr>
              <w:t>]</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“Garantia Firme”</w:t>
            </w:r>
          </w:p>
        </w:tc>
        <w:tc>
          <w:tcPr>
            <w:tcW w:w="3226" w:type="pct"/>
            <w:shd w:val="clear" w:color="auto" w:fill="auto"/>
          </w:tcPr>
          <w:p>
            <w:pPr>
              <w:pStyle w:val="HOMEBRBodyText"/>
              <w:keepLines w:val="0"/>
              <w:widowControl w:val="0"/>
              <w:spacing w:line="300" w:lineRule="exact"/>
              <w:rPr>
                <w:rFonts w:ascii="Verdana" w:eastAsia="Calibri" w:hAnsi="Verdana" w:cs="Arial"/>
                <w:spacing w:val="-2"/>
              </w:rPr>
            </w:pPr>
            <w:r>
              <w:rPr>
                <w:rFonts w:ascii="Verdana" w:eastAsia="Calibri" w:hAnsi="Verdana" w:cs="Arial"/>
                <w:spacing w:val="-2"/>
              </w:rPr>
              <w:t xml:space="preserve">Regime de colocação das Debêntures (sem considerar as Debêntures Adicionais, as quais, caso emitidas, serão colocadas em regime de melhores esforços), no qual os </w:t>
            </w:r>
            <w:r>
              <w:rPr>
                <w:rFonts w:ascii="Verdana" w:eastAsia="Calibri" w:hAnsi="Verdana" w:cs="Arial"/>
                <w:spacing w:val="-2"/>
              </w:rPr>
              <w:lastRenderedPageBreak/>
              <w:t xml:space="preserve">Coordenadores, conforme o caso, estarão obrigados a subscrever e integralizar as Debêntures não colocadas no âmbito da Oferta, de forma individual e não solidária, caso a demanda apurada conjuntamente pelos Coordenadores no Procedimento de </w:t>
            </w:r>
            <w:r>
              <w:rPr>
                <w:rFonts w:ascii="Verdana" w:eastAsia="Calibri" w:hAnsi="Verdana" w:cs="Arial"/>
                <w:i/>
                <w:spacing w:val="-2"/>
              </w:rPr>
              <w:t xml:space="preserve">Bookbuilding </w:t>
            </w:r>
            <w:r>
              <w:rPr>
                <w:rFonts w:ascii="Verdana" w:eastAsia="Calibri" w:hAnsi="Verdana" w:cs="Arial"/>
                <w:spacing w:val="-2"/>
              </w:rPr>
              <w:t>não seja suficiente para atingir o volume total de R$ 1.000.000.000,00 (um bilhão de reais).</w:t>
            </w:r>
          </w:p>
          <w:p>
            <w:pPr>
              <w:pStyle w:val="HOMEBRBodyText"/>
              <w:keepLines w:val="0"/>
              <w:widowControl w:val="0"/>
              <w:spacing w:line="300" w:lineRule="exact"/>
              <w:rPr>
                <w:rFonts w:ascii="Verdana" w:eastAsia="Calibri" w:hAnsi="Verdana" w:cs="Arial"/>
                <w:spacing w:val="-2"/>
              </w:rPr>
            </w:pPr>
            <w:r>
              <w:rPr>
                <w:rFonts w:ascii="Verdana" w:eastAsia="Calibri" w:hAnsi="Verdana" w:cs="Arial"/>
                <w:b/>
                <w:spacing w:val="4"/>
              </w:rPr>
              <w:t xml:space="preserve">Para mais informações sobre o regime de colocação da Oferta, veja as seções “Informações Relativas à Emissão, à Oferta e às Debêntures – </w:t>
            </w:r>
            <w:r>
              <w:rPr>
                <w:rFonts w:ascii="Verdana" w:hAnsi="Verdana" w:cs="Arial"/>
                <w:b/>
                <w:spacing w:val="-4"/>
              </w:rPr>
              <w:t>Contrato de Distribuição</w:t>
            </w:r>
            <w:r>
              <w:rPr>
                <w:rFonts w:ascii="Verdana" w:eastAsia="Calibri" w:hAnsi="Verdana" w:cs="Arial"/>
                <w:b/>
                <w:spacing w:val="4"/>
              </w:rPr>
              <w:t xml:space="preserve"> – Regime de Colocação”, na página [</w:t>
            </w:r>
            <w:r>
              <w:rPr>
                <w:rFonts w:ascii="Verdana" w:eastAsia="Calibri" w:hAnsi="Verdana" w:cs="Arial"/>
                <w:b/>
                <w:spacing w:val="4"/>
              </w:rPr>
              <w:sym w:font="Symbol" w:char="F0B7"/>
            </w:r>
            <w:r>
              <w:rPr>
                <w:rFonts w:ascii="Verdana" w:eastAsia="Calibri" w:hAnsi="Verdana" w:cs="Arial"/>
                <w:b/>
                <w:spacing w:val="4"/>
              </w:rPr>
              <w:t>] deste Prospecto.</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lastRenderedPageBreak/>
              <w:t>“Governo Federal”</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Governo da República Federativa do Brasil.</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“Grupo Econômico”</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 xml:space="preserve">Significa todas as </w:t>
            </w:r>
            <w:bookmarkStart w:id="2" w:name="_Hlk471108"/>
            <w:r>
              <w:rPr>
                <w:rFonts w:ascii="Verdana" w:eastAsia="Calibri" w:hAnsi="Verdana" w:cs="Arial"/>
              </w:rPr>
              <w:t xml:space="preserve">sociedades, direta ou indiretamente, controladas </w:t>
            </w:r>
            <w:bookmarkEnd w:id="2"/>
            <w:r>
              <w:rPr>
                <w:rFonts w:ascii="Verdana" w:eastAsia="Calibri" w:hAnsi="Verdana" w:cs="Arial"/>
              </w:rPr>
              <w:t>pela Emissora.</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“IBGE”</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Instituto Brasileiro de Geografia e Estatística.</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“Índices Financeiros”</w:t>
            </w:r>
          </w:p>
        </w:tc>
        <w:tc>
          <w:tcPr>
            <w:tcW w:w="3226" w:type="pct"/>
            <w:shd w:val="clear" w:color="auto" w:fill="auto"/>
          </w:tcPr>
          <w:p>
            <w:pPr>
              <w:pStyle w:val="HOMEBRBodyText"/>
              <w:keepLines w:val="0"/>
              <w:widowControl w:val="0"/>
              <w:spacing w:line="300" w:lineRule="exact"/>
              <w:rPr>
                <w:rFonts w:ascii="Verdana" w:hAnsi="Verdana" w:cs="Arial"/>
                <w:noProof/>
              </w:rPr>
            </w:pPr>
            <w:r>
              <w:rPr>
                <w:rFonts w:ascii="Verdana" w:hAnsi="Verdana" w:cs="Arial"/>
                <w:noProof/>
              </w:rPr>
              <w:t xml:space="preserve">Significa os índices financeiros a serem observados pela Emissora, descritos na seção </w:t>
            </w:r>
            <w:r>
              <w:rPr>
                <w:rFonts w:ascii="Verdana" w:hAnsi="Verdana" w:cs="Arial"/>
              </w:rPr>
              <w:t>“Sumário da Oferta – Índices Financeiros” na página [</w:t>
            </w:r>
            <w:r>
              <w:rPr>
                <w:rFonts w:ascii="Verdana" w:hAnsi="Verdana" w:cs="Arial"/>
              </w:rPr>
              <w:sym w:font="Symbol" w:char="F0B7"/>
            </w:r>
            <w:r>
              <w:rPr>
                <w:rFonts w:ascii="Verdana" w:hAnsi="Verdana" w:cs="Arial"/>
              </w:rPr>
              <w:t>] deste Prospecto Preliminar.</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“Instituições Participantes da Oferta”</w:t>
            </w:r>
          </w:p>
        </w:tc>
        <w:tc>
          <w:tcPr>
            <w:tcW w:w="3226" w:type="pct"/>
            <w:shd w:val="clear" w:color="auto" w:fill="auto"/>
          </w:tcPr>
          <w:p>
            <w:pPr>
              <w:pStyle w:val="HOMEBRBodyText"/>
              <w:keepLines w:val="0"/>
              <w:widowControl w:val="0"/>
              <w:spacing w:line="300" w:lineRule="exact"/>
              <w:rPr>
                <w:rFonts w:ascii="Verdana" w:hAnsi="Verdana" w:cs="Arial"/>
                <w:noProof/>
              </w:rPr>
            </w:pPr>
            <w:r>
              <w:rPr>
                <w:rFonts w:ascii="Verdana" w:hAnsi="Verdana" w:cs="Arial"/>
                <w:noProof/>
              </w:rPr>
              <w:t>Os Coordenadores e os Participantes Especiais, considerados em conjunto.</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w:t>
            </w:r>
            <w:r>
              <w:rPr>
                <w:rFonts w:ascii="Verdana" w:hAnsi="Verdana" w:cs="Arial"/>
                <w:b/>
              </w:rPr>
              <w:t>Instrução CVM 384</w:t>
            </w:r>
            <w:r>
              <w:rPr>
                <w:rFonts w:ascii="Verdana" w:hAnsi="Verdana" w:cs="Arial"/>
              </w:rPr>
              <w:t>”</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hAnsi="Verdana" w:cs="Arial"/>
              </w:rPr>
              <w:t>Instrução da CVM nº 384, de 17 de março de 2003, conforme alterada.</w:t>
            </w:r>
          </w:p>
        </w:tc>
      </w:tr>
      <w:tr>
        <w:tc>
          <w:tcPr>
            <w:tcW w:w="1774" w:type="pct"/>
            <w:shd w:val="clear" w:color="auto" w:fill="auto"/>
          </w:tcPr>
          <w:p>
            <w:pPr>
              <w:pStyle w:val="HOMEBRBodyText"/>
              <w:keepLines w:val="0"/>
              <w:widowControl w:val="0"/>
              <w:spacing w:line="300" w:lineRule="exact"/>
              <w:jc w:val="left"/>
              <w:rPr>
                <w:rFonts w:ascii="Verdana" w:hAnsi="Verdana" w:cs="Arial"/>
                <w:b/>
              </w:rPr>
            </w:pPr>
            <w:r>
              <w:rPr>
                <w:rFonts w:ascii="Verdana" w:eastAsia="Calibri" w:hAnsi="Verdana" w:cs="Arial"/>
                <w:b/>
              </w:rPr>
              <w:t xml:space="preserve">“Instrução CVM 400” </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eastAsia="Calibri" w:hAnsi="Verdana" w:cs="Arial"/>
              </w:rPr>
              <w:t>Instrução da CVM nº 400, de 29 de dezembro de 2003</w:t>
            </w:r>
            <w:r>
              <w:rPr>
                <w:rFonts w:ascii="Verdana" w:hAnsi="Verdana" w:cs="Arial"/>
              </w:rPr>
              <w:t>, conforme alterada.</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 xml:space="preserve">“Instrução CVM 480” </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Instrução da CVM nº 480, de 7 de dezembro de 2009</w:t>
            </w:r>
            <w:r>
              <w:rPr>
                <w:rFonts w:ascii="Verdana" w:hAnsi="Verdana" w:cs="Arial"/>
              </w:rPr>
              <w:t>, conforme alterada.</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hAnsi="Verdana" w:cs="Arial"/>
                <w:b/>
              </w:rPr>
              <w:t>“Instrução CVM 505”</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hAnsi="Verdana" w:cs="Arial"/>
              </w:rPr>
              <w:t>Instrução da CVM nº 505, de 27 de setembro de 2011, conforme alterada.</w:t>
            </w:r>
          </w:p>
        </w:tc>
      </w:tr>
      <w:tr>
        <w:tc>
          <w:tcPr>
            <w:tcW w:w="1774" w:type="pct"/>
            <w:shd w:val="clear" w:color="auto" w:fill="auto"/>
          </w:tcPr>
          <w:p>
            <w:pPr>
              <w:pStyle w:val="HOMEBRBodyText"/>
              <w:keepLines w:val="0"/>
              <w:widowControl w:val="0"/>
              <w:spacing w:line="300" w:lineRule="exact"/>
              <w:jc w:val="left"/>
              <w:rPr>
                <w:rFonts w:ascii="Verdana" w:hAnsi="Verdana" w:cs="Arial"/>
                <w:b/>
              </w:rPr>
            </w:pPr>
            <w:r>
              <w:rPr>
                <w:rFonts w:ascii="Verdana" w:hAnsi="Verdana" w:cs="Arial"/>
                <w:b/>
              </w:rPr>
              <w:t>“Instrução CVM 539”</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hAnsi="Verdana" w:cs="Arial"/>
              </w:rPr>
              <w:t>Instrução da CVM nº 539, de 13 de novembro de 2013, conforme alterada.</w:t>
            </w:r>
          </w:p>
        </w:tc>
      </w:tr>
      <w:tr>
        <w:tc>
          <w:tcPr>
            <w:tcW w:w="1774" w:type="pct"/>
            <w:shd w:val="clear" w:color="auto" w:fill="auto"/>
          </w:tcPr>
          <w:p>
            <w:pPr>
              <w:pStyle w:val="HOMEBRBodyText"/>
              <w:keepLines w:val="0"/>
              <w:widowControl w:val="0"/>
              <w:spacing w:line="300" w:lineRule="exact"/>
              <w:jc w:val="left"/>
              <w:rPr>
                <w:rFonts w:ascii="Verdana" w:hAnsi="Verdana" w:cs="Arial"/>
                <w:b/>
              </w:rPr>
            </w:pPr>
            <w:r>
              <w:rPr>
                <w:rFonts w:ascii="Verdana" w:eastAsia="Calibri" w:hAnsi="Verdana" w:cs="Arial"/>
                <w:b/>
              </w:rPr>
              <w:t>“Instrução CVM 583”</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eastAsia="Calibri" w:hAnsi="Verdana" w:cs="Arial"/>
              </w:rPr>
              <w:t>Instrução da CVM nº 583, de 20 de dezembro de 2016, conforme alterada.</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lastRenderedPageBreak/>
              <w:t>“Investidores da Oferta”</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hAnsi="Verdana" w:cs="Arial"/>
              </w:rPr>
              <w:t>Os Investidores Institucionais e os Investidores Não Institucionais, em conjunto.</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“Investidores Institucionais”</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hAnsi="Verdana" w:cs="Arial"/>
              </w:rPr>
              <w:t>Investidores que sejam fundos de investimento, clubes de investimento, carteiras administradas, fundos de pensão, entidades administradoras de recursos de terceiros registradas na CVM, entidades autorizadas a funcionar pelo BACEN, seguradoras, entidades de previdência complementar e de capitalização, bem como pessoas físicas ou jurídicas que sejam considerados investidores profissionais ou investidores qualificados, conforme definido nos artigos 9º-A e 9º-B da Instrução CVM 539.</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“Investidores Não Institucionais”</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hAnsi="Verdana" w:cs="Arial"/>
              </w:rPr>
              <w:t>Investidores, pessoas físicas ou jurídicas, que não estejam compreendidos na definição de Investidores Institucionais.</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“IOF/Câmbio”</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eastAsia="Calibri" w:hAnsi="Verdana" w:cs="Arial"/>
              </w:rPr>
              <w:t>Imposto sobre Operações de Crédito, Câmbio e Seguros incidente sobre operações de câmbio.</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“IOF/Título”</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eastAsia="Calibri" w:hAnsi="Verdana" w:cs="Arial"/>
              </w:rPr>
              <w:t>Imposto sobre Operações de Crédito, Câmbio e Seguros incidente sobre operações que envolvam títulos e valores mobiliários.</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“IPCA”</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hAnsi="Verdana" w:cs="Arial"/>
              </w:rPr>
              <w:t xml:space="preserve">Índice de Preços ao Consumidor Amplo, calculado e divulgado pelo </w:t>
            </w:r>
            <w:r>
              <w:rPr>
                <w:rFonts w:ascii="Verdana" w:eastAsia="Calibri" w:hAnsi="Verdana" w:cs="Arial"/>
              </w:rPr>
              <w:t>IBGE.</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“IR Fonte”</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hAnsi="Verdana" w:cs="Arial"/>
              </w:rPr>
              <w:t>Imposto de Renda Retido na Fonte.</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“JUCEPAR”</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eastAsia="Calibri" w:hAnsi="Verdana" w:cs="Arial"/>
              </w:rPr>
              <w:t>Junta Comercial do Estado do Paraná.</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hAnsi="Verdana" w:cs="Arial"/>
                <w:b/>
                <w:lang w:eastAsia="pt-BR"/>
              </w:rPr>
              <w:t>“Jurisdição de Tributação Favorecida”</w:t>
            </w:r>
          </w:p>
        </w:tc>
        <w:tc>
          <w:tcPr>
            <w:tcW w:w="3226" w:type="pct"/>
            <w:shd w:val="clear" w:color="auto" w:fill="auto"/>
          </w:tcPr>
          <w:p>
            <w:pPr>
              <w:pStyle w:val="HOMEBRBodyText"/>
              <w:keepLines w:val="0"/>
              <w:widowControl w:val="0"/>
              <w:spacing w:line="300" w:lineRule="exact"/>
              <w:rPr>
                <w:rFonts w:ascii="Verdana" w:hAnsi="Verdana" w:cs="Arial"/>
                <w:lang w:bidi="hi-IN"/>
              </w:rPr>
            </w:pPr>
            <w:r>
              <w:rPr>
                <w:rFonts w:ascii="Verdana" w:hAnsi="Verdana" w:cs="Arial"/>
                <w:lang w:eastAsia="pt-BR"/>
              </w:rPr>
              <w:t>País ou jurisdição que não tribute a renda, ou que a tribute a alíquota máxima inferior a 20%.</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hAnsi="Verdana" w:cs="Arial"/>
                <w:b/>
                <w:lang w:eastAsia="pt-BR"/>
              </w:rPr>
              <w:t>“Juros Remuneratórios”</w:t>
            </w:r>
          </w:p>
        </w:tc>
        <w:tc>
          <w:tcPr>
            <w:tcW w:w="3226" w:type="pct"/>
            <w:shd w:val="clear" w:color="auto" w:fill="auto"/>
          </w:tcPr>
          <w:p>
            <w:pPr>
              <w:pStyle w:val="HOMEBRBodyText"/>
              <w:keepLines w:val="0"/>
              <w:widowControl w:val="0"/>
              <w:spacing w:line="300" w:lineRule="exact"/>
              <w:rPr>
                <w:rFonts w:ascii="Verdana" w:eastAsia="Calibri" w:hAnsi="Verdana" w:cs="Arial"/>
                <w:spacing w:val="-2"/>
              </w:rPr>
            </w:pPr>
            <w:r>
              <w:rPr>
                <w:rFonts w:ascii="Verdana" w:hAnsi="Verdana" w:cs="Arial"/>
                <w:spacing w:val="-2"/>
              </w:rPr>
              <w:t xml:space="preserve">Juros remuneratórios incidentes sobre o Valor Nominal Atualizado das Debêntures, correspondentes a um determinado percentual ao ano, base 252 (duzentos e cinquenta e dois) Dias Úteis, a ser definido de acordo com o Procedimento de </w:t>
            </w:r>
            <w:r>
              <w:rPr>
                <w:rFonts w:ascii="Verdana" w:hAnsi="Verdana" w:cs="Arial"/>
                <w:i/>
                <w:spacing w:val="-2"/>
              </w:rPr>
              <w:t>Bookbuilding</w:t>
            </w:r>
            <w:r>
              <w:rPr>
                <w:rFonts w:ascii="Verdana" w:hAnsi="Verdana" w:cs="Arial"/>
                <w:spacing w:val="-2"/>
              </w:rPr>
              <w:t xml:space="preserve">, e, em qualquer caso, limitados a (i) 0,60% (sessenta centésimos por cento) ao ano, acrescidos exponencialmente à taxa interna de retorno do Tesouro IPCA+ com Juros Semestrais, com vencimento em 2028, que deverá ser a </w:t>
            </w:r>
            <w:r>
              <w:rPr>
                <w:rFonts w:ascii="Verdana" w:hAnsi="Verdana" w:cs="Arial"/>
                <w:spacing w:val="-2"/>
                <w:u w:val="single"/>
              </w:rPr>
              <w:t>maior</w:t>
            </w:r>
            <w:r>
              <w:rPr>
                <w:rFonts w:ascii="Verdana" w:hAnsi="Verdana" w:cs="Arial"/>
                <w:spacing w:val="-2"/>
              </w:rPr>
              <w:t xml:space="preserve"> cotação indicativa entre (a) a divulgada pela ANBIMA no fechamento da Data de Apuração; e (b) a </w:t>
            </w:r>
            <w:r>
              <w:rPr>
                <w:rFonts w:ascii="Verdana" w:hAnsi="Verdana" w:cs="Arial"/>
                <w:spacing w:val="-2"/>
              </w:rPr>
              <w:lastRenderedPageBreak/>
              <w:t xml:space="preserve">média das cotações divulgadas pela ANBIMA no fechamento dos 3 (três) últimos Dias Úteis imediatamente anteriores à data de realização do Procedimento de </w:t>
            </w:r>
            <w:r>
              <w:rPr>
                <w:rFonts w:ascii="Verdana" w:hAnsi="Verdana" w:cs="Arial"/>
                <w:i/>
                <w:spacing w:val="-2"/>
              </w:rPr>
              <w:t>Bookbuilding</w:t>
            </w:r>
            <w:r>
              <w:rPr>
                <w:rFonts w:ascii="Verdana" w:hAnsi="Verdana" w:cs="Arial"/>
                <w:spacing w:val="-2"/>
              </w:rPr>
              <w:t xml:space="preserve">; ou (ii) 4,00% (quatro por cento) ao ano, entre os itens (i) e (ii) o que for </w:t>
            </w:r>
            <w:r>
              <w:rPr>
                <w:rFonts w:ascii="Verdana" w:hAnsi="Verdana" w:cs="Arial"/>
                <w:spacing w:val="-2"/>
                <w:u w:val="single"/>
              </w:rPr>
              <w:t>maior</w:t>
            </w:r>
            <w:r>
              <w:rPr>
                <w:rFonts w:ascii="Verdana" w:hAnsi="Verdana" w:cs="Arial"/>
                <w:spacing w:val="-2"/>
              </w:rPr>
              <w:t xml:space="preserve"> na Data de Apuração. Os Juros Remuneratórios serão calculados de acordo com a fórmula descrita na Cláusula 5.6.2 da Escritura e na seção </w:t>
            </w:r>
            <w:r>
              <w:rPr>
                <w:rFonts w:ascii="Verdana" w:hAnsi="Verdana" w:cs="Arial"/>
                <w:b/>
                <w:spacing w:val="-2"/>
              </w:rPr>
              <w:t xml:space="preserve">“Informações Relativas à Emissão, à Oferta e às Debêntures – Juros Remuneratórios”, </w:t>
            </w:r>
            <w:r>
              <w:rPr>
                <w:rFonts w:ascii="Verdana" w:hAnsi="Verdana" w:cs="Arial"/>
                <w:spacing w:val="-2"/>
              </w:rPr>
              <w:t>na página [</w:t>
            </w:r>
            <w:r>
              <w:rPr>
                <w:rFonts w:ascii="Verdana" w:hAnsi="Verdana" w:cs="Arial"/>
                <w:spacing w:val="-2"/>
              </w:rPr>
              <w:sym w:font="Symbol" w:char="F0B7"/>
            </w:r>
            <w:r>
              <w:rPr>
                <w:rFonts w:ascii="Verdana" w:hAnsi="Verdana" w:cs="Arial"/>
                <w:spacing w:val="-2"/>
              </w:rPr>
              <w:t>] deste Prospecto.</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lastRenderedPageBreak/>
              <w:t xml:space="preserve">“Lei das Sociedades por Ações” </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Lei nº 6.404, de 15 de dezembro de 1976, conforme alterada.</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“Lei do Mercado de Capitais”</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hAnsi="Verdana" w:cs="Arial"/>
              </w:rPr>
              <w:t>Lei nº 6.385, de 7 de dezembro de 1976, conforme alterada.</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“Lei 12.431”</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hAnsi="Verdana" w:cs="Arial"/>
              </w:rPr>
              <w:t>Lei nº 12.431, de 24 de junho de 2011, conforme alterada.</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“MDA”</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hAnsi="Verdana" w:cs="Arial"/>
              </w:rPr>
              <w:t>Módulo de Distribuição de Ativos, administrado e operacionalizado pela B3 – Segmento Cetip UTVM.</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“Notificação de Resgate Obrigatório”</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hAnsi="Verdana" w:cs="Arial"/>
              </w:rPr>
              <w:t>Forma de comunicação sobre o Resgate Obrigatório, que deverá se dar por meio de</w:t>
            </w:r>
            <w:r>
              <w:rPr>
                <w:rFonts w:ascii="Verdana" w:hAnsi="Verdana" w:cs="Arial"/>
                <w:bCs/>
              </w:rPr>
              <w:t>: (a) divulgação de anúncio, nos termos do item “Publicidade” acima, ou (b) envio de comunicação individual aos Debenturistas, com cópia para o Agente Fiduciário, à B3 e à B3 – Segmento Cetip UTVM</w:t>
            </w:r>
            <w:r>
              <w:rPr>
                <w:rFonts w:ascii="Verdana" w:hAnsi="Verdana" w:cs="Arial"/>
              </w:rPr>
              <w:t>.</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“Oferta”</w:t>
            </w:r>
          </w:p>
        </w:tc>
        <w:tc>
          <w:tcPr>
            <w:tcW w:w="3226" w:type="pct"/>
            <w:shd w:val="clear" w:color="auto" w:fill="auto"/>
          </w:tcPr>
          <w:p>
            <w:pPr>
              <w:pStyle w:val="HOMEBRBodyText"/>
              <w:keepLines w:val="0"/>
              <w:widowControl w:val="0"/>
              <w:spacing w:line="300" w:lineRule="exact"/>
              <w:rPr>
                <w:rFonts w:ascii="Verdana" w:hAnsi="Verdana" w:cs="Arial"/>
                <w:spacing w:val="6"/>
              </w:rPr>
            </w:pPr>
            <w:r>
              <w:rPr>
                <w:rFonts w:ascii="Verdana" w:hAnsi="Verdana" w:cs="Arial"/>
                <w:spacing w:val="6"/>
              </w:rPr>
              <w:t>A presente oferta pública de distribuição de Debêntures, nos termos da Lei do Mercado de Capitais, da Instrução CVM 400, observado especialmente o procedimento de registro automático de oferta pública de distribuição de valores mobiliários emitidos por emissores com grande exposição ao mercado, conforme disposto nos artigos 6º-A e 6º-B da Instrução CVM 400, do Código ANBIMA de Ofertas e das demais disposições legais e regulamentares aplicáveis.</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“Oferta Institucional”</w:t>
            </w:r>
          </w:p>
        </w:tc>
        <w:tc>
          <w:tcPr>
            <w:tcW w:w="3226" w:type="pct"/>
            <w:shd w:val="clear" w:color="auto" w:fill="auto"/>
          </w:tcPr>
          <w:p>
            <w:pPr>
              <w:pStyle w:val="HOMEBRBodyText"/>
              <w:keepLines w:val="0"/>
              <w:widowControl w:val="0"/>
              <w:spacing w:line="300" w:lineRule="exact"/>
              <w:rPr>
                <w:rFonts w:ascii="Verdana" w:hAnsi="Verdana" w:cs="Arial"/>
                <w:snapToGrid w:val="0"/>
              </w:rPr>
            </w:pPr>
            <w:r>
              <w:rPr>
                <w:rFonts w:ascii="Verdana" w:hAnsi="Verdana" w:cs="Arial"/>
              </w:rPr>
              <w:t>A Oferta de Debêntures destinada aos Investidores Institucionais.</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“Participantes Especiais”</w:t>
            </w:r>
          </w:p>
        </w:tc>
        <w:tc>
          <w:tcPr>
            <w:tcW w:w="3226" w:type="pct"/>
            <w:shd w:val="clear" w:color="auto" w:fill="auto"/>
          </w:tcPr>
          <w:p>
            <w:pPr>
              <w:pStyle w:val="HOMEBRBodyText"/>
              <w:keepLines w:val="0"/>
              <w:widowControl w:val="0"/>
              <w:spacing w:line="300" w:lineRule="exact"/>
              <w:rPr>
                <w:rFonts w:ascii="Verdana" w:hAnsi="Verdana" w:cs="Arial"/>
                <w:snapToGrid w:val="0"/>
              </w:rPr>
            </w:pPr>
            <w:r>
              <w:rPr>
                <w:rFonts w:ascii="Verdana" w:eastAsia="Calibri" w:hAnsi="Verdana" w:cs="Arial"/>
              </w:rPr>
              <w:t xml:space="preserve">Instituições financeiras convidadas para participarem </w:t>
            </w:r>
            <w:r>
              <w:rPr>
                <w:rFonts w:ascii="Verdana" w:eastAsia="Calibri" w:hAnsi="Verdana" w:cs="Arial"/>
              </w:rPr>
              <w:lastRenderedPageBreak/>
              <w:t>da colocação das Debêntures junto a potenciais Investidores da Oferta, exclusivamente para recebimento de Pedidos de Reserva.</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lastRenderedPageBreak/>
              <w:t>“Pedido de Reserva”</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 xml:space="preserve">Cada formulário específico, celebrado em caráter irrevogável e irretratável, exceto nas circunstâncias ali previstas, por Investidores da Oferta, incluindo aqueles que sejam considerados Pessoas Vinculadas, apresentado perante uma única Instituição Participante da Oferta, referente à intenção de subscrição das Debêntures no âmbito da Oferta. </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“Período de Capitalização”</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Intervalo de tempo que se inicia na Primeira Data de Integralização, no caso do primeiro Período de Capitalização, ou na Data de Pagamento dos Juros Remuneratórios imediatamente anterior, no caso dos demais Períodos de Capitalização, e termina na próxima Data de Pagamento dos Juros Remuneratórios.</w:t>
            </w:r>
            <w:r>
              <w:rPr>
                <w:rFonts w:ascii="Verdana" w:hAnsi="Verdana" w:cs="Arial"/>
                <w:sz w:val="24"/>
                <w:szCs w:val="24"/>
                <w:lang w:eastAsia="pt-BR"/>
              </w:rPr>
              <w:t xml:space="preserve"> </w:t>
            </w:r>
            <w:r>
              <w:rPr>
                <w:rFonts w:ascii="Verdana" w:eastAsia="Calibri" w:hAnsi="Verdana" w:cs="Arial"/>
              </w:rPr>
              <w:t>Cada Período de Capitalização sucede o anterior sem solução de continuidade, até a respectiva Data de Vencimento.</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“Período de Reserva”</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lang w:bidi="en-US"/>
              </w:rPr>
              <w:t xml:space="preserve">Período compreendido entre 23 de setembro de 2019, inclusive, e 16 de outubro de 2019, inclusive, durante o qual os Investidores da Oferta </w:t>
            </w:r>
            <w:r>
              <w:rPr>
                <w:rFonts w:ascii="Verdana" w:hAnsi="Verdana" w:cs="Arial"/>
              </w:rPr>
              <w:t xml:space="preserve">interessados em subscrever Debêntures </w:t>
            </w:r>
            <w:r>
              <w:rPr>
                <w:rFonts w:ascii="Verdana" w:eastAsia="Calibri" w:hAnsi="Verdana" w:cs="Arial"/>
                <w:lang w:bidi="en-US"/>
              </w:rPr>
              <w:t>poderão apresentar suas intenções de investimento por meio de um ou mais Pedidos de Reserva.</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“Pessoas Elegíveis”</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Pessoas físicas residentes no Brasil e Pessoas Residentes no Exterior, consideradas em conjunto.</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“Pessoas Residentes no Exterior”</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Pessoas residentes ou domiciliadas no exterior que tenham se utilizado dos mecanismos de investimento da Resolução CMN 4.373 e que não sejam residentes ou domiciliados em Jurisdição de Tributação Favorecida.</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“Pessoas Vinculadas”</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spacing w:val="4"/>
              </w:rPr>
              <w:t xml:space="preserve">Investidores que sejam: </w:t>
            </w:r>
            <w:r>
              <w:rPr>
                <w:rFonts w:ascii="Verdana" w:eastAsia="Calibri" w:hAnsi="Verdana" w:cs="Arial"/>
                <w:b/>
                <w:spacing w:val="4"/>
              </w:rPr>
              <w:t>(i)</w:t>
            </w:r>
            <w:r>
              <w:rPr>
                <w:rFonts w:ascii="Verdana" w:eastAsia="Calibri" w:hAnsi="Verdana" w:cs="Arial"/>
                <w:spacing w:val="4"/>
              </w:rPr>
              <w:t xml:space="preserve"> controladores pessoa física ou jurídica ou Administradores da Emissora, de sua controladora e/ou de suas controladas ou outras pessoas vinculadas à Emissão e à Oferta, bem como seus cônjuges ou companheiros, seus ascendentes, descendentes e colaterais até o 2º grau; </w:t>
            </w:r>
            <w:r>
              <w:rPr>
                <w:rFonts w:ascii="Verdana" w:eastAsia="Calibri" w:hAnsi="Verdana" w:cs="Arial"/>
                <w:b/>
                <w:spacing w:val="4"/>
              </w:rPr>
              <w:t>(ii)</w:t>
            </w:r>
            <w:r>
              <w:rPr>
                <w:rFonts w:ascii="Verdana" w:eastAsia="Calibri" w:hAnsi="Verdana" w:cs="Arial"/>
                <w:spacing w:val="4"/>
              </w:rPr>
              <w:t xml:space="preserve"> controladores pessoa física ou jurídica ou Administradores das Instituições Participantes da </w:t>
            </w:r>
            <w:r>
              <w:rPr>
                <w:rFonts w:ascii="Verdana" w:eastAsia="Calibri" w:hAnsi="Verdana" w:cs="Arial"/>
                <w:spacing w:val="4"/>
              </w:rPr>
              <w:lastRenderedPageBreak/>
              <w:t xml:space="preserve">Oferta; </w:t>
            </w:r>
            <w:r>
              <w:rPr>
                <w:rFonts w:ascii="Verdana" w:eastAsia="Calibri" w:hAnsi="Verdana" w:cs="Arial"/>
                <w:b/>
                <w:spacing w:val="4"/>
              </w:rPr>
              <w:t>(iii)</w:t>
            </w:r>
            <w:r>
              <w:rPr>
                <w:rFonts w:ascii="Verdana" w:eastAsia="Calibri" w:hAnsi="Verdana" w:cs="Arial"/>
                <w:spacing w:val="4"/>
              </w:rPr>
              <w:t xml:space="preserve"> empregados, operadores e demais prepostos da Emissora e/ou das Instituições Participantes da Oferta, que desempenhem atividades de intermediação ou de suporte operacional diretamente envolvidos na Oferta; </w:t>
            </w:r>
            <w:r>
              <w:rPr>
                <w:rFonts w:ascii="Verdana" w:eastAsia="Calibri" w:hAnsi="Verdana" w:cs="Arial"/>
                <w:b/>
                <w:spacing w:val="4"/>
              </w:rPr>
              <w:t>(iv)</w:t>
            </w:r>
            <w:r>
              <w:rPr>
                <w:rFonts w:ascii="Verdana" w:eastAsia="Calibri" w:hAnsi="Verdana" w:cs="Arial"/>
                <w:spacing w:val="4"/>
              </w:rPr>
              <w:t xml:space="preserve"> agentes autônomos que prestem serviços à Emissora e/ou às Instituições Participantes da Oferta; </w:t>
            </w:r>
            <w:r>
              <w:rPr>
                <w:rFonts w:ascii="Verdana" w:eastAsia="Calibri" w:hAnsi="Verdana" w:cs="Arial"/>
                <w:b/>
                <w:spacing w:val="4"/>
              </w:rPr>
              <w:t>(v)</w:t>
            </w:r>
            <w:r>
              <w:rPr>
                <w:rFonts w:ascii="Verdana" w:eastAsia="Calibri" w:hAnsi="Verdana" w:cs="Arial"/>
                <w:spacing w:val="4"/>
              </w:rPr>
              <w:t xml:space="preserve"> demais profissionais que mantenham, com a Emissora e/ou as Instituições Participantes da Oferta, contrato de prestação de serviços diretamente relacionados à atividade de intermediação, ou de suporte operacional no âmbito da Oferta; </w:t>
            </w:r>
            <w:r>
              <w:rPr>
                <w:rFonts w:ascii="Verdana" w:eastAsia="Calibri" w:hAnsi="Verdana" w:cs="Arial"/>
                <w:b/>
                <w:spacing w:val="4"/>
              </w:rPr>
              <w:t>(vi)</w:t>
            </w:r>
            <w:r>
              <w:rPr>
                <w:rFonts w:ascii="Verdana" w:eastAsia="Calibri" w:hAnsi="Verdana" w:cs="Arial"/>
                <w:spacing w:val="4"/>
              </w:rPr>
              <w:t xml:space="preserve"> sociedades controladas, direta ou indiretamente, pela Emissora e/ou pelas Instituições Participantes da Oferta ou por pessoas a elas vinculadas; </w:t>
            </w:r>
            <w:r>
              <w:rPr>
                <w:rFonts w:ascii="Verdana" w:eastAsia="Calibri" w:hAnsi="Verdana" w:cs="Arial"/>
                <w:b/>
                <w:spacing w:val="4"/>
              </w:rPr>
              <w:t>(vii)</w:t>
            </w:r>
            <w:r>
              <w:rPr>
                <w:rFonts w:ascii="Verdana" w:eastAsia="Calibri" w:hAnsi="Verdana" w:cs="Arial"/>
                <w:spacing w:val="4"/>
              </w:rPr>
              <w:t xml:space="preserve"> sociedades controladas, direta ou indiretamente, por pessoas vinculadas às Instituições Participantes da Oferta, desde que diretamente envolvidos na Oferta; </w:t>
            </w:r>
            <w:r>
              <w:rPr>
                <w:rFonts w:ascii="Verdana" w:eastAsia="Calibri" w:hAnsi="Verdana" w:cs="Arial"/>
                <w:b/>
                <w:spacing w:val="4"/>
              </w:rPr>
              <w:t>(viii)</w:t>
            </w:r>
            <w:r>
              <w:rPr>
                <w:rFonts w:ascii="Verdana" w:eastAsia="Calibri" w:hAnsi="Verdana" w:cs="Arial"/>
                <w:spacing w:val="4"/>
              </w:rPr>
              <w:t xml:space="preserve"> cônjuges ou companheiro e filhos menores das pessoas mencionadas nos itens “ii” a “v”; e </w:t>
            </w:r>
            <w:r>
              <w:rPr>
                <w:rFonts w:ascii="Verdana" w:eastAsia="Calibri" w:hAnsi="Verdana" w:cs="Arial"/>
                <w:b/>
                <w:spacing w:val="4"/>
              </w:rPr>
              <w:t>(ix)</w:t>
            </w:r>
            <w:r>
              <w:rPr>
                <w:rFonts w:ascii="Verdana" w:eastAsia="Calibri" w:hAnsi="Verdana" w:cs="Arial"/>
                <w:spacing w:val="4"/>
              </w:rPr>
              <w:t xml:space="preserve"> clubes e fundos de investimento cuja maioria das cotas pertença a pessoas vinculadas, salvo se geridos discricionariamente por terceiros não vinculados, nos termos do artigo 55 da Instrução CVM 400 e do artigo 1º, inciso VI, da Instrução CVM 505.</w:t>
            </w:r>
          </w:p>
          <w:p>
            <w:pPr>
              <w:pStyle w:val="HOMEBRBodyText"/>
              <w:keepLines w:val="0"/>
              <w:widowControl w:val="0"/>
              <w:spacing w:line="300" w:lineRule="exact"/>
              <w:rPr>
                <w:rFonts w:ascii="Verdana" w:eastAsia="Calibri" w:hAnsi="Verdana" w:cs="Arial"/>
                <w:b/>
              </w:rPr>
            </w:pPr>
            <w:r>
              <w:rPr>
                <w:rFonts w:ascii="Verdana" w:eastAsia="Calibri" w:hAnsi="Verdana" w:cs="Arial"/>
                <w:b/>
                <w:spacing w:val="4"/>
              </w:rPr>
              <w:t>Para mais informações sobre a participação de Pessoas Vinculadas na Oferta, veja as seções “Informações Relativas à Emissão, à Oferta e às Debêntures – Características da Oferta – Pessoas Vinculadas” e “Fatores de Risco Relacionados à Oferta e às Debêntures – O investimento nas Debêntures por Investidores da Oferta que sejam Pessoas Vinculadas poderá ter um impacto adverso na liquidez das Debêntures no mercado secundário”, nas páginas [</w:t>
            </w:r>
            <w:r>
              <w:rPr>
                <w:rFonts w:ascii="Verdana" w:eastAsia="Calibri" w:hAnsi="Verdana" w:cs="Arial"/>
                <w:b/>
                <w:spacing w:val="4"/>
              </w:rPr>
              <w:sym w:font="Symbol" w:char="F0B7"/>
            </w:r>
            <w:r>
              <w:rPr>
                <w:rFonts w:ascii="Verdana" w:eastAsia="Calibri" w:hAnsi="Verdana" w:cs="Arial"/>
                <w:b/>
                <w:spacing w:val="4"/>
              </w:rPr>
              <w:t>] e [</w:t>
            </w:r>
            <w:r>
              <w:rPr>
                <w:rFonts w:ascii="Verdana" w:eastAsia="Calibri" w:hAnsi="Verdana" w:cs="Arial"/>
                <w:b/>
                <w:spacing w:val="4"/>
              </w:rPr>
              <w:sym w:font="Symbol" w:char="F0B7"/>
            </w:r>
            <w:r>
              <w:rPr>
                <w:rFonts w:ascii="Verdana" w:eastAsia="Calibri" w:hAnsi="Verdana" w:cs="Arial"/>
                <w:b/>
                <w:spacing w:val="4"/>
              </w:rPr>
              <w:t>], respectivamente, deste Prospecto.</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lastRenderedPageBreak/>
              <w:t>“Plano de Distribuição”</w:t>
            </w:r>
          </w:p>
        </w:tc>
        <w:tc>
          <w:tcPr>
            <w:tcW w:w="3226" w:type="pct"/>
            <w:shd w:val="clear" w:color="auto" w:fill="auto"/>
          </w:tcPr>
          <w:p>
            <w:pPr>
              <w:pStyle w:val="HOMEBRBodyText"/>
              <w:keepLines w:val="0"/>
              <w:widowControl w:val="0"/>
              <w:spacing w:line="300" w:lineRule="exact"/>
              <w:rPr>
                <w:rFonts w:ascii="Verdana" w:eastAsia="Calibri" w:hAnsi="Verdana" w:cs="Arial"/>
                <w:spacing w:val="4"/>
              </w:rPr>
            </w:pPr>
            <w:r>
              <w:rPr>
                <w:rFonts w:ascii="Verdana" w:eastAsia="Calibri" w:hAnsi="Verdana" w:cs="Arial"/>
              </w:rPr>
              <w:t xml:space="preserve">Plano de distribuição adotado em conformidade com o disposto no artigo 33, parágrafo 3º, da Instrução CVM 400, o qual leva em consideração as relações com clientes e outras considerações de natureza comercial </w:t>
            </w:r>
            <w:r>
              <w:rPr>
                <w:rFonts w:ascii="Verdana" w:eastAsia="Calibri" w:hAnsi="Verdana" w:cs="Arial"/>
              </w:rPr>
              <w:lastRenderedPageBreak/>
              <w:t xml:space="preserve">ou estratégica dos Coordenadores e da Emissora, os quais assegurarão: (i) que o tratamento conferido aos investidores seja justo e equitativo; (ii) a adequação do investimento ao perfil de risco do Público-Alvo da Oferta; e (iii) que os representantes das Instituições Participantes da Oferta recebam previamente exemplares (a) deste Prospecto, e (b) do Prospecto Definitivo, para leitura obrigatória e que suas dúvidas possam ser esclarecidas por pessoas designadas pelos Coordenadores. </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lastRenderedPageBreak/>
              <w:t>“Portaria 009/2012”</w:t>
            </w:r>
          </w:p>
        </w:tc>
        <w:tc>
          <w:tcPr>
            <w:tcW w:w="3226" w:type="pct"/>
            <w:shd w:val="clear" w:color="auto" w:fill="auto"/>
          </w:tcPr>
          <w:p>
            <w:pPr>
              <w:pStyle w:val="HOMEBRBodyText"/>
              <w:spacing w:line="300" w:lineRule="exact"/>
              <w:rPr>
                <w:rFonts w:ascii="Verdana" w:eastAsia="Calibri" w:hAnsi="Verdana" w:cs="Arial"/>
              </w:rPr>
            </w:pPr>
            <w:r>
              <w:rPr>
                <w:rFonts w:ascii="Verdana" w:eastAsia="MS Mincho" w:hAnsi="Verdana" w:cs="Arial"/>
                <w:bCs/>
                <w:color w:val="000000"/>
                <w:spacing w:val="-2"/>
                <w:lang w:eastAsia="pt-BR"/>
              </w:rPr>
              <w:t>Portaria GM do Ministério da Infraestrutura nº 009, de 27 de janeiro de 2012</w:t>
            </w:r>
            <w:r>
              <w:rPr>
                <w:rFonts w:ascii="Verdana" w:eastAsia="Calibri" w:hAnsi="Verdana" w:cs="Arial"/>
              </w:rPr>
              <w:t>, que estabelece o procedimento de aprovação dos projetos de investimento considerados prioritários em infraestrutura no setor de transportes.</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“Portaria do Ministério da Infraestrutura”</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 xml:space="preserve">Portaria do </w:t>
            </w:r>
            <w:r>
              <w:rPr>
                <w:rFonts w:ascii="Verdana" w:eastAsia="MS Mincho" w:hAnsi="Verdana" w:cs="Arial"/>
                <w:bCs/>
                <w:color w:val="000000"/>
                <w:spacing w:val="-2"/>
                <w:lang w:eastAsia="pt-BR"/>
              </w:rPr>
              <w:t>Ministério da Infraestrutura</w:t>
            </w:r>
            <w:r>
              <w:rPr>
                <w:rFonts w:ascii="Verdana" w:eastAsia="Calibri" w:hAnsi="Verdana" w:cs="Arial"/>
              </w:rPr>
              <w:t xml:space="preserve"> nº [</w:t>
            </w:r>
            <w:r>
              <w:rPr>
                <w:rFonts w:ascii="Verdana" w:eastAsia="Calibri" w:hAnsi="Verdana" w:cs="Arial"/>
              </w:rPr>
              <w:sym w:font="Symbol" w:char="F0B7"/>
            </w:r>
            <w:r>
              <w:rPr>
                <w:rFonts w:ascii="Verdana" w:eastAsia="Calibri" w:hAnsi="Verdana" w:cs="Arial"/>
              </w:rPr>
              <w:t>], de [</w:t>
            </w:r>
            <w:r>
              <w:rPr>
                <w:rFonts w:ascii="Verdana" w:eastAsia="Calibri" w:hAnsi="Verdana" w:cs="Arial"/>
              </w:rPr>
              <w:sym w:font="Symbol" w:char="F0B7"/>
            </w:r>
            <w:r>
              <w:rPr>
                <w:rFonts w:ascii="Verdana" w:eastAsia="Calibri" w:hAnsi="Verdana" w:cs="Arial"/>
              </w:rPr>
              <w:t>] de [</w:t>
            </w:r>
            <w:r>
              <w:rPr>
                <w:rFonts w:ascii="Verdana" w:eastAsia="Calibri" w:hAnsi="Verdana" w:cs="Arial"/>
              </w:rPr>
              <w:sym w:font="Symbol" w:char="F0B7"/>
            </w:r>
            <w:r>
              <w:rPr>
                <w:rFonts w:ascii="Verdana" w:eastAsia="Calibri" w:hAnsi="Verdana" w:cs="Arial"/>
              </w:rPr>
              <w:t>] de 2019, publicada no Diário Oficial da União em [</w:t>
            </w:r>
            <w:r>
              <w:rPr>
                <w:rFonts w:ascii="Verdana" w:eastAsia="Calibri" w:hAnsi="Verdana" w:cs="Arial"/>
              </w:rPr>
              <w:sym w:font="Symbol" w:char="F0B7"/>
            </w:r>
            <w:r>
              <w:rPr>
                <w:rFonts w:ascii="Verdana" w:eastAsia="Calibri" w:hAnsi="Verdana" w:cs="Arial"/>
              </w:rPr>
              <w:t>] de [</w:t>
            </w:r>
            <w:r>
              <w:rPr>
                <w:rFonts w:ascii="Verdana" w:eastAsia="Calibri" w:hAnsi="Verdana" w:cs="Arial"/>
              </w:rPr>
              <w:sym w:font="Symbol" w:char="F0B7"/>
            </w:r>
            <w:r>
              <w:rPr>
                <w:rFonts w:ascii="Verdana" w:eastAsia="Calibri" w:hAnsi="Verdana" w:cs="Arial"/>
              </w:rPr>
              <w:t>] de 2019. A Portaria do Ministério da Infraestrutura encontra-se anexa ao presente Prospecto na forma do Anexo G.</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“Prazo de Colocação”</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hAnsi="Verdana" w:cs="Arial"/>
              </w:rPr>
              <w:t>Prazo de até 5 Dias Úteis após a data de divulgação do Anúncio de Início, desde que tenham sido cumpridas as condições precedentes elencadas no Contrato de Distribuição.</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“Preço de Subscrição”</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eastAsia="Calibri" w:hAnsi="Verdana" w:cs="Arial"/>
              </w:rPr>
              <w:t>Preço de subscrição de cada uma das Debêntures, o qual corresponderá ao Valor Nominal Unitário ou</w:t>
            </w:r>
            <w:r>
              <w:rPr>
                <w:rFonts w:ascii="Verdana" w:eastAsia="Calibri" w:hAnsi="Verdana" w:cs="Arial"/>
                <w:iCs/>
              </w:rPr>
              <w:t>, observado o disposto no item “Forma de Subscrição e Integralização” na seção “Informações Relativas à Emissão, à Oferta e às Debêntures” deste Prospecto,</w:t>
            </w:r>
            <w:r>
              <w:rPr>
                <w:rFonts w:ascii="Verdana" w:eastAsia="Calibri" w:hAnsi="Verdana" w:cs="Arial"/>
              </w:rPr>
              <w:t xml:space="preserve"> ao Valor Nominal Atualizado </w:t>
            </w:r>
            <w:r>
              <w:rPr>
                <w:rFonts w:ascii="Verdana" w:eastAsia="Calibri" w:hAnsi="Verdana" w:cs="Arial"/>
                <w:iCs/>
              </w:rPr>
              <w:t>acrescido dos Juros Remuneratórios aplicáveis às Debêntures, desde a Primeira Data de Integralização</w:t>
            </w:r>
            <w:r>
              <w:rPr>
                <w:rFonts w:ascii="Verdana" w:eastAsia="Calibri" w:hAnsi="Verdana" w:cs="Arial"/>
              </w:rPr>
              <w:t>, utilizando-se oito casas decimais, sem arredondamento. Em qualquer hipótese, o Preço de Subscrição poderá ser acrescido de ágio ou deságio, utilizando-se 8 (oito) casas decimais, sem arredondamento, sendo que, caso aplicável, o ágio ou deságio, conforme o caso, será o mesmo para todas as Debêntures.</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 xml:space="preserve">“Primeira Data de </w:t>
            </w:r>
            <w:r>
              <w:rPr>
                <w:rFonts w:ascii="Verdana" w:eastAsia="Calibri" w:hAnsi="Verdana" w:cs="Arial"/>
                <w:b/>
              </w:rPr>
              <w:lastRenderedPageBreak/>
              <w:t>Integralização”</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hAnsi="Verdana" w:cs="Arial"/>
                <w:iCs/>
              </w:rPr>
              <w:lastRenderedPageBreak/>
              <w:t>A</w:t>
            </w:r>
            <w:r>
              <w:rPr>
                <w:rFonts w:ascii="Verdana" w:hAnsi="Verdana" w:cs="Arial"/>
              </w:rPr>
              <w:t xml:space="preserve"> data em que efetivamente ocorrer a primeira </w:t>
            </w:r>
            <w:r>
              <w:rPr>
                <w:rFonts w:ascii="Verdana" w:hAnsi="Verdana" w:cs="Arial"/>
              </w:rPr>
              <w:lastRenderedPageBreak/>
              <w:t>subscrição e integralização de quaisquer das Debêntures.</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lastRenderedPageBreak/>
              <w:t xml:space="preserve">“Procedimento de Coleta de Intenções de Investimentos” ou “Procedimento de </w:t>
            </w:r>
            <w:r>
              <w:rPr>
                <w:rFonts w:ascii="Verdana" w:eastAsia="Calibri" w:hAnsi="Verdana" w:cs="Arial"/>
                <w:b/>
                <w:i/>
              </w:rPr>
              <w:t>Bookbuilding”</w:t>
            </w:r>
          </w:p>
        </w:tc>
        <w:tc>
          <w:tcPr>
            <w:tcW w:w="3226" w:type="pct"/>
            <w:shd w:val="clear" w:color="auto" w:fill="auto"/>
          </w:tcPr>
          <w:p>
            <w:pPr>
              <w:pStyle w:val="HOMEBRBodyText"/>
              <w:keepLines w:val="0"/>
              <w:widowControl w:val="0"/>
              <w:spacing w:line="300" w:lineRule="exact"/>
              <w:rPr>
                <w:rFonts w:ascii="Verdana" w:hAnsi="Verdana" w:cs="Arial"/>
                <w:iCs/>
              </w:rPr>
            </w:pPr>
            <w:r>
              <w:rPr>
                <w:rFonts w:ascii="Verdana" w:hAnsi="Verdana" w:cs="Arial"/>
              </w:rPr>
              <w:t>Procedimento de coleta de intenções de investimento, nos termos dos parágrafos 1º e 2º do artigo 23 e do artigo 44 da Instrução CVM 400, com recebimento de reservas, sem lotes mínimo ou máximo, para verificação da demanda pelas Debêntures em diferentes níveis de taxa de juros, de forma a definir, de comum acordo com a Emissora: (i) a taxa final dos Juros Remuneratórios; (ii) a alocação das Debêntures entre os Investidores da Oferta; e (iii) a colocação, ou não, das Debêntures Adicionais.</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“Projeto”</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hAnsi="Verdana" w:cs="Arial"/>
              </w:rPr>
              <w:t>As características do Projeto, bem como todas as informações necessárias encontram-se na seção “Destinação dos Recursos”, na página [</w:t>
            </w:r>
            <w:r>
              <w:rPr>
                <w:rFonts w:ascii="Verdana" w:hAnsi="Verdana" w:cs="Arial"/>
              </w:rPr>
              <w:sym w:font="Symbol" w:char="F0B7"/>
            </w:r>
            <w:r>
              <w:rPr>
                <w:rFonts w:ascii="Verdana" w:hAnsi="Verdana" w:cs="Arial"/>
              </w:rPr>
              <w:t xml:space="preserve">] deste Prospecto. </w:t>
            </w:r>
            <w:r>
              <w:rPr>
                <w:rFonts w:ascii="Verdana" w:hAnsi="Verdana" w:cs="Arial"/>
                <w:b/>
              </w:rPr>
              <w:t>Para mais informações sobre o Projeto e a destinação dos recursos das Debêntures, veja a seção “Destinação dos Recursos”, na página [</w:t>
            </w:r>
            <w:r>
              <w:rPr>
                <w:rFonts w:ascii="Verdana" w:hAnsi="Verdana" w:cs="Arial"/>
                <w:b/>
              </w:rPr>
              <w:sym w:font="Symbol" w:char="F0B7"/>
            </w:r>
            <w:r>
              <w:rPr>
                <w:rFonts w:ascii="Verdana" w:hAnsi="Verdana" w:cs="Arial"/>
                <w:b/>
              </w:rPr>
              <w:t>] deste Prospecto.</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 xml:space="preserve">“Prospecto” ou “Prospecto Preliminar” </w:t>
            </w:r>
          </w:p>
        </w:tc>
        <w:tc>
          <w:tcPr>
            <w:tcW w:w="3226" w:type="pct"/>
            <w:shd w:val="clear" w:color="auto" w:fill="auto"/>
          </w:tcPr>
          <w:p>
            <w:pPr>
              <w:pStyle w:val="HOMEBRBodyText"/>
              <w:keepLines w:val="0"/>
              <w:widowControl w:val="0"/>
              <w:spacing w:line="300" w:lineRule="exact"/>
              <w:rPr>
                <w:rFonts w:ascii="Verdana" w:eastAsia="Calibri" w:hAnsi="Verdana" w:cs="Arial"/>
                <w:b/>
              </w:rPr>
            </w:pPr>
            <w:r>
              <w:rPr>
                <w:rFonts w:ascii="Verdana" w:eastAsia="Calibri" w:hAnsi="Verdana" w:cs="Arial"/>
              </w:rPr>
              <w:t>Este “Prospecto Preliminar da Oferta Pública de Distribuição de Debêntures Simples, Não Conversíveis em Ações, da Espécie Quirografária, Série Única, da 13ª (décima terceira) Emissão da Rumo S.A” incluindo seus anexos e documentos a ele incorporados por referência.</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“Prospecto Definitivo”</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O “Prospecto Definitivo da Oferta Pública de Distribuição de Debêntures Simples, Não Conversíveis em Ações, da Espécie Quirografária, Série Única, da 13ª (décima terceira) Emissão da Rumo S.A”, incluindo seus anexos e documentos a ele incorporados por referência.</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“Prospectos”</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hAnsi="Verdana" w:cs="Arial"/>
              </w:rPr>
              <w:t>Este Prospecto e o Prospecto Definitivo, considerados em conjunto.</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“Público-Alvo”</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eastAsia="Calibri" w:hAnsi="Verdana" w:cs="Arial"/>
              </w:rPr>
              <w:t>O público-alvo da Oferta, que é composto pelos Investidores da Oferta, levando-se sempre em conta o perfil de risco dos seus destinatários.</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“PUMA”</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PUMA Trading System Plataforma Unificada de Multi Ativos da B3, administrada e operacionalizada pela B3.</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“RCA da Emissão”</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 xml:space="preserve">Reunião do Conselho de Administração da Emissora </w:t>
            </w:r>
            <w:r>
              <w:rPr>
                <w:rFonts w:ascii="Verdana" w:eastAsia="Calibri" w:hAnsi="Verdana" w:cs="Arial"/>
              </w:rPr>
              <w:lastRenderedPageBreak/>
              <w:t>realizada em [</w:t>
            </w:r>
            <w:r>
              <w:rPr>
                <w:rFonts w:ascii="Verdana" w:eastAsia="Calibri" w:hAnsi="Verdana" w:cs="Arial"/>
              </w:rPr>
              <w:sym w:font="Symbol" w:char="F0B7"/>
            </w:r>
            <w:r>
              <w:rPr>
                <w:rFonts w:ascii="Verdana" w:eastAsia="Calibri" w:hAnsi="Verdana" w:cs="Arial"/>
              </w:rPr>
              <w:t>] de [</w:t>
            </w:r>
            <w:r>
              <w:rPr>
                <w:rFonts w:ascii="Verdana" w:eastAsia="Calibri" w:hAnsi="Verdana" w:cs="Arial"/>
              </w:rPr>
              <w:sym w:font="Symbol" w:char="F0B7"/>
            </w:r>
            <w:r>
              <w:rPr>
                <w:rFonts w:ascii="Verdana" w:eastAsia="Calibri" w:hAnsi="Verdana" w:cs="Arial"/>
              </w:rPr>
              <w:t xml:space="preserve">] de 2019. </w:t>
            </w:r>
            <w:r>
              <w:rPr>
                <w:rFonts w:ascii="Verdana" w:hAnsi="Verdana" w:cs="Arial"/>
              </w:rPr>
              <w:t>A cópia da ata da RCA da Emissão, acompanhada do seu comprovante de protocolo na JUCEPAR, encontra-se anexa ao presente Prospecto na forma do Anexo D.</w:t>
            </w:r>
            <w:r>
              <w:rPr>
                <w:rFonts w:ascii="Verdana" w:eastAsia="Calibri" w:hAnsi="Verdana" w:cs="Arial"/>
              </w:rPr>
              <w:t xml:space="preserve"> </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lastRenderedPageBreak/>
              <w:t xml:space="preserve">“Real”, “reais” ou “R$” </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 xml:space="preserve">Moeda oficial corrente no Brasil. </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“Resgate Obrigatório”</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hAnsi="Verdana" w:cs="Arial"/>
              </w:rPr>
              <w:t>Resgate obrigatório das Debêntures, que deverá ser realizado pela Emissora nas hipóteses previstas na seção “Informações Relacionadas à Emissão, à Oferta e às Debêntures - Características da Emissão e das Debêntures - Resgate Obrigatório” na página [</w:t>
            </w:r>
            <w:r>
              <w:rPr>
                <w:rFonts w:ascii="Verdana" w:hAnsi="Verdana" w:cs="Arial"/>
              </w:rPr>
              <w:sym w:font="Symbol" w:char="F0B7"/>
            </w:r>
            <w:r>
              <w:rPr>
                <w:rFonts w:ascii="Verdana" w:hAnsi="Verdana" w:cs="Arial"/>
              </w:rPr>
              <w:t>] deste Prospecto Preliminar.</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“Resolução CMN 3.947”</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eastAsia="Calibri" w:hAnsi="Verdana" w:cs="Arial"/>
              </w:rPr>
              <w:t>Resolução do CMN nº 3.947, de 27 de janeiro de 2011.</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“Resolução CMN 4.373”</w:t>
            </w:r>
          </w:p>
        </w:tc>
        <w:tc>
          <w:tcPr>
            <w:tcW w:w="3226" w:type="pct"/>
            <w:shd w:val="clear" w:color="auto" w:fill="auto"/>
          </w:tcPr>
          <w:p>
            <w:pPr>
              <w:pStyle w:val="HOMEBRBodyText"/>
              <w:keepLines w:val="0"/>
              <w:widowControl w:val="0"/>
              <w:spacing w:line="300" w:lineRule="exact"/>
              <w:rPr>
                <w:rFonts w:ascii="Verdana" w:eastAsia="Calibri" w:hAnsi="Verdana" w:cs="Arial"/>
              </w:rPr>
            </w:pPr>
            <w:bookmarkStart w:id="3" w:name="_Hlk492934199"/>
            <w:r>
              <w:rPr>
                <w:rFonts w:ascii="Verdana" w:eastAsia="Calibri" w:hAnsi="Verdana" w:cs="Arial"/>
              </w:rPr>
              <w:t>Resolução do CMN nº 4.373, de 29 de setembro de 2014</w:t>
            </w:r>
            <w:bookmarkEnd w:id="3"/>
            <w:r>
              <w:rPr>
                <w:rFonts w:ascii="Verdana" w:eastAsia="Calibri" w:hAnsi="Verdana" w:cs="Arial"/>
              </w:rPr>
              <w:t>.</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“Rumo Malha Central”</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Significa a Rumo Malha Central S.A., controlada da Emissora.</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“Santander”</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Banco Santander (Brasil) S.A.</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“SELIC”</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Sistema Especial de Liquidação e Custódia.</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“Valor Nominal Atualizado”</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hAnsi="Verdana" w:cs="Arial"/>
              </w:rPr>
              <w:t xml:space="preserve">O Valor Nominal Unitário, atualizado monetariamente a partir da Primeira Data de Integralização até a integral liquidação das Debêntures, pela variação do IPCA, calculada de forma exponencial e cumulativa </w:t>
            </w:r>
            <w:r>
              <w:rPr>
                <w:rFonts w:ascii="Verdana" w:hAnsi="Verdana" w:cs="Arial"/>
                <w:i/>
              </w:rPr>
              <w:t>pro rata temporis</w:t>
            </w:r>
            <w:r>
              <w:rPr>
                <w:rFonts w:ascii="Verdana" w:hAnsi="Verdana" w:cs="Arial"/>
              </w:rPr>
              <w:t xml:space="preserve"> desde a Primeira Data de Integralização até a data de seu efetivo pagamento, sendo que o produto da Atualização Monetária será incorporado automaticamente ao Valor Nominal Unitário, segundo a fórmula descrita na Cláusula 5.6.1 da Escritura e na página [</w:t>
            </w:r>
            <w:r>
              <w:rPr>
                <w:rFonts w:ascii="Verdana" w:hAnsi="Verdana" w:cs="Arial"/>
              </w:rPr>
              <w:sym w:font="Symbol" w:char="F0B7"/>
            </w:r>
            <w:r>
              <w:rPr>
                <w:rFonts w:ascii="Verdana" w:hAnsi="Verdana" w:cs="Arial"/>
              </w:rPr>
              <w:t xml:space="preserve">] deste Prospecto. </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“Valor Nominal Unitário”</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eastAsia="Calibri" w:hAnsi="Verdana" w:cs="Arial"/>
              </w:rPr>
              <w:t>R$1.000,00, na Data de Emissão.</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“Valor do Resgate Obrigatório”</w:t>
            </w:r>
          </w:p>
        </w:tc>
        <w:tc>
          <w:tcPr>
            <w:tcW w:w="3226" w:type="pct"/>
            <w:shd w:val="clear" w:color="auto" w:fill="auto"/>
          </w:tcPr>
          <w:p>
            <w:pPr>
              <w:pStyle w:val="HOMEBRBodyText"/>
              <w:keepLines w:val="0"/>
              <w:widowControl w:val="0"/>
              <w:spacing w:line="300" w:lineRule="exact"/>
              <w:rPr>
                <w:rFonts w:ascii="Verdana" w:hAnsi="Verdana" w:cs="Arial"/>
              </w:rPr>
            </w:pPr>
            <w:r>
              <w:rPr>
                <w:rFonts w:ascii="Verdana" w:hAnsi="Verdana" w:cs="Arial"/>
              </w:rPr>
              <w:t xml:space="preserve">Valor que deverá ser pago pela Emissora em caso de Resgate Obrigatório, correspondente ao </w:t>
            </w:r>
            <w:r>
              <w:rPr>
                <w:rFonts w:ascii="Verdana" w:hAnsi="Verdana" w:cs="Arial"/>
                <w:bCs/>
                <w:spacing w:val="-2"/>
              </w:rPr>
              <w:t xml:space="preserve">Valor Nominal Atualizado, acrescido dos Juros Remuneratórios, calculados </w:t>
            </w:r>
            <w:r>
              <w:rPr>
                <w:rFonts w:ascii="Verdana" w:hAnsi="Verdana" w:cs="Arial"/>
                <w:bCs/>
                <w:i/>
                <w:iCs/>
                <w:spacing w:val="-2"/>
              </w:rPr>
              <w:t>pro rata temporis</w:t>
            </w:r>
            <w:r>
              <w:rPr>
                <w:rFonts w:ascii="Verdana" w:hAnsi="Verdana" w:cs="Arial"/>
                <w:bCs/>
                <w:spacing w:val="-2"/>
              </w:rPr>
              <w:t xml:space="preserve">, desde a Primeira Data de Integralização, ou desde a Data de Pagamento dos Juros Remuneratórios imediatamente anterior, conforme o caso, até a Data do Resgate Obrigatório, bem como </w:t>
            </w:r>
            <w:r>
              <w:rPr>
                <w:rFonts w:ascii="Verdana" w:hAnsi="Verdana" w:cs="Arial"/>
                <w:bCs/>
                <w:spacing w:val="-2"/>
              </w:rPr>
              <w:lastRenderedPageBreak/>
              <w:t>Encargos Moratórios, se houver, e quaisquer outros valores eventualmente devidos pela Emissora, sem pagamento de qualquer prêmio</w:t>
            </w:r>
            <w:r>
              <w:rPr>
                <w:rFonts w:ascii="Verdana" w:hAnsi="Verdana" w:cs="Arial"/>
              </w:rPr>
              <w:t>.</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lastRenderedPageBreak/>
              <w:t>“Valor Total da Emissão”</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hAnsi="Verdana" w:cs="Arial"/>
              </w:rPr>
              <w:t>O valor total da Emissão será de R$1.000.000.000,00, na Data de Emissão, sem considerar as Debêntures Adicionais.</w:t>
            </w:r>
          </w:p>
        </w:tc>
      </w:tr>
      <w:tr>
        <w:tc>
          <w:tcPr>
            <w:tcW w:w="1774"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“XP Investimentos”</w:t>
            </w:r>
          </w:p>
        </w:tc>
        <w:tc>
          <w:tcPr>
            <w:tcW w:w="3226" w:type="pct"/>
            <w:shd w:val="clear" w:color="auto" w:fill="auto"/>
          </w:tcPr>
          <w:p>
            <w:pPr>
              <w:pStyle w:val="HOMEBRBodyText"/>
              <w:keepLines w:val="0"/>
              <w:widowControl w:val="0"/>
              <w:spacing w:line="300" w:lineRule="exact"/>
              <w:rPr>
                <w:rFonts w:ascii="Verdana" w:eastAsia="Calibri" w:hAnsi="Verdana" w:cs="Arial"/>
              </w:rPr>
            </w:pPr>
            <w:r>
              <w:rPr>
                <w:rFonts w:ascii="Verdana" w:hAnsi="Verdana" w:cs="Arial"/>
                <w:lang w:val="pt-PT"/>
              </w:rPr>
              <w:t>XP Investimentos Corretora De Câmbio, Títulos e Valores Mobiliários S.A., instituição financeira integrante do sistema de distribuição de valores mobiliários, constituída sob a forma de sociedade por ações, com escritório na Cidade de São Paulo, Estado de São Paulo, na Avenida Juscelino Kubitschek, nº 1.909, Vila Olímpia, inscrita no CNPJ/ME sob o nº 02.332.886/0001-78</w:t>
            </w:r>
            <w:r>
              <w:rPr>
                <w:rFonts w:ascii="Verdana" w:hAnsi="Verdana" w:cs="Arial"/>
              </w:rPr>
              <w:t>.</w:t>
            </w:r>
          </w:p>
        </w:tc>
      </w:tr>
    </w:tbl>
    <w:p>
      <w:pPr>
        <w:pStyle w:val="Ttulo1"/>
        <w:keepNext w:val="0"/>
        <w:pageBreakBefore w:val="0"/>
        <w:widowControl w:val="0"/>
        <w:spacing w:line="300" w:lineRule="exact"/>
        <w:rPr>
          <w:rFonts w:ascii="Verdana" w:hAnsi="Verdana"/>
          <w:lang w:val="pt-BR"/>
        </w:rPr>
      </w:pPr>
      <w:bookmarkStart w:id="4" w:name="_Toc428306441"/>
      <w:bookmarkStart w:id="5" w:name="_Toc484715945"/>
    </w:p>
    <w:p>
      <w:pPr>
        <w:pStyle w:val="Ttulo1"/>
        <w:keepNext w:val="0"/>
        <w:pageBreakBefore w:val="0"/>
        <w:widowControl w:val="0"/>
        <w:spacing w:line="300" w:lineRule="exact"/>
        <w:rPr>
          <w:rFonts w:ascii="Verdana" w:hAnsi="Verdana"/>
          <w:lang w:val="pt-BR"/>
        </w:rPr>
      </w:pPr>
    </w:p>
    <w:p>
      <w:pPr>
        <w:spacing w:after="0" w:line="300" w:lineRule="exact"/>
        <w:jc w:val="left"/>
        <w:rPr>
          <w:rFonts w:ascii="Verdana" w:hAnsi="Verdana" w:cs="Arial"/>
          <w:b/>
          <w:bCs/>
          <w:caps/>
          <w:kern w:val="32"/>
          <w:szCs w:val="32"/>
          <w:lang w:val="pt-BR"/>
        </w:rPr>
      </w:pPr>
      <w:r>
        <w:rPr>
          <w:rFonts w:ascii="Verdana" w:hAnsi="Verdana" w:cs="Arial"/>
          <w:lang w:val="pt-BR"/>
        </w:rPr>
        <w:br w:type="page"/>
      </w:r>
    </w:p>
    <w:p>
      <w:pPr>
        <w:pStyle w:val="Ttulo1"/>
        <w:keepNext w:val="0"/>
        <w:pageBreakBefore w:val="0"/>
        <w:widowControl w:val="0"/>
        <w:spacing w:line="300" w:lineRule="exact"/>
        <w:rPr>
          <w:rFonts w:ascii="Verdana" w:hAnsi="Verdana"/>
        </w:rPr>
      </w:pPr>
      <w:r>
        <w:rPr>
          <w:rFonts w:ascii="Verdana" w:hAnsi="Verdana"/>
        </w:rPr>
        <w:lastRenderedPageBreak/>
        <w:t>INFORMAÇÕES CADASTRAIS DA EMISSORA</w:t>
      </w:r>
      <w:bookmarkEnd w:id="4"/>
      <w:bookmarkEnd w:id="5"/>
    </w:p>
    <w:p>
      <w:pPr>
        <w:spacing w:line="300" w:lineRule="exact"/>
        <w:rPr>
          <w:rFonts w:ascii="Verdana" w:hAnsi="Verdana" w:cs="Arial"/>
        </w:rPr>
      </w:pPr>
    </w:p>
    <w:tbl>
      <w:tblPr>
        <w:tblW w:w="5000" w:type="pct"/>
        <w:tblLayout w:type="fixed"/>
        <w:tblCellMar>
          <w:left w:w="72" w:type="dxa"/>
          <w:right w:w="72" w:type="dxa"/>
        </w:tblCellMar>
        <w:tblLook w:val="01E0" w:firstRow="1" w:lastRow="1" w:firstColumn="1" w:lastColumn="1" w:noHBand="0" w:noVBand="0"/>
      </w:tblPr>
      <w:tblGrid>
        <w:gridCol w:w="3314"/>
        <w:gridCol w:w="5524"/>
      </w:tblGrid>
      <w:tr>
        <w:tc>
          <w:tcPr>
            <w:tcW w:w="1875"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Identificação</w:t>
            </w:r>
          </w:p>
        </w:tc>
        <w:tc>
          <w:tcPr>
            <w:tcW w:w="3125" w:type="pct"/>
            <w:shd w:val="clear" w:color="auto" w:fill="auto"/>
          </w:tcPr>
          <w:p>
            <w:pPr>
              <w:pStyle w:val="HOMEBRBodyText"/>
              <w:keepLines w:val="0"/>
              <w:widowControl w:val="0"/>
              <w:spacing w:line="300" w:lineRule="exact"/>
              <w:rPr>
                <w:rFonts w:ascii="Verdana" w:hAnsi="Verdana" w:cs="Arial"/>
                <w:bCs/>
                <w:lang w:eastAsia="zh-CN"/>
              </w:rPr>
            </w:pPr>
            <w:r>
              <w:rPr>
                <w:rFonts w:ascii="Verdana" w:hAnsi="Verdana" w:cs="Arial"/>
              </w:rPr>
              <w:t>Rumo S.A., sociedade por ações inscrita no CNPJ/ME sob o nº 02.387.241/0001-60 e com seus atos constitutivos arquivados na JUCEPAR, sob o NIRE 41.300.019.886.</w:t>
            </w:r>
          </w:p>
        </w:tc>
      </w:tr>
      <w:tr>
        <w:tc>
          <w:tcPr>
            <w:tcW w:w="1875"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Registro na CVM</w:t>
            </w:r>
          </w:p>
        </w:tc>
        <w:tc>
          <w:tcPr>
            <w:tcW w:w="3125" w:type="pct"/>
            <w:shd w:val="clear" w:color="auto" w:fill="auto"/>
          </w:tcPr>
          <w:p>
            <w:pPr>
              <w:pStyle w:val="HOMEBRBodyText"/>
              <w:keepLines w:val="0"/>
              <w:widowControl w:val="0"/>
              <w:spacing w:line="300" w:lineRule="exact"/>
              <w:rPr>
                <w:rFonts w:ascii="Verdana" w:hAnsi="Verdana" w:cs="Arial"/>
                <w:spacing w:val="2"/>
              </w:rPr>
            </w:pPr>
            <w:r>
              <w:rPr>
                <w:rFonts w:ascii="Verdana" w:hAnsi="Verdana" w:cs="Arial"/>
                <w:spacing w:val="2"/>
              </w:rPr>
              <w:t>Registro nº 1745-0 concedido pela CVM em 2 de julho de 1998.</w:t>
            </w:r>
          </w:p>
        </w:tc>
      </w:tr>
      <w:tr>
        <w:tc>
          <w:tcPr>
            <w:tcW w:w="1875"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Sede</w:t>
            </w:r>
          </w:p>
        </w:tc>
        <w:tc>
          <w:tcPr>
            <w:tcW w:w="3125" w:type="pct"/>
            <w:shd w:val="clear" w:color="auto" w:fill="auto"/>
          </w:tcPr>
          <w:p>
            <w:pPr>
              <w:pStyle w:val="HOMEBRBodyText"/>
              <w:keepLines w:val="0"/>
              <w:widowControl w:val="0"/>
              <w:spacing w:line="300" w:lineRule="exact"/>
              <w:rPr>
                <w:rFonts w:ascii="Verdana" w:hAnsi="Verdana" w:cs="Arial"/>
                <w:spacing w:val="2"/>
              </w:rPr>
            </w:pPr>
            <w:r>
              <w:rPr>
                <w:rFonts w:ascii="Verdana" w:hAnsi="Verdana" w:cs="Arial"/>
                <w:spacing w:val="-4"/>
              </w:rPr>
              <w:t xml:space="preserve">Cidade de Curitiba, Estado do Paraná, na </w:t>
            </w:r>
            <w:r>
              <w:rPr>
                <w:rFonts w:ascii="Verdana" w:hAnsi="Verdana" w:cs="Arial"/>
              </w:rPr>
              <w:t>Rua Emilio Bertolini, nº 100</w:t>
            </w:r>
            <w:r>
              <w:rPr>
                <w:rFonts w:ascii="Verdana" w:hAnsi="Verdana" w:cs="Arial"/>
                <w:spacing w:val="-4"/>
              </w:rPr>
              <w:t xml:space="preserve">, sala 1, Cajuru, CEP </w:t>
            </w:r>
            <w:r>
              <w:rPr>
                <w:rFonts w:ascii="Verdana" w:hAnsi="Verdana" w:cs="Arial"/>
              </w:rPr>
              <w:t>82920-030</w:t>
            </w:r>
            <w:r>
              <w:rPr>
                <w:rFonts w:ascii="Verdana" w:hAnsi="Verdana" w:cs="Arial"/>
                <w:spacing w:val="-4"/>
              </w:rPr>
              <w:t>.</w:t>
            </w:r>
          </w:p>
        </w:tc>
      </w:tr>
      <w:tr>
        <w:tc>
          <w:tcPr>
            <w:tcW w:w="1875"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eastAsia="Calibri" w:hAnsi="Verdana" w:cs="Arial"/>
                <w:b/>
              </w:rPr>
              <w:t>Objeto Social</w:t>
            </w:r>
          </w:p>
        </w:tc>
        <w:tc>
          <w:tcPr>
            <w:tcW w:w="3125" w:type="pct"/>
            <w:shd w:val="clear" w:color="auto" w:fill="auto"/>
          </w:tcPr>
          <w:p>
            <w:pPr>
              <w:pStyle w:val="HOMEBRBodyText"/>
              <w:keepLines w:val="0"/>
              <w:widowControl w:val="0"/>
              <w:spacing w:line="300" w:lineRule="exact"/>
              <w:rPr>
                <w:rFonts w:ascii="Verdana" w:hAnsi="Verdana" w:cs="Arial"/>
              </w:rPr>
            </w:pPr>
            <w:r>
              <w:rPr>
                <w:rFonts w:ascii="Verdana" w:hAnsi="Verdana" w:cs="Arial"/>
                <w:bCs/>
                <w:iCs/>
              </w:rPr>
              <w:t>A Emissora</w:t>
            </w:r>
            <w:r>
              <w:rPr>
                <w:rFonts w:ascii="Verdana" w:hAnsi="Verdana" w:cs="Arial"/>
                <w:iCs/>
              </w:rPr>
              <w:t xml:space="preserve"> tem por objeto social (a)</w:t>
            </w:r>
            <w:r>
              <w:rPr>
                <w:rFonts w:ascii="Verdana" w:hAnsi="Verdana" w:cs="Arial"/>
              </w:rPr>
              <w:t xml:space="preserve"> prestar serviços de transporte de cargas através dos modais ferroviário e rodoviário, dentre outros, isoladamente ou combinados entre si de forma intermodal ou multimodal inclusive atuando como operador de transporte multimodal – OTM; (b) explorar atividades relacionadas, direta ou indiretamente, aos serviços de transporte mencionados na alínea anterior, tais como planejamento logístico, carga, descarga, transbordo, movimentação e armazenagem de mercadorias e contêineres, operação portuária, exploração e administração de entrepostos de armazenagem, armazéns gerais e entrepostos aduaneiros do interior; (c) importar, exportar, comprar, vender, distribuir, arrendar, locar e emprestar contêineres, locomotivas, vagões e outras máquinas, equipamentos e insumos relacionados com as atividades descritas nas alíneas anteriores; (d) realizar operações de comércio, importação, exportação e distribuição de produtos e gêneros alimentícios, em seu estado “in natura”, brutos, beneficiados ou industrializados, bem como o comércio, a importação, a exportação e a distribuição de embalagens e recipientes correlatos para acondicionamento dos mesmos; (e) executar todas as atividades afins, correlatas, acessórias ou complementares às descritas nas alíneas anteriores, além de outras que utilizem como base a estrutura da Companhia; e (f) participar, direta ou indiretamente, de sociedades, consórcios, empreendimentos e outras formas de associação cujo objeto seja relacionado </w:t>
            </w:r>
            <w:r>
              <w:rPr>
                <w:rFonts w:ascii="Verdana" w:hAnsi="Verdana" w:cs="Arial"/>
              </w:rPr>
              <w:lastRenderedPageBreak/>
              <w:t>com qualquer atividades indicadas nas alíneas anteriores.</w:t>
            </w:r>
          </w:p>
        </w:tc>
      </w:tr>
      <w:tr>
        <w:tc>
          <w:tcPr>
            <w:tcW w:w="1875" w:type="pct"/>
            <w:shd w:val="clear" w:color="auto" w:fill="auto"/>
          </w:tcPr>
          <w:p>
            <w:pPr>
              <w:pStyle w:val="HOMEBRBodyText"/>
              <w:keepLines w:val="0"/>
              <w:widowControl w:val="0"/>
              <w:spacing w:line="300" w:lineRule="exact"/>
              <w:jc w:val="left"/>
              <w:rPr>
                <w:rFonts w:ascii="Verdana" w:eastAsia="Calibri" w:hAnsi="Verdana" w:cs="Arial"/>
                <w:b/>
              </w:rPr>
            </w:pPr>
            <w:r>
              <w:rPr>
                <w:rFonts w:ascii="Verdana" w:hAnsi="Verdana" w:cs="Arial"/>
                <w:b/>
              </w:rPr>
              <w:lastRenderedPageBreak/>
              <w:t xml:space="preserve">Diretoria de Relações com Investidores </w:t>
            </w:r>
          </w:p>
        </w:tc>
        <w:tc>
          <w:tcPr>
            <w:tcW w:w="3125" w:type="pct"/>
            <w:shd w:val="clear" w:color="auto" w:fill="auto"/>
          </w:tcPr>
          <w:p>
            <w:pPr>
              <w:pStyle w:val="HOMEBRBodyText"/>
              <w:keepLines w:val="0"/>
              <w:widowControl w:val="0"/>
              <w:spacing w:line="300" w:lineRule="exact"/>
              <w:rPr>
                <w:rFonts w:ascii="Verdana" w:hAnsi="Verdana" w:cs="Arial"/>
                <w:spacing w:val="-4"/>
              </w:rPr>
            </w:pPr>
            <w:r>
              <w:rPr>
                <w:rFonts w:ascii="Verdana" w:hAnsi="Verdana" w:cs="Arial"/>
              </w:rPr>
              <w:t>A Diretoria de Relações com Investidores está localizada na sede da Companhia. O Diretor de Relações com Investidores é o Sr. Ricardo Lewin. O telefone do departamento de relações com investidores é +55 41 2141-7555, o fax é +55 41 3365-6566</w:t>
            </w:r>
            <w:r>
              <w:rPr>
                <w:rFonts w:ascii="Verdana" w:hAnsi="Verdana" w:cs="Arial"/>
                <w:bCs/>
              </w:rPr>
              <w:t xml:space="preserve"> </w:t>
            </w:r>
            <w:r>
              <w:rPr>
                <w:rFonts w:ascii="Verdana" w:hAnsi="Verdana" w:cs="Arial"/>
              </w:rPr>
              <w:t xml:space="preserve">e o e-mail é ir@rumolog.com. </w:t>
            </w:r>
            <w:r>
              <w:rPr>
                <w:rFonts w:ascii="Verdana" w:hAnsi="Verdana" w:cs="Arial"/>
                <w:bCs/>
              </w:rPr>
              <w:t xml:space="preserve">O </w:t>
            </w:r>
            <w:r>
              <w:rPr>
                <w:rFonts w:ascii="Verdana" w:hAnsi="Verdana" w:cs="Arial"/>
                <w:bCs/>
                <w:i/>
              </w:rPr>
              <w:t>website</w:t>
            </w:r>
            <w:r>
              <w:rPr>
                <w:rFonts w:ascii="Verdana" w:hAnsi="Verdana" w:cs="Arial"/>
                <w:bCs/>
              </w:rPr>
              <w:t xml:space="preserve"> é </w:t>
            </w:r>
            <w:hyperlink r:id="rId20" w:history="1">
              <w:r>
                <w:rPr>
                  <w:rStyle w:val="Hyperlink"/>
                  <w:rFonts w:ascii="Verdana" w:hAnsi="Verdana" w:cs="Arial"/>
                </w:rPr>
                <w:t>http://ri.rumolog.com</w:t>
              </w:r>
            </w:hyperlink>
            <w:r>
              <w:rPr>
                <w:rFonts w:ascii="Verdana" w:hAnsi="Verdana" w:cs="Arial"/>
                <w:bCs/>
              </w:rPr>
              <w:t xml:space="preserve">. </w:t>
            </w:r>
          </w:p>
        </w:tc>
      </w:tr>
      <w:tr>
        <w:tc>
          <w:tcPr>
            <w:tcW w:w="1875" w:type="pct"/>
            <w:shd w:val="clear" w:color="auto" w:fill="auto"/>
          </w:tcPr>
          <w:p>
            <w:pPr>
              <w:pStyle w:val="HOMEBRBodyText"/>
              <w:keepLines w:val="0"/>
              <w:widowControl w:val="0"/>
              <w:spacing w:line="300" w:lineRule="exact"/>
              <w:jc w:val="left"/>
              <w:rPr>
                <w:rFonts w:ascii="Verdana" w:hAnsi="Verdana" w:cs="Arial"/>
                <w:b/>
              </w:rPr>
            </w:pPr>
            <w:r>
              <w:rPr>
                <w:rFonts w:ascii="Verdana" w:hAnsi="Verdana" w:cs="Arial"/>
                <w:b/>
              </w:rPr>
              <w:t xml:space="preserve">Escriturador das Ações da Emissora </w:t>
            </w:r>
          </w:p>
        </w:tc>
        <w:tc>
          <w:tcPr>
            <w:tcW w:w="3125" w:type="pct"/>
            <w:shd w:val="clear" w:color="auto" w:fill="auto"/>
          </w:tcPr>
          <w:p>
            <w:pPr>
              <w:pStyle w:val="HOMEBRBodyText"/>
              <w:keepLines w:val="0"/>
              <w:widowControl w:val="0"/>
              <w:spacing w:line="300" w:lineRule="exact"/>
              <w:rPr>
                <w:rFonts w:ascii="Verdana" w:hAnsi="Verdana" w:cs="Arial"/>
                <w:spacing w:val="-2"/>
              </w:rPr>
            </w:pPr>
            <w:r>
              <w:rPr>
                <w:rFonts w:ascii="Verdana" w:hAnsi="Verdana" w:cs="Arial"/>
                <w:spacing w:val="-2"/>
              </w:rPr>
              <w:t>Itaú Corretora de Valores S.A.</w:t>
            </w:r>
          </w:p>
        </w:tc>
      </w:tr>
      <w:tr>
        <w:tc>
          <w:tcPr>
            <w:tcW w:w="1875" w:type="pct"/>
            <w:shd w:val="clear" w:color="auto" w:fill="auto"/>
          </w:tcPr>
          <w:p>
            <w:pPr>
              <w:pStyle w:val="HOMEBRBodyText"/>
              <w:keepLines w:val="0"/>
              <w:widowControl w:val="0"/>
              <w:spacing w:line="300" w:lineRule="exact"/>
              <w:jc w:val="left"/>
              <w:rPr>
                <w:rFonts w:ascii="Verdana" w:hAnsi="Verdana" w:cs="Arial"/>
                <w:b/>
              </w:rPr>
            </w:pPr>
            <w:r>
              <w:rPr>
                <w:rFonts w:ascii="Verdana" w:hAnsi="Verdana" w:cs="Arial"/>
                <w:b/>
              </w:rPr>
              <w:t xml:space="preserve">Auditores Independentes </w:t>
            </w:r>
          </w:p>
        </w:tc>
        <w:tc>
          <w:tcPr>
            <w:tcW w:w="3125" w:type="pct"/>
            <w:shd w:val="clear" w:color="auto" w:fill="auto"/>
          </w:tcPr>
          <w:p>
            <w:pPr>
              <w:pStyle w:val="HOMEBRBodyText"/>
              <w:keepLines w:val="0"/>
              <w:widowControl w:val="0"/>
              <w:spacing w:line="300" w:lineRule="exact"/>
              <w:rPr>
                <w:rFonts w:ascii="Verdana" w:hAnsi="Verdana" w:cs="Arial"/>
              </w:rPr>
            </w:pPr>
            <w:r>
              <w:rPr>
                <w:rFonts w:ascii="Verdana" w:hAnsi="Verdana" w:cs="Arial"/>
              </w:rPr>
              <w:t>KPMG Auditores Independentes.</w:t>
            </w:r>
          </w:p>
        </w:tc>
      </w:tr>
      <w:tr>
        <w:tc>
          <w:tcPr>
            <w:tcW w:w="1875" w:type="pct"/>
            <w:shd w:val="clear" w:color="auto" w:fill="auto"/>
          </w:tcPr>
          <w:p>
            <w:pPr>
              <w:pStyle w:val="HOMEBRBodyText"/>
              <w:keepLines w:val="0"/>
              <w:widowControl w:val="0"/>
              <w:spacing w:line="300" w:lineRule="exact"/>
              <w:jc w:val="left"/>
              <w:rPr>
                <w:rFonts w:ascii="Verdana" w:hAnsi="Verdana" w:cs="Arial"/>
                <w:b/>
              </w:rPr>
            </w:pPr>
            <w:r>
              <w:rPr>
                <w:rFonts w:ascii="Verdana" w:hAnsi="Verdana" w:cs="Arial"/>
                <w:b/>
              </w:rPr>
              <w:t>Jornais nos quais a Companhia divulga informações</w:t>
            </w:r>
          </w:p>
        </w:tc>
        <w:tc>
          <w:tcPr>
            <w:tcW w:w="3125" w:type="pct"/>
            <w:shd w:val="clear" w:color="auto" w:fill="auto"/>
          </w:tcPr>
          <w:p>
            <w:pPr>
              <w:pStyle w:val="HOMEBRBodyText"/>
              <w:keepLines w:val="0"/>
              <w:widowControl w:val="0"/>
              <w:spacing w:line="300" w:lineRule="exact"/>
              <w:rPr>
                <w:rFonts w:ascii="Verdana" w:hAnsi="Verdana" w:cs="Arial"/>
              </w:rPr>
            </w:pPr>
            <w:r>
              <w:rPr>
                <w:rFonts w:ascii="Verdana" w:hAnsi="Verdana" w:cs="Arial"/>
              </w:rPr>
              <w:t>As publicações realizadas pela Companhia em decorrência da Lei das Sociedades por Ações são divulgadas no DOEPR e no jornal “Bem Paraná”.</w:t>
            </w:r>
          </w:p>
        </w:tc>
      </w:tr>
      <w:tr>
        <w:tc>
          <w:tcPr>
            <w:tcW w:w="1875" w:type="pct"/>
            <w:shd w:val="clear" w:color="auto" w:fill="auto"/>
          </w:tcPr>
          <w:p>
            <w:pPr>
              <w:pStyle w:val="HOMEBRBodyText"/>
              <w:keepLines w:val="0"/>
              <w:widowControl w:val="0"/>
              <w:spacing w:line="300" w:lineRule="exact"/>
              <w:jc w:val="left"/>
              <w:rPr>
                <w:rFonts w:ascii="Verdana" w:hAnsi="Verdana" w:cs="Arial"/>
                <w:b/>
              </w:rPr>
            </w:pPr>
            <w:r>
              <w:rPr>
                <w:rFonts w:ascii="Verdana" w:hAnsi="Verdana" w:cs="Arial"/>
                <w:b/>
              </w:rPr>
              <w:t>Atendimento aos Debenturistas</w:t>
            </w:r>
          </w:p>
        </w:tc>
        <w:tc>
          <w:tcPr>
            <w:tcW w:w="3125" w:type="pct"/>
            <w:shd w:val="clear" w:color="auto" w:fill="auto"/>
          </w:tcPr>
          <w:p>
            <w:pPr>
              <w:pStyle w:val="HOMEBRBodyText"/>
              <w:keepLines w:val="0"/>
              <w:widowControl w:val="0"/>
              <w:spacing w:line="300" w:lineRule="exact"/>
              <w:rPr>
                <w:rFonts w:ascii="Verdana" w:hAnsi="Verdana" w:cs="Arial"/>
                <w:spacing w:val="-8"/>
              </w:rPr>
            </w:pPr>
            <w:r>
              <w:rPr>
                <w:rFonts w:ascii="Verdana" w:hAnsi="Verdana" w:cs="Arial"/>
                <w:spacing w:val="-8"/>
              </w:rPr>
              <w:t xml:space="preserve">O atendimento aos Debenturistas é feito pela Diretoria de Relações com Investidores, Sr. Ricardo Lewin. O telefone do departamento de relações com investidores é </w:t>
            </w:r>
            <w:r>
              <w:rPr>
                <w:rFonts w:ascii="Verdana" w:hAnsi="Verdana" w:cs="Arial"/>
              </w:rPr>
              <w:t>+55 41 2141-7555</w:t>
            </w:r>
            <w:r>
              <w:rPr>
                <w:rFonts w:ascii="Verdana" w:hAnsi="Verdana" w:cs="Arial"/>
                <w:spacing w:val="-8"/>
              </w:rPr>
              <w:t xml:space="preserve">, o fax é </w:t>
            </w:r>
            <w:r>
              <w:rPr>
                <w:rFonts w:ascii="Verdana" w:hAnsi="Verdana" w:cs="Arial"/>
              </w:rPr>
              <w:t>+55 41 3365-6566</w:t>
            </w:r>
            <w:r>
              <w:rPr>
                <w:rFonts w:ascii="Verdana" w:hAnsi="Verdana" w:cs="Arial"/>
                <w:bCs/>
                <w:spacing w:val="-8"/>
              </w:rPr>
              <w:t xml:space="preserve"> </w:t>
            </w:r>
            <w:r>
              <w:rPr>
                <w:rFonts w:ascii="Verdana" w:hAnsi="Verdana" w:cs="Arial"/>
                <w:spacing w:val="-8"/>
              </w:rPr>
              <w:t xml:space="preserve">e o e-mail é </w:t>
            </w:r>
            <w:r>
              <w:rPr>
                <w:rFonts w:ascii="Verdana" w:hAnsi="Verdana" w:cs="Arial"/>
              </w:rPr>
              <w:t>ir@rumolog.com</w:t>
            </w:r>
            <w:r>
              <w:rPr>
                <w:rFonts w:ascii="Verdana" w:hAnsi="Verdana" w:cs="Arial"/>
                <w:spacing w:val="-8"/>
              </w:rPr>
              <w:t xml:space="preserve">. </w:t>
            </w:r>
            <w:r>
              <w:rPr>
                <w:rFonts w:ascii="Verdana" w:hAnsi="Verdana" w:cs="Arial"/>
                <w:spacing w:val="-8"/>
              </w:rPr>
              <w:br/>
            </w:r>
            <w:r>
              <w:rPr>
                <w:rFonts w:ascii="Verdana" w:hAnsi="Verdana" w:cs="Arial"/>
                <w:bCs/>
              </w:rPr>
              <w:t xml:space="preserve">O website é </w:t>
            </w:r>
            <w:hyperlink r:id="rId21" w:history="1">
              <w:r>
                <w:rPr>
                  <w:rStyle w:val="Hyperlink"/>
                  <w:rFonts w:ascii="Verdana" w:hAnsi="Verdana" w:cs="Arial"/>
                </w:rPr>
                <w:t>http://ri.rumolog.com</w:t>
              </w:r>
            </w:hyperlink>
            <w:r>
              <w:rPr>
                <w:rFonts w:ascii="Verdana" w:hAnsi="Verdana" w:cs="Arial"/>
                <w:bCs/>
              </w:rPr>
              <w:t>.</w:t>
            </w:r>
          </w:p>
        </w:tc>
      </w:tr>
      <w:tr>
        <w:tc>
          <w:tcPr>
            <w:tcW w:w="1875" w:type="pct"/>
            <w:shd w:val="clear" w:color="auto" w:fill="auto"/>
          </w:tcPr>
          <w:p>
            <w:pPr>
              <w:pStyle w:val="HOMEBRBodyText"/>
              <w:keepLines w:val="0"/>
              <w:widowControl w:val="0"/>
              <w:spacing w:line="300" w:lineRule="exact"/>
              <w:jc w:val="left"/>
              <w:rPr>
                <w:rFonts w:ascii="Verdana" w:hAnsi="Verdana" w:cs="Arial"/>
                <w:b/>
              </w:rPr>
            </w:pPr>
            <w:r>
              <w:rPr>
                <w:rFonts w:ascii="Verdana" w:hAnsi="Verdana" w:cs="Arial"/>
              </w:rPr>
              <w:br w:type="page"/>
            </w:r>
            <w:r>
              <w:rPr>
                <w:rFonts w:ascii="Verdana" w:hAnsi="Verdana" w:cs="Arial"/>
                <w:b/>
                <w:i/>
              </w:rPr>
              <w:t>Website</w:t>
            </w:r>
            <w:r>
              <w:rPr>
                <w:rFonts w:ascii="Verdana" w:hAnsi="Verdana" w:cs="Arial"/>
              </w:rPr>
              <w:t xml:space="preserve"> </w:t>
            </w:r>
          </w:p>
        </w:tc>
        <w:tc>
          <w:tcPr>
            <w:tcW w:w="3125" w:type="pct"/>
            <w:shd w:val="clear" w:color="auto" w:fill="auto"/>
          </w:tcPr>
          <w:p>
            <w:pPr>
              <w:pStyle w:val="HOMEBRBodyText"/>
              <w:keepLines w:val="0"/>
              <w:widowControl w:val="0"/>
              <w:spacing w:line="300" w:lineRule="exact"/>
              <w:rPr>
                <w:rFonts w:ascii="Verdana" w:hAnsi="Verdana" w:cs="Arial"/>
              </w:rPr>
            </w:pPr>
            <w:r>
              <w:rPr>
                <w:rStyle w:val="Hyperlink"/>
                <w:rFonts w:ascii="Verdana" w:hAnsi="Verdana" w:cs="Arial"/>
              </w:rPr>
              <w:t>http://ri.rumolog.com</w:t>
            </w:r>
            <w:r>
              <w:rPr>
                <w:rFonts w:ascii="Verdana" w:hAnsi="Verdana" w:cs="Arial"/>
              </w:rPr>
              <w:t xml:space="preserve">. As informações constantes do </w:t>
            </w:r>
            <w:r>
              <w:rPr>
                <w:rFonts w:ascii="Verdana" w:hAnsi="Verdana" w:cs="Arial"/>
                <w:i/>
              </w:rPr>
              <w:t>website</w:t>
            </w:r>
            <w:r>
              <w:rPr>
                <w:rFonts w:ascii="Verdana" w:hAnsi="Verdana" w:cs="Arial"/>
              </w:rPr>
              <w:t xml:space="preserve"> da Companhia não são parte integrante deste Prospecto, nem se encontram incorporadas por referência a este.</w:t>
            </w:r>
          </w:p>
        </w:tc>
      </w:tr>
      <w:tr>
        <w:tc>
          <w:tcPr>
            <w:tcW w:w="1875" w:type="pct"/>
            <w:shd w:val="clear" w:color="auto" w:fill="auto"/>
          </w:tcPr>
          <w:p>
            <w:pPr>
              <w:pStyle w:val="HOMEBRBodyText"/>
              <w:keepLines w:val="0"/>
              <w:widowControl w:val="0"/>
              <w:spacing w:line="300" w:lineRule="exact"/>
              <w:jc w:val="left"/>
              <w:rPr>
                <w:rFonts w:ascii="Verdana" w:hAnsi="Verdana" w:cs="Arial"/>
                <w:b/>
              </w:rPr>
            </w:pPr>
            <w:r>
              <w:rPr>
                <w:rFonts w:ascii="Verdana" w:hAnsi="Verdana" w:cs="Arial"/>
                <w:b/>
              </w:rPr>
              <w:t>Informações Adicionais</w:t>
            </w:r>
          </w:p>
        </w:tc>
        <w:tc>
          <w:tcPr>
            <w:tcW w:w="3125" w:type="pct"/>
            <w:shd w:val="clear" w:color="auto" w:fill="auto"/>
          </w:tcPr>
          <w:p>
            <w:pPr>
              <w:pStyle w:val="HOMEBRBodyText"/>
              <w:keepLines w:val="0"/>
              <w:widowControl w:val="0"/>
              <w:spacing w:line="300" w:lineRule="exact"/>
              <w:rPr>
                <w:rFonts w:ascii="Verdana" w:hAnsi="Verdana" w:cs="Arial"/>
              </w:rPr>
            </w:pPr>
            <w:r>
              <w:rPr>
                <w:rFonts w:ascii="Verdana" w:hAnsi="Verdana" w:cs="Arial"/>
              </w:rPr>
              <w:t xml:space="preserve">Informações adicionais sobre a Emissora, as Debêntures e a Oferta poderão ser obtidas no Formulário de Referência, incorporado por referência a este Prospecto, e junto à diretoria de relações com investidores da Emissora, aos Coordenadores, à CVM, ao Agente Fiduciário, à B3 e à B3 – Segmento Cetip UTVM, nos endereços e </w:t>
            </w:r>
            <w:r>
              <w:rPr>
                <w:rFonts w:ascii="Verdana" w:hAnsi="Verdana" w:cs="Arial"/>
                <w:i/>
              </w:rPr>
              <w:t xml:space="preserve">websites </w:t>
            </w:r>
            <w:r>
              <w:rPr>
                <w:rFonts w:ascii="Verdana" w:hAnsi="Verdana" w:cs="Arial"/>
              </w:rPr>
              <w:t>indicados na seção “Informações Sobre a Emissora, os Coordenadores, os Consultores, o Agente Fiduciário, o Banco Liquidante, o Escriturador e os Auditores” na página [</w:t>
            </w:r>
            <w:r>
              <w:rPr>
                <w:rFonts w:ascii="Verdana" w:hAnsi="Verdana" w:cs="Arial"/>
              </w:rPr>
              <w:sym w:font="Symbol" w:char="F0B7"/>
            </w:r>
            <w:r>
              <w:rPr>
                <w:rFonts w:ascii="Verdana" w:hAnsi="Verdana" w:cs="Arial"/>
              </w:rPr>
              <w:t>] deste Prospecto.</w:t>
            </w:r>
          </w:p>
        </w:tc>
      </w:tr>
    </w:tbl>
    <w:p>
      <w:pPr>
        <w:pStyle w:val="Ttulo1"/>
        <w:spacing w:line="300" w:lineRule="exact"/>
        <w:rPr>
          <w:rFonts w:ascii="Verdana" w:hAnsi="Verdana"/>
          <w:lang w:val="pt-BR"/>
        </w:rPr>
      </w:pPr>
      <w:bookmarkStart w:id="6" w:name="_Toc428306442"/>
      <w:bookmarkStart w:id="7" w:name="_Ref434935192"/>
      <w:bookmarkStart w:id="8" w:name="_Ref434935303"/>
      <w:bookmarkStart w:id="9" w:name="_Ref434935432"/>
      <w:bookmarkStart w:id="10" w:name="_Ref434937060"/>
      <w:bookmarkStart w:id="11" w:name="_Ref459515506"/>
      <w:bookmarkStart w:id="12" w:name="_Ref483328766"/>
      <w:bookmarkStart w:id="13" w:name="_Ref484051533"/>
      <w:bookmarkStart w:id="14" w:name="_Toc484715946"/>
      <w:r>
        <w:rPr>
          <w:rFonts w:ascii="Verdana" w:hAnsi="Verdana"/>
          <w:lang w:val="pt-BR"/>
        </w:rPr>
        <w:lastRenderedPageBreak/>
        <w:t>DOCUMENTOS E INFORMAÇÕES INCORPORADOS A ESTE PROSPECTO POR REFERÊNCIA</w:t>
      </w:r>
      <w:bookmarkEnd w:id="6"/>
      <w:bookmarkEnd w:id="7"/>
      <w:bookmarkEnd w:id="8"/>
      <w:bookmarkEnd w:id="9"/>
      <w:bookmarkEnd w:id="10"/>
      <w:bookmarkEnd w:id="11"/>
      <w:bookmarkEnd w:id="12"/>
      <w:bookmarkEnd w:id="13"/>
      <w:bookmarkEnd w:id="14"/>
    </w:p>
    <w:p>
      <w:pPr>
        <w:pStyle w:val="HOMEBRBodyText"/>
        <w:spacing w:line="300" w:lineRule="exact"/>
        <w:rPr>
          <w:rFonts w:ascii="Verdana" w:eastAsia="Tahoma" w:hAnsi="Verdana" w:cs="Arial"/>
        </w:rPr>
      </w:pPr>
      <w:r>
        <w:rPr>
          <w:rFonts w:ascii="Verdana" w:eastAsia="Tahoma" w:hAnsi="Verdana" w:cs="Arial"/>
        </w:rPr>
        <w:t>Os seguintes documentos, conforme arquivados na CVM, são incorporados por referência a este Prospecto:</w:t>
      </w:r>
    </w:p>
    <w:p>
      <w:pPr>
        <w:pStyle w:val="HOMEBRIdentBullet"/>
        <w:spacing w:line="300" w:lineRule="exact"/>
        <w:ind w:left="567" w:hanging="567"/>
        <w:rPr>
          <w:rFonts w:ascii="Verdana" w:hAnsi="Verdana" w:cs="Arial"/>
          <w:lang w:val="pt-BR"/>
        </w:rPr>
      </w:pPr>
      <w:r>
        <w:rPr>
          <w:rFonts w:ascii="Verdana" w:eastAsia="Tahoma" w:hAnsi="Verdana" w:cs="Arial"/>
          <w:color w:val="000000"/>
          <w:lang w:val="pt-BR"/>
        </w:rPr>
        <w:t>(i)</w:t>
      </w:r>
      <w:r>
        <w:rPr>
          <w:rFonts w:ascii="Verdana" w:eastAsia="Tahoma" w:hAnsi="Verdana" w:cs="Arial"/>
          <w:color w:val="000000"/>
          <w:lang w:val="pt-BR"/>
        </w:rPr>
        <w:tab/>
      </w:r>
      <w:r>
        <w:rPr>
          <w:rFonts w:ascii="Verdana" w:hAnsi="Verdana" w:cs="Arial"/>
          <w:lang w:val="pt-BR"/>
        </w:rPr>
        <w:t xml:space="preserve">o Estatuto Social Consolidado da Companhia, conforme aprovado em Assembleia Geral Extraordinária da Companhia, em 29 de abril de 2019; </w:t>
      </w:r>
    </w:p>
    <w:p>
      <w:pPr>
        <w:pStyle w:val="HOMEBRIdentBullet"/>
        <w:spacing w:line="300" w:lineRule="exact"/>
        <w:ind w:left="567" w:hanging="567"/>
        <w:rPr>
          <w:rFonts w:ascii="Verdana" w:hAnsi="Verdana" w:cs="Arial"/>
          <w:lang w:val="pt-BR"/>
        </w:rPr>
      </w:pPr>
      <w:r>
        <w:rPr>
          <w:rFonts w:ascii="Verdana" w:eastAsia="Tahoma" w:hAnsi="Verdana" w:cs="Arial"/>
          <w:color w:val="000000"/>
          <w:lang w:val="pt-BR"/>
        </w:rPr>
        <w:t>(ii)</w:t>
      </w:r>
      <w:r>
        <w:rPr>
          <w:rFonts w:ascii="Verdana" w:eastAsia="Tahoma" w:hAnsi="Verdana" w:cs="Arial"/>
          <w:color w:val="000000"/>
          <w:lang w:val="pt-BR"/>
        </w:rPr>
        <w:tab/>
      </w:r>
      <w:r>
        <w:rPr>
          <w:rFonts w:ascii="Verdana" w:hAnsi="Verdana" w:cs="Arial"/>
          <w:lang w:val="pt-BR"/>
        </w:rPr>
        <w:t>o Formulário de Referência da Emissora em sua versão [</w:t>
      </w:r>
      <w:r>
        <w:rPr>
          <w:rFonts w:ascii="Verdana" w:hAnsi="Verdana" w:cs="Arial"/>
          <w:lang w:val="pt-BR"/>
        </w:rPr>
        <w:sym w:font="Symbol" w:char="F0B7"/>
      </w:r>
      <w:r>
        <w:rPr>
          <w:rFonts w:ascii="Verdana" w:hAnsi="Verdana" w:cs="Arial"/>
          <w:lang w:val="pt-BR"/>
        </w:rPr>
        <w:t xml:space="preserve">], elaborado nos termos da Instrução CVM 480; </w:t>
      </w:r>
    </w:p>
    <w:p>
      <w:pPr>
        <w:pStyle w:val="HOMEBRBodyText"/>
        <w:tabs>
          <w:tab w:val="left" w:pos="284"/>
        </w:tabs>
        <w:spacing w:line="300" w:lineRule="exact"/>
        <w:ind w:left="567" w:hanging="567"/>
        <w:rPr>
          <w:rFonts w:ascii="Verdana" w:hAnsi="Verdana" w:cs="Arial"/>
          <w:bCs/>
          <w:lang w:eastAsia="zh-CN"/>
        </w:rPr>
      </w:pPr>
      <w:r>
        <w:rPr>
          <w:rFonts w:ascii="Verdana" w:eastAsia="Tahoma" w:hAnsi="Verdana" w:cs="Arial"/>
          <w:color w:val="000000"/>
        </w:rPr>
        <w:t>(iii)</w:t>
      </w:r>
      <w:r>
        <w:rPr>
          <w:rFonts w:ascii="Verdana" w:eastAsia="Tahoma" w:hAnsi="Verdana" w:cs="Arial"/>
          <w:color w:val="000000"/>
        </w:rPr>
        <w:tab/>
      </w:r>
      <w:r>
        <w:rPr>
          <w:rFonts w:ascii="Verdana" w:hAnsi="Verdana" w:cs="Arial"/>
        </w:rPr>
        <w:t>as demonstrações financeiras individuais e consolidadas da Emissora relativas aos exercícios sociais encerrados em 31 de dezembro de 2016, 2017 e 2018, acompanhadas dos respectivos relatórios dos auditores independentes</w:t>
      </w:r>
      <w:r>
        <w:rPr>
          <w:rFonts w:ascii="Verdana" w:hAnsi="Verdana" w:cs="Arial"/>
          <w:bCs/>
          <w:lang w:eastAsia="zh-CN"/>
        </w:rPr>
        <w:t>, bem como suas respectivas notas explicativas;</w:t>
      </w:r>
    </w:p>
    <w:p>
      <w:pPr>
        <w:pStyle w:val="HOMEBRBodyText"/>
        <w:tabs>
          <w:tab w:val="left" w:pos="284"/>
        </w:tabs>
        <w:spacing w:line="300" w:lineRule="exact"/>
        <w:ind w:left="567" w:hanging="567"/>
        <w:rPr>
          <w:rFonts w:ascii="Verdana" w:eastAsia="Tahoma" w:hAnsi="Verdana"/>
          <w:lang w:eastAsia="zh-CN"/>
        </w:rPr>
      </w:pPr>
      <w:r>
        <w:rPr>
          <w:rFonts w:ascii="Verdana" w:eastAsia="Tahoma" w:hAnsi="Verdana"/>
          <w:lang w:eastAsia="zh-CN"/>
        </w:rPr>
        <w:t>(iv)</w:t>
      </w:r>
      <w:r>
        <w:rPr>
          <w:rFonts w:ascii="Verdana" w:eastAsia="Tahoma" w:hAnsi="Verdana"/>
          <w:lang w:eastAsia="zh-CN"/>
        </w:rPr>
        <w:tab/>
        <w:t xml:space="preserve">as informações financeiras </w:t>
      </w:r>
      <w:r>
        <w:rPr>
          <w:rFonts w:ascii="Verdana" w:hAnsi="Verdana" w:cs="Arial"/>
        </w:rPr>
        <w:t>individuais e consolidadas da Emissora relativas aos trimestres encerrados em 30 de junho de 2017, 2018 e 2019, acompanhadas dos respectivos relatórios dos auditores independentes</w:t>
      </w:r>
      <w:r>
        <w:rPr>
          <w:rFonts w:ascii="Verdana" w:hAnsi="Verdana" w:cs="Arial"/>
          <w:bCs/>
          <w:lang w:eastAsia="zh-CN"/>
        </w:rPr>
        <w:t>, bem como suas respectivas notas explicativas.</w:t>
      </w:r>
    </w:p>
    <w:p>
      <w:pPr>
        <w:pStyle w:val="HOMEBRBodyText"/>
        <w:spacing w:line="300" w:lineRule="exact"/>
        <w:rPr>
          <w:rFonts w:ascii="Verdana" w:eastAsia="Tahoma" w:hAnsi="Verdana" w:cs="Arial"/>
        </w:rPr>
      </w:pPr>
      <w:r>
        <w:rPr>
          <w:rFonts w:ascii="Verdana" w:eastAsia="Tahoma" w:hAnsi="Verdana" w:cs="Arial"/>
        </w:rPr>
        <w:t xml:space="preserve">Os documentos incorporados por referência a este Prospecto podem ser obtidos nos endereços indicados abaixo: </w:t>
      </w:r>
    </w:p>
    <w:p>
      <w:pPr>
        <w:pStyle w:val="HOMEBRBodyText"/>
        <w:spacing w:line="300" w:lineRule="exact"/>
        <w:rPr>
          <w:rFonts w:ascii="Verdana" w:eastAsia="Tahoma" w:hAnsi="Verdana" w:cs="Arial"/>
        </w:rPr>
      </w:pPr>
      <w:r>
        <w:rPr>
          <w:rFonts w:ascii="Verdana" w:eastAsia="Arial" w:hAnsi="Verdana" w:cs="Arial"/>
          <w:b/>
          <w:color w:val="000000"/>
          <w:spacing w:val="-3"/>
        </w:rPr>
        <w:t xml:space="preserve">Formulário de Referência </w:t>
      </w:r>
    </w:p>
    <w:p>
      <w:pPr>
        <w:pStyle w:val="HOMEBRBullet"/>
        <w:spacing w:line="300" w:lineRule="exact"/>
        <w:ind w:left="567" w:hanging="567"/>
        <w:rPr>
          <w:rFonts w:ascii="Verdana" w:eastAsia="Arial" w:hAnsi="Verdana" w:cs="Arial"/>
          <w:b/>
          <w:color w:val="000000"/>
          <w:spacing w:val="7"/>
        </w:rPr>
      </w:pPr>
      <w:r>
        <w:rPr>
          <w:rFonts w:ascii="Verdana" w:hAnsi="Verdana" w:cs="Arial"/>
          <w:b/>
        </w:rPr>
        <w:t>Emissora:</w:t>
      </w:r>
      <w:r>
        <w:rPr>
          <w:rFonts w:ascii="Verdana" w:hAnsi="Verdana" w:cs="Arial"/>
        </w:rPr>
        <w:t xml:space="preserve"> </w:t>
      </w:r>
      <w:hyperlink r:id="rId22" w:history="1">
        <w:r>
          <w:rPr>
            <w:rStyle w:val="Hyperlink"/>
            <w:rFonts w:ascii="Verdana" w:hAnsi="Verdana" w:cs="Arial"/>
          </w:rPr>
          <w:t>http://ri.rumolog.com/</w:t>
        </w:r>
      </w:hyperlink>
      <w:r>
        <w:rPr>
          <w:rFonts w:ascii="Verdana" w:hAnsi="Verdana" w:cs="Arial"/>
        </w:rPr>
        <w:t xml:space="preserve"> (nesta página acessar “Publicações e Documentos”, clicar em “Formulário de Referência e Cadastral”, acessar os documentos para o ano de “2019” e, em seguida, efetuar o download no item “Formulário de Referência 2019 Versão [●]”). </w:t>
      </w:r>
    </w:p>
    <w:p>
      <w:pPr>
        <w:pStyle w:val="HOMEBRBullet"/>
        <w:spacing w:line="300" w:lineRule="exact"/>
        <w:ind w:left="567" w:hanging="567"/>
        <w:rPr>
          <w:rFonts w:ascii="Verdana" w:eastAsia="Arial" w:hAnsi="Verdana" w:cs="Arial"/>
          <w:b/>
          <w:color w:val="000000"/>
          <w:spacing w:val="7"/>
        </w:rPr>
      </w:pPr>
      <w:r>
        <w:rPr>
          <w:rFonts w:ascii="Verdana" w:hAnsi="Verdana" w:cs="Arial"/>
          <w:b/>
        </w:rPr>
        <w:t>CVM:</w:t>
      </w:r>
      <w:r>
        <w:rPr>
          <w:rFonts w:ascii="Verdana" w:hAnsi="Verdana" w:cs="Arial"/>
        </w:rPr>
        <w:t xml:space="preserve"> </w:t>
      </w:r>
      <w:hyperlink r:id="rId23">
        <w:r>
          <w:rPr>
            <w:rFonts w:ascii="Verdana" w:hAnsi="Verdana" w:cs="Arial"/>
          </w:rPr>
          <w:t>www.cvm.gov.br</w:t>
        </w:r>
      </w:hyperlink>
      <w:r>
        <w:rPr>
          <w:rFonts w:ascii="Verdana" w:hAnsi="Verdana" w:cs="Arial"/>
        </w:rPr>
        <w:t xml:space="preserve"> (nesta página acessar “Central de Sistemas”, clicar em “Informações sobre Companhias” e, em seguida, em “Informações Periódicas e Eventuais (ITR, DFs, Fatos Relevantes, Comunicados ao Mercado entre outros)”, digitar “Rumo” e clicar em “Continuar”. Posteriormente clicar em “Rumo S.A”, clicar em “Formulário de Referência” e clicar em “Consulta” ou “Download” da versão mais recente disponível do Formulário de Referência).</w:t>
      </w:r>
    </w:p>
    <w:p>
      <w:pPr>
        <w:pStyle w:val="HOMEBRBullet"/>
        <w:spacing w:line="300" w:lineRule="exact"/>
        <w:ind w:left="567" w:hanging="567"/>
        <w:rPr>
          <w:rFonts w:ascii="Verdana" w:hAnsi="Verdana" w:cs="Arial"/>
        </w:rPr>
      </w:pPr>
      <w:r>
        <w:rPr>
          <w:rFonts w:ascii="Verdana" w:eastAsia="Arial" w:hAnsi="Verdana" w:cs="Arial"/>
          <w:b/>
        </w:rPr>
        <w:t>B3 e B3 – Segmento Cetip UTVM</w:t>
      </w:r>
      <w:r>
        <w:rPr>
          <w:rFonts w:ascii="Verdana" w:eastAsia="Tahoma" w:hAnsi="Verdana" w:cs="Arial"/>
        </w:rPr>
        <w:t xml:space="preserve">: http://www.b3.com.br/pt_br/produtos-e-servicos/negociacao/renda-variavel/empresas-listadas.htm </w:t>
      </w:r>
      <w:r>
        <w:rPr>
          <w:rFonts w:ascii="Verdana" w:hAnsi="Verdana" w:cs="Arial"/>
        </w:rPr>
        <w:t xml:space="preserve">(neste website, digitar “RUMO”, clicar em “Buscar”, depois clicar em “RUMO S.A”. Na nova página, clicar em “Relatórios Estruturados”, e, em seguida, clicar em “Formulário de Referência”, no link referente ao último Formulário de Referência disponibilizado. </w:t>
      </w:r>
    </w:p>
    <w:p>
      <w:pPr>
        <w:pStyle w:val="HOMEBRBullet"/>
        <w:numPr>
          <w:ilvl w:val="0"/>
          <w:numId w:val="0"/>
        </w:numPr>
        <w:spacing w:line="300" w:lineRule="exact"/>
        <w:rPr>
          <w:rFonts w:ascii="Verdana" w:hAnsi="Verdana" w:cs="Arial"/>
        </w:rPr>
      </w:pPr>
      <w:r>
        <w:rPr>
          <w:rFonts w:ascii="Verdana" w:eastAsia="Arial" w:hAnsi="Verdana" w:cs="Arial"/>
        </w:rPr>
        <w:lastRenderedPageBreak/>
        <w:t xml:space="preserve">Além do Formulário de Referência, o qual poderá ser encontrado nos websites indicados acima, são incorporados por referência a este Prospecto as demonstrações financeiras da Emissora relativas aos exercícios sociais encerrados em 31 de dezembro de </w:t>
      </w:r>
      <w:r>
        <w:rPr>
          <w:rFonts w:ascii="Verdana" w:hAnsi="Verdana" w:cs="Arial"/>
        </w:rPr>
        <w:t>2016, 2017 e 2018</w:t>
      </w:r>
      <w:r>
        <w:rPr>
          <w:rFonts w:ascii="Verdana" w:eastAsia="Arial" w:hAnsi="Verdana" w:cs="Arial"/>
        </w:rPr>
        <w:t>, os quais se encontram disponíveis para consulta nos seguintes websites</w:t>
      </w:r>
      <w:r>
        <w:rPr>
          <w:rFonts w:ascii="Verdana" w:hAnsi="Verdana" w:cs="Arial"/>
        </w:rPr>
        <w:t>:</w:t>
      </w:r>
    </w:p>
    <w:p>
      <w:pPr>
        <w:pStyle w:val="HOMEBRBullet"/>
        <w:spacing w:line="300" w:lineRule="exact"/>
        <w:ind w:left="567" w:hanging="567"/>
        <w:rPr>
          <w:rFonts w:ascii="Verdana" w:eastAsia="Arial" w:hAnsi="Verdana" w:cs="Arial"/>
          <w:b/>
          <w:color w:val="000000"/>
          <w:spacing w:val="7"/>
        </w:rPr>
      </w:pPr>
      <w:r>
        <w:rPr>
          <w:rFonts w:ascii="Verdana" w:hAnsi="Verdana" w:cs="Arial"/>
          <w:b/>
        </w:rPr>
        <w:t>Emissora:</w:t>
      </w:r>
      <w:r>
        <w:rPr>
          <w:rFonts w:ascii="Verdana" w:hAnsi="Verdana" w:cs="Arial"/>
        </w:rPr>
        <w:t xml:space="preserve"> </w:t>
      </w:r>
      <w:hyperlink r:id="rId24" w:history="1">
        <w:r>
          <w:rPr>
            <w:rStyle w:val="Hyperlink"/>
            <w:rFonts w:ascii="Verdana" w:hAnsi="Verdana" w:cs="Arial"/>
          </w:rPr>
          <w:t>http://ri.rumolog.com/</w:t>
        </w:r>
      </w:hyperlink>
      <w:r>
        <w:rPr>
          <w:rFonts w:ascii="Verdana" w:hAnsi="Verdana" w:cs="Arial"/>
        </w:rPr>
        <w:t xml:space="preserve"> (nesta página acessar “Informações Financeiras”, clicar em “Central de Resultados”, e (1) selecionar “2018”, e, em seguida, efetuar o download do documento disponível na linha “Demonstrações Financeiras: ITR/DFP” referente à coluna “4T2018”; (2) selecionar “2017”, e, em seguida, efetuar o download do documento disponível na linha “Demonstrações Financeiras: ITR/DFP” referente à coluna “4T2017”; e (3) selecionar “2016”, e, em seguida, efetuar o download do documento disponível na linha “Demonstrações Financeiras: ITR/DFP” referente à coluna “4T2016”). </w:t>
      </w:r>
    </w:p>
    <w:p>
      <w:pPr>
        <w:pStyle w:val="HOMEBRBullet"/>
        <w:spacing w:line="300" w:lineRule="exact"/>
        <w:ind w:left="567" w:hanging="567"/>
        <w:rPr>
          <w:rFonts w:ascii="Verdana" w:eastAsia="Tahoma" w:hAnsi="Verdana" w:cs="Arial"/>
          <w:color w:val="000000"/>
          <w:spacing w:val="6"/>
        </w:rPr>
      </w:pPr>
      <w:r>
        <w:rPr>
          <w:rFonts w:ascii="Verdana" w:hAnsi="Verdana" w:cs="Arial"/>
          <w:b/>
        </w:rPr>
        <w:t>CVM:</w:t>
      </w:r>
      <w:r>
        <w:rPr>
          <w:rFonts w:ascii="Verdana" w:hAnsi="Verdana" w:cs="Arial"/>
        </w:rPr>
        <w:t xml:space="preserve"> </w:t>
      </w:r>
      <w:hyperlink r:id="rId25">
        <w:r>
          <w:rPr>
            <w:rFonts w:ascii="Verdana" w:hAnsi="Verdana" w:cs="Arial"/>
          </w:rPr>
          <w:t>www.cvm.gov.br</w:t>
        </w:r>
      </w:hyperlink>
      <w:r>
        <w:rPr>
          <w:rFonts w:ascii="Verdana" w:hAnsi="Verdana" w:cs="Arial"/>
        </w:rPr>
        <w:t xml:space="preserve"> (nesta página acessar “Central de Sistemas”, clicar em “Informações sobre Companhias” e, em seguida, em “Informações Periódicas e Eventuais (ITR, DFs, Fatos Relevantes, Comunicados ao Mercado entre outros)”, digitar “Rumo” e clicar em “Continuar”. Posteriormente clicar em “Rumo S.A”, clicar em “Dados Econômico-Financeiros” e, por fim, consultar os arquivos mais recentes referentes aos exercícios sociais acima mencionados</w:t>
      </w:r>
      <w:r>
        <w:rPr>
          <w:rFonts w:ascii="Verdana" w:eastAsia="Tahoma" w:hAnsi="Verdana" w:cs="Arial"/>
          <w:color w:val="000000"/>
          <w:spacing w:val="6"/>
        </w:rPr>
        <w:t xml:space="preserve">). </w:t>
      </w:r>
    </w:p>
    <w:p>
      <w:pPr>
        <w:pStyle w:val="HOMEBRBullet"/>
        <w:keepLines w:val="0"/>
        <w:spacing w:line="300" w:lineRule="exact"/>
        <w:ind w:left="567" w:hanging="567"/>
        <w:rPr>
          <w:rFonts w:ascii="Verdana" w:hAnsi="Verdana" w:cs="Arial"/>
        </w:rPr>
      </w:pPr>
      <w:r>
        <w:rPr>
          <w:rFonts w:ascii="Verdana" w:eastAsia="Arial" w:hAnsi="Verdana" w:cs="Arial"/>
          <w:b/>
        </w:rPr>
        <w:t>B3 e B3 – Segmento Cetip UTVM</w:t>
      </w:r>
      <w:r>
        <w:rPr>
          <w:rFonts w:ascii="Verdana" w:eastAsia="Tahoma" w:hAnsi="Verdana" w:cs="Arial"/>
        </w:rPr>
        <w:t xml:space="preserve">: http://www.b3.com.br/pt_br/produtos-e-servicos/negociacao/renda-variavel/empresas-listadas.htm </w:t>
      </w:r>
      <w:r>
        <w:rPr>
          <w:rFonts w:ascii="Verdana" w:hAnsi="Verdana" w:cs="Arial"/>
        </w:rPr>
        <w:t xml:space="preserve">(neste website, digitar “RUMO”, clicar em “Buscar”, depois clicar em “RUMO S.A”. Na nova página, clicar em “Relatórios Estruturados”, e, em seguida, clicar em (1) selecionar “2018”, clicar em “Demonstrações Financeiras Padronizadas - DFP” e efetuar o download no item “31/12/2018 – Demonstrações Financeiras Padronizadas” mais recente; (2) selecionar “2017”, clicar em “Demonstrações Financeiras Padronizadas - DFP” e efetuar o download no item “31/12/2017 – Demonstrações Financeiras Padronizadas” mais recente; e (3) selecionar “2016”, clicar em “Demonstrações Financeiras Padronizadas - DFP” e efetuar o download no item “31/12/2016 – Demonstrações Financeiras Padronizadas” mais recente. </w:t>
      </w:r>
    </w:p>
    <w:p>
      <w:pPr>
        <w:pStyle w:val="HOMEBRBodyText"/>
        <w:spacing w:line="300" w:lineRule="exact"/>
        <w:rPr>
          <w:rFonts w:ascii="Verdana" w:hAnsi="Verdana" w:cs="Arial"/>
          <w:bCs/>
          <w:lang w:eastAsia="zh-CN"/>
        </w:rPr>
      </w:pPr>
      <w:r>
        <w:rPr>
          <w:rFonts w:ascii="Verdana" w:eastAsia="Tahoma" w:hAnsi="Verdana"/>
          <w:lang w:eastAsia="zh-CN"/>
        </w:rPr>
        <w:t xml:space="preserve">Por fim, as informações financeiras </w:t>
      </w:r>
      <w:r>
        <w:rPr>
          <w:rFonts w:ascii="Verdana" w:hAnsi="Verdana" w:cs="Arial"/>
        </w:rPr>
        <w:t>individuais e consolidadas da Emissora relativas aos trimestres encerrados em 30 de junho de 2017, 2018 e 2019, acompanhadas dos respectivos relatórios dos auditores independentes</w:t>
      </w:r>
      <w:r>
        <w:rPr>
          <w:rFonts w:ascii="Verdana" w:hAnsi="Verdana" w:cs="Arial"/>
          <w:bCs/>
          <w:lang w:eastAsia="zh-CN"/>
        </w:rPr>
        <w:t>, bem como suas respectivas notas explicativas poderão ser acessadas nos seguintes websites:</w:t>
      </w:r>
    </w:p>
    <w:p>
      <w:pPr>
        <w:pStyle w:val="HOMEBRBodyText"/>
        <w:spacing w:line="300" w:lineRule="exact"/>
        <w:rPr>
          <w:rFonts w:ascii="Verdana" w:hAnsi="Verdana" w:cs="Arial"/>
          <w:bCs/>
          <w:lang w:eastAsia="zh-CN"/>
        </w:rPr>
      </w:pPr>
    </w:p>
    <w:p>
      <w:pPr>
        <w:pStyle w:val="HOMEBRBodyText"/>
        <w:spacing w:line="300" w:lineRule="exact"/>
        <w:rPr>
          <w:rFonts w:ascii="Verdana" w:hAnsi="Verdana" w:cs="Arial"/>
          <w:bCs/>
          <w:lang w:eastAsia="zh-CN"/>
        </w:rPr>
      </w:pPr>
      <w:r>
        <w:rPr>
          <w:rFonts w:ascii="Verdana" w:hAnsi="Verdana" w:cs="Arial"/>
          <w:bCs/>
          <w:lang w:eastAsia="zh-CN"/>
        </w:rPr>
        <w:t>[</w:t>
      </w:r>
      <w:r>
        <w:rPr>
          <w:rFonts w:ascii="Verdana" w:hAnsi="Verdana" w:cs="Arial"/>
          <w:b/>
          <w:bCs/>
          <w:i/>
          <w:highlight w:val="yellow"/>
          <w:lang w:eastAsia="zh-CN"/>
        </w:rPr>
        <w:t>Nota PNA</w:t>
      </w:r>
      <w:r>
        <w:rPr>
          <w:rFonts w:ascii="Verdana" w:hAnsi="Verdana" w:cs="Arial"/>
          <w:bCs/>
          <w:i/>
          <w:highlight w:val="yellow"/>
          <w:lang w:eastAsia="zh-CN"/>
        </w:rPr>
        <w:t>: Lefosse, favor incluir</w:t>
      </w:r>
      <w:r>
        <w:rPr>
          <w:rFonts w:ascii="Verdana" w:hAnsi="Verdana" w:cs="Arial"/>
          <w:bCs/>
          <w:lang w:eastAsia="zh-CN"/>
        </w:rPr>
        <w:t>.]</w:t>
      </w:r>
    </w:p>
    <w:p>
      <w:pPr>
        <w:pStyle w:val="HOMEBRBodyText"/>
        <w:spacing w:line="300" w:lineRule="exact"/>
        <w:rPr>
          <w:rFonts w:ascii="Verdana" w:eastAsia="Arial" w:hAnsi="Verdana" w:cs="Arial"/>
          <w:b/>
        </w:rPr>
      </w:pPr>
    </w:p>
    <w:p>
      <w:pPr>
        <w:pStyle w:val="HOMEBRBodyText"/>
        <w:spacing w:line="300" w:lineRule="exact"/>
        <w:rPr>
          <w:rFonts w:ascii="Verdana" w:hAnsi="Verdana" w:cs="Arial"/>
          <w:b/>
          <w:kern w:val="20"/>
        </w:rPr>
      </w:pPr>
      <w:r>
        <w:rPr>
          <w:rFonts w:ascii="Verdana" w:eastAsia="Arial" w:hAnsi="Verdana" w:cs="Arial"/>
          <w:b/>
        </w:rPr>
        <w:lastRenderedPageBreak/>
        <w:t>OS INVESTIDORES DEVEM LER A SEÇÃO “4. FATORES DE RISCO” DO FORMULÁRIO DE REFERÊNCIA E A SEÇÃO “FATORES DE RISCO RELACIONADOS À OFERTA E ÀS DEBÊNTURES”, NA PÁGINA [</w:t>
      </w:r>
      <w:r>
        <w:rPr>
          <w:rFonts w:ascii="Verdana" w:eastAsia="Arial" w:hAnsi="Verdana" w:cs="Arial"/>
          <w:b/>
        </w:rPr>
        <w:sym w:font="Symbol" w:char="F0B7"/>
      </w:r>
      <w:r>
        <w:rPr>
          <w:rFonts w:ascii="Verdana" w:eastAsia="Arial" w:hAnsi="Verdana" w:cs="Arial"/>
          <w:b/>
        </w:rPr>
        <w:t>]</w:t>
      </w:r>
      <w:r>
        <w:rPr>
          <w:rFonts w:ascii="Verdana" w:hAnsi="Verdana" w:cs="Arial"/>
          <w:b/>
        </w:rPr>
        <w:t xml:space="preserve"> </w:t>
      </w:r>
      <w:r>
        <w:rPr>
          <w:rFonts w:ascii="Verdana" w:eastAsia="Arial" w:hAnsi="Verdana" w:cs="Arial"/>
          <w:b/>
        </w:rPr>
        <w:t>DESTE PROSPECTO, PARA CIÊNCIA DE CERTOS FATORES DE RISCO QUE DEVEM SER CONSIDERADOS COM RELAÇÃO AO INVESTIMENTO NAS DEBÊNTURES.</w:t>
      </w:r>
    </w:p>
    <w:p>
      <w:pPr>
        <w:pStyle w:val="Ttulo1"/>
        <w:spacing w:line="300" w:lineRule="exact"/>
        <w:rPr>
          <w:rFonts w:ascii="Verdana" w:hAnsi="Verdana"/>
          <w:lang w:val="pt-BR"/>
        </w:rPr>
      </w:pPr>
      <w:bookmarkStart w:id="15" w:name="_Toc428306443"/>
      <w:bookmarkStart w:id="16" w:name="_Toc484715947"/>
      <w:r>
        <w:rPr>
          <w:rFonts w:ascii="Verdana" w:hAnsi="Verdana"/>
          <w:lang w:val="pt-BR"/>
        </w:rPr>
        <w:lastRenderedPageBreak/>
        <w:t>CONSIDERAÇÕES SOBRE ESTIMATIVAS E DECLARAÇÕES ACERCA DO FUTURO</w:t>
      </w:r>
      <w:bookmarkEnd w:id="15"/>
      <w:bookmarkEnd w:id="16"/>
    </w:p>
    <w:p>
      <w:pPr>
        <w:spacing w:line="300" w:lineRule="exact"/>
        <w:rPr>
          <w:rFonts w:ascii="Verdana" w:hAnsi="Verdana" w:cs="Arial"/>
          <w:b/>
          <w:kern w:val="20"/>
          <w:lang w:val="pt-BR" w:eastAsia="pt-BR"/>
        </w:rPr>
      </w:pPr>
      <w:r>
        <w:rPr>
          <w:rFonts w:ascii="Verdana" w:hAnsi="Verdana" w:cs="Arial"/>
          <w:b/>
          <w:kern w:val="20"/>
          <w:lang w:val="pt-BR" w:eastAsia="pt-BR"/>
        </w:rPr>
        <w:t xml:space="preserve">Este Prospecto e o Formulário de Referência, incorporado por referência a este Prospecto, incluem estimativas e declarações acerca do futuro, inclusive, mas não se limitando, na seção “Fatores de Risco Relacionados à Oferta e às Debêntures” nas páginas </w:t>
      </w:r>
      <w:r>
        <w:rPr>
          <w:rFonts w:ascii="Verdana" w:hAnsi="Verdana" w:cs="Arial"/>
          <w:b/>
          <w:bCs/>
          <w:kern w:val="20"/>
          <w:lang w:val="pt-BR" w:eastAsia="pt-BR"/>
        </w:rPr>
        <w:t>[</w:t>
      </w:r>
      <w:r>
        <w:rPr>
          <w:rFonts w:ascii="Verdana" w:hAnsi="Verdana" w:cs="Arial"/>
          <w:b/>
          <w:bCs/>
          <w:kern w:val="20"/>
          <w:lang w:val="pt-BR" w:eastAsia="pt-BR"/>
        </w:rPr>
        <w:sym w:font="Symbol" w:char="F0B7"/>
      </w:r>
      <w:r>
        <w:rPr>
          <w:rFonts w:ascii="Verdana" w:hAnsi="Verdana" w:cs="Arial"/>
          <w:b/>
          <w:bCs/>
          <w:kern w:val="20"/>
          <w:lang w:val="pt-BR" w:eastAsia="pt-BR"/>
        </w:rPr>
        <w:t>] a [</w:t>
      </w:r>
      <w:r>
        <w:rPr>
          <w:rFonts w:ascii="Verdana" w:hAnsi="Verdana" w:cs="Arial"/>
          <w:b/>
          <w:bCs/>
          <w:kern w:val="20"/>
          <w:lang w:val="pt-BR" w:eastAsia="pt-BR"/>
        </w:rPr>
        <w:sym w:font="Symbol" w:char="F0B7"/>
      </w:r>
      <w:r>
        <w:rPr>
          <w:rFonts w:ascii="Verdana" w:hAnsi="Verdana" w:cs="Arial"/>
          <w:b/>
          <w:bCs/>
          <w:kern w:val="20"/>
          <w:lang w:val="pt-BR" w:eastAsia="pt-BR"/>
        </w:rPr>
        <w:t>]</w:t>
      </w:r>
      <w:r>
        <w:rPr>
          <w:rFonts w:ascii="Verdana" w:hAnsi="Verdana" w:cs="Arial"/>
          <w:b/>
          <w:kern w:val="20"/>
          <w:lang w:val="pt-BR" w:eastAsia="pt-BR"/>
        </w:rPr>
        <w:t xml:space="preserve"> deste Prospecto, e nos itens “4. Fatores de Risco”, “5. Gerenciamento de Riscos e Controles Internos”, “6. Histórico do Emissor”, “7. Atividades do Emissor” e “10. Comentários dos Diretores” do Formulário de Referência, que envolvem riscos e incertezas e, portanto, não constituem garantias dos resultados da Emissora.</w:t>
      </w:r>
    </w:p>
    <w:p>
      <w:pPr>
        <w:spacing w:line="300" w:lineRule="exact"/>
        <w:rPr>
          <w:rFonts w:ascii="Verdana" w:hAnsi="Verdana" w:cs="Arial"/>
          <w:kern w:val="20"/>
          <w:lang w:val="pt-BR" w:eastAsia="pt-BR"/>
        </w:rPr>
      </w:pPr>
      <w:r>
        <w:rPr>
          <w:rFonts w:ascii="Verdana" w:hAnsi="Verdana" w:cs="Arial"/>
          <w:kern w:val="20"/>
          <w:lang w:val="pt-BR" w:eastAsia="pt-BR"/>
        </w:rPr>
        <w:t>As estimativas e declarações futuras têm por embasamento, em grande parte, as expectativas atuais, projeções futuras, estratégias e tendências que afetam ou podem potencialmente vir a afetar os negócios operacionais e os setores de atuação da Emissora, bem como sua situação financeira e resultados operacionais e prospectivos. Embora a Emissora acredite que essas estimativas e declarações futuras encontram-se baseadas em premissas razoáveis, estas estimativas e declarações estão sujeitas a diversos riscos, incertezas e suposições e são feitas com base nas informações atualmente disponíveis.</w:t>
      </w:r>
    </w:p>
    <w:p>
      <w:pPr>
        <w:spacing w:line="300" w:lineRule="exact"/>
        <w:rPr>
          <w:rFonts w:ascii="Verdana" w:hAnsi="Verdana" w:cs="Arial"/>
          <w:kern w:val="20"/>
          <w:lang w:val="pt-BR" w:eastAsia="pt-BR"/>
        </w:rPr>
      </w:pPr>
      <w:r>
        <w:rPr>
          <w:rFonts w:ascii="Verdana" w:hAnsi="Verdana" w:cs="Arial"/>
          <w:lang w:val="pt-BR" w:eastAsia="pt-BR"/>
        </w:rPr>
        <w:t xml:space="preserve">Além de outros itens discutidos em outras seções deste Prospecto, há uma série de fatores que podem fazer com que as estimativas e declarações da Emissora não ocorram. Tais riscos e incertezas incluem, entre outras situações, as seguintes: </w:t>
      </w:r>
    </w:p>
    <w:p>
      <w:pPr>
        <w:numPr>
          <w:ilvl w:val="0"/>
          <w:numId w:val="1"/>
        </w:numPr>
        <w:tabs>
          <w:tab w:val="clear" w:pos="720"/>
        </w:tabs>
        <w:spacing w:after="160" w:line="300" w:lineRule="exact"/>
        <w:ind w:left="360"/>
        <w:rPr>
          <w:rFonts w:ascii="Verdana" w:hAnsi="Verdana" w:cs="Arial"/>
          <w:bCs/>
          <w:kern w:val="20"/>
          <w:lang w:val="pt-BR" w:eastAsia="pt-BR"/>
        </w:rPr>
      </w:pPr>
      <w:r>
        <w:rPr>
          <w:rFonts w:ascii="Verdana" w:hAnsi="Verdana" w:cs="Arial"/>
          <w:bCs/>
          <w:kern w:val="20"/>
          <w:lang w:val="pt-BR" w:eastAsia="pt-BR"/>
        </w:rPr>
        <w:t>os efeitos da crise financeira e econômica internacional no Brasil;</w:t>
      </w:r>
    </w:p>
    <w:p>
      <w:pPr>
        <w:numPr>
          <w:ilvl w:val="0"/>
          <w:numId w:val="1"/>
        </w:numPr>
        <w:tabs>
          <w:tab w:val="clear" w:pos="720"/>
        </w:tabs>
        <w:spacing w:after="160" w:line="300" w:lineRule="exact"/>
        <w:ind w:left="360"/>
        <w:rPr>
          <w:rFonts w:ascii="Verdana" w:hAnsi="Verdana" w:cs="Arial"/>
          <w:bCs/>
          <w:kern w:val="20"/>
          <w:lang w:val="pt-BR" w:eastAsia="pt-BR"/>
        </w:rPr>
      </w:pPr>
      <w:r>
        <w:rPr>
          <w:rFonts w:ascii="Verdana" w:hAnsi="Verdana" w:cs="Arial"/>
          <w:bCs/>
          <w:kern w:val="20"/>
          <w:lang w:val="pt-BR" w:eastAsia="pt-BR"/>
        </w:rPr>
        <w:t>conjuntura econômica, política e de negócios no Brasil e, em especial, nos mercados em que a Emissora atua;</w:t>
      </w:r>
    </w:p>
    <w:p>
      <w:pPr>
        <w:numPr>
          <w:ilvl w:val="0"/>
          <w:numId w:val="1"/>
        </w:numPr>
        <w:tabs>
          <w:tab w:val="clear" w:pos="720"/>
        </w:tabs>
        <w:spacing w:after="160" w:line="300" w:lineRule="exact"/>
        <w:ind w:left="360"/>
        <w:rPr>
          <w:rFonts w:ascii="Verdana" w:hAnsi="Verdana" w:cs="Arial"/>
          <w:bCs/>
          <w:kern w:val="20"/>
          <w:lang w:val="pt-BR" w:eastAsia="pt-BR"/>
        </w:rPr>
      </w:pPr>
      <w:r>
        <w:rPr>
          <w:rFonts w:ascii="Verdana" w:hAnsi="Verdana" w:cs="Arial"/>
          <w:bCs/>
          <w:kern w:val="20"/>
          <w:lang w:val="pt-BR" w:eastAsia="pt-BR"/>
        </w:rPr>
        <w:t>alterações nas condições gerais da economia, incluindo, exemplificativamente, inflação, flutuações na taxa de juros, variações na taxa de câmbio do Real em relação ao Dólar, aumento ou alterações do preço do petróleo, aumento dos níveis de desemprego, crescimento ou diminuição do PIB e da população;</w:t>
      </w:r>
    </w:p>
    <w:p>
      <w:pPr>
        <w:numPr>
          <w:ilvl w:val="0"/>
          <w:numId w:val="1"/>
        </w:numPr>
        <w:tabs>
          <w:tab w:val="clear" w:pos="720"/>
        </w:tabs>
        <w:spacing w:after="160" w:line="300" w:lineRule="exact"/>
        <w:ind w:left="360"/>
        <w:rPr>
          <w:rFonts w:ascii="Verdana" w:hAnsi="Verdana" w:cs="Arial"/>
          <w:bCs/>
          <w:kern w:val="20"/>
          <w:lang w:val="pt-BR" w:eastAsia="pt-BR"/>
        </w:rPr>
      </w:pPr>
      <w:r>
        <w:rPr>
          <w:rFonts w:ascii="Verdana" w:hAnsi="Verdana" w:cs="Arial"/>
          <w:bCs/>
          <w:kern w:val="20"/>
          <w:lang w:val="pt-BR" w:eastAsia="pt-BR"/>
        </w:rPr>
        <w:t>a administração e as operações futuras da Emissora;</w:t>
      </w:r>
    </w:p>
    <w:p>
      <w:pPr>
        <w:numPr>
          <w:ilvl w:val="0"/>
          <w:numId w:val="1"/>
        </w:numPr>
        <w:tabs>
          <w:tab w:val="clear" w:pos="720"/>
        </w:tabs>
        <w:spacing w:after="160" w:line="300" w:lineRule="exact"/>
        <w:ind w:left="360"/>
        <w:rPr>
          <w:rFonts w:ascii="Verdana" w:hAnsi="Verdana" w:cs="Arial"/>
          <w:bCs/>
          <w:kern w:val="20"/>
          <w:lang w:val="pt-BR" w:eastAsia="pt-BR"/>
        </w:rPr>
      </w:pPr>
      <w:r>
        <w:rPr>
          <w:rFonts w:ascii="Verdana" w:hAnsi="Verdana" w:cs="Arial"/>
          <w:bCs/>
          <w:kern w:val="20"/>
          <w:lang w:val="pt-BR" w:eastAsia="pt-BR"/>
        </w:rPr>
        <w:t>nível de endividamento e demais obrigações financeiras da Emissora;</w:t>
      </w:r>
    </w:p>
    <w:p>
      <w:pPr>
        <w:numPr>
          <w:ilvl w:val="0"/>
          <w:numId w:val="1"/>
        </w:numPr>
        <w:tabs>
          <w:tab w:val="clear" w:pos="720"/>
        </w:tabs>
        <w:spacing w:after="160" w:line="300" w:lineRule="exact"/>
        <w:ind w:left="360"/>
        <w:rPr>
          <w:rFonts w:ascii="Verdana" w:hAnsi="Verdana" w:cs="Arial"/>
          <w:bCs/>
          <w:kern w:val="20"/>
          <w:lang w:val="pt-BR" w:eastAsia="pt-BR"/>
        </w:rPr>
      </w:pPr>
      <w:r>
        <w:rPr>
          <w:rFonts w:ascii="Verdana" w:hAnsi="Verdana" w:cs="Arial"/>
          <w:bCs/>
          <w:kern w:val="20"/>
          <w:lang w:val="pt-BR" w:eastAsia="pt-BR"/>
        </w:rPr>
        <w:t>capacidade da Emissora de implementar seus planos de investimento;</w:t>
      </w:r>
    </w:p>
    <w:p>
      <w:pPr>
        <w:numPr>
          <w:ilvl w:val="0"/>
          <w:numId w:val="1"/>
        </w:numPr>
        <w:tabs>
          <w:tab w:val="clear" w:pos="720"/>
        </w:tabs>
        <w:spacing w:after="160" w:line="300" w:lineRule="exact"/>
        <w:ind w:left="360"/>
        <w:rPr>
          <w:rFonts w:ascii="Verdana" w:hAnsi="Verdana" w:cs="Arial"/>
          <w:bCs/>
          <w:kern w:val="20"/>
          <w:lang w:val="pt-BR" w:eastAsia="pt-BR"/>
        </w:rPr>
      </w:pPr>
      <w:r>
        <w:rPr>
          <w:rFonts w:ascii="Verdana" w:hAnsi="Verdana" w:cs="Arial"/>
          <w:bCs/>
          <w:kern w:val="20"/>
          <w:lang w:val="pt-BR" w:eastAsia="pt-BR"/>
        </w:rPr>
        <w:t>capacidade da Emissora de acompanhar e se adaptar às mudanças tecnológicas no setor ferroviário;</w:t>
      </w:r>
    </w:p>
    <w:p>
      <w:pPr>
        <w:numPr>
          <w:ilvl w:val="0"/>
          <w:numId w:val="1"/>
        </w:numPr>
        <w:tabs>
          <w:tab w:val="clear" w:pos="720"/>
        </w:tabs>
        <w:spacing w:after="160" w:line="300" w:lineRule="exact"/>
        <w:ind w:left="360"/>
        <w:rPr>
          <w:rFonts w:ascii="Verdana" w:hAnsi="Verdana" w:cs="Arial"/>
          <w:bCs/>
          <w:kern w:val="20"/>
          <w:lang w:val="pt-BR" w:eastAsia="pt-BR"/>
        </w:rPr>
      </w:pPr>
      <w:r>
        <w:rPr>
          <w:rFonts w:ascii="Verdana" w:hAnsi="Verdana" w:cs="Arial"/>
          <w:bCs/>
          <w:kern w:val="20"/>
          <w:lang w:val="pt-BR" w:eastAsia="pt-BR"/>
        </w:rPr>
        <w:t>leis e regulamentos existentes e futuros;</w:t>
      </w:r>
    </w:p>
    <w:p>
      <w:pPr>
        <w:numPr>
          <w:ilvl w:val="0"/>
          <w:numId w:val="1"/>
        </w:numPr>
        <w:tabs>
          <w:tab w:val="clear" w:pos="720"/>
        </w:tabs>
        <w:spacing w:after="160" w:line="300" w:lineRule="exact"/>
        <w:ind w:left="360"/>
        <w:rPr>
          <w:rFonts w:ascii="Verdana" w:hAnsi="Verdana" w:cs="Arial"/>
          <w:bCs/>
          <w:kern w:val="20"/>
          <w:lang w:val="pt-BR" w:eastAsia="pt-BR"/>
        </w:rPr>
      </w:pPr>
      <w:r>
        <w:rPr>
          <w:rFonts w:ascii="Verdana" w:hAnsi="Verdana" w:cs="Arial"/>
          <w:bCs/>
          <w:kern w:val="20"/>
          <w:lang w:val="pt-BR" w:eastAsia="pt-BR"/>
        </w:rPr>
        <w:t>alterações na legislação e regulamentação brasileira aplicáveis às atividades da Emissora, incluindo, sem limitação, as leis e os regulamentos existentes e futuros, inclusive sobre o setor de transportes ferroviários;</w:t>
      </w:r>
    </w:p>
    <w:p>
      <w:pPr>
        <w:numPr>
          <w:ilvl w:val="0"/>
          <w:numId w:val="1"/>
        </w:numPr>
        <w:tabs>
          <w:tab w:val="clear" w:pos="720"/>
        </w:tabs>
        <w:spacing w:after="160" w:line="300" w:lineRule="exact"/>
        <w:ind w:left="360"/>
        <w:rPr>
          <w:rFonts w:ascii="Verdana" w:hAnsi="Verdana" w:cs="Arial"/>
          <w:bCs/>
          <w:kern w:val="20"/>
          <w:lang w:val="pt-BR" w:eastAsia="pt-BR"/>
        </w:rPr>
      </w:pPr>
      <w:r>
        <w:rPr>
          <w:rFonts w:ascii="Verdana" w:hAnsi="Verdana" w:cs="Arial"/>
          <w:bCs/>
          <w:kern w:val="20"/>
          <w:lang w:val="pt-BR" w:eastAsia="pt-BR"/>
        </w:rPr>
        <w:lastRenderedPageBreak/>
        <w:t>as intervenções do governo no setor de atuação da Emissora, as quais poderão resultar em mudanças no ambiente econômico, tributário, tarifário ou regulatório aplicável;</w:t>
      </w:r>
    </w:p>
    <w:p>
      <w:pPr>
        <w:numPr>
          <w:ilvl w:val="0"/>
          <w:numId w:val="1"/>
        </w:numPr>
        <w:tabs>
          <w:tab w:val="clear" w:pos="720"/>
        </w:tabs>
        <w:spacing w:after="160" w:line="300" w:lineRule="exact"/>
        <w:ind w:left="360"/>
        <w:rPr>
          <w:rFonts w:ascii="Verdana" w:hAnsi="Verdana" w:cs="Arial"/>
          <w:bCs/>
          <w:kern w:val="20"/>
          <w:lang w:val="pt-BR" w:eastAsia="pt-BR"/>
        </w:rPr>
      </w:pPr>
      <w:r>
        <w:rPr>
          <w:rFonts w:ascii="Verdana" w:hAnsi="Verdana" w:cs="Arial"/>
          <w:bCs/>
          <w:kern w:val="20"/>
          <w:lang w:val="pt-BR" w:eastAsia="pt-BR"/>
        </w:rPr>
        <w:t>incapacidade de obter ou manter licenças e autorizações governamentais para a operação da Emissora;</w:t>
      </w:r>
    </w:p>
    <w:p>
      <w:pPr>
        <w:numPr>
          <w:ilvl w:val="0"/>
          <w:numId w:val="1"/>
        </w:numPr>
        <w:tabs>
          <w:tab w:val="clear" w:pos="720"/>
        </w:tabs>
        <w:spacing w:after="160" w:line="300" w:lineRule="exact"/>
        <w:ind w:left="360"/>
        <w:rPr>
          <w:rFonts w:ascii="Verdana" w:hAnsi="Verdana" w:cs="Arial"/>
          <w:kern w:val="20"/>
          <w:lang w:val="pt-BR" w:eastAsia="pt-BR"/>
        </w:rPr>
      </w:pPr>
      <w:r>
        <w:rPr>
          <w:rFonts w:ascii="Verdana" w:hAnsi="Verdana" w:cs="Arial"/>
          <w:bCs/>
          <w:kern w:val="20"/>
          <w:lang w:val="pt-BR" w:eastAsia="pt-BR"/>
        </w:rPr>
        <w:t>sucesso na implementação da estratégia da Emissora; e</w:t>
      </w:r>
    </w:p>
    <w:p>
      <w:pPr>
        <w:numPr>
          <w:ilvl w:val="0"/>
          <w:numId w:val="1"/>
        </w:numPr>
        <w:tabs>
          <w:tab w:val="clear" w:pos="720"/>
        </w:tabs>
        <w:spacing w:after="160" w:line="300" w:lineRule="exact"/>
        <w:ind w:left="360"/>
        <w:rPr>
          <w:rFonts w:ascii="Verdana" w:hAnsi="Verdana" w:cs="Arial"/>
          <w:kern w:val="20"/>
          <w:lang w:val="pt-BR" w:eastAsia="pt-BR"/>
        </w:rPr>
      </w:pPr>
      <w:r>
        <w:rPr>
          <w:rFonts w:ascii="Verdana" w:hAnsi="Verdana" w:cs="Arial"/>
          <w:b/>
          <w:bCs/>
          <w:kern w:val="20"/>
          <w:lang w:val="pt-BR" w:eastAsia="pt-BR"/>
        </w:rPr>
        <w:t>outros fatores de risco discutidos na seção “Fatores de Risco Relacionados à Oferta e às Debêntures”, nas páginas [</w:t>
      </w:r>
      <w:r>
        <w:rPr>
          <w:rFonts w:ascii="Verdana" w:hAnsi="Verdana" w:cs="Arial"/>
          <w:b/>
          <w:bCs/>
          <w:kern w:val="20"/>
          <w:lang w:val="pt-BR" w:eastAsia="pt-BR"/>
        </w:rPr>
        <w:sym w:font="Symbol" w:char="F0B7"/>
      </w:r>
      <w:r>
        <w:rPr>
          <w:rFonts w:ascii="Verdana" w:hAnsi="Verdana" w:cs="Arial"/>
          <w:b/>
          <w:bCs/>
          <w:kern w:val="20"/>
          <w:lang w:val="pt-BR" w:eastAsia="pt-BR"/>
        </w:rPr>
        <w:t>] a [</w:t>
      </w:r>
      <w:r>
        <w:rPr>
          <w:rFonts w:ascii="Verdana" w:hAnsi="Verdana" w:cs="Arial"/>
          <w:b/>
          <w:bCs/>
          <w:kern w:val="20"/>
          <w:lang w:val="pt-BR" w:eastAsia="pt-BR"/>
        </w:rPr>
        <w:sym w:font="Symbol" w:char="F0B7"/>
      </w:r>
      <w:r>
        <w:rPr>
          <w:rFonts w:ascii="Verdana" w:hAnsi="Verdana" w:cs="Arial"/>
          <w:b/>
          <w:bCs/>
          <w:kern w:val="20"/>
          <w:lang w:val="pt-BR" w:eastAsia="pt-BR"/>
        </w:rPr>
        <w:t xml:space="preserve">] deste Prospecto, bem como na seção “4. Fatores de Risco” do Formulário de Referência, </w:t>
      </w:r>
      <w:r>
        <w:rPr>
          <w:rFonts w:ascii="Verdana" w:hAnsi="Verdana" w:cs="Arial"/>
          <w:b/>
          <w:kern w:val="20"/>
          <w:lang w:val="pt-BR" w:eastAsia="pt-BR"/>
        </w:rPr>
        <w:t>incorporado por referência a este Prospecto</w:t>
      </w:r>
      <w:r>
        <w:rPr>
          <w:rFonts w:ascii="Verdana" w:hAnsi="Verdana" w:cs="Arial"/>
          <w:b/>
          <w:bCs/>
          <w:kern w:val="20"/>
          <w:lang w:val="pt-BR" w:eastAsia="pt-BR"/>
        </w:rPr>
        <w:t>.</w:t>
      </w:r>
    </w:p>
    <w:p>
      <w:pPr>
        <w:spacing w:line="300" w:lineRule="exact"/>
        <w:rPr>
          <w:rFonts w:ascii="Verdana" w:hAnsi="Verdana" w:cs="Arial"/>
          <w:kern w:val="20"/>
          <w:lang w:val="pt-BR" w:eastAsia="pt-BR"/>
        </w:rPr>
      </w:pPr>
      <w:r>
        <w:rPr>
          <w:rFonts w:ascii="Verdana" w:hAnsi="Verdana" w:cs="Arial"/>
          <w:kern w:val="20"/>
          <w:lang w:val="pt-BR" w:eastAsia="pt-BR"/>
        </w:rPr>
        <w:t>Essa lista de fatores de risco não é exaustiva e outros riscos e incertezas que não são nesta data do conhecimento da Emissora podem causar resultados que podem vir a ser substancialmente diferentes daqueles contidos nas estimativas e perspectivas sobre o futuro.</w:t>
      </w:r>
    </w:p>
    <w:p>
      <w:pPr>
        <w:spacing w:line="300" w:lineRule="exact"/>
        <w:rPr>
          <w:rFonts w:ascii="Verdana" w:hAnsi="Verdana" w:cs="Arial"/>
          <w:b/>
          <w:caps/>
          <w:kern w:val="20"/>
          <w:lang w:val="pt-BR" w:eastAsia="pt-BR"/>
        </w:rPr>
      </w:pPr>
      <w:r>
        <w:rPr>
          <w:rFonts w:ascii="Verdana" w:hAnsi="Verdana" w:cs="Arial"/>
          <w:b/>
          <w:caps/>
          <w:kern w:val="20"/>
          <w:lang w:val="pt-BR" w:eastAsia="pt-BR"/>
        </w:rPr>
        <w:t>O investidor deve estar ciente de que os fatores mencionados acima, além de outros discutidos neste Prospecto e no Formulário de Referência, INCORPORADO POR REFERÊNCIA A este Prospecto, poderão afetar OS resultados futuros DA EMISSORA e poderão levar a resultados diferentes daqueles contidos, expressa ou implicitamente, nas declarações e estimativas neste Prospecto. Tais estimativas referem-se apenas à data em que foram expressas, sendo que A EMISSORA e os Coordenadores não assumEM a obrigação de atualizar publicamente ou revisar quaisquer dessas estimativas e declarações futuras em razão da ocorrência de nova informação, eventos futuros ou de qualquer outra forma. Muitos dos fatores que determinarão esses resultados e valores estão além da capacidade de controle ou previsão DA EMISSORA.</w:t>
      </w:r>
    </w:p>
    <w:p>
      <w:pPr>
        <w:spacing w:line="300" w:lineRule="exact"/>
        <w:rPr>
          <w:rFonts w:ascii="Verdana" w:hAnsi="Verdana" w:cs="Arial"/>
          <w:kern w:val="20"/>
          <w:lang w:val="pt-BR" w:eastAsia="pt-BR"/>
        </w:rPr>
      </w:pPr>
      <w:r>
        <w:rPr>
          <w:rFonts w:ascii="Verdana" w:hAnsi="Verdana" w:cs="Arial"/>
          <w:kern w:val="20"/>
          <w:lang w:val="pt-BR" w:eastAsia="pt-BR"/>
        </w:rPr>
        <w:t>As palavras “acredita”, “pode”, “poderá”, “estima”, “continua”, “antecipa”, “pretende”, “espera” e palavras similares, quando utilizadas nesse Prospecto, têm por objetivo identificar estimativas e perspectivas para o futuro. Estas estimativas envolvem riscos e incertezas e não representam qualquer garantia de um desempenho futuro, sendo que os reais resultados ou desenvolvimentos podem ser substancialmente diferentes das expectativas descritas nas estimativas e declarações futuras constantes neste Prospecto e no Formulário de Referência, incorporado por referência a este Prospecto.</w:t>
      </w:r>
    </w:p>
    <w:p>
      <w:pPr>
        <w:spacing w:line="300" w:lineRule="exact"/>
        <w:rPr>
          <w:rFonts w:ascii="Verdana" w:hAnsi="Verdana" w:cs="Arial"/>
          <w:kern w:val="20"/>
          <w:lang w:val="pt-BR" w:eastAsia="pt-BR"/>
        </w:rPr>
      </w:pPr>
      <w:r>
        <w:rPr>
          <w:rFonts w:ascii="Verdana" w:hAnsi="Verdana" w:cs="Arial"/>
          <w:kern w:val="20"/>
          <w:lang w:val="pt-BR" w:eastAsia="pt-BR"/>
        </w:rPr>
        <w:t xml:space="preserve">Declarações prospectivas envolvem riscos, incertezas e premissas, pois se referem a eventos futuros e, portanto, dependem de circunstâncias que podem ou não ocorrer. As condições da situação financeira futura da Emissora e de seus resultados operacionais futuros, sua participação e posição competitiva no mercado poderão apresentar diferenças significativas se comparados àquelas expressas ou sugeridas nas referidas </w:t>
      </w:r>
      <w:r>
        <w:rPr>
          <w:rFonts w:ascii="Verdana" w:hAnsi="Verdana" w:cs="Arial"/>
          <w:kern w:val="20"/>
          <w:lang w:val="pt-BR" w:eastAsia="pt-BR"/>
        </w:rPr>
        <w:lastRenderedPageBreak/>
        <w:t>declarações prospectivas. Muitos dos fatores que determinarão esses resultados e valores estão além da sua capacidade de controle ou previsão. Em vista dos riscos e incertezas envolvidos, nenhuma decisão de investimento deve ser tomada somente baseada nas estimativas e declarações futuras contidas neste Prospecto e no Formulário de Referência, incorporado por referência a este Prospecto.</w:t>
      </w:r>
    </w:p>
    <w:p>
      <w:pPr>
        <w:pStyle w:val="HOMEBRBodyText"/>
        <w:spacing w:line="300" w:lineRule="exact"/>
        <w:rPr>
          <w:rFonts w:ascii="Verdana" w:hAnsi="Verdana" w:cs="Arial"/>
        </w:rPr>
      </w:pPr>
      <w:r>
        <w:rPr>
          <w:rFonts w:ascii="Verdana" w:hAnsi="Verdana" w:cs="Arial"/>
          <w:kern w:val="20"/>
          <w:lang w:eastAsia="pt-BR"/>
        </w:rPr>
        <w:t>Adicionalmente, os números incluídos neste Prospecto e no Formulário de Referência da Emissora incorporado por referência a este Prospecto podem ter sido, em alguns casos, arredondados para números inteiros.</w:t>
      </w:r>
    </w:p>
    <w:p>
      <w:pPr>
        <w:pStyle w:val="Ttulo1"/>
        <w:spacing w:line="300" w:lineRule="exact"/>
        <w:rPr>
          <w:rFonts w:ascii="Verdana" w:hAnsi="Verdana"/>
          <w:lang w:val="pt-BR"/>
        </w:rPr>
      </w:pPr>
      <w:bookmarkStart w:id="17" w:name="_Ref483328580"/>
      <w:bookmarkStart w:id="18" w:name="_Toc484715948"/>
      <w:r>
        <w:rPr>
          <w:rFonts w:ascii="Verdana" w:hAnsi="Verdana"/>
          <w:lang w:val="pt-BR"/>
        </w:rPr>
        <w:lastRenderedPageBreak/>
        <w:t>SUMÁRIO DA OFERTA</w:t>
      </w:r>
      <w:bookmarkEnd w:id="17"/>
      <w:bookmarkEnd w:id="18"/>
    </w:p>
    <w:p>
      <w:pPr>
        <w:pStyle w:val="HOMEBRBodyText"/>
        <w:spacing w:line="300" w:lineRule="exact"/>
        <w:rPr>
          <w:rFonts w:ascii="Verdana" w:hAnsi="Verdana" w:cs="Arial"/>
          <w:b/>
        </w:rPr>
      </w:pPr>
      <w:r>
        <w:rPr>
          <w:rFonts w:ascii="Verdana" w:hAnsi="Verdana" w:cs="Arial"/>
          <w:b/>
        </w:rPr>
        <w:t>O PRESENTE SUMÁRIO NÃO CONTÉM TODAS AS INFORMAÇÕES QUE O POTENCIAL INVESTIDOR DEVE CONSIDERAR ANTES DE INVESTIR NAS DEBÊNTURES. O POTENCIAL INVESTIDOR DEVE LER CUIDADOSA E ATENTAMENTE TODO ESTE PROSPECTO, PRINCIPALMENTE AS INFORMAÇÕES CONTIDAS NA SEÇÃO “FATORES DE RISCO RELACIONADOS À OFERTA E ÀS DEBÊNTURES”, A PARTIR DA PÁGINA [</w:t>
      </w:r>
      <w:r>
        <w:rPr>
          <w:rFonts w:ascii="Verdana" w:hAnsi="Verdana" w:cs="Arial"/>
          <w:b/>
        </w:rPr>
        <w:sym w:font="Symbol" w:char="F0B7"/>
      </w:r>
      <w:r>
        <w:rPr>
          <w:rFonts w:ascii="Verdana" w:hAnsi="Verdana" w:cs="Arial"/>
          <w:b/>
        </w:rPr>
        <w:t xml:space="preserve">] DESTE PROSPECTO, NO FORMULÁRIO DE REFERÊNCIA DA EMISSORA, ESPECIALMENTE A SEÇÃO “4. FATORES DE RISCO”, E NAS DEMONSTRAÇÕES FINANCEIRAS E RESPECTIVAS NOTAS EXPLICATIVAS, PARA MELHOR COMPREENSÃO DAS ATIVIDADES DA EMISSORA E DA OFERTA, ANTES DE TOMAR A DECISÃO DE INVESTIR NAS DEBÊNTURES.  </w:t>
      </w:r>
    </w:p>
    <w:p>
      <w:pPr>
        <w:pStyle w:val="HOMEBRBodyText"/>
        <w:spacing w:line="300" w:lineRule="exact"/>
        <w:rPr>
          <w:rFonts w:ascii="Verdana" w:hAnsi="Verdana" w:cs="Arial"/>
          <w:b/>
        </w:rPr>
      </w:pPr>
    </w:p>
    <w:tbl>
      <w:tblPr>
        <w:tblW w:w="4972" w:type="pct"/>
        <w:tblCellMar>
          <w:left w:w="72" w:type="dxa"/>
          <w:right w:w="72" w:type="dxa"/>
        </w:tblCellMar>
        <w:tblLook w:val="01E0" w:firstRow="1" w:lastRow="1" w:firstColumn="1" w:lastColumn="1" w:noHBand="0" w:noVBand="0"/>
      </w:tblPr>
      <w:tblGrid>
        <w:gridCol w:w="3134"/>
        <w:gridCol w:w="5655"/>
      </w:tblGrid>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Agente Fiduciário</w:t>
            </w:r>
          </w:p>
        </w:tc>
        <w:tc>
          <w:tcPr>
            <w:tcW w:w="3217" w:type="pct"/>
            <w:shd w:val="clear" w:color="auto" w:fill="auto"/>
          </w:tcPr>
          <w:p>
            <w:pPr>
              <w:pStyle w:val="HOMEBRBodyText"/>
              <w:keepLines w:val="0"/>
              <w:widowControl w:val="0"/>
              <w:spacing w:line="300" w:lineRule="exact"/>
              <w:ind w:hanging="88"/>
              <w:contextualSpacing/>
              <w:rPr>
                <w:rFonts w:ascii="Verdana" w:hAnsi="Verdana" w:cs="Arial"/>
              </w:rPr>
            </w:pPr>
            <w:r>
              <w:rPr>
                <w:rFonts w:ascii="Verdana" w:eastAsia="Calibri" w:hAnsi="Verdana" w:cs="Arial"/>
                <w:b/>
              </w:rPr>
              <w:t>SIMPLIFIC PAVARINI DISTRIBUIDORA DE TÍTULOS E VALORES MOBILIÁRIOS LTDA.</w:t>
            </w:r>
            <w:r>
              <w:rPr>
                <w:rFonts w:ascii="Verdana" w:eastAsia="Calibri" w:hAnsi="Verdana" w:cs="Arial"/>
              </w:rPr>
              <w:t xml:space="preserve">, instituição financeira, com endereço na cidade de São Paulo, Estado de São Paulo, na Rua Joaquim Floriano, 466 – </w:t>
            </w:r>
            <w:r>
              <w:rPr>
                <w:rFonts w:ascii="Verdana" w:eastAsia="Calibri" w:hAnsi="Verdana" w:cs="Arial"/>
              </w:rPr>
              <w:br/>
              <w:t>Bloco B, Sala 1401, Itaim Bibi, inscrita no CNPJ/ME sob o nº 15.227.994/0004-01 (www.simplificpavarini.com.br)</w:t>
            </w:r>
            <w:r>
              <w:rPr>
                <w:rFonts w:ascii="Verdana" w:eastAsia="Calibri" w:hAnsi="Verdana" w:cs="Arial"/>
                <w:lang w:val="pt-PT"/>
              </w:rPr>
              <w:t xml:space="preserve">, telefones </w:t>
            </w:r>
            <w:r>
              <w:rPr>
                <w:rFonts w:ascii="Verdana" w:eastAsia="Calibri" w:hAnsi="Verdana" w:cs="Arial"/>
              </w:rPr>
              <w:t>(11) 3090-0447 ou (21) 2507-1949</w:t>
            </w:r>
            <w:r>
              <w:rPr>
                <w:rFonts w:ascii="Verdana" w:eastAsia="Calibri" w:hAnsi="Verdana" w:cs="Arial"/>
                <w:lang w:val="pt-PT"/>
              </w:rPr>
              <w:t xml:space="preserve">, correio eletrônico: </w:t>
            </w:r>
            <w:r>
              <w:rPr>
                <w:rFonts w:ascii="Verdana" w:eastAsia="Calibri" w:hAnsi="Verdana" w:cs="Arial"/>
              </w:rPr>
              <w:t xml:space="preserve">fiduciario@simplificpavarini.com.br. Para os fins do artigo 6º, §2º da Instrução CVM 583 e com base no organograma da Emissora, o Agente Fiduciário declara que presta serviços de agente fiduciário e/ou agente de notas nas seguintes emissões: </w:t>
            </w:r>
            <w:r>
              <w:rPr>
                <w:rFonts w:ascii="Verdana" w:eastAsia="Calibri" w:hAnsi="Verdana" w:cs="Arial"/>
                <w:iCs/>
              </w:rPr>
              <w:t xml:space="preserve">(i) quarta emissão de debêntures não conversíveis em ações, da espécie quirografária, da COMGÁS, no valor de R$ 591.894.000,00 (quinhentos e noventa e um milhões, oitocentos e noventa e quatro mil reais), na data de emissão, qual seja, 15 de dezembro de 2015, em três séries, sendo (1) 269.620 (duzentos e sessenta e nove mil, seiscentas e vinte) debêntures da primeira série; (2) 242.374 (duzentos e quarenta e dois mil, trezentas e setenta e quatro) debêntures da segunda série; e (3) 79.900 (setenta e nove mil e novecentas) debêntures da terceira série, e data de vencimento em 15 de dezembro de 2020, 15 de dezembro de 2022 e 15 de dezembro de 2025, e valor nominal de R$ 1.000,00 (mil reais), e taxas de juros de IPCA + 7,1432%, IPCA + 7,4820% e IPCA + 7,3570, respectivamente. Até a </w:t>
            </w:r>
            <w:r>
              <w:rPr>
                <w:rFonts w:ascii="Verdana" w:eastAsia="Calibri" w:hAnsi="Verdana" w:cs="Arial"/>
                <w:iCs/>
              </w:rPr>
              <w:lastRenderedPageBreak/>
              <w:t xml:space="preserve">presente data não ocorreram eventos de inadimplemento; (ii) quinta emissão de debêntures simples, da espécie quirografária, da COMGÁS, em série única, no valor de R$675.000.000,00 (seiscentos e setenta e cinco milhões de reais), na data de emissão, qual seja, 15 de dezembro de 2016, representada por 675.000 (seiscentas e setenta e cinco mil) debêntures, com vencimento em 15 de dezembro de 2023, sendo o valor nominal unitário de debênture de R$1.000,00 (mil reais) e taxa de IPCA + 5,8680% a.a.. Até a presente data não ocorreram quaisquer eventos de inadimplemento; (iii) sexta emissão de debêntures simples, da espécie quirografária, da COMGÁS, em série única, no valor de R$ 400.000.000,00 (quatrocentos milhões de reais), na data de emissão, qual seja, 15 de outubro de 2017, representada por 400.000 (quatrocentas mil) debêntures, sendo o valor nominal unitário de debênture de R$1.000,00 (mil reais) e taxa de IPCA + 4,3338% a.a. Até a presente data não ocorreram quaisquer eventos de inadimplemento; (iv) sétima emissão de debêntures simples, da espécie quirografária, da COMGÁS, em série única, no valor de R$ 215.000.000,00 (duzentos e quinze milhões de reais), na data de emissão, qual seja, 15 de maio de 2018, representada por 215.000 (duzentas e quinze mil) debêntures, com vencimento em 15 de maio de 2028, sendo o valor nominal unitário de debênture de R$1.000,00 (mil reais) e taxa de IGPM + 6,10% a.a. Até a presente data não ocorreram quaisquer eventos de inadimplemento; (v) décima primeira emissão de debêntures simples, da espécie quirografária com garantia adicional fidejussória prestada pela Emissora, da Rumo Malha Norte S.A., em série única, no valor de R$ 500.000.000,00 (quinhentos milhões de reais), na data de emissão, qual seja, 15 de fevereiro de 2019, representada por 500.000 (quinhentas mil) debêntures, com vencimento em 15 de fevereiro de 2026, sendo o valor nominal unitário de R$ 1.000,00 (mil reais) e taxa de IPCA + 4,6750%; e (vi) décima segunda emissão de debêntures simples da espécie quirografária da Emissora, em série única, no valor de R$ 600.000.000,00 (seiscentos milhões de reais), na </w:t>
            </w:r>
            <w:r>
              <w:rPr>
                <w:rFonts w:ascii="Verdana" w:eastAsia="Calibri" w:hAnsi="Verdana" w:cs="Arial"/>
                <w:iCs/>
              </w:rPr>
              <w:lastRenderedPageBreak/>
              <w:t>data de emissão, qual seja, 15 de fevereiro de 2019, representada por 600.000 (seiscentas mil) debêntures, com vencimento em 15 de fevereiro de 2029, sendo o valor nominal unitário de R$ 1.000,00 (mil reais) e taxa de IPCA + 4,5000%. Até a presente data não ocorreram quaisquer eventos de inadimplemento. [</w:t>
            </w:r>
            <w:r>
              <w:rPr>
                <w:rFonts w:ascii="Verdana" w:eastAsia="Calibri" w:hAnsi="Verdana" w:cs="Arial"/>
                <w:iCs/>
                <w:highlight w:val="yellow"/>
              </w:rPr>
              <w:t>Nota PNA: A ser confirmado pelo AF</w:t>
            </w:r>
            <w:r>
              <w:rPr>
                <w:rFonts w:ascii="Verdana" w:eastAsia="Calibri" w:hAnsi="Verdana" w:cs="Arial"/>
                <w:iCs/>
              </w:rPr>
              <w:t>.]</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lastRenderedPageBreak/>
              <w:t>Amortização Extraordinária Facultativa</w:t>
            </w:r>
          </w:p>
        </w:tc>
        <w:tc>
          <w:tcPr>
            <w:tcW w:w="3217" w:type="pct"/>
            <w:shd w:val="clear" w:color="auto" w:fill="auto"/>
          </w:tcPr>
          <w:p>
            <w:pPr>
              <w:pStyle w:val="HOMEBRBodyText"/>
              <w:keepLines w:val="0"/>
              <w:widowControl w:val="0"/>
              <w:spacing w:line="300" w:lineRule="exact"/>
              <w:contextualSpacing/>
              <w:rPr>
                <w:rFonts w:ascii="Verdana" w:hAnsi="Verdana" w:cs="Arial"/>
              </w:rPr>
            </w:pPr>
            <w:r>
              <w:rPr>
                <w:rFonts w:ascii="Verdana" w:hAnsi="Verdana" w:cs="Arial"/>
              </w:rPr>
              <w:t>As Debêntures não estarão sujeitas a amortização extraordinária facultativa pela Emissora.</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spacing w:val="-6"/>
              </w:rPr>
            </w:pPr>
            <w:r>
              <w:rPr>
                <w:rFonts w:ascii="Verdana" w:eastAsia="Calibri" w:hAnsi="Verdana" w:cs="Arial"/>
                <w:b/>
                <w:spacing w:val="-6"/>
              </w:rPr>
              <w:t>Aquisição Facultativa</w:t>
            </w:r>
          </w:p>
        </w:tc>
        <w:tc>
          <w:tcPr>
            <w:tcW w:w="3217" w:type="pct"/>
            <w:shd w:val="clear" w:color="auto" w:fill="auto"/>
          </w:tcPr>
          <w:p>
            <w:pPr>
              <w:pStyle w:val="HOMEBRBodyText"/>
              <w:spacing w:after="140" w:line="300" w:lineRule="exact"/>
              <w:contextualSpacing/>
              <w:rPr>
                <w:rFonts w:ascii="Verdana" w:hAnsi="Verdana" w:cs="Arial"/>
                <w:bCs/>
                <w:spacing w:val="-6"/>
              </w:rPr>
            </w:pPr>
            <w:r>
              <w:rPr>
                <w:rFonts w:ascii="Verdana" w:hAnsi="Verdana" w:cs="Arial"/>
                <w:bCs/>
                <w:spacing w:val="-6"/>
              </w:rPr>
              <w:t>As Debêntures poderão ser adquiridas pela Emissora, no mercado secundário, condicionado ao aceite do respectivo Debenturista vendedor e observado o disposto no artigo 55, parágrafo 3º, da Lei das Sociedades por Ações, por valor igual ou inferior ao Valor Nominal Atualizado, devendo o fato constar do relatório da administração e das demonstrações financeiras, ou por valor superior ao Valor Nominal Atualizado, desde que observe as regras expedidas pela CVM. A aquisição facultativa poderá ocorrer após 2 (dois) anos contados da Data de Emissão, e observado o disposto na Lei nº 12.431 e na regulamentação aplicável da CVM e do CMN, ou antes de tal data, desde que venha a ser legalmente permitido, nos termos no artigo 1º, parágrafo 1º, inciso II da Lei nº 12.431, da regulamentação do CMN ou de outra legislação ou regulamentação aplicável.</w:t>
            </w:r>
          </w:p>
          <w:p>
            <w:pPr>
              <w:pStyle w:val="HOMEBRBodyText"/>
              <w:spacing w:after="140" w:line="300" w:lineRule="exact"/>
              <w:contextualSpacing/>
              <w:rPr>
                <w:rFonts w:ascii="Verdana" w:hAnsi="Verdana" w:cs="Arial"/>
                <w:bCs/>
                <w:spacing w:val="-6"/>
              </w:rPr>
            </w:pPr>
          </w:p>
          <w:p>
            <w:pPr>
              <w:pStyle w:val="HOMEBRBodyText"/>
              <w:spacing w:after="140" w:line="300" w:lineRule="exact"/>
              <w:contextualSpacing/>
              <w:rPr>
                <w:rFonts w:ascii="Verdana" w:hAnsi="Verdana" w:cs="Arial"/>
                <w:bCs/>
                <w:spacing w:val="-6"/>
              </w:rPr>
            </w:pPr>
            <w:r>
              <w:rPr>
                <w:rFonts w:ascii="Verdana" w:hAnsi="Verdana" w:cs="Arial"/>
                <w:bCs/>
                <w:spacing w:val="-6"/>
              </w:rPr>
              <w:t>As Debêntures que venham a ser adquiridas nos termos do parágrafo acima poderão: (i) ser canceladas, caso seja legalmente permitido, observado o disposto na Lei nº 12.431, nas regras expedidas pelo CMN e na regulamentação aplicável; (ii) permanecer na tesouraria da Emissora; ou (iii) ser novamente colocadas no mercado. As Debêntures adquiridas pela Emissora para permanência em tesouraria nos termos deste item, se e quando recolocadas no mercado, farão jus aos mesmos valores de atualização monetária e juros remuneratórios das demais Debêntures, conforme aplicável.</w:t>
            </w:r>
          </w:p>
          <w:p>
            <w:pPr>
              <w:pStyle w:val="HOMEBRBodyText"/>
              <w:keepLines w:val="0"/>
              <w:spacing w:after="140" w:line="300" w:lineRule="exact"/>
              <w:contextualSpacing/>
              <w:rPr>
                <w:rFonts w:ascii="Verdana" w:eastAsia="Calibri" w:hAnsi="Verdana" w:cs="Arial"/>
                <w:b/>
                <w:spacing w:val="-6"/>
              </w:rPr>
            </w:pPr>
            <w:r>
              <w:rPr>
                <w:rFonts w:ascii="Verdana" w:hAnsi="Verdana" w:cs="Arial"/>
                <w:b/>
                <w:bCs/>
                <w:spacing w:val="-6"/>
              </w:rPr>
              <w:t xml:space="preserve">Para mais informações sobre a Aquisição Facultativa, veja a seção “Fatores de Risco Relacionados à Oferta e às Debêntures - As Debêntures poderão ser objeto de Aquisição Facultativa, nos termos previstos na Escritura, o que </w:t>
            </w:r>
            <w:r>
              <w:rPr>
                <w:rFonts w:ascii="Verdana" w:hAnsi="Verdana" w:cs="Arial"/>
                <w:b/>
                <w:bCs/>
                <w:spacing w:val="-6"/>
              </w:rPr>
              <w:lastRenderedPageBreak/>
              <w:t>poderá impactar de maneira adversa na liquidez das Debêntures no mercado secundário”, na página [</w:t>
            </w:r>
            <w:r>
              <w:rPr>
                <w:rFonts w:ascii="Verdana" w:hAnsi="Verdana" w:cs="Arial"/>
                <w:b/>
                <w:bCs/>
                <w:spacing w:val="-6"/>
              </w:rPr>
              <w:sym w:font="Symbol" w:char="F0B7"/>
            </w:r>
            <w:r>
              <w:rPr>
                <w:rFonts w:ascii="Verdana" w:hAnsi="Verdana" w:cs="Arial"/>
                <w:b/>
                <w:bCs/>
                <w:spacing w:val="-6"/>
              </w:rPr>
              <w:t>] deste Prospecto Preliminar.</w:t>
            </w:r>
          </w:p>
        </w:tc>
      </w:tr>
      <w:tr>
        <w:tc>
          <w:tcPr>
            <w:tcW w:w="1783" w:type="pct"/>
            <w:shd w:val="clear" w:color="auto" w:fill="auto"/>
          </w:tcPr>
          <w:p>
            <w:pPr>
              <w:pStyle w:val="HOMEBRBodyText"/>
              <w:keepLines w:val="0"/>
              <w:spacing w:line="300" w:lineRule="exact"/>
              <w:contextualSpacing/>
              <w:jc w:val="left"/>
              <w:rPr>
                <w:rFonts w:ascii="Verdana" w:eastAsia="Calibri" w:hAnsi="Verdana" w:cs="Arial"/>
                <w:b/>
              </w:rPr>
            </w:pPr>
            <w:r>
              <w:rPr>
                <w:rFonts w:ascii="Verdana" w:hAnsi="Verdana" w:cs="Arial"/>
                <w:b/>
              </w:rPr>
              <w:lastRenderedPageBreak/>
              <w:t>Atualização Monetária</w:t>
            </w:r>
          </w:p>
        </w:tc>
        <w:tc>
          <w:tcPr>
            <w:tcW w:w="3217" w:type="pct"/>
            <w:shd w:val="clear" w:color="auto" w:fill="auto"/>
          </w:tcPr>
          <w:p>
            <w:pPr>
              <w:pStyle w:val="HOMEBRBodyText"/>
              <w:keepLines w:val="0"/>
              <w:spacing w:line="300" w:lineRule="exact"/>
              <w:contextualSpacing/>
              <w:rPr>
                <w:rFonts w:ascii="Verdana" w:hAnsi="Verdana" w:cs="Arial"/>
                <w:lang w:val="pt-PT"/>
              </w:rPr>
            </w:pPr>
            <w:r>
              <w:rPr>
                <w:rFonts w:ascii="Verdana" w:hAnsi="Verdana" w:cs="Arial"/>
              </w:rPr>
              <w:t xml:space="preserve">O Valor Nominal Unitário ou saldo do Valor Nominal Unitário, conforme o caso, das Debêntures será atualizado pela variação acumulada do IPCA, apurado e divulgado mensalmente pelo IBGE, calculada de forma exponencial e cumulativa </w:t>
            </w:r>
            <w:r>
              <w:rPr>
                <w:rFonts w:ascii="Verdana" w:hAnsi="Verdana" w:cs="Arial"/>
                <w:i/>
              </w:rPr>
              <w:t>pro rata temporis</w:t>
            </w:r>
            <w:r>
              <w:rPr>
                <w:rFonts w:ascii="Verdana" w:hAnsi="Verdana" w:cs="Arial"/>
              </w:rPr>
              <w:t xml:space="preserve"> desde a Primeira Data de Integralização até a data de seu efetivo pagamento, </w:t>
            </w:r>
            <w:r>
              <w:rPr>
                <w:rFonts w:ascii="Verdana" w:hAnsi="Verdana" w:cs="Arial"/>
                <w:lang w:val="pt-PT"/>
              </w:rPr>
              <w:t xml:space="preserve">de acordo com a fórmula descrita na Escritura. </w:t>
            </w:r>
            <w:r>
              <w:rPr>
                <w:rFonts w:ascii="Verdana" w:hAnsi="Verdana" w:cs="Arial"/>
              </w:rPr>
              <w:t>O produto da Atualização Monetária automaticamente incorporado ao Valor Nominal Unitário ou saldo do Valor Nominal Unitário das Debêntures</w:t>
            </w:r>
            <w:r>
              <w:rPr>
                <w:rFonts w:ascii="Verdana" w:hAnsi="Verdana" w:cs="Arial"/>
                <w:lang w:val="pt-PT"/>
              </w:rPr>
              <w:t>.</w:t>
            </w:r>
          </w:p>
          <w:p>
            <w:pPr>
              <w:pStyle w:val="HOMEBRBodyText"/>
              <w:keepLines w:val="0"/>
              <w:spacing w:line="300" w:lineRule="exact"/>
              <w:contextualSpacing/>
              <w:rPr>
                <w:rFonts w:ascii="Verdana" w:hAnsi="Verdana" w:cs="Arial"/>
                <w:lang w:val="pt-PT"/>
              </w:rPr>
            </w:pPr>
          </w:p>
          <w:p>
            <w:pPr>
              <w:pStyle w:val="HOMEBRBodyText"/>
              <w:keepLines w:val="0"/>
              <w:spacing w:line="300" w:lineRule="exact"/>
              <w:contextualSpacing/>
              <w:rPr>
                <w:rFonts w:ascii="Verdana" w:hAnsi="Verdana" w:cs="Arial"/>
              </w:rPr>
            </w:pPr>
            <w:r>
              <w:rPr>
                <w:rFonts w:ascii="Verdana" w:hAnsi="Verdana" w:cs="Arial"/>
              </w:rPr>
              <w:t>Para mais informações, veja a seção “Características da Emissão e das Debêntures – Atualização Monetária”, na página [</w:t>
            </w:r>
            <w:r>
              <w:rPr>
                <w:rFonts w:ascii="Verdana" w:hAnsi="Verdana" w:cs="Arial"/>
              </w:rPr>
              <w:sym w:font="Symbol" w:char="F0B7"/>
            </w:r>
            <w:r>
              <w:rPr>
                <w:rFonts w:ascii="Verdana" w:hAnsi="Verdana" w:cs="Arial"/>
              </w:rPr>
              <w:t>] deste Prospecto.</w:t>
            </w:r>
          </w:p>
        </w:tc>
      </w:tr>
      <w:tr>
        <w:tc>
          <w:tcPr>
            <w:tcW w:w="1783" w:type="pct"/>
            <w:shd w:val="clear" w:color="auto" w:fill="auto"/>
          </w:tcPr>
          <w:p>
            <w:pPr>
              <w:pStyle w:val="HOMEBRBodyText"/>
              <w:keepLines w:val="0"/>
              <w:spacing w:line="300" w:lineRule="exact"/>
              <w:contextualSpacing/>
              <w:jc w:val="left"/>
              <w:rPr>
                <w:rFonts w:ascii="Verdana" w:eastAsia="Calibri" w:hAnsi="Verdana" w:cs="Arial"/>
                <w:b/>
              </w:rPr>
            </w:pPr>
            <w:r>
              <w:rPr>
                <w:rFonts w:ascii="Verdana" w:eastAsia="Calibri" w:hAnsi="Verdana" w:cs="Arial"/>
                <w:b/>
              </w:rPr>
              <w:t>Autorização</w:t>
            </w:r>
          </w:p>
        </w:tc>
        <w:tc>
          <w:tcPr>
            <w:tcW w:w="3217" w:type="pct"/>
            <w:shd w:val="clear" w:color="auto" w:fill="auto"/>
          </w:tcPr>
          <w:p>
            <w:pPr>
              <w:pStyle w:val="HOMEBRBodyText"/>
              <w:keepLines w:val="0"/>
              <w:spacing w:line="300" w:lineRule="exact"/>
              <w:contextualSpacing/>
              <w:rPr>
                <w:rFonts w:ascii="Verdana" w:eastAsia="Calibri" w:hAnsi="Verdana" w:cs="Arial"/>
              </w:rPr>
            </w:pPr>
            <w:bookmarkStart w:id="19" w:name="_Hlk536735503"/>
            <w:r>
              <w:rPr>
                <w:rFonts w:ascii="Verdana" w:eastAsia="Calibri" w:hAnsi="Verdana" w:cs="Arial"/>
                <w:lang w:val="pt-PT"/>
              </w:rPr>
              <w:t xml:space="preserve">A Escritura foi celebrada com base nas deliberações tomadas pelo Conselho de Administração da Emissora na RCA da Emissão, na qual foi deliberada a realização da Emissão e da Oferta, bem como seus respectivos termos e condições, em conformidade com o disposto no parágrafo 1º do artigo 59 da Lei das Sociedades por Ações e no inciso (xi) do artigo 26 do estatuto social da Emissora. Por meio da RCA da Emissão, a Diretoria da Emissora também foi autorizada a </w:t>
            </w:r>
            <w:r>
              <w:rPr>
                <w:rFonts w:ascii="Verdana" w:eastAsia="Calibri" w:hAnsi="Verdana" w:cs="Arial"/>
              </w:rPr>
              <w:t xml:space="preserve">(i) praticar todos os atos necessários à efetivação das deliberações consubstanciadas na RCA da Emissão, incluindo a celebração de todos os documentos indispensáveis à concretização da Emissão, dentre os quais o aditamento à Escritura que ratificará o resultado do Procedimento de </w:t>
            </w:r>
            <w:r>
              <w:rPr>
                <w:rFonts w:ascii="Verdana" w:eastAsia="Calibri" w:hAnsi="Verdana" w:cs="Arial"/>
                <w:i/>
              </w:rPr>
              <w:t xml:space="preserve">Bookbuilding </w:t>
            </w:r>
            <w:r>
              <w:rPr>
                <w:rFonts w:ascii="Verdana" w:eastAsia="Calibri" w:hAnsi="Verdana" w:cs="Arial"/>
              </w:rPr>
              <w:t xml:space="preserve">e, eventualmente, contemplará o aumento do valor da Oferta mediante a colocação das Debêntures Adicionais; e (ii) formalizar e efetivar a contratação dos Coordenadores, do Agente Fiduciário e dos prestadores de serviços necessários à implementação da Emissão e da Oferta, tais como escriturador, banco liquidante, a B3, a B3 – Segmento Cetip UTVM, dentre outros, podendo, para tanto, </w:t>
            </w:r>
            <w:r>
              <w:rPr>
                <w:rFonts w:ascii="Verdana" w:eastAsia="Calibri" w:hAnsi="Verdana" w:cs="Arial"/>
              </w:rPr>
              <w:lastRenderedPageBreak/>
              <w:t>negociar e assinar os respectivos instrumentos de contratação e eventuais alterações em aditamentos</w:t>
            </w:r>
            <w:r>
              <w:rPr>
                <w:rFonts w:ascii="Verdana" w:eastAsia="Calibri" w:hAnsi="Verdana" w:cs="Arial"/>
                <w:lang w:val="pt-PT"/>
              </w:rPr>
              <w:t>.</w:t>
            </w:r>
            <w:bookmarkEnd w:id="19"/>
          </w:p>
        </w:tc>
      </w:tr>
      <w:tr>
        <w:tc>
          <w:tcPr>
            <w:tcW w:w="1783" w:type="pct"/>
            <w:shd w:val="clear" w:color="auto" w:fill="auto"/>
          </w:tcPr>
          <w:p>
            <w:pPr>
              <w:pStyle w:val="HOMEBRBodyText"/>
              <w:keepLines w:val="0"/>
              <w:spacing w:line="300" w:lineRule="exact"/>
              <w:contextualSpacing/>
              <w:jc w:val="left"/>
              <w:rPr>
                <w:rFonts w:ascii="Verdana" w:eastAsia="Calibri" w:hAnsi="Verdana" w:cs="Arial"/>
                <w:b/>
              </w:rPr>
            </w:pPr>
            <w:r>
              <w:rPr>
                <w:rFonts w:ascii="Verdana" w:eastAsia="Calibri" w:hAnsi="Verdana" w:cs="Arial"/>
                <w:b/>
              </w:rPr>
              <w:lastRenderedPageBreak/>
              <w:t>Banco Liquidante e Escriturador</w:t>
            </w:r>
          </w:p>
        </w:tc>
        <w:tc>
          <w:tcPr>
            <w:tcW w:w="3217" w:type="pct"/>
            <w:shd w:val="clear" w:color="auto" w:fill="auto"/>
          </w:tcPr>
          <w:p>
            <w:pPr>
              <w:pStyle w:val="HOMEBRBodyText"/>
              <w:keepLines w:val="0"/>
              <w:spacing w:line="300" w:lineRule="exact"/>
              <w:contextualSpacing/>
              <w:rPr>
                <w:rFonts w:ascii="Verdana" w:hAnsi="Verdana" w:cs="Arial"/>
              </w:rPr>
            </w:pPr>
            <w:r>
              <w:rPr>
                <w:rFonts w:ascii="Verdana" w:hAnsi="Verdana" w:cs="Arial"/>
              </w:rPr>
              <w:t>O banco liquidante e escriturador da Emissão será o Banco Bradesco S.A., instituição financeira constituída sob a forma de sociedade anônima com sede na Cidade de Osasco, Estado de São Paulo, na Cidade de Deus, s/n°, Prédio Amarelo, 1º andar, Vila Yara, CEP 06029-900, inscrita no CNPJ/ME sob o n° 60.746.948/0001-12.</w:t>
            </w:r>
          </w:p>
        </w:tc>
      </w:tr>
      <w:tr>
        <w:tc>
          <w:tcPr>
            <w:tcW w:w="1783" w:type="pct"/>
            <w:shd w:val="clear" w:color="auto" w:fill="auto"/>
          </w:tcPr>
          <w:p>
            <w:pPr>
              <w:pStyle w:val="HOMEBRBodyText"/>
              <w:keepLines w:val="0"/>
              <w:spacing w:line="300" w:lineRule="exact"/>
              <w:contextualSpacing/>
              <w:jc w:val="left"/>
              <w:rPr>
                <w:rFonts w:ascii="Verdana" w:eastAsia="Calibri" w:hAnsi="Verdana" w:cs="Arial"/>
                <w:b/>
              </w:rPr>
            </w:pPr>
            <w:r>
              <w:rPr>
                <w:rFonts w:ascii="Verdana" w:eastAsia="Calibri" w:hAnsi="Verdana" w:cs="Arial"/>
                <w:b/>
              </w:rPr>
              <w:t>Capital Social da Emissora</w:t>
            </w:r>
          </w:p>
        </w:tc>
        <w:tc>
          <w:tcPr>
            <w:tcW w:w="3217" w:type="pct"/>
            <w:shd w:val="clear" w:color="auto" w:fill="auto"/>
          </w:tcPr>
          <w:p>
            <w:pPr>
              <w:pStyle w:val="HOMEBRBodyText"/>
              <w:keepLines w:val="0"/>
              <w:spacing w:line="300" w:lineRule="exact"/>
              <w:contextualSpacing/>
              <w:rPr>
                <w:rFonts w:ascii="Verdana" w:hAnsi="Verdana" w:cs="Arial"/>
              </w:rPr>
            </w:pPr>
            <w:r>
              <w:rPr>
                <w:rFonts w:ascii="Verdana" w:hAnsi="Verdana" w:cs="Arial"/>
              </w:rPr>
              <w:t>Na data deste Prospecto, o capital social da Emissora é de R$ 9.654.897.097,82 (nove bilhões, seiscentos e cinquenta e quatro mil, oitocentos e noventa e sete reais e oitenta e dois centavos), totalmente subscrito e integralizado, representado por 1.559.015.898 (um bilhão, quinhentas e cinquenta e nove milhões, quinze mil e oitocentos e noventa e oito) ações ordinárias, todas nominativas e sem valor nominal.</w:t>
            </w:r>
          </w:p>
          <w:p>
            <w:pPr>
              <w:pStyle w:val="HOMEBRBodyText"/>
              <w:keepLines w:val="0"/>
              <w:spacing w:line="300" w:lineRule="exact"/>
              <w:contextualSpacing/>
              <w:rPr>
                <w:rFonts w:ascii="Verdana" w:hAnsi="Verdana" w:cs="Arial"/>
              </w:rPr>
            </w:pPr>
          </w:p>
          <w:p>
            <w:pPr>
              <w:pStyle w:val="HOMEBRBodyText"/>
              <w:keepLines w:val="0"/>
              <w:spacing w:line="300" w:lineRule="exact"/>
              <w:contextualSpacing/>
              <w:rPr>
                <w:rFonts w:ascii="Verdana" w:hAnsi="Verdana" w:cs="Arial"/>
                <w:b/>
              </w:rPr>
            </w:pPr>
            <w:r>
              <w:rPr>
                <w:rFonts w:ascii="Verdana" w:hAnsi="Verdana" w:cs="Arial"/>
                <w:b/>
              </w:rPr>
              <w:t>Para mais informações acerca do Capital Social da Emissora, veja a seção “Informações Relativas à Emissão, à Oferta e às Debêntures – Composição do Capital Social da Emissora”, na página [</w:t>
            </w:r>
            <w:r>
              <w:rPr>
                <w:rFonts w:ascii="Verdana" w:hAnsi="Verdana" w:cs="Arial"/>
                <w:b/>
              </w:rPr>
              <w:sym w:font="Symbol" w:char="F0B7"/>
            </w:r>
            <w:r>
              <w:rPr>
                <w:rFonts w:ascii="Verdana" w:hAnsi="Verdana" w:cs="Arial"/>
                <w:b/>
              </w:rPr>
              <w:t>] deste Prospecto. [</w:t>
            </w:r>
            <w:r>
              <w:rPr>
                <w:rFonts w:ascii="Verdana" w:hAnsi="Verdana" w:cs="Arial"/>
                <w:b/>
                <w:highlight w:val="yellow"/>
              </w:rPr>
              <w:t xml:space="preserve">Nota PNA: </w:t>
            </w:r>
            <w:r>
              <w:rPr>
                <w:rFonts w:ascii="Verdana" w:hAnsi="Verdana" w:cs="Arial"/>
                <w:highlight w:val="yellow"/>
              </w:rPr>
              <w:t>Lefosse, favor confirmar</w:t>
            </w:r>
            <w:r>
              <w:rPr>
                <w:rFonts w:ascii="Verdana" w:hAnsi="Verdana" w:cs="Arial"/>
                <w:b/>
              </w:rPr>
              <w:t>.]</w:t>
            </w:r>
          </w:p>
        </w:tc>
      </w:tr>
      <w:tr>
        <w:tc>
          <w:tcPr>
            <w:tcW w:w="1783" w:type="pct"/>
            <w:shd w:val="clear" w:color="auto" w:fill="auto"/>
          </w:tcPr>
          <w:p>
            <w:pPr>
              <w:pStyle w:val="HOMEBRBodyText"/>
              <w:keepLines w:val="0"/>
              <w:spacing w:line="300" w:lineRule="exact"/>
              <w:contextualSpacing/>
              <w:jc w:val="left"/>
              <w:rPr>
                <w:rFonts w:ascii="Verdana" w:eastAsia="Calibri" w:hAnsi="Verdana" w:cs="Arial"/>
                <w:b/>
              </w:rPr>
            </w:pPr>
            <w:r>
              <w:rPr>
                <w:rFonts w:ascii="Verdana" w:eastAsia="Calibri" w:hAnsi="Verdana" w:cs="Arial"/>
                <w:b/>
              </w:rPr>
              <w:lastRenderedPageBreak/>
              <w:t>Classificação de Risco (</w:t>
            </w:r>
            <w:r>
              <w:rPr>
                <w:rFonts w:ascii="Verdana" w:eastAsia="Calibri" w:hAnsi="Verdana" w:cs="Arial"/>
                <w:b/>
                <w:i/>
              </w:rPr>
              <w:t>Rating</w:t>
            </w:r>
            <w:r>
              <w:rPr>
                <w:rFonts w:ascii="Verdana" w:eastAsia="Calibri" w:hAnsi="Verdana" w:cs="Arial"/>
                <w:b/>
              </w:rPr>
              <w:t>)</w:t>
            </w:r>
          </w:p>
        </w:tc>
        <w:tc>
          <w:tcPr>
            <w:tcW w:w="3217" w:type="pct"/>
            <w:shd w:val="clear" w:color="auto" w:fill="auto"/>
          </w:tcPr>
          <w:p>
            <w:pPr>
              <w:pStyle w:val="HOMEBRBodyText"/>
              <w:spacing w:line="300" w:lineRule="exact"/>
              <w:contextualSpacing/>
              <w:rPr>
                <w:rFonts w:ascii="Verdana" w:hAnsi="Verdana" w:cs="Arial"/>
              </w:rPr>
            </w:pPr>
            <w:r>
              <w:rPr>
                <w:rFonts w:ascii="Verdana" w:hAnsi="Verdana" w:cs="Arial"/>
              </w:rPr>
              <w:t>Foi contratada como agência de classificação de risco da Oferta a Fitch Ratings Brasil Ltda., a qual atribuiu o rating “[</w:t>
            </w:r>
            <w:r>
              <w:rPr>
                <w:rFonts w:ascii="Verdana" w:hAnsi="Verdana" w:cs="Arial"/>
              </w:rPr>
              <w:sym w:font="Symbol" w:char="F0B7"/>
            </w:r>
            <w:r>
              <w:rPr>
                <w:rFonts w:ascii="Verdana" w:hAnsi="Verdana" w:cs="Arial"/>
              </w:rPr>
              <w:t>]” para as Debêntures. Durante o prazo de vigência das Debêntures, a Emissora deverá contratar e manter contratada, às suas expensas, a Agência de Classificação de Risco para atribuir classificação de risco às Debêntures, bem como manter o rating válido e atualizado, pelo menos anualmente, observado que, caso a agência de classificação de risco contratada cesse suas atividades no Brasil ou, por qualquer motivo, esteja ou seja impedida de emitir a classificação de risco das Debêntures, a Emissora deverá: (a) contratar outra agência de classificação de risco sem necessidade de aprovação dos Debenturistas, bastando notificar o Agente Fiduciário, desde que tal agência de classificação de risco seja a Standard &amp; Poor's ou a Moody's, ou (b) mediante contratação de agência de classificação de risco que não as mencionadas anteriormente, conforme venha a ser aprovada pelos Debenturistas, em sede de Assembleia Geral de Debenturistas, a ser realizada nos termos da Escritura.</w:t>
            </w:r>
          </w:p>
          <w:p>
            <w:pPr>
              <w:pStyle w:val="HOMEBRBodyText"/>
              <w:spacing w:line="300" w:lineRule="exact"/>
              <w:contextualSpacing/>
              <w:rPr>
                <w:rFonts w:ascii="Verdana" w:hAnsi="Verdana" w:cs="Arial"/>
              </w:rPr>
            </w:pPr>
          </w:p>
          <w:p>
            <w:pPr>
              <w:pStyle w:val="HOMEBRBodyText"/>
              <w:keepLines w:val="0"/>
              <w:spacing w:line="300" w:lineRule="exact"/>
              <w:contextualSpacing/>
              <w:rPr>
                <w:rFonts w:ascii="Verdana" w:eastAsia="Calibri" w:hAnsi="Verdana" w:cs="Arial"/>
                <w:b/>
              </w:rPr>
            </w:pPr>
            <w:r>
              <w:rPr>
                <w:rFonts w:ascii="Verdana" w:hAnsi="Verdana" w:cs="Arial"/>
                <w:b/>
              </w:rPr>
              <w:t>Para mais informações sobre a classificação de risco das Debêntures, veja a Súmula de Classificação de Risco, anexa a este Prospecto Preliminar, e a seção “Fatores de Risco Relacionados à Oferta e às Debêntures - Eventual rebaixamento na classificação de risco atribuída às Debêntures e/ou à Emissora poderá dificultar a captação de recursos pela Emissora, bem como acarretar redução de liquidez das Debêntures para negociação no mercado secundário e impacto negativo relevante na Emissora”, na página [</w:t>
            </w:r>
            <w:r>
              <w:rPr>
                <w:rFonts w:ascii="Verdana" w:hAnsi="Verdana" w:cs="Arial"/>
                <w:b/>
              </w:rPr>
              <w:sym w:font="Symbol" w:char="F0B7"/>
            </w:r>
            <w:r>
              <w:rPr>
                <w:rFonts w:ascii="Verdana" w:hAnsi="Verdana" w:cs="Arial"/>
                <w:b/>
              </w:rPr>
              <w:t xml:space="preserve">] deste Prospecto Preliminar. </w:t>
            </w:r>
          </w:p>
        </w:tc>
      </w:tr>
      <w:tr>
        <w:tc>
          <w:tcPr>
            <w:tcW w:w="1783" w:type="pct"/>
            <w:shd w:val="clear" w:color="auto" w:fill="auto"/>
          </w:tcPr>
          <w:p>
            <w:pPr>
              <w:pStyle w:val="HOMEBRBodyText"/>
              <w:keepLines w:val="0"/>
              <w:spacing w:line="300" w:lineRule="exact"/>
              <w:contextualSpacing/>
              <w:jc w:val="left"/>
              <w:rPr>
                <w:rFonts w:ascii="Verdana" w:eastAsia="Calibri" w:hAnsi="Verdana" w:cs="Arial"/>
                <w:b/>
              </w:rPr>
            </w:pPr>
            <w:r>
              <w:rPr>
                <w:rFonts w:ascii="Verdana" w:eastAsia="Calibri" w:hAnsi="Verdana" w:cs="Arial"/>
                <w:b/>
              </w:rPr>
              <w:t xml:space="preserve">Código ISIN das Debêntures </w:t>
            </w:r>
          </w:p>
        </w:tc>
        <w:tc>
          <w:tcPr>
            <w:tcW w:w="3217" w:type="pct"/>
            <w:shd w:val="clear" w:color="auto" w:fill="auto"/>
          </w:tcPr>
          <w:p>
            <w:pPr>
              <w:pStyle w:val="HOMEBRBodyText"/>
              <w:keepLines w:val="0"/>
              <w:spacing w:line="300" w:lineRule="exact"/>
              <w:contextualSpacing/>
              <w:rPr>
                <w:rFonts w:ascii="Verdana" w:hAnsi="Verdana" w:cs="Arial"/>
                <w:spacing w:val="-4"/>
              </w:rPr>
            </w:pPr>
            <w:r>
              <w:rPr>
                <w:rFonts w:ascii="Verdana" w:hAnsi="Verdana" w:cs="Arial"/>
              </w:rPr>
              <w:t>[</w:t>
            </w:r>
            <w:r>
              <w:rPr>
                <w:rFonts w:ascii="Verdana" w:hAnsi="Verdana" w:cs="Arial"/>
              </w:rPr>
              <w:sym w:font="Symbol" w:char="F0B7"/>
            </w:r>
            <w:r>
              <w:rPr>
                <w:rFonts w:ascii="Verdana" w:hAnsi="Verdana" w:cs="Arial"/>
              </w:rPr>
              <w:t>]</w:t>
            </w:r>
          </w:p>
        </w:tc>
      </w:tr>
      <w:tr>
        <w:tc>
          <w:tcPr>
            <w:tcW w:w="1783" w:type="pct"/>
            <w:shd w:val="clear" w:color="auto" w:fill="auto"/>
          </w:tcPr>
          <w:p>
            <w:pPr>
              <w:pStyle w:val="HOMEBRBodyText"/>
              <w:keepLines w:val="0"/>
              <w:spacing w:line="300" w:lineRule="exact"/>
              <w:contextualSpacing/>
              <w:jc w:val="left"/>
              <w:rPr>
                <w:rFonts w:ascii="Verdana" w:eastAsia="Calibri" w:hAnsi="Verdana" w:cs="Arial"/>
                <w:b/>
              </w:rPr>
            </w:pPr>
            <w:r>
              <w:rPr>
                <w:rFonts w:ascii="Verdana" w:eastAsia="Calibri" w:hAnsi="Verdana" w:cs="Arial"/>
                <w:b/>
              </w:rPr>
              <w:lastRenderedPageBreak/>
              <w:t xml:space="preserve">Colocação e Procedimento de Distribuição </w:t>
            </w:r>
          </w:p>
        </w:tc>
        <w:tc>
          <w:tcPr>
            <w:tcW w:w="3217" w:type="pct"/>
            <w:shd w:val="clear" w:color="auto" w:fill="auto"/>
          </w:tcPr>
          <w:p>
            <w:pPr>
              <w:pStyle w:val="HOMEBRBodyText"/>
              <w:spacing w:line="300" w:lineRule="exact"/>
              <w:contextualSpacing/>
              <w:rPr>
                <w:rFonts w:ascii="Verdana" w:hAnsi="Verdana" w:cs="Arial"/>
                <w:spacing w:val="-4"/>
              </w:rPr>
            </w:pPr>
            <w:r>
              <w:rPr>
                <w:rFonts w:ascii="Verdana" w:hAnsi="Verdana" w:cs="Arial"/>
                <w:spacing w:val="-4"/>
              </w:rPr>
              <w:t>As Debêntures inicialmente ofertadas (sem considerar as Debêntures Adicionais) serão objeto de distribuição pública nos termos da Instrução CVM 400, especificamente o procedimento indicado para EGEM, conforme artigos 6º-A e 6º-B da referida instrução, sob o regime de garantia firme de colocação (exceto pelas Debêntures Adicionais, as quais, se emitidas, serão colocadas sob o regime de melhores esforços de colocação), com a intermediação do Coordenador Líder e dos Coordenadores, nos termos Contrato de Distribuição, com a participação dos Participantes Especiais, observado o Plano de Distribuição. As Debêntures Adicionais eventualmente emitidas serão objeto de distribuição pública sob o regime de melhores esforços. A Oferta não contará com esforços de colocação no exterior.</w:t>
            </w:r>
          </w:p>
          <w:p>
            <w:pPr>
              <w:pStyle w:val="HOMEBRBodyText"/>
              <w:spacing w:line="300" w:lineRule="exact"/>
              <w:contextualSpacing/>
              <w:rPr>
                <w:rFonts w:ascii="Verdana" w:hAnsi="Verdana" w:cs="Arial"/>
                <w:spacing w:val="-4"/>
              </w:rPr>
            </w:pPr>
          </w:p>
          <w:p>
            <w:pPr>
              <w:pStyle w:val="HOMEBRBodyText"/>
              <w:keepLines w:val="0"/>
              <w:spacing w:line="300" w:lineRule="exact"/>
              <w:contextualSpacing/>
              <w:rPr>
                <w:rFonts w:ascii="Verdana" w:eastAsia="Calibri" w:hAnsi="Verdana" w:cs="Arial"/>
                <w:b/>
                <w:spacing w:val="-4"/>
              </w:rPr>
            </w:pPr>
            <w:r>
              <w:rPr>
                <w:rFonts w:ascii="Verdana" w:hAnsi="Verdana" w:cs="Arial"/>
                <w:b/>
                <w:spacing w:val="-4"/>
              </w:rPr>
              <w:t>Para mais informações, veja a seção “Informações Relativas à Emissão, à Oferta e às Debêntures – Contrato de Distribuição - Regime de Colocação”, na página [</w:t>
            </w:r>
            <w:r>
              <w:rPr>
                <w:rFonts w:ascii="Verdana" w:hAnsi="Verdana" w:cs="Arial"/>
                <w:b/>
                <w:spacing w:val="-4"/>
              </w:rPr>
              <w:sym w:font="Symbol" w:char="F0B7"/>
            </w:r>
            <w:r>
              <w:rPr>
                <w:rFonts w:ascii="Verdana" w:hAnsi="Verdana" w:cs="Arial"/>
                <w:b/>
                <w:spacing w:val="-4"/>
              </w:rPr>
              <w:t>] deste Prospecto Preliminar.</w:t>
            </w:r>
          </w:p>
        </w:tc>
      </w:tr>
      <w:tr>
        <w:tc>
          <w:tcPr>
            <w:tcW w:w="1783" w:type="pct"/>
            <w:shd w:val="clear" w:color="auto" w:fill="auto"/>
          </w:tcPr>
          <w:p>
            <w:pPr>
              <w:pStyle w:val="HOMEBRBodyText"/>
              <w:keepLines w:val="0"/>
              <w:spacing w:line="300" w:lineRule="exact"/>
              <w:contextualSpacing/>
              <w:jc w:val="left"/>
              <w:rPr>
                <w:rFonts w:ascii="Verdana" w:eastAsia="Calibri" w:hAnsi="Verdana" w:cs="Arial"/>
                <w:b/>
              </w:rPr>
            </w:pPr>
            <w:r>
              <w:rPr>
                <w:rFonts w:ascii="Verdana" w:eastAsia="Calibri" w:hAnsi="Verdana" w:cs="Arial"/>
                <w:b/>
              </w:rPr>
              <w:t xml:space="preserve">Comprovação da Titularidade </w:t>
            </w:r>
          </w:p>
        </w:tc>
        <w:tc>
          <w:tcPr>
            <w:tcW w:w="3217" w:type="pct"/>
            <w:shd w:val="clear" w:color="auto" w:fill="auto"/>
          </w:tcPr>
          <w:p>
            <w:pPr>
              <w:pStyle w:val="HOMEBRBodyText"/>
              <w:keepLines w:val="0"/>
              <w:spacing w:line="300" w:lineRule="exact"/>
              <w:contextualSpacing/>
              <w:rPr>
                <w:rFonts w:ascii="Verdana" w:hAnsi="Verdana" w:cs="Arial"/>
                <w:spacing w:val="-4"/>
              </w:rPr>
            </w:pPr>
            <w:r>
              <w:rPr>
                <w:rFonts w:ascii="Verdana" w:hAnsi="Verdana" w:cs="Arial"/>
              </w:rPr>
              <w:t>A Emissora não emitirá certificados de Debêntures. Para todos os fins de direito, a titularidade das Debêntures será comprovada pelo extrato emitido pelo Escriturador. Adicionalmente, (i) com relação às Debêntures que estiverem custodiadas eletronicamente na B3 – Segmento Cetip UTVM, será expedido, por esta, extrato atualizado em nome do Debenturista, que servirá de comprovante de titularidade de tais Debêntures; e/ou (ii) com relação às Debêntures que estiverem custodiadas eletronicamente na B3, será expedido, por esta, extrato atualizado em nome do Debenturista, que servirá de comprovante de titularidade de tais Debêntures.</w:t>
            </w:r>
          </w:p>
        </w:tc>
      </w:tr>
      <w:tr>
        <w:tc>
          <w:tcPr>
            <w:tcW w:w="1783" w:type="pct"/>
            <w:shd w:val="clear" w:color="auto" w:fill="auto"/>
          </w:tcPr>
          <w:p>
            <w:pPr>
              <w:pStyle w:val="HOMEBRBodyText"/>
              <w:keepLines w:val="0"/>
              <w:spacing w:line="300" w:lineRule="exact"/>
              <w:contextualSpacing/>
              <w:jc w:val="left"/>
              <w:rPr>
                <w:rFonts w:ascii="Verdana" w:eastAsia="Calibri" w:hAnsi="Verdana" w:cs="Arial"/>
                <w:b/>
              </w:rPr>
            </w:pPr>
            <w:r>
              <w:rPr>
                <w:rFonts w:ascii="Verdana" w:eastAsia="Calibri" w:hAnsi="Verdana" w:cs="Arial"/>
                <w:b/>
              </w:rPr>
              <w:t>Conversibilidade, Tipo e Forma</w:t>
            </w:r>
          </w:p>
        </w:tc>
        <w:tc>
          <w:tcPr>
            <w:tcW w:w="3217" w:type="pct"/>
            <w:shd w:val="clear" w:color="auto" w:fill="auto"/>
          </w:tcPr>
          <w:p>
            <w:pPr>
              <w:pStyle w:val="HOMEBRBodyText"/>
              <w:keepLines w:val="0"/>
              <w:spacing w:line="300" w:lineRule="exact"/>
              <w:contextualSpacing/>
              <w:rPr>
                <w:rFonts w:ascii="Verdana" w:hAnsi="Verdana" w:cs="Arial"/>
              </w:rPr>
            </w:pPr>
            <w:r>
              <w:rPr>
                <w:rFonts w:ascii="Verdana" w:hAnsi="Verdana" w:cs="Arial"/>
                <w:lang w:val="pt-PT"/>
              </w:rPr>
              <w:t>As Debêntures serão simples, ou seja, não conversíveis em ações, escriturais e nominativas, sem emissão de cautelas e certificados.</w:t>
            </w:r>
          </w:p>
        </w:tc>
      </w:tr>
      <w:tr>
        <w:tc>
          <w:tcPr>
            <w:tcW w:w="1783" w:type="pct"/>
            <w:shd w:val="clear" w:color="auto" w:fill="auto"/>
          </w:tcPr>
          <w:p>
            <w:pPr>
              <w:pStyle w:val="HOMEBRBodyText"/>
              <w:keepLines w:val="0"/>
              <w:spacing w:line="300" w:lineRule="exact"/>
              <w:contextualSpacing/>
              <w:jc w:val="left"/>
              <w:rPr>
                <w:rFonts w:ascii="Verdana" w:eastAsia="Calibri" w:hAnsi="Verdana" w:cs="Arial"/>
                <w:b/>
              </w:rPr>
            </w:pPr>
            <w:r>
              <w:rPr>
                <w:rFonts w:ascii="Verdana" w:eastAsia="Calibri" w:hAnsi="Verdana" w:cs="Arial"/>
                <w:b/>
              </w:rPr>
              <w:t>Coordenador Líder</w:t>
            </w:r>
          </w:p>
        </w:tc>
        <w:tc>
          <w:tcPr>
            <w:tcW w:w="3217" w:type="pct"/>
            <w:shd w:val="clear" w:color="auto" w:fill="auto"/>
          </w:tcPr>
          <w:p>
            <w:pPr>
              <w:pStyle w:val="HOMEBRBodyText"/>
              <w:keepLines w:val="0"/>
              <w:spacing w:line="300" w:lineRule="exact"/>
              <w:contextualSpacing/>
              <w:rPr>
                <w:rFonts w:ascii="Verdana" w:hAnsi="Verdana" w:cs="Arial"/>
              </w:rPr>
            </w:pPr>
            <w:r>
              <w:rPr>
                <w:rFonts w:ascii="Verdana" w:hAnsi="Verdana" w:cs="Arial"/>
              </w:rPr>
              <w:t xml:space="preserve">Banco Itaú BBA S.A., instituição financeira integrante do sistema de distribuição de valores mobiliários, constituída sob a forma de sociedade anônima, com </w:t>
            </w:r>
            <w:r>
              <w:rPr>
                <w:rFonts w:ascii="Verdana" w:hAnsi="Verdana" w:cs="Arial"/>
              </w:rPr>
              <w:lastRenderedPageBreak/>
              <w:t>sede na Cidade de São Paulo, Estado de São Paulo, na Avenida Brigadeiro Faria Lima, nº 3.500, 1º, 2º, 3º (parte), 4º e 5º andares, Itaim Bibi, inscrita no CNPJ/ME sob o nº 17.298.092/0001-30.</w:t>
            </w:r>
          </w:p>
        </w:tc>
      </w:tr>
      <w:tr>
        <w:tc>
          <w:tcPr>
            <w:tcW w:w="1783" w:type="pct"/>
            <w:shd w:val="clear" w:color="auto" w:fill="auto"/>
          </w:tcPr>
          <w:p>
            <w:pPr>
              <w:pStyle w:val="HOMEBRBodyText"/>
              <w:keepLines w:val="0"/>
              <w:spacing w:line="300" w:lineRule="exact"/>
              <w:contextualSpacing/>
              <w:jc w:val="left"/>
              <w:rPr>
                <w:rFonts w:ascii="Verdana" w:eastAsia="Calibri" w:hAnsi="Verdana" w:cs="Arial"/>
                <w:b/>
              </w:rPr>
            </w:pPr>
            <w:r>
              <w:rPr>
                <w:rFonts w:ascii="Verdana" w:eastAsia="Calibri" w:hAnsi="Verdana" w:cs="Arial"/>
                <w:b/>
              </w:rPr>
              <w:lastRenderedPageBreak/>
              <w:t>Coordenadores</w:t>
            </w:r>
          </w:p>
        </w:tc>
        <w:tc>
          <w:tcPr>
            <w:tcW w:w="3217" w:type="pct"/>
            <w:shd w:val="clear" w:color="auto" w:fill="auto"/>
          </w:tcPr>
          <w:p>
            <w:pPr>
              <w:pStyle w:val="HOMEBRBodyText"/>
              <w:keepLines w:val="0"/>
              <w:spacing w:line="300" w:lineRule="exact"/>
              <w:contextualSpacing/>
              <w:rPr>
                <w:rFonts w:ascii="Verdana" w:hAnsi="Verdana" w:cs="Arial"/>
                <w:b/>
              </w:rPr>
            </w:pPr>
            <w:r>
              <w:rPr>
                <w:rFonts w:ascii="Verdana" w:hAnsi="Verdana" w:cs="Arial"/>
              </w:rPr>
              <w:t xml:space="preserve">Coordenador Líder, </w:t>
            </w:r>
            <w:r>
              <w:rPr>
                <w:rFonts w:ascii="Verdana" w:eastAsia="Calibri" w:hAnsi="Verdana" w:cs="Arial"/>
                <w:spacing w:val="-4"/>
              </w:rPr>
              <w:t xml:space="preserve">Santander, </w:t>
            </w:r>
            <w:r>
              <w:rPr>
                <w:rFonts w:ascii="Verdana" w:hAnsi="Verdana" w:cs="Arial"/>
              </w:rPr>
              <w:t>BB-BI, Bradesco BBI, XP Investimentos e BTG Pactual.</w:t>
            </w:r>
          </w:p>
        </w:tc>
      </w:tr>
      <w:tr>
        <w:tc>
          <w:tcPr>
            <w:tcW w:w="1783" w:type="pct"/>
            <w:shd w:val="clear" w:color="auto" w:fill="auto"/>
          </w:tcPr>
          <w:p>
            <w:pPr>
              <w:pStyle w:val="HOMEBRBodyText"/>
              <w:keepLines w:val="0"/>
              <w:spacing w:line="300" w:lineRule="exact"/>
              <w:contextualSpacing/>
              <w:jc w:val="left"/>
              <w:rPr>
                <w:rFonts w:ascii="Verdana" w:eastAsia="Calibri" w:hAnsi="Verdana" w:cs="Arial"/>
                <w:b/>
              </w:rPr>
            </w:pPr>
            <w:r>
              <w:rPr>
                <w:rFonts w:ascii="Verdana" w:eastAsia="Calibri" w:hAnsi="Verdana" w:cs="Arial"/>
                <w:b/>
              </w:rPr>
              <w:t>Critérios de Colocação da Oferta Institucional</w:t>
            </w:r>
          </w:p>
        </w:tc>
        <w:tc>
          <w:tcPr>
            <w:tcW w:w="3217" w:type="pct"/>
            <w:shd w:val="clear" w:color="auto" w:fill="auto"/>
          </w:tcPr>
          <w:p>
            <w:pPr>
              <w:pStyle w:val="HOMEBRBodyText"/>
              <w:spacing w:line="300" w:lineRule="exact"/>
              <w:contextualSpacing/>
              <w:rPr>
                <w:rFonts w:ascii="Verdana" w:hAnsi="Verdana" w:cs="Arial"/>
                <w:bCs/>
              </w:rPr>
            </w:pPr>
            <w:r>
              <w:rPr>
                <w:rFonts w:ascii="Verdana" w:hAnsi="Verdana" w:cs="Arial"/>
                <w:bCs/>
              </w:rPr>
              <w:t xml:space="preserve">Caso as ordens de investimento e/ou os Pedidos de Reserva apresentados pelos Investidores Institucionais excedam o total de Debêntures remanescentes após o atendimento da Oferta Não Institucional, será necessário aplicar o critério de colocação estabelecido nos documentos da Oferta, de acordo com os quais os Coordenadores darão prioridade aos Investidores Institucionais que, no entender dos Coordenadores, em comum acordo com a Emissora, melhor atendam os objetivos da Oferta, quais sejam, constituir uma base diversificada de investidores, integrada por investidores com diferentes critérios de avaliação das perspectivas da Emissora e a conjuntura macroeconômica brasileira e internacional, bem como criar condições para o desenvolvimento do mercado local de títulos corporativos de renda fixa. </w:t>
            </w:r>
          </w:p>
          <w:p>
            <w:pPr>
              <w:pStyle w:val="HOMEBRBodyText"/>
              <w:spacing w:line="300" w:lineRule="exact"/>
              <w:contextualSpacing/>
              <w:rPr>
                <w:rFonts w:ascii="Verdana" w:hAnsi="Verdana" w:cs="Arial"/>
                <w:bCs/>
              </w:rPr>
            </w:pPr>
          </w:p>
          <w:p>
            <w:pPr>
              <w:pStyle w:val="HOMEBRBodyText"/>
              <w:keepLines w:val="0"/>
              <w:spacing w:line="300" w:lineRule="exact"/>
              <w:contextualSpacing/>
              <w:rPr>
                <w:rFonts w:ascii="Verdana" w:hAnsi="Verdana" w:cs="Arial"/>
                <w:b/>
              </w:rPr>
            </w:pPr>
            <w:r>
              <w:rPr>
                <w:rFonts w:ascii="Verdana" w:hAnsi="Verdana" w:cs="Arial"/>
                <w:b/>
                <w:bCs/>
              </w:rPr>
              <w:t>Para mais informações sobre os critérios de colocação da Oferta Institucional, veja a seção “Informações Relativas à Emissão, à Oferta e às Debêntures - Características da Oferta - Critério de Colocação da Oferta Institucional” da página [</w:t>
            </w:r>
            <w:r>
              <w:rPr>
                <w:rFonts w:ascii="Verdana" w:hAnsi="Verdana" w:cs="Arial"/>
                <w:b/>
                <w:bCs/>
              </w:rPr>
              <w:sym w:font="Symbol" w:char="F0B7"/>
            </w:r>
            <w:r>
              <w:rPr>
                <w:rFonts w:ascii="Verdana" w:hAnsi="Verdana" w:cs="Arial"/>
                <w:b/>
                <w:bCs/>
              </w:rPr>
              <w:t>] deste Prospecto Preliminar.</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Critérios de Rateio da Oferta Não Institucional</w:t>
            </w:r>
          </w:p>
        </w:tc>
        <w:tc>
          <w:tcPr>
            <w:tcW w:w="3217" w:type="pct"/>
            <w:shd w:val="clear" w:color="auto" w:fill="auto"/>
          </w:tcPr>
          <w:p>
            <w:pPr>
              <w:pStyle w:val="HOMEBRBodyText"/>
              <w:widowControl w:val="0"/>
              <w:spacing w:line="300" w:lineRule="exact"/>
              <w:contextualSpacing/>
              <w:rPr>
                <w:rFonts w:ascii="Verdana" w:hAnsi="Verdana" w:cs="Arial"/>
                <w:bCs/>
              </w:rPr>
            </w:pPr>
            <w:r>
              <w:rPr>
                <w:rFonts w:ascii="Verdana" w:hAnsi="Verdana" w:cs="Arial"/>
                <w:bCs/>
              </w:rPr>
              <w:t>Caso a totalidade dos Pedidos de Reserva realizados por Investidores Não Institucionais seja superior à quantidade de Debêntures destinada à Oferta Não Institucional, observado o disposto no inciso “v” do item “Oferta</w:t>
            </w:r>
            <w:bookmarkStart w:id="20" w:name="_GoBack"/>
            <w:bookmarkEnd w:id="20"/>
            <w:r>
              <w:rPr>
                <w:rFonts w:ascii="Verdana" w:hAnsi="Verdana" w:cs="Arial"/>
                <w:bCs/>
              </w:rPr>
              <w:t xml:space="preserve"> Não Institucional” deste Prospecto Preliminar, será realizado o rateio das Debêntures proporcionalmente ao montante de Debêntures indicado nos respectivos Pedidos de Reserva e não alocado aos Investidores Não Institucionais, e não sendo consideradas frações de Debêntures, sendo certo que o eventual arredondamento será realizado para baixo até o número inteiro. </w:t>
            </w:r>
          </w:p>
          <w:p>
            <w:pPr>
              <w:pStyle w:val="HOMEBRBodyText"/>
              <w:keepLines w:val="0"/>
              <w:widowControl w:val="0"/>
              <w:spacing w:line="300" w:lineRule="exact"/>
              <w:contextualSpacing/>
              <w:rPr>
                <w:rFonts w:ascii="Verdana" w:hAnsi="Verdana" w:cs="Arial"/>
                <w:b/>
                <w:bCs/>
              </w:rPr>
            </w:pPr>
            <w:r>
              <w:rPr>
                <w:rFonts w:ascii="Verdana" w:hAnsi="Verdana" w:cs="Arial"/>
                <w:b/>
                <w:bCs/>
              </w:rPr>
              <w:lastRenderedPageBreak/>
              <w:t>Para mais informações sobre os critérios de rateio da Oferta, veja a seção “Informações Relativas à Emissão, à Oferta e às Debêntures - Características da Oferta - Critério de Rateio da Oferta Não Institucional” da página [</w:t>
            </w:r>
            <w:r>
              <w:rPr>
                <w:rFonts w:ascii="Verdana" w:hAnsi="Verdana" w:cs="Arial"/>
                <w:b/>
                <w:bCs/>
              </w:rPr>
              <w:sym w:font="Symbol" w:char="F0B7"/>
            </w:r>
            <w:r>
              <w:rPr>
                <w:rFonts w:ascii="Verdana" w:hAnsi="Verdana" w:cs="Arial"/>
                <w:b/>
                <w:bCs/>
              </w:rPr>
              <w:t>] deste Prospecto Preliminar</w:t>
            </w:r>
            <w:r>
              <w:rPr>
                <w:rFonts w:ascii="Verdana" w:hAnsi="Verdana" w:cs="Arial"/>
                <w:bCs/>
              </w:rPr>
              <w:t>.</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lastRenderedPageBreak/>
              <w:t>Cronograma Estimado das Etapas da Oferta</w:t>
            </w:r>
          </w:p>
        </w:tc>
        <w:tc>
          <w:tcPr>
            <w:tcW w:w="3217" w:type="pct"/>
            <w:shd w:val="clear" w:color="auto" w:fill="auto"/>
          </w:tcPr>
          <w:p>
            <w:pPr>
              <w:pStyle w:val="HOMEBRBodyText"/>
              <w:keepLines w:val="0"/>
              <w:widowControl w:val="0"/>
              <w:spacing w:line="300" w:lineRule="exact"/>
              <w:contextualSpacing/>
              <w:rPr>
                <w:rFonts w:ascii="Verdana" w:eastAsia="Calibri" w:hAnsi="Verdana" w:cs="Arial"/>
              </w:rPr>
            </w:pPr>
            <w:r>
              <w:rPr>
                <w:rFonts w:ascii="Verdana" w:hAnsi="Verdana" w:cs="Arial"/>
              </w:rPr>
              <w:t xml:space="preserve">Para informações acerca dos principais eventos e datas relacionados à Oferta, veja a seção “Cronograma Estimado das Etapas da Oferta” </w:t>
            </w:r>
            <w:r>
              <w:rPr>
                <w:rFonts w:ascii="Verdana" w:eastAsia="Calibri" w:hAnsi="Verdana" w:cs="Arial"/>
              </w:rPr>
              <w:t>na página [</w:t>
            </w:r>
            <w:r>
              <w:rPr>
                <w:rFonts w:ascii="Verdana" w:eastAsia="Calibri" w:hAnsi="Verdana" w:cs="Arial"/>
              </w:rPr>
              <w:sym w:font="Symbol" w:char="F0B7"/>
            </w:r>
            <w:r>
              <w:rPr>
                <w:rFonts w:ascii="Verdana" w:eastAsia="Calibri" w:hAnsi="Verdana" w:cs="Arial"/>
              </w:rPr>
              <w:t>] deste Prospecto.</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Data de Início da Negociação</w:t>
            </w:r>
          </w:p>
        </w:tc>
        <w:tc>
          <w:tcPr>
            <w:tcW w:w="3217" w:type="pct"/>
            <w:shd w:val="clear" w:color="auto" w:fill="auto"/>
          </w:tcPr>
          <w:p>
            <w:pPr>
              <w:pStyle w:val="HOMEBRBodyText"/>
              <w:keepLines w:val="0"/>
              <w:widowControl w:val="0"/>
              <w:spacing w:line="300" w:lineRule="exact"/>
              <w:contextualSpacing/>
              <w:rPr>
                <w:rFonts w:ascii="Verdana" w:hAnsi="Verdana" w:cs="Arial"/>
              </w:rPr>
            </w:pPr>
            <w:r>
              <w:rPr>
                <w:rFonts w:ascii="Verdana" w:hAnsi="Verdana" w:cs="Arial"/>
              </w:rPr>
              <w:t>A data de início da negociação das Debêntures na B3 e na B3 Cetip UTVM será o dia 31 de outubro de 2019.</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Data de Liquidação</w:t>
            </w:r>
          </w:p>
        </w:tc>
        <w:tc>
          <w:tcPr>
            <w:tcW w:w="3217" w:type="pct"/>
            <w:shd w:val="clear" w:color="auto" w:fill="auto"/>
          </w:tcPr>
          <w:p>
            <w:pPr>
              <w:pStyle w:val="HOMEBRBodyText"/>
              <w:keepLines w:val="0"/>
              <w:widowControl w:val="0"/>
              <w:spacing w:line="300" w:lineRule="exact"/>
              <w:contextualSpacing/>
              <w:rPr>
                <w:rFonts w:ascii="Verdana" w:eastAsia="Calibri" w:hAnsi="Verdana" w:cs="Arial"/>
                <w:b/>
              </w:rPr>
            </w:pPr>
            <w:r>
              <w:rPr>
                <w:rFonts w:ascii="Verdana" w:hAnsi="Verdana" w:cs="Arial"/>
              </w:rPr>
              <w:t>A Data de Liquidação das Debêntures (inclusive as Debêntures Adicionais) está prevista para ocorrer em 31 de outubro de 2019.</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Debêntures de Infraestrutura</w:t>
            </w:r>
          </w:p>
        </w:tc>
        <w:tc>
          <w:tcPr>
            <w:tcW w:w="3217" w:type="pct"/>
            <w:shd w:val="clear" w:color="auto" w:fill="auto"/>
          </w:tcPr>
          <w:p>
            <w:pPr>
              <w:pStyle w:val="HOMEBRBodyText"/>
              <w:keepLines w:val="0"/>
              <w:widowControl w:val="0"/>
              <w:spacing w:line="300" w:lineRule="exact"/>
              <w:contextualSpacing/>
              <w:rPr>
                <w:rFonts w:ascii="Verdana" w:eastAsia="Calibri" w:hAnsi="Verdana" w:cs="Arial"/>
                <w:b/>
              </w:rPr>
            </w:pPr>
            <w:r>
              <w:rPr>
                <w:rFonts w:ascii="Verdana" w:hAnsi="Verdana" w:cs="Arial"/>
                <w:bCs/>
              </w:rPr>
              <w:t xml:space="preserve">As Debêntures contarão com o incentivo previsto no artigo 2º da Lei 12.431. </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Depósito para Distribuição das Debêntures</w:t>
            </w:r>
          </w:p>
        </w:tc>
        <w:tc>
          <w:tcPr>
            <w:tcW w:w="3217" w:type="pct"/>
            <w:shd w:val="clear" w:color="auto" w:fill="auto"/>
          </w:tcPr>
          <w:p>
            <w:pPr>
              <w:pStyle w:val="HOMEBRBodyText"/>
              <w:keepLines w:val="0"/>
              <w:widowControl w:val="0"/>
              <w:spacing w:line="300" w:lineRule="exact"/>
              <w:contextualSpacing/>
              <w:rPr>
                <w:rFonts w:ascii="Verdana" w:hAnsi="Verdana" w:cs="Arial"/>
              </w:rPr>
            </w:pPr>
            <w:bookmarkStart w:id="21" w:name="_Ref312320003"/>
            <w:r>
              <w:rPr>
                <w:rFonts w:ascii="Verdana" w:hAnsi="Verdana" w:cs="Arial"/>
              </w:rPr>
              <w:t>As Debêntures serão depositadas para</w:t>
            </w:r>
            <w:r>
              <w:rPr>
                <w:rFonts w:ascii="Verdana" w:hAnsi="Verdana" w:cs="Arial"/>
                <w:b/>
              </w:rPr>
              <w:t xml:space="preserve"> </w:t>
            </w:r>
            <w:r>
              <w:rPr>
                <w:rFonts w:ascii="Verdana" w:hAnsi="Verdana" w:cs="Arial"/>
                <w:iCs/>
              </w:rPr>
              <w:t>distribuição no mercado primário por meio (a) do MDA, administrado e operacionalizado pela B3 – Segmento Cetip UTVM, sendo a distribuição liquidada financeiramente por meio da B3 – Segmento Cetip UTVM; e/ ou (b) do DDA, administrado e operacionalizado pela B3, sendo a distribuição liquidada financeiramente por meio da B3</w:t>
            </w:r>
            <w:bookmarkEnd w:id="21"/>
            <w:r>
              <w:rPr>
                <w:rFonts w:ascii="Verdana" w:hAnsi="Verdana" w:cs="Arial"/>
                <w:iCs/>
              </w:rPr>
              <w:t>.</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Depósito para Negociação das Debêntures</w:t>
            </w:r>
          </w:p>
        </w:tc>
        <w:tc>
          <w:tcPr>
            <w:tcW w:w="3217" w:type="pct"/>
            <w:shd w:val="clear" w:color="auto" w:fill="auto"/>
          </w:tcPr>
          <w:p>
            <w:pPr>
              <w:pStyle w:val="HOMEBRBodyText"/>
              <w:keepLines w:val="0"/>
              <w:widowControl w:val="0"/>
              <w:spacing w:line="300" w:lineRule="exact"/>
              <w:contextualSpacing/>
              <w:rPr>
                <w:rFonts w:ascii="Verdana" w:hAnsi="Verdana" w:cs="Arial"/>
              </w:rPr>
            </w:pPr>
            <w:r>
              <w:rPr>
                <w:rFonts w:ascii="Verdana" w:hAnsi="Verdana" w:cs="Arial"/>
              </w:rPr>
              <w:t>As Debêntures serão depositadas para negociação no mercado secundário por meio (a) do CETIP21, administrado e operacionalizado pela B3 – Segmento Cetip UTVM, sendo as negociações liquidadas e as Debêntures custodiadas eletronicamente na B3 – Segmento Cetip UTVM; e/ou (b) da plataforma eletrônica de negociação de multi ativos PUMA, administrado e operacionalizado pela B3, sendo processadas pela B3 a custódia, a liquidação financeira e a negociação das Debêntures.</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Destinação dos Recursos</w:t>
            </w:r>
          </w:p>
        </w:tc>
        <w:tc>
          <w:tcPr>
            <w:tcW w:w="3217" w:type="pct"/>
            <w:shd w:val="clear" w:color="auto" w:fill="auto"/>
          </w:tcPr>
          <w:p>
            <w:pPr>
              <w:pStyle w:val="HOMEBRBodyText"/>
              <w:keepLines w:val="0"/>
              <w:widowControl w:val="0"/>
              <w:spacing w:line="300" w:lineRule="exact"/>
              <w:contextualSpacing/>
              <w:rPr>
                <w:rFonts w:ascii="Verdana" w:hAnsi="Verdana" w:cs="Arial"/>
                <w:b/>
              </w:rPr>
            </w:pPr>
            <w:r>
              <w:rPr>
                <w:rFonts w:ascii="Verdana" w:hAnsi="Verdana"/>
              </w:rPr>
              <w:t>Nos termos do artigo 2º da Lei nº 12.431, do Decreto nº 8.874, da Portaria do Ministério da Infraestrutura, da Resolução do Conselho Monetário Nacional (“</w:t>
            </w:r>
            <w:r>
              <w:rPr>
                <w:rFonts w:ascii="Verdana" w:hAnsi="Verdana"/>
                <w:u w:val="single"/>
              </w:rPr>
              <w:t>CMN</w:t>
            </w:r>
            <w:r>
              <w:rPr>
                <w:rFonts w:ascii="Verdana" w:hAnsi="Verdana"/>
              </w:rPr>
              <w:t xml:space="preserve">”) nº 3.947, de 27 de janeiro de 2011 e da Portaria </w:t>
            </w:r>
            <w:r>
              <w:rPr>
                <w:rFonts w:ascii="Verdana" w:hAnsi="Verdana"/>
              </w:rPr>
              <w:lastRenderedPageBreak/>
              <w:t>009/2012, a totalidade dos recursos líquidos captados pela Emissora</w:t>
            </w:r>
            <w:bookmarkStart w:id="22" w:name="_DV_C50"/>
            <w:r>
              <w:rPr>
                <w:rFonts w:ascii="Verdana" w:hAnsi="Verdana"/>
              </w:rPr>
              <w:t xml:space="preserve"> por meio </w:t>
            </w:r>
            <w:bookmarkEnd w:id="22"/>
            <w:r>
              <w:rPr>
                <w:rFonts w:ascii="Verdana" w:hAnsi="Verdana"/>
              </w:rPr>
              <w:t xml:space="preserve">da Emissão (inclusive decorrentes da colocação das Debêntures Adicionais, caso emitidas) </w:t>
            </w:r>
            <w:r>
              <w:rPr>
                <w:rFonts w:ascii="Verdana" w:hAnsi="Verdana"/>
                <w:color w:val="000000"/>
              </w:rPr>
              <w:t xml:space="preserve">destinar-se-á a </w:t>
            </w:r>
            <w:r>
              <w:rPr>
                <w:rFonts w:ascii="Verdana" w:hAnsi="Verdana" w:cs="Arial"/>
              </w:rPr>
              <w:t>projeto de investimento em infraestrutura na área de transporte e logística no setor ferroviário da Rumo Malha Central [</w:t>
            </w:r>
            <w:r>
              <w:rPr>
                <w:rFonts w:ascii="Verdana" w:hAnsi="Verdana" w:cs="Arial"/>
                <w:highlight w:val="yellow"/>
              </w:rPr>
              <w:t>Nota PNA: Refletirá o disposto na Escritura de Emissão</w:t>
            </w:r>
            <w:r>
              <w:rPr>
                <w:rFonts w:ascii="Verdana" w:hAnsi="Verdana" w:cs="Arial"/>
              </w:rPr>
              <w:t>.]</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lastRenderedPageBreak/>
              <w:t>Direcionamento da Oferta Não Institucional</w:t>
            </w:r>
          </w:p>
        </w:tc>
        <w:tc>
          <w:tcPr>
            <w:tcW w:w="3217" w:type="pct"/>
            <w:shd w:val="clear" w:color="auto" w:fill="auto"/>
          </w:tcPr>
          <w:p>
            <w:pPr>
              <w:pStyle w:val="HOMEBRBodyText"/>
              <w:keepLines w:val="0"/>
              <w:widowControl w:val="0"/>
              <w:spacing w:line="300" w:lineRule="exact"/>
              <w:contextualSpacing/>
              <w:rPr>
                <w:rFonts w:ascii="Verdana" w:hAnsi="Verdana" w:cs="Arial"/>
                <w:b/>
                <w:spacing w:val="-4"/>
              </w:rPr>
            </w:pPr>
            <w:r>
              <w:rPr>
                <w:rFonts w:ascii="Verdana" w:hAnsi="Verdana" w:cs="Arial"/>
                <w:spacing w:val="-4"/>
                <w:lang w:val="pt-PT"/>
              </w:rPr>
              <w:t xml:space="preserve">O </w:t>
            </w:r>
            <w:r>
              <w:rPr>
                <w:rFonts w:ascii="Verdana" w:hAnsi="Verdana" w:cs="Arial"/>
              </w:rPr>
              <w:t>montante de 100.000 Debêntures, ou seja, 10% do Valor Total da Emissão (sem considerar as Debêntures Adicionais), será destinado, prioritariamente, à colocação pública para Investidores Não Institucionais no âmbito da Oferta Não Institucional. Os Coordenadores, em comum acordo com a Emissora, poderão elevar a quantidade de Debêntures inicialmente destinada à Oferta Não Institucional a um patamar compatível com os objetivos da Oferta, de forma a atender total ou parcialmente</w:t>
            </w:r>
            <w:r>
              <w:rPr>
                <w:rFonts w:ascii="Verdana" w:hAnsi="Verdana" w:cs="Arial"/>
                <w:spacing w:val="-4"/>
                <w:lang w:val="pt-PT"/>
              </w:rPr>
              <w:t xml:space="preserve"> os Pedidos de Reserva</w:t>
            </w:r>
            <w:r>
              <w:rPr>
                <w:rFonts w:ascii="Verdana" w:hAnsi="Verdana" w:cs="Arial"/>
                <w:spacing w:val="-4"/>
              </w:rPr>
              <w:t xml:space="preserve">. </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Direito de Preferência</w:t>
            </w:r>
          </w:p>
        </w:tc>
        <w:tc>
          <w:tcPr>
            <w:tcW w:w="3217" w:type="pct"/>
            <w:shd w:val="clear" w:color="auto" w:fill="auto"/>
          </w:tcPr>
          <w:p>
            <w:pPr>
              <w:pStyle w:val="HOMEBRBodyText"/>
              <w:keepLines w:val="0"/>
              <w:widowControl w:val="0"/>
              <w:spacing w:line="300" w:lineRule="exact"/>
              <w:contextualSpacing/>
              <w:rPr>
                <w:rFonts w:ascii="Verdana" w:eastAsia="Calibri" w:hAnsi="Verdana" w:cs="Arial"/>
              </w:rPr>
            </w:pPr>
            <w:r>
              <w:rPr>
                <w:rFonts w:ascii="Verdana" w:eastAsia="Calibri" w:hAnsi="Verdana" w:cs="Arial"/>
              </w:rPr>
              <w:t xml:space="preserve">Não haverá direito </w:t>
            </w:r>
            <w:r>
              <w:rPr>
                <w:rFonts w:ascii="Verdana" w:hAnsi="Verdana" w:cs="Arial"/>
              </w:rPr>
              <w:t>de preferência dos atuais acionistas da Emissora na subs</w:t>
            </w:r>
            <w:r>
              <w:rPr>
                <w:rFonts w:ascii="Verdana" w:eastAsia="Calibri" w:hAnsi="Verdana" w:cs="Arial"/>
              </w:rPr>
              <w:t>crição das Debêntures.</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Distribuição Parcial</w:t>
            </w:r>
          </w:p>
        </w:tc>
        <w:tc>
          <w:tcPr>
            <w:tcW w:w="3217" w:type="pct"/>
            <w:shd w:val="clear" w:color="auto" w:fill="auto"/>
          </w:tcPr>
          <w:p>
            <w:pPr>
              <w:pStyle w:val="HOMEBRBodyText"/>
              <w:keepLines w:val="0"/>
              <w:widowControl w:val="0"/>
              <w:spacing w:line="300" w:lineRule="exact"/>
              <w:contextualSpacing/>
              <w:rPr>
                <w:rFonts w:ascii="Verdana" w:eastAsia="Calibri" w:hAnsi="Verdana" w:cs="Arial"/>
              </w:rPr>
            </w:pPr>
            <w:r>
              <w:rPr>
                <w:rFonts w:ascii="Verdana" w:eastAsia="Calibri" w:hAnsi="Verdana" w:cs="Arial"/>
                <w:lang w:val="pt-PT"/>
              </w:rPr>
              <w:t>Não será permitida a colocação parcial das Debêntures correspondentes ao Valor Total da Emissão, tendo em vista que tais Debêntures inicialmente ofertadas (sem considerar as Debêntures Adicionais) serão colocadas sob o regime de garantia firme de colocação.</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 xml:space="preserve">Emissora </w:t>
            </w:r>
          </w:p>
        </w:tc>
        <w:tc>
          <w:tcPr>
            <w:tcW w:w="3217" w:type="pct"/>
            <w:shd w:val="clear" w:color="auto" w:fill="auto"/>
          </w:tcPr>
          <w:p>
            <w:pPr>
              <w:pStyle w:val="HOMEBRBodyText"/>
              <w:keepLines w:val="0"/>
              <w:widowControl w:val="0"/>
              <w:spacing w:line="300" w:lineRule="exact"/>
              <w:contextualSpacing/>
              <w:rPr>
                <w:rFonts w:ascii="Verdana" w:eastAsia="Calibri" w:hAnsi="Verdana" w:cs="Arial"/>
                <w:spacing w:val="-4"/>
              </w:rPr>
            </w:pPr>
            <w:r>
              <w:rPr>
                <w:rFonts w:ascii="Verdana" w:eastAsia="Calibri" w:hAnsi="Verdana" w:cs="Arial"/>
                <w:spacing w:val="-4"/>
              </w:rPr>
              <w:t>Rumo S.A., sociedade por ações, registrada perante a CVM na categoria “A”, sob o código 17450, com sede na Rua Emilio Bertolini, nº 100, sala 1, Vila Oficinas, na Cidade de Curitiba, Estado do Paraná, inscrita no CNPJ/ME sob o nº 02.387.241/0001-60 e na JUCEPAR sob o Número de Identificação do Registro de Empresas – NIRE 41.300.019.886.</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Espécie</w:t>
            </w:r>
          </w:p>
        </w:tc>
        <w:tc>
          <w:tcPr>
            <w:tcW w:w="3217" w:type="pct"/>
            <w:shd w:val="clear" w:color="auto" w:fill="auto"/>
          </w:tcPr>
          <w:p>
            <w:pPr>
              <w:pStyle w:val="HOMEBRBodyText"/>
              <w:keepLines w:val="0"/>
              <w:widowControl w:val="0"/>
              <w:spacing w:line="300" w:lineRule="exact"/>
              <w:contextualSpacing/>
              <w:rPr>
                <w:rFonts w:ascii="Verdana" w:eastAsia="Calibri" w:hAnsi="Verdana" w:cs="Arial"/>
              </w:rPr>
            </w:pPr>
            <w:r>
              <w:rPr>
                <w:rFonts w:ascii="Verdana" w:eastAsia="Calibri" w:hAnsi="Verdana" w:cs="Arial"/>
              </w:rPr>
              <w:t xml:space="preserve">As Debêntures são da espécie quirografária. </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Fatores de Risco</w:t>
            </w:r>
          </w:p>
        </w:tc>
        <w:tc>
          <w:tcPr>
            <w:tcW w:w="3217" w:type="pct"/>
            <w:shd w:val="clear" w:color="auto" w:fill="auto"/>
          </w:tcPr>
          <w:p>
            <w:pPr>
              <w:pStyle w:val="HOMEBRBodyText"/>
              <w:keepLines w:val="0"/>
              <w:widowControl w:val="0"/>
              <w:spacing w:line="300" w:lineRule="exact"/>
              <w:contextualSpacing/>
              <w:rPr>
                <w:rFonts w:ascii="Verdana" w:eastAsia="Calibri" w:hAnsi="Verdana" w:cs="Arial"/>
                <w:b/>
              </w:rPr>
            </w:pPr>
            <w:r>
              <w:rPr>
                <w:rFonts w:ascii="Verdana" w:hAnsi="Verdana" w:cs="Arial"/>
                <w:b/>
              </w:rPr>
              <w:t xml:space="preserve">Para uma descrição dos fatores que devem ser considerados </w:t>
            </w:r>
            <w:r>
              <w:rPr>
                <w:rFonts w:ascii="Verdana" w:eastAsia="Calibri" w:hAnsi="Verdana" w:cs="Arial"/>
                <w:b/>
              </w:rPr>
              <w:t>antes da decisão de investimento nas Debêntures, veja a seção “Fatores de Risco Relacionados à Oferta e às Debêntures” nas páginas [</w:t>
            </w:r>
            <w:r>
              <w:rPr>
                <w:rFonts w:ascii="Verdana" w:eastAsia="Calibri" w:hAnsi="Verdana" w:cs="Arial"/>
                <w:b/>
              </w:rPr>
              <w:sym w:font="Symbol" w:char="F0B7"/>
            </w:r>
            <w:r>
              <w:rPr>
                <w:rFonts w:ascii="Verdana" w:eastAsia="Calibri" w:hAnsi="Verdana" w:cs="Arial"/>
                <w:b/>
              </w:rPr>
              <w:t>] até [</w:t>
            </w:r>
            <w:r>
              <w:rPr>
                <w:rFonts w:ascii="Verdana" w:eastAsia="Calibri" w:hAnsi="Verdana" w:cs="Arial"/>
                <w:b/>
              </w:rPr>
              <w:sym w:font="Symbol" w:char="F0B7"/>
            </w:r>
            <w:r>
              <w:rPr>
                <w:rFonts w:ascii="Verdana" w:eastAsia="Calibri" w:hAnsi="Verdana" w:cs="Arial"/>
                <w:b/>
              </w:rPr>
              <w:t xml:space="preserve">] deste Prospecto, além de </w:t>
            </w:r>
            <w:r>
              <w:rPr>
                <w:rFonts w:ascii="Verdana" w:eastAsia="Calibri" w:hAnsi="Verdana" w:cs="Arial"/>
                <w:b/>
              </w:rPr>
              <w:lastRenderedPageBreak/>
              <w:t>outras informações incluídas neste Prospecto.</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lastRenderedPageBreak/>
              <w:t xml:space="preserve">Forma de Subscrição e Integralização </w:t>
            </w:r>
          </w:p>
        </w:tc>
        <w:tc>
          <w:tcPr>
            <w:tcW w:w="3217" w:type="pct"/>
            <w:shd w:val="clear" w:color="auto" w:fill="auto"/>
          </w:tcPr>
          <w:p>
            <w:pPr>
              <w:pStyle w:val="HOMEBRBodyText"/>
              <w:keepLines w:val="0"/>
              <w:widowControl w:val="0"/>
              <w:spacing w:line="300" w:lineRule="exact"/>
              <w:contextualSpacing/>
              <w:rPr>
                <w:rFonts w:ascii="Verdana" w:eastAsia="Calibri" w:hAnsi="Verdana" w:cs="Arial"/>
                <w:spacing w:val="-2"/>
              </w:rPr>
            </w:pPr>
            <w:bookmarkStart w:id="23" w:name="_DV_C271"/>
            <w:r>
              <w:rPr>
                <w:rFonts w:ascii="Verdana" w:hAnsi="Verdana" w:cs="Arial"/>
                <w:spacing w:val="-4"/>
              </w:rPr>
              <w:t xml:space="preserve">As Debêntures poderão ser subscritas no mercado primário a qualquer tempo, dentro do prazo de colocação, com integralização à vista, no ato da subscrição, em moeda corrente nacional, pelo Preço de Subscrição, de acordo com as normas de liquidação e os procedimentos aplicáveis à B3 ou à B3 – Segmento Cetip UTVM, conforme o caso, sendo a liquidação realizada por meio da B3 ou da B3 – Segmento Cetip UTVM. Caso ocorra a subscrição e integralização de Debêntures em mais de uma data, o Preço de Subscrição com relação às Debêntures que forem integralizadas após a Primeira Data de Integralização será o Valor Nominal Atualizado acrescido dos Juros Remuneratórios, calculados </w:t>
            </w:r>
            <w:r>
              <w:rPr>
                <w:rFonts w:ascii="Verdana" w:hAnsi="Verdana" w:cs="Arial"/>
                <w:i/>
                <w:spacing w:val="-4"/>
              </w:rPr>
              <w:t>pro rata temporis</w:t>
            </w:r>
            <w:r>
              <w:rPr>
                <w:rFonts w:ascii="Verdana" w:hAnsi="Verdana" w:cs="Arial"/>
                <w:spacing w:val="-4"/>
              </w:rPr>
              <w:t xml:space="preserve"> desde a Primeira Data de Integralização até a data de sua efetiva integralização. </w:t>
            </w:r>
            <w:bookmarkEnd w:id="23"/>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Formador de Mercado</w:t>
            </w:r>
          </w:p>
        </w:tc>
        <w:tc>
          <w:tcPr>
            <w:tcW w:w="3217" w:type="pct"/>
            <w:shd w:val="clear" w:color="auto" w:fill="auto"/>
          </w:tcPr>
          <w:p>
            <w:pPr>
              <w:pStyle w:val="HOMEBRBodyText"/>
              <w:widowControl w:val="0"/>
              <w:spacing w:line="300" w:lineRule="exact"/>
              <w:contextualSpacing/>
              <w:rPr>
                <w:rFonts w:ascii="Verdana" w:hAnsi="Verdana" w:cs="Arial"/>
                <w:spacing w:val="-4"/>
              </w:rPr>
            </w:pPr>
            <w:r>
              <w:rPr>
                <w:rFonts w:ascii="Verdana" w:hAnsi="Verdana" w:cs="Arial"/>
                <w:spacing w:val="-4"/>
              </w:rPr>
              <w:t>Conforme recomendação dos Coordenadores, a Emissora contratou o [</w:t>
            </w:r>
            <w:r>
              <w:rPr>
                <w:rFonts w:ascii="Verdana" w:hAnsi="Verdana" w:cs="Arial"/>
                <w:spacing w:val="-4"/>
              </w:rPr>
              <w:sym w:font="Symbol" w:char="F0B7"/>
            </w:r>
            <w:r>
              <w:rPr>
                <w:rFonts w:ascii="Verdana" w:hAnsi="Verdana" w:cs="Arial"/>
                <w:spacing w:val="-4"/>
              </w:rPr>
              <w:t xml:space="preserve">], nos termos da Instrução CVM 384, para exercer a atividade de formador de mercado para as Debêntures, com a finalidade de garantir a existência e a permanência de ofertas firmes diárias de compra e venda para as Debêntures na B3 – Segmento Cetip UTVM, pelo prazo de </w:t>
            </w:r>
            <w:r>
              <w:rPr>
                <w:rFonts w:ascii="Verdana" w:hAnsi="Verdana"/>
              </w:rPr>
              <w:t>um ano, contado da Primeira Data de Integralização, podendo ser renovado de comum acordo entre a Emissora e o Formador de Mercado</w:t>
            </w:r>
            <w:r>
              <w:rPr>
                <w:rFonts w:ascii="Verdana" w:hAnsi="Verdana" w:cs="Arial"/>
                <w:spacing w:val="-4"/>
              </w:rPr>
              <w:t>. [</w:t>
            </w:r>
            <w:r>
              <w:rPr>
                <w:rFonts w:ascii="Verdana" w:hAnsi="Verdana" w:cs="Arial"/>
                <w:spacing w:val="-4"/>
                <w:highlight w:val="yellow"/>
              </w:rPr>
              <w:t>Nota PNA: Cia/Lefosse, informar status da contratação</w:t>
            </w:r>
            <w:r>
              <w:rPr>
                <w:rFonts w:ascii="Verdana" w:hAnsi="Verdana" w:cs="Arial"/>
                <w:spacing w:val="-4"/>
              </w:rPr>
              <w:t>]</w:t>
            </w:r>
          </w:p>
          <w:p>
            <w:pPr>
              <w:pStyle w:val="HOMEBRBodyText"/>
              <w:widowControl w:val="0"/>
              <w:spacing w:after="0" w:line="300" w:lineRule="exact"/>
              <w:contextualSpacing/>
              <w:rPr>
                <w:rFonts w:ascii="Verdana" w:hAnsi="Verdana" w:cs="Arial"/>
                <w:spacing w:val="-4"/>
              </w:rPr>
            </w:pPr>
          </w:p>
          <w:p>
            <w:pPr>
              <w:pStyle w:val="HOMEBRBodyText"/>
              <w:widowControl w:val="0"/>
              <w:spacing w:line="300" w:lineRule="exact"/>
              <w:contextualSpacing/>
              <w:rPr>
                <w:rFonts w:ascii="Verdana" w:hAnsi="Verdana" w:cs="Arial"/>
                <w:spacing w:val="-4"/>
              </w:rPr>
            </w:pPr>
            <w:r>
              <w:rPr>
                <w:rFonts w:ascii="Verdana" w:hAnsi="Verdana" w:cs="Arial"/>
                <w:spacing w:val="-4"/>
              </w:rPr>
              <w:t>O Formador de Mercado terá assegurado o direito de subscrição de até 100.000 Debêntures, equivalente a</w:t>
            </w:r>
            <w:r>
              <w:rPr>
                <w:rFonts w:ascii="Verdana" w:hAnsi="Verdana" w:cs="Arial"/>
              </w:rPr>
              <w:t xml:space="preserve"> 10% das Debêntures (sem considerar as Debêntures Adicionais), </w:t>
            </w:r>
            <w:r>
              <w:rPr>
                <w:rFonts w:ascii="Verdana" w:hAnsi="Verdana" w:cs="Arial"/>
                <w:spacing w:val="-4"/>
              </w:rPr>
              <w:t xml:space="preserve">nos termos do parágrafo único do artigo 55 da Instrução CVM 400. O Formador de Mercado deverá adquirir as Debêntures observada a taxa final dos Juros Remuneratórios estabelecida durante o Procedimento de </w:t>
            </w:r>
            <w:r>
              <w:rPr>
                <w:rFonts w:ascii="Verdana" w:hAnsi="Verdana" w:cs="Arial"/>
                <w:i/>
                <w:spacing w:val="-4"/>
              </w:rPr>
              <w:t>Bookbuilding</w:t>
            </w:r>
            <w:r>
              <w:rPr>
                <w:rFonts w:ascii="Verdana" w:hAnsi="Verdana" w:cs="Arial"/>
                <w:spacing w:val="-4"/>
              </w:rPr>
              <w:t xml:space="preserve">. Dessa forma, caso seja verificado excesso de demanda superior em 1/3 (um terço) das Debêntures inicialmente ofertadas (sem considerar as Debêntures Adicionais), não será aplicável ao Formador de Mercado a restrição prevista no artigo 55 da Instrução CVM 400, conforme previsto no parágrafo único do artigo 55 da Instrução CVM 400. </w:t>
            </w:r>
          </w:p>
          <w:p>
            <w:pPr>
              <w:pStyle w:val="HOMEBRBodyText"/>
              <w:widowControl w:val="0"/>
              <w:spacing w:line="300" w:lineRule="exact"/>
              <w:contextualSpacing/>
              <w:rPr>
                <w:rFonts w:ascii="Verdana" w:hAnsi="Verdana" w:cs="Arial"/>
                <w:spacing w:val="-4"/>
              </w:rPr>
            </w:pPr>
          </w:p>
          <w:p>
            <w:pPr>
              <w:pStyle w:val="HOMEBRBodyText"/>
              <w:widowControl w:val="0"/>
              <w:spacing w:line="300" w:lineRule="exact"/>
              <w:contextualSpacing/>
              <w:rPr>
                <w:rFonts w:ascii="Verdana" w:hAnsi="Verdana" w:cs="Arial"/>
                <w:b/>
                <w:spacing w:val="-4"/>
              </w:rPr>
            </w:pPr>
            <w:r>
              <w:rPr>
                <w:rFonts w:ascii="Verdana" w:hAnsi="Verdana" w:cs="Arial"/>
                <w:b/>
                <w:spacing w:val="-4"/>
              </w:rPr>
              <w:lastRenderedPageBreak/>
              <w:t>Para mais informações, veja a seção “Informações Relativas à Emissão, à Oferta e às Debêntures – Características da Emissão e das Debêntures – Formador de Mercado”, na página [</w:t>
            </w:r>
            <w:r>
              <w:rPr>
                <w:rFonts w:ascii="Verdana" w:hAnsi="Verdana" w:cs="Arial"/>
                <w:b/>
                <w:spacing w:val="-4"/>
              </w:rPr>
              <w:sym w:font="Symbol" w:char="F0B7"/>
            </w:r>
            <w:r>
              <w:rPr>
                <w:rFonts w:ascii="Verdana" w:hAnsi="Verdana" w:cs="Arial"/>
                <w:b/>
                <w:spacing w:val="-4"/>
              </w:rPr>
              <w:t>] deste Prospecto.</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lastRenderedPageBreak/>
              <w:t>Fundo de liquidez e estabilização</w:t>
            </w:r>
          </w:p>
        </w:tc>
        <w:tc>
          <w:tcPr>
            <w:tcW w:w="3217" w:type="pct"/>
            <w:shd w:val="clear" w:color="auto" w:fill="auto"/>
          </w:tcPr>
          <w:p>
            <w:pPr>
              <w:pStyle w:val="HOMEBRBodyText"/>
              <w:keepLines w:val="0"/>
              <w:widowControl w:val="0"/>
              <w:spacing w:line="300" w:lineRule="exact"/>
              <w:contextualSpacing/>
              <w:rPr>
                <w:rFonts w:ascii="Verdana" w:hAnsi="Verdana" w:cs="Arial"/>
                <w:spacing w:val="-4"/>
              </w:rPr>
            </w:pPr>
            <w:r>
              <w:rPr>
                <w:rFonts w:ascii="Verdana" w:hAnsi="Verdana" w:cs="Arial"/>
              </w:rPr>
              <w:t>Não será constituído fundo de manutenção de liquidez para as Debêntures.</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Garantia</w:t>
            </w:r>
          </w:p>
        </w:tc>
        <w:tc>
          <w:tcPr>
            <w:tcW w:w="3217" w:type="pct"/>
            <w:shd w:val="clear" w:color="auto" w:fill="auto"/>
          </w:tcPr>
          <w:p>
            <w:pPr>
              <w:pStyle w:val="HOMEBRBodyText"/>
              <w:keepLines w:val="0"/>
              <w:widowControl w:val="0"/>
              <w:spacing w:after="180" w:line="300" w:lineRule="exact"/>
              <w:contextualSpacing/>
              <w:rPr>
                <w:rFonts w:ascii="Verdana" w:hAnsi="Verdana" w:cs="Arial"/>
                <w:lang w:val="pt-PT"/>
              </w:rPr>
            </w:pPr>
            <w:r>
              <w:rPr>
                <w:rFonts w:ascii="Verdana" w:hAnsi="Verdana" w:cs="Arial"/>
                <w:lang w:val="pt-PT"/>
              </w:rPr>
              <w:t>As Debêntures não contarão com qualquer tipo de garantia.</w:t>
            </w:r>
          </w:p>
          <w:p>
            <w:pPr>
              <w:pStyle w:val="HOMEBRBodyText"/>
              <w:keepLines w:val="0"/>
              <w:widowControl w:val="0"/>
              <w:spacing w:after="180" w:line="300" w:lineRule="exact"/>
              <w:contextualSpacing/>
              <w:rPr>
                <w:rFonts w:ascii="Verdana" w:hAnsi="Verdana" w:cs="Arial"/>
                <w:lang w:val="pt-PT"/>
              </w:rPr>
            </w:pPr>
          </w:p>
          <w:p>
            <w:pPr>
              <w:pStyle w:val="HOMEBRBodyText"/>
              <w:spacing w:line="300" w:lineRule="exact"/>
              <w:contextualSpacing/>
              <w:rPr>
                <w:rFonts w:ascii="Verdana" w:hAnsi="Verdana" w:cs="Arial"/>
                <w:b/>
              </w:rPr>
            </w:pPr>
            <w:r>
              <w:rPr>
                <w:rFonts w:ascii="Verdana" w:hAnsi="Verdana" w:cs="Arial"/>
                <w:b/>
              </w:rPr>
              <w:t xml:space="preserve">Para mais informações sobre a Garantia, veja a seção “Fatores de Risco Relacionados à Oferta e às Debêntures – As Debêntures são da espécie quirografária, sem garantia e sem preferência”, na </w:t>
            </w:r>
            <w:r>
              <w:rPr>
                <w:rFonts w:ascii="Verdana" w:eastAsia="Calibri" w:hAnsi="Verdana" w:cs="Arial"/>
                <w:b/>
              </w:rPr>
              <w:t>página [</w:t>
            </w:r>
            <w:r>
              <w:rPr>
                <w:rFonts w:ascii="Verdana" w:eastAsia="Calibri" w:hAnsi="Verdana" w:cs="Arial"/>
                <w:b/>
              </w:rPr>
              <w:sym w:font="Symbol" w:char="F0B7"/>
            </w:r>
            <w:r>
              <w:rPr>
                <w:rFonts w:ascii="Verdana" w:eastAsia="Calibri" w:hAnsi="Verdana" w:cs="Arial"/>
                <w:b/>
              </w:rPr>
              <w:t>]</w:t>
            </w:r>
            <w:r>
              <w:rPr>
                <w:rFonts w:ascii="Verdana" w:hAnsi="Verdana" w:cs="Arial"/>
                <w:b/>
              </w:rPr>
              <w:t xml:space="preserve"> deste Prospecto.</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Garantia Firme</w:t>
            </w:r>
          </w:p>
        </w:tc>
        <w:tc>
          <w:tcPr>
            <w:tcW w:w="3217" w:type="pct"/>
            <w:shd w:val="clear" w:color="auto" w:fill="auto"/>
          </w:tcPr>
          <w:p>
            <w:pPr>
              <w:pStyle w:val="HOMEBRBodyText"/>
              <w:keepLines w:val="0"/>
              <w:widowControl w:val="0"/>
              <w:spacing w:after="0" w:line="300" w:lineRule="exact"/>
              <w:contextualSpacing/>
              <w:rPr>
                <w:rFonts w:ascii="Verdana" w:hAnsi="Verdana" w:cs="Arial"/>
              </w:rPr>
            </w:pPr>
            <w:r>
              <w:rPr>
                <w:rFonts w:ascii="Verdana" w:hAnsi="Verdana" w:cs="Arial"/>
              </w:rPr>
              <w:t>Os Coordenadores realizarão a Oferta, de acordo com o Plano de Distribuição, sob o regime de garantia firme de colocação para o Valor Total da Emissão, sem considerar as Debêntures Adicionais, de forma individual e não solidária entre os Coordenadores (sem considerar as Debêntures Adicionais, as quais serão colocadas sob o regime de melhores esforços de colocação), na proporção indicada na tabela constante da seção “Informações Relativas à Emissão, à Oferta e às Debêntures – Contrato de Distribuição” deste Prospecto. As Debêntures Adicionais eventualmente emitidas serão distribuídas sob o regime de melhores esforços.</w:t>
            </w:r>
          </w:p>
          <w:p>
            <w:pPr>
              <w:pStyle w:val="HOMEBRBodyText"/>
              <w:keepLines w:val="0"/>
              <w:widowControl w:val="0"/>
              <w:spacing w:after="0" w:line="300" w:lineRule="exact"/>
              <w:contextualSpacing/>
              <w:rPr>
                <w:rFonts w:ascii="Verdana" w:eastAsia="Calibri" w:hAnsi="Verdana" w:cs="Arial"/>
                <w:b/>
                <w:spacing w:val="4"/>
              </w:rPr>
            </w:pPr>
          </w:p>
          <w:p>
            <w:pPr>
              <w:pStyle w:val="HOMEBRBodyText"/>
              <w:keepLines w:val="0"/>
              <w:widowControl w:val="0"/>
              <w:spacing w:after="0" w:line="300" w:lineRule="exact"/>
              <w:contextualSpacing/>
              <w:rPr>
                <w:rFonts w:ascii="Verdana" w:hAnsi="Verdana" w:cs="Arial"/>
              </w:rPr>
            </w:pPr>
            <w:r>
              <w:rPr>
                <w:rFonts w:ascii="Verdana" w:eastAsia="Calibri" w:hAnsi="Verdana" w:cs="Arial"/>
                <w:b/>
                <w:spacing w:val="4"/>
              </w:rPr>
              <w:t xml:space="preserve">Para mais informações sobre o regime de colocação da Oferta, veja as seções “Informações Relativas à Emissão, à Oferta e às Debêntures – </w:t>
            </w:r>
            <w:r>
              <w:rPr>
                <w:rFonts w:ascii="Verdana" w:hAnsi="Verdana" w:cs="Arial"/>
                <w:b/>
                <w:spacing w:val="-4"/>
              </w:rPr>
              <w:t>Contrato de Distribuição</w:t>
            </w:r>
            <w:r>
              <w:rPr>
                <w:rFonts w:ascii="Verdana" w:eastAsia="Calibri" w:hAnsi="Verdana" w:cs="Arial"/>
                <w:b/>
                <w:spacing w:val="4"/>
              </w:rPr>
              <w:t xml:space="preserve"> – Regime de Colocação”, na página [</w:t>
            </w:r>
            <w:r>
              <w:rPr>
                <w:rFonts w:ascii="Verdana" w:eastAsia="Calibri" w:hAnsi="Verdana" w:cs="Arial"/>
                <w:b/>
                <w:spacing w:val="4"/>
              </w:rPr>
              <w:sym w:font="Symbol" w:char="F0B7"/>
            </w:r>
            <w:r>
              <w:rPr>
                <w:rFonts w:ascii="Verdana" w:eastAsia="Calibri" w:hAnsi="Verdana" w:cs="Arial"/>
                <w:b/>
                <w:spacing w:val="4"/>
              </w:rPr>
              <w:t>] deste Prospecto.</w:t>
            </w:r>
          </w:p>
          <w:p>
            <w:pPr>
              <w:pStyle w:val="HOMEBRBodyText"/>
              <w:keepLines w:val="0"/>
              <w:widowControl w:val="0"/>
              <w:spacing w:after="0" w:line="300" w:lineRule="exact"/>
              <w:contextualSpacing/>
              <w:rPr>
                <w:rFonts w:ascii="Verdana" w:hAnsi="Verdana" w:cs="Arial"/>
                <w:b/>
              </w:rPr>
            </w:pP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Inadequação da Oferta a Certos Investidores</w:t>
            </w:r>
          </w:p>
        </w:tc>
        <w:tc>
          <w:tcPr>
            <w:tcW w:w="3217" w:type="pct"/>
            <w:shd w:val="clear" w:color="auto" w:fill="auto"/>
          </w:tcPr>
          <w:p>
            <w:pPr>
              <w:pStyle w:val="HOMEBRBodyText"/>
              <w:keepLines w:val="0"/>
              <w:widowControl w:val="0"/>
              <w:spacing w:after="180" w:line="300" w:lineRule="exact"/>
              <w:contextualSpacing/>
              <w:rPr>
                <w:rFonts w:ascii="Verdana" w:hAnsi="Verdana" w:cs="Arial"/>
              </w:rPr>
            </w:pPr>
            <w:r>
              <w:rPr>
                <w:rFonts w:ascii="Verdana" w:hAnsi="Verdana" w:cs="Arial"/>
              </w:rPr>
              <w:t xml:space="preserve">O investimento nas Debêntures não é adequado a investidores que: (i) não tenham profundo conhecimento dos riscos envolvidos na operação ou que não tenham acesso a consultoria especializada; (ii) necessitem de liquidez com relação às Debêntures a serem subscritas, tendo em vista a possibilidade de </w:t>
            </w:r>
            <w:r>
              <w:rPr>
                <w:rFonts w:ascii="Verdana" w:hAnsi="Verdana" w:cs="Arial"/>
              </w:rPr>
              <w:lastRenderedPageBreak/>
              <w:t>serem pequenas ou inexistentes as negociações das Debêntures no mercado secundário; e/ou (iii) não estejam dispostos a correr o risco de crédito de empresa do setor privado e/ou dos setores em que a Emissora atua, em particular no transporte ferroviário.</w:t>
            </w:r>
          </w:p>
          <w:p>
            <w:pPr>
              <w:pStyle w:val="HOMEBRBodyText"/>
              <w:keepLines w:val="0"/>
              <w:widowControl w:val="0"/>
              <w:spacing w:after="180" w:line="300" w:lineRule="exact"/>
              <w:contextualSpacing/>
              <w:rPr>
                <w:rFonts w:ascii="Verdana" w:hAnsi="Verdana" w:cs="Arial"/>
              </w:rPr>
            </w:pPr>
          </w:p>
          <w:p>
            <w:pPr>
              <w:pStyle w:val="HOMEBRBodyText"/>
              <w:keepLines w:val="0"/>
              <w:widowControl w:val="0"/>
              <w:spacing w:after="180" w:line="300" w:lineRule="exact"/>
              <w:contextualSpacing/>
              <w:rPr>
                <w:rFonts w:ascii="Verdana" w:eastAsia="Calibri" w:hAnsi="Verdana" w:cs="Arial"/>
                <w:b/>
              </w:rPr>
            </w:pPr>
            <w:r>
              <w:rPr>
                <w:rFonts w:ascii="Verdana" w:hAnsi="Verdana" w:cs="Arial"/>
                <w:b/>
              </w:rPr>
              <w:t xml:space="preserve">Para uma avaliação adequada dos riscos associados ao investimento nas Debêntures, os investidores deverão ler a seção “Fatores de Risco Relacionados à Oferta e às Debêntures”, na </w:t>
            </w:r>
            <w:r>
              <w:rPr>
                <w:rFonts w:ascii="Verdana" w:eastAsia="Calibri" w:hAnsi="Verdana" w:cs="Arial"/>
                <w:b/>
              </w:rPr>
              <w:t>página [</w:t>
            </w:r>
            <w:r>
              <w:rPr>
                <w:rFonts w:ascii="Verdana" w:eastAsia="Calibri" w:hAnsi="Verdana" w:cs="Arial"/>
                <w:b/>
              </w:rPr>
              <w:sym w:font="Symbol" w:char="F0B7"/>
            </w:r>
            <w:r>
              <w:rPr>
                <w:rFonts w:ascii="Verdana" w:eastAsia="Calibri" w:hAnsi="Verdana" w:cs="Arial"/>
                <w:b/>
              </w:rPr>
              <w:t>]</w:t>
            </w:r>
            <w:r>
              <w:rPr>
                <w:rFonts w:ascii="Verdana" w:hAnsi="Verdana" w:cs="Arial"/>
                <w:b/>
              </w:rPr>
              <w:t xml:space="preserve"> deste Prospecto, bem como a seção “4. Fatores de Risco” do Formulário de Referência antes de aceitar a Oferta.</w:t>
            </w:r>
          </w:p>
        </w:tc>
      </w:tr>
      <w:tr>
        <w:tc>
          <w:tcPr>
            <w:tcW w:w="1783" w:type="pct"/>
            <w:shd w:val="clear" w:color="auto" w:fill="auto"/>
          </w:tcPr>
          <w:p>
            <w:pPr>
              <w:pStyle w:val="HOMEBRBodyText"/>
              <w:keepLines w:val="0"/>
              <w:spacing w:line="300" w:lineRule="exact"/>
              <w:contextualSpacing/>
              <w:jc w:val="left"/>
              <w:rPr>
                <w:rFonts w:ascii="Verdana" w:eastAsia="Calibri" w:hAnsi="Verdana" w:cs="Arial"/>
                <w:b/>
              </w:rPr>
            </w:pPr>
            <w:r>
              <w:rPr>
                <w:rFonts w:ascii="Verdana" w:eastAsia="Calibri" w:hAnsi="Verdana" w:cs="Arial"/>
                <w:b/>
              </w:rPr>
              <w:lastRenderedPageBreak/>
              <w:t>Índices Financeiros</w:t>
            </w:r>
          </w:p>
        </w:tc>
        <w:tc>
          <w:tcPr>
            <w:tcW w:w="3217" w:type="pct"/>
            <w:shd w:val="clear" w:color="auto" w:fill="auto"/>
          </w:tcPr>
          <w:p>
            <w:pPr>
              <w:pStyle w:val="HOMEBRBodyText"/>
              <w:keepLines w:val="0"/>
              <w:widowControl w:val="0"/>
              <w:spacing w:line="300" w:lineRule="exact"/>
              <w:contextualSpacing/>
              <w:rPr>
                <w:rFonts w:ascii="Verdana" w:hAnsi="Verdana" w:cs="Arial"/>
              </w:rPr>
            </w:pPr>
            <w:r>
              <w:rPr>
                <w:rFonts w:ascii="Verdana" w:hAnsi="Verdana" w:cs="Arial"/>
              </w:rPr>
              <w:t>Sem prejuízo das demais hipóteses de vencimento antecipado automático e não automático previstas na Escritura, constitui Evento de Inadimplemento não automático, podendo acarretar o vencimento antecipado das obrigações decorrentes das Debêntures caso assim deliberado em Assembleia Geral de Debenturistas, aplicando-se o disposto na Escritura, a não observância dos seguintes índices financeiros pela Emissora, os quais serão calculados anualmente pela Emissora e verificados pelo Agente Fiduciário, a partir das demonstrações financeiras anuais consolidadas auditadas da Emissora, durante toda a vigência da Emissão, sendo a primeira apuração relativa ao exercício social encerrado em 31 de dezembro de 2019:</w:t>
            </w:r>
          </w:p>
          <w:p>
            <w:pPr>
              <w:pStyle w:val="BRMALLS-NORMAL"/>
              <w:rPr>
                <w:rFonts w:ascii="Verdana" w:eastAsia="Times New Roman" w:hAnsi="Verdana"/>
                <w:lang w:val="pt-BR" w:eastAsia="en-US"/>
              </w:rPr>
            </w:pPr>
            <w:r>
              <w:rPr>
                <w:rFonts w:ascii="Verdana" w:eastAsia="Times New Roman" w:hAnsi="Verdana"/>
                <w:lang w:val="pt-BR" w:eastAsia="en-US"/>
              </w:rPr>
              <w:t xml:space="preserve">(a) Índice de Alavancagem: </w:t>
            </w:r>
          </w:p>
          <w:p>
            <w:pPr>
              <w:pStyle w:val="BRMALLS-NORMAL"/>
              <w:rPr>
                <w:rFonts w:ascii="Verdana" w:eastAsia="Times New Roman" w:hAnsi="Verdana"/>
                <w:lang w:val="pt-BR" w:eastAsia="en-US"/>
              </w:rPr>
            </w:pPr>
          </w:p>
          <w:p>
            <w:pPr>
              <w:pStyle w:val="BRMALLS-NORMAL"/>
              <w:numPr>
                <w:ilvl w:val="0"/>
                <w:numId w:val="43"/>
              </w:numPr>
              <w:rPr>
                <w:rFonts w:ascii="Verdana" w:eastAsia="Times New Roman" w:hAnsi="Verdana"/>
                <w:lang w:val="pt-BR" w:eastAsia="en-US"/>
              </w:rPr>
            </w:pPr>
            <w:r>
              <w:rPr>
                <w:rFonts w:ascii="Verdana" w:eastAsia="Times New Roman" w:hAnsi="Verdana"/>
                <w:lang w:val="pt-BR" w:eastAsia="en-US"/>
              </w:rPr>
              <w:t xml:space="preserve">Dívida Financeira Líquida / EBITDA ≤ 3,6x, com relação às demonstrações financeiras relativas ao período encerrado em 31 de dezembro de 2019. </w:t>
            </w:r>
          </w:p>
          <w:p>
            <w:pPr>
              <w:pStyle w:val="BRMALLS-NORMAL"/>
              <w:rPr>
                <w:rFonts w:ascii="Verdana" w:eastAsia="Times New Roman" w:hAnsi="Verdana"/>
                <w:lang w:val="pt-BR" w:eastAsia="en-US"/>
              </w:rPr>
            </w:pPr>
          </w:p>
          <w:p>
            <w:pPr>
              <w:pStyle w:val="BRMALLS-NORMAL"/>
              <w:numPr>
                <w:ilvl w:val="0"/>
                <w:numId w:val="43"/>
              </w:numPr>
              <w:rPr>
                <w:rFonts w:ascii="Verdana" w:eastAsia="Times New Roman" w:hAnsi="Verdana"/>
                <w:lang w:val="pt-BR" w:eastAsia="en-US"/>
              </w:rPr>
            </w:pPr>
            <w:r>
              <w:rPr>
                <w:rFonts w:ascii="Verdana" w:eastAsia="Times New Roman" w:hAnsi="Verdana"/>
                <w:lang w:val="pt-BR" w:eastAsia="en-US"/>
              </w:rPr>
              <w:t xml:space="preserve">Dívida Financeira Líquida / EBITDA ≤ 3,3x, com relação às demonstrações financeiras relativas </w:t>
            </w:r>
            <w:r>
              <w:rPr>
                <w:rFonts w:ascii="Verdana" w:eastAsia="Times New Roman" w:hAnsi="Verdana"/>
                <w:lang w:val="pt-BR" w:eastAsia="en-US"/>
              </w:rPr>
              <w:lastRenderedPageBreak/>
              <w:t>ao período encerrado em 31 de dezembro de 2020.</w:t>
            </w:r>
          </w:p>
          <w:p>
            <w:pPr>
              <w:pStyle w:val="BRMALLS-NORMAL"/>
              <w:rPr>
                <w:rFonts w:ascii="Verdana" w:eastAsia="Times New Roman" w:hAnsi="Verdana"/>
                <w:lang w:val="pt-BR" w:eastAsia="en-US"/>
              </w:rPr>
            </w:pPr>
          </w:p>
          <w:p>
            <w:pPr>
              <w:pStyle w:val="BRMALLS-NORMAL"/>
              <w:numPr>
                <w:ilvl w:val="0"/>
                <w:numId w:val="43"/>
              </w:numPr>
              <w:rPr>
                <w:rFonts w:ascii="Verdana" w:eastAsia="Times New Roman" w:hAnsi="Verdana"/>
                <w:lang w:val="pt-BR" w:eastAsia="en-US"/>
              </w:rPr>
            </w:pPr>
            <w:r>
              <w:rPr>
                <w:rFonts w:ascii="Verdana" w:eastAsia="Times New Roman" w:hAnsi="Verdana"/>
                <w:lang w:val="pt-BR" w:eastAsia="en-US"/>
              </w:rPr>
              <w:t>Dívida Financeira Líquida / EBITDA ≤ 3,0x, com relação às demonstrações financeiras relativas aos períodos encerrados a partir de 31 de dezembro de 2021, inclusive.</w:t>
            </w:r>
          </w:p>
          <w:p>
            <w:pPr>
              <w:pStyle w:val="PargrafodaLista"/>
              <w:widowControl w:val="0"/>
              <w:spacing w:line="300" w:lineRule="exact"/>
              <w:rPr>
                <w:rFonts w:ascii="Verdana" w:hAnsi="Verdana" w:cs="Arial"/>
                <w:lang w:val="pt-BR"/>
              </w:rPr>
            </w:pPr>
          </w:p>
          <w:p>
            <w:pPr>
              <w:pStyle w:val="BRMALLS-NORMAL"/>
              <w:rPr>
                <w:rFonts w:ascii="Verdana" w:eastAsia="Times New Roman" w:hAnsi="Verdana"/>
                <w:lang w:val="pt-BR" w:eastAsia="en-US"/>
              </w:rPr>
            </w:pPr>
            <w:r>
              <w:rPr>
                <w:rFonts w:ascii="Verdana" w:eastAsia="Times New Roman" w:hAnsi="Verdana"/>
                <w:lang w:val="pt-BR" w:eastAsia="en-US"/>
              </w:rPr>
              <w:t xml:space="preserve">(b) Índice de Cobertura de Juros: </w:t>
            </w:r>
          </w:p>
          <w:p>
            <w:pPr>
              <w:pStyle w:val="NoParagraphStyle"/>
              <w:widowControl w:val="0"/>
              <w:suppressAutoHyphens/>
              <w:spacing w:line="300" w:lineRule="exact"/>
              <w:contextualSpacing/>
              <w:jc w:val="both"/>
              <w:rPr>
                <w:rFonts w:ascii="Verdana" w:eastAsia="Times New Roman" w:hAnsi="Verdana" w:cs="Arial"/>
                <w:color w:val="auto"/>
                <w:sz w:val="20"/>
                <w:szCs w:val="20"/>
                <w:lang w:val="pt-BR"/>
              </w:rPr>
            </w:pPr>
          </w:p>
          <w:p>
            <w:pPr>
              <w:pStyle w:val="BRMALLS-NORMAL"/>
              <w:numPr>
                <w:ilvl w:val="0"/>
                <w:numId w:val="44"/>
              </w:numPr>
              <w:rPr>
                <w:rFonts w:ascii="Verdana" w:eastAsia="Times New Roman" w:hAnsi="Verdana"/>
                <w:lang w:val="pt-BR" w:eastAsia="en-US"/>
              </w:rPr>
            </w:pPr>
            <w:r>
              <w:rPr>
                <w:rFonts w:ascii="Verdana" w:eastAsia="Times New Roman" w:hAnsi="Verdana"/>
                <w:lang w:val="pt-BR" w:eastAsia="en-US"/>
              </w:rPr>
              <w:t>EBITDA / Resultado Financeiro ≥ 1,70x, com relação às demonstrações financeiras relativas ao período encerrado em 31 de dezembro de 2019.</w:t>
            </w:r>
          </w:p>
          <w:p>
            <w:pPr>
              <w:pStyle w:val="BRMALLS-NORMAL"/>
              <w:numPr>
                <w:ilvl w:val="0"/>
                <w:numId w:val="44"/>
              </w:numPr>
              <w:rPr>
                <w:rFonts w:ascii="Verdana" w:eastAsia="Times New Roman" w:hAnsi="Verdana"/>
                <w:lang w:val="pt-BR" w:eastAsia="en-US"/>
              </w:rPr>
            </w:pPr>
            <w:r>
              <w:rPr>
                <w:rFonts w:ascii="Verdana" w:eastAsia="Times New Roman" w:hAnsi="Verdana"/>
                <w:lang w:val="pt-BR" w:eastAsia="en-US"/>
              </w:rPr>
              <w:t>EBITDA / Resultado Financeiro ≥ 2,00x, com relação às demonstrações financeiras relativas aos períodos encerrados a partir de 31 de dezembro de 2020, inclusive.</w:t>
            </w:r>
          </w:p>
          <w:p>
            <w:pPr>
              <w:pStyle w:val="NoParagraphStyle"/>
              <w:keepLines/>
              <w:suppressAutoHyphens/>
              <w:spacing w:line="300" w:lineRule="exact"/>
              <w:contextualSpacing/>
              <w:rPr>
                <w:rFonts w:ascii="Verdana" w:eastAsia="Times New Roman" w:hAnsi="Verdana" w:cs="Arial"/>
                <w:color w:val="auto"/>
                <w:sz w:val="20"/>
                <w:szCs w:val="20"/>
                <w:lang w:val="pt-BR"/>
              </w:rPr>
            </w:pP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lastRenderedPageBreak/>
              <w:t>Informações Adicionais</w:t>
            </w:r>
          </w:p>
        </w:tc>
        <w:tc>
          <w:tcPr>
            <w:tcW w:w="3217" w:type="pct"/>
            <w:shd w:val="clear" w:color="auto" w:fill="auto"/>
          </w:tcPr>
          <w:p>
            <w:pPr>
              <w:pStyle w:val="HOMEBRBodyText"/>
              <w:keepLines w:val="0"/>
              <w:widowControl w:val="0"/>
              <w:spacing w:after="180" w:line="300" w:lineRule="exact"/>
              <w:contextualSpacing/>
              <w:rPr>
                <w:rFonts w:ascii="Verdana" w:hAnsi="Verdana" w:cs="Arial"/>
              </w:rPr>
            </w:pPr>
            <w:r>
              <w:rPr>
                <w:rFonts w:ascii="Verdana" w:hAnsi="Verdana" w:cs="Arial"/>
              </w:rPr>
              <w:t>Informações adicionais sobre a Emissora, as Debêntures e a Oferta poderão ser obtidas no Formulário de Referência, incorporado por referência a este Prospecto, e junto à Diretoria de Relações com Investidores da Emissora, aos Coordenadores, à CVM, ao Agente Fiduciário, à B3, à B3 – Segmento Cetip UTVM, nos endereços e websites indicados na seção “Informações Sobre a Emissora, os Coordenadores, os Consultores, o Agente Fiduciário, o Banco Liquidante, o Escriturador e os Auditores” na página [</w:t>
            </w:r>
            <w:r>
              <w:rPr>
                <w:rFonts w:ascii="Verdana" w:hAnsi="Verdana" w:cs="Arial"/>
              </w:rPr>
              <w:sym w:font="Symbol" w:char="F0B7"/>
            </w:r>
            <w:r>
              <w:rPr>
                <w:rFonts w:ascii="Verdana" w:hAnsi="Verdana" w:cs="Arial"/>
              </w:rPr>
              <w:t>] deste Prospecto.</w:t>
            </w:r>
          </w:p>
          <w:p>
            <w:pPr>
              <w:pStyle w:val="HOMEBRBodyText"/>
              <w:keepLines w:val="0"/>
              <w:widowControl w:val="0"/>
              <w:spacing w:after="180" w:line="300" w:lineRule="exact"/>
              <w:contextualSpacing/>
              <w:rPr>
                <w:rFonts w:ascii="Verdana" w:hAnsi="Verdana" w:cs="Arial"/>
              </w:rPr>
            </w:pPr>
          </w:p>
          <w:p>
            <w:pPr>
              <w:pStyle w:val="HOMEBRBodyText"/>
              <w:keepLines w:val="0"/>
              <w:widowControl w:val="0"/>
              <w:spacing w:after="180" w:line="300" w:lineRule="exact"/>
              <w:contextualSpacing/>
              <w:rPr>
                <w:rFonts w:ascii="Verdana" w:hAnsi="Verdana" w:cs="Arial"/>
              </w:rPr>
            </w:pPr>
            <w:r>
              <w:rPr>
                <w:rFonts w:ascii="Verdana" w:hAnsi="Verdana" w:cs="Arial"/>
              </w:rPr>
              <w:t>O pedido de análise da Oferta foi apresentado à CVM em 13 de setembro de 2019, estando a Oferta sujeita à análise e aprovação pela CVM.</w:t>
            </w:r>
          </w:p>
          <w:p>
            <w:pPr>
              <w:pStyle w:val="HOMEBRBodyText"/>
              <w:keepLines w:val="0"/>
              <w:widowControl w:val="0"/>
              <w:spacing w:after="180" w:line="300" w:lineRule="exact"/>
              <w:contextualSpacing/>
              <w:rPr>
                <w:rFonts w:ascii="Verdana" w:hAnsi="Verdana" w:cs="Arial"/>
              </w:rPr>
            </w:pPr>
          </w:p>
          <w:p>
            <w:pPr>
              <w:pStyle w:val="HOMEBRBodyText"/>
              <w:keepLines w:val="0"/>
              <w:widowControl w:val="0"/>
              <w:spacing w:line="300" w:lineRule="exact"/>
              <w:contextualSpacing/>
              <w:rPr>
                <w:rFonts w:ascii="Verdana" w:hAnsi="Verdana" w:cs="Arial"/>
              </w:rPr>
            </w:pPr>
            <w:r>
              <w:rPr>
                <w:rFonts w:ascii="Verdana" w:hAnsi="Verdana" w:cs="Arial"/>
              </w:rPr>
              <w:t xml:space="preserve">A Oferta será registrada em conformidade com os procedimentos previstos nos artigos 6º-A e 6º-B da Instrução CVM 400, do Código ANBIMA de Ofertas, bem </w:t>
            </w:r>
            <w:r>
              <w:rPr>
                <w:rFonts w:ascii="Verdana" w:hAnsi="Verdana" w:cs="Arial"/>
              </w:rPr>
              <w:lastRenderedPageBreak/>
              <w:t>como das demais disposições legais e regulamentares aplicáveis.</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lastRenderedPageBreak/>
              <w:t>Instituições Participantes da Oferta</w:t>
            </w:r>
          </w:p>
        </w:tc>
        <w:tc>
          <w:tcPr>
            <w:tcW w:w="3217" w:type="pct"/>
            <w:shd w:val="clear" w:color="auto" w:fill="auto"/>
          </w:tcPr>
          <w:p>
            <w:pPr>
              <w:pStyle w:val="HOMEBRBodyText"/>
              <w:keepLines w:val="0"/>
              <w:widowControl w:val="0"/>
              <w:spacing w:line="300" w:lineRule="exact"/>
              <w:contextualSpacing/>
              <w:rPr>
                <w:rFonts w:ascii="Verdana" w:eastAsia="Calibri" w:hAnsi="Verdana" w:cs="Arial"/>
              </w:rPr>
            </w:pPr>
            <w:r>
              <w:rPr>
                <w:rFonts w:ascii="Verdana" w:eastAsia="Calibri" w:hAnsi="Verdana" w:cs="Arial"/>
              </w:rPr>
              <w:t>Os Coordenadores e os Participantes especiais, considerados em conjunto.</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Investidores Institucionais</w:t>
            </w:r>
          </w:p>
        </w:tc>
        <w:tc>
          <w:tcPr>
            <w:tcW w:w="3217" w:type="pct"/>
            <w:shd w:val="clear" w:color="auto" w:fill="auto"/>
          </w:tcPr>
          <w:p>
            <w:pPr>
              <w:pStyle w:val="HOMEBRBodyText"/>
              <w:keepLines w:val="0"/>
              <w:widowControl w:val="0"/>
              <w:spacing w:line="300" w:lineRule="exact"/>
              <w:contextualSpacing/>
              <w:rPr>
                <w:rFonts w:ascii="Verdana" w:eastAsia="Calibri" w:hAnsi="Verdana" w:cs="Arial"/>
              </w:rPr>
            </w:pPr>
            <w:r>
              <w:rPr>
                <w:rFonts w:ascii="Verdana" w:eastAsia="Calibri" w:hAnsi="Verdana" w:cs="Arial"/>
              </w:rPr>
              <w:t>Serão considerados Investidores Institucionais os investidores que sejam fundos de investimento, clubes de investimento, carteiras administradas, fundos de pensão, entidades administradoras de recursos de terceiros registradas na CVM, entidades autorizadas a funcionar pelo BACEN, seguradoras, entidades de previdência complementar e de capitalização, bem como pessoas físicas ou jurídicas que sejam considerados investidores profissionais ou investidores qualificados, conforme definido nos artigos 9º-A e 9º-B da Instrução CVM 539.</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Investidores Não Institucionais</w:t>
            </w:r>
          </w:p>
        </w:tc>
        <w:tc>
          <w:tcPr>
            <w:tcW w:w="3217" w:type="pct"/>
            <w:shd w:val="clear" w:color="auto" w:fill="auto"/>
          </w:tcPr>
          <w:p>
            <w:pPr>
              <w:pStyle w:val="HOMEBRBodyText"/>
              <w:keepLines w:val="0"/>
              <w:widowControl w:val="0"/>
              <w:spacing w:line="300" w:lineRule="exact"/>
              <w:contextualSpacing/>
              <w:rPr>
                <w:rFonts w:ascii="Verdana" w:eastAsia="Calibri" w:hAnsi="Verdana" w:cs="Arial"/>
              </w:rPr>
            </w:pPr>
            <w:r>
              <w:rPr>
                <w:rFonts w:ascii="Verdana" w:eastAsia="Calibri" w:hAnsi="Verdana" w:cs="Arial"/>
              </w:rPr>
              <w:t>Serão considerados Investidores Não Institucionais os investidores, pessoas físicas ou jurídicas, que não estejam compreendidos na definição de Investidores Institucionais.</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 xml:space="preserve">Juros Remuneratórios </w:t>
            </w:r>
          </w:p>
        </w:tc>
        <w:tc>
          <w:tcPr>
            <w:tcW w:w="3217" w:type="pct"/>
            <w:shd w:val="clear" w:color="auto" w:fill="auto"/>
          </w:tcPr>
          <w:p>
            <w:pPr>
              <w:pStyle w:val="HOMEBRBodyText"/>
              <w:widowControl w:val="0"/>
              <w:spacing w:line="300" w:lineRule="exact"/>
              <w:contextualSpacing/>
              <w:rPr>
                <w:rFonts w:ascii="Verdana" w:eastAsia="Calibri" w:hAnsi="Verdana" w:cs="Arial"/>
              </w:rPr>
            </w:pPr>
            <w:r>
              <w:rPr>
                <w:rFonts w:ascii="Verdana" w:eastAsia="Calibri" w:hAnsi="Verdana" w:cs="Arial"/>
              </w:rPr>
              <w:t xml:space="preserve">Sobre o Valor Nominal Atualizado das Debêntures incidirão juros remuneratórios correspondentes a um determinado percentual ao ano, base 252 Dias Úteis, a ser definido de acordo com o Procedimento de </w:t>
            </w:r>
            <w:r>
              <w:rPr>
                <w:rFonts w:ascii="Verdana" w:eastAsia="Calibri" w:hAnsi="Verdana" w:cs="Arial"/>
                <w:i/>
              </w:rPr>
              <w:t>Bookbuilding</w:t>
            </w:r>
            <w:r>
              <w:rPr>
                <w:rFonts w:ascii="Verdana" w:eastAsia="Calibri" w:hAnsi="Verdana" w:cs="Arial"/>
              </w:rPr>
              <w:t xml:space="preserve">, e, em qualquer caso, limitados a (i) 0,60% ao ano, acrescidos exponencialmente à taxa interna de retorno do Tesouro IPCA+ com Juros Semestrais, com vencimento em 2028, que deverá ser a maior cotação indicativa entre (a) a divulgada pela ANBIMA no fechamento da Data de Apuração; e (b) a média das cotações divulgadas pela ANBIMA no fechamento dos 3 (três) últimos Dias Úteis imediatamente anteriores à data de realização do Procedimento de Bookbuilding; ou (ii) 4,00% ao ano, entre os itens (i) e (ii) o que for maior na Data de Apuração. Os Juros Remuneratórios serão calculados de acordo com fórmula descrita na Escritura e neste Prospecto Preliminar. </w:t>
            </w:r>
          </w:p>
          <w:p>
            <w:pPr>
              <w:pStyle w:val="HOMEBRBodyText"/>
              <w:widowControl w:val="0"/>
              <w:spacing w:line="300" w:lineRule="exact"/>
              <w:contextualSpacing/>
              <w:rPr>
                <w:rFonts w:ascii="Verdana" w:eastAsia="Calibri" w:hAnsi="Verdana" w:cs="Arial"/>
              </w:rPr>
            </w:pPr>
          </w:p>
          <w:p>
            <w:pPr>
              <w:pStyle w:val="HOMEBRBodyText"/>
              <w:keepLines w:val="0"/>
              <w:widowControl w:val="0"/>
              <w:spacing w:line="300" w:lineRule="exact"/>
              <w:contextualSpacing/>
              <w:rPr>
                <w:rFonts w:ascii="Verdana" w:eastAsia="Calibri" w:hAnsi="Verdana" w:cs="Arial"/>
                <w:b/>
              </w:rPr>
            </w:pPr>
            <w:r>
              <w:rPr>
                <w:rFonts w:ascii="Verdana" w:eastAsia="Calibri" w:hAnsi="Verdana" w:cs="Arial"/>
                <w:b/>
              </w:rPr>
              <w:t xml:space="preserve">Para mais informações, veja seção “Informações Relativas à Emissão, à Oferta e às Debêntures – </w:t>
            </w:r>
            <w:r>
              <w:rPr>
                <w:rFonts w:ascii="Verdana" w:eastAsia="Calibri" w:hAnsi="Verdana" w:cs="Arial"/>
                <w:b/>
              </w:rPr>
              <w:lastRenderedPageBreak/>
              <w:t>Características da Emissão e das Debêntures – Juros Remuneratórios das Debêntures e Pagamento dos Juros Remuneratórios” na página [</w:t>
            </w:r>
            <w:r>
              <w:rPr>
                <w:rFonts w:ascii="Verdana" w:eastAsia="Calibri" w:hAnsi="Verdana" w:cs="Arial"/>
                <w:b/>
              </w:rPr>
              <w:sym w:font="Symbol" w:char="F0B7"/>
            </w:r>
            <w:r>
              <w:rPr>
                <w:rFonts w:ascii="Verdana" w:eastAsia="Calibri" w:hAnsi="Verdana" w:cs="Arial"/>
                <w:b/>
              </w:rPr>
              <w:t>] deste Prospecto Preliminar.</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lastRenderedPageBreak/>
              <w:t>Local de Pagamento</w:t>
            </w:r>
          </w:p>
        </w:tc>
        <w:tc>
          <w:tcPr>
            <w:tcW w:w="3217" w:type="pct"/>
            <w:shd w:val="clear" w:color="auto" w:fill="auto"/>
          </w:tcPr>
          <w:p>
            <w:pPr>
              <w:pStyle w:val="HOMEBRBodyText"/>
              <w:keepLines w:val="0"/>
              <w:widowControl w:val="0"/>
              <w:spacing w:line="300" w:lineRule="exact"/>
              <w:contextualSpacing/>
              <w:rPr>
                <w:rFonts w:ascii="Verdana" w:eastAsia="Calibri" w:hAnsi="Verdana" w:cs="Arial"/>
              </w:rPr>
            </w:pPr>
            <w:r>
              <w:rPr>
                <w:rFonts w:ascii="Verdana" w:eastAsia="Calibri" w:hAnsi="Verdana" w:cs="Arial"/>
              </w:rPr>
              <w:t>Os pagamentos a que</w:t>
            </w:r>
            <w:r>
              <w:rPr>
                <w:rFonts w:ascii="Verdana" w:eastAsia="Calibri" w:hAnsi="Verdana" w:cs="Arial"/>
                <w:i/>
              </w:rPr>
              <w:t xml:space="preserve"> </w:t>
            </w:r>
            <w:r>
              <w:rPr>
                <w:rFonts w:ascii="Verdana" w:eastAsia="Calibri" w:hAnsi="Verdana" w:cs="Arial"/>
              </w:rPr>
              <w:t>fizerem jus as Debêntures serão efetuados pela Emissora no respectivo vencimento, conforme o caso: (a) utilizando-se os procedimentos adotados pela B3 ou pela B3 – Segmento Cetip UTVM, para as Debêntures custodiadas eletronicamente na B3 ou na B3 – Segmento Cetip UTVM, conforme o caso; (b) por meio do Banco Liquidante, para os Debenturistas que não tiverem suas Debêntures custodiadas eletronicamente na B3 e na B3 – Segmento Cetip UTVM; ou (c) na sede da Emissora, para os pagamentos que não possam ser realizados por meio do Banco Liquidante, B3 e/ou B3 – Segmento Cetip UTVM.</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Número da Emissão</w:t>
            </w:r>
          </w:p>
        </w:tc>
        <w:tc>
          <w:tcPr>
            <w:tcW w:w="3217" w:type="pct"/>
            <w:shd w:val="clear" w:color="auto" w:fill="auto"/>
          </w:tcPr>
          <w:p>
            <w:pPr>
              <w:pStyle w:val="HOMEBRBodyText"/>
              <w:keepLines w:val="0"/>
              <w:widowControl w:val="0"/>
              <w:spacing w:line="300" w:lineRule="exact"/>
              <w:contextualSpacing/>
              <w:rPr>
                <w:rFonts w:ascii="Verdana" w:eastAsia="Calibri" w:hAnsi="Verdana" w:cs="Arial"/>
              </w:rPr>
            </w:pPr>
            <w:r>
              <w:rPr>
                <w:rFonts w:ascii="Verdana" w:eastAsia="Calibri" w:hAnsi="Verdana" w:cs="Arial"/>
              </w:rPr>
              <w:t>A presente Emissão representa a 13ª (décima terceira) emissão de debêntures da Emissora.</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Número de Séries</w:t>
            </w:r>
          </w:p>
        </w:tc>
        <w:tc>
          <w:tcPr>
            <w:tcW w:w="3217" w:type="pct"/>
            <w:shd w:val="clear" w:color="auto" w:fill="auto"/>
          </w:tcPr>
          <w:p>
            <w:pPr>
              <w:pStyle w:val="HOMEBRBodyText"/>
              <w:keepLines w:val="0"/>
              <w:widowControl w:val="0"/>
              <w:spacing w:line="300" w:lineRule="exact"/>
              <w:contextualSpacing/>
              <w:rPr>
                <w:rFonts w:ascii="Verdana" w:eastAsia="Calibri" w:hAnsi="Verdana" w:cs="Arial"/>
                <w:b/>
              </w:rPr>
            </w:pPr>
            <w:r>
              <w:rPr>
                <w:rFonts w:ascii="Verdana" w:eastAsia="Calibri" w:hAnsi="Verdana" w:cs="Arial"/>
                <w:spacing w:val="-2"/>
              </w:rPr>
              <w:t>A Emissão será realizada em série única</w:t>
            </w:r>
            <w:r>
              <w:rPr>
                <w:rFonts w:ascii="Verdana" w:hAnsi="Verdana" w:cs="Arial"/>
                <w:spacing w:val="-2"/>
              </w:rPr>
              <w:t>.</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Oferta Institucional</w:t>
            </w:r>
          </w:p>
        </w:tc>
        <w:tc>
          <w:tcPr>
            <w:tcW w:w="3217" w:type="pct"/>
            <w:shd w:val="clear" w:color="auto" w:fill="auto"/>
          </w:tcPr>
          <w:p>
            <w:pPr>
              <w:pStyle w:val="HOMEBRBodyText"/>
              <w:keepLines w:val="0"/>
              <w:widowControl w:val="0"/>
              <w:spacing w:line="300" w:lineRule="exact"/>
              <w:contextualSpacing/>
              <w:rPr>
                <w:rFonts w:ascii="Verdana" w:hAnsi="Verdana" w:cs="Arial"/>
                <w:bCs/>
              </w:rPr>
            </w:pPr>
            <w:r>
              <w:rPr>
                <w:rFonts w:ascii="Verdana" w:eastAsia="ヒラギノ角ゴ Pro W3" w:hAnsi="Verdana" w:cs="Arial"/>
              </w:rPr>
              <w:t xml:space="preserve">Após o atendimento dos Pedidos de Reserva realizados no âmbito da Oferta Não Institucional, as Debêntures remanescentes serão destinadas aos Investidores Institucionais, sejam eles considerados Pessoas Vinculadas ou não, que deverão apresentar: (i) Pedidos de Reserva, durante o Período de Reserva, perante uma Instituição Participante da Oferta; ou (ii) suas ordens de investimento aos Coordenadores, na data de realização do Procedimento de </w:t>
            </w:r>
            <w:r>
              <w:rPr>
                <w:rFonts w:ascii="Verdana" w:eastAsia="ヒラギノ角ゴ Pro W3" w:hAnsi="Verdana" w:cs="Arial"/>
                <w:i/>
              </w:rPr>
              <w:t xml:space="preserve">Bookbuilding, </w:t>
            </w:r>
            <w:r>
              <w:rPr>
                <w:rFonts w:ascii="Verdana" w:eastAsia="ヒラギノ角ゴ Pro W3" w:hAnsi="Verdana" w:cs="Arial"/>
              </w:rPr>
              <w:t xml:space="preserve">indicando a quantidade de Debêntures a ser adquirida em diferentes níveis de Juros Remuneratórios, </w:t>
            </w:r>
            <w:r>
              <w:rPr>
                <w:rFonts w:ascii="Verdana" w:hAnsi="Verdana" w:cs="Arial"/>
              </w:rPr>
              <w:t xml:space="preserve">observados </w:t>
            </w:r>
            <w:r>
              <w:rPr>
                <w:rFonts w:ascii="Verdana" w:eastAsia="ヒラギノ角ゴ Pro W3" w:hAnsi="Verdana" w:cs="Arial"/>
              </w:rPr>
              <w:t>o Público-Alvo e os procedimentos previstos neste Prospecto</w:t>
            </w:r>
            <w:r>
              <w:rPr>
                <w:rFonts w:ascii="Verdana" w:hAnsi="Verdana" w:cs="Arial"/>
              </w:rPr>
              <w:t>.</w:t>
            </w:r>
            <w:r>
              <w:rPr>
                <w:rFonts w:ascii="Verdana" w:hAnsi="Verdana" w:cs="Arial"/>
                <w:bCs/>
              </w:rPr>
              <w:t xml:space="preserve"> </w:t>
            </w:r>
          </w:p>
          <w:p>
            <w:pPr>
              <w:pStyle w:val="HOMEBRBodyText"/>
              <w:keepLines w:val="0"/>
              <w:widowControl w:val="0"/>
              <w:spacing w:line="300" w:lineRule="exact"/>
              <w:contextualSpacing/>
              <w:rPr>
                <w:rFonts w:ascii="Verdana" w:hAnsi="Verdana" w:cs="Arial"/>
                <w:bCs/>
              </w:rPr>
            </w:pPr>
          </w:p>
          <w:p>
            <w:pPr>
              <w:pStyle w:val="HOMEBRBodyText"/>
              <w:keepLines w:val="0"/>
              <w:spacing w:line="300" w:lineRule="exact"/>
              <w:contextualSpacing/>
              <w:rPr>
                <w:rFonts w:ascii="Verdana" w:hAnsi="Verdana" w:cs="Arial"/>
                <w:b/>
                <w:bCs/>
              </w:rPr>
            </w:pPr>
            <w:r>
              <w:rPr>
                <w:rFonts w:ascii="Verdana" w:hAnsi="Verdana" w:cs="Arial"/>
                <w:b/>
                <w:lang w:val="pt-PT"/>
              </w:rPr>
              <w:t xml:space="preserve">Para mais informações sobre a Oferta Institucional, veja a seção “Informações Relativas à Emissão, à Oferta e às Debêntures – </w:t>
            </w:r>
            <w:r>
              <w:rPr>
                <w:rFonts w:ascii="Verdana" w:eastAsia="Calibri" w:hAnsi="Verdana" w:cs="Arial"/>
                <w:b/>
              </w:rPr>
              <w:t xml:space="preserve">Características da Oferta – </w:t>
            </w:r>
            <w:r>
              <w:rPr>
                <w:rFonts w:ascii="Verdana" w:hAnsi="Verdana" w:cs="Arial"/>
                <w:b/>
                <w:lang w:val="pt-PT"/>
              </w:rPr>
              <w:t>Oferta Institucional”, na página [</w:t>
            </w:r>
            <w:r>
              <w:rPr>
                <w:rFonts w:ascii="Verdana" w:hAnsi="Verdana" w:cs="Arial"/>
                <w:b/>
                <w:lang w:val="pt-PT"/>
              </w:rPr>
              <w:sym w:font="Symbol" w:char="F0B7"/>
            </w:r>
            <w:r>
              <w:rPr>
                <w:rFonts w:ascii="Verdana" w:hAnsi="Verdana" w:cs="Arial"/>
                <w:b/>
                <w:lang w:val="pt-PT"/>
              </w:rPr>
              <w:t>] deste Prospecto Preliminar.</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Oferta Não Institucional</w:t>
            </w:r>
          </w:p>
        </w:tc>
        <w:tc>
          <w:tcPr>
            <w:tcW w:w="3217" w:type="pct"/>
            <w:shd w:val="clear" w:color="auto" w:fill="auto"/>
          </w:tcPr>
          <w:p>
            <w:pPr>
              <w:pStyle w:val="HOMEBRBodyText"/>
              <w:keepLines w:val="0"/>
              <w:widowControl w:val="0"/>
              <w:spacing w:line="300" w:lineRule="exact"/>
              <w:contextualSpacing/>
              <w:rPr>
                <w:rFonts w:ascii="Verdana" w:hAnsi="Verdana" w:cs="Arial"/>
                <w:bCs/>
              </w:rPr>
            </w:pPr>
            <w:r>
              <w:rPr>
                <w:rFonts w:ascii="Verdana" w:hAnsi="Verdana" w:cs="Arial"/>
                <w:bCs/>
              </w:rPr>
              <w:t xml:space="preserve">Os Investidores Não Institucionais interessados em </w:t>
            </w:r>
            <w:r>
              <w:rPr>
                <w:rFonts w:ascii="Verdana" w:hAnsi="Verdana" w:cs="Arial"/>
                <w:bCs/>
              </w:rPr>
              <w:lastRenderedPageBreak/>
              <w:t>subscrever Debêntures poderão preencher e apresentar aos Coordenadores os Pedidos de Reserva durante o Período de Reserva, sendo certo que deverá ser observado o valor máximo de até R$1.000.000,00 (um milhão de reais).</w:t>
            </w:r>
            <w:r>
              <w:rPr>
                <w:rFonts w:ascii="Verdana" w:hAnsi="Verdana" w:cs="Arial"/>
              </w:rPr>
              <w:t xml:space="preserve"> </w:t>
            </w:r>
            <w:r>
              <w:rPr>
                <w:rFonts w:ascii="Verdana" w:hAnsi="Verdana" w:cs="Arial"/>
                <w:szCs w:val="24"/>
              </w:rPr>
              <w:t>O</w:t>
            </w:r>
            <w:r>
              <w:rPr>
                <w:rFonts w:ascii="Verdana" w:hAnsi="Verdana" w:cs="Arial"/>
                <w:color w:val="000000"/>
                <w:szCs w:val="24"/>
              </w:rPr>
              <w:t xml:space="preserve"> </w:t>
            </w:r>
            <w:r>
              <w:rPr>
                <w:rFonts w:ascii="Verdana" w:hAnsi="Verdana" w:cs="Arial"/>
                <w:color w:val="000000"/>
                <w:szCs w:val="24"/>
                <w:lang w:val="pt-PT"/>
              </w:rPr>
              <w:t xml:space="preserve">montante de </w:t>
            </w:r>
            <w:r>
              <w:rPr>
                <w:rFonts w:ascii="Verdana" w:hAnsi="Verdana" w:cs="Arial"/>
                <w:color w:val="000000"/>
                <w:szCs w:val="24"/>
              </w:rPr>
              <w:t>100.000 Debêntures, ou seja, 10% do Valor Total da Emissão (sem considerar as Debêntures Adicionais)</w:t>
            </w:r>
            <w:r>
              <w:rPr>
                <w:rFonts w:ascii="Verdana" w:hAnsi="Verdana" w:cs="Arial"/>
                <w:color w:val="000000"/>
                <w:szCs w:val="24"/>
                <w:lang w:val="pt-PT"/>
              </w:rPr>
              <w:t>, será destinado, prioritariamente, à colocação pública para Investidores Não Institucionais no âmbito da Oferta Não Institucional. Os Coordenadores, em comum acordo com a Emissora, poderão alterar a quantidade de Debêntures inicialmente destinada à Oferta Não Institucional a um patamar compatível com os objetivos da Oferta, de forma a atender total ou parcialmente os Pedidos de Reserva</w:t>
            </w:r>
            <w:r>
              <w:rPr>
                <w:rFonts w:ascii="Verdana" w:hAnsi="Verdana" w:cs="Arial"/>
                <w:color w:val="000000"/>
                <w:szCs w:val="24"/>
              </w:rPr>
              <w:t>.</w:t>
            </w:r>
          </w:p>
          <w:p>
            <w:pPr>
              <w:pStyle w:val="HOMEBRBodyText"/>
              <w:keepLines w:val="0"/>
              <w:widowControl w:val="0"/>
              <w:spacing w:line="300" w:lineRule="exact"/>
              <w:contextualSpacing/>
              <w:rPr>
                <w:rFonts w:ascii="Verdana" w:hAnsi="Verdana" w:cs="Arial"/>
                <w:color w:val="000000"/>
                <w:szCs w:val="24"/>
              </w:rPr>
            </w:pPr>
          </w:p>
          <w:p>
            <w:pPr>
              <w:pStyle w:val="HOMEBRBodyText"/>
              <w:keepLines w:val="0"/>
              <w:widowControl w:val="0"/>
              <w:spacing w:line="300" w:lineRule="exact"/>
              <w:contextualSpacing/>
              <w:rPr>
                <w:rFonts w:ascii="Verdana" w:hAnsi="Verdana" w:cs="Arial"/>
                <w:color w:val="000000"/>
                <w:szCs w:val="24"/>
                <w:lang w:val="pt-PT"/>
              </w:rPr>
            </w:pPr>
            <w:r>
              <w:rPr>
                <w:rFonts w:ascii="Verdana" w:hAnsi="Verdana" w:cs="Arial"/>
                <w:color w:val="000000"/>
                <w:szCs w:val="24"/>
                <w:lang w:val="pt-PT"/>
              </w:rPr>
              <w:t xml:space="preserve">Os Pedidos de Reserva dos Investidores Não Institucionais, sejam eles considerados ou não Pessoas Vinculadas, não serão considerados no Procedimento de </w:t>
            </w:r>
            <w:r>
              <w:rPr>
                <w:rFonts w:ascii="Verdana" w:hAnsi="Verdana" w:cs="Arial"/>
                <w:i/>
                <w:color w:val="000000"/>
                <w:szCs w:val="24"/>
                <w:lang w:val="pt-PT"/>
              </w:rPr>
              <w:t>Bookbuilding</w:t>
            </w:r>
            <w:r>
              <w:rPr>
                <w:rFonts w:ascii="Verdana" w:hAnsi="Verdana" w:cs="Arial"/>
                <w:color w:val="000000"/>
                <w:szCs w:val="24"/>
                <w:lang w:val="pt-PT"/>
              </w:rPr>
              <w:t>, não participando, portanto, da definição da taxa final dos Juros Remuneratórios.</w:t>
            </w:r>
          </w:p>
          <w:p>
            <w:pPr>
              <w:pStyle w:val="HOMEBRBodyText"/>
              <w:keepLines w:val="0"/>
              <w:widowControl w:val="0"/>
              <w:spacing w:line="300" w:lineRule="exact"/>
              <w:contextualSpacing/>
              <w:rPr>
                <w:rFonts w:ascii="Verdana" w:hAnsi="Verdana" w:cs="Arial"/>
                <w:color w:val="000000"/>
                <w:szCs w:val="24"/>
              </w:rPr>
            </w:pPr>
          </w:p>
          <w:p>
            <w:pPr>
              <w:pStyle w:val="HOMEBRBodyText"/>
              <w:keepLines w:val="0"/>
              <w:widowControl w:val="0"/>
              <w:spacing w:line="300" w:lineRule="exact"/>
              <w:contextualSpacing/>
              <w:rPr>
                <w:rFonts w:ascii="Verdana" w:hAnsi="Verdana" w:cs="Arial"/>
                <w:color w:val="000000"/>
              </w:rPr>
            </w:pPr>
            <w:r>
              <w:rPr>
                <w:rFonts w:ascii="Verdana" w:hAnsi="Verdana" w:cs="Arial"/>
                <w:color w:val="000000"/>
              </w:rPr>
              <w:t>Os Pedidos de Reserva efetuados pelos Investidores Não Institucionais são irrevogáveis e irretratáveis, exceto pelo disposto neste Prospecto, e de acordo com as condições estabelecidas neste Prospecto.</w:t>
            </w:r>
          </w:p>
          <w:p>
            <w:pPr>
              <w:pStyle w:val="HOMEBRBodyText"/>
              <w:keepLines w:val="0"/>
              <w:widowControl w:val="0"/>
              <w:spacing w:line="300" w:lineRule="exact"/>
              <w:contextualSpacing/>
              <w:rPr>
                <w:rFonts w:ascii="Verdana" w:hAnsi="Verdana" w:cs="Arial"/>
                <w:color w:val="000000"/>
              </w:rPr>
            </w:pPr>
          </w:p>
          <w:p>
            <w:pPr>
              <w:pStyle w:val="HOMEBRBodyText"/>
              <w:keepLines w:val="0"/>
              <w:widowControl w:val="0"/>
              <w:spacing w:line="300" w:lineRule="exact"/>
              <w:contextualSpacing/>
              <w:rPr>
                <w:rFonts w:ascii="Verdana" w:eastAsia="ヒラギノ角ゴ Pro W3" w:hAnsi="Verdana" w:cs="Arial"/>
              </w:rPr>
            </w:pPr>
            <w:r>
              <w:rPr>
                <w:rFonts w:ascii="Verdana" w:hAnsi="Verdana" w:cs="Arial"/>
                <w:b/>
                <w:lang w:val="pt-PT"/>
              </w:rPr>
              <w:t>Para mais informações sobre a Oferta Não Institucional, veja a seção “Informações Relativas à Emissão, à Oferta e às Debêntures – Características da Oferta - Oferta Não Institucional”, na página [</w:t>
            </w:r>
            <w:r>
              <w:rPr>
                <w:rFonts w:ascii="Verdana" w:hAnsi="Verdana" w:cs="Arial"/>
                <w:b/>
                <w:lang w:val="pt-PT"/>
              </w:rPr>
              <w:sym w:font="Symbol" w:char="F0B7"/>
            </w:r>
            <w:r>
              <w:rPr>
                <w:rFonts w:ascii="Verdana" w:hAnsi="Verdana" w:cs="Arial"/>
                <w:b/>
                <w:lang w:val="pt-PT"/>
              </w:rPr>
              <w:t>] deste Prospecto Preliminar.</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lastRenderedPageBreak/>
              <w:t>Opção de Debêntures Adicionais</w:t>
            </w:r>
          </w:p>
        </w:tc>
        <w:tc>
          <w:tcPr>
            <w:tcW w:w="3217" w:type="pct"/>
            <w:shd w:val="clear" w:color="auto" w:fill="auto"/>
          </w:tcPr>
          <w:p>
            <w:pPr>
              <w:pStyle w:val="HOMEBRBodyText"/>
              <w:keepLines w:val="0"/>
              <w:widowControl w:val="0"/>
              <w:spacing w:line="300" w:lineRule="exact"/>
              <w:contextualSpacing/>
              <w:rPr>
                <w:rFonts w:ascii="Verdana" w:hAnsi="Verdana" w:cs="Arial"/>
                <w:bCs/>
              </w:rPr>
            </w:pPr>
            <w:r>
              <w:rPr>
                <w:rFonts w:ascii="Verdana" w:hAnsi="Verdana" w:cs="Arial"/>
                <w:bCs/>
              </w:rPr>
              <w:t xml:space="preserve">A Emissora poderá aumentar, total ou parcialmente, a quantidade das Debêntures originalmente ofertada em até 20%, ou seja, em até 200.000 Debêntures, nos termos e conforme os limites estabelecidos no artigo 14, parágrafo 2º, da Instrução CVM 400, sem a necessidade de novo pedido de registro ou modificação dos termos da Emissão e da Oferta à CVM, podendo ser emitidas pela Emissora até a data de conclusão do Procedimento de </w:t>
            </w:r>
            <w:r>
              <w:rPr>
                <w:rFonts w:ascii="Verdana" w:hAnsi="Verdana" w:cs="Arial"/>
                <w:bCs/>
                <w:i/>
              </w:rPr>
              <w:t>Bookbuilding</w:t>
            </w:r>
            <w:r>
              <w:rPr>
                <w:rFonts w:ascii="Verdana" w:hAnsi="Verdana" w:cs="Arial"/>
                <w:bCs/>
              </w:rPr>
              <w:t>.</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lastRenderedPageBreak/>
              <w:t>Pagamento do Valor Nominal Unitário</w:t>
            </w:r>
          </w:p>
        </w:tc>
        <w:tc>
          <w:tcPr>
            <w:tcW w:w="3217" w:type="pct"/>
            <w:shd w:val="clear" w:color="auto" w:fill="auto"/>
          </w:tcPr>
          <w:p>
            <w:pPr>
              <w:pStyle w:val="HOMEBRBodyText"/>
              <w:keepLines w:val="0"/>
              <w:widowControl w:val="0"/>
              <w:spacing w:line="300" w:lineRule="exact"/>
              <w:contextualSpacing/>
              <w:rPr>
                <w:rFonts w:ascii="Verdana" w:hAnsi="Verdana" w:cs="Arial"/>
                <w:bCs/>
              </w:rPr>
            </w:pPr>
            <w:r>
              <w:rPr>
                <w:rFonts w:ascii="Verdana" w:hAnsi="Verdana" w:cs="Arial"/>
                <w:bCs/>
              </w:rPr>
              <w:t>Ressalvadas as hipóteses de pagamento em decorrência da declaração de vencimento antecipado das Debêntures e, se permitido pelas regras expedidas pelo CMN e pela legislação e regulamentação aplicáveis, o Valor Nominal Atualizado será amortizado em 3 (três) parcelas anuais e consecutivas, a partir do 8º (oitavo) ano contado da Data de Emissão, sendo a primeira parcela devida em 15 de outubro de 2027 e a última na Data de Vencimento.</w:t>
            </w:r>
          </w:p>
          <w:p>
            <w:pPr>
              <w:pStyle w:val="HOMEBRBodyText"/>
              <w:keepLines w:val="0"/>
              <w:widowControl w:val="0"/>
              <w:spacing w:line="300" w:lineRule="exact"/>
              <w:contextualSpacing/>
              <w:rPr>
                <w:rFonts w:ascii="Verdana" w:hAnsi="Verdana" w:cs="Arial"/>
                <w:bCs/>
              </w:rPr>
            </w:pPr>
            <w:r>
              <w:rPr>
                <w:rFonts w:ascii="Verdana" w:hAnsi="Verdana" w:cs="Arial"/>
                <w:b/>
                <w:lang w:val="pt-PT"/>
              </w:rPr>
              <w:t xml:space="preserve">Para mais informações sobre a Oferta Não Institucional, veja a seção “Informações Relativas à Emissão, à Oferta e às Debêntures – </w:t>
            </w:r>
            <w:r>
              <w:rPr>
                <w:rFonts w:ascii="Verdana" w:eastAsia="Calibri" w:hAnsi="Verdana" w:cs="Arial"/>
                <w:b/>
              </w:rPr>
              <w:t xml:space="preserve">Características da Emissão e das Debêntures – </w:t>
            </w:r>
            <w:r>
              <w:rPr>
                <w:rFonts w:ascii="Verdana" w:hAnsi="Verdana" w:cs="Arial"/>
                <w:b/>
                <w:lang w:val="pt-PT"/>
              </w:rPr>
              <w:t>Pagamento do Valor Nominal Unitário”, na página [</w:t>
            </w:r>
            <w:r>
              <w:rPr>
                <w:rFonts w:ascii="Verdana" w:hAnsi="Verdana" w:cs="Arial"/>
                <w:b/>
                <w:lang w:val="pt-PT"/>
              </w:rPr>
              <w:sym w:font="Symbol" w:char="F0B7"/>
            </w:r>
            <w:r>
              <w:rPr>
                <w:rFonts w:ascii="Verdana" w:hAnsi="Verdana" w:cs="Arial"/>
                <w:b/>
                <w:lang w:val="pt-PT"/>
              </w:rPr>
              <w:t>] deste Prospecto Preliminar.</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 xml:space="preserve">Participação de Pessoas Vinculadas no Procedimento de </w:t>
            </w:r>
            <w:r>
              <w:rPr>
                <w:rFonts w:ascii="Verdana" w:eastAsia="Calibri" w:hAnsi="Verdana" w:cs="Arial"/>
                <w:b/>
                <w:i/>
              </w:rPr>
              <w:t>Bookbuilding</w:t>
            </w:r>
          </w:p>
        </w:tc>
        <w:tc>
          <w:tcPr>
            <w:tcW w:w="3217" w:type="pct"/>
            <w:shd w:val="clear" w:color="auto" w:fill="auto"/>
          </w:tcPr>
          <w:p>
            <w:pPr>
              <w:pStyle w:val="HOMEBRBodyText"/>
              <w:keepLines w:val="0"/>
              <w:widowControl w:val="0"/>
              <w:spacing w:line="300" w:lineRule="exact"/>
              <w:contextualSpacing/>
              <w:rPr>
                <w:rFonts w:ascii="Verdana" w:hAnsi="Verdana" w:cs="Arial"/>
                <w:bCs/>
              </w:rPr>
            </w:pPr>
            <w:r>
              <w:rPr>
                <w:rFonts w:ascii="Verdana" w:hAnsi="Verdana" w:cs="Arial"/>
                <w:bCs/>
              </w:rPr>
              <w:t xml:space="preserve">As ordens e/ou os Pedidos de Reserva apresentados por Investidores da Oferta que sejam considerados Pessoas Vinculadas não serão considerados para fins do Procedimento de </w:t>
            </w:r>
            <w:r>
              <w:rPr>
                <w:rFonts w:ascii="Verdana" w:hAnsi="Verdana" w:cs="Arial"/>
                <w:bCs/>
                <w:i/>
              </w:rPr>
              <w:t>Bookbuilding</w:t>
            </w:r>
            <w:r>
              <w:rPr>
                <w:rFonts w:ascii="Verdana" w:hAnsi="Verdana" w:cs="Arial"/>
                <w:bCs/>
              </w:rPr>
              <w:t>.</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Participantes Especiais</w:t>
            </w:r>
          </w:p>
        </w:tc>
        <w:tc>
          <w:tcPr>
            <w:tcW w:w="3217" w:type="pct"/>
            <w:shd w:val="clear" w:color="auto" w:fill="auto"/>
          </w:tcPr>
          <w:p>
            <w:pPr>
              <w:pStyle w:val="HOMEBRBodyText"/>
              <w:keepLines w:val="0"/>
              <w:widowControl w:val="0"/>
              <w:spacing w:line="300" w:lineRule="exact"/>
              <w:contextualSpacing/>
              <w:rPr>
                <w:rFonts w:ascii="Verdana" w:hAnsi="Verdana" w:cs="Arial"/>
                <w:bCs/>
              </w:rPr>
            </w:pPr>
            <w:r>
              <w:rPr>
                <w:rFonts w:ascii="Verdana" w:hAnsi="Verdana" w:cs="Arial"/>
                <w:bCs/>
              </w:rPr>
              <w:t>Instituições financeiras, que não se enquadrem como Coordenadores, autorizadas a operar no mercado de capitais para participarem da Oferta exclusivamente para o recebimento de Pedidos de Reserva.</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Pedido de Reserva</w:t>
            </w:r>
          </w:p>
        </w:tc>
        <w:tc>
          <w:tcPr>
            <w:tcW w:w="3217" w:type="pct"/>
            <w:shd w:val="clear" w:color="auto" w:fill="auto"/>
          </w:tcPr>
          <w:p>
            <w:pPr>
              <w:pStyle w:val="HOMEBRBodyText"/>
              <w:keepLines w:val="0"/>
              <w:widowControl w:val="0"/>
              <w:spacing w:line="300" w:lineRule="exact"/>
              <w:contextualSpacing/>
              <w:rPr>
                <w:rFonts w:ascii="Verdana" w:hAnsi="Verdana" w:cs="Arial"/>
                <w:bCs/>
              </w:rPr>
            </w:pPr>
            <w:r>
              <w:rPr>
                <w:rFonts w:ascii="Verdana" w:hAnsi="Verdana" w:cs="Arial"/>
                <w:bCs/>
              </w:rPr>
              <w:t>Os Investidores Não Institucionais e os Investidores Institucionais, incluindo aqueles que sejam considerados Pessoas Vinculadas, poderão realizar Pedido de Reserva, durante o Período de Reserva, por meio de formulário específico, celebrado em caráter irrevogável e irretratável, exceto nas circunstâncias ali previstas, apresentado perante uma Instituição Participante da Oferta, referente à intenção de subscrição das Debêntures no âmbito da Oferta.</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Período de Reserva</w:t>
            </w:r>
          </w:p>
        </w:tc>
        <w:tc>
          <w:tcPr>
            <w:tcW w:w="3217" w:type="pct"/>
            <w:shd w:val="clear" w:color="auto" w:fill="auto"/>
          </w:tcPr>
          <w:p>
            <w:pPr>
              <w:pStyle w:val="HOMEBRBodyText"/>
              <w:keepLines w:val="0"/>
              <w:widowControl w:val="0"/>
              <w:spacing w:line="300" w:lineRule="exact"/>
              <w:contextualSpacing/>
              <w:rPr>
                <w:rFonts w:ascii="Verdana" w:hAnsi="Verdana" w:cs="Arial"/>
                <w:bCs/>
              </w:rPr>
            </w:pPr>
            <w:r>
              <w:rPr>
                <w:rFonts w:ascii="Verdana" w:eastAsia="Calibri" w:hAnsi="Verdana" w:cs="Arial"/>
                <w:bCs/>
                <w:lang w:bidi="en-US"/>
              </w:rPr>
              <w:t>Período de reserva compreendido entre 23 de setembro de 2019, inclusive, e 16 de outubro de 2019, inclusive, no qual os</w:t>
            </w:r>
            <w:r>
              <w:rPr>
                <w:rFonts w:ascii="Verdana" w:hAnsi="Verdana" w:cs="Arial"/>
                <w:bCs/>
              </w:rPr>
              <w:t xml:space="preserve"> Investidores da Oferta, inclusive aqueles considerados Pessoas Vinculadas</w:t>
            </w:r>
            <w:r>
              <w:rPr>
                <w:rFonts w:ascii="Verdana" w:eastAsia="Calibri" w:hAnsi="Verdana" w:cs="Arial"/>
                <w:bCs/>
                <w:lang w:bidi="en-US"/>
              </w:rPr>
              <w:t xml:space="preserve">, poderão apresentar Pedidos de Reserva a uma Instituição Participante da Oferta, período do qual os Investidores poderão enviar Pedidos de Reserva para participar da Oferta, sendo certo que no caso dos Investidores Não Institucionais </w:t>
            </w:r>
            <w:r>
              <w:rPr>
                <w:rFonts w:ascii="Verdana" w:eastAsia="Calibri" w:hAnsi="Verdana" w:cs="Arial"/>
                <w:bCs/>
                <w:lang w:bidi="en-US"/>
              </w:rPr>
              <w:lastRenderedPageBreak/>
              <w:t>deverá ser observado o valor máximo de até R$1.000.000,00 (um milhão de reais)</w:t>
            </w:r>
            <w:r>
              <w:rPr>
                <w:rFonts w:ascii="Verdana" w:eastAsia="Calibri" w:hAnsi="Verdana" w:cs="Arial"/>
                <w:bCs/>
                <w:i/>
                <w:lang w:bidi="en-US"/>
              </w:rPr>
              <w:t>.</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lastRenderedPageBreak/>
              <w:t>Pessoas Vinculadas</w:t>
            </w:r>
          </w:p>
        </w:tc>
        <w:tc>
          <w:tcPr>
            <w:tcW w:w="3217" w:type="pct"/>
            <w:shd w:val="clear" w:color="auto" w:fill="auto"/>
          </w:tcPr>
          <w:p>
            <w:pPr>
              <w:pStyle w:val="HOMEBRBodyText"/>
              <w:keepLines w:val="0"/>
              <w:widowControl w:val="0"/>
              <w:spacing w:line="300" w:lineRule="exact"/>
              <w:contextualSpacing/>
              <w:rPr>
                <w:rFonts w:ascii="Verdana" w:hAnsi="Verdana" w:cs="Arial"/>
              </w:rPr>
            </w:pPr>
            <w:r>
              <w:rPr>
                <w:rFonts w:ascii="Verdana" w:hAnsi="Verdana" w:cs="Arial"/>
              </w:rPr>
              <w:t>Nos termos do artigo 55 da Instrução CVM 400, poderá ser aceita a participação de Investidores da Oferta que sejam Pessoas Vinculadas na Oferta. Caso seja verificado excesso de demanda superior em 1/3 (um terço) à quantidade de Debêntures inicialmente ofertada (sem considerar as Debêntures Adicionais), não será permitida a colocação de Debêntures junto aos Investidores da Oferta que sejam Pessoas Vinculadas, sendo suas ordens de investimento ou Pedidos de Reserva, conforme o caso, automaticamente cancelados, observado o disposto no item “Formador de Mercado” acima.</w:t>
            </w:r>
          </w:p>
          <w:p>
            <w:pPr>
              <w:pStyle w:val="HOMEBRBodyText"/>
              <w:keepLines w:val="0"/>
              <w:widowControl w:val="0"/>
              <w:spacing w:line="300" w:lineRule="exact"/>
              <w:contextualSpacing/>
              <w:rPr>
                <w:rFonts w:ascii="Verdana" w:hAnsi="Verdana" w:cs="Arial"/>
              </w:rPr>
            </w:pPr>
          </w:p>
          <w:p>
            <w:pPr>
              <w:pStyle w:val="HOMEBRBodyText"/>
              <w:keepLines w:val="0"/>
              <w:widowControl w:val="0"/>
              <w:spacing w:line="300" w:lineRule="exact"/>
              <w:contextualSpacing/>
              <w:rPr>
                <w:rFonts w:ascii="Verdana" w:hAnsi="Verdana" w:cs="Arial"/>
              </w:rPr>
            </w:pPr>
            <w:r>
              <w:rPr>
                <w:rFonts w:ascii="Verdana" w:hAnsi="Verdana" w:cs="Arial"/>
              </w:rPr>
              <w:t xml:space="preserve">São consideradas “Pessoas Vinculadas” investidores que sejam (i) controladores pessoa física ou jurídica ou administradores da Emissora, de sua controladora e/ou de suas controladas ou outras pessoas vinculadas à Emissão e à Oferta, bem como seus cônjuges ou companheiros, seus ascendentes, descendentes e colaterais até o 2º (segundo) grau; (ii) controladores pessoa física ou jurídica ou administradores das Instituições Participantes da Oferta; (iii) empregados, operadores e demais prepostos da Emissora e/ou das Instituições Participantes da Oferta, que desempenhem atividades de intermediação ou de suporte operacional diretamente envolvidos na Oferta; (iv) agentes autônomos que prestem serviços à Emissora e/ou às Instituições Participantes da Oferta; (v) demais profissionais que mantenham, com a Emissora e/ou as Instituições Participantes da Oferta, contrato de prestação de serviços diretamente relacionados à atividade de intermediação, distribuição ou de suporte operacional no âmbito da Oferta; (vi) sociedades controladas, direta ou indiretamente, pela Emissora e/ou pelas Instituições Participantes da Oferta ou por pessoas a elas vinculadas; (vii) sociedades controladas, direta ou indiretamente, por pessoas vinculadas às Instituições Participantes da Oferta, desde que diretamente envolvidos na Oferta; (viii) cônjuges ou companheiro e filhos menores das pessoas </w:t>
            </w:r>
            <w:r>
              <w:rPr>
                <w:rFonts w:ascii="Verdana" w:hAnsi="Verdana" w:cs="Arial"/>
              </w:rPr>
              <w:lastRenderedPageBreak/>
              <w:t xml:space="preserve">mencionadas nos itens “ii” a “v”; e (ix) clubes e fundos de investimento cuja maioria das cotas pertença a pessoas vinculadas, salvo se geridos discricionariamente por terceiros não vinculados, nos termos do artigo 55 da Instrução CVM 400 e do artigo 1º, inciso VI, da Instrução da CVM nº 505, de 27 de setembro de 2011, conforme alterada. </w:t>
            </w:r>
          </w:p>
          <w:p>
            <w:pPr>
              <w:pStyle w:val="HOMEBRBodyText"/>
              <w:keepLines w:val="0"/>
              <w:widowControl w:val="0"/>
              <w:spacing w:line="300" w:lineRule="exact"/>
              <w:contextualSpacing/>
              <w:rPr>
                <w:rFonts w:ascii="Verdana" w:hAnsi="Verdana" w:cs="Arial"/>
              </w:rPr>
            </w:pPr>
          </w:p>
          <w:p>
            <w:pPr>
              <w:pStyle w:val="HOMEBRBodyText"/>
              <w:keepLines w:val="0"/>
              <w:widowControl w:val="0"/>
              <w:spacing w:line="300" w:lineRule="exact"/>
              <w:contextualSpacing/>
              <w:rPr>
                <w:rFonts w:ascii="Verdana" w:eastAsia="Calibri" w:hAnsi="Verdana" w:cs="Arial"/>
                <w:b/>
              </w:rPr>
            </w:pPr>
            <w:r>
              <w:rPr>
                <w:rFonts w:ascii="Verdana" w:hAnsi="Verdana" w:cs="Arial"/>
                <w:b/>
              </w:rPr>
              <w:t>Para mais informações sobre a participação de Pessoas Vinculadas na Oferta, veja a seção “Informações Relativas à Emissão, à Oferta e às Debêntures – Características da Oferta – Pessoas Vinculadas”, na página [</w:t>
            </w:r>
            <w:r>
              <w:rPr>
                <w:rFonts w:ascii="Verdana" w:hAnsi="Verdana" w:cs="Arial"/>
                <w:b/>
              </w:rPr>
              <w:sym w:font="Symbol" w:char="F0B7"/>
            </w:r>
            <w:r>
              <w:rPr>
                <w:rFonts w:ascii="Verdana" w:hAnsi="Verdana" w:cs="Arial"/>
                <w:b/>
              </w:rPr>
              <w:t>] deste Prospecto Preliminar.</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lastRenderedPageBreak/>
              <w:t>Plano de Distribuição</w:t>
            </w:r>
          </w:p>
        </w:tc>
        <w:tc>
          <w:tcPr>
            <w:tcW w:w="3217" w:type="pct"/>
            <w:shd w:val="clear" w:color="auto" w:fill="auto"/>
          </w:tcPr>
          <w:p>
            <w:pPr>
              <w:pStyle w:val="HOMEBRBodyText"/>
              <w:keepLines w:val="0"/>
              <w:widowControl w:val="0"/>
              <w:spacing w:line="300" w:lineRule="exact"/>
              <w:contextualSpacing/>
              <w:rPr>
                <w:rFonts w:ascii="Verdana" w:eastAsia="Calibri" w:hAnsi="Verdana" w:cs="Arial"/>
                <w:spacing w:val="-4"/>
              </w:rPr>
            </w:pPr>
            <w:r>
              <w:rPr>
                <w:rFonts w:ascii="Verdana" w:eastAsia="Calibri" w:hAnsi="Verdana" w:cs="Arial"/>
                <w:spacing w:val="-4"/>
              </w:rPr>
              <w:t xml:space="preserve">Plano de distribuição adotado em conformidade com o disposto no artigo 33, parágrafo 3º, da Instrução CVM 400, </w:t>
            </w:r>
            <w:r>
              <w:rPr>
                <w:rFonts w:ascii="Verdana" w:eastAsia="Calibri" w:hAnsi="Verdana" w:cs="Arial"/>
                <w:spacing w:val="-4"/>
                <w:lang w:val="pt-PT"/>
              </w:rPr>
              <w:t xml:space="preserve">o qual leva em consideração as relações com clientes e outras considerações de natureza comercial ou estratégica dos Coordenadores e da Emissora, os quais assegurarão (i) que o tratamento conferido aos Investidores da Oferta seja justo e equitativo, (ii) a adequação do investimento ao perfil de risco do Público-Alvo, e (iii) que os representantes de venda das Instituições Participantes da Oferta recebam previamente exemplares (a) deste Prospecto Preliminar, </w:t>
            </w:r>
            <w:r>
              <w:rPr>
                <w:rFonts w:ascii="Verdana" w:eastAsia="Calibri" w:hAnsi="Verdana" w:cs="Arial"/>
                <w:spacing w:val="-4"/>
              </w:rPr>
              <w:t xml:space="preserve">acompanhado de seus anexos e documentos incorporados por referência, incluindo, mas sem limitação, </w:t>
            </w:r>
            <w:r>
              <w:rPr>
                <w:rFonts w:ascii="Verdana" w:eastAsia="Calibri" w:hAnsi="Verdana" w:cs="Arial"/>
                <w:spacing w:val="-4"/>
                <w:lang w:val="pt-PT"/>
              </w:rPr>
              <w:t xml:space="preserve">o Formulário de Referência da Emissora, e (b) do Prospecto Definitivo, </w:t>
            </w:r>
            <w:r>
              <w:rPr>
                <w:rFonts w:ascii="Verdana" w:eastAsia="Calibri" w:hAnsi="Verdana" w:cs="Arial"/>
                <w:spacing w:val="-4"/>
              </w:rPr>
              <w:t>acompanhado de seus anexos e documentos incorporados por referência, incluindo, mas sem limitação, o Formulário de Referência</w:t>
            </w:r>
            <w:r>
              <w:rPr>
                <w:rFonts w:ascii="Verdana" w:eastAsia="Calibri" w:hAnsi="Verdana" w:cs="Arial"/>
                <w:spacing w:val="-4"/>
                <w:lang w:val="pt-PT"/>
              </w:rPr>
              <w:t>, a ser disponibilizado ao mercado quando da divulgação do Anúncio de Início, para leitura obrigatória e que suas dúvidas possam ser esclarecidas por pessoas designadas pelos Coordenadores</w:t>
            </w:r>
            <w:r>
              <w:rPr>
                <w:rFonts w:ascii="Verdana" w:eastAsia="Calibri" w:hAnsi="Verdana" w:cs="Arial"/>
                <w:spacing w:val="-4"/>
              </w:rPr>
              <w:t xml:space="preserve">. </w:t>
            </w:r>
          </w:p>
          <w:p>
            <w:pPr>
              <w:pStyle w:val="HOMEBRBodyText"/>
              <w:keepLines w:val="0"/>
              <w:widowControl w:val="0"/>
              <w:spacing w:line="300" w:lineRule="exact"/>
              <w:contextualSpacing/>
              <w:rPr>
                <w:rFonts w:ascii="Verdana" w:eastAsia="Calibri" w:hAnsi="Verdana" w:cs="Arial"/>
                <w:spacing w:val="-4"/>
              </w:rPr>
            </w:pPr>
          </w:p>
          <w:p>
            <w:pPr>
              <w:pStyle w:val="HOMEBRBodyText"/>
              <w:keepLines w:val="0"/>
              <w:widowControl w:val="0"/>
              <w:spacing w:line="300" w:lineRule="exact"/>
              <w:contextualSpacing/>
              <w:rPr>
                <w:rFonts w:ascii="Verdana" w:eastAsia="Calibri" w:hAnsi="Verdana" w:cs="Arial"/>
                <w:b/>
              </w:rPr>
            </w:pPr>
            <w:r>
              <w:rPr>
                <w:rFonts w:ascii="Verdana" w:eastAsia="Calibri" w:hAnsi="Verdana" w:cs="Arial"/>
                <w:b/>
              </w:rPr>
              <w:t>Para mais informações acerca do Plano de Distribuição, veja seção “Informações Relacionadas à Emissão, à Oferta e às Debêntures – Características da Oferta – Plano de Distribuição”, na página [</w:t>
            </w:r>
            <w:r>
              <w:rPr>
                <w:rFonts w:ascii="Verdana" w:eastAsia="Calibri" w:hAnsi="Verdana" w:cs="Arial"/>
                <w:b/>
              </w:rPr>
              <w:sym w:font="Symbol" w:char="F0B7"/>
            </w:r>
            <w:r>
              <w:rPr>
                <w:rFonts w:ascii="Verdana" w:eastAsia="Calibri" w:hAnsi="Verdana" w:cs="Arial"/>
                <w:b/>
              </w:rPr>
              <w:t>] deste Prospecto.</w:t>
            </w:r>
          </w:p>
        </w:tc>
      </w:tr>
      <w:tr>
        <w:trPr>
          <w:trHeight w:val="1157"/>
        </w:trP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lastRenderedPageBreak/>
              <w:t>Prazo e Data de Vencimento</w:t>
            </w:r>
          </w:p>
        </w:tc>
        <w:tc>
          <w:tcPr>
            <w:tcW w:w="3217" w:type="pct"/>
            <w:shd w:val="clear" w:color="auto" w:fill="auto"/>
          </w:tcPr>
          <w:p>
            <w:pPr>
              <w:pStyle w:val="HOMEBRBodyText"/>
              <w:keepLines w:val="0"/>
              <w:widowControl w:val="0"/>
              <w:spacing w:line="300" w:lineRule="exact"/>
              <w:ind w:firstLine="1"/>
              <w:contextualSpacing/>
              <w:rPr>
                <w:rFonts w:ascii="Verdana" w:hAnsi="Verdana" w:cs="Arial"/>
              </w:rPr>
            </w:pPr>
            <w:r>
              <w:rPr>
                <w:rFonts w:ascii="Verdana" w:hAnsi="Verdana" w:cs="Arial"/>
                <w:lang w:val="pt-PT"/>
              </w:rPr>
              <w:t xml:space="preserve">As Debêntures terão prazo de vencimento de dez anos contados da Data de Emissão, vencendo-se, portanto, em 15 de outubro de 2029, ressalvadas as hipóteses de vencimento antecipado e, se permitido pelas regras expedidas pelo CMN e pela legislação e regulamentação aplicáveis, Resgate Obrigatório, nos termos da Escritura e deste Prospecto. </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spacing w:val="-2"/>
              </w:rPr>
            </w:pPr>
            <w:r>
              <w:rPr>
                <w:rFonts w:ascii="Verdana" w:eastAsia="Calibri" w:hAnsi="Verdana" w:cs="Arial"/>
                <w:b/>
                <w:spacing w:val="-2"/>
              </w:rPr>
              <w:t xml:space="preserve">Procedimento de Coleta de Intenções de Investimentos (Procedimento de </w:t>
            </w:r>
            <w:r>
              <w:rPr>
                <w:rFonts w:ascii="Verdana" w:eastAsia="Calibri" w:hAnsi="Verdana" w:cs="Arial"/>
                <w:b/>
                <w:i/>
                <w:spacing w:val="-2"/>
              </w:rPr>
              <w:t>Bookbuilding</w:t>
            </w:r>
            <w:r>
              <w:rPr>
                <w:rFonts w:ascii="Verdana" w:eastAsia="Calibri" w:hAnsi="Verdana" w:cs="Arial"/>
                <w:b/>
                <w:spacing w:val="-2"/>
              </w:rPr>
              <w:t>)</w:t>
            </w:r>
          </w:p>
        </w:tc>
        <w:tc>
          <w:tcPr>
            <w:tcW w:w="3217" w:type="pct"/>
            <w:shd w:val="clear" w:color="auto" w:fill="auto"/>
          </w:tcPr>
          <w:p>
            <w:pPr>
              <w:pStyle w:val="HOMEBRBodyText"/>
              <w:keepLines w:val="0"/>
              <w:widowControl w:val="0"/>
              <w:spacing w:line="300" w:lineRule="exact"/>
              <w:contextualSpacing/>
              <w:rPr>
                <w:rFonts w:ascii="Verdana" w:hAnsi="Verdana" w:cs="Arial"/>
                <w:spacing w:val="-2"/>
              </w:rPr>
            </w:pPr>
            <w:r>
              <w:rPr>
                <w:rFonts w:ascii="Verdana" w:hAnsi="Verdana" w:cs="Arial"/>
                <w:spacing w:val="-2"/>
              </w:rPr>
              <w:t xml:space="preserve">Os Coordenadores organizarão procedimento de coleta de intenções de investimento, nos termos dos parágrafos 1º e 2º do artigo 23 e do artigo 44 da Instrução CVM 400, com recebimento de reservas, para verificação da demanda pelas Debêntures em diferentes níveis de taxa de juros, de forma a definir, de comum acordo com a Emissora: (i) a taxa final dos Juros Remuneratórios; (ii) a alocação das Debêntures entre os Investidores da Oferta, e (iii) a colocação, ou não, das Debêntures Adicionais. </w:t>
            </w:r>
          </w:p>
          <w:p>
            <w:pPr>
              <w:pStyle w:val="HOMEBRBodyText"/>
              <w:keepLines w:val="0"/>
              <w:widowControl w:val="0"/>
              <w:spacing w:line="300" w:lineRule="exact"/>
              <w:contextualSpacing/>
              <w:rPr>
                <w:rFonts w:ascii="Verdana" w:hAnsi="Verdana" w:cs="Arial"/>
                <w:spacing w:val="-2"/>
              </w:rPr>
            </w:pPr>
          </w:p>
          <w:p>
            <w:pPr>
              <w:pStyle w:val="HOMEBRBodyText"/>
              <w:keepLines w:val="0"/>
              <w:widowControl w:val="0"/>
              <w:spacing w:line="300" w:lineRule="exact"/>
              <w:contextualSpacing/>
              <w:rPr>
                <w:rFonts w:ascii="Verdana" w:hAnsi="Verdana" w:cs="Arial"/>
                <w:spacing w:val="-2"/>
              </w:rPr>
            </w:pPr>
            <w:r>
              <w:rPr>
                <w:rFonts w:ascii="Verdana" w:hAnsi="Verdana" w:cs="Arial"/>
                <w:spacing w:val="-2"/>
              </w:rPr>
              <w:t xml:space="preserve">Participarão do Procedimento de </w:t>
            </w:r>
            <w:r>
              <w:rPr>
                <w:rFonts w:ascii="Verdana" w:hAnsi="Verdana" w:cs="Arial"/>
                <w:i/>
                <w:spacing w:val="-2"/>
              </w:rPr>
              <w:t>Bookbuilding</w:t>
            </w:r>
            <w:r>
              <w:rPr>
                <w:rFonts w:ascii="Verdana" w:hAnsi="Verdana" w:cs="Arial"/>
                <w:spacing w:val="-2"/>
              </w:rPr>
              <w:t xml:space="preserve"> para definição dos Juros Remuneratórios exclusivamente Investidores Institucionais. Os Investidores Não Institucionais não participarão do Procedimento de </w:t>
            </w:r>
            <w:r>
              <w:rPr>
                <w:rFonts w:ascii="Verdana" w:hAnsi="Verdana" w:cs="Arial"/>
                <w:i/>
                <w:spacing w:val="-2"/>
              </w:rPr>
              <w:t>Bookbuilding</w:t>
            </w:r>
            <w:r>
              <w:rPr>
                <w:rFonts w:ascii="Verdana" w:hAnsi="Verdana" w:cs="Arial"/>
                <w:spacing w:val="-2"/>
              </w:rPr>
              <w:t xml:space="preserve"> para a definição dos Juros Remuneratórios.</w:t>
            </w:r>
          </w:p>
          <w:p>
            <w:pPr>
              <w:pStyle w:val="HOMEBRBodyText"/>
              <w:keepLines w:val="0"/>
              <w:widowControl w:val="0"/>
              <w:spacing w:line="300" w:lineRule="exact"/>
              <w:contextualSpacing/>
              <w:rPr>
                <w:rFonts w:ascii="Verdana" w:hAnsi="Verdana" w:cs="Arial"/>
                <w:spacing w:val="-2"/>
              </w:rPr>
            </w:pPr>
          </w:p>
          <w:p>
            <w:pPr>
              <w:pStyle w:val="HOMEBRBodyText"/>
              <w:widowControl w:val="0"/>
              <w:spacing w:line="300" w:lineRule="exact"/>
              <w:contextualSpacing/>
              <w:rPr>
                <w:rFonts w:ascii="Verdana" w:hAnsi="Verdana" w:cs="Arial"/>
                <w:spacing w:val="-2"/>
              </w:rPr>
            </w:pPr>
            <w:r>
              <w:rPr>
                <w:rFonts w:ascii="Verdana" w:hAnsi="Verdana" w:cs="Arial"/>
                <w:spacing w:val="-2"/>
              </w:rPr>
              <w:t xml:space="preserve">As intenções de investimento do Formador de Mercado serão alocadas na taxa de juros apurada no Procedimento de </w:t>
            </w:r>
            <w:r>
              <w:rPr>
                <w:rFonts w:ascii="Verdana" w:hAnsi="Verdana" w:cs="Arial"/>
                <w:i/>
                <w:spacing w:val="-2"/>
              </w:rPr>
              <w:t>Bookbuilding</w:t>
            </w:r>
            <w:r>
              <w:rPr>
                <w:rFonts w:ascii="Verdana" w:hAnsi="Verdana" w:cs="Arial"/>
                <w:spacing w:val="-2"/>
              </w:rPr>
              <w:t xml:space="preserve">, não havendo, portanto, qualquer influência por parte do Formador de Mercado na definição dos Juros Remuneratórios das Debêntures durante o Procedimento de </w:t>
            </w:r>
            <w:r>
              <w:rPr>
                <w:rFonts w:ascii="Verdana" w:hAnsi="Verdana" w:cs="Arial"/>
                <w:i/>
                <w:spacing w:val="-2"/>
              </w:rPr>
              <w:t>Bookbuilding</w:t>
            </w:r>
            <w:r>
              <w:rPr>
                <w:rFonts w:ascii="Verdana" w:hAnsi="Verdana" w:cs="Arial"/>
                <w:spacing w:val="-2"/>
              </w:rPr>
              <w:t xml:space="preserve">. </w:t>
            </w:r>
          </w:p>
          <w:p>
            <w:pPr>
              <w:pStyle w:val="HOMEBRBodyText"/>
              <w:widowControl w:val="0"/>
              <w:spacing w:line="300" w:lineRule="exact"/>
              <w:contextualSpacing/>
              <w:rPr>
                <w:rFonts w:ascii="Verdana" w:hAnsi="Verdana" w:cs="Arial"/>
                <w:spacing w:val="-2"/>
              </w:rPr>
            </w:pPr>
          </w:p>
          <w:p>
            <w:pPr>
              <w:pStyle w:val="HOMEBRBodyText"/>
              <w:keepLines w:val="0"/>
              <w:widowControl w:val="0"/>
              <w:spacing w:line="300" w:lineRule="exact"/>
              <w:contextualSpacing/>
              <w:rPr>
                <w:rFonts w:ascii="Verdana" w:eastAsia="Calibri" w:hAnsi="Verdana" w:cs="Arial"/>
                <w:b/>
                <w:spacing w:val="-2"/>
              </w:rPr>
            </w:pPr>
            <w:r>
              <w:rPr>
                <w:rFonts w:ascii="Verdana" w:hAnsi="Verdana" w:cs="Arial"/>
                <w:spacing w:val="-2"/>
              </w:rPr>
              <w:t xml:space="preserve">Ao final do Procedimento de </w:t>
            </w:r>
            <w:r>
              <w:rPr>
                <w:rFonts w:ascii="Verdana" w:hAnsi="Verdana" w:cs="Arial"/>
                <w:i/>
                <w:spacing w:val="-2"/>
              </w:rPr>
              <w:t>Bookbuilding</w:t>
            </w:r>
            <w:r>
              <w:rPr>
                <w:rFonts w:ascii="Verdana" w:hAnsi="Verdana" w:cs="Arial"/>
                <w:spacing w:val="-2"/>
              </w:rPr>
              <w:t xml:space="preserve">, a Emissora ratificará a taxa final dos Juros Remuneratórios, a colocação ou não das Debêntures Adicionais e, consequentemente, a quantidade final de Debêntures, por meio de aditamento à Escritura, que deverá ser arquivado na JUCEPAR, sem necessidade de nova aprovação societária pela Emissora, nos termos da RCA da Emissão, ou de realização de Assembleia Geral de Debenturistas. O resultado do Procedimento de </w:t>
            </w:r>
            <w:r>
              <w:rPr>
                <w:rFonts w:ascii="Verdana" w:hAnsi="Verdana" w:cs="Arial"/>
                <w:i/>
                <w:spacing w:val="-2"/>
              </w:rPr>
              <w:t>Bookbuilding</w:t>
            </w:r>
            <w:r>
              <w:rPr>
                <w:rFonts w:ascii="Verdana" w:hAnsi="Verdana" w:cs="Arial"/>
                <w:spacing w:val="-2"/>
              </w:rPr>
              <w:t xml:space="preserve"> será divulgado por meio do Anúncio de </w:t>
            </w:r>
            <w:r>
              <w:rPr>
                <w:rFonts w:ascii="Verdana" w:hAnsi="Verdana" w:cs="Arial"/>
                <w:spacing w:val="-2"/>
              </w:rPr>
              <w:lastRenderedPageBreak/>
              <w:t>Início.</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lastRenderedPageBreak/>
              <w:t>Público-Alvo</w:t>
            </w:r>
          </w:p>
        </w:tc>
        <w:tc>
          <w:tcPr>
            <w:tcW w:w="3217" w:type="pct"/>
            <w:shd w:val="clear" w:color="auto" w:fill="auto"/>
          </w:tcPr>
          <w:p>
            <w:pPr>
              <w:pStyle w:val="HOMEBRBodyText"/>
              <w:keepLines w:val="0"/>
              <w:widowControl w:val="0"/>
              <w:spacing w:line="300" w:lineRule="exact"/>
              <w:contextualSpacing/>
              <w:rPr>
                <w:rFonts w:ascii="Verdana" w:eastAsia="Calibri" w:hAnsi="Verdana" w:cs="Arial"/>
              </w:rPr>
            </w:pPr>
            <w:r>
              <w:rPr>
                <w:rFonts w:ascii="Verdana" w:eastAsia="Calibri" w:hAnsi="Verdana" w:cs="Arial"/>
              </w:rPr>
              <w:t xml:space="preserve">O público-alvo da Oferta, levando-se sempre em conta o perfil de risco dos seus destinatários, é composto pelos </w:t>
            </w:r>
            <w:r>
              <w:rPr>
                <w:rFonts w:ascii="Verdana" w:hAnsi="Verdana" w:cs="Arial"/>
              </w:rPr>
              <w:t>Investidores Institucionais e Investidores Não Institucionais</w:t>
            </w:r>
            <w:r>
              <w:rPr>
                <w:rFonts w:ascii="Verdana" w:eastAsia="Calibri" w:hAnsi="Verdana" w:cs="Arial"/>
              </w:rPr>
              <w:t>.</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Quantidade de Debêntures</w:t>
            </w:r>
          </w:p>
        </w:tc>
        <w:tc>
          <w:tcPr>
            <w:tcW w:w="3217" w:type="pct"/>
            <w:shd w:val="clear" w:color="auto" w:fill="auto"/>
          </w:tcPr>
          <w:p>
            <w:pPr>
              <w:pStyle w:val="HOMEBRBodyText"/>
              <w:keepLines w:val="0"/>
              <w:widowControl w:val="0"/>
              <w:spacing w:line="300" w:lineRule="exact"/>
              <w:contextualSpacing/>
              <w:rPr>
                <w:rFonts w:ascii="Verdana" w:eastAsia="Calibri" w:hAnsi="Verdana" w:cs="Arial"/>
              </w:rPr>
            </w:pPr>
            <w:r>
              <w:rPr>
                <w:rFonts w:ascii="Verdana" w:eastAsia="Calibri" w:hAnsi="Verdana" w:cs="Arial"/>
                <w:lang w:val="pt-PT"/>
              </w:rPr>
              <w:t>Serão emitidas, inicialmente, 1.000.000 Debêntures, sem considerar as Debêntures Adicionais.</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Quóruns de Deliberação</w:t>
            </w:r>
          </w:p>
        </w:tc>
        <w:tc>
          <w:tcPr>
            <w:tcW w:w="3217" w:type="pct"/>
            <w:shd w:val="clear" w:color="auto" w:fill="auto"/>
          </w:tcPr>
          <w:p>
            <w:pPr>
              <w:pStyle w:val="HOMEBRBodyText"/>
              <w:keepLines w:val="0"/>
              <w:widowControl w:val="0"/>
              <w:spacing w:line="300" w:lineRule="exact"/>
              <w:contextualSpacing/>
              <w:rPr>
                <w:rFonts w:ascii="Verdana" w:hAnsi="Verdana" w:cs="Arial"/>
              </w:rPr>
            </w:pPr>
            <w:r>
              <w:rPr>
                <w:rFonts w:ascii="Verdana" w:hAnsi="Verdana" w:cs="Arial"/>
              </w:rPr>
              <w:t xml:space="preserve">Nas deliberações da Assembleia Geral de Debenturistas, a cada Debênture em Circulação caberá um voto, admitida a constituição de mandatário, Debenturista ou não. </w:t>
            </w:r>
            <w:bookmarkStart w:id="24" w:name="_Ref436157849"/>
            <w:r>
              <w:rPr>
                <w:rFonts w:ascii="Verdana" w:hAnsi="Verdana" w:cs="Arial"/>
              </w:rPr>
              <w:t>Todas as matérias submetidas à deliberação dos Debenturistas reunidos em Assembleia Geral de Debenturistas, inclusive os casos de renúncia ou perdão temporário para as hipóteses de Eventos de Inadimplemento, estão sujeitas ao quórum de aprovação de Debenturistas representando, no mínimo, (i) a maioria das Debêntures em Circulação, em primeira convocação, ou (ii) a maioria das Debêntures em Circulação presentes à Assembleia Geral de Debenturistas, desde que estejam presentes Debenturistas representando pelo menos 25% (vinte e cinco por cento) das Debêntures em Circulação, em segunda convocação</w:t>
            </w:r>
            <w:bookmarkEnd w:id="24"/>
            <w:r>
              <w:rPr>
                <w:rFonts w:ascii="Verdana" w:hAnsi="Verdana" w:cs="Arial"/>
              </w:rPr>
              <w:t>.</w:t>
            </w:r>
          </w:p>
          <w:p>
            <w:pPr>
              <w:pStyle w:val="HOMEBRBodyText"/>
              <w:keepLines w:val="0"/>
              <w:widowControl w:val="0"/>
              <w:spacing w:line="300" w:lineRule="exact"/>
              <w:contextualSpacing/>
              <w:rPr>
                <w:rFonts w:ascii="Verdana" w:hAnsi="Verdana" w:cs="Arial"/>
              </w:rPr>
            </w:pPr>
          </w:p>
          <w:p>
            <w:pPr>
              <w:pStyle w:val="HOMEBRBodyText"/>
              <w:keepLines w:val="0"/>
              <w:widowControl w:val="0"/>
              <w:spacing w:line="300" w:lineRule="exact"/>
              <w:contextualSpacing/>
              <w:rPr>
                <w:rFonts w:ascii="Verdana" w:hAnsi="Verdana" w:cs="Arial"/>
              </w:rPr>
            </w:pPr>
            <w:r>
              <w:rPr>
                <w:rFonts w:ascii="Verdana" w:hAnsi="Verdana" w:cs="Arial"/>
              </w:rPr>
              <w:t>Não estão incluídos no quórum acima:</w:t>
            </w:r>
          </w:p>
          <w:p>
            <w:pPr>
              <w:pStyle w:val="HOMEBRIdentBullet"/>
              <w:keepLines w:val="0"/>
              <w:widowControl w:val="0"/>
              <w:spacing w:line="300" w:lineRule="exact"/>
              <w:contextualSpacing/>
              <w:rPr>
                <w:rFonts w:ascii="Verdana" w:hAnsi="Verdana" w:cs="Arial"/>
                <w:lang w:val="pt-BR"/>
              </w:rPr>
            </w:pPr>
            <w:r>
              <w:rPr>
                <w:rFonts w:ascii="Verdana" w:hAnsi="Verdana" w:cs="Arial"/>
                <w:lang w:val="pt-BR"/>
              </w:rPr>
              <w:t>(i)</w:t>
            </w:r>
            <w:r>
              <w:rPr>
                <w:rFonts w:ascii="Verdana" w:hAnsi="Verdana" w:cs="Arial"/>
                <w:lang w:val="pt-BR"/>
              </w:rPr>
              <w:tab/>
              <w:t xml:space="preserve">os quóruns expressamente previstos em outros itens e/ou cláusulas da Escritura; </w:t>
            </w:r>
          </w:p>
          <w:p>
            <w:pPr>
              <w:pStyle w:val="HOMEBRIdentBullet"/>
              <w:keepLines w:val="0"/>
              <w:widowControl w:val="0"/>
              <w:spacing w:line="300" w:lineRule="exact"/>
              <w:contextualSpacing/>
              <w:rPr>
                <w:rFonts w:ascii="Verdana" w:hAnsi="Verdana" w:cs="Arial"/>
                <w:lang w:val="pt-BR"/>
              </w:rPr>
            </w:pPr>
            <w:r>
              <w:rPr>
                <w:rFonts w:ascii="Verdana" w:hAnsi="Verdana" w:cs="Arial"/>
                <w:spacing w:val="-4"/>
                <w:lang w:val="pt-BR"/>
              </w:rPr>
              <w:t>(ii)</w:t>
            </w:r>
            <w:r>
              <w:rPr>
                <w:rFonts w:ascii="Verdana" w:hAnsi="Verdana" w:cs="Arial"/>
                <w:spacing w:val="-4"/>
                <w:lang w:val="pt-BR"/>
              </w:rPr>
              <w:tab/>
              <w:t>as alterações relativas às seguintes características das Debêntures: (a) dos Juros Remuneratórios, (b) do prazo de vigência das Debêntures; (c) das disposições na Cláusula 10.4.2 da Escritura; (d) de qualquer dos quóruns previstos na Escritura; (e) de quaisquer datas de pagamento de quaisquer valores previstos na Escritura; (f) das obrigações estabelecidas na Cláusula 8 da Escritura; e (g) da redação de qualquer dos Eventos de Inadimplemento; dependerão da aprovação por Debenturistas que representem, no mínimo, 75% das Debêntures em Circulação, em primeira ou segunda convocação</w:t>
            </w:r>
            <w:r>
              <w:rPr>
                <w:rFonts w:ascii="Verdana" w:hAnsi="Verdana" w:cs="Arial"/>
                <w:lang w:val="pt-BR"/>
              </w:rPr>
              <w:t xml:space="preserve">. </w:t>
            </w:r>
          </w:p>
          <w:p>
            <w:pPr>
              <w:pStyle w:val="HOMEBRBodyText"/>
              <w:spacing w:line="300" w:lineRule="exact"/>
              <w:contextualSpacing/>
              <w:rPr>
                <w:rFonts w:ascii="Verdana" w:hAnsi="Verdana" w:cs="Arial"/>
              </w:rPr>
            </w:pPr>
            <w:r>
              <w:rPr>
                <w:rFonts w:ascii="Verdana" w:hAnsi="Verdana" w:cs="Arial"/>
                <w:b/>
              </w:rPr>
              <w:lastRenderedPageBreak/>
              <w:t>Para mais informações sobre os quóruns de deliberação das Assembleias Gerais de Debenturistas, veja a seção “Informações Relativas à Emissão, à Oferta e às Debêntures – Características da Oferta – Assembleias Gerais de Debenturistas”, na página [</w:t>
            </w:r>
            <w:r>
              <w:rPr>
                <w:rFonts w:ascii="Verdana" w:hAnsi="Verdana" w:cs="Arial"/>
                <w:b/>
              </w:rPr>
              <w:sym w:font="Symbol" w:char="F0B7"/>
            </w:r>
            <w:r>
              <w:rPr>
                <w:rFonts w:ascii="Verdana" w:hAnsi="Verdana" w:cs="Arial"/>
                <w:b/>
              </w:rPr>
              <w:t>] deste Prospecto Preliminar.</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lastRenderedPageBreak/>
              <w:t>Quórum de Instalação</w:t>
            </w:r>
          </w:p>
        </w:tc>
        <w:tc>
          <w:tcPr>
            <w:tcW w:w="3217" w:type="pct"/>
            <w:shd w:val="clear" w:color="auto" w:fill="auto"/>
          </w:tcPr>
          <w:p>
            <w:pPr>
              <w:pStyle w:val="HOMEBRBodyText"/>
              <w:keepLines w:val="0"/>
              <w:widowControl w:val="0"/>
              <w:spacing w:line="300" w:lineRule="exact"/>
              <w:contextualSpacing/>
              <w:rPr>
                <w:rFonts w:ascii="Verdana" w:hAnsi="Verdana" w:cs="Arial"/>
              </w:rPr>
            </w:pPr>
            <w:r>
              <w:rPr>
                <w:rFonts w:ascii="Verdana" w:eastAsia="Calibri" w:hAnsi="Verdana" w:cs="Arial"/>
              </w:rPr>
              <w:t xml:space="preserve">As Assembleias Gerais de Debenturistas se instalarão, em primeira convocação, com a presença de Debenturistas que representem, no mínimo, metade das Debêntures em Circulação, e, em segunda convocação, com qualquer quórum. </w:t>
            </w:r>
          </w:p>
        </w:tc>
      </w:tr>
      <w:tr>
        <w:trPr>
          <w:trHeight w:val="987"/>
        </w:trP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Regime de Colocação</w:t>
            </w:r>
          </w:p>
        </w:tc>
        <w:tc>
          <w:tcPr>
            <w:tcW w:w="3217" w:type="pct"/>
            <w:shd w:val="clear" w:color="auto" w:fill="auto"/>
          </w:tcPr>
          <w:p>
            <w:pPr>
              <w:pStyle w:val="HOMEBRBodyText"/>
              <w:keepLines w:val="0"/>
              <w:widowControl w:val="0"/>
              <w:spacing w:line="300" w:lineRule="exact"/>
              <w:contextualSpacing/>
              <w:rPr>
                <w:rFonts w:ascii="Verdana" w:hAnsi="Verdana" w:cs="Arial"/>
              </w:rPr>
            </w:pPr>
            <w:r>
              <w:rPr>
                <w:rFonts w:ascii="Verdana" w:eastAsia="Calibri" w:hAnsi="Verdana" w:cs="Arial"/>
              </w:rPr>
              <w:t xml:space="preserve">Sujeito aos termos e condições do Contrato de Distribuição, </w:t>
            </w:r>
            <w:r>
              <w:rPr>
                <w:rFonts w:ascii="Verdana" w:hAnsi="Verdana" w:cs="Arial"/>
              </w:rPr>
              <w:t>os Coordenadores realizarão a Oferta, de acordo com o Plano de Distribuição, sob o regime de Garantia Firme de colocação para o Valor Total da Emissão, de forma individual e não solidária entre os Coordenadores (sem considerar as Debêntures Adicionais, as quais serão colocadas sob o regime de melhores esforços de colocação), na proporção indicada no Contrato de Distribuição.</w:t>
            </w:r>
          </w:p>
          <w:p>
            <w:pPr>
              <w:pStyle w:val="HOMEBRBodyText"/>
              <w:keepLines w:val="0"/>
              <w:widowControl w:val="0"/>
              <w:spacing w:line="300" w:lineRule="exact"/>
              <w:contextualSpacing/>
              <w:rPr>
                <w:rFonts w:ascii="Verdana" w:hAnsi="Verdana" w:cs="Arial"/>
              </w:rPr>
            </w:pPr>
          </w:p>
          <w:p>
            <w:pPr>
              <w:pStyle w:val="HOMEBRBodyText"/>
              <w:keepLines w:val="0"/>
              <w:widowControl w:val="0"/>
              <w:spacing w:line="300" w:lineRule="exact"/>
              <w:contextualSpacing/>
              <w:rPr>
                <w:rFonts w:ascii="Verdana" w:eastAsia="Calibri" w:hAnsi="Verdana" w:cs="Arial"/>
                <w:b/>
              </w:rPr>
            </w:pPr>
            <w:r>
              <w:rPr>
                <w:rFonts w:ascii="Verdana" w:eastAsia="Calibri" w:hAnsi="Verdana" w:cs="Arial"/>
                <w:b/>
                <w:lang w:val="pt-PT"/>
              </w:rPr>
              <w:t>Para mais informações, veja a seção “Informações Relativas à Emissão, à Oferta e às Debêntures – Contrato de Distribuição - Regime de Colocação”, na página [</w:t>
            </w:r>
            <w:r>
              <w:rPr>
                <w:rFonts w:ascii="Verdana" w:eastAsia="Calibri" w:hAnsi="Verdana" w:cs="Arial"/>
                <w:b/>
                <w:lang w:val="pt-PT"/>
              </w:rPr>
              <w:sym w:font="Symbol" w:char="F0B7"/>
            </w:r>
            <w:r>
              <w:rPr>
                <w:rFonts w:ascii="Verdana" w:eastAsia="Calibri" w:hAnsi="Verdana" w:cs="Arial"/>
                <w:b/>
                <w:lang w:val="pt-PT"/>
              </w:rPr>
              <w:t>] deste Prospecto Preliminar.</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Repactuação Programada</w:t>
            </w:r>
          </w:p>
        </w:tc>
        <w:tc>
          <w:tcPr>
            <w:tcW w:w="3217" w:type="pct"/>
            <w:shd w:val="clear" w:color="auto" w:fill="auto"/>
          </w:tcPr>
          <w:p>
            <w:pPr>
              <w:pStyle w:val="HOMEBRBodyText"/>
              <w:keepLines w:val="0"/>
              <w:widowControl w:val="0"/>
              <w:spacing w:line="300" w:lineRule="exact"/>
              <w:contextualSpacing/>
              <w:rPr>
                <w:rFonts w:ascii="Verdana" w:eastAsia="Calibri" w:hAnsi="Verdana" w:cs="Arial"/>
              </w:rPr>
            </w:pPr>
            <w:r>
              <w:rPr>
                <w:rFonts w:ascii="Verdana" w:eastAsia="Calibri" w:hAnsi="Verdana" w:cs="Arial"/>
              </w:rPr>
              <w:t>As Debêntures não serão objeto de repactuação programada.</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Resgate Antecipado Facultativo</w:t>
            </w:r>
          </w:p>
        </w:tc>
        <w:tc>
          <w:tcPr>
            <w:tcW w:w="3217" w:type="pct"/>
            <w:shd w:val="clear" w:color="auto" w:fill="auto"/>
          </w:tcPr>
          <w:p>
            <w:pPr>
              <w:pStyle w:val="HOMEBRBodyText"/>
              <w:keepLines w:val="0"/>
              <w:widowControl w:val="0"/>
              <w:spacing w:line="300" w:lineRule="exact"/>
              <w:contextualSpacing/>
              <w:rPr>
                <w:rFonts w:ascii="Verdana" w:hAnsi="Verdana" w:cs="Arial"/>
              </w:rPr>
            </w:pPr>
            <w:r>
              <w:rPr>
                <w:rFonts w:ascii="Verdana" w:hAnsi="Verdana" w:cs="Arial"/>
                <w:bCs/>
              </w:rPr>
              <w:t xml:space="preserve">As Debêntures não estarão sujeitas a resgate antecipado facultativo, total ou parcial, pela Emissora. </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spacing w:val="-2"/>
              </w:rPr>
            </w:pPr>
            <w:r>
              <w:rPr>
                <w:rFonts w:ascii="Verdana" w:eastAsia="Calibri" w:hAnsi="Verdana" w:cs="Arial"/>
                <w:b/>
                <w:spacing w:val="-2"/>
              </w:rPr>
              <w:t>Resgate Obrigatório</w:t>
            </w:r>
          </w:p>
        </w:tc>
        <w:tc>
          <w:tcPr>
            <w:tcW w:w="3217" w:type="pct"/>
            <w:shd w:val="clear" w:color="auto" w:fill="auto"/>
          </w:tcPr>
          <w:p>
            <w:pPr>
              <w:pStyle w:val="HOMEBRBodyText"/>
              <w:keepLines w:val="0"/>
              <w:widowControl w:val="0"/>
              <w:spacing w:line="300" w:lineRule="exact"/>
              <w:contextualSpacing/>
              <w:rPr>
                <w:rFonts w:ascii="Verdana" w:hAnsi="Verdana" w:cs="Arial"/>
                <w:bCs/>
                <w:spacing w:val="-2"/>
              </w:rPr>
            </w:pPr>
            <w:r>
              <w:rPr>
                <w:rFonts w:ascii="Verdana" w:hAnsi="Verdana" w:cs="Arial"/>
                <w:bCs/>
                <w:spacing w:val="-2"/>
              </w:rPr>
              <w:t xml:space="preserve">Desde que o resgate antecipado das Debêntures venha a ser novamente permitido nos termos da legislação ou regulamentação aplicáveis, na ocorrência do evento previsto no item “Indisponibilidade do IPCA” acima, a Emissora deverá, observado o disposto no inciso II do artigo 1º, §1º, da Lei nº 12.431 e legislação ou regulamentação aplicáveis, após o prazo que eventualmente venha a ser exigido pela legislação ou regulamentação aplicáveis, realizar o resgate </w:t>
            </w:r>
            <w:r>
              <w:rPr>
                <w:rFonts w:ascii="Verdana" w:hAnsi="Verdana" w:cs="Arial"/>
                <w:bCs/>
                <w:spacing w:val="-2"/>
              </w:rPr>
              <w:lastRenderedPageBreak/>
              <w:t xml:space="preserve">antecipado da totalidade das Debêntures, pelo seu Valor Nominal Atualizado, acrescido dos Juros Remuneratórios, calculados </w:t>
            </w:r>
            <w:r>
              <w:rPr>
                <w:rFonts w:ascii="Verdana" w:hAnsi="Verdana" w:cs="Arial"/>
                <w:bCs/>
                <w:i/>
                <w:spacing w:val="-2"/>
              </w:rPr>
              <w:t>pro rata temporis</w:t>
            </w:r>
            <w:r>
              <w:rPr>
                <w:rFonts w:ascii="Verdana" w:hAnsi="Verdana" w:cs="Arial"/>
                <w:bCs/>
                <w:spacing w:val="-2"/>
              </w:rPr>
              <w:t>, desde a Primeira Data de Integralização, ou desde a Data de Pagamento dos Juros Remuneratórios imediatamente anterior, conforme o caso, até a data do resgate, bem como Encargos Moratórios, se houver, e quaisquer outros valores eventualmente devidos pela Emissora, sem pagamento de qualquer prêmio.</w:t>
            </w:r>
          </w:p>
          <w:p>
            <w:pPr>
              <w:pStyle w:val="HOMEBRBodyText"/>
              <w:keepLines w:val="0"/>
              <w:widowControl w:val="0"/>
              <w:spacing w:line="300" w:lineRule="exact"/>
              <w:contextualSpacing/>
              <w:rPr>
                <w:rFonts w:ascii="Verdana" w:hAnsi="Verdana" w:cs="Arial"/>
                <w:bCs/>
                <w:spacing w:val="-2"/>
              </w:rPr>
            </w:pPr>
          </w:p>
          <w:p>
            <w:pPr>
              <w:pStyle w:val="HOMEBRBodyText"/>
              <w:keepLines w:val="0"/>
              <w:widowControl w:val="0"/>
              <w:spacing w:line="300" w:lineRule="exact"/>
              <w:contextualSpacing/>
              <w:rPr>
                <w:rFonts w:ascii="Verdana" w:hAnsi="Verdana" w:cs="Arial"/>
                <w:b/>
                <w:bCs/>
                <w:spacing w:val="-2"/>
              </w:rPr>
            </w:pPr>
            <w:r>
              <w:rPr>
                <w:rFonts w:ascii="Verdana" w:hAnsi="Verdana" w:cs="Arial"/>
                <w:b/>
                <w:bCs/>
                <w:spacing w:val="-2"/>
              </w:rPr>
              <w:t>Para mais informações acerca do Resgate Obrigatório, veja as seções “Informações Relacionadas à Emissão, à Oferta e às Debêntures – Características da Emissão e das Debêntures - Resgate Obrigatório” e “Fatores de Risco Relacionados à Oferta e às Debêntures – As Debêntures poderão ser objeto de Resgate Obrigatório nas hipóteses previstas na Escritura”, nas páginas [</w:t>
            </w:r>
            <w:r>
              <w:rPr>
                <w:rFonts w:ascii="Verdana" w:hAnsi="Verdana" w:cs="Arial"/>
                <w:b/>
                <w:bCs/>
                <w:spacing w:val="-2"/>
              </w:rPr>
              <w:sym w:font="Symbol" w:char="F0B7"/>
            </w:r>
            <w:r>
              <w:rPr>
                <w:rFonts w:ascii="Verdana" w:hAnsi="Verdana" w:cs="Arial"/>
                <w:b/>
                <w:bCs/>
                <w:spacing w:val="-2"/>
              </w:rPr>
              <w:t>] e [</w:t>
            </w:r>
            <w:r>
              <w:rPr>
                <w:rFonts w:ascii="Verdana" w:hAnsi="Verdana" w:cs="Arial"/>
                <w:b/>
                <w:bCs/>
                <w:spacing w:val="-2"/>
              </w:rPr>
              <w:sym w:font="Symbol" w:char="F0B7"/>
            </w:r>
            <w:r>
              <w:rPr>
                <w:rFonts w:ascii="Verdana" w:hAnsi="Verdana" w:cs="Arial"/>
                <w:b/>
                <w:bCs/>
                <w:spacing w:val="-2"/>
              </w:rPr>
              <w:t>] deste Prospecto Preliminar.</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lastRenderedPageBreak/>
              <w:t>Tratamento Tributário</w:t>
            </w:r>
          </w:p>
        </w:tc>
        <w:tc>
          <w:tcPr>
            <w:tcW w:w="3217" w:type="pct"/>
            <w:shd w:val="clear" w:color="auto" w:fill="auto"/>
          </w:tcPr>
          <w:p>
            <w:pPr>
              <w:pStyle w:val="HOMEBRBodyText"/>
              <w:keepLines w:val="0"/>
              <w:widowControl w:val="0"/>
              <w:spacing w:line="300" w:lineRule="exact"/>
              <w:contextualSpacing/>
              <w:rPr>
                <w:rFonts w:ascii="Verdana" w:hAnsi="Verdana" w:cs="Arial"/>
              </w:rPr>
            </w:pPr>
            <w:r>
              <w:rPr>
                <w:rFonts w:ascii="Verdana" w:hAnsi="Verdana" w:cs="Arial"/>
              </w:rPr>
              <w:t>As Debêntures gozarão do tratamento tributário previsto no artigo 2° da Lei n° 12.431. Caso qualquer Debenturista tenha tratamento tributário diferente daquele previsto na Lei n° 12.431, este deverá encaminhar ao Banco Liquidante, no prazo mínimo de 10 (dez) Dias Úteis anteriores à data prevista para recebimento de valores relativos às Debêntures, documentação comprobatória do referido tratamento tributário julgada apropriada pelo Banco Liquidante, sob pena de ter descontado de seus pagamentos os valores devidos nos termos da legislação tributária em vigor. Mesmo que tenha recebido a documentação comprobatória, e desde que tenha fundamento legal para tanto, fica facultado à Emissora depositar em juízo a tributação que entender devida. Caso a Emissora não utilize os recursos obtidos com a colocação das Debêntures na forma prevista na Escritura, dando causa ao seu desenquadramento nos termos do parágrafo 8º do artigo 1º da Lei n° 12.431, esta será responsável pela multa a ser paga nos termos da Lei n° 12.431, equivalente a 20% do valor captado e não alocado no Projeto.</w:t>
            </w:r>
          </w:p>
          <w:p>
            <w:pPr>
              <w:pStyle w:val="HOMEBRBodyText"/>
              <w:keepLines w:val="0"/>
              <w:widowControl w:val="0"/>
              <w:spacing w:line="300" w:lineRule="exact"/>
              <w:contextualSpacing/>
              <w:rPr>
                <w:rFonts w:ascii="Verdana" w:hAnsi="Verdana" w:cs="Arial"/>
              </w:rPr>
            </w:pPr>
          </w:p>
          <w:p>
            <w:pPr>
              <w:pStyle w:val="HOMEBRBodyText"/>
              <w:keepLines w:val="0"/>
              <w:widowControl w:val="0"/>
              <w:spacing w:line="300" w:lineRule="exact"/>
              <w:contextualSpacing/>
              <w:rPr>
                <w:rFonts w:ascii="Verdana" w:hAnsi="Verdana" w:cs="Arial"/>
              </w:rPr>
            </w:pPr>
            <w:r>
              <w:rPr>
                <w:rFonts w:ascii="Verdana" w:hAnsi="Verdana" w:cs="Arial"/>
              </w:rPr>
              <w:lastRenderedPageBreak/>
              <w:t xml:space="preserve">Sem prejuízo da multa disposta no parágrafo acima, caso a qualquer momento durante a vigência da presente Emissão e até a data da liquidação integral das Debêntures: (i) as Debêntures deixem de gozar do tratamento tributário previsto na Lei nº 12.431; ou (ii) haja qualquer retenção de tributos sobre os rendimentos das Debêntures, por qualquer motivo, inclusive mas não se limitando, em razão de revogação ou alteração da Lei nº 12.431 ou edição de lei determinando a incidência de imposto de renda retido na fonte ou quaisquer outros tributos sobre os rendimentos das Debêntures, em qualquer das hipóteses, a Emissora: </w:t>
            </w:r>
          </w:p>
          <w:p>
            <w:pPr>
              <w:pStyle w:val="HOMEBRBodyText"/>
              <w:keepLines w:val="0"/>
              <w:widowControl w:val="0"/>
              <w:spacing w:line="300" w:lineRule="exact"/>
              <w:contextualSpacing/>
              <w:rPr>
                <w:rFonts w:ascii="Verdana" w:hAnsi="Verdana" w:cs="Arial"/>
              </w:rPr>
            </w:pPr>
          </w:p>
          <w:p>
            <w:pPr>
              <w:pStyle w:val="HOMEBRBodyText"/>
              <w:keepLines w:val="0"/>
              <w:widowControl w:val="0"/>
              <w:tabs>
                <w:tab w:val="left" w:pos="478"/>
              </w:tabs>
              <w:spacing w:line="300" w:lineRule="exact"/>
              <w:contextualSpacing/>
              <w:rPr>
                <w:rFonts w:ascii="Verdana" w:hAnsi="Verdana" w:cs="Arial"/>
              </w:rPr>
            </w:pPr>
            <w:r>
              <w:rPr>
                <w:rFonts w:ascii="Verdana" w:hAnsi="Verdana" w:cs="Arial"/>
              </w:rPr>
              <w:t>(a)</w:t>
            </w:r>
            <w:r>
              <w:rPr>
                <w:rFonts w:ascii="Verdana" w:hAnsi="Verdana" w:cs="Arial"/>
              </w:rPr>
              <w:tab/>
              <w:t>deverá arcar com todos os tributos que venham a ser devidos pelos Debenturistas, bem como com qualquer multa a ser paga nos termos da Lei nº 12.431, se aplicável, de modo que a Emissora deverá acrescer aos pagamentos de Atualização Monetária e Juros Remuneratórios valores adicionais suficientes para que os Debenturistas recebam tais pagamentos como se os referidos valores não fossem incidentes; ou</w:t>
            </w:r>
          </w:p>
          <w:p>
            <w:pPr>
              <w:pStyle w:val="HOMEBRBodyText"/>
              <w:keepLines w:val="0"/>
              <w:widowControl w:val="0"/>
              <w:tabs>
                <w:tab w:val="left" w:pos="478"/>
              </w:tabs>
              <w:spacing w:line="300" w:lineRule="exact"/>
              <w:contextualSpacing/>
              <w:rPr>
                <w:rFonts w:ascii="Verdana" w:hAnsi="Verdana" w:cs="Arial"/>
              </w:rPr>
            </w:pPr>
          </w:p>
          <w:p>
            <w:pPr>
              <w:pStyle w:val="HOMEBRBodyText"/>
              <w:keepLines w:val="0"/>
              <w:widowControl w:val="0"/>
              <w:tabs>
                <w:tab w:val="left" w:pos="478"/>
              </w:tabs>
              <w:spacing w:line="300" w:lineRule="exact"/>
              <w:contextualSpacing/>
              <w:rPr>
                <w:rFonts w:ascii="Verdana" w:hAnsi="Verdana" w:cs="Arial"/>
              </w:rPr>
            </w:pPr>
            <w:r>
              <w:rPr>
                <w:rFonts w:ascii="Verdana" w:hAnsi="Verdana" w:cs="Arial"/>
              </w:rPr>
              <w:t>(b)</w:t>
            </w:r>
            <w:r>
              <w:rPr>
                <w:rFonts w:ascii="Verdana" w:hAnsi="Verdana" w:cs="Arial"/>
              </w:rPr>
              <w:tab/>
              <w:t>sem prejuízo do disposto na alínea “(a)” acima, estará autorizada, a seu exclusivo critério, a realizar resgate antecipado para a totalidade das Debêntures, independentemente de qualquer procedimento ou aprovação, desde que permitido pela legislação e regulamentação aplicáveis, incluindo, sem limitação, as regras expedidas pelo CMN. Até que o resgate decorrente do resgate antecipado previsto acima seja realizado, a Emissora deverá arcar com todos os tributos que venham a ser devidos pelos Debenturistas, bem como com qualquer multa a ser paga nos termos da Lei nº 12.431, se aplicável, de modo que a Emissora deverá acrescer aos pagamentos de Atualização Monetária e Juros Remuneratórios, valores adicionais suficientes para que os Debenturistas recebam tais pagamentos como se os referidos valores não fossem incidentes, sendo certo que tais pagamentos serão realizados fora do âmbito da B3 ou da B3 – Segmento CETIP UTVM.</w:t>
            </w:r>
          </w:p>
          <w:p>
            <w:pPr>
              <w:pStyle w:val="HOMEBRBodyText"/>
              <w:keepLines w:val="0"/>
              <w:widowControl w:val="0"/>
              <w:tabs>
                <w:tab w:val="left" w:pos="478"/>
              </w:tabs>
              <w:spacing w:line="300" w:lineRule="exact"/>
              <w:contextualSpacing/>
              <w:rPr>
                <w:rFonts w:ascii="Verdana" w:hAnsi="Verdana" w:cs="Arial"/>
              </w:rPr>
            </w:pPr>
          </w:p>
          <w:p>
            <w:pPr>
              <w:pStyle w:val="HOMEBRBodyText"/>
              <w:keepLines w:val="0"/>
              <w:widowControl w:val="0"/>
              <w:spacing w:line="300" w:lineRule="exact"/>
              <w:contextualSpacing/>
              <w:rPr>
                <w:rFonts w:ascii="Verdana" w:hAnsi="Verdana" w:cs="Arial"/>
                <w:b/>
              </w:rPr>
            </w:pPr>
            <w:r>
              <w:rPr>
                <w:rFonts w:ascii="Verdana" w:hAnsi="Verdana" w:cs="Arial"/>
                <w:b/>
              </w:rPr>
              <w:lastRenderedPageBreak/>
              <w:t>Para mais informações sobre o Tratamento Tributário, veja as seções “Informações Relativas à Emissão, à Oferta e às Debêntures – Características da Emissão e das Debêntures – Juros Remuneratórios das Debêntures e Pagamento dos Juros Remuneratórios” e “Fatores de Risco Relacionados à Oferta e às Debêntures – Caso as Debêntures deixem de satisfazer determinadas características que as enquadrem como Debêntures de Infraestrutura, a Emissora não pode garantir que elas continuarão a receber o tratamento tributário diferenciado previsto na Lei nº 12.431, inclusive, a Emissora não pode garantir que a Lei nº 12.431 não será novamente alterada, questionada, extinta ou substituída por leis mais restritivas”, nas páginas [</w:t>
            </w:r>
            <w:r>
              <w:rPr>
                <w:rFonts w:ascii="Verdana" w:hAnsi="Verdana" w:cs="Arial"/>
                <w:b/>
              </w:rPr>
              <w:sym w:font="Symbol" w:char="F0B7"/>
            </w:r>
            <w:r>
              <w:rPr>
                <w:rFonts w:ascii="Verdana" w:hAnsi="Verdana" w:cs="Arial"/>
                <w:b/>
              </w:rPr>
              <w:t>] e [</w:t>
            </w:r>
            <w:r>
              <w:rPr>
                <w:rFonts w:ascii="Verdana" w:hAnsi="Verdana" w:cs="Arial"/>
                <w:b/>
              </w:rPr>
              <w:sym w:font="Symbol" w:char="F0B7"/>
            </w:r>
            <w:r>
              <w:rPr>
                <w:rFonts w:ascii="Verdana" w:hAnsi="Verdana" w:cs="Arial"/>
                <w:b/>
              </w:rPr>
              <w:t>] deste Prospecto Preliminar.</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lastRenderedPageBreak/>
              <w:t>Valor Nominal Unitário</w:t>
            </w:r>
          </w:p>
        </w:tc>
        <w:tc>
          <w:tcPr>
            <w:tcW w:w="3217" w:type="pct"/>
            <w:shd w:val="clear" w:color="auto" w:fill="auto"/>
          </w:tcPr>
          <w:p>
            <w:pPr>
              <w:pStyle w:val="HOMEBRBodyText"/>
              <w:keepLines w:val="0"/>
              <w:widowControl w:val="0"/>
              <w:spacing w:line="300" w:lineRule="exact"/>
              <w:contextualSpacing/>
              <w:rPr>
                <w:rFonts w:ascii="Verdana" w:eastAsia="Calibri" w:hAnsi="Verdana" w:cs="Arial"/>
              </w:rPr>
            </w:pPr>
            <w:r>
              <w:rPr>
                <w:rFonts w:ascii="Verdana" w:eastAsia="Calibri" w:hAnsi="Verdana" w:cs="Arial"/>
              </w:rPr>
              <w:t>O valor nominal unitário das Debêntures, na Data de Emissão, é de R$1.000,00.</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t>Valor Total da Emissão</w:t>
            </w:r>
          </w:p>
        </w:tc>
        <w:tc>
          <w:tcPr>
            <w:tcW w:w="3217" w:type="pct"/>
            <w:shd w:val="clear" w:color="auto" w:fill="auto"/>
          </w:tcPr>
          <w:p>
            <w:pPr>
              <w:pStyle w:val="HOMEBRBodyText"/>
              <w:keepLines w:val="0"/>
              <w:widowControl w:val="0"/>
              <w:spacing w:line="300" w:lineRule="exact"/>
              <w:contextualSpacing/>
              <w:rPr>
                <w:rFonts w:ascii="Verdana" w:eastAsia="Calibri" w:hAnsi="Verdana" w:cs="Arial"/>
              </w:rPr>
            </w:pPr>
            <w:r>
              <w:rPr>
                <w:rFonts w:ascii="Verdana" w:eastAsia="Calibri" w:hAnsi="Verdana" w:cs="Arial"/>
              </w:rPr>
              <w:t>R$1.000.000.000,00, sem considerar as Debêntures Adicionais.</w:t>
            </w:r>
          </w:p>
        </w:tc>
      </w:tr>
      <w:tr>
        <w:tc>
          <w:tcPr>
            <w:tcW w:w="1783" w:type="pct"/>
            <w:shd w:val="clear" w:color="auto" w:fill="auto"/>
          </w:tcPr>
          <w:p>
            <w:pPr>
              <w:pStyle w:val="HOMEBRBodyText"/>
              <w:keepLines w:val="0"/>
              <w:widowControl w:val="0"/>
              <w:spacing w:line="300" w:lineRule="exact"/>
              <w:contextualSpacing/>
              <w:jc w:val="left"/>
              <w:rPr>
                <w:rFonts w:ascii="Verdana" w:eastAsia="Calibri" w:hAnsi="Verdana" w:cs="Arial"/>
                <w:b/>
              </w:rPr>
            </w:pPr>
            <w:r>
              <w:rPr>
                <w:rFonts w:ascii="Verdana" w:eastAsia="Calibri" w:hAnsi="Verdana" w:cs="Arial"/>
                <w:b/>
              </w:rPr>
              <w:lastRenderedPageBreak/>
              <w:t>Vencimento Antecipado</w:t>
            </w:r>
          </w:p>
        </w:tc>
        <w:tc>
          <w:tcPr>
            <w:tcW w:w="3217" w:type="pct"/>
            <w:shd w:val="clear" w:color="auto" w:fill="auto"/>
          </w:tcPr>
          <w:p>
            <w:pPr>
              <w:pStyle w:val="HOMEBRBodyText"/>
              <w:widowControl w:val="0"/>
              <w:spacing w:line="300" w:lineRule="exact"/>
              <w:contextualSpacing/>
              <w:rPr>
                <w:rFonts w:ascii="Verdana" w:hAnsi="Verdana" w:cs="Arial"/>
              </w:rPr>
            </w:pPr>
            <w:r>
              <w:rPr>
                <w:rFonts w:ascii="Verdana" w:hAnsi="Verdana" w:cs="Arial"/>
              </w:rPr>
              <w:t xml:space="preserve">Observado o disposto na Escritura, o Agente Fiduciário deverá (i) considerar antecipadamente e automaticamente vencidas, independentemente de envio de aviso, notificação ou interpelação judicial ou extrajudicial, todas as obrigações relativas às Debêntures e exigir da Emissora o imediato pagamento do Valor Nominal Atualizado, acrescido dos Juros Remuneratórios devidos até a data do efetivo pagamento, calculados </w:t>
            </w:r>
            <w:r>
              <w:rPr>
                <w:rFonts w:ascii="Verdana" w:hAnsi="Verdana" w:cs="Arial"/>
                <w:i/>
              </w:rPr>
              <w:t>pro rata temporis</w:t>
            </w:r>
            <w:r>
              <w:rPr>
                <w:rFonts w:ascii="Verdana" w:hAnsi="Verdana" w:cs="Arial"/>
              </w:rPr>
              <w:t xml:space="preserve">, e dos Encargos Moratórios, se houver, bem como de quaisquer outros valores eventualmente devidos pela Emissora nos termos da Escritura, na data que tomar ciência da ocorrência de qualquer uma das hipóteses de vencimento antecipado automático previstas na Cláusula 7.1 da Escritura; ou (ii) convocar, no prazo de até dois Dias Úteis da data em que tomar ciência da ocorrência de qualquer das hipóteses de vencimento antecipado não automático previstas na Cláusula 7.2 da Escritura, assembleia geral de debenturistas, nos termos da Escritura, para deliberar sobre a eventual não declaração, do vencimento antecipado das Debêntures. A Assembleia Geral de Debenturistas a que se refere o item (ii) poderá determinar que o Agente Fiduciário não declare o vencimento antecipado das Debêntures caso seja obtido o quórum previsto na Cláusula 7.3 da Escritura, sendo que, entre a data da ocorrência do Evento de Inadimplemento e a realização da Assembleia Geral de Debenturistas, as Debêntures não serão consideradas vencidas. Caso a Assembleia Geral de Debenturistas não seja instalada em segunda convocação ou não tenha quórum para deliberar a matéria, conforme o disposto na Escritura, o Agente Fiduciário deverá decretar o vencimento antecipado das Debêntures. </w:t>
            </w:r>
          </w:p>
          <w:p>
            <w:pPr>
              <w:pStyle w:val="HOMEBRBodyText"/>
              <w:widowControl w:val="0"/>
              <w:spacing w:line="300" w:lineRule="exact"/>
              <w:contextualSpacing/>
              <w:rPr>
                <w:rFonts w:ascii="Verdana" w:hAnsi="Verdana" w:cs="Arial"/>
              </w:rPr>
            </w:pPr>
          </w:p>
          <w:p>
            <w:pPr>
              <w:pStyle w:val="HOMEBRBodyText"/>
              <w:keepLines w:val="0"/>
              <w:widowControl w:val="0"/>
              <w:spacing w:line="300" w:lineRule="exact"/>
              <w:contextualSpacing/>
              <w:rPr>
                <w:rFonts w:ascii="Verdana" w:eastAsia="Calibri" w:hAnsi="Verdana" w:cs="Arial"/>
                <w:b/>
              </w:rPr>
            </w:pPr>
            <w:r>
              <w:rPr>
                <w:rFonts w:ascii="Verdana" w:hAnsi="Verdana" w:cs="Arial"/>
                <w:b/>
              </w:rPr>
              <w:t>Para mais informações sobre as hipóteses de vencimento antecipado veja “Informações Relativas à Emissão, à Oferta e às Debêntures – Vencimento Antecipado” e a seção “Fatores de Risco Relacionados à Oferta e às Debêntures – As obrigações da Emissora constantes da Escritura estão sujeitas a hipóteses de vencimento antecipado”, nas páginas [</w:t>
            </w:r>
            <w:r>
              <w:rPr>
                <w:rFonts w:ascii="Verdana" w:hAnsi="Verdana" w:cs="Arial"/>
                <w:b/>
              </w:rPr>
              <w:sym w:font="Symbol" w:char="F0B7"/>
            </w:r>
            <w:r>
              <w:rPr>
                <w:rFonts w:ascii="Verdana" w:hAnsi="Verdana" w:cs="Arial"/>
                <w:b/>
              </w:rPr>
              <w:t>] e [</w:t>
            </w:r>
            <w:r>
              <w:rPr>
                <w:rFonts w:ascii="Verdana" w:hAnsi="Verdana" w:cs="Arial"/>
                <w:b/>
              </w:rPr>
              <w:sym w:font="Symbol" w:char="F0B7"/>
            </w:r>
            <w:r>
              <w:rPr>
                <w:rFonts w:ascii="Verdana" w:hAnsi="Verdana" w:cs="Arial"/>
                <w:b/>
              </w:rPr>
              <w:t xml:space="preserve">] deste </w:t>
            </w:r>
            <w:r>
              <w:rPr>
                <w:rFonts w:ascii="Verdana" w:hAnsi="Verdana" w:cs="Arial"/>
                <w:b/>
              </w:rPr>
              <w:lastRenderedPageBreak/>
              <w:t>Prospecto Preliminar.</w:t>
            </w:r>
          </w:p>
        </w:tc>
      </w:tr>
    </w:tbl>
    <w:p>
      <w:pPr>
        <w:pStyle w:val="Ttulo1"/>
        <w:spacing w:line="300" w:lineRule="exact"/>
        <w:rPr>
          <w:rFonts w:ascii="Verdana" w:hAnsi="Verdana"/>
          <w:lang w:val="pt-BR"/>
        </w:rPr>
      </w:pPr>
      <w:bookmarkStart w:id="25" w:name="_Toc428306445"/>
      <w:bookmarkStart w:id="26" w:name="_Ref434935732"/>
      <w:bookmarkStart w:id="27" w:name="_Ref434935756"/>
      <w:bookmarkStart w:id="28" w:name="_Ref434936645"/>
      <w:bookmarkStart w:id="29" w:name="_Ref483330042"/>
      <w:bookmarkStart w:id="30" w:name="_Ref483330051"/>
      <w:bookmarkStart w:id="31" w:name="_Toc484715949"/>
      <w:r>
        <w:rPr>
          <w:rFonts w:ascii="Verdana" w:hAnsi="Verdana"/>
          <w:lang w:val="pt-BR"/>
        </w:rPr>
        <w:lastRenderedPageBreak/>
        <w:t>CRONOGRAMA ESTIMADO DAS ETAPAS DA OFERTA</w:t>
      </w:r>
      <w:bookmarkEnd w:id="25"/>
      <w:bookmarkEnd w:id="26"/>
      <w:bookmarkEnd w:id="27"/>
      <w:bookmarkEnd w:id="28"/>
      <w:bookmarkEnd w:id="29"/>
      <w:bookmarkEnd w:id="30"/>
      <w:bookmarkEnd w:id="31"/>
      <w:r>
        <w:rPr>
          <w:rFonts w:ascii="Verdana" w:hAnsi="Verdana"/>
          <w:lang w:val="pt-BR"/>
        </w:rPr>
        <w:t xml:space="preserve"> </w:t>
      </w:r>
    </w:p>
    <w:p>
      <w:pPr>
        <w:pStyle w:val="HOMEBRBodyText"/>
        <w:spacing w:line="300" w:lineRule="exact"/>
        <w:rPr>
          <w:rFonts w:ascii="Verdana" w:hAnsi="Verdana" w:cs="Arial"/>
        </w:rPr>
      </w:pPr>
      <w:r>
        <w:rPr>
          <w:rFonts w:ascii="Verdana" w:hAnsi="Verdana" w:cs="Arial"/>
        </w:rPr>
        <w:t xml:space="preserve">Encontra-se abaixo o cronograma estimado para as principais etapas da Oferta: </w:t>
      </w:r>
    </w:p>
    <w:tbl>
      <w:tblPr>
        <w:tblW w:w="8789" w:type="dxa"/>
        <w:shd w:val="clear" w:color="auto" w:fill="FFFFFF"/>
        <w:tblLayout w:type="fixed"/>
        <w:tblCellMar>
          <w:left w:w="72" w:type="dxa"/>
          <w:right w:w="72" w:type="dxa"/>
        </w:tblCellMar>
        <w:tblLook w:val="04A0" w:firstRow="1" w:lastRow="0" w:firstColumn="1" w:lastColumn="0" w:noHBand="0" w:noVBand="1"/>
      </w:tblPr>
      <w:tblGrid>
        <w:gridCol w:w="483"/>
        <w:gridCol w:w="6038"/>
        <w:gridCol w:w="2268"/>
      </w:tblGrid>
      <w:tr>
        <w:tc>
          <w:tcPr>
            <w:tcW w:w="483" w:type="dxa"/>
            <w:shd w:val="clear" w:color="auto" w:fill="FFFFFF"/>
          </w:tcPr>
          <w:p>
            <w:pPr>
              <w:pStyle w:val="CellHead"/>
              <w:pBdr>
                <w:bottom w:val="single" w:sz="4" w:space="1" w:color="auto"/>
              </w:pBdr>
              <w:spacing w:after="0" w:line="300" w:lineRule="exact"/>
              <w:jc w:val="center"/>
              <w:rPr>
                <w:rFonts w:ascii="Verdana" w:hAnsi="Verdana" w:cs="Arial"/>
                <w:bCs/>
                <w:sz w:val="18"/>
                <w:szCs w:val="18"/>
              </w:rPr>
            </w:pPr>
            <w:bookmarkStart w:id="32" w:name="_Toc428306455"/>
            <w:bookmarkStart w:id="33" w:name="_Toc428306456"/>
            <w:bookmarkStart w:id="34" w:name="_Toc428306457"/>
            <w:bookmarkStart w:id="35" w:name="_Toc428306458"/>
            <w:bookmarkStart w:id="36" w:name="_Toc428306459"/>
            <w:bookmarkStart w:id="37" w:name="_Hlk495369181"/>
            <w:bookmarkEnd w:id="32"/>
            <w:bookmarkEnd w:id="33"/>
            <w:bookmarkEnd w:id="34"/>
            <w:bookmarkEnd w:id="35"/>
            <w:bookmarkEnd w:id="36"/>
            <w:r>
              <w:rPr>
                <w:rFonts w:ascii="Verdana" w:hAnsi="Verdana" w:cs="Arial"/>
                <w:bCs/>
                <w:sz w:val="18"/>
                <w:szCs w:val="18"/>
              </w:rPr>
              <w:t>#</w:t>
            </w:r>
          </w:p>
        </w:tc>
        <w:tc>
          <w:tcPr>
            <w:tcW w:w="6038" w:type="dxa"/>
            <w:shd w:val="clear" w:color="auto" w:fill="FFFFFF"/>
          </w:tcPr>
          <w:p>
            <w:pPr>
              <w:pStyle w:val="CellHead"/>
              <w:pBdr>
                <w:bottom w:val="single" w:sz="4" w:space="1" w:color="auto"/>
              </w:pBdr>
              <w:spacing w:after="0" w:line="300" w:lineRule="exact"/>
              <w:jc w:val="center"/>
              <w:rPr>
                <w:rFonts w:ascii="Verdana" w:hAnsi="Verdana" w:cs="Arial"/>
                <w:bCs/>
                <w:sz w:val="18"/>
                <w:szCs w:val="18"/>
              </w:rPr>
            </w:pPr>
            <w:r>
              <w:rPr>
                <w:rFonts w:ascii="Verdana" w:hAnsi="Verdana" w:cs="Arial"/>
                <w:bCs/>
                <w:sz w:val="18"/>
                <w:szCs w:val="18"/>
              </w:rPr>
              <w:t>Eventos</w:t>
            </w:r>
          </w:p>
        </w:tc>
        <w:tc>
          <w:tcPr>
            <w:tcW w:w="2268" w:type="dxa"/>
            <w:shd w:val="clear" w:color="auto" w:fill="FFFFFF"/>
            <w:vAlign w:val="center"/>
          </w:tcPr>
          <w:p>
            <w:pPr>
              <w:pStyle w:val="CellHead"/>
              <w:pBdr>
                <w:bottom w:val="single" w:sz="4" w:space="1" w:color="auto"/>
              </w:pBdr>
              <w:spacing w:after="0" w:line="300" w:lineRule="exact"/>
              <w:jc w:val="center"/>
              <w:rPr>
                <w:rFonts w:ascii="Verdana" w:hAnsi="Verdana" w:cs="Arial"/>
                <w:bCs/>
                <w:sz w:val="18"/>
                <w:szCs w:val="18"/>
              </w:rPr>
            </w:pPr>
            <w:r>
              <w:rPr>
                <w:rFonts w:ascii="Verdana" w:hAnsi="Verdana" w:cs="Arial"/>
                <w:bCs/>
                <w:sz w:val="18"/>
                <w:szCs w:val="18"/>
              </w:rPr>
              <w:t>Data</w:t>
            </w:r>
            <w:r>
              <w:rPr>
                <w:rFonts w:ascii="Verdana" w:hAnsi="Verdana" w:cs="Arial"/>
                <w:bCs/>
                <w:sz w:val="18"/>
                <w:szCs w:val="18"/>
                <w:vertAlign w:val="superscript"/>
              </w:rPr>
              <w:t>(1)(2)</w:t>
            </w:r>
          </w:p>
        </w:tc>
      </w:tr>
      <w:tr>
        <w:tc>
          <w:tcPr>
            <w:tcW w:w="483" w:type="dxa"/>
            <w:tcBorders>
              <w:top w:val="single" w:sz="4" w:space="0" w:color="auto"/>
              <w:bottom w:val="single" w:sz="4" w:space="0" w:color="auto"/>
            </w:tcBorders>
            <w:shd w:val="clear" w:color="auto" w:fill="FFFFFF"/>
            <w:vAlign w:val="center"/>
          </w:tcPr>
          <w:p>
            <w:pPr>
              <w:pStyle w:val="CellBody"/>
              <w:spacing w:after="0" w:line="300" w:lineRule="exact"/>
              <w:jc w:val="center"/>
              <w:rPr>
                <w:rFonts w:ascii="Verdana" w:hAnsi="Verdana" w:cs="Arial"/>
                <w:b/>
                <w:sz w:val="18"/>
                <w:szCs w:val="18"/>
              </w:rPr>
            </w:pPr>
            <w:r>
              <w:rPr>
                <w:rFonts w:ascii="Verdana" w:hAnsi="Verdana" w:cs="Arial"/>
                <w:b/>
                <w:sz w:val="18"/>
                <w:szCs w:val="18"/>
              </w:rPr>
              <w:t>1</w:t>
            </w:r>
          </w:p>
        </w:tc>
        <w:tc>
          <w:tcPr>
            <w:tcW w:w="6038" w:type="dxa"/>
            <w:tcBorders>
              <w:top w:val="single" w:sz="4" w:space="0" w:color="auto"/>
              <w:bottom w:val="single" w:sz="4" w:space="0" w:color="auto"/>
            </w:tcBorders>
            <w:shd w:val="clear" w:color="auto" w:fill="FFFFFF"/>
            <w:vAlign w:val="center"/>
          </w:tcPr>
          <w:p>
            <w:pPr>
              <w:pStyle w:val="CellBody"/>
              <w:spacing w:after="0" w:line="300" w:lineRule="exact"/>
              <w:ind w:left="12"/>
              <w:rPr>
                <w:rFonts w:ascii="Verdana" w:hAnsi="Verdana" w:cs="Arial"/>
                <w:bCs/>
                <w:sz w:val="18"/>
                <w:szCs w:val="18"/>
                <w:lang w:val="pt-BR"/>
              </w:rPr>
            </w:pPr>
            <w:r>
              <w:rPr>
                <w:rFonts w:ascii="Verdana" w:hAnsi="Verdana" w:cs="Arial"/>
                <w:bCs/>
                <w:sz w:val="18"/>
                <w:szCs w:val="18"/>
                <w:lang w:val="pt-BR"/>
              </w:rPr>
              <w:t>Protocolo na CVM do pedido de registro da Oferta, nos termos dos artigos 6ºA e 6ºB da Instrução CVM 400.</w:t>
            </w:r>
          </w:p>
          <w:p>
            <w:pPr>
              <w:pStyle w:val="CellBody"/>
              <w:spacing w:after="0" w:line="300" w:lineRule="exact"/>
              <w:ind w:left="12"/>
              <w:rPr>
                <w:rFonts w:ascii="Verdana" w:hAnsi="Verdana" w:cs="Arial"/>
                <w:sz w:val="18"/>
                <w:szCs w:val="18"/>
                <w:lang w:val="pt-BR"/>
              </w:rPr>
            </w:pPr>
            <w:r>
              <w:rPr>
                <w:rFonts w:ascii="Verdana" w:hAnsi="Verdana" w:cs="Arial"/>
                <w:sz w:val="18"/>
                <w:szCs w:val="18"/>
                <w:lang w:val="pt-BR"/>
              </w:rPr>
              <w:t>Divulgação</w:t>
            </w:r>
            <w:r>
              <w:rPr>
                <w:rFonts w:ascii="Verdana" w:hAnsi="Verdana" w:cs="Arial"/>
                <w:bCs/>
                <w:sz w:val="18"/>
                <w:szCs w:val="18"/>
                <w:lang w:val="pt-BR"/>
              </w:rPr>
              <w:t xml:space="preserve"> do Aviso ao Mercado.</w:t>
            </w:r>
          </w:p>
          <w:p>
            <w:pPr>
              <w:pStyle w:val="CellBody"/>
              <w:spacing w:before="0" w:after="0" w:line="300" w:lineRule="exact"/>
              <w:ind w:left="12"/>
              <w:rPr>
                <w:rFonts w:ascii="Verdana" w:hAnsi="Verdana" w:cs="Arial"/>
                <w:sz w:val="18"/>
                <w:szCs w:val="18"/>
                <w:lang w:val="pt-BR"/>
              </w:rPr>
            </w:pPr>
            <w:r>
              <w:rPr>
                <w:rFonts w:ascii="Verdana" w:hAnsi="Verdana" w:cs="Arial"/>
                <w:bCs/>
                <w:sz w:val="18"/>
                <w:szCs w:val="18"/>
                <w:lang w:val="pt-BR"/>
              </w:rPr>
              <w:t>Disponibilização deste Prospecto Preliminar aos investidores do Público-Alvo da Oferta.</w:t>
            </w:r>
          </w:p>
        </w:tc>
        <w:tc>
          <w:tcPr>
            <w:tcW w:w="2268" w:type="dxa"/>
            <w:tcBorders>
              <w:top w:val="single" w:sz="4" w:space="0" w:color="auto"/>
              <w:bottom w:val="single" w:sz="4" w:space="0" w:color="auto"/>
            </w:tcBorders>
            <w:shd w:val="clear" w:color="auto" w:fill="FFFFFF"/>
            <w:vAlign w:val="center"/>
          </w:tcPr>
          <w:p>
            <w:pPr>
              <w:pStyle w:val="CellBody"/>
              <w:spacing w:line="300" w:lineRule="exact"/>
              <w:jc w:val="center"/>
              <w:rPr>
                <w:rFonts w:ascii="Verdana" w:hAnsi="Verdana" w:cs="Arial"/>
                <w:sz w:val="18"/>
                <w:szCs w:val="18"/>
              </w:rPr>
            </w:pPr>
            <w:r>
              <w:rPr>
                <w:rFonts w:ascii="Verdana" w:hAnsi="Verdana" w:cs="Arial"/>
                <w:sz w:val="18"/>
                <w:szCs w:val="18"/>
              </w:rPr>
              <w:t>13 de setembro de 2019</w:t>
            </w:r>
          </w:p>
        </w:tc>
      </w:tr>
      <w:tr>
        <w:tc>
          <w:tcPr>
            <w:tcW w:w="483" w:type="dxa"/>
            <w:tcBorders>
              <w:top w:val="single" w:sz="4" w:space="0" w:color="auto"/>
              <w:bottom w:val="single" w:sz="4" w:space="0" w:color="auto"/>
            </w:tcBorders>
            <w:shd w:val="clear" w:color="auto" w:fill="FFFFFF"/>
            <w:vAlign w:val="center"/>
          </w:tcPr>
          <w:p>
            <w:pPr>
              <w:pStyle w:val="CellBody"/>
              <w:spacing w:after="0" w:line="300" w:lineRule="exact"/>
              <w:jc w:val="center"/>
              <w:rPr>
                <w:rFonts w:ascii="Verdana" w:hAnsi="Verdana" w:cs="Arial"/>
                <w:b/>
                <w:sz w:val="18"/>
                <w:szCs w:val="18"/>
              </w:rPr>
            </w:pPr>
            <w:r>
              <w:rPr>
                <w:rFonts w:ascii="Verdana" w:hAnsi="Verdana" w:cs="Arial"/>
                <w:b/>
                <w:sz w:val="18"/>
                <w:szCs w:val="18"/>
              </w:rPr>
              <w:t>2</w:t>
            </w:r>
          </w:p>
        </w:tc>
        <w:tc>
          <w:tcPr>
            <w:tcW w:w="6038" w:type="dxa"/>
            <w:tcBorders>
              <w:top w:val="single" w:sz="4" w:space="0" w:color="auto"/>
              <w:bottom w:val="single" w:sz="4" w:space="0" w:color="auto"/>
            </w:tcBorders>
            <w:shd w:val="clear" w:color="auto" w:fill="FFFFFF"/>
            <w:vAlign w:val="center"/>
          </w:tcPr>
          <w:p>
            <w:pPr>
              <w:pStyle w:val="CellBody"/>
              <w:spacing w:after="0" w:line="300" w:lineRule="exact"/>
              <w:ind w:left="144" w:hanging="144"/>
              <w:rPr>
                <w:rFonts w:ascii="Verdana" w:hAnsi="Verdana" w:cs="Arial"/>
                <w:bCs/>
                <w:sz w:val="18"/>
                <w:szCs w:val="18"/>
                <w:lang w:val="pt-BR"/>
              </w:rPr>
            </w:pPr>
            <w:r>
              <w:rPr>
                <w:rFonts w:ascii="Verdana" w:hAnsi="Verdana" w:cs="Arial"/>
                <w:bCs/>
                <w:sz w:val="18"/>
                <w:szCs w:val="18"/>
                <w:lang w:val="pt-BR"/>
              </w:rPr>
              <w:t xml:space="preserve">Início das apresentações de </w:t>
            </w:r>
            <w:r>
              <w:rPr>
                <w:rFonts w:ascii="Verdana" w:hAnsi="Verdana" w:cs="Arial"/>
                <w:bCs/>
                <w:i/>
                <w:sz w:val="18"/>
                <w:szCs w:val="18"/>
                <w:lang w:val="pt-BR"/>
              </w:rPr>
              <w:t>Roadshow</w:t>
            </w:r>
            <w:r>
              <w:rPr>
                <w:rFonts w:ascii="Verdana" w:hAnsi="Verdana" w:cs="Arial"/>
                <w:bCs/>
                <w:sz w:val="18"/>
                <w:szCs w:val="18"/>
                <w:lang w:val="pt-BR"/>
              </w:rPr>
              <w:t>.</w:t>
            </w:r>
          </w:p>
        </w:tc>
        <w:tc>
          <w:tcPr>
            <w:tcW w:w="2268" w:type="dxa"/>
            <w:tcBorders>
              <w:top w:val="single" w:sz="4" w:space="0" w:color="auto"/>
              <w:bottom w:val="single" w:sz="4" w:space="0" w:color="auto"/>
            </w:tcBorders>
            <w:shd w:val="clear" w:color="auto" w:fill="FFFFFF"/>
            <w:vAlign w:val="center"/>
          </w:tcPr>
          <w:p>
            <w:pPr>
              <w:pStyle w:val="CellBody"/>
              <w:spacing w:line="300" w:lineRule="exact"/>
              <w:jc w:val="center"/>
              <w:rPr>
                <w:rFonts w:ascii="Verdana" w:hAnsi="Verdana" w:cs="Arial"/>
                <w:sz w:val="18"/>
                <w:szCs w:val="18"/>
                <w:lang w:val="pt-BR"/>
              </w:rPr>
            </w:pPr>
            <w:r>
              <w:rPr>
                <w:rFonts w:ascii="Verdana" w:hAnsi="Verdana" w:cs="Arial"/>
                <w:sz w:val="18"/>
                <w:szCs w:val="18"/>
                <w:lang w:val="pt-BR"/>
              </w:rPr>
              <w:t>16 de setembro de 2019</w:t>
            </w:r>
          </w:p>
        </w:tc>
      </w:tr>
      <w:tr>
        <w:tc>
          <w:tcPr>
            <w:tcW w:w="483" w:type="dxa"/>
            <w:tcBorders>
              <w:top w:val="single" w:sz="4" w:space="0" w:color="auto"/>
              <w:bottom w:val="single" w:sz="4" w:space="0" w:color="auto"/>
            </w:tcBorders>
            <w:shd w:val="clear" w:color="auto" w:fill="FFFFFF"/>
            <w:vAlign w:val="center"/>
          </w:tcPr>
          <w:p>
            <w:pPr>
              <w:pStyle w:val="CellBody"/>
              <w:spacing w:after="0" w:line="300" w:lineRule="exact"/>
              <w:jc w:val="center"/>
              <w:rPr>
                <w:rFonts w:ascii="Verdana" w:hAnsi="Verdana" w:cs="Arial"/>
                <w:b/>
                <w:sz w:val="18"/>
                <w:szCs w:val="18"/>
              </w:rPr>
            </w:pPr>
            <w:r>
              <w:rPr>
                <w:rFonts w:ascii="Verdana" w:hAnsi="Verdana" w:cs="Arial"/>
                <w:b/>
                <w:sz w:val="18"/>
                <w:szCs w:val="18"/>
              </w:rPr>
              <w:t>2</w:t>
            </w:r>
          </w:p>
        </w:tc>
        <w:tc>
          <w:tcPr>
            <w:tcW w:w="6038" w:type="dxa"/>
            <w:tcBorders>
              <w:top w:val="single" w:sz="4" w:space="0" w:color="auto"/>
              <w:bottom w:val="single" w:sz="4" w:space="0" w:color="auto"/>
            </w:tcBorders>
            <w:shd w:val="clear" w:color="auto" w:fill="FFFFFF"/>
            <w:vAlign w:val="center"/>
          </w:tcPr>
          <w:p>
            <w:pPr>
              <w:pStyle w:val="CellBody"/>
              <w:spacing w:after="0" w:line="300" w:lineRule="exact"/>
              <w:ind w:left="144" w:hanging="144"/>
              <w:rPr>
                <w:rFonts w:ascii="Verdana" w:hAnsi="Verdana" w:cs="Arial"/>
                <w:sz w:val="18"/>
                <w:szCs w:val="18"/>
                <w:lang w:val="pt-BR"/>
              </w:rPr>
            </w:pPr>
            <w:r>
              <w:rPr>
                <w:rFonts w:ascii="Verdana" w:hAnsi="Verdana" w:cs="Arial"/>
                <w:bCs/>
                <w:sz w:val="18"/>
                <w:szCs w:val="18"/>
                <w:lang w:val="pt-BR"/>
              </w:rPr>
              <w:t xml:space="preserve">Encerramento das apresentações de </w:t>
            </w:r>
            <w:r>
              <w:rPr>
                <w:rFonts w:ascii="Verdana" w:hAnsi="Verdana" w:cs="Arial"/>
                <w:bCs/>
                <w:i/>
                <w:sz w:val="18"/>
                <w:szCs w:val="18"/>
                <w:lang w:val="pt-BR"/>
              </w:rPr>
              <w:t>Roadshow</w:t>
            </w:r>
            <w:r>
              <w:rPr>
                <w:rFonts w:ascii="Verdana" w:hAnsi="Verdana" w:cs="Arial"/>
                <w:bCs/>
                <w:sz w:val="18"/>
                <w:szCs w:val="18"/>
                <w:lang w:val="pt-BR"/>
              </w:rPr>
              <w:t>.</w:t>
            </w:r>
          </w:p>
        </w:tc>
        <w:tc>
          <w:tcPr>
            <w:tcW w:w="2268" w:type="dxa"/>
            <w:tcBorders>
              <w:top w:val="single" w:sz="4" w:space="0" w:color="auto"/>
              <w:bottom w:val="single" w:sz="4" w:space="0" w:color="auto"/>
            </w:tcBorders>
            <w:shd w:val="clear" w:color="auto" w:fill="FFFFFF"/>
            <w:vAlign w:val="center"/>
          </w:tcPr>
          <w:p>
            <w:pPr>
              <w:pStyle w:val="CellBody"/>
              <w:spacing w:line="300" w:lineRule="exact"/>
              <w:jc w:val="center"/>
              <w:rPr>
                <w:rFonts w:ascii="Verdana" w:hAnsi="Verdana" w:cs="Arial"/>
                <w:sz w:val="18"/>
                <w:szCs w:val="18"/>
              </w:rPr>
            </w:pPr>
            <w:r>
              <w:rPr>
                <w:rFonts w:ascii="Verdana" w:hAnsi="Verdana" w:cs="Arial"/>
                <w:sz w:val="18"/>
                <w:szCs w:val="18"/>
              </w:rPr>
              <w:t>18 de setembro de 2019</w:t>
            </w:r>
          </w:p>
        </w:tc>
      </w:tr>
      <w:tr>
        <w:tc>
          <w:tcPr>
            <w:tcW w:w="483" w:type="dxa"/>
            <w:tcBorders>
              <w:top w:val="single" w:sz="4" w:space="0" w:color="auto"/>
              <w:bottom w:val="single" w:sz="4" w:space="0" w:color="auto"/>
            </w:tcBorders>
            <w:shd w:val="clear" w:color="auto" w:fill="FFFFFF"/>
            <w:vAlign w:val="center"/>
          </w:tcPr>
          <w:p>
            <w:pPr>
              <w:pStyle w:val="CellBody"/>
              <w:spacing w:after="0" w:line="300" w:lineRule="exact"/>
              <w:jc w:val="center"/>
              <w:rPr>
                <w:rFonts w:ascii="Verdana" w:hAnsi="Verdana" w:cs="Arial"/>
                <w:b/>
                <w:sz w:val="18"/>
                <w:szCs w:val="18"/>
              </w:rPr>
            </w:pPr>
            <w:r>
              <w:rPr>
                <w:rFonts w:ascii="Verdana" w:hAnsi="Verdana" w:cs="Arial"/>
                <w:b/>
                <w:sz w:val="18"/>
                <w:szCs w:val="18"/>
              </w:rPr>
              <w:t>3</w:t>
            </w:r>
          </w:p>
        </w:tc>
        <w:tc>
          <w:tcPr>
            <w:tcW w:w="6038" w:type="dxa"/>
            <w:tcBorders>
              <w:top w:val="single" w:sz="4" w:space="0" w:color="auto"/>
              <w:bottom w:val="single" w:sz="4" w:space="0" w:color="auto"/>
            </w:tcBorders>
            <w:shd w:val="clear" w:color="auto" w:fill="FFFFFF"/>
            <w:vAlign w:val="center"/>
          </w:tcPr>
          <w:p>
            <w:pPr>
              <w:pStyle w:val="CellBody"/>
              <w:spacing w:after="0" w:line="300" w:lineRule="exact"/>
              <w:ind w:left="144" w:hanging="144"/>
              <w:rPr>
                <w:rFonts w:ascii="Verdana" w:hAnsi="Verdana" w:cs="Arial"/>
                <w:bCs/>
                <w:sz w:val="18"/>
                <w:szCs w:val="18"/>
                <w:lang w:val="pt-BR"/>
              </w:rPr>
            </w:pPr>
            <w:r>
              <w:rPr>
                <w:rFonts w:ascii="Verdana" w:hAnsi="Verdana" w:cs="Arial"/>
                <w:bCs/>
                <w:sz w:val="18"/>
                <w:szCs w:val="18"/>
                <w:lang w:val="pt-BR"/>
              </w:rPr>
              <w:t>Início do Período de Reserva.</w:t>
            </w:r>
          </w:p>
        </w:tc>
        <w:tc>
          <w:tcPr>
            <w:tcW w:w="2268" w:type="dxa"/>
            <w:tcBorders>
              <w:top w:val="single" w:sz="4" w:space="0" w:color="auto"/>
              <w:bottom w:val="single" w:sz="4" w:space="0" w:color="auto"/>
            </w:tcBorders>
            <w:shd w:val="clear" w:color="auto" w:fill="FFFFFF"/>
            <w:vAlign w:val="center"/>
          </w:tcPr>
          <w:p>
            <w:pPr>
              <w:pStyle w:val="CellBody"/>
              <w:spacing w:line="300" w:lineRule="exact"/>
              <w:jc w:val="center"/>
              <w:rPr>
                <w:rFonts w:ascii="Verdana" w:hAnsi="Verdana" w:cs="Arial"/>
                <w:sz w:val="18"/>
                <w:szCs w:val="18"/>
                <w:lang w:val="pt-BR"/>
              </w:rPr>
            </w:pPr>
            <w:r>
              <w:rPr>
                <w:rFonts w:ascii="Verdana" w:hAnsi="Verdana" w:cs="Arial"/>
                <w:sz w:val="18"/>
                <w:szCs w:val="18"/>
              </w:rPr>
              <w:t xml:space="preserve">23 de setembro </w:t>
            </w:r>
            <w:r>
              <w:rPr>
                <w:rFonts w:ascii="Verdana" w:hAnsi="Verdana" w:cs="Arial"/>
                <w:sz w:val="18"/>
                <w:szCs w:val="18"/>
                <w:lang w:val="pt-BR"/>
              </w:rPr>
              <w:t>de 2019</w:t>
            </w:r>
          </w:p>
        </w:tc>
      </w:tr>
      <w:tr>
        <w:tc>
          <w:tcPr>
            <w:tcW w:w="483" w:type="dxa"/>
            <w:tcBorders>
              <w:top w:val="single" w:sz="4" w:space="0" w:color="auto"/>
              <w:bottom w:val="single" w:sz="4" w:space="0" w:color="auto"/>
            </w:tcBorders>
            <w:shd w:val="clear" w:color="auto" w:fill="FFFFFF"/>
            <w:vAlign w:val="center"/>
          </w:tcPr>
          <w:p>
            <w:pPr>
              <w:pStyle w:val="CellBody"/>
              <w:spacing w:after="0" w:line="300" w:lineRule="exact"/>
              <w:jc w:val="center"/>
              <w:rPr>
                <w:rFonts w:ascii="Verdana" w:hAnsi="Verdana" w:cs="Arial"/>
                <w:b/>
                <w:sz w:val="18"/>
                <w:szCs w:val="18"/>
                <w:lang w:val="pt-BR"/>
              </w:rPr>
            </w:pPr>
            <w:r>
              <w:rPr>
                <w:rFonts w:ascii="Verdana" w:hAnsi="Verdana" w:cs="Arial"/>
                <w:b/>
                <w:sz w:val="18"/>
                <w:szCs w:val="18"/>
                <w:lang w:val="pt-BR"/>
              </w:rPr>
              <w:t>5</w:t>
            </w:r>
          </w:p>
        </w:tc>
        <w:tc>
          <w:tcPr>
            <w:tcW w:w="6038" w:type="dxa"/>
            <w:tcBorders>
              <w:top w:val="single" w:sz="4" w:space="0" w:color="auto"/>
              <w:bottom w:val="single" w:sz="4" w:space="0" w:color="auto"/>
            </w:tcBorders>
            <w:shd w:val="clear" w:color="auto" w:fill="FFFFFF"/>
            <w:vAlign w:val="center"/>
          </w:tcPr>
          <w:p>
            <w:pPr>
              <w:pStyle w:val="CellBody"/>
              <w:spacing w:after="0" w:line="300" w:lineRule="exact"/>
              <w:ind w:left="144" w:hanging="144"/>
              <w:rPr>
                <w:rFonts w:ascii="Verdana" w:hAnsi="Verdana" w:cs="Arial"/>
                <w:bCs/>
                <w:sz w:val="18"/>
                <w:szCs w:val="18"/>
                <w:lang w:val="pt-BR"/>
              </w:rPr>
            </w:pPr>
            <w:r>
              <w:rPr>
                <w:rFonts w:ascii="Verdana" w:hAnsi="Verdana" w:cs="Arial"/>
                <w:sz w:val="18"/>
                <w:szCs w:val="18"/>
                <w:lang w:val="pt-BR"/>
              </w:rPr>
              <w:t>Encerramento do Período de Reserva</w:t>
            </w:r>
          </w:p>
        </w:tc>
        <w:tc>
          <w:tcPr>
            <w:tcW w:w="2268" w:type="dxa"/>
            <w:tcBorders>
              <w:top w:val="single" w:sz="4" w:space="0" w:color="auto"/>
              <w:bottom w:val="single" w:sz="4" w:space="0" w:color="auto"/>
            </w:tcBorders>
            <w:shd w:val="clear" w:color="auto" w:fill="FFFFFF"/>
            <w:vAlign w:val="center"/>
          </w:tcPr>
          <w:p>
            <w:pPr>
              <w:pStyle w:val="CellBody"/>
              <w:spacing w:line="300" w:lineRule="exact"/>
              <w:jc w:val="center"/>
              <w:rPr>
                <w:rFonts w:ascii="Verdana" w:hAnsi="Verdana" w:cs="Arial"/>
                <w:sz w:val="18"/>
                <w:szCs w:val="18"/>
              </w:rPr>
            </w:pPr>
            <w:r>
              <w:rPr>
                <w:rFonts w:ascii="Verdana" w:hAnsi="Verdana" w:cs="Arial"/>
                <w:sz w:val="18"/>
                <w:szCs w:val="18"/>
              </w:rPr>
              <w:t>16 de outubro de 2019</w:t>
            </w:r>
          </w:p>
        </w:tc>
      </w:tr>
      <w:tr>
        <w:tc>
          <w:tcPr>
            <w:tcW w:w="483" w:type="dxa"/>
            <w:tcBorders>
              <w:top w:val="single" w:sz="4" w:space="0" w:color="auto"/>
              <w:bottom w:val="single" w:sz="4" w:space="0" w:color="auto"/>
            </w:tcBorders>
            <w:shd w:val="clear" w:color="auto" w:fill="FFFFFF"/>
            <w:vAlign w:val="center"/>
          </w:tcPr>
          <w:p>
            <w:pPr>
              <w:pStyle w:val="CellBody"/>
              <w:spacing w:after="0" w:line="300" w:lineRule="exact"/>
              <w:jc w:val="center"/>
              <w:rPr>
                <w:rFonts w:ascii="Verdana" w:hAnsi="Verdana" w:cs="Arial"/>
                <w:b/>
                <w:sz w:val="18"/>
                <w:szCs w:val="18"/>
              </w:rPr>
            </w:pPr>
            <w:r>
              <w:rPr>
                <w:rFonts w:ascii="Verdana" w:hAnsi="Verdana" w:cs="Arial"/>
                <w:b/>
                <w:sz w:val="18"/>
                <w:szCs w:val="18"/>
              </w:rPr>
              <w:t>6</w:t>
            </w:r>
          </w:p>
        </w:tc>
        <w:tc>
          <w:tcPr>
            <w:tcW w:w="6038" w:type="dxa"/>
            <w:tcBorders>
              <w:top w:val="single" w:sz="4" w:space="0" w:color="auto"/>
              <w:bottom w:val="single" w:sz="4" w:space="0" w:color="auto"/>
            </w:tcBorders>
            <w:shd w:val="clear" w:color="auto" w:fill="FFFFFF"/>
            <w:vAlign w:val="center"/>
          </w:tcPr>
          <w:p>
            <w:pPr>
              <w:pStyle w:val="CellBody"/>
              <w:spacing w:after="0" w:line="300" w:lineRule="exact"/>
              <w:ind w:left="144" w:hanging="144"/>
              <w:rPr>
                <w:rFonts w:ascii="Verdana" w:hAnsi="Verdana" w:cs="Arial"/>
                <w:sz w:val="18"/>
                <w:szCs w:val="18"/>
                <w:lang w:val="pt-BR"/>
              </w:rPr>
            </w:pPr>
            <w:r>
              <w:rPr>
                <w:rFonts w:ascii="Verdana" w:hAnsi="Verdana" w:cs="Arial"/>
                <w:bCs/>
                <w:sz w:val="18"/>
                <w:szCs w:val="18"/>
                <w:lang w:val="pt-BR"/>
              </w:rPr>
              <w:t xml:space="preserve">Procedimento de </w:t>
            </w:r>
            <w:r>
              <w:rPr>
                <w:rFonts w:ascii="Verdana" w:hAnsi="Verdana" w:cs="Arial"/>
                <w:bCs/>
                <w:i/>
                <w:sz w:val="18"/>
                <w:szCs w:val="18"/>
                <w:lang w:val="pt-BR"/>
              </w:rPr>
              <w:t>Bookbuilding</w:t>
            </w:r>
          </w:p>
        </w:tc>
        <w:tc>
          <w:tcPr>
            <w:tcW w:w="2268" w:type="dxa"/>
            <w:tcBorders>
              <w:top w:val="single" w:sz="4" w:space="0" w:color="auto"/>
              <w:bottom w:val="single" w:sz="4" w:space="0" w:color="auto"/>
            </w:tcBorders>
            <w:shd w:val="clear" w:color="auto" w:fill="FFFFFF"/>
            <w:vAlign w:val="center"/>
          </w:tcPr>
          <w:p>
            <w:pPr>
              <w:pStyle w:val="CellBody"/>
              <w:spacing w:line="300" w:lineRule="exact"/>
              <w:jc w:val="center"/>
              <w:rPr>
                <w:rFonts w:ascii="Verdana" w:hAnsi="Verdana" w:cs="Arial"/>
                <w:sz w:val="18"/>
                <w:szCs w:val="18"/>
              </w:rPr>
            </w:pPr>
            <w:r>
              <w:rPr>
                <w:rFonts w:ascii="Verdana" w:hAnsi="Verdana" w:cs="Arial"/>
                <w:sz w:val="18"/>
                <w:szCs w:val="18"/>
              </w:rPr>
              <w:t>17 de outubro de 2019</w:t>
            </w:r>
          </w:p>
        </w:tc>
      </w:tr>
      <w:tr>
        <w:tc>
          <w:tcPr>
            <w:tcW w:w="483" w:type="dxa"/>
            <w:tcBorders>
              <w:top w:val="single" w:sz="4" w:space="0" w:color="auto"/>
              <w:bottom w:val="single" w:sz="4" w:space="0" w:color="auto"/>
            </w:tcBorders>
            <w:shd w:val="clear" w:color="auto" w:fill="FFFFFF"/>
            <w:vAlign w:val="center"/>
          </w:tcPr>
          <w:p>
            <w:pPr>
              <w:pStyle w:val="CellBody"/>
              <w:spacing w:after="0" w:line="300" w:lineRule="exact"/>
              <w:jc w:val="center"/>
              <w:rPr>
                <w:rFonts w:ascii="Verdana" w:hAnsi="Verdana" w:cs="Arial"/>
                <w:b/>
                <w:sz w:val="18"/>
                <w:szCs w:val="18"/>
              </w:rPr>
            </w:pPr>
            <w:r>
              <w:rPr>
                <w:rFonts w:ascii="Verdana" w:hAnsi="Verdana" w:cs="Arial"/>
                <w:b/>
                <w:sz w:val="18"/>
                <w:szCs w:val="18"/>
              </w:rPr>
              <w:t>7</w:t>
            </w:r>
          </w:p>
        </w:tc>
        <w:tc>
          <w:tcPr>
            <w:tcW w:w="6038" w:type="dxa"/>
            <w:tcBorders>
              <w:top w:val="single" w:sz="4" w:space="0" w:color="auto"/>
              <w:bottom w:val="single" w:sz="4" w:space="0" w:color="auto"/>
            </w:tcBorders>
            <w:shd w:val="clear" w:color="auto" w:fill="FFFFFF"/>
            <w:vAlign w:val="center"/>
          </w:tcPr>
          <w:p>
            <w:pPr>
              <w:pStyle w:val="CellBody"/>
              <w:spacing w:after="0" w:line="300" w:lineRule="exact"/>
              <w:ind w:left="144" w:hanging="144"/>
              <w:rPr>
                <w:rFonts w:ascii="Verdana" w:hAnsi="Verdana" w:cs="Arial"/>
                <w:sz w:val="18"/>
                <w:szCs w:val="18"/>
                <w:lang w:val="pt-BR"/>
              </w:rPr>
            </w:pPr>
            <w:r>
              <w:rPr>
                <w:rFonts w:ascii="Verdana" w:hAnsi="Verdana" w:cs="Arial"/>
                <w:sz w:val="18"/>
                <w:szCs w:val="18"/>
                <w:lang w:val="pt-BR"/>
              </w:rPr>
              <w:t xml:space="preserve">Registro da Oferta pela CVM </w:t>
            </w:r>
          </w:p>
        </w:tc>
        <w:tc>
          <w:tcPr>
            <w:tcW w:w="2268" w:type="dxa"/>
            <w:tcBorders>
              <w:top w:val="single" w:sz="4" w:space="0" w:color="auto"/>
              <w:bottom w:val="single" w:sz="4" w:space="0" w:color="auto"/>
            </w:tcBorders>
            <w:shd w:val="clear" w:color="auto" w:fill="FFFFFF"/>
            <w:vAlign w:val="center"/>
          </w:tcPr>
          <w:p>
            <w:pPr>
              <w:pStyle w:val="CellBody"/>
              <w:spacing w:line="300" w:lineRule="exact"/>
              <w:jc w:val="center"/>
              <w:rPr>
                <w:rFonts w:ascii="Verdana" w:hAnsi="Verdana" w:cs="Arial"/>
                <w:sz w:val="18"/>
                <w:szCs w:val="18"/>
              </w:rPr>
            </w:pPr>
            <w:r>
              <w:rPr>
                <w:rFonts w:ascii="Verdana" w:hAnsi="Verdana" w:cs="Arial"/>
                <w:sz w:val="18"/>
                <w:szCs w:val="18"/>
              </w:rPr>
              <w:t>28 de outubro de 2019</w:t>
            </w:r>
          </w:p>
        </w:tc>
      </w:tr>
      <w:tr>
        <w:tc>
          <w:tcPr>
            <w:tcW w:w="483" w:type="dxa"/>
            <w:tcBorders>
              <w:top w:val="single" w:sz="4" w:space="0" w:color="auto"/>
              <w:bottom w:val="single" w:sz="4" w:space="0" w:color="auto"/>
            </w:tcBorders>
            <w:shd w:val="clear" w:color="auto" w:fill="FFFFFF"/>
            <w:vAlign w:val="center"/>
          </w:tcPr>
          <w:p>
            <w:pPr>
              <w:pStyle w:val="CellBody"/>
              <w:spacing w:after="0" w:line="300" w:lineRule="exact"/>
              <w:jc w:val="center"/>
              <w:rPr>
                <w:rFonts w:ascii="Verdana" w:hAnsi="Verdana" w:cs="Arial"/>
                <w:b/>
                <w:sz w:val="18"/>
                <w:szCs w:val="18"/>
              </w:rPr>
            </w:pPr>
            <w:r>
              <w:rPr>
                <w:rFonts w:ascii="Verdana" w:hAnsi="Verdana" w:cs="Arial"/>
                <w:b/>
                <w:sz w:val="18"/>
                <w:szCs w:val="18"/>
              </w:rPr>
              <w:t>8</w:t>
            </w:r>
          </w:p>
        </w:tc>
        <w:tc>
          <w:tcPr>
            <w:tcW w:w="6038" w:type="dxa"/>
            <w:tcBorders>
              <w:top w:val="single" w:sz="4" w:space="0" w:color="auto"/>
              <w:bottom w:val="single" w:sz="4" w:space="0" w:color="auto"/>
            </w:tcBorders>
            <w:shd w:val="clear" w:color="auto" w:fill="FFFFFF"/>
            <w:vAlign w:val="center"/>
          </w:tcPr>
          <w:p>
            <w:pPr>
              <w:pStyle w:val="CellBody"/>
              <w:spacing w:after="0" w:line="300" w:lineRule="exact"/>
              <w:ind w:left="144" w:hanging="144"/>
              <w:rPr>
                <w:rFonts w:ascii="Verdana" w:hAnsi="Verdana" w:cs="Arial"/>
                <w:sz w:val="18"/>
                <w:szCs w:val="18"/>
                <w:lang w:val="pt-BR"/>
              </w:rPr>
            </w:pPr>
            <w:r>
              <w:rPr>
                <w:rFonts w:ascii="Verdana" w:hAnsi="Verdana" w:cs="Arial"/>
                <w:sz w:val="18"/>
                <w:szCs w:val="18"/>
                <w:lang w:val="pt-BR"/>
              </w:rPr>
              <w:t>Divulgação</w:t>
            </w:r>
            <w:r>
              <w:rPr>
                <w:rFonts w:ascii="Verdana" w:hAnsi="Verdana" w:cs="Arial"/>
                <w:bCs/>
                <w:sz w:val="18"/>
                <w:szCs w:val="18"/>
                <w:lang w:val="pt-BR"/>
              </w:rPr>
              <w:t xml:space="preserve"> do Anúncio de Início com a divulgação do resultado do Procedimento de </w:t>
            </w:r>
            <w:r>
              <w:rPr>
                <w:rFonts w:ascii="Verdana" w:hAnsi="Verdana" w:cs="Arial"/>
                <w:bCs/>
                <w:i/>
                <w:sz w:val="18"/>
                <w:szCs w:val="18"/>
                <w:lang w:val="pt-BR"/>
              </w:rPr>
              <w:t>Bookbuilding</w:t>
            </w:r>
            <w:r>
              <w:rPr>
                <w:rFonts w:ascii="Verdana" w:hAnsi="Verdana" w:cs="Arial"/>
                <w:bCs/>
                <w:sz w:val="18"/>
                <w:szCs w:val="18"/>
                <w:lang w:val="pt-BR"/>
              </w:rPr>
              <w:t>.</w:t>
            </w:r>
          </w:p>
          <w:p>
            <w:pPr>
              <w:pStyle w:val="CellBody"/>
              <w:spacing w:before="0" w:after="0" w:line="300" w:lineRule="exact"/>
              <w:ind w:left="144" w:hanging="144"/>
              <w:rPr>
                <w:rFonts w:ascii="Verdana" w:hAnsi="Verdana" w:cs="Arial"/>
                <w:sz w:val="18"/>
                <w:szCs w:val="18"/>
                <w:lang w:val="pt-BR"/>
              </w:rPr>
            </w:pPr>
            <w:r>
              <w:rPr>
                <w:rFonts w:ascii="Verdana" w:hAnsi="Verdana" w:cs="Arial"/>
                <w:sz w:val="18"/>
                <w:szCs w:val="18"/>
                <w:lang w:val="pt-BR"/>
              </w:rPr>
              <w:t>Início da Oferta.</w:t>
            </w:r>
          </w:p>
          <w:p>
            <w:pPr>
              <w:pStyle w:val="CellBody"/>
              <w:spacing w:after="0" w:line="300" w:lineRule="exact"/>
              <w:ind w:left="144" w:hanging="144"/>
              <w:rPr>
                <w:rFonts w:ascii="Verdana" w:hAnsi="Verdana" w:cs="Arial"/>
                <w:bCs/>
                <w:sz w:val="18"/>
                <w:szCs w:val="18"/>
                <w:lang w:val="pt-BR"/>
              </w:rPr>
            </w:pPr>
            <w:r>
              <w:rPr>
                <w:rFonts w:ascii="Verdana" w:hAnsi="Verdana" w:cs="Arial"/>
                <w:bCs/>
                <w:sz w:val="18"/>
                <w:szCs w:val="18"/>
                <w:lang w:val="pt-BR"/>
              </w:rPr>
              <w:t>Disponibilização do Prospecto Definitivo.</w:t>
            </w:r>
          </w:p>
          <w:p>
            <w:pPr>
              <w:pStyle w:val="CellBody"/>
              <w:spacing w:after="0" w:line="300" w:lineRule="exact"/>
              <w:ind w:left="144" w:hanging="144"/>
              <w:rPr>
                <w:rFonts w:ascii="Verdana" w:hAnsi="Verdana" w:cs="Arial"/>
                <w:sz w:val="18"/>
                <w:szCs w:val="18"/>
                <w:lang w:val="pt-BR"/>
              </w:rPr>
            </w:pPr>
            <w:r>
              <w:rPr>
                <w:rFonts w:ascii="Verdana" w:hAnsi="Verdana" w:cs="Arial"/>
                <w:bCs/>
                <w:sz w:val="18"/>
                <w:szCs w:val="18"/>
                <w:lang w:val="pt-BR"/>
              </w:rPr>
              <w:t>Liquidação Financeira das Debêntures.</w:t>
            </w:r>
          </w:p>
        </w:tc>
        <w:tc>
          <w:tcPr>
            <w:tcW w:w="2268" w:type="dxa"/>
            <w:tcBorders>
              <w:top w:val="single" w:sz="4" w:space="0" w:color="auto"/>
              <w:bottom w:val="single" w:sz="4" w:space="0" w:color="auto"/>
            </w:tcBorders>
            <w:shd w:val="clear" w:color="auto" w:fill="FFFFFF"/>
            <w:vAlign w:val="center"/>
          </w:tcPr>
          <w:p>
            <w:pPr>
              <w:pStyle w:val="CellBody"/>
              <w:spacing w:line="300" w:lineRule="exact"/>
              <w:jc w:val="center"/>
              <w:rPr>
                <w:rFonts w:ascii="Verdana" w:hAnsi="Verdana" w:cs="Arial"/>
                <w:sz w:val="18"/>
                <w:szCs w:val="18"/>
              </w:rPr>
            </w:pPr>
            <w:r>
              <w:rPr>
                <w:rFonts w:ascii="Verdana" w:hAnsi="Verdana" w:cs="Arial"/>
                <w:sz w:val="18"/>
                <w:szCs w:val="18"/>
              </w:rPr>
              <w:t>31 de outubro de 2019</w:t>
            </w:r>
          </w:p>
        </w:tc>
      </w:tr>
      <w:tr>
        <w:tc>
          <w:tcPr>
            <w:tcW w:w="483" w:type="dxa"/>
            <w:tcBorders>
              <w:top w:val="single" w:sz="4" w:space="0" w:color="auto"/>
              <w:bottom w:val="single" w:sz="4" w:space="0" w:color="auto"/>
            </w:tcBorders>
            <w:shd w:val="clear" w:color="auto" w:fill="FFFFFF"/>
            <w:vAlign w:val="center"/>
          </w:tcPr>
          <w:p>
            <w:pPr>
              <w:pStyle w:val="CellBody"/>
              <w:spacing w:after="0" w:line="300" w:lineRule="exact"/>
              <w:jc w:val="center"/>
              <w:rPr>
                <w:rFonts w:ascii="Verdana" w:hAnsi="Verdana" w:cs="Arial"/>
                <w:b/>
                <w:sz w:val="18"/>
                <w:szCs w:val="18"/>
              </w:rPr>
            </w:pPr>
            <w:r>
              <w:rPr>
                <w:rFonts w:ascii="Verdana" w:hAnsi="Verdana" w:cs="Arial"/>
                <w:b/>
                <w:sz w:val="18"/>
                <w:szCs w:val="18"/>
              </w:rPr>
              <w:t>9</w:t>
            </w:r>
          </w:p>
        </w:tc>
        <w:tc>
          <w:tcPr>
            <w:tcW w:w="6038" w:type="dxa"/>
            <w:tcBorders>
              <w:top w:val="single" w:sz="4" w:space="0" w:color="auto"/>
              <w:bottom w:val="single" w:sz="4" w:space="0" w:color="auto"/>
            </w:tcBorders>
            <w:shd w:val="clear" w:color="auto" w:fill="FFFFFF"/>
            <w:vAlign w:val="center"/>
          </w:tcPr>
          <w:p>
            <w:pPr>
              <w:pStyle w:val="CellBody"/>
              <w:spacing w:after="0" w:line="300" w:lineRule="exact"/>
              <w:ind w:left="144" w:hanging="144"/>
              <w:rPr>
                <w:rFonts w:ascii="Verdana" w:eastAsia="MS Mincho" w:hAnsi="Verdana" w:cs="Arial"/>
                <w:sz w:val="18"/>
                <w:szCs w:val="18"/>
                <w:lang w:val="pt-BR"/>
              </w:rPr>
            </w:pPr>
            <w:r>
              <w:rPr>
                <w:rFonts w:ascii="Verdana" w:eastAsia="MS Mincho" w:hAnsi="Verdana" w:cs="Arial"/>
                <w:sz w:val="18"/>
                <w:szCs w:val="18"/>
                <w:lang w:val="pt-BR"/>
              </w:rPr>
              <w:t>Data de início da negociação das Debêntures na B3 e na B3 – Segmento Cetip UTVM.</w:t>
            </w:r>
          </w:p>
          <w:p>
            <w:pPr>
              <w:pStyle w:val="CellBody"/>
              <w:spacing w:after="0" w:line="300" w:lineRule="exact"/>
              <w:ind w:left="144" w:hanging="144"/>
              <w:rPr>
                <w:rFonts w:ascii="Verdana" w:hAnsi="Verdana" w:cs="Arial"/>
                <w:sz w:val="18"/>
                <w:szCs w:val="18"/>
                <w:lang w:val="pt-BR"/>
              </w:rPr>
            </w:pPr>
            <w:r>
              <w:rPr>
                <w:rFonts w:ascii="Verdana" w:hAnsi="Verdana" w:cs="Arial"/>
                <w:bCs/>
                <w:sz w:val="18"/>
                <w:szCs w:val="18"/>
                <w:lang w:val="pt-BR"/>
              </w:rPr>
              <w:t>Divulgação do Anúncio de Encerramento da Oferta.</w:t>
            </w:r>
          </w:p>
        </w:tc>
        <w:tc>
          <w:tcPr>
            <w:tcW w:w="2268" w:type="dxa"/>
            <w:tcBorders>
              <w:top w:val="single" w:sz="4" w:space="0" w:color="auto"/>
              <w:bottom w:val="single" w:sz="4" w:space="0" w:color="auto"/>
            </w:tcBorders>
            <w:shd w:val="clear" w:color="auto" w:fill="FFFFFF"/>
            <w:vAlign w:val="center"/>
          </w:tcPr>
          <w:p>
            <w:pPr>
              <w:pStyle w:val="CellBody"/>
              <w:spacing w:line="300" w:lineRule="exact"/>
              <w:jc w:val="center"/>
              <w:rPr>
                <w:rFonts w:ascii="Verdana" w:hAnsi="Verdana" w:cs="Arial"/>
                <w:sz w:val="18"/>
                <w:szCs w:val="18"/>
              </w:rPr>
            </w:pPr>
            <w:r>
              <w:rPr>
                <w:rFonts w:ascii="Verdana" w:hAnsi="Verdana" w:cs="Arial"/>
                <w:sz w:val="18"/>
                <w:szCs w:val="18"/>
              </w:rPr>
              <w:t>5 de novembro de 2019</w:t>
            </w:r>
          </w:p>
        </w:tc>
      </w:tr>
    </w:tbl>
    <w:bookmarkEnd w:id="37"/>
    <w:p>
      <w:pPr>
        <w:spacing w:before="60" w:after="0" w:line="300" w:lineRule="exact"/>
        <w:ind w:left="288" w:hanging="288"/>
        <w:rPr>
          <w:rFonts w:ascii="Verdana" w:hAnsi="Verdana" w:cs="Arial"/>
          <w:sz w:val="14"/>
          <w:lang w:val="pt-BR"/>
        </w:rPr>
      </w:pPr>
      <w:r>
        <w:rPr>
          <w:rFonts w:ascii="Verdana" w:hAnsi="Verdana" w:cs="Arial"/>
          <w:sz w:val="14"/>
          <w:vertAlign w:val="superscript"/>
          <w:lang w:val="pt-BR"/>
        </w:rPr>
        <w:t xml:space="preserve"> 1)</w:t>
      </w:r>
      <w:r>
        <w:rPr>
          <w:rFonts w:ascii="Verdana" w:hAnsi="Verdana" w:cs="Arial"/>
          <w:sz w:val="14"/>
          <w:lang w:val="pt-BR"/>
        </w:rPr>
        <w:tab/>
        <w:t>As datas previstas para os eventos futuros são meramente indicativas e estão sujeitas a alterações, atrasos e antecipações sem aviso prévio, a critério da Emissora e dos Coordenadores. Qualquer modificação no cronograma da distribuição deverá ser comunicada à CVM e poderá ser analisada como modificação da Oferta, seguindo o disposto nos artigos 25 e 27 da Instrução CVM 400.</w:t>
      </w:r>
    </w:p>
    <w:p>
      <w:pPr>
        <w:spacing w:after="0" w:line="300" w:lineRule="exact"/>
        <w:ind w:left="288" w:hanging="288"/>
        <w:rPr>
          <w:rFonts w:ascii="Verdana" w:hAnsi="Verdana" w:cs="Arial"/>
          <w:sz w:val="14"/>
          <w:lang w:val="pt-BR"/>
        </w:rPr>
      </w:pPr>
      <w:r>
        <w:rPr>
          <w:rFonts w:ascii="Verdana" w:hAnsi="Verdana" w:cs="Arial"/>
          <w:sz w:val="14"/>
          <w:vertAlign w:val="superscript"/>
          <w:lang w:val="pt-BR"/>
        </w:rPr>
        <w:t>(2)</w:t>
      </w:r>
      <w:r>
        <w:rPr>
          <w:rFonts w:ascii="Verdana" w:hAnsi="Verdana" w:cs="Arial"/>
          <w:sz w:val="14"/>
          <w:lang w:val="pt-BR"/>
        </w:rPr>
        <w:tab/>
        <w:t>Caso ocorram alterações das circunstâncias, suspensão, prorrogação, revogação ou modificação da Oferta, o cronograma poderá ser alterado. Para informações sobre manifestação de aceitação à Oferta, manifestação de revogação da aceitação à Oferta, modificação da Oferta, suspensão da Oferta e cancelamento ou revogação da Oferta, veja as seções “Informações Relativas à Emissão, à Oferta e às Debêntures – Características da Oferta – Modificação da Oferta”, “Informações Relativas à Emissão, à Oferta e às Debêntures – Características da Oferta –Suspensão da Oferta” e “Informações Relativas à Emissão, à Oferta e às Debêntures – Características da Oferta – Cancelamento ou Revogação da Oferta”, a partir da página [</w:t>
      </w:r>
      <w:r>
        <w:rPr>
          <w:rFonts w:ascii="Verdana" w:hAnsi="Verdana" w:cs="Arial"/>
          <w:sz w:val="14"/>
          <w:lang w:val="pt-BR"/>
        </w:rPr>
        <w:sym w:font="Symbol" w:char="F0B7"/>
      </w:r>
      <w:r>
        <w:rPr>
          <w:rFonts w:ascii="Verdana" w:hAnsi="Verdana" w:cs="Arial"/>
          <w:sz w:val="14"/>
          <w:lang w:val="pt-BR"/>
        </w:rPr>
        <w:t>] deste Prospecto.</w:t>
      </w:r>
    </w:p>
    <w:p>
      <w:pPr>
        <w:pStyle w:val="HOMEBRBodyText"/>
        <w:spacing w:before="200" w:line="300" w:lineRule="exact"/>
        <w:rPr>
          <w:rFonts w:ascii="Verdana" w:hAnsi="Verdana" w:cs="Arial"/>
        </w:rPr>
      </w:pPr>
      <w:r>
        <w:rPr>
          <w:rFonts w:ascii="Verdana" w:hAnsi="Verdana" w:cs="Arial"/>
        </w:rPr>
        <w:lastRenderedPageBreak/>
        <w:t>Na hipótese de suspensão, cancelamento, modificação ou revogação da Oferta, o cronograma acima será alterado. Quaisquer comunicados ao mercado relativos a tais eventos relacionados à Oferta serão publicados e divulgados nos mesmos meios utilizados para publicação e divulgação do Aviso ao Mercado, conforme abaixo indicados.</w:t>
      </w:r>
    </w:p>
    <w:p>
      <w:pPr>
        <w:pStyle w:val="HOMEBRBodyText"/>
        <w:keepNext/>
        <w:spacing w:line="300" w:lineRule="exact"/>
        <w:rPr>
          <w:rFonts w:ascii="Verdana" w:hAnsi="Verdana" w:cs="Arial"/>
        </w:rPr>
      </w:pPr>
      <w:r>
        <w:rPr>
          <w:rFonts w:ascii="Verdana" w:hAnsi="Verdana" w:cs="Arial"/>
        </w:rPr>
        <w:t xml:space="preserve">O Aviso ao Mercado, divulgado em 13 de setembro de 2019 nas páginas </w:t>
      </w:r>
      <w:r>
        <w:rPr>
          <w:rFonts w:ascii="Verdana" w:hAnsi="Verdana" w:cs="Arial"/>
          <w:bCs/>
        </w:rPr>
        <w:t>da rede mundial de computadores</w:t>
      </w:r>
      <w:r>
        <w:rPr>
          <w:rFonts w:ascii="Verdana" w:hAnsi="Verdana" w:cs="Arial"/>
        </w:rPr>
        <w:t xml:space="preserve"> da Emissora, dos Coordenadores, da CVM, da B3 e da B3 – Segmento Cetip UTVM está disponível aos interessados e pode ser obtido eletronicamente nas seguintes páginas da rede mundial de computadores, nos termos do artigo 54-A da Instrução CVM 400:</w:t>
      </w:r>
    </w:p>
    <w:p>
      <w:pPr>
        <w:pStyle w:val="HOMEBRBullet"/>
        <w:spacing w:line="300" w:lineRule="exact"/>
        <w:rPr>
          <w:rFonts w:ascii="Verdana" w:hAnsi="Verdana" w:cs="Arial"/>
        </w:rPr>
      </w:pPr>
      <w:r>
        <w:rPr>
          <w:rFonts w:ascii="Verdana" w:hAnsi="Verdana" w:cs="Arial"/>
          <w:b/>
        </w:rPr>
        <w:t>Emissora:</w:t>
      </w:r>
      <w:r>
        <w:rPr>
          <w:rFonts w:ascii="Verdana" w:hAnsi="Verdana" w:cs="Arial"/>
        </w:rPr>
        <w:br/>
      </w:r>
      <w:hyperlink r:id="rId26" w:history="1">
        <w:r>
          <w:rPr>
            <w:rStyle w:val="Hyperlink"/>
            <w:rFonts w:ascii="Verdana" w:hAnsi="Verdana" w:cs="Arial"/>
          </w:rPr>
          <w:t>http://ri.rumolog.com/</w:t>
        </w:r>
      </w:hyperlink>
      <w:r>
        <w:rPr>
          <w:rFonts w:ascii="Verdana" w:hAnsi="Verdana" w:cs="Arial"/>
        </w:rPr>
        <w:t xml:space="preserve"> (nesta página acessar “Publicações e Documentos”, clicar em “Avisos”, acessar os documentos para o ano de “2019” e, em seguida, efetuar o download no item “Aviso ao Mercado – Emissão de Debêntures ICVM 400”) </w:t>
      </w:r>
    </w:p>
    <w:p>
      <w:pPr>
        <w:pStyle w:val="HOMEBRBullet"/>
        <w:spacing w:after="0" w:line="300" w:lineRule="exact"/>
        <w:ind w:left="357" w:hanging="357"/>
        <w:rPr>
          <w:rFonts w:ascii="Verdana" w:hAnsi="Verdana" w:cs="Arial"/>
        </w:rPr>
      </w:pPr>
      <w:r>
        <w:rPr>
          <w:rFonts w:ascii="Verdana" w:hAnsi="Verdana" w:cs="Arial"/>
          <w:b/>
        </w:rPr>
        <w:t>Coordenador Líder–</w:t>
      </w:r>
      <w:r>
        <w:rPr>
          <w:rFonts w:ascii="Verdana" w:eastAsia="Tahoma" w:hAnsi="Verdana" w:cs="Arial"/>
          <w:b/>
        </w:rPr>
        <w:t xml:space="preserve"> Itaú BBA:</w:t>
      </w:r>
      <w:r>
        <w:rPr>
          <w:rFonts w:ascii="Verdana" w:hAnsi="Verdana" w:cs="Arial"/>
        </w:rPr>
        <w:t xml:space="preserve"> </w:t>
      </w:r>
    </w:p>
    <w:p>
      <w:pPr>
        <w:pStyle w:val="HOMEBRBullet"/>
        <w:numPr>
          <w:ilvl w:val="0"/>
          <w:numId w:val="0"/>
        </w:numPr>
        <w:spacing w:line="300" w:lineRule="exact"/>
        <w:ind w:left="360"/>
        <w:rPr>
          <w:rFonts w:ascii="Verdana" w:eastAsia="MS Mincho" w:hAnsi="Verdana" w:cs="Arial"/>
          <w:color w:val="000000"/>
          <w:lang w:eastAsia="pt-BR"/>
        </w:rPr>
      </w:pPr>
      <w:r>
        <w:rPr>
          <w:rFonts w:ascii="Verdana" w:eastAsia="MS Mincho" w:hAnsi="Verdana" w:cs="Arial"/>
          <w:color w:val="000000"/>
          <w:lang w:eastAsia="pt-BR"/>
        </w:rPr>
        <w:t xml:space="preserve">http://www.itau.com.br/itaubba-pt/nossos-negocios/ofertas-publicas/ (neste </w:t>
      </w:r>
      <w:r>
        <w:rPr>
          <w:rFonts w:ascii="Verdana" w:eastAsia="MS Mincho" w:hAnsi="Verdana" w:cs="Arial"/>
          <w:i/>
          <w:color w:val="000000"/>
          <w:lang w:eastAsia="pt-BR"/>
        </w:rPr>
        <w:t>website</w:t>
      </w:r>
      <w:r>
        <w:rPr>
          <w:rFonts w:ascii="Verdana" w:eastAsia="MS Mincho" w:hAnsi="Verdana" w:cs="Arial"/>
          <w:color w:val="000000"/>
          <w:lang w:eastAsia="pt-BR"/>
        </w:rPr>
        <w:t>, acessar “Rumo S.A”, posteriormente, na seção “2019”, posteriormente na subseção “Setembro” e após isso acessar “Rumo – Aviso ao Mercado” e eventuais outros anúncios, avisos e comunicados da Oferta);</w:t>
      </w:r>
    </w:p>
    <w:p>
      <w:pPr>
        <w:pStyle w:val="HOMEBRBullet"/>
        <w:spacing w:line="300" w:lineRule="exact"/>
        <w:jc w:val="left"/>
        <w:rPr>
          <w:rFonts w:ascii="Verdana" w:hAnsi="Verdana" w:cs="Arial"/>
        </w:rPr>
      </w:pPr>
      <w:r>
        <w:rPr>
          <w:rFonts w:ascii="Verdana" w:hAnsi="Verdana" w:cs="Arial"/>
          <w:b/>
        </w:rPr>
        <w:t>Coordenador –</w:t>
      </w:r>
      <w:r>
        <w:rPr>
          <w:rFonts w:ascii="Verdana" w:eastAsia="Tahoma" w:hAnsi="Verdana" w:cs="Arial"/>
          <w:b/>
        </w:rPr>
        <w:t xml:space="preserve"> Bradesco BBI: </w:t>
      </w:r>
      <w:hyperlink r:id="rId27" w:history="1">
        <w:r>
          <w:rPr>
            <w:rStyle w:val="Hyperlink"/>
            <w:rFonts w:ascii="Verdana" w:hAnsi="Verdana" w:cs="Arial"/>
          </w:rPr>
          <w:t>https://www.bradescobbi.com.br/Site/Ofertas_Publicas/Default.aspx</w:t>
        </w:r>
      </w:hyperlink>
      <w:r>
        <w:rPr>
          <w:rFonts w:ascii="Verdana" w:hAnsi="Verdana" w:cs="Arial"/>
        </w:rPr>
        <w:t xml:space="preserve"> (neste </w:t>
      </w:r>
      <w:r>
        <w:rPr>
          <w:rFonts w:ascii="Verdana" w:hAnsi="Verdana" w:cs="Arial"/>
          <w:i/>
          <w:iCs/>
        </w:rPr>
        <w:t>website</w:t>
      </w:r>
      <w:r>
        <w:rPr>
          <w:rFonts w:ascii="Verdana" w:hAnsi="Verdana" w:cs="Arial"/>
        </w:rPr>
        <w:t>, selecionar o tipo de oferta “Debentures”, em seguida localizar “Debêntures Rumo” e clicar em “Aviso ao Mercado”);</w:t>
      </w:r>
    </w:p>
    <w:p>
      <w:pPr>
        <w:pStyle w:val="HOMEBRBullet"/>
        <w:spacing w:after="0" w:line="300" w:lineRule="exact"/>
        <w:ind w:left="357" w:hanging="357"/>
        <w:rPr>
          <w:rFonts w:ascii="Verdana" w:hAnsi="Verdana" w:cs="Arial"/>
        </w:rPr>
      </w:pPr>
      <w:r>
        <w:rPr>
          <w:rFonts w:ascii="Verdana" w:hAnsi="Verdana" w:cs="Arial"/>
          <w:b/>
        </w:rPr>
        <w:t>Coordenador –</w:t>
      </w:r>
      <w:r>
        <w:rPr>
          <w:rFonts w:ascii="Verdana" w:eastAsia="Tahoma" w:hAnsi="Verdana" w:cs="Arial"/>
          <w:b/>
        </w:rPr>
        <w:t xml:space="preserve"> Santander:</w:t>
      </w:r>
      <w:r>
        <w:rPr>
          <w:rFonts w:ascii="Verdana" w:hAnsi="Verdana" w:cs="Arial"/>
        </w:rPr>
        <w:t xml:space="preserve"> </w:t>
      </w:r>
    </w:p>
    <w:p>
      <w:pPr>
        <w:pStyle w:val="HOMEBRBullet"/>
        <w:numPr>
          <w:ilvl w:val="0"/>
          <w:numId w:val="0"/>
        </w:numPr>
        <w:spacing w:line="300" w:lineRule="exact"/>
        <w:ind w:left="360"/>
        <w:rPr>
          <w:rFonts w:ascii="Verdana" w:hAnsi="Verdana" w:cs="Arial"/>
        </w:rPr>
      </w:pPr>
      <w:r>
        <w:rPr>
          <w:rFonts w:ascii="Verdana" w:eastAsia="MS Mincho" w:hAnsi="Verdana" w:cs="Arial"/>
          <w:color w:val="000000"/>
          <w:szCs w:val="22"/>
          <w:lang w:eastAsia="pt-BR"/>
        </w:rPr>
        <w:t>www.santander.com.br/prospectos (neste website, acessar “Ofertas em Andamento” e, por fim, acessar “Rumo S.A” e clicar em “Aviso ao Mercado”);</w:t>
      </w:r>
    </w:p>
    <w:p>
      <w:pPr>
        <w:pStyle w:val="HOMEBRBullet"/>
        <w:spacing w:after="0" w:line="300" w:lineRule="exact"/>
        <w:ind w:left="357" w:hanging="357"/>
        <w:rPr>
          <w:rFonts w:ascii="Verdana" w:hAnsi="Verdana" w:cs="Arial"/>
        </w:rPr>
      </w:pPr>
      <w:r>
        <w:rPr>
          <w:rFonts w:ascii="Verdana" w:hAnsi="Verdana" w:cs="Arial"/>
          <w:b/>
        </w:rPr>
        <w:t>Coordenador– BTG Pactual:</w:t>
      </w:r>
    </w:p>
    <w:p>
      <w:pPr>
        <w:pStyle w:val="HOMEBRBullet"/>
        <w:numPr>
          <w:ilvl w:val="0"/>
          <w:numId w:val="0"/>
        </w:numPr>
        <w:spacing w:after="0" w:line="300" w:lineRule="exact"/>
        <w:ind w:left="357"/>
        <w:rPr>
          <w:rFonts w:ascii="Verdana" w:hAnsi="Verdana" w:cs="Arial"/>
        </w:rPr>
      </w:pPr>
      <w:hyperlink r:id="rId28" w:history="1">
        <w:r>
          <w:rPr>
            <w:rStyle w:val="Hyperlink"/>
            <w:rFonts w:ascii="Verdana" w:hAnsi="Verdana" w:cs="Arial"/>
            <w:lang w:eastAsia="pt-BR"/>
          </w:rPr>
          <w:t>https://www.btgpactual.com/home/investment-bank</w:t>
        </w:r>
      </w:hyperlink>
      <w:r>
        <w:rPr>
          <w:rFonts w:ascii="Verdana" w:hAnsi="Verdana" w:cs="Arial"/>
        </w:rPr>
        <w:t xml:space="preserve"> (neste </w:t>
      </w:r>
      <w:r>
        <w:rPr>
          <w:rFonts w:ascii="Verdana" w:hAnsi="Verdana" w:cs="Arial"/>
          <w:i/>
        </w:rPr>
        <w:t>website</w:t>
      </w:r>
      <w:r>
        <w:rPr>
          <w:rFonts w:ascii="Verdana" w:hAnsi="Verdana" w:cs="Arial"/>
        </w:rPr>
        <w:t xml:space="preserve"> clicar em “</w:t>
      </w:r>
      <w:r>
        <w:rPr>
          <w:rFonts w:ascii="Verdana" w:hAnsi="Verdana" w:cs="Arial"/>
          <w:lang w:eastAsia="pt-BR"/>
        </w:rPr>
        <w:t>Mercado de Capitais - Download</w:t>
      </w:r>
      <w:r>
        <w:rPr>
          <w:rFonts w:ascii="Verdana" w:hAnsi="Verdana" w:cs="Arial"/>
        </w:rPr>
        <w:t>”, depois clicar em “</w:t>
      </w:r>
      <w:r>
        <w:rPr>
          <w:rFonts w:ascii="Verdana" w:hAnsi="Verdana" w:cs="Arial"/>
          <w:lang w:eastAsia="pt-BR"/>
        </w:rPr>
        <w:t>2019</w:t>
      </w:r>
      <w:r>
        <w:rPr>
          <w:rFonts w:ascii="Verdana" w:hAnsi="Verdana" w:cs="Arial"/>
        </w:rPr>
        <w:t xml:space="preserve">”, em Aviso ao Mercado); </w:t>
      </w:r>
    </w:p>
    <w:p>
      <w:pPr>
        <w:pStyle w:val="HOMEBRBullet"/>
        <w:spacing w:after="0" w:line="300" w:lineRule="exact"/>
        <w:ind w:left="357" w:hanging="357"/>
        <w:rPr>
          <w:rFonts w:ascii="Verdana" w:hAnsi="Verdana" w:cs="Arial"/>
        </w:rPr>
      </w:pPr>
      <w:r>
        <w:rPr>
          <w:rFonts w:ascii="Verdana" w:hAnsi="Verdana" w:cs="Arial"/>
          <w:b/>
        </w:rPr>
        <w:t>Coordenador – BB-BI:</w:t>
      </w:r>
      <w:r>
        <w:rPr>
          <w:rFonts w:ascii="Verdana" w:hAnsi="Verdana" w:cs="Arial"/>
        </w:rPr>
        <w:t xml:space="preserve"> </w:t>
      </w:r>
    </w:p>
    <w:p>
      <w:pPr>
        <w:pStyle w:val="HOMEBRBullet"/>
        <w:numPr>
          <w:ilvl w:val="0"/>
          <w:numId w:val="0"/>
        </w:numPr>
        <w:spacing w:line="300" w:lineRule="exact"/>
        <w:ind w:left="360"/>
        <w:rPr>
          <w:rFonts w:ascii="Verdana" w:hAnsi="Verdana" w:cs="Arial"/>
        </w:rPr>
      </w:pPr>
      <w:r>
        <w:rPr>
          <w:rFonts w:ascii="Verdana" w:hAnsi="Verdana" w:cs="Arial"/>
        </w:rPr>
        <w:t xml:space="preserve">www.bb.com.br/ofertapublica (neste </w:t>
      </w:r>
      <w:r>
        <w:rPr>
          <w:rFonts w:ascii="Verdana" w:hAnsi="Verdana" w:cs="Arial"/>
          <w:i/>
        </w:rPr>
        <w:t>website</w:t>
      </w:r>
      <w:r>
        <w:rPr>
          <w:rFonts w:ascii="Verdana" w:hAnsi="Verdana" w:cs="Arial"/>
        </w:rPr>
        <w:t xml:space="preserve">, clicar em “Debêntures Rumo 2019”, acessar “Leia o Aviso ao Mercado”); </w:t>
      </w:r>
    </w:p>
    <w:p>
      <w:pPr>
        <w:pStyle w:val="HOMEBRBullet"/>
        <w:spacing w:after="0" w:line="300" w:lineRule="exact"/>
        <w:ind w:left="357" w:hanging="357"/>
        <w:rPr>
          <w:rFonts w:ascii="Verdana" w:hAnsi="Verdana" w:cs="Arial"/>
        </w:rPr>
      </w:pPr>
      <w:r>
        <w:rPr>
          <w:rFonts w:ascii="Verdana" w:hAnsi="Verdana" w:cs="Arial"/>
          <w:b/>
        </w:rPr>
        <w:t>Coordenador – XP Investimentos:</w:t>
      </w:r>
    </w:p>
    <w:p>
      <w:pPr>
        <w:pStyle w:val="HOMEBRBullet"/>
        <w:numPr>
          <w:ilvl w:val="0"/>
          <w:numId w:val="0"/>
        </w:numPr>
        <w:spacing w:line="300" w:lineRule="exact"/>
        <w:ind w:left="357"/>
        <w:rPr>
          <w:rFonts w:ascii="Verdana" w:hAnsi="Verdana" w:cs="Arial"/>
        </w:rPr>
      </w:pPr>
      <w:r>
        <w:rPr>
          <w:rFonts w:ascii="Verdana" w:hAnsi="Verdana" w:cs="Arial"/>
        </w:rPr>
        <w:t xml:space="preserve">http://www.xpi.com.br/investimentos/oferta-publica.aspx – (neste </w:t>
      </w:r>
      <w:r>
        <w:rPr>
          <w:rFonts w:ascii="Verdana" w:hAnsi="Verdana" w:cs="Arial"/>
          <w:i/>
        </w:rPr>
        <w:t>website</w:t>
      </w:r>
      <w:r>
        <w:rPr>
          <w:rFonts w:ascii="Verdana" w:hAnsi="Verdana" w:cs="Arial"/>
        </w:rPr>
        <w:t xml:space="preserve">, clicar em “Debênture Rumo S.A. – 13ª Emissão de Debêntures da Rumo S.A”, em seguida clicar em “Aviso ao Mercado”); </w:t>
      </w:r>
    </w:p>
    <w:p>
      <w:pPr>
        <w:pStyle w:val="HOMEBRBullet"/>
        <w:spacing w:line="300" w:lineRule="exact"/>
        <w:rPr>
          <w:rFonts w:ascii="Verdana" w:hAnsi="Verdana" w:cs="Arial"/>
        </w:rPr>
      </w:pPr>
      <w:r>
        <w:rPr>
          <w:rFonts w:ascii="Verdana" w:hAnsi="Verdana" w:cs="Arial"/>
          <w:b/>
        </w:rPr>
        <w:t>CVM:</w:t>
      </w:r>
      <w:r>
        <w:rPr>
          <w:rFonts w:ascii="Verdana" w:hAnsi="Verdana" w:cs="Arial"/>
          <w:bCs/>
        </w:rPr>
        <w:t xml:space="preserve"> </w:t>
      </w:r>
    </w:p>
    <w:p>
      <w:pPr>
        <w:pStyle w:val="HOMEBRBullet"/>
        <w:numPr>
          <w:ilvl w:val="0"/>
          <w:numId w:val="0"/>
        </w:numPr>
        <w:spacing w:line="300" w:lineRule="exact"/>
        <w:ind w:left="360"/>
        <w:rPr>
          <w:rFonts w:ascii="Verdana" w:hAnsi="Verdana" w:cs="Arial"/>
        </w:rPr>
      </w:pPr>
      <w:r>
        <w:rPr>
          <w:rFonts w:ascii="Verdana" w:eastAsia="Tahoma" w:hAnsi="Verdana" w:cs="Arial"/>
        </w:rPr>
        <w:lastRenderedPageBreak/>
        <w:t xml:space="preserve">http://www.cvm.gov.br (neste </w:t>
      </w:r>
      <w:r>
        <w:rPr>
          <w:rFonts w:ascii="Verdana" w:eastAsia="Tahoma" w:hAnsi="Verdana" w:cs="Arial"/>
          <w:i/>
        </w:rPr>
        <w:t>website</w:t>
      </w:r>
      <w:r>
        <w:rPr>
          <w:rFonts w:ascii="Verdana" w:eastAsia="Tahoma" w:hAnsi="Verdana" w:cs="Arial"/>
        </w:rPr>
        <w:t>, no canto esquerdo, acessar “Central de Sistemas” na página inicial, acessar “Informações sobre Companhias”, em seguida “Informações periódicas e eventuais (ITR, DFs, Fatos Relevantes, Comunicados ao Mercado, entre outros)”. Na nova página, digitar “RUMO” e clicar em “Continuar”. Em seguida, clicar em “RUMO S.A”. Na sequência, selecionar</w:t>
      </w:r>
      <w:r>
        <w:rPr>
          <w:rFonts w:ascii="Verdana" w:hAnsi="Verdana" w:cs="Arial"/>
        </w:rPr>
        <w:t xml:space="preserve"> “Documentos de Oferta de Distribuição Pública”. Clicar em download do Aviso ao Mercado); e</w:t>
      </w:r>
    </w:p>
    <w:p>
      <w:pPr>
        <w:pStyle w:val="HOMEBRBullet"/>
        <w:spacing w:after="0" w:line="300" w:lineRule="exact"/>
        <w:ind w:left="357" w:hanging="357"/>
        <w:rPr>
          <w:rFonts w:ascii="Verdana" w:hAnsi="Verdana" w:cs="Arial"/>
        </w:rPr>
      </w:pPr>
      <w:r>
        <w:rPr>
          <w:rFonts w:ascii="Verdana" w:hAnsi="Verdana" w:cs="Arial"/>
          <w:b/>
        </w:rPr>
        <w:t>B3 e B3 – Segmento Cetip UTVM:</w:t>
      </w:r>
    </w:p>
    <w:p>
      <w:pPr>
        <w:pStyle w:val="HOMEBRBullet"/>
        <w:numPr>
          <w:ilvl w:val="0"/>
          <w:numId w:val="0"/>
        </w:numPr>
        <w:spacing w:line="300" w:lineRule="exact"/>
        <w:ind w:left="360"/>
        <w:rPr>
          <w:rFonts w:ascii="Verdana" w:hAnsi="Verdana" w:cs="Arial"/>
        </w:rPr>
      </w:pPr>
      <w:r>
        <w:rPr>
          <w:rFonts w:ascii="Verdana" w:hAnsi="Verdana" w:cs="Arial"/>
        </w:rPr>
        <w:t xml:space="preserve">http://www.b3.com.br/pt_br/produtos-e-servicos/negociacao/renda-variavel/empresas-listadas.htm </w:t>
      </w:r>
      <w:r>
        <w:rPr>
          <w:rFonts w:ascii="Verdana" w:eastAsia="Tahoma" w:hAnsi="Verdana" w:cs="Arial"/>
          <w:color w:val="000000"/>
          <w:spacing w:val="6"/>
        </w:rPr>
        <w:t xml:space="preserve">(neste </w:t>
      </w:r>
      <w:r>
        <w:rPr>
          <w:rFonts w:ascii="Verdana" w:eastAsia="Tahoma" w:hAnsi="Verdana" w:cs="Arial"/>
          <w:i/>
          <w:color w:val="000000"/>
          <w:spacing w:val="6"/>
        </w:rPr>
        <w:t>website</w:t>
      </w:r>
      <w:r>
        <w:rPr>
          <w:rFonts w:ascii="Verdana" w:eastAsia="Tahoma" w:hAnsi="Verdana" w:cs="Arial"/>
          <w:color w:val="000000"/>
          <w:spacing w:val="6"/>
        </w:rPr>
        <w:t>, digitar “</w:t>
      </w:r>
      <w:r>
        <w:rPr>
          <w:rFonts w:ascii="Verdana" w:eastAsia="Tahoma" w:hAnsi="Verdana" w:cs="Arial"/>
          <w:spacing w:val="6"/>
        </w:rPr>
        <w:t>RUMO</w:t>
      </w:r>
      <w:r>
        <w:rPr>
          <w:rFonts w:ascii="Verdana" w:eastAsia="Tahoma" w:hAnsi="Verdana" w:cs="Arial"/>
          <w:color w:val="000000"/>
          <w:spacing w:val="6"/>
        </w:rPr>
        <w:t>”, clicar em “Buscar”, depois clicar em “</w:t>
      </w:r>
      <w:r>
        <w:rPr>
          <w:rFonts w:ascii="Verdana" w:hAnsi="Verdana" w:cs="Arial"/>
          <w:bCs/>
        </w:rPr>
        <w:t>RUMO S.A”</w:t>
      </w:r>
      <w:r>
        <w:rPr>
          <w:rFonts w:ascii="Verdana" w:eastAsia="Tahoma" w:hAnsi="Verdana" w:cs="Arial"/>
          <w:color w:val="000000"/>
          <w:spacing w:val="6"/>
        </w:rPr>
        <w:t>. Na nova página,</w:t>
      </w:r>
      <w:r>
        <w:rPr>
          <w:rFonts w:ascii="Verdana" w:hAnsi="Verdana" w:cs="Arial"/>
        </w:rPr>
        <w:t xml:space="preserve"> clicar em “Informações Relevantes”, depois em “Documentos de Oferta de Distribuição Pública”, e, em seguida, clicar no Aviso ao Mercado da 13ª Emissão de Debêntures da Emissora</w:t>
      </w:r>
      <w:r>
        <w:rPr>
          <w:rFonts w:ascii="Verdana" w:hAnsi="Verdana" w:cs="Arial"/>
          <w:bCs/>
        </w:rPr>
        <w:t>).</w:t>
      </w:r>
    </w:p>
    <w:p>
      <w:pPr>
        <w:pStyle w:val="HOMEBRBodyText"/>
        <w:keepNext/>
        <w:spacing w:line="300" w:lineRule="exact"/>
        <w:rPr>
          <w:rFonts w:ascii="Verdana" w:hAnsi="Verdana" w:cs="Arial"/>
        </w:rPr>
      </w:pPr>
      <w:r>
        <w:rPr>
          <w:rFonts w:ascii="Verdana" w:hAnsi="Verdana" w:cs="Arial"/>
        </w:rPr>
        <w:t xml:space="preserve">O Anúncio de Início, após a sua divulgação, estará disponível aos interessados e poderá ser obtido eletronicamente nas seguintes páginas da rede mundial de computadores: </w:t>
      </w:r>
    </w:p>
    <w:p>
      <w:pPr>
        <w:pStyle w:val="HOMEBRBullet"/>
        <w:spacing w:after="0" w:line="300" w:lineRule="exact"/>
        <w:ind w:left="357" w:hanging="357"/>
        <w:rPr>
          <w:rFonts w:ascii="Verdana" w:hAnsi="Verdana" w:cs="Arial"/>
        </w:rPr>
      </w:pPr>
      <w:r>
        <w:rPr>
          <w:rFonts w:ascii="Verdana" w:hAnsi="Verdana" w:cs="Arial"/>
          <w:b/>
        </w:rPr>
        <w:t>Emissora:</w:t>
      </w:r>
    </w:p>
    <w:p>
      <w:pPr>
        <w:pStyle w:val="HOMEBRBullet"/>
        <w:numPr>
          <w:ilvl w:val="0"/>
          <w:numId w:val="0"/>
        </w:numPr>
        <w:spacing w:line="300" w:lineRule="exact"/>
        <w:ind w:left="360"/>
        <w:rPr>
          <w:rFonts w:ascii="Verdana" w:hAnsi="Verdana" w:cs="Arial"/>
        </w:rPr>
      </w:pPr>
      <w:hyperlink r:id="rId29" w:history="1">
        <w:r>
          <w:rPr>
            <w:rStyle w:val="Hyperlink"/>
            <w:rFonts w:ascii="Verdana" w:hAnsi="Verdana" w:cs="Arial"/>
          </w:rPr>
          <w:t>http://rumo.infoinvest.com.br/</w:t>
        </w:r>
      </w:hyperlink>
      <w:r>
        <w:rPr>
          <w:rFonts w:ascii="Verdana" w:hAnsi="Verdana" w:cs="Arial"/>
        </w:rPr>
        <w:t xml:space="preserve"> (nesta página acessar “Ofertas Públicas” e, em seguida fazer download do documento “Anúncio de Início – Emissão de Debêntures ICVM 400”). </w:t>
      </w:r>
    </w:p>
    <w:p>
      <w:pPr>
        <w:pStyle w:val="HOMEBRBullet"/>
        <w:spacing w:after="0" w:line="300" w:lineRule="exact"/>
        <w:ind w:left="357" w:hanging="357"/>
        <w:rPr>
          <w:rFonts w:ascii="Verdana" w:hAnsi="Verdana" w:cs="Arial"/>
        </w:rPr>
      </w:pPr>
      <w:r>
        <w:rPr>
          <w:rFonts w:ascii="Verdana" w:hAnsi="Verdana" w:cs="Arial"/>
          <w:b/>
        </w:rPr>
        <w:t>Coordenador Líder –</w:t>
      </w:r>
      <w:r>
        <w:rPr>
          <w:rFonts w:ascii="Verdana" w:eastAsia="Tahoma" w:hAnsi="Verdana" w:cs="Arial"/>
          <w:b/>
        </w:rPr>
        <w:t xml:space="preserve"> Itaú BBA:</w:t>
      </w:r>
    </w:p>
    <w:p>
      <w:pPr>
        <w:pStyle w:val="HOMEBRBullet"/>
        <w:numPr>
          <w:ilvl w:val="0"/>
          <w:numId w:val="0"/>
        </w:numPr>
        <w:spacing w:line="300" w:lineRule="exact"/>
        <w:ind w:left="360"/>
        <w:rPr>
          <w:rFonts w:ascii="Verdana" w:hAnsi="Verdana" w:cs="Arial"/>
        </w:rPr>
      </w:pPr>
      <w:r>
        <w:rPr>
          <w:rFonts w:ascii="Verdana" w:eastAsia="MS Mincho" w:hAnsi="Verdana" w:cs="Arial"/>
          <w:color w:val="000000"/>
          <w:lang w:eastAsia="pt-BR"/>
        </w:rPr>
        <w:t xml:space="preserve">http://www.itau.com.br/itaubba-pt/nossos-negocios/ofertas-publicas/ (neste </w:t>
      </w:r>
      <w:r>
        <w:rPr>
          <w:rFonts w:ascii="Verdana" w:eastAsia="MS Mincho" w:hAnsi="Verdana" w:cs="Arial"/>
          <w:i/>
          <w:color w:val="000000"/>
          <w:lang w:eastAsia="pt-BR"/>
        </w:rPr>
        <w:t>website</w:t>
      </w:r>
      <w:r>
        <w:rPr>
          <w:rFonts w:ascii="Verdana" w:eastAsia="MS Mincho" w:hAnsi="Verdana" w:cs="Arial"/>
          <w:color w:val="000000"/>
          <w:lang w:eastAsia="pt-BR"/>
        </w:rPr>
        <w:t>, acessar “Rumo S.A”, posteriormente, na seção “2019”, posteriormente na subseção “Setembro” e após isso acessar “Rumo – Anúncio de Início” e eventuais outros anúncios, avisos e comunicados da Oferta)</w:t>
      </w:r>
      <w:r>
        <w:rPr>
          <w:rFonts w:ascii="Verdana" w:hAnsi="Verdana" w:cs="Arial"/>
        </w:rPr>
        <w:t>;</w:t>
      </w:r>
    </w:p>
    <w:p>
      <w:pPr>
        <w:pStyle w:val="HOMEBRBullet"/>
        <w:spacing w:after="0" w:line="300" w:lineRule="exact"/>
        <w:ind w:left="357" w:hanging="357"/>
        <w:rPr>
          <w:rFonts w:ascii="Verdana" w:hAnsi="Verdana" w:cs="Arial"/>
        </w:rPr>
      </w:pPr>
      <w:r>
        <w:rPr>
          <w:rFonts w:ascii="Verdana" w:hAnsi="Verdana" w:cs="Arial"/>
          <w:b/>
        </w:rPr>
        <w:t>Coordenador –</w:t>
      </w:r>
      <w:r>
        <w:rPr>
          <w:rFonts w:ascii="Verdana" w:eastAsia="Tahoma" w:hAnsi="Verdana" w:cs="Arial"/>
          <w:b/>
        </w:rPr>
        <w:t xml:space="preserve"> Bradesco BBI:</w:t>
      </w:r>
    </w:p>
    <w:p>
      <w:pPr>
        <w:pStyle w:val="HOMEBRBullet"/>
        <w:numPr>
          <w:ilvl w:val="0"/>
          <w:numId w:val="0"/>
        </w:numPr>
        <w:spacing w:line="300" w:lineRule="exact"/>
        <w:ind w:left="360"/>
        <w:rPr>
          <w:rFonts w:ascii="Verdana" w:hAnsi="Verdana" w:cs="Arial"/>
          <w:b/>
        </w:rPr>
      </w:pPr>
      <w:r>
        <w:rPr>
          <w:rFonts w:ascii="Verdana" w:hAnsi="Verdana" w:cs="Arial"/>
        </w:rPr>
        <w:t xml:space="preserve"> </w:t>
      </w:r>
      <w:hyperlink r:id="rId30" w:history="1">
        <w:r>
          <w:rPr>
            <w:rStyle w:val="Hyperlink"/>
            <w:rFonts w:ascii="Verdana" w:hAnsi="Verdana" w:cs="Arial"/>
          </w:rPr>
          <w:t>https://www.bradescobbi.com.br/Site/Ofertas_Publicas/Default.aspx</w:t>
        </w:r>
      </w:hyperlink>
      <w:r>
        <w:rPr>
          <w:rFonts w:ascii="Verdana" w:hAnsi="Verdana" w:cs="Arial"/>
        </w:rPr>
        <w:t xml:space="preserve"> (neste </w:t>
      </w:r>
      <w:r>
        <w:rPr>
          <w:rFonts w:ascii="Verdana" w:hAnsi="Verdana" w:cs="Arial"/>
          <w:i/>
          <w:iCs/>
        </w:rPr>
        <w:t>website</w:t>
      </w:r>
      <w:r>
        <w:rPr>
          <w:rFonts w:ascii="Verdana" w:hAnsi="Verdana" w:cs="Arial"/>
        </w:rPr>
        <w:t>, selecionar o tipo de oferta “Debentures”, em seguida localizar “Debêntures Rumo” e clicar em “Anúncio de Início”);</w:t>
      </w:r>
    </w:p>
    <w:p>
      <w:pPr>
        <w:pStyle w:val="HOMEBRBullet"/>
        <w:spacing w:after="0" w:line="300" w:lineRule="exact"/>
        <w:ind w:left="357" w:hanging="357"/>
        <w:rPr>
          <w:rFonts w:ascii="Verdana" w:hAnsi="Verdana" w:cs="Arial"/>
        </w:rPr>
      </w:pPr>
      <w:r>
        <w:rPr>
          <w:rFonts w:ascii="Verdana" w:hAnsi="Verdana" w:cs="Arial"/>
          <w:b/>
        </w:rPr>
        <w:t>Coordenador –</w:t>
      </w:r>
      <w:r>
        <w:rPr>
          <w:rFonts w:ascii="Verdana" w:eastAsia="Tahoma" w:hAnsi="Verdana" w:cs="Arial"/>
          <w:b/>
        </w:rPr>
        <w:t xml:space="preserve"> Santander:</w:t>
      </w:r>
    </w:p>
    <w:p>
      <w:pPr>
        <w:pStyle w:val="HOMEBRBullet"/>
        <w:numPr>
          <w:ilvl w:val="0"/>
          <w:numId w:val="0"/>
        </w:numPr>
        <w:spacing w:line="300" w:lineRule="exact"/>
        <w:ind w:left="360"/>
        <w:rPr>
          <w:rFonts w:ascii="Verdana" w:hAnsi="Verdana" w:cs="Arial"/>
        </w:rPr>
      </w:pPr>
      <w:r>
        <w:rPr>
          <w:rFonts w:ascii="Verdana" w:eastAsia="MS Mincho" w:hAnsi="Verdana" w:cs="Arial"/>
          <w:color w:val="000000"/>
          <w:szCs w:val="22"/>
          <w:lang w:eastAsia="pt-BR"/>
        </w:rPr>
        <w:t xml:space="preserve">www.santander.com.br/prospectos (neste </w:t>
      </w:r>
      <w:r>
        <w:rPr>
          <w:rFonts w:ascii="Verdana" w:eastAsia="MS Mincho" w:hAnsi="Verdana" w:cs="Arial"/>
          <w:i/>
          <w:color w:val="000000"/>
          <w:szCs w:val="22"/>
          <w:lang w:eastAsia="pt-BR"/>
        </w:rPr>
        <w:t>website</w:t>
      </w:r>
      <w:r>
        <w:rPr>
          <w:rFonts w:ascii="Verdana" w:eastAsia="MS Mincho" w:hAnsi="Verdana" w:cs="Arial"/>
          <w:color w:val="000000"/>
          <w:szCs w:val="22"/>
          <w:lang w:eastAsia="pt-BR"/>
        </w:rPr>
        <w:t>, acessar “Ofertas em Andamento” e, por fim, acessar “Rumo S.A” e clicar em “Anúncio de Início”)</w:t>
      </w:r>
      <w:r>
        <w:rPr>
          <w:rFonts w:ascii="Verdana" w:hAnsi="Verdana" w:cs="Arial"/>
        </w:rPr>
        <w:t>;</w:t>
      </w:r>
    </w:p>
    <w:p>
      <w:pPr>
        <w:pStyle w:val="HOMEBRBullet"/>
        <w:spacing w:after="0" w:line="300" w:lineRule="exact"/>
        <w:ind w:left="357" w:hanging="357"/>
        <w:rPr>
          <w:rFonts w:ascii="Verdana" w:hAnsi="Verdana" w:cs="Arial"/>
        </w:rPr>
      </w:pPr>
      <w:r>
        <w:rPr>
          <w:rFonts w:ascii="Verdana" w:hAnsi="Verdana" w:cs="Arial"/>
          <w:b/>
        </w:rPr>
        <w:t>Coordenador – BB-BI:</w:t>
      </w:r>
    </w:p>
    <w:p>
      <w:pPr>
        <w:pStyle w:val="HOMEBRBullet"/>
        <w:numPr>
          <w:ilvl w:val="0"/>
          <w:numId w:val="0"/>
        </w:numPr>
        <w:spacing w:line="300" w:lineRule="exact"/>
        <w:ind w:left="360"/>
        <w:rPr>
          <w:rFonts w:ascii="Verdana" w:hAnsi="Verdana" w:cs="Arial"/>
        </w:rPr>
      </w:pPr>
      <w:r>
        <w:rPr>
          <w:rFonts w:ascii="Verdana" w:hAnsi="Verdana" w:cs="Arial"/>
        </w:rPr>
        <w:t xml:space="preserve">www.bb.com.br/ofertapublica (neste </w:t>
      </w:r>
      <w:r>
        <w:rPr>
          <w:rFonts w:ascii="Verdana" w:hAnsi="Verdana" w:cs="Arial"/>
          <w:i/>
        </w:rPr>
        <w:t>website</w:t>
      </w:r>
      <w:r>
        <w:rPr>
          <w:rFonts w:ascii="Verdana" w:hAnsi="Verdana" w:cs="Arial"/>
        </w:rPr>
        <w:t>, clicar em “Debêntures Rumo 2019”, acessar “Leia o Anúncio de Início”);</w:t>
      </w:r>
    </w:p>
    <w:p>
      <w:pPr>
        <w:pStyle w:val="HOMEBRBullet"/>
        <w:spacing w:after="0" w:line="300" w:lineRule="exact"/>
        <w:ind w:left="357" w:hanging="357"/>
        <w:rPr>
          <w:rFonts w:ascii="Verdana" w:hAnsi="Verdana" w:cs="Arial"/>
        </w:rPr>
      </w:pPr>
      <w:r>
        <w:rPr>
          <w:rFonts w:ascii="Verdana" w:hAnsi="Verdana" w:cs="Arial"/>
          <w:b/>
        </w:rPr>
        <w:t>Coordenador – XP Investimentos:</w:t>
      </w:r>
    </w:p>
    <w:p>
      <w:pPr>
        <w:pStyle w:val="HOMEBRBullet"/>
        <w:numPr>
          <w:ilvl w:val="0"/>
          <w:numId w:val="0"/>
        </w:numPr>
        <w:spacing w:line="300" w:lineRule="exact"/>
        <w:ind w:left="360"/>
        <w:rPr>
          <w:rFonts w:ascii="Verdana" w:hAnsi="Verdana" w:cs="Arial"/>
        </w:rPr>
      </w:pPr>
      <w:r>
        <w:rPr>
          <w:rFonts w:ascii="Verdana" w:hAnsi="Verdana" w:cs="Arial"/>
        </w:rPr>
        <w:t xml:space="preserve">http://www.xpi.com.br/investimentos/oferta-publica.aspx – (neste </w:t>
      </w:r>
      <w:r>
        <w:rPr>
          <w:rFonts w:ascii="Verdana" w:hAnsi="Verdana" w:cs="Arial"/>
          <w:i/>
        </w:rPr>
        <w:t>website</w:t>
      </w:r>
      <w:r>
        <w:rPr>
          <w:rFonts w:ascii="Verdana" w:hAnsi="Verdana" w:cs="Arial"/>
        </w:rPr>
        <w:t xml:space="preserve">, clicar em “Debênture Rumo S.A. – 13ª Emissão de Debêntures da Rumo S.A”, em seguida clicar em “Anúncio de Início”); </w:t>
      </w:r>
    </w:p>
    <w:p>
      <w:pPr>
        <w:pStyle w:val="HOMEBRBullet"/>
        <w:spacing w:after="0" w:line="300" w:lineRule="exact"/>
        <w:ind w:left="357" w:hanging="357"/>
        <w:rPr>
          <w:rFonts w:ascii="Verdana" w:hAnsi="Verdana" w:cs="Arial"/>
        </w:rPr>
      </w:pPr>
      <w:r>
        <w:rPr>
          <w:rFonts w:ascii="Verdana" w:hAnsi="Verdana" w:cs="Arial"/>
          <w:b/>
        </w:rPr>
        <w:lastRenderedPageBreak/>
        <w:t>Coordenador – BTG Pactual:</w:t>
      </w:r>
    </w:p>
    <w:p>
      <w:pPr>
        <w:pStyle w:val="HOMEBRBullet"/>
        <w:numPr>
          <w:ilvl w:val="0"/>
          <w:numId w:val="0"/>
        </w:numPr>
        <w:spacing w:line="300" w:lineRule="exact"/>
        <w:ind w:left="360"/>
        <w:rPr>
          <w:rFonts w:ascii="Verdana" w:hAnsi="Verdana" w:cs="Arial"/>
        </w:rPr>
      </w:pPr>
      <w:hyperlink r:id="rId31" w:history="1">
        <w:r>
          <w:rPr>
            <w:rStyle w:val="Hyperlink"/>
            <w:rFonts w:ascii="Verdana" w:hAnsi="Verdana" w:cs="Arial"/>
            <w:lang w:eastAsia="pt-BR"/>
          </w:rPr>
          <w:t>https://www.btgpactual.com/home/investment-bank</w:t>
        </w:r>
      </w:hyperlink>
      <w:r>
        <w:rPr>
          <w:rFonts w:ascii="Verdana" w:hAnsi="Verdana" w:cs="Arial"/>
        </w:rPr>
        <w:t xml:space="preserve"> (neste </w:t>
      </w:r>
      <w:r>
        <w:rPr>
          <w:rFonts w:ascii="Verdana" w:hAnsi="Verdana" w:cs="Arial"/>
          <w:i/>
        </w:rPr>
        <w:t>website</w:t>
      </w:r>
      <w:r>
        <w:rPr>
          <w:rFonts w:ascii="Verdana" w:hAnsi="Verdana" w:cs="Arial"/>
        </w:rPr>
        <w:t xml:space="preserve"> clicar em “</w:t>
      </w:r>
      <w:r>
        <w:rPr>
          <w:rFonts w:ascii="Verdana" w:hAnsi="Verdana" w:cs="Arial"/>
          <w:lang w:eastAsia="pt-BR"/>
        </w:rPr>
        <w:t>Mercado de Capitais - Download</w:t>
      </w:r>
      <w:r>
        <w:rPr>
          <w:rFonts w:ascii="Verdana" w:hAnsi="Verdana" w:cs="Arial"/>
        </w:rPr>
        <w:t>”, depois clicar em “</w:t>
      </w:r>
      <w:r>
        <w:rPr>
          <w:rFonts w:ascii="Verdana" w:hAnsi="Verdana" w:cs="Arial"/>
          <w:lang w:eastAsia="pt-BR"/>
        </w:rPr>
        <w:t>2019</w:t>
      </w:r>
      <w:r>
        <w:rPr>
          <w:rFonts w:ascii="Verdana" w:hAnsi="Verdana" w:cs="Arial"/>
        </w:rPr>
        <w:t>”, em Anúncio de Início);</w:t>
      </w:r>
    </w:p>
    <w:p>
      <w:pPr>
        <w:pStyle w:val="HOMEBRBullet"/>
        <w:spacing w:after="0" w:line="300" w:lineRule="exact"/>
        <w:ind w:left="357" w:hanging="357"/>
        <w:rPr>
          <w:rFonts w:ascii="Verdana" w:hAnsi="Verdana" w:cs="Arial"/>
        </w:rPr>
      </w:pPr>
      <w:r>
        <w:rPr>
          <w:rFonts w:ascii="Verdana" w:hAnsi="Verdana" w:cs="Arial"/>
          <w:b/>
        </w:rPr>
        <w:t>CVM:</w:t>
      </w:r>
    </w:p>
    <w:p>
      <w:pPr>
        <w:pStyle w:val="HOMEBRBullet"/>
        <w:numPr>
          <w:ilvl w:val="0"/>
          <w:numId w:val="0"/>
        </w:numPr>
        <w:spacing w:line="300" w:lineRule="exact"/>
        <w:ind w:left="360"/>
        <w:rPr>
          <w:rFonts w:ascii="Verdana" w:hAnsi="Verdana" w:cs="Arial"/>
        </w:rPr>
      </w:pPr>
      <w:r>
        <w:rPr>
          <w:rFonts w:ascii="Verdana" w:hAnsi="Verdana" w:cs="Arial"/>
          <w:bCs/>
        </w:rPr>
        <w:t>http://www.cvm.gov.br</w:t>
      </w:r>
      <w:r>
        <w:rPr>
          <w:rFonts w:ascii="Verdana" w:hAnsi="Verdana" w:cs="Arial"/>
        </w:rPr>
        <w:t xml:space="preserve"> (</w:t>
      </w:r>
      <w:r>
        <w:rPr>
          <w:rFonts w:ascii="Verdana" w:eastAsia="Tahoma" w:hAnsi="Verdana" w:cs="Arial"/>
        </w:rPr>
        <w:t xml:space="preserve">neste </w:t>
      </w:r>
      <w:r>
        <w:rPr>
          <w:rFonts w:ascii="Verdana" w:eastAsia="Tahoma" w:hAnsi="Verdana" w:cs="Arial"/>
          <w:i/>
        </w:rPr>
        <w:t>website</w:t>
      </w:r>
      <w:r>
        <w:rPr>
          <w:rFonts w:ascii="Verdana" w:eastAsia="Tahoma" w:hAnsi="Verdana" w:cs="Arial"/>
        </w:rPr>
        <w:t>, no canto esquerdo, acessar “Central de Sistemas” na página inicial, acessar “Informações sobre Companhias”, em seguida “Informações periódicas e eventuais (ITR, DFs, Fatos Relevantes, Comunicados ao Mercado, entre outros)”. Na nova página, digitar “RUMO” e clicar em “Continuar”. Em seguida, clicar em “RUMO S.A”. Na sequência, selecionar</w:t>
      </w:r>
      <w:r>
        <w:rPr>
          <w:rFonts w:ascii="Verdana" w:hAnsi="Verdana" w:cs="Arial"/>
        </w:rPr>
        <w:t xml:space="preserve"> “Documentos de Oferta de Distribuição Pública”. Clicar em </w:t>
      </w:r>
      <w:r>
        <w:rPr>
          <w:rFonts w:ascii="Verdana" w:hAnsi="Verdana" w:cs="Arial"/>
          <w:i/>
          <w:iCs/>
        </w:rPr>
        <w:t xml:space="preserve">download </w:t>
      </w:r>
      <w:r>
        <w:rPr>
          <w:rFonts w:ascii="Verdana" w:hAnsi="Verdana" w:cs="Arial"/>
          <w:iCs/>
        </w:rPr>
        <w:t>do Anúncio de Início</w:t>
      </w:r>
      <w:r>
        <w:rPr>
          <w:rFonts w:ascii="Verdana" w:hAnsi="Verdana" w:cs="Arial"/>
          <w:bCs/>
        </w:rPr>
        <w:t>); e</w:t>
      </w:r>
    </w:p>
    <w:p>
      <w:pPr>
        <w:pStyle w:val="HOMEBRBullet"/>
        <w:spacing w:after="0" w:line="300" w:lineRule="exact"/>
        <w:ind w:left="357" w:hanging="357"/>
        <w:rPr>
          <w:rFonts w:ascii="Verdana" w:hAnsi="Verdana" w:cs="Arial"/>
        </w:rPr>
      </w:pPr>
      <w:r>
        <w:rPr>
          <w:rFonts w:ascii="Verdana" w:hAnsi="Verdana" w:cs="Arial"/>
          <w:b/>
        </w:rPr>
        <w:t>B3 e B3 – Segmento Cetip UTVM:</w:t>
      </w:r>
    </w:p>
    <w:p>
      <w:pPr>
        <w:pStyle w:val="HOMEBRBullet"/>
        <w:numPr>
          <w:ilvl w:val="0"/>
          <w:numId w:val="0"/>
        </w:numPr>
        <w:spacing w:line="300" w:lineRule="exact"/>
        <w:ind w:left="360"/>
        <w:rPr>
          <w:rFonts w:ascii="Verdana" w:hAnsi="Verdana" w:cs="Arial"/>
        </w:rPr>
      </w:pPr>
      <w:r>
        <w:rPr>
          <w:rFonts w:ascii="Verdana" w:hAnsi="Verdana" w:cs="Arial"/>
        </w:rPr>
        <w:t xml:space="preserve">http://www.b3.com.br/pt_br/produtos-e-servicos/negociacao/renda-variavel/empresas-listadas.htm </w:t>
      </w:r>
      <w:r>
        <w:rPr>
          <w:rFonts w:ascii="Verdana" w:eastAsia="Tahoma" w:hAnsi="Verdana" w:cs="Arial"/>
          <w:color w:val="000000"/>
          <w:spacing w:val="6"/>
        </w:rPr>
        <w:t xml:space="preserve">(neste </w:t>
      </w:r>
      <w:r>
        <w:rPr>
          <w:rFonts w:ascii="Verdana" w:eastAsia="Tahoma" w:hAnsi="Verdana" w:cs="Arial"/>
          <w:i/>
          <w:color w:val="000000"/>
          <w:spacing w:val="6"/>
        </w:rPr>
        <w:t>website</w:t>
      </w:r>
      <w:r>
        <w:rPr>
          <w:rFonts w:ascii="Verdana" w:eastAsia="Tahoma" w:hAnsi="Verdana" w:cs="Arial"/>
          <w:color w:val="000000"/>
          <w:spacing w:val="6"/>
        </w:rPr>
        <w:t>, digitar “</w:t>
      </w:r>
      <w:r>
        <w:rPr>
          <w:rFonts w:ascii="Verdana" w:eastAsia="Tahoma" w:hAnsi="Verdana" w:cs="Arial"/>
          <w:spacing w:val="6"/>
        </w:rPr>
        <w:t>RUMO</w:t>
      </w:r>
      <w:r>
        <w:rPr>
          <w:rFonts w:ascii="Verdana" w:eastAsia="Tahoma" w:hAnsi="Verdana" w:cs="Arial"/>
          <w:color w:val="000000"/>
          <w:spacing w:val="6"/>
        </w:rPr>
        <w:t>”, clicar em “Buscar”, depois clicar em “</w:t>
      </w:r>
      <w:r>
        <w:rPr>
          <w:rFonts w:ascii="Verdana" w:hAnsi="Verdana" w:cs="Arial"/>
          <w:bCs/>
        </w:rPr>
        <w:t>RUMO S.A”</w:t>
      </w:r>
      <w:r>
        <w:rPr>
          <w:rFonts w:ascii="Verdana" w:eastAsia="Tahoma" w:hAnsi="Verdana" w:cs="Arial"/>
          <w:color w:val="000000"/>
          <w:spacing w:val="6"/>
        </w:rPr>
        <w:t>. Na nova página,</w:t>
      </w:r>
      <w:r>
        <w:rPr>
          <w:rFonts w:ascii="Verdana" w:hAnsi="Verdana" w:cs="Arial"/>
        </w:rPr>
        <w:t xml:space="preserve"> clicar em “Informações Relevantes”, depois em “Documentos de Oferta de Distribuição Pública”, e, em seguida, clicar no Anúncio de Início da 13ª Emissão de Debêntures da Emissora</w:t>
      </w:r>
      <w:r>
        <w:rPr>
          <w:rFonts w:ascii="Verdana" w:hAnsi="Verdana" w:cs="Arial"/>
          <w:bCs/>
        </w:rPr>
        <w:t>).</w:t>
      </w:r>
    </w:p>
    <w:p>
      <w:pPr>
        <w:pStyle w:val="HOMEBRBodyText"/>
        <w:keepNext/>
        <w:spacing w:line="300" w:lineRule="exact"/>
        <w:rPr>
          <w:rFonts w:ascii="Verdana" w:hAnsi="Verdana" w:cs="Arial"/>
        </w:rPr>
      </w:pPr>
      <w:r>
        <w:rPr>
          <w:rFonts w:ascii="Verdana" w:hAnsi="Verdana" w:cs="Arial"/>
        </w:rPr>
        <w:t>O Anúncio de Encerramento, após a sua divulgação, estará disponível aos interessados e poderá ser obtido eletronicamente nas seguintes páginas da rede mundial de computadores:</w:t>
      </w:r>
    </w:p>
    <w:p>
      <w:pPr>
        <w:pStyle w:val="HOMEBRBullet"/>
        <w:spacing w:after="0" w:line="300" w:lineRule="exact"/>
        <w:ind w:left="357" w:hanging="357"/>
        <w:rPr>
          <w:rFonts w:ascii="Verdana" w:hAnsi="Verdana" w:cs="Arial"/>
        </w:rPr>
      </w:pPr>
      <w:r>
        <w:rPr>
          <w:rFonts w:ascii="Verdana" w:hAnsi="Verdana" w:cs="Arial"/>
          <w:b/>
        </w:rPr>
        <w:t>Emissora:</w:t>
      </w:r>
    </w:p>
    <w:p>
      <w:pPr>
        <w:pStyle w:val="HOMEBRBullet"/>
        <w:numPr>
          <w:ilvl w:val="0"/>
          <w:numId w:val="0"/>
        </w:numPr>
        <w:spacing w:line="300" w:lineRule="exact"/>
        <w:ind w:left="360"/>
        <w:rPr>
          <w:rFonts w:ascii="Verdana" w:hAnsi="Verdana" w:cs="Arial"/>
        </w:rPr>
      </w:pPr>
      <w:hyperlink r:id="rId32" w:history="1">
        <w:r>
          <w:rPr>
            <w:rStyle w:val="Hyperlink"/>
            <w:rFonts w:ascii="Verdana" w:hAnsi="Verdana" w:cs="Arial"/>
          </w:rPr>
          <w:t>http://rumo.infoinvest.com.br/</w:t>
        </w:r>
      </w:hyperlink>
      <w:r>
        <w:rPr>
          <w:rFonts w:ascii="Verdana" w:hAnsi="Verdana" w:cs="Arial"/>
        </w:rPr>
        <w:t xml:space="preserve"> (nesta página acessar “Ofertas Públicas” e, em seguida fazer download do documento “Anúncio de Encerramento – Emissão de Debêntures ICVM 400”); </w:t>
      </w:r>
    </w:p>
    <w:p>
      <w:pPr>
        <w:pStyle w:val="HOMEBRBullet"/>
        <w:spacing w:after="0" w:line="300" w:lineRule="exact"/>
        <w:ind w:left="357" w:hanging="357"/>
        <w:rPr>
          <w:rFonts w:ascii="Verdana" w:hAnsi="Verdana" w:cs="Arial"/>
        </w:rPr>
      </w:pPr>
      <w:r>
        <w:rPr>
          <w:rFonts w:ascii="Verdana" w:hAnsi="Verdana" w:cs="Arial"/>
          <w:b/>
        </w:rPr>
        <w:t>Coordenador Líder –</w:t>
      </w:r>
      <w:r>
        <w:rPr>
          <w:rFonts w:ascii="Verdana" w:eastAsia="Tahoma" w:hAnsi="Verdana" w:cs="Arial"/>
          <w:b/>
        </w:rPr>
        <w:t xml:space="preserve"> Itaú BBA:</w:t>
      </w:r>
    </w:p>
    <w:p>
      <w:pPr>
        <w:pStyle w:val="HOMEBRBullet"/>
        <w:numPr>
          <w:ilvl w:val="0"/>
          <w:numId w:val="0"/>
        </w:numPr>
        <w:spacing w:line="300" w:lineRule="exact"/>
        <w:ind w:left="360"/>
        <w:rPr>
          <w:rFonts w:ascii="Verdana" w:hAnsi="Verdana" w:cs="Arial"/>
        </w:rPr>
      </w:pPr>
      <w:r>
        <w:rPr>
          <w:rFonts w:ascii="Verdana" w:eastAsia="MS Mincho" w:hAnsi="Verdana" w:cs="Arial"/>
          <w:color w:val="000000"/>
          <w:lang w:eastAsia="pt-BR"/>
        </w:rPr>
        <w:t>http://www.itau.com.br/itaubba-pt/nossos-negocios/ofertas-publicas/</w:t>
      </w:r>
      <w:r>
        <w:rPr>
          <w:rFonts w:ascii="Verdana" w:eastAsia="MS Mincho" w:hAnsi="Verdana" w:cs="Arial"/>
          <w:color w:val="B0005F"/>
          <w:lang w:eastAsia="pt-BR"/>
        </w:rPr>
        <w:t xml:space="preserve"> </w:t>
      </w:r>
      <w:r>
        <w:rPr>
          <w:rFonts w:ascii="Verdana" w:eastAsia="MS Mincho" w:hAnsi="Verdana" w:cs="Arial"/>
          <w:color w:val="000000"/>
          <w:lang w:eastAsia="pt-BR"/>
        </w:rPr>
        <w:t xml:space="preserve">(neste </w:t>
      </w:r>
      <w:r>
        <w:rPr>
          <w:rFonts w:ascii="Verdana" w:eastAsia="MS Mincho" w:hAnsi="Verdana" w:cs="Arial"/>
          <w:i/>
          <w:iCs/>
          <w:color w:val="000000"/>
          <w:lang w:eastAsia="pt-BR"/>
        </w:rPr>
        <w:t>website</w:t>
      </w:r>
      <w:r>
        <w:rPr>
          <w:rFonts w:ascii="Verdana" w:eastAsia="MS Mincho" w:hAnsi="Verdana" w:cs="Arial"/>
          <w:color w:val="000000"/>
          <w:lang w:eastAsia="pt-BR"/>
        </w:rPr>
        <w:t>, acessar “Rumo S.A”, posteriormente, na seção “2019”, posteriormente na subseção “Setembro” e após isso acessar “Rumo – Anúncio de Encerramento” e eventuais outros anúncios, avisos e comunicados da Oferta)</w:t>
      </w:r>
      <w:r>
        <w:rPr>
          <w:rFonts w:ascii="Verdana" w:hAnsi="Verdana" w:cs="Arial"/>
        </w:rPr>
        <w:t>;</w:t>
      </w:r>
    </w:p>
    <w:p>
      <w:pPr>
        <w:pStyle w:val="HOMEBRBullet"/>
        <w:spacing w:after="0" w:line="300" w:lineRule="exact"/>
        <w:ind w:left="357" w:hanging="357"/>
        <w:rPr>
          <w:rFonts w:ascii="Verdana" w:hAnsi="Verdana" w:cs="Arial"/>
        </w:rPr>
      </w:pPr>
      <w:r>
        <w:rPr>
          <w:rFonts w:ascii="Verdana" w:hAnsi="Verdana" w:cs="Arial"/>
          <w:b/>
        </w:rPr>
        <w:t>Coordenador –</w:t>
      </w:r>
      <w:r>
        <w:rPr>
          <w:rFonts w:ascii="Verdana" w:eastAsia="Tahoma" w:hAnsi="Verdana" w:cs="Arial"/>
          <w:b/>
        </w:rPr>
        <w:t xml:space="preserve"> Bradesco BBI:</w:t>
      </w:r>
    </w:p>
    <w:p>
      <w:pPr>
        <w:pStyle w:val="HOMEBRBullet"/>
        <w:numPr>
          <w:ilvl w:val="0"/>
          <w:numId w:val="0"/>
        </w:numPr>
        <w:spacing w:line="300" w:lineRule="exact"/>
        <w:ind w:left="360"/>
        <w:rPr>
          <w:rFonts w:ascii="Verdana" w:hAnsi="Verdana" w:cs="Arial"/>
        </w:rPr>
      </w:pPr>
      <w:hyperlink r:id="rId33" w:history="1">
        <w:r>
          <w:rPr>
            <w:rStyle w:val="Hyperlink"/>
            <w:rFonts w:ascii="Verdana" w:hAnsi="Verdana" w:cs="Arial"/>
          </w:rPr>
          <w:t>https://www.bradescobbi.com.br/Site/Ofertas_Publicas/Default.aspx</w:t>
        </w:r>
      </w:hyperlink>
      <w:r>
        <w:rPr>
          <w:rFonts w:ascii="Verdana" w:hAnsi="Verdana" w:cs="Arial"/>
        </w:rPr>
        <w:t xml:space="preserve"> (neste </w:t>
      </w:r>
      <w:r>
        <w:rPr>
          <w:rFonts w:ascii="Verdana" w:hAnsi="Verdana" w:cs="Arial"/>
          <w:i/>
          <w:iCs/>
        </w:rPr>
        <w:t>website</w:t>
      </w:r>
      <w:r>
        <w:rPr>
          <w:rFonts w:ascii="Verdana" w:hAnsi="Verdana" w:cs="Arial"/>
        </w:rPr>
        <w:t>, selecionar o tipo de oferta “Debentures”, em seguida localizar “Debêntures Rumo” e clicar em “Anúncio de Início”);</w:t>
      </w:r>
    </w:p>
    <w:p>
      <w:pPr>
        <w:pStyle w:val="HOMEBRBullet"/>
        <w:spacing w:after="0" w:line="300" w:lineRule="exact"/>
        <w:ind w:left="357" w:hanging="357"/>
        <w:rPr>
          <w:rFonts w:ascii="Verdana" w:hAnsi="Verdana" w:cs="Arial"/>
        </w:rPr>
      </w:pPr>
      <w:r>
        <w:rPr>
          <w:rFonts w:ascii="Verdana" w:hAnsi="Verdana" w:cs="Arial"/>
          <w:b/>
        </w:rPr>
        <w:t>Coordenador –</w:t>
      </w:r>
      <w:r>
        <w:rPr>
          <w:rFonts w:ascii="Verdana" w:eastAsia="Tahoma" w:hAnsi="Verdana" w:cs="Arial"/>
          <w:b/>
        </w:rPr>
        <w:t xml:space="preserve"> Santander:</w:t>
      </w:r>
    </w:p>
    <w:p>
      <w:pPr>
        <w:pStyle w:val="HOMEBRBullet"/>
        <w:numPr>
          <w:ilvl w:val="0"/>
          <w:numId w:val="0"/>
        </w:numPr>
        <w:spacing w:line="300" w:lineRule="exact"/>
        <w:ind w:left="360"/>
        <w:rPr>
          <w:rFonts w:ascii="Verdana" w:hAnsi="Verdana" w:cs="Arial"/>
        </w:rPr>
      </w:pPr>
      <w:r>
        <w:rPr>
          <w:rFonts w:ascii="Verdana" w:eastAsia="MS Mincho" w:hAnsi="Verdana" w:cs="Arial"/>
          <w:color w:val="000000"/>
          <w:szCs w:val="22"/>
          <w:lang w:eastAsia="pt-BR"/>
        </w:rPr>
        <w:t xml:space="preserve">www.santander.com.br/prospectos (neste </w:t>
      </w:r>
      <w:r>
        <w:rPr>
          <w:rFonts w:ascii="Verdana" w:eastAsia="MS Mincho" w:hAnsi="Verdana" w:cs="Arial"/>
          <w:i/>
          <w:color w:val="000000"/>
          <w:szCs w:val="22"/>
          <w:lang w:eastAsia="pt-BR"/>
        </w:rPr>
        <w:t>website</w:t>
      </w:r>
      <w:r>
        <w:rPr>
          <w:rFonts w:ascii="Verdana" w:eastAsia="MS Mincho" w:hAnsi="Verdana" w:cs="Arial"/>
          <w:color w:val="000000"/>
          <w:szCs w:val="22"/>
          <w:lang w:eastAsia="pt-BR"/>
        </w:rPr>
        <w:t>, acessar “Ofertas em Andamento” e, por fim, acessar “Rumo S.A” e clicar em “Anúncio de Encerramento”)</w:t>
      </w:r>
      <w:r>
        <w:rPr>
          <w:rFonts w:ascii="Verdana" w:hAnsi="Verdana" w:cs="Arial"/>
        </w:rPr>
        <w:t>;</w:t>
      </w:r>
    </w:p>
    <w:p>
      <w:pPr>
        <w:pStyle w:val="HOMEBRBullet"/>
        <w:spacing w:after="0" w:line="300" w:lineRule="exact"/>
        <w:ind w:left="357" w:hanging="357"/>
        <w:rPr>
          <w:rFonts w:ascii="Verdana" w:hAnsi="Verdana" w:cs="Arial"/>
        </w:rPr>
      </w:pPr>
      <w:r>
        <w:rPr>
          <w:rFonts w:ascii="Verdana" w:hAnsi="Verdana" w:cs="Arial"/>
          <w:b/>
        </w:rPr>
        <w:t>Coordenador – BB-BI:</w:t>
      </w:r>
    </w:p>
    <w:p>
      <w:pPr>
        <w:pStyle w:val="HOMEBRBullet"/>
        <w:numPr>
          <w:ilvl w:val="0"/>
          <w:numId w:val="0"/>
        </w:numPr>
        <w:spacing w:line="300" w:lineRule="exact"/>
        <w:ind w:left="360"/>
        <w:rPr>
          <w:rFonts w:ascii="Verdana" w:hAnsi="Verdana" w:cs="Arial"/>
        </w:rPr>
      </w:pPr>
      <w:r>
        <w:rPr>
          <w:rFonts w:ascii="Verdana" w:hAnsi="Verdana" w:cs="Arial"/>
        </w:rPr>
        <w:t xml:space="preserve">www.bb.com.br/ofertapublica (neste </w:t>
      </w:r>
      <w:r>
        <w:rPr>
          <w:rFonts w:ascii="Verdana" w:hAnsi="Verdana" w:cs="Arial"/>
          <w:i/>
        </w:rPr>
        <w:t>website</w:t>
      </w:r>
      <w:r>
        <w:rPr>
          <w:rFonts w:ascii="Verdana" w:hAnsi="Verdana" w:cs="Arial"/>
        </w:rPr>
        <w:t>, clicar em “Debêntures Rumo 2019”, acessar “Leia o Anúncio de Encerramento”);</w:t>
      </w:r>
    </w:p>
    <w:p>
      <w:pPr>
        <w:pStyle w:val="HOMEBRBullet"/>
        <w:spacing w:after="0" w:line="300" w:lineRule="exact"/>
        <w:ind w:left="357" w:hanging="357"/>
        <w:rPr>
          <w:rFonts w:ascii="Verdana" w:hAnsi="Verdana" w:cs="Arial"/>
        </w:rPr>
      </w:pPr>
      <w:r>
        <w:rPr>
          <w:rFonts w:ascii="Verdana" w:hAnsi="Verdana" w:cs="Arial"/>
          <w:b/>
        </w:rPr>
        <w:lastRenderedPageBreak/>
        <w:t>Coordenador – XP Investimentos:</w:t>
      </w:r>
    </w:p>
    <w:p>
      <w:pPr>
        <w:pStyle w:val="HOMEBRBullet"/>
        <w:numPr>
          <w:ilvl w:val="0"/>
          <w:numId w:val="0"/>
        </w:numPr>
        <w:spacing w:line="300" w:lineRule="exact"/>
        <w:ind w:left="360"/>
        <w:rPr>
          <w:rFonts w:ascii="Verdana" w:hAnsi="Verdana" w:cs="Arial"/>
        </w:rPr>
      </w:pPr>
      <w:r>
        <w:rPr>
          <w:rFonts w:ascii="Verdana" w:hAnsi="Verdana" w:cs="Arial"/>
        </w:rPr>
        <w:t xml:space="preserve">http://www.xpi.com.br/investimentos/oferta-publica.aspx – (neste </w:t>
      </w:r>
      <w:r>
        <w:rPr>
          <w:rFonts w:ascii="Verdana" w:hAnsi="Verdana" w:cs="Arial"/>
          <w:i/>
        </w:rPr>
        <w:t>website</w:t>
      </w:r>
      <w:r>
        <w:rPr>
          <w:rFonts w:ascii="Verdana" w:hAnsi="Verdana" w:cs="Arial"/>
        </w:rPr>
        <w:t>, clicar em “Debênture Rumo S.A. – 13ª Emissão de Debêntures da Rumo S.A”, em seguida clicar em “Anúncio de Encerramento”);</w:t>
      </w:r>
    </w:p>
    <w:p>
      <w:pPr>
        <w:pStyle w:val="HOMEBRBullet"/>
        <w:spacing w:after="0" w:line="300" w:lineRule="exact"/>
        <w:ind w:left="357" w:hanging="357"/>
        <w:rPr>
          <w:rFonts w:ascii="Verdana" w:hAnsi="Verdana" w:cs="Arial"/>
        </w:rPr>
      </w:pPr>
      <w:r>
        <w:rPr>
          <w:rFonts w:ascii="Verdana" w:hAnsi="Verdana" w:cs="Arial"/>
          <w:b/>
        </w:rPr>
        <w:t>Coordenador – BTG Pactual:</w:t>
      </w:r>
    </w:p>
    <w:p>
      <w:pPr>
        <w:pStyle w:val="HOMEBRBullet"/>
        <w:numPr>
          <w:ilvl w:val="0"/>
          <w:numId w:val="0"/>
        </w:numPr>
        <w:spacing w:line="300" w:lineRule="exact"/>
        <w:ind w:left="360"/>
        <w:rPr>
          <w:rFonts w:ascii="Verdana" w:hAnsi="Verdana" w:cs="Arial"/>
        </w:rPr>
      </w:pPr>
      <w:hyperlink r:id="rId34" w:history="1">
        <w:r>
          <w:rPr>
            <w:rStyle w:val="Hyperlink"/>
            <w:rFonts w:ascii="Verdana" w:hAnsi="Verdana" w:cs="Arial"/>
            <w:lang w:eastAsia="pt-BR"/>
          </w:rPr>
          <w:t>https://www.btgpactual.com/home/investment-bank</w:t>
        </w:r>
      </w:hyperlink>
      <w:r>
        <w:rPr>
          <w:rFonts w:ascii="Verdana" w:hAnsi="Verdana" w:cs="Arial"/>
        </w:rPr>
        <w:t xml:space="preserve"> (neste </w:t>
      </w:r>
      <w:r>
        <w:rPr>
          <w:rFonts w:ascii="Verdana" w:hAnsi="Verdana" w:cs="Arial"/>
          <w:i/>
        </w:rPr>
        <w:t>website</w:t>
      </w:r>
      <w:r>
        <w:rPr>
          <w:rFonts w:ascii="Verdana" w:hAnsi="Verdana" w:cs="Arial"/>
        </w:rPr>
        <w:t xml:space="preserve"> clicar em “</w:t>
      </w:r>
      <w:r>
        <w:rPr>
          <w:rFonts w:ascii="Verdana" w:hAnsi="Verdana" w:cs="Arial"/>
          <w:lang w:eastAsia="pt-BR"/>
        </w:rPr>
        <w:t>Mercado de Capitais - Download</w:t>
      </w:r>
      <w:r>
        <w:rPr>
          <w:rFonts w:ascii="Verdana" w:hAnsi="Verdana" w:cs="Arial"/>
        </w:rPr>
        <w:t>”, depois clicar em “</w:t>
      </w:r>
      <w:r>
        <w:rPr>
          <w:rFonts w:ascii="Verdana" w:hAnsi="Verdana" w:cs="Arial"/>
          <w:lang w:eastAsia="pt-BR"/>
        </w:rPr>
        <w:t>2019</w:t>
      </w:r>
      <w:r>
        <w:rPr>
          <w:rFonts w:ascii="Verdana" w:hAnsi="Verdana" w:cs="Arial"/>
        </w:rPr>
        <w:t>”, em Anúncio de Encerramento);</w:t>
      </w:r>
    </w:p>
    <w:p>
      <w:pPr>
        <w:pStyle w:val="HOMEBRBullet"/>
        <w:spacing w:after="0" w:line="300" w:lineRule="exact"/>
        <w:ind w:left="357" w:hanging="357"/>
        <w:rPr>
          <w:rFonts w:ascii="Verdana" w:eastAsia="Tahoma" w:hAnsi="Verdana" w:cs="Arial"/>
        </w:rPr>
      </w:pPr>
      <w:r>
        <w:rPr>
          <w:rFonts w:ascii="Verdana" w:hAnsi="Verdana" w:cs="Arial"/>
          <w:b/>
        </w:rPr>
        <w:t>CVM:</w:t>
      </w:r>
    </w:p>
    <w:p>
      <w:pPr>
        <w:pStyle w:val="HOMEBRBullet"/>
        <w:numPr>
          <w:ilvl w:val="0"/>
          <w:numId w:val="0"/>
        </w:numPr>
        <w:spacing w:line="300" w:lineRule="exact"/>
        <w:ind w:left="360"/>
        <w:rPr>
          <w:rFonts w:ascii="Verdana" w:eastAsia="Tahoma" w:hAnsi="Verdana" w:cs="Arial"/>
        </w:rPr>
      </w:pPr>
      <w:r>
        <w:rPr>
          <w:rFonts w:ascii="Verdana" w:hAnsi="Verdana" w:cs="Arial"/>
        </w:rPr>
        <w:t>http://www.cvm.gov.br</w:t>
      </w:r>
      <w:r>
        <w:rPr>
          <w:rFonts w:ascii="Verdana" w:eastAsia="Tahoma" w:hAnsi="Verdana" w:cs="Arial"/>
        </w:rPr>
        <w:t xml:space="preserve"> (neste </w:t>
      </w:r>
      <w:r>
        <w:rPr>
          <w:rFonts w:ascii="Verdana" w:eastAsia="Tahoma" w:hAnsi="Verdana" w:cs="Arial"/>
          <w:i/>
        </w:rPr>
        <w:t>website</w:t>
      </w:r>
      <w:r>
        <w:rPr>
          <w:rFonts w:ascii="Verdana" w:eastAsia="Tahoma" w:hAnsi="Verdana" w:cs="Arial"/>
        </w:rPr>
        <w:t>, no canto esquerdo, acessar “Central de Sistemas” na página inicial, acessar “Informações sobre Companhias”, em seguida “Informações periódicas e eventuais (ITR, DFs, Fatos Relevantes, Comunicados ao Mercado, entre outros)”. Na nova página, digitar “RUMO” e clicar em “Continuar”. Em seguida, clicar em “RUMO S.A”. Na sequência, selecionar “Documentos de Oferta de Distribuição Pública”. Clicar</w:t>
      </w:r>
      <w:r>
        <w:rPr>
          <w:rFonts w:ascii="Verdana" w:hAnsi="Verdana" w:cs="Arial"/>
        </w:rPr>
        <w:t xml:space="preserve"> </w:t>
      </w:r>
      <w:r>
        <w:rPr>
          <w:rFonts w:ascii="Verdana" w:eastAsia="Tahoma" w:hAnsi="Verdana" w:cs="Arial"/>
        </w:rPr>
        <w:t>em</w:t>
      </w:r>
      <w:r>
        <w:rPr>
          <w:rFonts w:ascii="Verdana" w:hAnsi="Verdana" w:cs="Arial"/>
        </w:rPr>
        <w:t xml:space="preserve"> </w:t>
      </w:r>
      <w:r>
        <w:rPr>
          <w:rFonts w:ascii="Verdana" w:hAnsi="Verdana" w:cs="Arial"/>
          <w:i/>
          <w:iCs/>
        </w:rPr>
        <w:t xml:space="preserve">download </w:t>
      </w:r>
      <w:r>
        <w:rPr>
          <w:rFonts w:ascii="Verdana" w:eastAsia="Tahoma" w:hAnsi="Verdana" w:cs="Arial"/>
        </w:rPr>
        <w:t>do</w:t>
      </w:r>
      <w:r>
        <w:rPr>
          <w:rFonts w:ascii="Verdana" w:hAnsi="Verdana" w:cs="Arial"/>
          <w:iCs/>
        </w:rPr>
        <w:t xml:space="preserve"> </w:t>
      </w:r>
      <w:r>
        <w:rPr>
          <w:rFonts w:ascii="Verdana" w:eastAsia="Tahoma" w:hAnsi="Verdana" w:cs="Arial"/>
        </w:rPr>
        <w:t>Anúncio de Encerramento); e</w:t>
      </w:r>
    </w:p>
    <w:p>
      <w:pPr>
        <w:pStyle w:val="HOMEBRBullet"/>
        <w:spacing w:after="0" w:line="300" w:lineRule="exact"/>
        <w:ind w:left="357" w:hanging="357"/>
        <w:rPr>
          <w:rFonts w:ascii="Verdana" w:hAnsi="Verdana" w:cs="Arial"/>
        </w:rPr>
      </w:pPr>
      <w:r>
        <w:rPr>
          <w:rFonts w:ascii="Verdana" w:hAnsi="Verdana" w:cs="Arial"/>
          <w:b/>
        </w:rPr>
        <w:t>B3 e B3 – Segmento Cetip UTVM:</w:t>
      </w:r>
    </w:p>
    <w:p>
      <w:pPr>
        <w:pStyle w:val="HOMEBRBullet"/>
        <w:numPr>
          <w:ilvl w:val="0"/>
          <w:numId w:val="0"/>
        </w:numPr>
        <w:spacing w:line="300" w:lineRule="exact"/>
        <w:ind w:left="360"/>
        <w:rPr>
          <w:rFonts w:ascii="Verdana" w:hAnsi="Verdana" w:cs="Arial"/>
        </w:rPr>
      </w:pPr>
      <w:r>
        <w:rPr>
          <w:rFonts w:ascii="Verdana" w:hAnsi="Verdana" w:cs="Arial"/>
        </w:rPr>
        <w:t xml:space="preserve">http://www.b3.com.br/pt_br/produtos-e-servicos/negociacao/renda-variavel/empresas-listadas.htm </w:t>
      </w:r>
      <w:r>
        <w:rPr>
          <w:rFonts w:ascii="Verdana" w:eastAsia="Tahoma" w:hAnsi="Verdana" w:cs="Arial"/>
          <w:color w:val="000000"/>
          <w:spacing w:val="6"/>
        </w:rPr>
        <w:t xml:space="preserve">(neste </w:t>
      </w:r>
      <w:r>
        <w:rPr>
          <w:rFonts w:ascii="Verdana" w:eastAsia="Tahoma" w:hAnsi="Verdana" w:cs="Arial"/>
          <w:i/>
          <w:color w:val="000000"/>
          <w:spacing w:val="6"/>
        </w:rPr>
        <w:t>website</w:t>
      </w:r>
      <w:r>
        <w:rPr>
          <w:rFonts w:ascii="Verdana" w:eastAsia="Tahoma" w:hAnsi="Verdana" w:cs="Arial"/>
          <w:color w:val="000000"/>
          <w:spacing w:val="6"/>
        </w:rPr>
        <w:t>, digitar “</w:t>
      </w:r>
      <w:r>
        <w:rPr>
          <w:rFonts w:ascii="Verdana" w:eastAsia="Tahoma" w:hAnsi="Verdana" w:cs="Arial"/>
          <w:spacing w:val="6"/>
        </w:rPr>
        <w:t>RUMO</w:t>
      </w:r>
      <w:r>
        <w:rPr>
          <w:rFonts w:ascii="Verdana" w:eastAsia="Tahoma" w:hAnsi="Verdana" w:cs="Arial"/>
          <w:color w:val="000000"/>
          <w:spacing w:val="6"/>
        </w:rPr>
        <w:t>”, clicar em “Buscar”, depois clicar em “</w:t>
      </w:r>
      <w:r>
        <w:rPr>
          <w:rFonts w:ascii="Verdana" w:hAnsi="Verdana" w:cs="Arial"/>
          <w:bCs/>
        </w:rPr>
        <w:t>RUMO S.A”</w:t>
      </w:r>
      <w:r>
        <w:rPr>
          <w:rFonts w:ascii="Verdana" w:eastAsia="Tahoma" w:hAnsi="Verdana" w:cs="Arial"/>
          <w:color w:val="000000"/>
          <w:spacing w:val="6"/>
        </w:rPr>
        <w:t>. Na nova página,</w:t>
      </w:r>
      <w:r>
        <w:rPr>
          <w:rFonts w:ascii="Verdana" w:hAnsi="Verdana" w:cs="Arial"/>
        </w:rPr>
        <w:t xml:space="preserve"> clicar em “Informações Relevantes”, depois em “Documentos de Oferta de Distribuição Pública”, e, em seguida, clicar no Anúncio de Encerramento da 13ª Emissão de Debêntures da Emissora</w:t>
      </w:r>
      <w:r>
        <w:rPr>
          <w:rFonts w:ascii="Verdana" w:hAnsi="Verdana" w:cs="Arial"/>
          <w:bCs/>
        </w:rPr>
        <w:t>).</w:t>
      </w:r>
    </w:p>
    <w:p>
      <w:pPr>
        <w:pStyle w:val="Ttulo1"/>
        <w:spacing w:line="300" w:lineRule="exact"/>
        <w:rPr>
          <w:rFonts w:ascii="Verdana" w:hAnsi="Verdana"/>
          <w:lang w:val="pt-BR"/>
        </w:rPr>
      </w:pPr>
      <w:bookmarkStart w:id="38" w:name="_Toc484715950"/>
      <w:r>
        <w:rPr>
          <w:rFonts w:ascii="Verdana" w:hAnsi="Verdana"/>
          <w:lang w:val="pt-BR"/>
        </w:rPr>
        <w:lastRenderedPageBreak/>
        <w:t>INFORMAÇÕES RELATIVAS À EMISSÃO, À OFERTA E ÀS DEBÊNTURES</w:t>
      </w:r>
      <w:bookmarkEnd w:id="38"/>
    </w:p>
    <w:p>
      <w:pPr>
        <w:pStyle w:val="Ttulo3"/>
        <w:spacing w:line="300" w:lineRule="exact"/>
        <w:rPr>
          <w:rFonts w:ascii="Verdana" w:hAnsi="Verdana"/>
          <w:lang w:val="pt-BR"/>
        </w:rPr>
      </w:pPr>
      <w:bookmarkStart w:id="39" w:name="_Toc428306461"/>
      <w:bookmarkStart w:id="40" w:name="_Ref434935674"/>
      <w:bookmarkStart w:id="41" w:name="_Toc484715951"/>
      <w:r>
        <w:rPr>
          <w:rFonts w:ascii="Verdana" w:hAnsi="Verdana"/>
          <w:lang w:val="pt-BR"/>
        </w:rPr>
        <w:t>COMPOSIÇÃO DO CAPITAL SOCIAL</w:t>
      </w:r>
      <w:bookmarkEnd w:id="39"/>
      <w:r>
        <w:rPr>
          <w:rFonts w:ascii="Verdana" w:hAnsi="Verdana"/>
          <w:lang w:val="pt-BR"/>
        </w:rPr>
        <w:t xml:space="preserve"> DA EMISSORA</w:t>
      </w:r>
      <w:bookmarkEnd w:id="40"/>
      <w:bookmarkEnd w:id="41"/>
      <w:r>
        <w:rPr>
          <w:rFonts w:ascii="Verdana" w:hAnsi="Verdana"/>
          <w:lang w:val="pt-BR"/>
        </w:rPr>
        <w:t xml:space="preserve"> </w:t>
      </w:r>
    </w:p>
    <w:p>
      <w:pPr>
        <w:spacing w:after="140" w:line="300" w:lineRule="exact"/>
        <w:ind w:right="23"/>
        <w:rPr>
          <w:rFonts w:ascii="Verdana" w:eastAsia="Arial" w:hAnsi="Verdana" w:cs="Arial"/>
          <w:b/>
          <w:lang w:val="pt-BR"/>
        </w:rPr>
      </w:pPr>
      <w:r>
        <w:rPr>
          <w:rFonts w:ascii="Verdana" w:hAnsi="Verdana" w:cs="Arial"/>
          <w:lang w:val="pt-BR"/>
        </w:rPr>
        <w:t>Na data deste Prospecto, o capital social da Emissora é de R$ 9.654.897.097,82 (nove bilhões, seiscentos e cinquenta e quatro mil, oitocentos e noventa e sete reais e oitenta e dois centavos), totalmente subscrito e integralizado, representado por 1.559.015.898 (um bilhão, quinhentos e cinquenta e nove milhões, quinze mil e oitocentos e noventa e oito) ações ordinárias, todas nominativas e sem valor nominal.</w:t>
      </w:r>
    </w:p>
    <w:p>
      <w:pPr>
        <w:spacing w:before="140" w:after="0" w:line="300" w:lineRule="exact"/>
        <w:ind w:right="20"/>
        <w:rPr>
          <w:rFonts w:ascii="Verdana" w:hAnsi="Verdana" w:cs="Arial"/>
          <w:lang w:val="pt-BR"/>
        </w:rPr>
      </w:pPr>
      <w:r>
        <w:rPr>
          <w:rFonts w:ascii="Verdana" w:hAnsi="Verdana" w:cs="Arial"/>
          <w:lang w:val="pt-BR"/>
        </w:rPr>
        <w:t xml:space="preserve">A tabela abaixo demonstra a distribuição do capital social da Emissora entre os acionistas com participação relevante acima de 5% (cinco por cento) do capital social da Companhia na data deste Prospecto: </w:t>
      </w:r>
    </w:p>
    <w:p>
      <w:pPr>
        <w:spacing w:before="140" w:after="0" w:line="300" w:lineRule="exact"/>
        <w:ind w:right="20"/>
        <w:rPr>
          <w:rFonts w:ascii="Verdana" w:hAnsi="Verdana" w:cs="Arial"/>
          <w:lang w:val="pt-BR"/>
        </w:rPr>
      </w:pPr>
    </w:p>
    <w:tbl>
      <w:tblPr>
        <w:tblW w:w="5129" w:type="pct"/>
        <w:tblLayout w:type="fixed"/>
        <w:tblCellMar>
          <w:left w:w="0" w:type="dxa"/>
          <w:right w:w="0" w:type="dxa"/>
        </w:tblCellMar>
        <w:tblLook w:val="01E0" w:firstRow="1" w:lastRow="1" w:firstColumn="1" w:lastColumn="1" w:noHBand="0" w:noVBand="0"/>
      </w:tblPr>
      <w:tblGrid>
        <w:gridCol w:w="1564"/>
        <w:gridCol w:w="1273"/>
        <w:gridCol w:w="1413"/>
        <w:gridCol w:w="1271"/>
        <w:gridCol w:w="1141"/>
        <w:gridCol w:w="1264"/>
        <w:gridCol w:w="1130"/>
      </w:tblGrid>
      <w:tr>
        <w:trPr>
          <w:trHeight w:val="397"/>
        </w:trPr>
        <w:tc>
          <w:tcPr>
            <w:tcW w:w="863" w:type="pct"/>
            <w:tcBorders>
              <w:top w:val="single" w:sz="4" w:space="0" w:color="000000"/>
              <w:left w:val="single" w:sz="4" w:space="0" w:color="000000"/>
              <w:bottom w:val="nil"/>
              <w:right w:val="single" w:sz="4" w:space="0" w:color="000000"/>
            </w:tcBorders>
            <w:shd w:val="clear" w:color="auto" w:fill="CCCCCC"/>
            <w:vAlign w:val="center"/>
            <w:hideMark/>
          </w:tcPr>
          <w:p>
            <w:pPr>
              <w:widowControl w:val="0"/>
              <w:spacing w:after="0" w:line="300" w:lineRule="exact"/>
              <w:ind w:right="142"/>
              <w:jc w:val="center"/>
              <w:rPr>
                <w:rFonts w:ascii="Verdana" w:hAnsi="Verdana" w:cs="Arial"/>
                <w:sz w:val="18"/>
                <w:szCs w:val="18"/>
              </w:rPr>
            </w:pPr>
            <w:r>
              <w:rPr>
                <w:rFonts w:ascii="Verdana" w:hAnsi="Verdana" w:cs="Arial"/>
                <w:b/>
                <w:bCs/>
                <w:spacing w:val="-4"/>
                <w:sz w:val="18"/>
                <w:szCs w:val="18"/>
              </w:rPr>
              <w:t>A</w:t>
            </w:r>
            <w:r>
              <w:rPr>
                <w:rFonts w:ascii="Verdana" w:hAnsi="Verdana" w:cs="Arial"/>
                <w:b/>
                <w:bCs/>
                <w:spacing w:val="2"/>
                <w:sz w:val="18"/>
                <w:szCs w:val="18"/>
              </w:rPr>
              <w:t>c</w:t>
            </w:r>
            <w:r>
              <w:rPr>
                <w:rFonts w:ascii="Verdana" w:hAnsi="Verdana" w:cs="Arial"/>
                <w:b/>
                <w:bCs/>
                <w:spacing w:val="1"/>
                <w:sz w:val="18"/>
                <w:szCs w:val="18"/>
              </w:rPr>
              <w:t>i</w:t>
            </w:r>
            <w:r>
              <w:rPr>
                <w:rFonts w:ascii="Verdana" w:hAnsi="Verdana" w:cs="Arial"/>
                <w:b/>
                <w:bCs/>
                <w:sz w:val="18"/>
                <w:szCs w:val="18"/>
              </w:rPr>
              <w:t>oni</w:t>
            </w:r>
            <w:r>
              <w:rPr>
                <w:rFonts w:ascii="Verdana" w:hAnsi="Verdana" w:cs="Arial"/>
                <w:b/>
                <w:bCs/>
                <w:spacing w:val="1"/>
                <w:sz w:val="18"/>
                <w:szCs w:val="18"/>
              </w:rPr>
              <w:t>s</w:t>
            </w:r>
            <w:r>
              <w:rPr>
                <w:rFonts w:ascii="Verdana" w:hAnsi="Verdana" w:cs="Arial"/>
                <w:b/>
                <w:bCs/>
                <w:sz w:val="18"/>
                <w:szCs w:val="18"/>
              </w:rPr>
              <w:t>ta</w:t>
            </w:r>
          </w:p>
        </w:tc>
        <w:tc>
          <w:tcPr>
            <w:tcW w:w="703" w:type="pct"/>
            <w:tcBorders>
              <w:top w:val="single" w:sz="4" w:space="0" w:color="000000"/>
              <w:left w:val="single" w:sz="4" w:space="0" w:color="000000"/>
              <w:bottom w:val="nil"/>
              <w:right w:val="single" w:sz="4" w:space="0" w:color="000000"/>
            </w:tcBorders>
            <w:shd w:val="clear" w:color="auto" w:fill="CCCCCC"/>
            <w:vAlign w:val="center"/>
            <w:hideMark/>
          </w:tcPr>
          <w:p>
            <w:pPr>
              <w:widowControl w:val="0"/>
              <w:spacing w:after="0" w:line="300" w:lineRule="exact"/>
              <w:jc w:val="center"/>
              <w:rPr>
                <w:rFonts w:ascii="Verdana" w:hAnsi="Verdana" w:cs="Arial"/>
                <w:sz w:val="18"/>
                <w:szCs w:val="18"/>
              </w:rPr>
            </w:pPr>
            <w:r>
              <w:rPr>
                <w:rFonts w:ascii="Verdana" w:hAnsi="Verdana" w:cs="Arial"/>
                <w:b/>
                <w:bCs/>
                <w:spacing w:val="-4"/>
                <w:sz w:val="18"/>
                <w:szCs w:val="18"/>
              </w:rPr>
              <w:t>A</w:t>
            </w:r>
            <w:r>
              <w:rPr>
                <w:rFonts w:ascii="Verdana" w:hAnsi="Verdana" w:cs="Arial"/>
                <w:b/>
                <w:bCs/>
                <w:spacing w:val="2"/>
                <w:sz w:val="18"/>
                <w:szCs w:val="18"/>
              </w:rPr>
              <w:t>ç</w:t>
            </w:r>
            <w:r>
              <w:rPr>
                <w:rFonts w:ascii="Verdana" w:hAnsi="Verdana" w:cs="Arial"/>
                <w:b/>
                <w:bCs/>
                <w:spacing w:val="1"/>
                <w:sz w:val="18"/>
                <w:szCs w:val="18"/>
              </w:rPr>
              <w:t>õ</w:t>
            </w:r>
            <w:r>
              <w:rPr>
                <w:rFonts w:ascii="Verdana" w:hAnsi="Verdana" w:cs="Arial"/>
                <w:b/>
                <w:bCs/>
                <w:sz w:val="18"/>
                <w:szCs w:val="18"/>
              </w:rPr>
              <w:t>es Ordinárias</w:t>
            </w:r>
          </w:p>
        </w:tc>
        <w:tc>
          <w:tcPr>
            <w:tcW w:w="780" w:type="pct"/>
            <w:tcBorders>
              <w:top w:val="single" w:sz="4" w:space="0" w:color="000000"/>
              <w:left w:val="single" w:sz="4" w:space="0" w:color="000000"/>
              <w:bottom w:val="nil"/>
              <w:right w:val="single" w:sz="4" w:space="0" w:color="000000"/>
            </w:tcBorders>
            <w:shd w:val="clear" w:color="auto" w:fill="CCCCCC"/>
            <w:vAlign w:val="center"/>
            <w:hideMark/>
          </w:tcPr>
          <w:p>
            <w:pPr>
              <w:widowControl w:val="0"/>
              <w:spacing w:after="0" w:line="300" w:lineRule="exact"/>
              <w:ind w:left="-10" w:right="-28"/>
              <w:jc w:val="center"/>
              <w:rPr>
                <w:rFonts w:ascii="Verdana" w:hAnsi="Verdana" w:cs="Arial"/>
                <w:sz w:val="18"/>
                <w:szCs w:val="18"/>
              </w:rPr>
            </w:pPr>
            <w:r>
              <w:rPr>
                <w:rFonts w:ascii="Verdana" w:hAnsi="Verdana" w:cs="Arial"/>
                <w:b/>
                <w:bCs/>
                <w:sz w:val="18"/>
                <w:szCs w:val="18"/>
              </w:rPr>
              <w:t>Participa</w:t>
            </w:r>
            <w:r>
              <w:rPr>
                <w:rFonts w:ascii="Verdana" w:hAnsi="Verdana" w:cs="Arial"/>
                <w:b/>
                <w:bCs/>
                <w:spacing w:val="-1"/>
                <w:sz w:val="18"/>
                <w:szCs w:val="18"/>
              </w:rPr>
              <w:t>ç</w:t>
            </w:r>
            <w:r>
              <w:rPr>
                <w:rFonts w:ascii="Verdana" w:hAnsi="Verdana" w:cs="Arial"/>
                <w:b/>
                <w:bCs/>
                <w:sz w:val="18"/>
                <w:szCs w:val="18"/>
              </w:rPr>
              <w:t xml:space="preserve">ão </w:t>
            </w:r>
            <w:r>
              <w:rPr>
                <w:rFonts w:ascii="Verdana" w:hAnsi="Verdana" w:cs="Arial"/>
                <w:b/>
                <w:bCs/>
                <w:spacing w:val="3"/>
                <w:sz w:val="18"/>
                <w:szCs w:val="18"/>
              </w:rPr>
              <w:t>(</w:t>
            </w:r>
            <w:r>
              <w:rPr>
                <w:rFonts w:ascii="Verdana" w:hAnsi="Verdana" w:cs="Arial"/>
                <w:b/>
                <w:bCs/>
                <w:spacing w:val="-5"/>
                <w:sz w:val="18"/>
                <w:szCs w:val="18"/>
              </w:rPr>
              <w:t>%</w:t>
            </w:r>
            <w:r>
              <w:rPr>
                <w:rFonts w:ascii="Verdana" w:hAnsi="Verdana" w:cs="Arial"/>
                <w:b/>
                <w:bCs/>
                <w:sz w:val="18"/>
                <w:szCs w:val="18"/>
              </w:rPr>
              <w:t>)</w:t>
            </w:r>
          </w:p>
        </w:tc>
        <w:tc>
          <w:tcPr>
            <w:tcW w:w="702" w:type="pct"/>
            <w:tcBorders>
              <w:top w:val="single" w:sz="4" w:space="0" w:color="000000"/>
              <w:left w:val="single" w:sz="4" w:space="0" w:color="000000"/>
              <w:bottom w:val="nil"/>
              <w:right w:val="single" w:sz="4" w:space="0" w:color="000000"/>
            </w:tcBorders>
            <w:shd w:val="clear" w:color="auto" w:fill="CCCCCC"/>
            <w:vAlign w:val="center"/>
            <w:hideMark/>
          </w:tcPr>
          <w:p>
            <w:pPr>
              <w:widowControl w:val="0"/>
              <w:spacing w:after="0" w:line="300" w:lineRule="exact"/>
              <w:jc w:val="center"/>
              <w:rPr>
                <w:rFonts w:ascii="Verdana" w:hAnsi="Verdana" w:cs="Arial"/>
                <w:sz w:val="18"/>
                <w:szCs w:val="18"/>
              </w:rPr>
            </w:pPr>
            <w:r>
              <w:rPr>
                <w:rFonts w:ascii="Verdana" w:hAnsi="Verdana" w:cs="Arial"/>
                <w:b/>
                <w:bCs/>
                <w:spacing w:val="-4"/>
                <w:sz w:val="18"/>
                <w:szCs w:val="18"/>
              </w:rPr>
              <w:t>A</w:t>
            </w:r>
            <w:r>
              <w:rPr>
                <w:rFonts w:ascii="Verdana" w:hAnsi="Verdana" w:cs="Arial"/>
                <w:b/>
                <w:bCs/>
                <w:spacing w:val="2"/>
                <w:sz w:val="18"/>
                <w:szCs w:val="18"/>
              </w:rPr>
              <w:t>ç</w:t>
            </w:r>
            <w:r>
              <w:rPr>
                <w:rFonts w:ascii="Verdana" w:hAnsi="Verdana" w:cs="Arial"/>
                <w:b/>
                <w:bCs/>
                <w:spacing w:val="1"/>
                <w:sz w:val="18"/>
                <w:szCs w:val="18"/>
              </w:rPr>
              <w:t>õ</w:t>
            </w:r>
            <w:r>
              <w:rPr>
                <w:rFonts w:ascii="Verdana" w:hAnsi="Verdana" w:cs="Arial"/>
                <w:b/>
                <w:bCs/>
                <w:sz w:val="18"/>
                <w:szCs w:val="18"/>
              </w:rPr>
              <w:t>es Prefer</w:t>
            </w:r>
            <w:r>
              <w:rPr>
                <w:rFonts w:ascii="Verdana" w:hAnsi="Verdana" w:cs="Arial"/>
                <w:b/>
                <w:bCs/>
                <w:spacing w:val="1"/>
                <w:sz w:val="18"/>
                <w:szCs w:val="18"/>
              </w:rPr>
              <w:t>e</w:t>
            </w:r>
            <w:r>
              <w:rPr>
                <w:rFonts w:ascii="Verdana" w:hAnsi="Verdana" w:cs="Arial"/>
                <w:b/>
                <w:bCs/>
                <w:sz w:val="18"/>
                <w:szCs w:val="18"/>
              </w:rPr>
              <w:t>n</w:t>
            </w:r>
            <w:r>
              <w:rPr>
                <w:rFonts w:ascii="Verdana" w:hAnsi="Verdana" w:cs="Arial"/>
                <w:b/>
                <w:bCs/>
                <w:spacing w:val="-1"/>
                <w:sz w:val="18"/>
                <w:szCs w:val="18"/>
              </w:rPr>
              <w:t>c</w:t>
            </w:r>
            <w:r>
              <w:rPr>
                <w:rFonts w:ascii="Verdana" w:hAnsi="Verdana" w:cs="Arial"/>
                <w:b/>
                <w:bCs/>
                <w:sz w:val="18"/>
                <w:szCs w:val="18"/>
              </w:rPr>
              <w:t>i</w:t>
            </w:r>
            <w:r>
              <w:rPr>
                <w:rFonts w:ascii="Verdana" w:hAnsi="Verdana" w:cs="Arial"/>
                <w:b/>
                <w:bCs/>
                <w:spacing w:val="1"/>
                <w:sz w:val="18"/>
                <w:szCs w:val="18"/>
              </w:rPr>
              <w:t>a</w:t>
            </w:r>
            <w:r>
              <w:rPr>
                <w:rFonts w:ascii="Verdana" w:hAnsi="Verdana" w:cs="Arial"/>
                <w:b/>
                <w:bCs/>
                <w:spacing w:val="-1"/>
                <w:sz w:val="18"/>
                <w:szCs w:val="18"/>
              </w:rPr>
              <w:t>i</w:t>
            </w:r>
            <w:r>
              <w:rPr>
                <w:rFonts w:ascii="Verdana" w:hAnsi="Verdana" w:cs="Arial"/>
                <w:b/>
                <w:bCs/>
                <w:sz w:val="18"/>
                <w:szCs w:val="18"/>
              </w:rPr>
              <w:t>s</w:t>
            </w:r>
          </w:p>
        </w:tc>
        <w:tc>
          <w:tcPr>
            <w:tcW w:w="630" w:type="pct"/>
            <w:tcBorders>
              <w:top w:val="single" w:sz="4" w:space="0" w:color="000000"/>
              <w:left w:val="single" w:sz="4" w:space="0" w:color="000000"/>
              <w:bottom w:val="nil"/>
              <w:right w:val="single" w:sz="4" w:space="0" w:color="000000"/>
            </w:tcBorders>
            <w:shd w:val="clear" w:color="auto" w:fill="CCCCCC"/>
            <w:vAlign w:val="center"/>
            <w:hideMark/>
          </w:tcPr>
          <w:p>
            <w:pPr>
              <w:widowControl w:val="0"/>
              <w:spacing w:after="0" w:line="300" w:lineRule="exact"/>
              <w:jc w:val="center"/>
              <w:rPr>
                <w:rFonts w:ascii="Verdana" w:hAnsi="Verdana" w:cs="Arial"/>
                <w:sz w:val="18"/>
                <w:szCs w:val="18"/>
              </w:rPr>
            </w:pPr>
            <w:r>
              <w:rPr>
                <w:rFonts w:ascii="Verdana" w:hAnsi="Verdana" w:cs="Arial"/>
                <w:b/>
                <w:bCs/>
                <w:sz w:val="18"/>
                <w:szCs w:val="18"/>
              </w:rPr>
              <w:t>Participa</w:t>
            </w:r>
            <w:r>
              <w:rPr>
                <w:rFonts w:ascii="Verdana" w:hAnsi="Verdana" w:cs="Arial"/>
                <w:b/>
                <w:bCs/>
                <w:spacing w:val="-1"/>
                <w:sz w:val="18"/>
                <w:szCs w:val="18"/>
              </w:rPr>
              <w:t>ç</w:t>
            </w:r>
            <w:r>
              <w:rPr>
                <w:rFonts w:ascii="Verdana" w:hAnsi="Verdana" w:cs="Arial"/>
                <w:b/>
                <w:bCs/>
                <w:sz w:val="18"/>
                <w:szCs w:val="18"/>
              </w:rPr>
              <w:t xml:space="preserve">ão </w:t>
            </w:r>
            <w:r>
              <w:rPr>
                <w:rFonts w:ascii="Verdana" w:hAnsi="Verdana" w:cs="Arial"/>
                <w:b/>
                <w:bCs/>
                <w:spacing w:val="3"/>
                <w:sz w:val="18"/>
                <w:szCs w:val="18"/>
              </w:rPr>
              <w:t>(</w:t>
            </w:r>
            <w:r>
              <w:rPr>
                <w:rFonts w:ascii="Verdana" w:hAnsi="Verdana" w:cs="Arial"/>
                <w:b/>
                <w:bCs/>
                <w:spacing w:val="-5"/>
                <w:sz w:val="18"/>
                <w:szCs w:val="18"/>
              </w:rPr>
              <w:t>%</w:t>
            </w:r>
            <w:r>
              <w:rPr>
                <w:rFonts w:ascii="Verdana" w:hAnsi="Verdana" w:cs="Arial"/>
                <w:b/>
                <w:bCs/>
                <w:sz w:val="18"/>
                <w:szCs w:val="18"/>
              </w:rPr>
              <w:t>)</w:t>
            </w:r>
          </w:p>
        </w:tc>
        <w:tc>
          <w:tcPr>
            <w:tcW w:w="698" w:type="pct"/>
            <w:tcBorders>
              <w:top w:val="single" w:sz="4" w:space="0" w:color="000000"/>
              <w:left w:val="single" w:sz="4" w:space="0" w:color="000000"/>
              <w:bottom w:val="nil"/>
              <w:right w:val="single" w:sz="4" w:space="0" w:color="000000"/>
            </w:tcBorders>
            <w:shd w:val="clear" w:color="auto" w:fill="CCCCCC"/>
            <w:vAlign w:val="center"/>
            <w:hideMark/>
          </w:tcPr>
          <w:p>
            <w:pPr>
              <w:widowControl w:val="0"/>
              <w:spacing w:after="0" w:line="300" w:lineRule="exact"/>
              <w:jc w:val="center"/>
              <w:rPr>
                <w:rFonts w:ascii="Verdana" w:hAnsi="Verdana" w:cs="Arial"/>
                <w:sz w:val="18"/>
                <w:szCs w:val="18"/>
              </w:rPr>
            </w:pPr>
            <w:r>
              <w:rPr>
                <w:rFonts w:ascii="Verdana" w:hAnsi="Verdana" w:cs="Arial"/>
                <w:b/>
                <w:bCs/>
                <w:spacing w:val="-2"/>
                <w:sz w:val="18"/>
                <w:szCs w:val="18"/>
              </w:rPr>
              <w:t>T</w:t>
            </w:r>
            <w:r>
              <w:rPr>
                <w:rFonts w:ascii="Verdana" w:hAnsi="Verdana" w:cs="Arial"/>
                <w:b/>
                <w:bCs/>
                <w:sz w:val="18"/>
                <w:szCs w:val="18"/>
              </w:rPr>
              <w:t>ot</w:t>
            </w:r>
            <w:r>
              <w:rPr>
                <w:rFonts w:ascii="Verdana" w:hAnsi="Verdana" w:cs="Arial"/>
                <w:b/>
                <w:bCs/>
                <w:spacing w:val="1"/>
                <w:sz w:val="18"/>
                <w:szCs w:val="18"/>
              </w:rPr>
              <w:t>a</w:t>
            </w:r>
            <w:r>
              <w:rPr>
                <w:rFonts w:ascii="Verdana" w:hAnsi="Verdana" w:cs="Arial"/>
                <w:b/>
                <w:bCs/>
                <w:sz w:val="18"/>
                <w:szCs w:val="18"/>
              </w:rPr>
              <w:t xml:space="preserve">l </w:t>
            </w:r>
            <w:r>
              <w:rPr>
                <w:rFonts w:ascii="Verdana" w:hAnsi="Verdana" w:cs="Arial"/>
                <w:b/>
                <w:bCs/>
                <w:spacing w:val="-4"/>
                <w:sz w:val="18"/>
                <w:szCs w:val="18"/>
              </w:rPr>
              <w:t>A</w:t>
            </w:r>
            <w:r>
              <w:rPr>
                <w:rFonts w:ascii="Verdana" w:hAnsi="Verdana" w:cs="Arial"/>
                <w:b/>
                <w:bCs/>
                <w:spacing w:val="2"/>
                <w:sz w:val="18"/>
                <w:szCs w:val="18"/>
              </w:rPr>
              <w:t>ç</w:t>
            </w:r>
            <w:r>
              <w:rPr>
                <w:rFonts w:ascii="Verdana" w:hAnsi="Verdana" w:cs="Arial"/>
                <w:b/>
                <w:bCs/>
                <w:spacing w:val="1"/>
                <w:sz w:val="18"/>
                <w:szCs w:val="18"/>
              </w:rPr>
              <w:t>õ</w:t>
            </w:r>
            <w:r>
              <w:rPr>
                <w:rFonts w:ascii="Verdana" w:hAnsi="Verdana" w:cs="Arial"/>
                <w:b/>
                <w:bCs/>
                <w:sz w:val="18"/>
                <w:szCs w:val="18"/>
              </w:rPr>
              <w:t>es</w:t>
            </w:r>
          </w:p>
        </w:tc>
        <w:tc>
          <w:tcPr>
            <w:tcW w:w="624" w:type="pct"/>
            <w:tcBorders>
              <w:top w:val="single" w:sz="4" w:space="0" w:color="000000"/>
              <w:left w:val="single" w:sz="4" w:space="0" w:color="000000"/>
              <w:bottom w:val="nil"/>
              <w:right w:val="single" w:sz="4" w:space="0" w:color="000000"/>
            </w:tcBorders>
            <w:shd w:val="clear" w:color="auto" w:fill="CCCCCC"/>
            <w:vAlign w:val="center"/>
            <w:hideMark/>
          </w:tcPr>
          <w:p>
            <w:pPr>
              <w:widowControl w:val="0"/>
              <w:spacing w:after="0" w:line="300" w:lineRule="exact"/>
              <w:ind w:left="12" w:right="-65"/>
              <w:jc w:val="center"/>
              <w:rPr>
                <w:rFonts w:ascii="Verdana" w:hAnsi="Verdana" w:cs="Arial"/>
                <w:sz w:val="18"/>
                <w:szCs w:val="18"/>
              </w:rPr>
            </w:pPr>
            <w:r>
              <w:rPr>
                <w:rFonts w:ascii="Verdana" w:hAnsi="Verdana" w:cs="Arial"/>
                <w:b/>
                <w:bCs/>
                <w:sz w:val="18"/>
                <w:szCs w:val="18"/>
              </w:rPr>
              <w:t>Participa</w:t>
            </w:r>
            <w:r>
              <w:rPr>
                <w:rFonts w:ascii="Verdana" w:hAnsi="Verdana" w:cs="Arial"/>
                <w:b/>
                <w:bCs/>
                <w:spacing w:val="-1"/>
                <w:sz w:val="18"/>
                <w:szCs w:val="18"/>
              </w:rPr>
              <w:t>ç</w:t>
            </w:r>
            <w:r>
              <w:rPr>
                <w:rFonts w:ascii="Verdana" w:hAnsi="Verdana" w:cs="Arial"/>
                <w:b/>
                <w:bCs/>
                <w:sz w:val="18"/>
                <w:szCs w:val="18"/>
              </w:rPr>
              <w:t xml:space="preserve">ão </w:t>
            </w:r>
            <w:r>
              <w:rPr>
                <w:rFonts w:ascii="Verdana" w:hAnsi="Verdana" w:cs="Arial"/>
                <w:b/>
                <w:bCs/>
                <w:spacing w:val="3"/>
                <w:sz w:val="18"/>
                <w:szCs w:val="18"/>
              </w:rPr>
              <w:t>(</w:t>
            </w:r>
            <w:r>
              <w:rPr>
                <w:rFonts w:ascii="Verdana" w:hAnsi="Verdana" w:cs="Arial"/>
                <w:b/>
                <w:bCs/>
                <w:spacing w:val="-5"/>
                <w:sz w:val="18"/>
                <w:szCs w:val="18"/>
              </w:rPr>
              <w:t>%</w:t>
            </w:r>
            <w:r>
              <w:rPr>
                <w:rFonts w:ascii="Verdana" w:hAnsi="Verdana" w:cs="Arial"/>
                <w:b/>
                <w:bCs/>
                <w:sz w:val="18"/>
                <w:szCs w:val="18"/>
              </w:rPr>
              <w:t>)</w:t>
            </w:r>
          </w:p>
        </w:tc>
      </w:tr>
      <w:tr>
        <w:trPr>
          <w:trHeight w:val="397"/>
        </w:trPr>
        <w:tc>
          <w:tcPr>
            <w:tcW w:w="863" w:type="pct"/>
            <w:tcBorders>
              <w:top w:val="single" w:sz="4" w:space="0" w:color="000000"/>
              <w:left w:val="single" w:sz="4" w:space="0" w:color="000000"/>
              <w:bottom w:val="single" w:sz="4" w:space="0" w:color="000000"/>
              <w:right w:val="single" w:sz="4" w:space="0" w:color="000000"/>
            </w:tcBorders>
            <w:vAlign w:val="center"/>
            <w:hideMark/>
          </w:tcPr>
          <w:p>
            <w:pPr>
              <w:widowControl w:val="0"/>
              <w:spacing w:after="0" w:line="300" w:lineRule="exact"/>
              <w:ind w:left="157" w:right="142"/>
              <w:jc w:val="center"/>
              <w:rPr>
                <w:rFonts w:ascii="Verdana" w:hAnsi="Verdana" w:cs="Arial"/>
                <w:sz w:val="18"/>
                <w:szCs w:val="18"/>
                <w:lang w:val="pt-BR"/>
              </w:rPr>
            </w:pPr>
            <w:r>
              <w:rPr>
                <w:rFonts w:ascii="Verdana" w:hAnsi="Verdana" w:cs="Arial"/>
                <w:sz w:val="18"/>
                <w:szCs w:val="18"/>
                <w:lang w:val="pt-BR"/>
              </w:rPr>
              <w:t>Cosan Logística S.A.</w:t>
            </w:r>
          </w:p>
        </w:tc>
        <w:tc>
          <w:tcPr>
            <w:tcW w:w="703" w:type="pct"/>
            <w:tcBorders>
              <w:top w:val="single" w:sz="4" w:space="0" w:color="000000"/>
              <w:left w:val="single" w:sz="4" w:space="0" w:color="000000"/>
              <w:bottom w:val="single" w:sz="4" w:space="0" w:color="000000"/>
              <w:right w:val="single" w:sz="4" w:space="0" w:color="000000"/>
            </w:tcBorders>
            <w:vAlign w:val="center"/>
            <w:hideMark/>
          </w:tcPr>
          <w:p>
            <w:pPr>
              <w:spacing w:line="300" w:lineRule="exact"/>
              <w:jc w:val="center"/>
              <w:rPr>
                <w:rFonts w:ascii="Verdana" w:hAnsi="Verdana" w:cs="Arial"/>
                <w:color w:val="000000"/>
                <w:sz w:val="18"/>
                <w:szCs w:val="18"/>
              </w:rPr>
            </w:pPr>
            <w:r>
              <w:rPr>
                <w:rFonts w:ascii="Verdana" w:hAnsi="Verdana" w:cs="Arial"/>
                <w:color w:val="000000"/>
                <w:sz w:val="18"/>
                <w:szCs w:val="18"/>
              </w:rPr>
              <w:t>443.843.194</w:t>
            </w:r>
          </w:p>
        </w:tc>
        <w:tc>
          <w:tcPr>
            <w:tcW w:w="780" w:type="pct"/>
            <w:tcBorders>
              <w:top w:val="single" w:sz="4" w:space="0" w:color="000000"/>
              <w:left w:val="single" w:sz="4" w:space="0" w:color="000000"/>
              <w:bottom w:val="single" w:sz="4" w:space="0" w:color="000000"/>
              <w:right w:val="single" w:sz="4" w:space="0" w:color="000000"/>
            </w:tcBorders>
            <w:vAlign w:val="center"/>
            <w:hideMark/>
          </w:tcPr>
          <w:p>
            <w:pPr>
              <w:widowControl w:val="0"/>
              <w:spacing w:after="0" w:line="300" w:lineRule="exact"/>
              <w:ind w:right="-20"/>
              <w:jc w:val="center"/>
              <w:rPr>
                <w:rFonts w:ascii="Verdana" w:hAnsi="Verdana" w:cs="Arial"/>
                <w:sz w:val="18"/>
                <w:szCs w:val="18"/>
              </w:rPr>
            </w:pPr>
            <w:r>
              <w:rPr>
                <w:rFonts w:ascii="Verdana" w:hAnsi="Verdana" w:cs="Arial"/>
                <w:color w:val="000000"/>
                <w:sz w:val="18"/>
                <w:szCs w:val="18"/>
              </w:rPr>
              <w:t>28,469%</w:t>
            </w:r>
          </w:p>
        </w:tc>
        <w:tc>
          <w:tcPr>
            <w:tcW w:w="702" w:type="pct"/>
            <w:tcBorders>
              <w:top w:val="single" w:sz="4" w:space="0" w:color="000000"/>
              <w:left w:val="single" w:sz="4" w:space="0" w:color="000000"/>
              <w:bottom w:val="single" w:sz="4" w:space="0" w:color="000000"/>
              <w:right w:val="single" w:sz="4" w:space="0" w:color="000000"/>
            </w:tcBorders>
            <w:vAlign w:val="center"/>
            <w:hideMark/>
          </w:tcPr>
          <w:p>
            <w:pPr>
              <w:spacing w:line="300" w:lineRule="exact"/>
              <w:jc w:val="center"/>
              <w:rPr>
                <w:rFonts w:ascii="Verdana" w:hAnsi="Verdana" w:cs="Arial"/>
                <w:color w:val="000000"/>
                <w:sz w:val="18"/>
                <w:szCs w:val="18"/>
              </w:rPr>
            </w:pPr>
            <w:r>
              <w:rPr>
                <w:rFonts w:ascii="Verdana" w:hAnsi="Verdana" w:cs="Arial"/>
                <w:color w:val="000000"/>
                <w:sz w:val="18"/>
                <w:szCs w:val="18"/>
              </w:rPr>
              <w:t>0</w:t>
            </w:r>
          </w:p>
        </w:tc>
        <w:tc>
          <w:tcPr>
            <w:tcW w:w="630" w:type="pct"/>
            <w:tcBorders>
              <w:top w:val="single" w:sz="4" w:space="0" w:color="000000"/>
              <w:left w:val="single" w:sz="4" w:space="0" w:color="000000"/>
              <w:bottom w:val="single" w:sz="4" w:space="0" w:color="000000"/>
              <w:right w:val="single" w:sz="4" w:space="0" w:color="000000"/>
            </w:tcBorders>
            <w:vAlign w:val="center"/>
            <w:hideMark/>
          </w:tcPr>
          <w:p>
            <w:pPr>
              <w:widowControl w:val="0"/>
              <w:spacing w:after="0" w:line="300" w:lineRule="exact"/>
              <w:ind w:right="-20"/>
              <w:jc w:val="center"/>
              <w:rPr>
                <w:rFonts w:ascii="Verdana" w:hAnsi="Verdana" w:cs="Arial"/>
                <w:sz w:val="18"/>
                <w:szCs w:val="18"/>
              </w:rPr>
            </w:pPr>
            <w:r>
              <w:rPr>
                <w:rFonts w:ascii="Verdana" w:hAnsi="Verdana" w:cs="Arial"/>
                <w:color w:val="000000"/>
                <w:sz w:val="18"/>
                <w:szCs w:val="18"/>
              </w:rPr>
              <w:t>0%</w:t>
            </w:r>
          </w:p>
        </w:tc>
        <w:tc>
          <w:tcPr>
            <w:tcW w:w="698" w:type="pct"/>
            <w:tcBorders>
              <w:top w:val="single" w:sz="4" w:space="0" w:color="000000"/>
              <w:left w:val="single" w:sz="4" w:space="0" w:color="000000"/>
              <w:bottom w:val="single" w:sz="4" w:space="0" w:color="000000"/>
              <w:right w:val="single" w:sz="4" w:space="0" w:color="000000"/>
            </w:tcBorders>
            <w:vAlign w:val="center"/>
            <w:hideMark/>
          </w:tcPr>
          <w:p>
            <w:pPr>
              <w:spacing w:line="300" w:lineRule="exact"/>
              <w:jc w:val="center"/>
              <w:rPr>
                <w:rFonts w:ascii="Verdana" w:hAnsi="Verdana" w:cs="Arial"/>
                <w:color w:val="000000"/>
                <w:sz w:val="18"/>
                <w:szCs w:val="18"/>
                <w:highlight w:val="yellow"/>
              </w:rPr>
            </w:pPr>
            <w:r>
              <w:rPr>
                <w:rFonts w:ascii="Verdana" w:hAnsi="Verdana" w:cs="Arial"/>
                <w:color w:val="000000"/>
                <w:sz w:val="18"/>
                <w:szCs w:val="18"/>
              </w:rPr>
              <w:t>443.843.194</w:t>
            </w:r>
          </w:p>
        </w:tc>
        <w:tc>
          <w:tcPr>
            <w:tcW w:w="624" w:type="pct"/>
            <w:tcBorders>
              <w:top w:val="single" w:sz="4" w:space="0" w:color="000000"/>
              <w:left w:val="single" w:sz="4" w:space="0" w:color="000000"/>
              <w:bottom w:val="single" w:sz="4" w:space="0" w:color="000000"/>
              <w:right w:val="single" w:sz="4" w:space="0" w:color="000000"/>
            </w:tcBorders>
            <w:vAlign w:val="center"/>
            <w:hideMark/>
          </w:tcPr>
          <w:p>
            <w:pPr>
              <w:widowControl w:val="0"/>
              <w:spacing w:after="0" w:line="300" w:lineRule="exact"/>
              <w:ind w:right="-20"/>
              <w:jc w:val="center"/>
              <w:rPr>
                <w:rFonts w:ascii="Verdana" w:hAnsi="Verdana" w:cs="Arial"/>
                <w:sz w:val="18"/>
                <w:szCs w:val="18"/>
              </w:rPr>
            </w:pPr>
            <w:r>
              <w:rPr>
                <w:rFonts w:ascii="Verdana" w:hAnsi="Verdana" w:cs="Arial"/>
                <w:color w:val="000000"/>
                <w:sz w:val="18"/>
                <w:szCs w:val="18"/>
              </w:rPr>
              <w:t>28,469%</w:t>
            </w:r>
          </w:p>
        </w:tc>
      </w:tr>
      <w:tr>
        <w:trPr>
          <w:trHeight w:val="397"/>
        </w:trPr>
        <w:tc>
          <w:tcPr>
            <w:tcW w:w="863"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pPr>
              <w:widowControl w:val="0"/>
              <w:spacing w:after="0" w:line="300" w:lineRule="exact"/>
              <w:ind w:left="157" w:right="142"/>
              <w:jc w:val="center"/>
              <w:rPr>
                <w:rFonts w:ascii="Verdana" w:hAnsi="Verdana" w:cs="Arial"/>
                <w:sz w:val="18"/>
                <w:szCs w:val="18"/>
                <w:lang w:val="pt-BR"/>
              </w:rPr>
            </w:pPr>
            <w:r>
              <w:rPr>
                <w:rFonts w:ascii="Verdana" w:hAnsi="Verdana" w:cs="Arial"/>
                <w:sz w:val="18"/>
                <w:szCs w:val="18"/>
                <w:lang w:val="pt-BR"/>
              </w:rPr>
              <w:t>Julia Dora Antonia Koranyi Arduini</w:t>
            </w:r>
          </w:p>
        </w:tc>
        <w:tc>
          <w:tcPr>
            <w:tcW w:w="703"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pPr>
              <w:spacing w:line="300" w:lineRule="exact"/>
              <w:jc w:val="center"/>
              <w:rPr>
                <w:rFonts w:ascii="Verdana" w:hAnsi="Verdana" w:cs="Arial"/>
                <w:color w:val="000000"/>
                <w:sz w:val="18"/>
                <w:szCs w:val="18"/>
              </w:rPr>
            </w:pPr>
            <w:r>
              <w:rPr>
                <w:rFonts w:ascii="Verdana" w:hAnsi="Verdana" w:cs="Arial"/>
                <w:color w:val="000000"/>
                <w:sz w:val="18"/>
                <w:szCs w:val="18"/>
              </w:rPr>
              <w:t>59.511.402</w:t>
            </w:r>
          </w:p>
        </w:tc>
        <w:tc>
          <w:tcPr>
            <w:tcW w:w="78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pPr>
              <w:widowControl w:val="0"/>
              <w:spacing w:after="0" w:line="300" w:lineRule="exact"/>
              <w:ind w:right="-20"/>
              <w:jc w:val="center"/>
              <w:rPr>
                <w:rFonts w:ascii="Verdana" w:hAnsi="Verdana" w:cs="Arial"/>
                <w:sz w:val="18"/>
                <w:szCs w:val="18"/>
              </w:rPr>
            </w:pPr>
            <w:r>
              <w:rPr>
                <w:rFonts w:ascii="Verdana" w:hAnsi="Verdana" w:cs="Arial"/>
                <w:color w:val="000000"/>
                <w:sz w:val="18"/>
                <w:szCs w:val="18"/>
              </w:rPr>
              <w:t>3,817%</w:t>
            </w:r>
          </w:p>
        </w:tc>
        <w:tc>
          <w:tcPr>
            <w:tcW w:w="702"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pPr>
              <w:spacing w:line="300" w:lineRule="exact"/>
              <w:jc w:val="center"/>
              <w:rPr>
                <w:rFonts w:ascii="Verdana" w:hAnsi="Verdana" w:cs="Arial"/>
                <w:color w:val="000000"/>
                <w:sz w:val="18"/>
                <w:szCs w:val="18"/>
              </w:rPr>
            </w:pPr>
            <w:r>
              <w:rPr>
                <w:rFonts w:ascii="Verdana" w:hAnsi="Verdana" w:cs="Arial"/>
                <w:color w:val="000000"/>
                <w:sz w:val="18"/>
                <w:szCs w:val="18"/>
              </w:rPr>
              <w:t>0</w:t>
            </w:r>
          </w:p>
        </w:tc>
        <w:tc>
          <w:tcPr>
            <w:tcW w:w="63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pPr>
              <w:widowControl w:val="0"/>
              <w:spacing w:after="0" w:line="300" w:lineRule="exact"/>
              <w:ind w:right="-20"/>
              <w:jc w:val="center"/>
              <w:rPr>
                <w:rFonts w:ascii="Verdana" w:hAnsi="Verdana" w:cs="Arial"/>
                <w:sz w:val="18"/>
                <w:szCs w:val="18"/>
              </w:rPr>
            </w:pPr>
            <w:r>
              <w:rPr>
                <w:rFonts w:ascii="Verdana" w:hAnsi="Verdana" w:cs="Arial"/>
                <w:color w:val="000000"/>
                <w:sz w:val="18"/>
                <w:szCs w:val="18"/>
              </w:rPr>
              <w:t>0%</w:t>
            </w:r>
          </w:p>
        </w:tc>
        <w:tc>
          <w:tcPr>
            <w:tcW w:w="698"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pPr>
              <w:spacing w:line="300" w:lineRule="exact"/>
              <w:jc w:val="center"/>
              <w:rPr>
                <w:rFonts w:ascii="Verdana" w:hAnsi="Verdana" w:cs="Arial"/>
                <w:color w:val="000000"/>
                <w:sz w:val="18"/>
                <w:szCs w:val="18"/>
              </w:rPr>
            </w:pPr>
            <w:r>
              <w:rPr>
                <w:rFonts w:ascii="Verdana" w:hAnsi="Verdana" w:cs="Arial"/>
                <w:color w:val="000000"/>
                <w:sz w:val="18"/>
                <w:szCs w:val="18"/>
              </w:rPr>
              <w:t>59.511.402</w:t>
            </w:r>
          </w:p>
        </w:tc>
        <w:tc>
          <w:tcPr>
            <w:tcW w:w="62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pPr>
              <w:widowControl w:val="0"/>
              <w:spacing w:after="0" w:line="300" w:lineRule="exact"/>
              <w:ind w:right="-20"/>
              <w:jc w:val="center"/>
              <w:rPr>
                <w:rFonts w:ascii="Verdana" w:hAnsi="Verdana" w:cs="Arial"/>
                <w:sz w:val="18"/>
                <w:szCs w:val="18"/>
              </w:rPr>
            </w:pPr>
            <w:r>
              <w:rPr>
                <w:rFonts w:ascii="Verdana" w:hAnsi="Verdana" w:cs="Arial"/>
                <w:color w:val="000000"/>
                <w:sz w:val="18"/>
                <w:szCs w:val="18"/>
              </w:rPr>
              <w:t>3,817%</w:t>
            </w:r>
          </w:p>
        </w:tc>
      </w:tr>
      <w:tr>
        <w:trPr>
          <w:trHeight w:val="397"/>
        </w:trPr>
        <w:tc>
          <w:tcPr>
            <w:tcW w:w="863" w:type="pct"/>
            <w:tcBorders>
              <w:top w:val="single" w:sz="4" w:space="0" w:color="000000"/>
              <w:left w:val="single" w:sz="4" w:space="0" w:color="000000"/>
              <w:bottom w:val="single" w:sz="4" w:space="0" w:color="000000"/>
              <w:right w:val="single" w:sz="4" w:space="0" w:color="000000"/>
            </w:tcBorders>
            <w:vAlign w:val="center"/>
            <w:hideMark/>
          </w:tcPr>
          <w:p>
            <w:pPr>
              <w:widowControl w:val="0"/>
              <w:spacing w:after="0" w:line="300" w:lineRule="exact"/>
              <w:ind w:left="157" w:right="142"/>
              <w:jc w:val="center"/>
              <w:rPr>
                <w:rFonts w:ascii="Verdana" w:hAnsi="Verdana" w:cs="Arial"/>
                <w:sz w:val="18"/>
                <w:szCs w:val="18"/>
              </w:rPr>
            </w:pPr>
            <w:r>
              <w:rPr>
                <w:rFonts w:ascii="Verdana" w:hAnsi="Verdana" w:cs="Arial"/>
                <w:b/>
                <w:bCs/>
                <w:spacing w:val="-2"/>
                <w:sz w:val="18"/>
                <w:szCs w:val="18"/>
              </w:rPr>
              <w:t>Outros</w:t>
            </w:r>
          </w:p>
        </w:tc>
        <w:tc>
          <w:tcPr>
            <w:tcW w:w="703" w:type="pct"/>
            <w:tcBorders>
              <w:top w:val="single" w:sz="4" w:space="0" w:color="000000"/>
              <w:left w:val="single" w:sz="4" w:space="0" w:color="000000"/>
              <w:bottom w:val="single" w:sz="4" w:space="0" w:color="000000"/>
              <w:right w:val="single" w:sz="4" w:space="0" w:color="000000"/>
            </w:tcBorders>
            <w:vAlign w:val="center"/>
            <w:hideMark/>
          </w:tcPr>
          <w:p>
            <w:pPr>
              <w:widowControl w:val="0"/>
              <w:spacing w:after="0" w:line="300" w:lineRule="exact"/>
              <w:ind w:left="90" w:right="-20"/>
              <w:jc w:val="center"/>
              <w:rPr>
                <w:rFonts w:ascii="Verdana" w:hAnsi="Verdana" w:cs="Arial"/>
                <w:sz w:val="18"/>
                <w:szCs w:val="18"/>
              </w:rPr>
            </w:pPr>
            <w:r>
              <w:rPr>
                <w:rFonts w:ascii="Verdana" w:hAnsi="Verdana" w:cs="Arial"/>
                <w:color w:val="000000"/>
                <w:sz w:val="18"/>
                <w:szCs w:val="18"/>
              </w:rPr>
              <w:t>1.055.661.302</w:t>
            </w:r>
          </w:p>
        </w:tc>
        <w:tc>
          <w:tcPr>
            <w:tcW w:w="780" w:type="pct"/>
            <w:tcBorders>
              <w:top w:val="single" w:sz="4" w:space="0" w:color="000000"/>
              <w:left w:val="single" w:sz="4" w:space="0" w:color="000000"/>
              <w:bottom w:val="single" w:sz="4" w:space="0" w:color="000000"/>
              <w:right w:val="single" w:sz="4" w:space="0" w:color="000000"/>
            </w:tcBorders>
            <w:vAlign w:val="center"/>
            <w:hideMark/>
          </w:tcPr>
          <w:p>
            <w:pPr>
              <w:widowControl w:val="0"/>
              <w:spacing w:after="0" w:line="300" w:lineRule="exact"/>
              <w:ind w:right="-20"/>
              <w:jc w:val="center"/>
              <w:rPr>
                <w:rFonts w:ascii="Verdana" w:hAnsi="Verdana" w:cs="Arial"/>
                <w:sz w:val="18"/>
                <w:szCs w:val="18"/>
              </w:rPr>
            </w:pPr>
            <w:r>
              <w:rPr>
                <w:rFonts w:ascii="Verdana" w:hAnsi="Verdana" w:cs="Arial"/>
                <w:color w:val="000000"/>
                <w:sz w:val="18"/>
                <w:szCs w:val="18"/>
              </w:rPr>
              <w:t>67,714%</w:t>
            </w:r>
          </w:p>
        </w:tc>
        <w:tc>
          <w:tcPr>
            <w:tcW w:w="702" w:type="pct"/>
            <w:tcBorders>
              <w:top w:val="single" w:sz="4" w:space="0" w:color="000000"/>
              <w:left w:val="single" w:sz="4" w:space="0" w:color="000000"/>
              <w:bottom w:val="single" w:sz="4" w:space="0" w:color="000000"/>
              <w:right w:val="single" w:sz="4" w:space="0" w:color="000000"/>
            </w:tcBorders>
            <w:vAlign w:val="center"/>
            <w:hideMark/>
          </w:tcPr>
          <w:p>
            <w:pPr>
              <w:spacing w:line="300" w:lineRule="exact"/>
              <w:jc w:val="center"/>
              <w:rPr>
                <w:rFonts w:ascii="Verdana" w:hAnsi="Verdana" w:cs="Arial"/>
                <w:color w:val="000000"/>
                <w:sz w:val="18"/>
                <w:szCs w:val="18"/>
              </w:rPr>
            </w:pPr>
            <w:r>
              <w:rPr>
                <w:rFonts w:ascii="Verdana" w:hAnsi="Verdana" w:cs="Arial"/>
                <w:color w:val="000000"/>
                <w:sz w:val="18"/>
                <w:szCs w:val="18"/>
              </w:rPr>
              <w:t>0</w:t>
            </w:r>
          </w:p>
        </w:tc>
        <w:tc>
          <w:tcPr>
            <w:tcW w:w="630" w:type="pct"/>
            <w:tcBorders>
              <w:top w:val="single" w:sz="4" w:space="0" w:color="000000"/>
              <w:left w:val="single" w:sz="4" w:space="0" w:color="000000"/>
              <w:bottom w:val="single" w:sz="4" w:space="0" w:color="000000"/>
              <w:right w:val="single" w:sz="4" w:space="0" w:color="000000"/>
            </w:tcBorders>
            <w:vAlign w:val="center"/>
            <w:hideMark/>
          </w:tcPr>
          <w:p>
            <w:pPr>
              <w:widowControl w:val="0"/>
              <w:spacing w:after="0" w:line="300" w:lineRule="exact"/>
              <w:ind w:right="-20"/>
              <w:jc w:val="center"/>
              <w:rPr>
                <w:rFonts w:ascii="Verdana" w:hAnsi="Verdana" w:cs="Arial"/>
                <w:sz w:val="18"/>
                <w:szCs w:val="18"/>
              </w:rPr>
            </w:pPr>
            <w:r>
              <w:rPr>
                <w:rFonts w:ascii="Verdana" w:hAnsi="Verdana" w:cs="Arial"/>
                <w:color w:val="000000"/>
                <w:sz w:val="18"/>
                <w:szCs w:val="18"/>
              </w:rPr>
              <w:t>0%</w:t>
            </w:r>
          </w:p>
        </w:tc>
        <w:tc>
          <w:tcPr>
            <w:tcW w:w="698" w:type="pct"/>
            <w:tcBorders>
              <w:top w:val="single" w:sz="4" w:space="0" w:color="000000"/>
              <w:left w:val="single" w:sz="4" w:space="0" w:color="000000"/>
              <w:bottom w:val="single" w:sz="4" w:space="0" w:color="000000"/>
              <w:right w:val="single" w:sz="4" w:space="0" w:color="000000"/>
            </w:tcBorders>
            <w:vAlign w:val="center"/>
            <w:hideMark/>
          </w:tcPr>
          <w:p>
            <w:pPr>
              <w:spacing w:line="300" w:lineRule="exact"/>
              <w:jc w:val="center"/>
              <w:rPr>
                <w:rFonts w:ascii="Verdana" w:hAnsi="Verdana" w:cs="Arial"/>
                <w:color w:val="000000"/>
                <w:sz w:val="18"/>
                <w:szCs w:val="18"/>
              </w:rPr>
            </w:pPr>
            <w:r>
              <w:rPr>
                <w:rFonts w:ascii="Verdana" w:hAnsi="Verdana" w:cs="Arial"/>
                <w:color w:val="000000"/>
                <w:sz w:val="18"/>
                <w:szCs w:val="18"/>
              </w:rPr>
              <w:t>1.055.661.302</w:t>
            </w:r>
          </w:p>
        </w:tc>
        <w:tc>
          <w:tcPr>
            <w:tcW w:w="624" w:type="pct"/>
            <w:tcBorders>
              <w:top w:val="single" w:sz="4" w:space="0" w:color="000000"/>
              <w:left w:val="single" w:sz="4" w:space="0" w:color="000000"/>
              <w:bottom w:val="single" w:sz="4" w:space="0" w:color="000000"/>
              <w:right w:val="single" w:sz="4" w:space="0" w:color="000000"/>
            </w:tcBorders>
            <w:vAlign w:val="center"/>
            <w:hideMark/>
          </w:tcPr>
          <w:p>
            <w:pPr>
              <w:widowControl w:val="0"/>
              <w:spacing w:after="0" w:line="300" w:lineRule="exact"/>
              <w:ind w:right="-20"/>
              <w:jc w:val="center"/>
              <w:rPr>
                <w:rFonts w:ascii="Verdana" w:hAnsi="Verdana" w:cs="Arial"/>
                <w:sz w:val="18"/>
                <w:szCs w:val="18"/>
              </w:rPr>
            </w:pPr>
            <w:r>
              <w:rPr>
                <w:rFonts w:ascii="Verdana" w:hAnsi="Verdana" w:cs="Arial"/>
                <w:color w:val="000000"/>
                <w:sz w:val="18"/>
                <w:szCs w:val="18"/>
              </w:rPr>
              <w:t>67,714%</w:t>
            </w:r>
          </w:p>
        </w:tc>
      </w:tr>
      <w:tr>
        <w:trPr>
          <w:trHeight w:val="397"/>
        </w:trPr>
        <w:tc>
          <w:tcPr>
            <w:tcW w:w="863" w:type="pct"/>
            <w:tcBorders>
              <w:top w:val="single" w:sz="4" w:space="0" w:color="000000"/>
              <w:left w:val="single" w:sz="4" w:space="0" w:color="000000"/>
              <w:bottom w:val="single" w:sz="4" w:space="0" w:color="000000"/>
              <w:right w:val="single" w:sz="4" w:space="0" w:color="000000"/>
            </w:tcBorders>
            <w:vAlign w:val="center"/>
            <w:hideMark/>
          </w:tcPr>
          <w:p>
            <w:pPr>
              <w:widowControl w:val="0"/>
              <w:spacing w:after="0" w:line="300" w:lineRule="exact"/>
              <w:ind w:left="157" w:right="142"/>
              <w:jc w:val="center"/>
              <w:rPr>
                <w:rFonts w:ascii="Verdana" w:hAnsi="Verdana" w:cs="Arial"/>
                <w:sz w:val="18"/>
                <w:szCs w:val="18"/>
              </w:rPr>
            </w:pPr>
            <w:r>
              <w:rPr>
                <w:rFonts w:ascii="Verdana" w:hAnsi="Verdana" w:cs="Arial"/>
                <w:b/>
                <w:bCs/>
                <w:spacing w:val="-2"/>
                <w:sz w:val="18"/>
                <w:szCs w:val="18"/>
              </w:rPr>
              <w:t>T</w:t>
            </w:r>
            <w:r>
              <w:rPr>
                <w:rFonts w:ascii="Verdana" w:hAnsi="Verdana" w:cs="Arial"/>
                <w:b/>
                <w:bCs/>
                <w:sz w:val="18"/>
                <w:szCs w:val="18"/>
              </w:rPr>
              <w:t>ot</w:t>
            </w:r>
            <w:r>
              <w:rPr>
                <w:rFonts w:ascii="Verdana" w:hAnsi="Verdana" w:cs="Arial"/>
                <w:b/>
                <w:bCs/>
                <w:spacing w:val="1"/>
                <w:sz w:val="18"/>
                <w:szCs w:val="18"/>
              </w:rPr>
              <w:t>a</w:t>
            </w:r>
            <w:r>
              <w:rPr>
                <w:rFonts w:ascii="Verdana" w:hAnsi="Verdana" w:cs="Arial"/>
                <w:b/>
                <w:bCs/>
                <w:sz w:val="18"/>
                <w:szCs w:val="18"/>
              </w:rPr>
              <w:t>l</w:t>
            </w:r>
          </w:p>
        </w:tc>
        <w:tc>
          <w:tcPr>
            <w:tcW w:w="703" w:type="pct"/>
            <w:tcBorders>
              <w:top w:val="single" w:sz="4" w:space="0" w:color="000000"/>
              <w:left w:val="single" w:sz="4" w:space="0" w:color="000000"/>
              <w:bottom w:val="single" w:sz="4" w:space="0" w:color="000000"/>
              <w:right w:val="single" w:sz="4" w:space="0" w:color="000000"/>
            </w:tcBorders>
            <w:vAlign w:val="center"/>
            <w:hideMark/>
          </w:tcPr>
          <w:p>
            <w:pPr>
              <w:widowControl w:val="0"/>
              <w:spacing w:after="0" w:line="300" w:lineRule="exact"/>
              <w:ind w:left="90" w:right="-20"/>
              <w:jc w:val="center"/>
              <w:rPr>
                <w:rFonts w:ascii="Verdana" w:hAnsi="Verdana" w:cs="Arial"/>
                <w:sz w:val="18"/>
                <w:szCs w:val="18"/>
              </w:rPr>
            </w:pPr>
            <w:r>
              <w:rPr>
                <w:rFonts w:ascii="Verdana" w:hAnsi="Verdana" w:cs="Arial"/>
                <w:color w:val="000000"/>
                <w:sz w:val="18"/>
                <w:szCs w:val="18"/>
              </w:rPr>
              <w:t>1.559.015.898</w:t>
            </w:r>
          </w:p>
        </w:tc>
        <w:tc>
          <w:tcPr>
            <w:tcW w:w="780" w:type="pct"/>
            <w:tcBorders>
              <w:top w:val="single" w:sz="4" w:space="0" w:color="000000"/>
              <w:left w:val="single" w:sz="4" w:space="0" w:color="000000"/>
              <w:bottom w:val="single" w:sz="4" w:space="0" w:color="000000"/>
              <w:right w:val="single" w:sz="4" w:space="0" w:color="000000"/>
            </w:tcBorders>
            <w:vAlign w:val="center"/>
            <w:hideMark/>
          </w:tcPr>
          <w:p>
            <w:pPr>
              <w:widowControl w:val="0"/>
              <w:spacing w:after="0" w:line="300" w:lineRule="exact"/>
              <w:jc w:val="center"/>
              <w:rPr>
                <w:rFonts w:ascii="Verdana" w:hAnsi="Verdana" w:cs="Arial"/>
                <w:b/>
                <w:sz w:val="18"/>
                <w:szCs w:val="18"/>
              </w:rPr>
            </w:pPr>
            <w:r>
              <w:rPr>
                <w:rFonts w:ascii="Verdana" w:hAnsi="Verdana" w:cs="Arial"/>
                <w:color w:val="000000"/>
                <w:sz w:val="18"/>
                <w:szCs w:val="18"/>
              </w:rPr>
              <w:t>100%</w:t>
            </w:r>
          </w:p>
        </w:tc>
        <w:tc>
          <w:tcPr>
            <w:tcW w:w="702" w:type="pct"/>
            <w:tcBorders>
              <w:top w:val="single" w:sz="4" w:space="0" w:color="000000"/>
              <w:left w:val="single" w:sz="4" w:space="0" w:color="000000"/>
              <w:bottom w:val="single" w:sz="4" w:space="0" w:color="000000"/>
              <w:right w:val="single" w:sz="4" w:space="0" w:color="000000"/>
            </w:tcBorders>
            <w:vAlign w:val="center"/>
            <w:hideMark/>
          </w:tcPr>
          <w:p>
            <w:pPr>
              <w:widowControl w:val="0"/>
              <w:spacing w:after="0" w:line="300" w:lineRule="exact"/>
              <w:ind w:right="-20"/>
              <w:jc w:val="center"/>
              <w:rPr>
                <w:rFonts w:ascii="Verdana" w:hAnsi="Verdana" w:cs="Arial"/>
                <w:sz w:val="18"/>
                <w:szCs w:val="18"/>
              </w:rPr>
            </w:pPr>
            <w:r>
              <w:rPr>
                <w:rFonts w:ascii="Verdana" w:hAnsi="Verdana" w:cs="Arial"/>
                <w:color w:val="000000"/>
                <w:sz w:val="18"/>
                <w:szCs w:val="18"/>
              </w:rPr>
              <w:t>0</w:t>
            </w:r>
          </w:p>
        </w:tc>
        <w:tc>
          <w:tcPr>
            <w:tcW w:w="630" w:type="pct"/>
            <w:tcBorders>
              <w:top w:val="single" w:sz="4" w:space="0" w:color="000000"/>
              <w:left w:val="single" w:sz="4" w:space="0" w:color="000000"/>
              <w:bottom w:val="single" w:sz="4" w:space="0" w:color="000000"/>
              <w:right w:val="single" w:sz="4" w:space="0" w:color="000000"/>
            </w:tcBorders>
            <w:vAlign w:val="center"/>
            <w:hideMark/>
          </w:tcPr>
          <w:p>
            <w:pPr>
              <w:widowControl w:val="0"/>
              <w:spacing w:after="0" w:line="300" w:lineRule="exact"/>
              <w:jc w:val="center"/>
              <w:rPr>
                <w:rFonts w:ascii="Verdana" w:hAnsi="Verdana" w:cs="Arial"/>
                <w:sz w:val="18"/>
                <w:szCs w:val="18"/>
              </w:rPr>
            </w:pPr>
            <w:r>
              <w:rPr>
                <w:rFonts w:ascii="Verdana" w:hAnsi="Verdana" w:cs="Arial"/>
                <w:color w:val="000000"/>
                <w:sz w:val="18"/>
                <w:szCs w:val="18"/>
              </w:rPr>
              <w:t>0%</w:t>
            </w:r>
          </w:p>
        </w:tc>
        <w:tc>
          <w:tcPr>
            <w:tcW w:w="698" w:type="pct"/>
            <w:tcBorders>
              <w:top w:val="single" w:sz="4" w:space="0" w:color="000000"/>
              <w:left w:val="single" w:sz="4" w:space="0" w:color="000000"/>
              <w:bottom w:val="single" w:sz="4" w:space="0" w:color="000000"/>
              <w:right w:val="single" w:sz="4" w:space="0" w:color="000000"/>
            </w:tcBorders>
            <w:vAlign w:val="center"/>
            <w:hideMark/>
          </w:tcPr>
          <w:p>
            <w:pPr>
              <w:widowControl w:val="0"/>
              <w:spacing w:after="0" w:line="300" w:lineRule="exact"/>
              <w:ind w:right="-20"/>
              <w:jc w:val="center"/>
              <w:rPr>
                <w:rFonts w:ascii="Verdana" w:hAnsi="Verdana" w:cs="Arial"/>
                <w:sz w:val="18"/>
                <w:szCs w:val="18"/>
              </w:rPr>
            </w:pPr>
            <w:r>
              <w:rPr>
                <w:rFonts w:ascii="Verdana" w:hAnsi="Verdana" w:cs="Arial"/>
                <w:color w:val="000000"/>
                <w:sz w:val="18"/>
                <w:szCs w:val="18"/>
              </w:rPr>
              <w:t>1.559.015.898</w:t>
            </w:r>
          </w:p>
        </w:tc>
        <w:tc>
          <w:tcPr>
            <w:tcW w:w="624" w:type="pct"/>
            <w:tcBorders>
              <w:top w:val="single" w:sz="4" w:space="0" w:color="000000"/>
              <w:left w:val="single" w:sz="4" w:space="0" w:color="000000"/>
              <w:bottom w:val="single" w:sz="4" w:space="0" w:color="000000"/>
              <w:right w:val="single" w:sz="4" w:space="0" w:color="000000"/>
            </w:tcBorders>
            <w:vAlign w:val="center"/>
            <w:hideMark/>
          </w:tcPr>
          <w:p>
            <w:pPr>
              <w:widowControl w:val="0"/>
              <w:spacing w:after="0" w:line="300" w:lineRule="exact"/>
              <w:ind w:right="-20"/>
              <w:jc w:val="center"/>
              <w:rPr>
                <w:rFonts w:ascii="Verdana" w:hAnsi="Verdana" w:cs="Arial"/>
                <w:sz w:val="18"/>
                <w:szCs w:val="18"/>
              </w:rPr>
            </w:pPr>
            <w:r>
              <w:rPr>
                <w:rFonts w:ascii="Verdana" w:hAnsi="Verdana" w:cs="Arial"/>
                <w:color w:val="000000"/>
                <w:sz w:val="18"/>
                <w:szCs w:val="18"/>
              </w:rPr>
              <w:t>100%</w:t>
            </w:r>
          </w:p>
        </w:tc>
      </w:tr>
    </w:tbl>
    <w:p>
      <w:pPr>
        <w:spacing w:before="140" w:after="0" w:line="300" w:lineRule="exact"/>
        <w:ind w:right="20"/>
        <w:rPr>
          <w:rFonts w:ascii="Verdana" w:hAnsi="Verdana" w:cs="Arial"/>
          <w:lang w:val="pt-BR"/>
        </w:rPr>
      </w:pPr>
      <w:r>
        <w:rPr>
          <w:rFonts w:ascii="Verdana" w:hAnsi="Verdana" w:cs="Arial"/>
          <w:lang w:val="pt-BR"/>
        </w:rPr>
        <w:t>Na data deste Prospecto, a atual controladora da Emissora é a Cosan Logística S.A.</w:t>
      </w:r>
    </w:p>
    <w:p>
      <w:pPr>
        <w:spacing w:before="140" w:after="0" w:line="300" w:lineRule="exact"/>
        <w:ind w:right="20"/>
        <w:rPr>
          <w:rFonts w:ascii="Verdana" w:hAnsi="Verdana" w:cs="Arial"/>
          <w:lang w:val="pt-BR"/>
        </w:rPr>
      </w:pPr>
    </w:p>
    <w:p>
      <w:pPr>
        <w:pStyle w:val="Ttulo3"/>
        <w:spacing w:line="300" w:lineRule="exact"/>
        <w:rPr>
          <w:rFonts w:ascii="Verdana" w:hAnsi="Verdana"/>
          <w:lang w:val="pt-BR"/>
        </w:rPr>
      </w:pPr>
      <w:r>
        <w:rPr>
          <w:rFonts w:ascii="Verdana" w:hAnsi="Verdana"/>
          <w:lang w:val="pt-BR"/>
        </w:rPr>
        <w:t xml:space="preserve">Para mais informações sobre a composição do capital social da Emissora, incluindo os acionistas da Emissora titulares de 5% (cinco por cento) ou mais do capital social da Emissora indicados na tabela acima, bem como sobre o controle da Emissora, veja, respectivamente, os itens “15. Controle e Grupo Econômico” e “17. Capital Social” do Formulário de Referência. </w:t>
      </w:r>
    </w:p>
    <w:p>
      <w:pPr>
        <w:pStyle w:val="Ttulo3"/>
        <w:spacing w:line="300" w:lineRule="exact"/>
        <w:rPr>
          <w:rFonts w:ascii="Verdana" w:hAnsi="Verdana"/>
          <w:lang w:val="pt-BR"/>
        </w:rPr>
      </w:pPr>
      <w:r>
        <w:rPr>
          <w:rFonts w:ascii="Verdana" w:hAnsi="Verdana"/>
          <w:lang w:val="pt-BR"/>
        </w:rPr>
        <w:t xml:space="preserve">AUTORIZAÇÃO </w:t>
      </w:r>
    </w:p>
    <w:p>
      <w:pPr>
        <w:pStyle w:val="Saudao"/>
        <w:tabs>
          <w:tab w:val="left" w:pos="6120"/>
        </w:tabs>
        <w:spacing w:line="300" w:lineRule="exact"/>
        <w:ind w:firstLine="0"/>
        <w:rPr>
          <w:rFonts w:ascii="Verdana" w:hAnsi="Verdana" w:cs="Arial"/>
          <w:sz w:val="20"/>
          <w:szCs w:val="20"/>
          <w:lang w:val="pt-BR"/>
        </w:rPr>
      </w:pPr>
      <w:r>
        <w:rPr>
          <w:rFonts w:ascii="Verdana" w:hAnsi="Verdana" w:cs="Arial"/>
          <w:sz w:val="20"/>
          <w:szCs w:val="20"/>
          <w:lang w:val="pt-BR"/>
        </w:rPr>
        <w:t>A Escritura foi celebrada pela Emissora com base nas deliberações da RCA da Emissão, na qual foi deliberada</w:t>
      </w:r>
      <w:r>
        <w:rPr>
          <w:rFonts w:ascii="Verdana" w:hAnsi="Verdana" w:cs="Arial"/>
          <w:color w:val="000000"/>
          <w:sz w:val="20"/>
          <w:szCs w:val="20"/>
          <w:lang w:val="pt-BR"/>
        </w:rPr>
        <w:t xml:space="preserve"> a realização da Emissão e da Oferta, bem como seus respectivos termos e condições</w:t>
      </w:r>
      <w:r>
        <w:rPr>
          <w:rFonts w:ascii="Verdana" w:hAnsi="Verdana" w:cs="Arial"/>
          <w:sz w:val="20"/>
          <w:szCs w:val="20"/>
          <w:lang w:val="pt-BR"/>
        </w:rPr>
        <w:t xml:space="preserve">, </w:t>
      </w:r>
      <w:r>
        <w:rPr>
          <w:rFonts w:ascii="Verdana" w:hAnsi="Verdana" w:cs="Arial"/>
          <w:color w:val="000000"/>
          <w:sz w:val="20"/>
          <w:szCs w:val="20"/>
          <w:lang w:val="pt-BR"/>
        </w:rPr>
        <w:t xml:space="preserve">em conformidade com o </w:t>
      </w:r>
      <w:r>
        <w:rPr>
          <w:rFonts w:ascii="Verdana" w:hAnsi="Verdana" w:cs="Arial"/>
          <w:sz w:val="20"/>
          <w:szCs w:val="20"/>
          <w:lang w:val="pt-BR"/>
        </w:rPr>
        <w:t xml:space="preserve">disposto no parágrafo 1º do artigo 59 da Lei das Sociedades por Ações e no inciso (xi) do artigo 26 do estatuto social da Emissora. </w:t>
      </w:r>
    </w:p>
    <w:p>
      <w:pPr>
        <w:pStyle w:val="Saudao"/>
        <w:tabs>
          <w:tab w:val="left" w:pos="6120"/>
        </w:tabs>
        <w:spacing w:line="300" w:lineRule="exact"/>
        <w:ind w:left="709" w:hanging="709"/>
        <w:rPr>
          <w:rFonts w:ascii="Verdana" w:hAnsi="Verdana" w:cs="Arial"/>
          <w:sz w:val="20"/>
          <w:szCs w:val="20"/>
          <w:lang w:val="pt-BR"/>
        </w:rPr>
      </w:pPr>
    </w:p>
    <w:p>
      <w:pPr>
        <w:pStyle w:val="Saudao"/>
        <w:spacing w:line="300" w:lineRule="exact"/>
        <w:ind w:firstLine="0"/>
        <w:rPr>
          <w:rFonts w:ascii="Verdana" w:hAnsi="Verdana" w:cs="Arial"/>
          <w:sz w:val="20"/>
          <w:szCs w:val="20"/>
          <w:lang w:val="pt-BR"/>
        </w:rPr>
      </w:pPr>
      <w:r>
        <w:rPr>
          <w:rFonts w:ascii="Verdana" w:hAnsi="Verdana" w:cs="Arial"/>
          <w:sz w:val="20"/>
          <w:szCs w:val="20"/>
          <w:lang w:val="pt-BR"/>
        </w:rPr>
        <w:lastRenderedPageBreak/>
        <w:t xml:space="preserve">Por meio da RCA da Emissão, a Diretoria da Emissora também foi autorizada a (i) praticar todos os atos necessários à efetivação das deliberações consubstanciadas na RCA da Emissão, incluindo a celebração de todos os documentos indispensáveis à concretização da Emissão, dentre os quais o aditamento à Escritura que ratificará o resultado do Procedimento de </w:t>
      </w:r>
      <w:r>
        <w:rPr>
          <w:rFonts w:ascii="Verdana" w:hAnsi="Verdana" w:cs="Arial"/>
          <w:i/>
          <w:sz w:val="20"/>
          <w:szCs w:val="20"/>
          <w:lang w:val="pt-BR"/>
        </w:rPr>
        <w:t>Bookbuilding</w:t>
      </w:r>
      <w:r>
        <w:rPr>
          <w:rFonts w:ascii="Verdana" w:hAnsi="Verdana" w:cs="Arial"/>
          <w:sz w:val="20"/>
          <w:szCs w:val="20"/>
          <w:lang w:val="pt-BR"/>
        </w:rPr>
        <w:t xml:space="preserve"> e, eventualmente, contemplará o aumento do valor da Oferta mediante a colocação das Debêntures Adicionais, nos termos do item “Procedimento de Coleta de Intenções de Investimento (Procedimento de Bookbuilding)” abaixo; e (ii) formalizar e efetivar a contratação dos Coordenadores, do Agente Fiduciário e dos prestadores de serviços necessários à implementação da Emissão e da Oferta, tais como Escriturador, Banco Liquidante, a B3, a B3 – Segmento Cetip UTVM, dentre outros, podendo, para tanto, negociar e assinar os respectivos instrumentos de contratação e eventuais alterações em aditamentos. </w:t>
      </w:r>
    </w:p>
    <w:p>
      <w:pPr>
        <w:pStyle w:val="Ttulo3"/>
        <w:spacing w:line="300" w:lineRule="exact"/>
        <w:rPr>
          <w:rFonts w:ascii="Verdana" w:hAnsi="Verdana"/>
          <w:lang w:val="pt-BR"/>
        </w:rPr>
      </w:pPr>
    </w:p>
    <w:p>
      <w:pPr>
        <w:pStyle w:val="Ttulo3"/>
        <w:spacing w:line="300" w:lineRule="exact"/>
        <w:rPr>
          <w:rFonts w:ascii="Verdana" w:hAnsi="Verdana"/>
          <w:lang w:val="pt-BR"/>
        </w:rPr>
      </w:pPr>
      <w:bookmarkStart w:id="42" w:name="_Toc428306463"/>
      <w:bookmarkStart w:id="43" w:name="_Toc484715953"/>
      <w:r>
        <w:rPr>
          <w:rFonts w:ascii="Verdana" w:hAnsi="Verdana"/>
          <w:lang w:val="pt-BR"/>
        </w:rPr>
        <w:t>REQUISITOS</w:t>
      </w:r>
      <w:bookmarkEnd w:id="42"/>
      <w:bookmarkEnd w:id="43"/>
    </w:p>
    <w:p>
      <w:pPr>
        <w:spacing w:line="300" w:lineRule="exact"/>
        <w:rPr>
          <w:rFonts w:ascii="Verdana" w:hAnsi="Verdana" w:cs="Arial"/>
          <w:lang w:val="pt-BR"/>
        </w:rPr>
      </w:pPr>
      <w:r>
        <w:rPr>
          <w:rFonts w:ascii="Verdana" w:hAnsi="Verdana" w:cs="Arial"/>
          <w:lang w:val="pt-BR"/>
        </w:rPr>
        <w:t xml:space="preserve">A Emissão e a Oferta serão realizadas com observância dos seguintes requisitos: </w:t>
      </w:r>
    </w:p>
    <w:p>
      <w:pPr>
        <w:pStyle w:val="Ttulo8"/>
        <w:spacing w:line="300" w:lineRule="exact"/>
        <w:rPr>
          <w:rFonts w:ascii="Verdana" w:hAnsi="Verdana" w:cs="Arial"/>
          <w:lang w:val="pt-BR"/>
        </w:rPr>
      </w:pPr>
      <w:bookmarkStart w:id="44" w:name="_Toc484715954"/>
      <w:r>
        <w:rPr>
          <w:rFonts w:ascii="Verdana" w:hAnsi="Verdana" w:cs="Arial"/>
          <w:lang w:val="pt-BR"/>
        </w:rPr>
        <w:t xml:space="preserve">Registro na </w:t>
      </w:r>
      <w:bookmarkEnd w:id="44"/>
      <w:r>
        <w:rPr>
          <w:rFonts w:ascii="Verdana" w:hAnsi="Verdana" w:cs="Arial"/>
          <w:lang w:val="pt-BR"/>
        </w:rPr>
        <w:t>CVM</w:t>
      </w:r>
    </w:p>
    <w:p>
      <w:pPr>
        <w:pStyle w:val="HOMEBRBodyText"/>
        <w:spacing w:line="300" w:lineRule="exact"/>
        <w:rPr>
          <w:rFonts w:ascii="Verdana" w:hAnsi="Verdana" w:cs="Arial"/>
        </w:rPr>
      </w:pPr>
      <w:r>
        <w:rPr>
          <w:rFonts w:ascii="Verdana" w:hAnsi="Verdana" w:cs="Arial"/>
        </w:rPr>
        <w:t>A Oferta será devidamente registrada na CVM, na forma da Lei do Mercado de Capitais e da Instrução CVM 400, observado o procedimento de registro automático de oferta pública de distribuição de valores mobiliários emitidos por emissoras com grande exposição ao mercado, conforme disposto nos artigos 6º-A e 6º-B da Instrução CVM 400.</w:t>
      </w:r>
    </w:p>
    <w:p>
      <w:pPr>
        <w:pStyle w:val="HOMEBRBodyText"/>
        <w:spacing w:line="300" w:lineRule="exact"/>
        <w:rPr>
          <w:rFonts w:ascii="Verdana" w:hAnsi="Verdana" w:cs="Arial"/>
          <w:b/>
          <w:i/>
          <w:iCs/>
        </w:rPr>
      </w:pPr>
      <w:r>
        <w:rPr>
          <w:rFonts w:ascii="Verdana" w:hAnsi="Verdana" w:cs="Arial"/>
          <w:b/>
          <w:i/>
          <w:iCs/>
        </w:rPr>
        <w:t>Registro na ANBIMA</w:t>
      </w:r>
    </w:p>
    <w:p>
      <w:pPr>
        <w:pStyle w:val="HOMEBRBodyText"/>
        <w:spacing w:line="300" w:lineRule="exact"/>
        <w:rPr>
          <w:rFonts w:ascii="Verdana" w:hAnsi="Verdana" w:cs="Arial"/>
        </w:rPr>
      </w:pPr>
      <w:r>
        <w:rPr>
          <w:rFonts w:ascii="Verdana" w:hAnsi="Verdana" w:cs="Arial"/>
        </w:rPr>
        <w:t>A Oferta será registrada na ANBIMA, no prazo máximo de 15 (quinze) dias a contar da data do encerramento da Oferta, nos termos do artigo 16 do Código ANBIMA.</w:t>
      </w:r>
    </w:p>
    <w:p>
      <w:pPr>
        <w:pStyle w:val="Ttulo8"/>
        <w:spacing w:line="300" w:lineRule="exact"/>
        <w:rPr>
          <w:rFonts w:ascii="Verdana" w:hAnsi="Verdana" w:cs="Arial"/>
          <w:lang w:val="pt-BR"/>
        </w:rPr>
      </w:pPr>
      <w:r>
        <w:rPr>
          <w:rFonts w:ascii="Verdana" w:hAnsi="Verdana" w:cs="Arial"/>
          <w:lang w:val="pt-BR"/>
        </w:rPr>
        <w:t>Arquivamento na Junta Comercial Competente e Publicação da RCA da Emissão</w:t>
      </w:r>
    </w:p>
    <w:p>
      <w:pPr>
        <w:pStyle w:val="Ttulo6"/>
        <w:spacing w:line="300" w:lineRule="exact"/>
        <w:rPr>
          <w:rFonts w:ascii="Verdana" w:hAnsi="Verdana" w:cs="Arial"/>
          <w:lang w:val="pt-BR"/>
        </w:rPr>
      </w:pPr>
      <w:r>
        <w:rPr>
          <w:rFonts w:ascii="Verdana" w:hAnsi="Verdana" w:cs="Arial"/>
          <w:lang w:val="pt-BR"/>
        </w:rPr>
        <w:t>A ata da RCA da Emissão foi protocolada na JUCEPAR em [</w:t>
      </w:r>
      <w:r>
        <w:rPr>
          <w:rFonts w:ascii="Verdana" w:hAnsi="Verdana" w:cs="Arial"/>
          <w:lang w:val="pt-BR"/>
        </w:rPr>
        <w:sym w:font="Symbol" w:char="F0B7"/>
      </w:r>
      <w:r>
        <w:rPr>
          <w:rFonts w:ascii="Verdana" w:hAnsi="Verdana" w:cs="Arial"/>
          <w:lang w:val="pt-BR"/>
        </w:rPr>
        <w:t>] de [</w:t>
      </w:r>
      <w:r>
        <w:rPr>
          <w:rFonts w:ascii="Verdana" w:hAnsi="Verdana" w:cs="Arial"/>
          <w:lang w:val="pt-BR"/>
        </w:rPr>
        <w:sym w:font="Symbol" w:char="F0B7"/>
      </w:r>
      <w:r>
        <w:rPr>
          <w:rFonts w:ascii="Verdana" w:hAnsi="Verdana" w:cs="Arial"/>
          <w:lang w:val="pt-BR"/>
        </w:rPr>
        <w:t>] de 2019, sob o nº [●], e será arquivada na JUCEPAR e publicada no DOEPR e no jornal “Bem Paraná”.</w:t>
      </w:r>
    </w:p>
    <w:p>
      <w:pPr>
        <w:pStyle w:val="Ttulo8"/>
        <w:spacing w:line="300" w:lineRule="exact"/>
        <w:rPr>
          <w:rFonts w:ascii="Verdana" w:hAnsi="Verdana" w:cs="Arial"/>
          <w:lang w:val="pt-BR"/>
        </w:rPr>
      </w:pPr>
      <w:bookmarkStart w:id="45" w:name="_Ref427712429"/>
      <w:bookmarkStart w:id="46" w:name="_Toc484715957"/>
      <w:r>
        <w:rPr>
          <w:rFonts w:ascii="Verdana" w:hAnsi="Verdana" w:cs="Arial"/>
          <w:lang w:val="pt-BR"/>
        </w:rPr>
        <w:t xml:space="preserve">Arquivamento da Escritura </w:t>
      </w:r>
      <w:bookmarkEnd w:id="45"/>
      <w:r>
        <w:rPr>
          <w:rFonts w:ascii="Verdana" w:hAnsi="Verdana" w:cs="Arial"/>
          <w:lang w:val="pt-BR"/>
        </w:rPr>
        <w:t>na Junta Comercial Competente</w:t>
      </w:r>
      <w:bookmarkEnd w:id="46"/>
    </w:p>
    <w:p>
      <w:pPr>
        <w:pStyle w:val="HOMEBRBodyText"/>
        <w:spacing w:line="300" w:lineRule="exact"/>
        <w:rPr>
          <w:rFonts w:ascii="Verdana" w:hAnsi="Verdana" w:cs="Arial"/>
          <w:spacing w:val="-2"/>
        </w:rPr>
      </w:pPr>
      <w:bookmarkStart w:id="47" w:name="_Ref427660038"/>
      <w:r>
        <w:rPr>
          <w:rFonts w:ascii="Verdana" w:hAnsi="Verdana" w:cs="Arial"/>
          <w:spacing w:val="-2"/>
        </w:rPr>
        <w:t xml:space="preserve">A Escritura foi protocolada na JUCEPAR em </w:t>
      </w:r>
      <w:r>
        <w:rPr>
          <w:rFonts w:ascii="Verdana" w:hAnsi="Verdana" w:cs="Arial"/>
        </w:rPr>
        <w:t>[</w:t>
      </w:r>
      <w:r>
        <w:rPr>
          <w:rFonts w:ascii="Verdana" w:hAnsi="Verdana" w:cs="Arial"/>
        </w:rPr>
        <w:sym w:font="Symbol" w:char="F0B7"/>
      </w:r>
      <w:r>
        <w:rPr>
          <w:rFonts w:ascii="Verdana" w:hAnsi="Verdana" w:cs="Arial"/>
        </w:rPr>
        <w:t>] de [</w:t>
      </w:r>
      <w:r>
        <w:rPr>
          <w:rFonts w:ascii="Verdana" w:hAnsi="Verdana" w:cs="Arial"/>
        </w:rPr>
        <w:sym w:font="Symbol" w:char="F0B7"/>
      </w:r>
      <w:r>
        <w:rPr>
          <w:rFonts w:ascii="Verdana" w:hAnsi="Verdana" w:cs="Arial"/>
        </w:rPr>
        <w:t xml:space="preserve">] </w:t>
      </w:r>
      <w:r>
        <w:rPr>
          <w:rFonts w:ascii="Verdana" w:hAnsi="Verdana" w:cs="Arial"/>
          <w:spacing w:val="-2"/>
        </w:rPr>
        <w:t>de 2019, sob o nº [●], e deverá ser arquivada, assim como seus eventuais aditamentos deverão ser arquivados na JUCEPAR, nos termos do inciso II e do parágrafo 3º, ambos do artigo 62 da Lei das Sociedades por Ações.</w:t>
      </w:r>
    </w:p>
    <w:bookmarkEnd w:id="47"/>
    <w:p>
      <w:pPr>
        <w:pStyle w:val="HOMEBRBodyText"/>
        <w:spacing w:line="300" w:lineRule="exact"/>
        <w:rPr>
          <w:rFonts w:ascii="Verdana" w:hAnsi="Verdana" w:cs="Arial"/>
        </w:rPr>
      </w:pPr>
      <w:r>
        <w:rPr>
          <w:rFonts w:ascii="Verdana" w:hAnsi="Verdana" w:cs="Arial"/>
        </w:rPr>
        <w:lastRenderedPageBreak/>
        <w:t xml:space="preserve">A Escritura será objeto de aditamento para refletir o resultado do Procedimento de </w:t>
      </w:r>
      <w:r>
        <w:rPr>
          <w:rFonts w:ascii="Verdana" w:hAnsi="Verdana" w:cs="Arial"/>
          <w:i/>
        </w:rPr>
        <w:t>Bookbuilding</w:t>
      </w:r>
      <w:r>
        <w:rPr>
          <w:rFonts w:ascii="Verdana" w:hAnsi="Verdana" w:cs="Arial"/>
        </w:rPr>
        <w:t xml:space="preserve">, nos termos e condições aprovados na RCA da Emissão, e, portanto, sem necessidade de nova aprovação societária pela Emissora, nos termos da RCA da Emissão, ou de realização de Assembleia Geral de Debenturistas. O aditamento deverá ser inscrito na JUCEPAR. </w:t>
      </w:r>
    </w:p>
    <w:p>
      <w:pPr>
        <w:pStyle w:val="Ttulo8"/>
        <w:spacing w:line="300" w:lineRule="exact"/>
        <w:rPr>
          <w:rFonts w:ascii="Verdana" w:hAnsi="Verdana" w:cs="Arial"/>
          <w:lang w:val="pt-BR"/>
        </w:rPr>
      </w:pPr>
      <w:bookmarkStart w:id="48" w:name="_Toc484715958"/>
      <w:r>
        <w:rPr>
          <w:rFonts w:ascii="Verdana" w:hAnsi="Verdana" w:cs="Arial"/>
          <w:lang w:val="pt-BR"/>
        </w:rPr>
        <w:t>Depósito para Distribuição das Debêntures</w:t>
      </w:r>
      <w:bookmarkEnd w:id="48"/>
    </w:p>
    <w:p>
      <w:pPr>
        <w:pStyle w:val="HOMEBRBodyText"/>
        <w:spacing w:line="300" w:lineRule="exact"/>
        <w:rPr>
          <w:rFonts w:ascii="Verdana" w:hAnsi="Verdana" w:cs="Arial"/>
          <w:iCs/>
        </w:rPr>
      </w:pPr>
      <w:r>
        <w:rPr>
          <w:rFonts w:ascii="Verdana" w:hAnsi="Verdana" w:cs="Arial"/>
        </w:rPr>
        <w:t>As Debêntures serão depositadas para</w:t>
      </w:r>
      <w:r>
        <w:rPr>
          <w:rFonts w:ascii="Verdana" w:hAnsi="Verdana" w:cs="Arial"/>
          <w:b/>
        </w:rPr>
        <w:t xml:space="preserve"> </w:t>
      </w:r>
      <w:r>
        <w:rPr>
          <w:rFonts w:ascii="Verdana" w:hAnsi="Verdana" w:cs="Arial"/>
          <w:iCs/>
        </w:rPr>
        <w:t>distribuição no mercado primário por meio (a) do MDA, administrado e operacionalizado pela B3 – Segmento Cetip UTVM, sendo a distribuição liquidada financeiramente por meio da B3 – Segmento Cetip UTVM; e/ ou (b) do DDA, administrado e operacionalizado pela B3, sendo a distribuição liquidada financeiramente por meio da B3</w:t>
      </w:r>
    </w:p>
    <w:p>
      <w:pPr>
        <w:pStyle w:val="HOMEBRBodyText"/>
        <w:spacing w:line="300" w:lineRule="exact"/>
        <w:rPr>
          <w:rFonts w:ascii="Verdana" w:hAnsi="Verdana" w:cs="Arial"/>
          <w:b/>
          <w:i/>
          <w:iCs/>
        </w:rPr>
      </w:pPr>
      <w:r>
        <w:rPr>
          <w:rFonts w:ascii="Verdana" w:hAnsi="Verdana" w:cs="Arial"/>
          <w:b/>
          <w:i/>
          <w:iCs/>
        </w:rPr>
        <w:t>Negociação da Debêntures</w:t>
      </w:r>
    </w:p>
    <w:p>
      <w:pPr>
        <w:pStyle w:val="HOMEBRBodyText"/>
        <w:spacing w:line="300" w:lineRule="exact"/>
        <w:rPr>
          <w:rFonts w:ascii="Verdana" w:hAnsi="Verdana" w:cs="Arial"/>
        </w:rPr>
      </w:pPr>
      <w:r>
        <w:rPr>
          <w:rFonts w:ascii="Verdana" w:hAnsi="Verdana" w:cs="Arial"/>
        </w:rPr>
        <w:t>As Debêntures serão depositadas para</w:t>
      </w:r>
      <w:r>
        <w:rPr>
          <w:rFonts w:ascii="Verdana" w:hAnsi="Verdana" w:cs="Arial"/>
          <w:b/>
        </w:rPr>
        <w:t xml:space="preserve"> </w:t>
      </w:r>
      <w:r>
        <w:rPr>
          <w:rFonts w:ascii="Verdana" w:hAnsi="Verdana" w:cs="Arial"/>
          <w:iCs/>
        </w:rPr>
        <w:t xml:space="preserve">negociação no mercado secundário por meio (a) do </w:t>
      </w:r>
      <w:r>
        <w:rPr>
          <w:rFonts w:ascii="Verdana" w:hAnsi="Verdana" w:cs="Arial"/>
        </w:rPr>
        <w:t>CETIP21</w:t>
      </w:r>
      <w:r>
        <w:rPr>
          <w:rFonts w:ascii="Verdana" w:hAnsi="Verdana" w:cs="Arial"/>
          <w:iCs/>
        </w:rPr>
        <w:t>, administrado e operacionalizado pela B3 – Segmento Cetip UTVM, sendo as negociações liquidadas e as Debêntures custodiadas eletronicamente na B3 – Segmento Cetip UTVM; e/ou (b) da plataforma eletrônica de negociação de multi ativos PUMA, administrada e operacionalizada pela B3, sendo processadas pela B3 a custódia, a liquidação financeira e a negociação das Debêntures.</w:t>
      </w:r>
    </w:p>
    <w:p>
      <w:pPr>
        <w:pStyle w:val="Ttulo8"/>
        <w:spacing w:line="300" w:lineRule="exact"/>
        <w:rPr>
          <w:rFonts w:ascii="Verdana" w:hAnsi="Verdana" w:cs="Arial"/>
          <w:lang w:val="pt-BR"/>
        </w:rPr>
      </w:pPr>
      <w:bookmarkStart w:id="49" w:name="_Toc484715959"/>
      <w:r>
        <w:rPr>
          <w:rFonts w:ascii="Verdana" w:hAnsi="Verdana" w:cs="Arial"/>
          <w:lang w:val="pt-BR"/>
        </w:rPr>
        <w:t xml:space="preserve">Projeto de Infraestrutura Considerado como Prioritário pelo </w:t>
      </w:r>
      <w:bookmarkEnd w:id="49"/>
      <w:r>
        <w:rPr>
          <w:rFonts w:ascii="Verdana" w:hAnsi="Verdana" w:cs="Arial"/>
          <w:lang w:val="pt-BR"/>
        </w:rPr>
        <w:t>Ministério da Infraestrutura</w:t>
      </w:r>
    </w:p>
    <w:p>
      <w:pPr>
        <w:pStyle w:val="HOMEBRBodyText"/>
        <w:spacing w:line="300" w:lineRule="exact"/>
        <w:rPr>
          <w:rFonts w:ascii="Verdana" w:hAnsi="Verdana" w:cs="Arial"/>
          <w:iCs/>
        </w:rPr>
      </w:pPr>
      <w:r>
        <w:rPr>
          <w:rFonts w:ascii="Verdana" w:hAnsi="Verdana" w:cs="Arial"/>
          <w:iCs/>
        </w:rPr>
        <w:t xml:space="preserve">A Emissão das Debêntures será realizada na forma do artigo 2º da Lei nº 12.431, do Decreto nº 8.874 e da </w:t>
      </w:r>
      <w:r>
        <w:rPr>
          <w:rFonts w:ascii="Verdana" w:hAnsi="Verdana" w:cs="Arial"/>
        </w:rPr>
        <w:t>Portaria 009/12, tendo em vista o enquadramento do Projeto como prioritário pelo Ministério da Infraestrutura, por meio da Portaria do Ministério da Infraestrutura</w:t>
      </w:r>
      <w:r>
        <w:rPr>
          <w:rFonts w:ascii="Verdana" w:hAnsi="Verdana" w:cs="Arial"/>
          <w:iCs/>
        </w:rPr>
        <w:t xml:space="preserve">, anexa ao presente Prospecto como </w:t>
      </w:r>
      <w:r>
        <w:rPr>
          <w:rFonts w:ascii="Verdana" w:hAnsi="Verdana" w:cs="Arial"/>
          <w:iCs/>
          <w:u w:val="single"/>
        </w:rPr>
        <w:t>Anexo G</w:t>
      </w:r>
      <w:r>
        <w:rPr>
          <w:rFonts w:ascii="Verdana" w:hAnsi="Verdana" w:cs="Arial"/>
          <w:iCs/>
        </w:rPr>
        <w:t xml:space="preserve">. </w:t>
      </w:r>
    </w:p>
    <w:p>
      <w:pPr>
        <w:pStyle w:val="HOMEBRBodyText"/>
        <w:spacing w:line="300" w:lineRule="exact"/>
        <w:rPr>
          <w:rFonts w:ascii="Verdana" w:hAnsi="Verdana" w:cs="Arial"/>
          <w:b/>
        </w:rPr>
      </w:pPr>
      <w:r>
        <w:rPr>
          <w:rFonts w:ascii="Verdana" w:hAnsi="Verdana" w:cs="Arial"/>
          <w:b/>
        </w:rPr>
        <w:t>Para mais informações sobre o Projeto, veja a seção “</w:t>
      </w:r>
      <w:r>
        <w:rPr>
          <w:rFonts w:ascii="Verdana" w:hAnsi="Verdana" w:cs="Arial"/>
          <w:b/>
          <w:i/>
        </w:rPr>
        <w:t>Destinação dos Recursos</w:t>
      </w:r>
      <w:r>
        <w:rPr>
          <w:rFonts w:ascii="Verdana" w:hAnsi="Verdana" w:cs="Arial"/>
          <w:b/>
        </w:rPr>
        <w:t xml:space="preserve">”, na </w:t>
      </w:r>
      <w:r>
        <w:rPr>
          <w:rFonts w:ascii="Verdana" w:eastAsia="Calibri" w:hAnsi="Verdana" w:cs="Arial"/>
          <w:b/>
        </w:rPr>
        <w:t>página [</w:t>
      </w:r>
      <w:r>
        <w:rPr>
          <w:rFonts w:ascii="Verdana" w:eastAsia="Calibri" w:hAnsi="Verdana" w:cs="Arial"/>
          <w:b/>
        </w:rPr>
        <w:sym w:font="Symbol" w:char="F0B7"/>
      </w:r>
      <w:r>
        <w:rPr>
          <w:rFonts w:ascii="Verdana" w:eastAsia="Calibri" w:hAnsi="Verdana" w:cs="Arial"/>
          <w:b/>
        </w:rPr>
        <w:t xml:space="preserve">] </w:t>
      </w:r>
      <w:r>
        <w:rPr>
          <w:rFonts w:ascii="Verdana" w:hAnsi="Verdana" w:cs="Arial"/>
          <w:b/>
        </w:rPr>
        <w:t>deste Prospecto.</w:t>
      </w:r>
    </w:p>
    <w:p>
      <w:pPr>
        <w:spacing w:after="0" w:line="300" w:lineRule="exact"/>
        <w:jc w:val="left"/>
        <w:rPr>
          <w:rFonts w:ascii="Verdana" w:hAnsi="Verdana" w:cs="Arial"/>
          <w:b/>
          <w:lang w:val="pt-BR"/>
        </w:rPr>
      </w:pPr>
      <w:bookmarkStart w:id="50" w:name="_DV_M38"/>
      <w:bookmarkStart w:id="51" w:name="_DV_M42"/>
      <w:bookmarkStart w:id="52" w:name="_Toc428306464"/>
      <w:bookmarkStart w:id="53" w:name="_Toc484715960"/>
      <w:bookmarkEnd w:id="50"/>
      <w:bookmarkEnd w:id="51"/>
    </w:p>
    <w:p>
      <w:pPr>
        <w:spacing w:line="300" w:lineRule="exact"/>
        <w:rPr>
          <w:rFonts w:ascii="Verdana" w:hAnsi="Verdana" w:cs="Arial"/>
          <w:b/>
          <w:lang w:val="pt-BR"/>
        </w:rPr>
      </w:pPr>
      <w:r>
        <w:rPr>
          <w:rFonts w:ascii="Verdana" w:hAnsi="Verdana" w:cs="Arial"/>
          <w:b/>
          <w:lang w:val="pt-BR"/>
        </w:rPr>
        <w:t>OBJETO SOCIAL</w:t>
      </w:r>
      <w:bookmarkEnd w:id="52"/>
      <w:bookmarkEnd w:id="53"/>
    </w:p>
    <w:p>
      <w:pPr>
        <w:spacing w:line="300" w:lineRule="exact"/>
        <w:rPr>
          <w:rFonts w:ascii="Verdana" w:hAnsi="Verdana" w:cs="Arial"/>
          <w:lang w:val="pt-BR"/>
        </w:rPr>
      </w:pPr>
      <w:r>
        <w:rPr>
          <w:rFonts w:ascii="Verdana" w:hAnsi="Verdana" w:cs="Arial"/>
          <w:bCs/>
          <w:iCs/>
          <w:lang w:val="pt-BR"/>
        </w:rPr>
        <w:t>A Emissora</w:t>
      </w:r>
      <w:r>
        <w:rPr>
          <w:rFonts w:ascii="Verdana" w:hAnsi="Verdana" w:cs="Arial"/>
          <w:iCs/>
          <w:lang w:val="pt-BR"/>
        </w:rPr>
        <w:t xml:space="preserve"> tem por objeto social (a)</w:t>
      </w:r>
      <w:r>
        <w:rPr>
          <w:rFonts w:ascii="Verdana" w:hAnsi="Verdana" w:cs="Arial"/>
          <w:lang w:val="pt-BR"/>
        </w:rPr>
        <w:t xml:space="preserve"> prestar serviços de transporte de cargas através dos modais ferroviário e rodoviário, dentre outros, isoladamente ou combinados entre si de forma intermodal ou multimodal inclusive atuando como operador de transporte multimodal – OTM; (b) explorar atividades relacionadas, direta ou indiretamente, aos serviços de transporte mencionados na alínea anterior, tais como planejamento logístico, carga, descarga, transbordo, movimentação e armazenagem de mercadorias e contêineres, operação portuária, exploração e administração de entrepostos de armazenagem, armazéns gerais e entrepostos aduaneiros do interior; (c) importar, exportar, comprar, vender, distribuir, arrendar, locar e emprestar contêineres, </w:t>
      </w:r>
      <w:r>
        <w:rPr>
          <w:rFonts w:ascii="Verdana" w:hAnsi="Verdana" w:cs="Arial"/>
          <w:lang w:val="pt-BR"/>
        </w:rPr>
        <w:lastRenderedPageBreak/>
        <w:t>locomotivas, vagões e outras máquinas, equipamentos e insumos relacionados com as atividades descritas nas alíneas anteriores; (d) realizar operações de comércio, importação, exportação e distribuição de produtos e gêneros alimentícios, em seu estado “in natura”, brutos, beneficiados ou industrializados, bem como o comércio, a importação, a exportação e a distribuição de embalagens e recipientes correlatos para acondicionamento dos mesmos; executar todas as atividades afins, correlatas, acessórias ou complementares às descritas nas alíneas anteriores, além de outras que utilizem como base a estrutura da Companhia; e (f) participar, direta ou indiretamente, de sociedades, consórcios, empreendimentos e outras formas de associação cujo objeto seja relacionado com qualquer atividades indicadas nas alíneas anteriores.</w:t>
      </w:r>
    </w:p>
    <w:p>
      <w:pPr>
        <w:pStyle w:val="Ttulo3"/>
        <w:spacing w:line="300" w:lineRule="exact"/>
        <w:rPr>
          <w:rFonts w:ascii="Verdana" w:hAnsi="Verdana"/>
          <w:lang w:val="pt-BR"/>
        </w:rPr>
      </w:pPr>
      <w:bookmarkStart w:id="54" w:name="_Toc428306466"/>
      <w:bookmarkStart w:id="55" w:name="_Toc484715961"/>
      <w:bookmarkStart w:id="56" w:name="_Toc428305936"/>
      <w:bookmarkStart w:id="57" w:name="_Toc428322710"/>
      <w:r>
        <w:rPr>
          <w:rFonts w:ascii="Verdana" w:hAnsi="Verdana"/>
          <w:lang w:val="pt-BR"/>
        </w:rPr>
        <w:t>CARACTERÍSTICAS DA EMISSÃO E DAS DEBÊNTURES</w:t>
      </w:r>
      <w:bookmarkEnd w:id="54"/>
      <w:bookmarkEnd w:id="55"/>
    </w:p>
    <w:p>
      <w:pPr>
        <w:pStyle w:val="Ttulo8"/>
        <w:spacing w:line="300" w:lineRule="exact"/>
        <w:rPr>
          <w:rFonts w:ascii="Verdana" w:hAnsi="Verdana" w:cs="Arial"/>
          <w:lang w:val="pt-BR"/>
        </w:rPr>
      </w:pPr>
      <w:bookmarkStart w:id="58" w:name="_DV_M202"/>
      <w:bookmarkStart w:id="59" w:name="preço_de_subscrição"/>
      <w:bookmarkStart w:id="60" w:name="_Toc484715962"/>
      <w:bookmarkEnd w:id="58"/>
      <w:bookmarkEnd w:id="59"/>
      <w:r>
        <w:rPr>
          <w:rFonts w:ascii="Verdana" w:hAnsi="Verdana" w:cs="Arial"/>
          <w:lang w:val="pt-BR"/>
        </w:rPr>
        <w:t>Valor Total da Emissão</w:t>
      </w:r>
      <w:bookmarkEnd w:id="60"/>
    </w:p>
    <w:p>
      <w:pPr>
        <w:pStyle w:val="HOMEBRBodyText"/>
        <w:spacing w:line="300" w:lineRule="exact"/>
        <w:rPr>
          <w:rFonts w:ascii="Verdana" w:hAnsi="Verdana" w:cs="Arial"/>
        </w:rPr>
      </w:pPr>
      <w:r>
        <w:rPr>
          <w:rFonts w:ascii="Verdana" w:hAnsi="Verdana" w:cs="Arial"/>
        </w:rPr>
        <w:t>O valor total da Emissão será, inicialmente, de R$1.000.000.000,00, na Data de Emissão, sem considerar as Debêntures Adicionais.</w:t>
      </w:r>
    </w:p>
    <w:p>
      <w:pPr>
        <w:pStyle w:val="Ttulo8"/>
        <w:spacing w:line="300" w:lineRule="exact"/>
        <w:rPr>
          <w:rFonts w:ascii="Verdana" w:hAnsi="Verdana" w:cs="Arial"/>
          <w:lang w:val="pt-BR"/>
        </w:rPr>
      </w:pPr>
      <w:bookmarkStart w:id="61" w:name="_Toc484715963"/>
      <w:r>
        <w:rPr>
          <w:rFonts w:ascii="Verdana" w:hAnsi="Verdana" w:cs="Arial"/>
          <w:lang w:val="pt-BR"/>
        </w:rPr>
        <w:t>Valor Nominal Unitário</w:t>
      </w:r>
      <w:bookmarkEnd w:id="61"/>
    </w:p>
    <w:p>
      <w:pPr>
        <w:pStyle w:val="HOMEBRBodyText"/>
        <w:spacing w:line="300" w:lineRule="exact"/>
        <w:rPr>
          <w:rFonts w:ascii="Verdana" w:hAnsi="Verdana" w:cs="Arial"/>
        </w:rPr>
      </w:pPr>
      <w:r>
        <w:rPr>
          <w:rFonts w:ascii="Verdana" w:hAnsi="Verdana" w:cs="Arial"/>
        </w:rPr>
        <w:t xml:space="preserve">O valor nominal unitário das Debêntures, na Data de Emissão, é de R$1.000,00. </w:t>
      </w:r>
    </w:p>
    <w:p>
      <w:pPr>
        <w:pStyle w:val="Ttulo8"/>
        <w:spacing w:line="300" w:lineRule="exact"/>
        <w:rPr>
          <w:rFonts w:ascii="Verdana" w:hAnsi="Verdana" w:cs="Arial"/>
          <w:lang w:val="pt-BR"/>
        </w:rPr>
      </w:pPr>
      <w:bookmarkStart w:id="62" w:name="_Toc484715964"/>
      <w:r>
        <w:rPr>
          <w:rFonts w:ascii="Verdana" w:hAnsi="Verdana" w:cs="Arial"/>
          <w:lang w:val="pt-BR"/>
        </w:rPr>
        <w:t>Data de Emissão</w:t>
      </w:r>
      <w:bookmarkEnd w:id="62"/>
    </w:p>
    <w:p>
      <w:pPr>
        <w:pStyle w:val="HOMEBRBodyText"/>
        <w:spacing w:line="300" w:lineRule="exact"/>
        <w:rPr>
          <w:rFonts w:ascii="Verdana" w:hAnsi="Verdana" w:cs="Arial"/>
        </w:rPr>
      </w:pPr>
      <w:r>
        <w:rPr>
          <w:rFonts w:ascii="Verdana" w:hAnsi="Verdana" w:cs="Arial"/>
        </w:rPr>
        <w:t xml:space="preserve">Para todos os fins e efeitos legais, a Data de Emissão das Debêntures será 15 de outubro </w:t>
      </w:r>
      <w:r>
        <w:rPr>
          <w:rFonts w:ascii="Verdana" w:eastAsia="Calibri" w:hAnsi="Verdana" w:cs="Arial"/>
        </w:rPr>
        <w:t>de 2019</w:t>
      </w:r>
      <w:r>
        <w:rPr>
          <w:rFonts w:ascii="Verdana" w:hAnsi="Verdana" w:cs="Arial"/>
        </w:rPr>
        <w:t>.</w:t>
      </w:r>
    </w:p>
    <w:p>
      <w:pPr>
        <w:pStyle w:val="Ttulo8"/>
        <w:spacing w:line="300" w:lineRule="exact"/>
        <w:rPr>
          <w:rFonts w:ascii="Verdana" w:hAnsi="Verdana" w:cs="Arial"/>
          <w:lang w:val="pt-BR"/>
        </w:rPr>
      </w:pPr>
      <w:bookmarkStart w:id="63" w:name="_Toc484715965"/>
      <w:r>
        <w:rPr>
          <w:rFonts w:ascii="Verdana" w:hAnsi="Verdana" w:cs="Arial"/>
          <w:lang w:val="pt-BR"/>
        </w:rPr>
        <w:t>Destinação dos Recursos</w:t>
      </w:r>
      <w:bookmarkEnd w:id="63"/>
    </w:p>
    <w:p>
      <w:pPr>
        <w:pStyle w:val="HOMEBRBodyText"/>
        <w:spacing w:line="300" w:lineRule="exact"/>
        <w:rPr>
          <w:rFonts w:ascii="Verdana" w:hAnsi="Verdana" w:cs="Arial"/>
        </w:rPr>
      </w:pPr>
      <w:r>
        <w:rPr>
          <w:rFonts w:ascii="Verdana" w:hAnsi="Verdana" w:cs="Arial"/>
        </w:rPr>
        <w:t>Nos termos do artigo 2º da Lei nº 12.431, do Decreto nº 8.874, da Portaria do Ministério da Infraestrutura, da Resolução CMN 3.947 e da Portaria 009/2012, a totalidade dos recursos líquidos captados pela Emissora por meio da Emissão (inclusive decorrentes da colocação das Debêntures Adicionais, caso emitidas) destinar-se-á ao Projeto.</w:t>
      </w:r>
    </w:p>
    <w:p>
      <w:pPr>
        <w:pStyle w:val="HOMEBRBodyText"/>
        <w:spacing w:line="300" w:lineRule="exact"/>
        <w:rPr>
          <w:rFonts w:ascii="Verdana" w:hAnsi="Verdana" w:cs="Arial"/>
          <w:b/>
        </w:rPr>
      </w:pPr>
      <w:r>
        <w:rPr>
          <w:rFonts w:ascii="Verdana" w:hAnsi="Verdana" w:cs="Arial"/>
          <w:b/>
        </w:rPr>
        <w:t>As características do Projeto, bem como todas as informações necessárias encontram-se na seção “Destinação dos Recursos”, na página [</w:t>
      </w:r>
      <w:r>
        <w:rPr>
          <w:rFonts w:ascii="Verdana" w:hAnsi="Verdana" w:cs="Arial"/>
          <w:b/>
        </w:rPr>
        <w:sym w:font="Symbol" w:char="F0B7"/>
      </w:r>
      <w:r>
        <w:rPr>
          <w:rFonts w:ascii="Verdana" w:hAnsi="Verdana" w:cs="Arial"/>
          <w:b/>
        </w:rPr>
        <w:t>] deste Prospecto.</w:t>
      </w:r>
    </w:p>
    <w:p>
      <w:pPr>
        <w:pStyle w:val="HOMEBRBodyText"/>
        <w:spacing w:line="300" w:lineRule="exact"/>
        <w:rPr>
          <w:rFonts w:ascii="Verdana" w:hAnsi="Verdana" w:cs="Arial"/>
        </w:rPr>
      </w:pPr>
      <w:r>
        <w:rPr>
          <w:rFonts w:ascii="Verdana" w:hAnsi="Verdana" w:cs="Arial"/>
        </w:rPr>
        <w:t>Observado o disposto no artigo 2º, parágrafo 1º-B, da Lei nº 12.431, os recursos captados pela Emissora por meio da Emissão (inclusive decorrentes da colocação das Debêntures Adicionais, caso emitidas) serão transferidos à sua controlada Rumo Malha Central, nas mesmas condições da presente Emissão, incluindo custos incorridos pela Emissora para realização e manutenção da presente Emissão, para a consequente realização do Projeto, incluindo reembolso de gastos, despesas ou dívidas relacionadas ao Projeto.</w:t>
      </w:r>
    </w:p>
    <w:p>
      <w:pPr>
        <w:pStyle w:val="HOMEBRBodyText"/>
        <w:spacing w:line="300" w:lineRule="exact"/>
        <w:rPr>
          <w:rFonts w:ascii="Verdana" w:hAnsi="Verdana" w:cs="Arial"/>
        </w:rPr>
      </w:pPr>
      <w:r>
        <w:rPr>
          <w:rFonts w:ascii="Verdana" w:hAnsi="Verdana" w:cs="Arial"/>
        </w:rPr>
        <w:lastRenderedPageBreak/>
        <w:t>Os recursos adicionais necessários à conclusão do Projeto poderão decorrer de uma combinação de recursos próprios provenientes das atividades da Emissora e/ou de financiamentos a serem contratados, via mercados financeiro e/ou de capitais (local ou externo), dentre outros, a exclusivo critério da Emissora.</w:t>
      </w:r>
    </w:p>
    <w:p>
      <w:pPr>
        <w:pStyle w:val="HOMEBRBodyText"/>
        <w:spacing w:line="300" w:lineRule="exact"/>
        <w:rPr>
          <w:rFonts w:ascii="Verdana" w:hAnsi="Verdana" w:cs="Arial"/>
        </w:rPr>
      </w:pPr>
      <w:r>
        <w:rPr>
          <w:rFonts w:ascii="Verdana" w:hAnsi="Verdana" w:cs="Arial"/>
        </w:rPr>
        <w:t>Caso haja emissão das Debêntures Adicionais, o montante dos recursos líquidos obtidos com a Oferta em decorrência de tal emissão será destinado ao Projeto, conforme condições previstas neste Prospecto e na Escritura.</w:t>
      </w:r>
    </w:p>
    <w:p>
      <w:pPr>
        <w:pStyle w:val="HOMEBRBodyText"/>
        <w:spacing w:line="300" w:lineRule="exact"/>
        <w:rPr>
          <w:rFonts w:ascii="Verdana" w:hAnsi="Verdana" w:cs="Arial"/>
          <w:b/>
        </w:rPr>
      </w:pPr>
      <w:r>
        <w:rPr>
          <w:rFonts w:ascii="Verdana" w:hAnsi="Verdana" w:cs="Arial"/>
          <w:b/>
        </w:rPr>
        <w:t xml:space="preserve">Para mais informações sobre o Projeto e a destinação dos recursos das Debêntures, veja a seção “Destinação dos Recursos”, na </w:t>
      </w:r>
      <w:r>
        <w:rPr>
          <w:rFonts w:ascii="Verdana" w:eastAsia="Calibri" w:hAnsi="Verdana" w:cs="Arial"/>
          <w:b/>
        </w:rPr>
        <w:t>página [</w:t>
      </w:r>
      <w:r>
        <w:rPr>
          <w:rFonts w:ascii="Verdana" w:eastAsia="Calibri" w:hAnsi="Verdana" w:cs="Arial"/>
          <w:b/>
        </w:rPr>
        <w:sym w:font="Symbol" w:char="F0B7"/>
      </w:r>
      <w:r>
        <w:rPr>
          <w:rFonts w:ascii="Verdana" w:eastAsia="Calibri" w:hAnsi="Verdana" w:cs="Arial"/>
          <w:b/>
        </w:rPr>
        <w:t>]</w:t>
      </w:r>
      <w:r>
        <w:rPr>
          <w:rFonts w:ascii="Verdana" w:hAnsi="Verdana" w:cs="Arial"/>
          <w:b/>
        </w:rPr>
        <w:t xml:space="preserve"> deste Prospecto.</w:t>
      </w:r>
    </w:p>
    <w:p>
      <w:pPr>
        <w:pStyle w:val="Ttulo8"/>
        <w:spacing w:line="300" w:lineRule="exact"/>
        <w:rPr>
          <w:rFonts w:ascii="Verdana" w:hAnsi="Verdana" w:cs="Arial"/>
          <w:lang w:val="pt-BR"/>
        </w:rPr>
      </w:pPr>
      <w:bookmarkStart w:id="64" w:name="_Toc484715966"/>
      <w:r>
        <w:rPr>
          <w:rFonts w:ascii="Verdana" w:hAnsi="Verdana" w:cs="Arial"/>
          <w:lang w:val="pt-BR"/>
        </w:rPr>
        <w:t>Número da Emissão</w:t>
      </w:r>
      <w:bookmarkEnd w:id="64"/>
    </w:p>
    <w:p>
      <w:pPr>
        <w:pStyle w:val="HOMEBRBodyText"/>
        <w:spacing w:line="300" w:lineRule="exact"/>
        <w:rPr>
          <w:rFonts w:ascii="Verdana" w:hAnsi="Verdana" w:cs="Arial"/>
        </w:rPr>
      </w:pPr>
      <w:r>
        <w:rPr>
          <w:rFonts w:ascii="Verdana" w:hAnsi="Verdana" w:cs="Arial"/>
        </w:rPr>
        <w:t>A presente Emissão representa a 13ª (terceira) emissão de debêntures da Emissora.</w:t>
      </w:r>
    </w:p>
    <w:p>
      <w:pPr>
        <w:pStyle w:val="Ttulo8"/>
        <w:spacing w:line="300" w:lineRule="exact"/>
        <w:rPr>
          <w:rFonts w:ascii="Verdana" w:hAnsi="Verdana" w:cs="Arial"/>
          <w:lang w:val="pt-BR"/>
        </w:rPr>
      </w:pPr>
      <w:bookmarkStart w:id="65" w:name="_Ref420334827"/>
      <w:bookmarkStart w:id="66" w:name="_Toc484715967"/>
      <w:r>
        <w:rPr>
          <w:rFonts w:ascii="Verdana" w:hAnsi="Verdana" w:cs="Arial"/>
          <w:lang w:val="pt-BR"/>
        </w:rPr>
        <w:t>Número de Séries</w:t>
      </w:r>
      <w:bookmarkEnd w:id="65"/>
      <w:bookmarkEnd w:id="66"/>
    </w:p>
    <w:p>
      <w:pPr>
        <w:pStyle w:val="HOMEBRBodyText"/>
        <w:spacing w:line="300" w:lineRule="exact"/>
        <w:rPr>
          <w:rFonts w:ascii="Verdana" w:hAnsi="Verdana" w:cs="Arial"/>
        </w:rPr>
      </w:pPr>
      <w:bookmarkStart w:id="67" w:name="_Ref420334801"/>
      <w:r>
        <w:rPr>
          <w:rFonts w:ascii="Verdana" w:eastAsia="Calibri" w:hAnsi="Verdana" w:cs="Arial"/>
        </w:rPr>
        <w:t xml:space="preserve">A Emissão será realizada </w:t>
      </w:r>
      <w:bookmarkEnd w:id="67"/>
      <w:r>
        <w:rPr>
          <w:rFonts w:ascii="Verdana" w:eastAsia="Calibri" w:hAnsi="Verdana" w:cs="Arial"/>
        </w:rPr>
        <w:t>em série única.</w:t>
      </w:r>
    </w:p>
    <w:p>
      <w:pPr>
        <w:pStyle w:val="Ttulo8"/>
        <w:spacing w:line="300" w:lineRule="exact"/>
        <w:rPr>
          <w:rFonts w:ascii="Verdana" w:hAnsi="Verdana" w:cs="Arial"/>
          <w:lang w:val="pt-BR"/>
        </w:rPr>
      </w:pPr>
      <w:bookmarkStart w:id="68" w:name="_Ref420335400"/>
      <w:bookmarkStart w:id="69" w:name="_Toc484715968"/>
      <w:r>
        <w:rPr>
          <w:rFonts w:ascii="Verdana" w:hAnsi="Verdana" w:cs="Arial"/>
          <w:lang w:val="pt-BR"/>
        </w:rPr>
        <w:t>Quantidade de Debêntures</w:t>
      </w:r>
      <w:bookmarkEnd w:id="68"/>
      <w:bookmarkEnd w:id="69"/>
    </w:p>
    <w:p>
      <w:pPr>
        <w:pStyle w:val="HOMEBRBodyText"/>
        <w:spacing w:line="300" w:lineRule="exact"/>
        <w:rPr>
          <w:rFonts w:ascii="Verdana" w:hAnsi="Verdana" w:cs="Arial"/>
          <w:i/>
        </w:rPr>
      </w:pPr>
      <w:r>
        <w:rPr>
          <w:rFonts w:ascii="Verdana" w:hAnsi="Verdana" w:cs="Arial"/>
        </w:rPr>
        <w:t>Serão emitidas, inicialmente, 1.000.000 (um milhão) de Debêntures, sem considerar as Debêntures Adicionais.</w:t>
      </w:r>
    </w:p>
    <w:p>
      <w:pPr>
        <w:pStyle w:val="Ttulo8"/>
        <w:spacing w:line="300" w:lineRule="exact"/>
        <w:rPr>
          <w:rFonts w:ascii="Verdana" w:hAnsi="Verdana" w:cs="Arial"/>
          <w:lang w:val="pt-BR"/>
        </w:rPr>
      </w:pPr>
      <w:bookmarkStart w:id="70" w:name="_Toc484715970"/>
      <w:bookmarkStart w:id="71" w:name="_Ref427705231"/>
      <w:r>
        <w:rPr>
          <w:rFonts w:ascii="Verdana" w:hAnsi="Verdana" w:cs="Arial"/>
          <w:lang w:val="pt-BR"/>
        </w:rPr>
        <w:t>Debêntures Adicionais</w:t>
      </w:r>
      <w:bookmarkEnd w:id="70"/>
      <w:r>
        <w:rPr>
          <w:rFonts w:ascii="Verdana" w:hAnsi="Verdana" w:cs="Arial"/>
          <w:lang w:val="pt-BR"/>
        </w:rPr>
        <w:t xml:space="preserve"> </w:t>
      </w:r>
    </w:p>
    <w:p>
      <w:pPr>
        <w:pStyle w:val="HOMEBRBodyText"/>
        <w:spacing w:line="300" w:lineRule="exact"/>
        <w:rPr>
          <w:rFonts w:ascii="Verdana" w:hAnsi="Verdana" w:cs="Arial"/>
          <w:spacing w:val="-2"/>
        </w:rPr>
      </w:pPr>
      <w:r>
        <w:rPr>
          <w:rFonts w:ascii="Verdana" w:hAnsi="Verdana" w:cs="Arial"/>
          <w:spacing w:val="-2"/>
        </w:rPr>
        <w:t xml:space="preserve">Nos termos do parágrafo 2º do artigo 14 da Instrução CVM 400, a quantidade de Debêntures inicialmente ofertada poderá ser aumentada </w:t>
      </w:r>
      <w:bookmarkStart w:id="72" w:name="_DV_M127"/>
      <w:bookmarkEnd w:id="72"/>
      <w:r>
        <w:rPr>
          <w:rFonts w:ascii="Verdana" w:hAnsi="Verdana" w:cs="Arial"/>
          <w:spacing w:val="-2"/>
        </w:rPr>
        <w:t xml:space="preserve">em até 20%, ou seja, em até 200.000 Debêntures Adicionais, sem a necessidade de novo pedido de registro à CVM, podendo ser emitidas pela Emissora até a data de conclusão do Procedimento de </w:t>
      </w:r>
      <w:r>
        <w:rPr>
          <w:rFonts w:ascii="Verdana" w:hAnsi="Verdana" w:cs="Arial"/>
          <w:i/>
          <w:spacing w:val="-2"/>
        </w:rPr>
        <w:t>Bookbuilding</w:t>
      </w:r>
      <w:r>
        <w:rPr>
          <w:rFonts w:ascii="Verdana" w:hAnsi="Verdana" w:cs="Arial"/>
          <w:spacing w:val="-2"/>
        </w:rPr>
        <w:t>. As Debêntures Adicionais eventualmente emitidas passarão a ter as mesmas características das Debêntures inicialmente ofertadas e passarão a integrar o conceito de “</w:t>
      </w:r>
      <w:r>
        <w:rPr>
          <w:rFonts w:ascii="Verdana" w:hAnsi="Verdana" w:cs="Arial"/>
          <w:spacing w:val="-2"/>
          <w:u w:val="single"/>
        </w:rPr>
        <w:t>Debêntures</w:t>
      </w:r>
      <w:r>
        <w:rPr>
          <w:rFonts w:ascii="Verdana" w:hAnsi="Verdana" w:cs="Arial"/>
          <w:spacing w:val="-2"/>
        </w:rPr>
        <w:t>” e serão colocadas sob regime de melhores esforços de colocação pelos Coordenadores.</w:t>
      </w:r>
    </w:p>
    <w:p>
      <w:pPr>
        <w:pStyle w:val="HOMEBRBodyText"/>
        <w:spacing w:line="300" w:lineRule="exact"/>
        <w:rPr>
          <w:rFonts w:ascii="Verdana" w:hAnsi="Verdana" w:cs="Arial"/>
        </w:rPr>
      </w:pPr>
      <w:r>
        <w:rPr>
          <w:rFonts w:ascii="Verdana" w:hAnsi="Verdana" w:cs="Arial"/>
        </w:rPr>
        <w:t>Caso ocorra o aumento na quantidade de Debêntures originalmente ofertada, conforme previsto no parágrafo acima, a Escritura deverá ser ajustada de maneira a refletir a quantidade de Debêntures efetivamente emitida, mediante a celebração de aditamento à Escritura, que deverá ser arquivado na JUCEPAR, sem necessidade de nova aprovação societária pela Emissora, nos termos da RCA da Emissão, ou de realização de Assembleia Geral de Debenturistas.</w:t>
      </w:r>
    </w:p>
    <w:p>
      <w:pPr>
        <w:pStyle w:val="Ttulo8"/>
        <w:spacing w:line="300" w:lineRule="exact"/>
        <w:rPr>
          <w:rFonts w:ascii="Verdana" w:hAnsi="Verdana" w:cs="Arial"/>
          <w:lang w:val="pt-BR"/>
        </w:rPr>
      </w:pPr>
      <w:bookmarkStart w:id="73" w:name="_Toc484715971"/>
      <w:bookmarkEnd w:id="71"/>
      <w:r>
        <w:rPr>
          <w:rFonts w:ascii="Verdana" w:hAnsi="Verdana" w:cs="Arial"/>
          <w:lang w:val="pt-BR"/>
        </w:rPr>
        <w:lastRenderedPageBreak/>
        <w:t>Prazo e Data de Vencimento</w:t>
      </w:r>
      <w:bookmarkEnd w:id="73"/>
    </w:p>
    <w:p>
      <w:pPr>
        <w:pStyle w:val="HOMEBRBodyText"/>
        <w:spacing w:line="300" w:lineRule="exact"/>
        <w:rPr>
          <w:rFonts w:ascii="Verdana" w:hAnsi="Verdana" w:cs="Arial"/>
        </w:rPr>
      </w:pPr>
      <w:r>
        <w:rPr>
          <w:rFonts w:ascii="Verdana" w:hAnsi="Verdana" w:cs="Arial"/>
        </w:rPr>
        <w:t>As Debêntures terão prazo de vencimento de 10 anos contados da Data de Emissão, vencendo-se, portanto, em 15 de outubro de 2029, ressalvadas as hipóteses de vencimento antecipado e, se permitido pelas regras expedidas pelo CMN e pela legislação e regulamentação aplicáveis, Resgate Obrigatório, nos termos da Escritura.</w:t>
      </w:r>
    </w:p>
    <w:p>
      <w:pPr>
        <w:pStyle w:val="Ttulo8"/>
        <w:spacing w:line="300" w:lineRule="exact"/>
        <w:rPr>
          <w:rFonts w:ascii="Verdana" w:hAnsi="Verdana" w:cs="Arial"/>
          <w:lang w:val="pt-BR"/>
        </w:rPr>
      </w:pPr>
      <w:bookmarkStart w:id="74" w:name="_Ref484524101"/>
      <w:bookmarkStart w:id="75" w:name="_Toc484715972"/>
      <w:r>
        <w:rPr>
          <w:rFonts w:ascii="Verdana" w:hAnsi="Verdana" w:cs="Arial"/>
          <w:lang w:val="pt-BR"/>
        </w:rPr>
        <w:t>Agente Fiduciário</w:t>
      </w:r>
      <w:bookmarkEnd w:id="74"/>
      <w:bookmarkEnd w:id="75"/>
    </w:p>
    <w:p>
      <w:pPr>
        <w:pStyle w:val="HOMEBRBodyText"/>
        <w:spacing w:line="300" w:lineRule="exact"/>
        <w:rPr>
          <w:rFonts w:ascii="Verdana" w:eastAsia="Calibri" w:hAnsi="Verdana" w:cs="Arial"/>
        </w:rPr>
      </w:pPr>
      <w:r>
        <w:rPr>
          <w:rFonts w:ascii="Verdana" w:eastAsia="Calibri" w:hAnsi="Verdana" w:cs="Arial"/>
        </w:rPr>
        <w:t xml:space="preserve">O agente fiduciário é a </w:t>
      </w:r>
      <w:r>
        <w:rPr>
          <w:rFonts w:ascii="Verdana" w:eastAsia="Calibri" w:hAnsi="Verdana" w:cs="Arial"/>
          <w:lang w:val="pt-PT"/>
        </w:rPr>
        <w:t xml:space="preserve">Simplific Pavarini Distribuidora de Títulos e Valores Mobiliários Ltda., instituição financeira constituída sob a forma de sociedade limitada, com endereço </w:t>
      </w:r>
      <w:r>
        <w:rPr>
          <w:rFonts w:ascii="Verdana" w:eastAsia="Calibri" w:hAnsi="Verdana" w:cs="Arial"/>
        </w:rPr>
        <w:t>cidade de São Paulo, Estado de São Paulo, na Rua Joaquim Floriano, 466 – Bloco B, Sala 1401, Itaim Bibi</w:t>
      </w:r>
      <w:r>
        <w:rPr>
          <w:rFonts w:ascii="Verdana" w:eastAsia="Calibri" w:hAnsi="Verdana" w:cs="Arial"/>
          <w:lang w:val="pt-PT"/>
        </w:rPr>
        <w:t>, inscrita no CNPJ/ME sob o nº </w:t>
      </w:r>
      <w:r>
        <w:rPr>
          <w:rFonts w:ascii="Verdana" w:eastAsia="Calibri" w:hAnsi="Verdana" w:cs="Arial"/>
        </w:rPr>
        <w:t>15.227.994/0004-01</w:t>
      </w:r>
      <w:r>
        <w:rPr>
          <w:rFonts w:ascii="Verdana" w:eastAsia="Calibri" w:hAnsi="Verdana" w:cs="Arial"/>
          <w:lang w:val="pt-PT"/>
        </w:rPr>
        <w:t xml:space="preserve"> </w:t>
      </w:r>
      <w:r>
        <w:rPr>
          <w:rFonts w:ascii="Verdana" w:eastAsia="Calibri" w:hAnsi="Verdana" w:cs="Arial"/>
        </w:rPr>
        <w:t>(www.simplificpavarini.com.br)</w:t>
      </w:r>
      <w:r>
        <w:rPr>
          <w:rFonts w:ascii="Verdana" w:eastAsia="Calibri" w:hAnsi="Verdana" w:cs="Arial"/>
          <w:lang w:val="pt-PT"/>
        </w:rPr>
        <w:t xml:space="preserve">, representada pelos Srs. </w:t>
      </w:r>
      <w:r>
        <w:rPr>
          <w:rFonts w:ascii="Verdana" w:eastAsia="Calibri" w:hAnsi="Verdana" w:cs="Arial"/>
        </w:rPr>
        <w:t>Carlos Alberto Bacha, Matheus Gomes Faria e Rinaldo Rabello Ferreira</w:t>
      </w:r>
      <w:r>
        <w:rPr>
          <w:rFonts w:ascii="Verdana" w:eastAsia="Calibri" w:hAnsi="Verdana" w:cs="Arial"/>
          <w:lang w:val="pt-PT"/>
        </w:rPr>
        <w:t xml:space="preserve">, telefones </w:t>
      </w:r>
      <w:r>
        <w:rPr>
          <w:rFonts w:ascii="Verdana" w:eastAsia="Calibri" w:hAnsi="Verdana" w:cs="Arial"/>
        </w:rPr>
        <w:t>(11) 3090-0447 ou (21) 2507-1949</w:t>
      </w:r>
      <w:r>
        <w:rPr>
          <w:rFonts w:ascii="Verdana" w:eastAsia="Calibri" w:hAnsi="Verdana" w:cs="Arial"/>
          <w:lang w:val="pt-PT"/>
        </w:rPr>
        <w:t xml:space="preserve">, correio eletrônico: </w:t>
      </w:r>
      <w:r>
        <w:rPr>
          <w:rFonts w:ascii="Verdana" w:eastAsia="Calibri" w:hAnsi="Verdana" w:cs="Arial"/>
        </w:rPr>
        <w:t>fiduciario@simplificpavarini.com.br.</w:t>
      </w:r>
    </w:p>
    <w:p>
      <w:pPr>
        <w:pStyle w:val="Ttulo3"/>
        <w:keepNext w:val="0"/>
        <w:keepLines w:val="0"/>
        <w:spacing w:line="300" w:lineRule="exact"/>
        <w:rPr>
          <w:rFonts w:ascii="Verdana" w:eastAsia="Calibri" w:hAnsi="Verdana"/>
          <w:b w:val="0"/>
          <w:iCs/>
          <w:lang w:val="pt-BR"/>
        </w:rPr>
      </w:pPr>
      <w:r>
        <w:rPr>
          <w:rFonts w:ascii="Verdana" w:eastAsia="Calibri" w:hAnsi="Verdana"/>
          <w:b w:val="0"/>
          <w:lang w:val="pt-BR"/>
        </w:rPr>
        <w:t xml:space="preserve">Para os fins do art. 1º, inciso XI, do Anexo 15 da Instrução CVM 583, o Agente Fiduciário identificou que também exerce a função de agente fiduciário nas seguintes emissões: </w:t>
      </w:r>
      <w:r>
        <w:rPr>
          <w:rFonts w:ascii="Verdana" w:eastAsia="Calibri" w:hAnsi="Verdana"/>
          <w:b w:val="0"/>
          <w:iCs/>
          <w:lang w:val="pt-BR"/>
        </w:rPr>
        <w:t>(i) quarta emissão de debêntures não conversíveis em ações, da espécie quirografária, da COMGÁS, no valor de R$ 591.894.000,00 (quinhentos e noventa e um milhões, oitocentos e noventa e quatro mil reais), na data de emissão, qual seja, 15 de dezembro de 2015, em três séries, sendo (1) 269.620 (duzentos e sessenta e nove mil, seiscentas e vinte) debêntures da primeira série; (2) 242.374 (duzentos e quarenta e dois mil, trezentas e setenta e quatro) debêntures da segunda série; e (3) 79.900 (setenta e nove mil e novecentas) debêntures da terceira série, e data de vencimento em 15 de dezembro de 2020, 15 de dezembro de 2022 e 15 de dezembro de 2025, e valor nominal de R$ 1.000,00 (mil reais), e taxas de juros de IPCA + 7,1432%, IPCA + 7,4820% e IPCA + 7,3570, respectivamente. Até a presente data não ocorreram eventos de inadimplemento;</w:t>
      </w:r>
      <w:r>
        <w:rPr>
          <w:rFonts w:ascii="Verdana" w:eastAsia="Calibri" w:hAnsi="Verdana"/>
          <w:b w:val="0"/>
          <w:lang w:val="pt-BR"/>
        </w:rPr>
        <w:t xml:space="preserve"> </w:t>
      </w:r>
      <w:r>
        <w:rPr>
          <w:rFonts w:ascii="Verdana" w:eastAsia="Calibri" w:hAnsi="Verdana"/>
          <w:b w:val="0"/>
          <w:iCs/>
          <w:lang w:val="pt-BR"/>
        </w:rPr>
        <w:t xml:space="preserve">(ii) quinta emissão de debêntures simples, da espécie quirografária, da COMGÁS, em série única, no valor de R$675.000.000,00 (seiscentos e setenta e cinco milhões de reais), na data de emissão, qual seja, 15 de dezembro de 2016, representada por 675.000 (seiscentas e setenta e cinco mil) debêntures, com vencimento em 15 de dezembro de 2023, sendo o valor nominal unitário de debênture de R$1.000,00 (mil reais) e taxa de IPCA + 5,8680% a.a.. Até a presente data não ocorreram quaisquer eventos de inadimplemento; (iii) sexta emissão de debêntures simples, da espécie quirografária, da COMGÁS, em série única, no valor de R$ 400.000.000,00 (quatrocentos milhões de reais), na data de emissão, qual seja, 15 de outubro de 2017, representada por 400.000 (quatrocentas mil) debêntures, sendo o valor nominal unitário de debênture de R$1.000,00 (mil reais) e taxa de IPCA + 4,3338% a.a. Até a presente data não ocorreram quaisquer eventos de inadimplemento; (iv) sétima emissão de debêntures simples, da espécie quirografária, da COMGÁS, em série única, no valor de R$ 215.000.000,00 (duzentos e quinze milhões de reais), na data de emissão, qual seja, 15 de maio de 2018, representada por 215.000 (duzentas e quinze mil) debêntures, com </w:t>
      </w:r>
      <w:r>
        <w:rPr>
          <w:rFonts w:ascii="Verdana" w:eastAsia="Calibri" w:hAnsi="Verdana"/>
          <w:b w:val="0"/>
          <w:iCs/>
          <w:lang w:val="pt-BR"/>
        </w:rPr>
        <w:lastRenderedPageBreak/>
        <w:t>vencimento em 15 de maio de 2028, sendo o valor nominal unitário de debênture de R$1.000,00 (mil reais) e taxa de IGPM + 6,10% a.a. Até a presente data não ocorreram quaisquer eventos de inadimplemento; (v) décima primeira emissão de debêntures simples, da espécie quirografária com garantia adicional fidejussória prestada pela Emissora, da Rumo Malha Norte S.A., em série única, no valor de R$ 500.000.000,00 (quinhentos milhões de reais), na data de emissão, qual seja, 15 de fevereiro de 2019, representada por 500.000 (quinhentas mil) debêntures, com vencimento em 15 de fevereiro de 2026, sendo o valor nominal unitário de R$ 1.000,00 (mil reais) e taxa de IPCA + 4,6750%; e (vi) décima segunda emissão de debêntures simples da espécie quirografária da Emissora, em série única, no valor de R$ 600.000.000,00 (seiscentos milhões de reais), na data de emissão, qual seja, 15 de fevereiro de 2019, representada por 600.000 (seiscentas mil) debêntures, com vencimento em 15 de fevereiro de 2029, sendo o valor nominal unitário de R$ 1.000,00 (mil reais) e taxa de IPCA + 4,5000%. Até a presente data não ocorreram quaisquer eventos de inadimplemento.</w:t>
      </w:r>
    </w:p>
    <w:p>
      <w:pPr>
        <w:spacing w:line="300" w:lineRule="exact"/>
        <w:rPr>
          <w:rFonts w:ascii="Verdana" w:eastAsia="Calibri" w:hAnsi="Verdana" w:cs="Arial"/>
          <w:lang w:val="pt-BR"/>
        </w:rPr>
      </w:pPr>
      <w:r>
        <w:rPr>
          <w:rFonts w:ascii="Verdana" w:eastAsia="Calibri" w:hAnsi="Verdana" w:cs="Arial"/>
          <w:lang w:val="pt-BR"/>
        </w:rPr>
        <w:t>Nos termos do artigo 6º, parágrafo 3º, da Instrução CVM 583, as informações acima podem ser encontradas na Cláusula 9.1.1, da Escritura.</w:t>
      </w:r>
    </w:p>
    <w:p>
      <w:pPr>
        <w:pStyle w:val="HOMEBRBodyText"/>
        <w:keepLines w:val="0"/>
        <w:spacing w:line="300" w:lineRule="exact"/>
        <w:rPr>
          <w:rFonts w:ascii="Verdana" w:eastAsia="Calibri" w:hAnsi="Verdana" w:cs="Arial"/>
        </w:rPr>
      </w:pPr>
      <w:r>
        <w:rPr>
          <w:rFonts w:ascii="Verdana" w:eastAsia="Calibri" w:hAnsi="Verdana" w:cs="Arial"/>
        </w:rPr>
        <w:t>O Agente Fiduciário não emitirá qualquer tipo de opinião ou fará qualquer juízo sobre a orientação acerca de qualquer fato da emissão que seja de competência de definição pelos Debenturistas, comprometendo-se tão-somente a agir em conformidade com as instruções que lhe forem transmitidas pelos Debenturistas. Neste sentido, o Agente Fiduciário não possui qualquer responsabilidade sobre o resultado ou sobre os efeitos jurídicos decorrentes do estrito cumprimento das orientações dos Debenturistas a ele transmitidas conforme definidas pelos Debenturistas e reproduzidas perante a Emissora, independentemente de eventuais prejuízos que venham a ser causados em decorrência disto aos Debenturistas ou à Emissora. A atuação do Agente Fiduciário limita-se ao escopo da Instrução CVM 583, e dos artigos aplicáveis da Lei das Sociedades por Ações, estando este isento, sob qualquer forma ou pretexto, de qualquer responsabilidade adicional que não tenha decorrido da legislação aplicável.</w:t>
      </w:r>
    </w:p>
    <w:p>
      <w:pPr>
        <w:pStyle w:val="HOMEBRBodyText"/>
        <w:spacing w:line="300" w:lineRule="exact"/>
        <w:rPr>
          <w:rFonts w:ascii="Verdana" w:eastAsia="Calibri" w:hAnsi="Verdana" w:cs="Arial"/>
        </w:rPr>
      </w:pPr>
      <w:r>
        <w:rPr>
          <w:rFonts w:ascii="Verdana" w:eastAsia="Calibri" w:hAnsi="Verdana" w:cs="Arial"/>
        </w:rPr>
        <w:t>Sem prejuízo do dever de diligência do Agente Fiduciário, este assumirá que os documentos originais ou cópias autenticadas de documentos encaminhados pela Emissora ou por terceiros a seu pedido não foram objeto de fraude ou adulteração. Não será ainda, sob qualquer hipótese, responsável pela elaboração de documentos societários da Emissora, que permanecerão sob obrigação legal e regulamentar da Emissora elaborá-los, nos termos da legislação aplicável.</w:t>
      </w:r>
    </w:p>
    <w:p>
      <w:pPr>
        <w:pStyle w:val="HOMEBRBodyText"/>
        <w:spacing w:line="300" w:lineRule="exact"/>
        <w:rPr>
          <w:rFonts w:ascii="Verdana" w:eastAsia="Calibri" w:hAnsi="Verdana" w:cs="Arial"/>
        </w:rPr>
      </w:pPr>
      <w:r>
        <w:rPr>
          <w:rFonts w:ascii="Verdana" w:eastAsia="Calibri" w:hAnsi="Verdana" w:cs="Arial"/>
        </w:rPr>
        <w:t>Os atos ou manifestações por parte do Agente Fiduciário, que criarem responsabilidade para os Debenturistas e/ou exonerarem terceiros de obrigações para com eles, bem como aqueles relacionados ao devido cumprimento das obrigações assumidas nos termos da Escritura, somente serão válidos quando previamente assim deliberado pelos Debenturistas reunidos em Assembleia Geral de Debenturistas.</w:t>
      </w:r>
    </w:p>
    <w:p>
      <w:pPr>
        <w:pStyle w:val="Ttulo8"/>
        <w:spacing w:line="300" w:lineRule="exact"/>
        <w:rPr>
          <w:rFonts w:ascii="Verdana" w:hAnsi="Verdana" w:cs="Arial"/>
          <w:lang w:val="pt-BR"/>
        </w:rPr>
      </w:pPr>
      <w:bookmarkStart w:id="76" w:name="_Toc484715973"/>
      <w:r>
        <w:rPr>
          <w:rFonts w:ascii="Verdana" w:hAnsi="Verdana" w:cs="Arial"/>
          <w:lang w:val="pt-BR"/>
        </w:rPr>
        <w:lastRenderedPageBreak/>
        <w:t>Banco Liquidante e Escriturador</w:t>
      </w:r>
      <w:bookmarkEnd w:id="76"/>
    </w:p>
    <w:p>
      <w:pPr>
        <w:pStyle w:val="HOMEBRBodyText"/>
        <w:spacing w:line="300" w:lineRule="exact"/>
        <w:rPr>
          <w:rFonts w:ascii="Verdana" w:eastAsia="Calibri" w:hAnsi="Verdana" w:cs="Arial"/>
        </w:rPr>
      </w:pPr>
      <w:r>
        <w:rPr>
          <w:rFonts w:ascii="Verdana" w:eastAsia="Calibri" w:hAnsi="Verdana" w:cs="Arial"/>
        </w:rPr>
        <w:t xml:space="preserve">O banco </w:t>
      </w:r>
      <w:r>
        <w:rPr>
          <w:rFonts w:ascii="Verdana" w:hAnsi="Verdana" w:cs="Arial"/>
        </w:rPr>
        <w:t xml:space="preserve">liquidante e escriturador </w:t>
      </w:r>
      <w:r>
        <w:rPr>
          <w:rFonts w:ascii="Verdana" w:eastAsia="Calibri" w:hAnsi="Verdana" w:cs="Arial"/>
        </w:rPr>
        <w:t>da Emissão será o Banco Bradesco S.A., instituição financeira constituída sob a forma de sociedade anônima, com sede na Cidade de Osasco, Estado de São Paulo, na Cidade de Deus, s/nº, Vila Yara, inscrita no CNPJ/MF sob nº 60.746.948/0001-12.</w:t>
      </w:r>
    </w:p>
    <w:p>
      <w:pPr>
        <w:pStyle w:val="Ttulo8"/>
        <w:spacing w:line="300" w:lineRule="exact"/>
        <w:rPr>
          <w:rFonts w:ascii="Verdana" w:hAnsi="Verdana" w:cs="Arial"/>
          <w:lang w:val="pt-BR"/>
        </w:rPr>
      </w:pPr>
      <w:bookmarkStart w:id="77" w:name="_Toc484715974"/>
      <w:r>
        <w:rPr>
          <w:rFonts w:ascii="Verdana" w:hAnsi="Verdana" w:cs="Arial"/>
          <w:lang w:val="pt-BR"/>
        </w:rPr>
        <w:t>Comprovação da Titularidade das Debêntures</w:t>
      </w:r>
      <w:bookmarkEnd w:id="77"/>
    </w:p>
    <w:p>
      <w:pPr>
        <w:pStyle w:val="HOMEBRBodyText"/>
        <w:spacing w:line="300" w:lineRule="exact"/>
        <w:rPr>
          <w:rFonts w:ascii="Verdana" w:hAnsi="Verdana" w:cs="Arial"/>
        </w:rPr>
      </w:pPr>
      <w:bookmarkStart w:id="78" w:name="_Ref312336031"/>
      <w:r>
        <w:rPr>
          <w:rFonts w:ascii="Verdana" w:hAnsi="Verdana" w:cs="Arial"/>
        </w:rPr>
        <w:t>A Emissora não emitirá certificados de Debêntures. Para todos os fins de direito, a titularidade das Debêntures será comprovada pelo extrato emitido pelo Escriturador. Adicionalmente, (i) com relação às Debêntures que estiverem custodiadas eletronicamente na B3 – Segmento Cetip UTVM, será expedido, por esta, extrato atualizado em nome do Debenturista, que servirá de comprovante de titularidade de tais Debêntures; e/ou (ii) com relação às Debêntures que estiverem custodiadas eletronicamente na B3, será expedido, por esta, extrato atualizado em nome do Debenturista, que servirá de comprovante de titularidade de tais Debêntures.</w:t>
      </w:r>
      <w:bookmarkEnd w:id="78"/>
    </w:p>
    <w:p>
      <w:pPr>
        <w:pStyle w:val="Ttulo8"/>
        <w:spacing w:line="300" w:lineRule="exact"/>
        <w:rPr>
          <w:rFonts w:ascii="Verdana" w:hAnsi="Verdana" w:cs="Arial"/>
          <w:lang w:val="pt-BR"/>
        </w:rPr>
      </w:pPr>
      <w:bookmarkStart w:id="79" w:name="_Toc484715975"/>
      <w:r>
        <w:rPr>
          <w:rFonts w:ascii="Verdana" w:hAnsi="Verdana" w:cs="Arial"/>
          <w:lang w:val="pt-BR"/>
        </w:rPr>
        <w:t>Conversibilidade, Tipo e Forma</w:t>
      </w:r>
      <w:bookmarkEnd w:id="79"/>
    </w:p>
    <w:p>
      <w:pPr>
        <w:pStyle w:val="HOMEBRBodyText"/>
        <w:spacing w:line="300" w:lineRule="exact"/>
        <w:rPr>
          <w:rFonts w:ascii="Verdana" w:hAnsi="Verdana" w:cs="Arial"/>
        </w:rPr>
      </w:pPr>
      <w:r>
        <w:rPr>
          <w:rFonts w:ascii="Verdana" w:hAnsi="Verdana" w:cs="Arial"/>
        </w:rPr>
        <w:t>As Debêntures serão simples, ou seja, não conversíveis em ações de emissão da Emissora, escriturais e nominativas, sem emissão de cautelas e certificados.</w:t>
      </w:r>
    </w:p>
    <w:p>
      <w:pPr>
        <w:pStyle w:val="Ttulo8"/>
        <w:spacing w:line="300" w:lineRule="exact"/>
        <w:rPr>
          <w:rFonts w:ascii="Verdana" w:hAnsi="Verdana" w:cs="Arial"/>
          <w:lang w:val="pt-BR"/>
        </w:rPr>
      </w:pPr>
      <w:bookmarkStart w:id="80" w:name="_Toc484715976"/>
      <w:r>
        <w:rPr>
          <w:rFonts w:ascii="Verdana" w:hAnsi="Verdana" w:cs="Arial"/>
          <w:lang w:val="pt-BR"/>
        </w:rPr>
        <w:t>Espécie</w:t>
      </w:r>
      <w:bookmarkEnd w:id="80"/>
    </w:p>
    <w:p>
      <w:pPr>
        <w:pStyle w:val="HOMEBRBodyText"/>
        <w:spacing w:line="300" w:lineRule="exact"/>
        <w:rPr>
          <w:rFonts w:ascii="Verdana" w:hAnsi="Verdana" w:cs="Arial"/>
        </w:rPr>
      </w:pPr>
      <w:r>
        <w:rPr>
          <w:rFonts w:ascii="Verdana" w:hAnsi="Verdana" w:cs="Arial"/>
        </w:rPr>
        <w:t>As Debêntures são da espécie quirografária.</w:t>
      </w:r>
    </w:p>
    <w:p>
      <w:pPr>
        <w:pStyle w:val="Ttulo8"/>
        <w:spacing w:line="300" w:lineRule="exact"/>
        <w:rPr>
          <w:rFonts w:ascii="Verdana" w:hAnsi="Verdana" w:cs="Arial"/>
          <w:lang w:val="pt-BR"/>
        </w:rPr>
      </w:pPr>
      <w:bookmarkStart w:id="81" w:name="_Toc484715977"/>
      <w:r>
        <w:rPr>
          <w:rFonts w:ascii="Verdana" w:hAnsi="Verdana" w:cs="Arial"/>
          <w:lang w:val="pt-BR"/>
        </w:rPr>
        <w:t>Garantia</w:t>
      </w:r>
      <w:bookmarkEnd w:id="81"/>
    </w:p>
    <w:p>
      <w:pPr>
        <w:pStyle w:val="HOMEBRBodyText"/>
        <w:spacing w:line="300" w:lineRule="exact"/>
        <w:rPr>
          <w:rFonts w:ascii="Verdana" w:eastAsia="Calibri" w:hAnsi="Verdana" w:cs="Arial"/>
        </w:rPr>
      </w:pPr>
      <w:r>
        <w:rPr>
          <w:rFonts w:ascii="Verdana" w:hAnsi="Verdana" w:cs="Arial"/>
        </w:rPr>
        <w:t>As Debêntures não contarão com qualquer tipo de garantia.</w:t>
      </w:r>
    </w:p>
    <w:p>
      <w:pPr>
        <w:pStyle w:val="HOMEBRBodyText"/>
        <w:spacing w:line="300" w:lineRule="exact"/>
        <w:rPr>
          <w:rFonts w:ascii="Verdana" w:hAnsi="Verdana" w:cs="Arial"/>
          <w:b/>
        </w:rPr>
      </w:pPr>
      <w:r>
        <w:rPr>
          <w:rFonts w:ascii="Verdana" w:hAnsi="Verdana" w:cs="Arial"/>
          <w:b/>
        </w:rPr>
        <w:t xml:space="preserve">Para mais informações sobre a Garantia, veja a seção “Fatores de Risco Relacionados à Oferta e às Debêntures – As Debêntures são da espécie quirografária, sem garantia e sem preferência”, na </w:t>
      </w:r>
      <w:r>
        <w:rPr>
          <w:rFonts w:ascii="Verdana" w:eastAsia="Calibri" w:hAnsi="Verdana" w:cs="Arial"/>
          <w:b/>
        </w:rPr>
        <w:t>página [</w:t>
      </w:r>
      <w:r>
        <w:rPr>
          <w:rFonts w:ascii="Verdana" w:eastAsia="Calibri" w:hAnsi="Verdana" w:cs="Arial"/>
          <w:b/>
        </w:rPr>
        <w:sym w:font="Symbol" w:char="F0B7"/>
      </w:r>
      <w:r>
        <w:rPr>
          <w:rFonts w:ascii="Verdana" w:eastAsia="Calibri" w:hAnsi="Verdana" w:cs="Arial"/>
          <w:b/>
        </w:rPr>
        <w:t>]</w:t>
      </w:r>
      <w:r>
        <w:rPr>
          <w:rFonts w:ascii="Verdana" w:hAnsi="Verdana" w:cs="Arial"/>
          <w:b/>
        </w:rPr>
        <w:t xml:space="preserve"> deste Prospecto.</w:t>
      </w:r>
    </w:p>
    <w:p>
      <w:pPr>
        <w:pStyle w:val="Ttulo8"/>
        <w:spacing w:line="300" w:lineRule="exact"/>
        <w:rPr>
          <w:rFonts w:ascii="Verdana" w:hAnsi="Verdana" w:cs="Arial"/>
          <w:lang w:val="pt-BR"/>
        </w:rPr>
      </w:pPr>
      <w:bookmarkStart w:id="82" w:name="_Toc484715978"/>
      <w:r>
        <w:rPr>
          <w:rFonts w:ascii="Verdana" w:hAnsi="Verdana" w:cs="Arial"/>
          <w:lang w:val="pt-BR"/>
        </w:rPr>
        <w:t>Direito de Preferência</w:t>
      </w:r>
      <w:bookmarkEnd w:id="82"/>
    </w:p>
    <w:p>
      <w:pPr>
        <w:pStyle w:val="HOMEBRBodyText"/>
        <w:spacing w:line="300" w:lineRule="exact"/>
        <w:rPr>
          <w:rFonts w:ascii="Verdana" w:hAnsi="Verdana" w:cs="Arial"/>
        </w:rPr>
      </w:pPr>
      <w:r>
        <w:rPr>
          <w:rFonts w:ascii="Verdana" w:hAnsi="Verdana" w:cs="Arial"/>
        </w:rPr>
        <w:t>Não haverá direito de preferência dos atuais acionistas da Emissora na subscrição das Debêntures.</w:t>
      </w:r>
    </w:p>
    <w:p>
      <w:pPr>
        <w:pStyle w:val="Ttulo8"/>
        <w:spacing w:line="300" w:lineRule="exact"/>
        <w:rPr>
          <w:rFonts w:ascii="Verdana" w:hAnsi="Verdana" w:cs="Arial"/>
          <w:lang w:val="pt-BR"/>
        </w:rPr>
      </w:pPr>
      <w:bookmarkStart w:id="83" w:name="_Toc484715979"/>
      <w:r>
        <w:rPr>
          <w:rFonts w:ascii="Verdana" w:hAnsi="Verdana" w:cs="Arial"/>
          <w:lang w:val="pt-BR"/>
        </w:rPr>
        <w:t>Repactuação Programada</w:t>
      </w:r>
      <w:bookmarkEnd w:id="83"/>
    </w:p>
    <w:p>
      <w:pPr>
        <w:pStyle w:val="HOMEBRBodyText"/>
        <w:spacing w:line="300" w:lineRule="exact"/>
        <w:rPr>
          <w:rFonts w:ascii="Verdana" w:hAnsi="Verdana" w:cs="Arial"/>
        </w:rPr>
      </w:pPr>
      <w:r>
        <w:rPr>
          <w:rFonts w:ascii="Verdana" w:hAnsi="Verdana" w:cs="Arial"/>
        </w:rPr>
        <w:t>As Debêntures não serão objeto de repactuação programada.</w:t>
      </w:r>
    </w:p>
    <w:p>
      <w:pPr>
        <w:pStyle w:val="Ttulo8"/>
        <w:spacing w:line="300" w:lineRule="exact"/>
        <w:rPr>
          <w:rFonts w:ascii="Verdana" w:hAnsi="Verdana" w:cs="Arial"/>
          <w:lang w:val="pt-BR"/>
        </w:rPr>
      </w:pPr>
      <w:bookmarkStart w:id="84" w:name="_Ref427685207"/>
      <w:bookmarkStart w:id="85" w:name="_Toc484715980"/>
      <w:r>
        <w:rPr>
          <w:rFonts w:ascii="Verdana" w:hAnsi="Verdana" w:cs="Arial"/>
          <w:lang w:val="pt-BR"/>
        </w:rPr>
        <w:lastRenderedPageBreak/>
        <w:t xml:space="preserve">Pagamento do Valor Nominal </w:t>
      </w:r>
      <w:bookmarkEnd w:id="84"/>
      <w:bookmarkEnd w:id="85"/>
      <w:r>
        <w:rPr>
          <w:rFonts w:ascii="Verdana" w:hAnsi="Verdana" w:cs="Arial"/>
          <w:lang w:val="pt-BR"/>
        </w:rPr>
        <w:t xml:space="preserve">Atualizado </w:t>
      </w:r>
    </w:p>
    <w:p>
      <w:pPr>
        <w:pStyle w:val="HOMEBRBodyText"/>
        <w:spacing w:after="0" w:line="300" w:lineRule="exact"/>
        <w:rPr>
          <w:rFonts w:ascii="Verdana" w:hAnsi="Verdana" w:cs="Arial"/>
          <w:bCs/>
        </w:rPr>
      </w:pPr>
      <w:r>
        <w:rPr>
          <w:rFonts w:ascii="Verdana" w:hAnsi="Verdana" w:cs="Arial"/>
        </w:rPr>
        <w:t>Ressalvadas as hipóteses de pagamento em decorrência da declaração de vencimento antecipado das Debêntures e, se permitido pelas regras expedidas pelo CMN e pela legislação e regulamentação aplicáveis, o Resgate Antecipado Obrigatório, o Valor Nominal Atualizado será amortizado em 3 (três) parcelas anuais e consecutivas, a partir do 8º (oitavo) ano contado da Data de Emissão, sendo a primeira parcela devida em 15 de outubro de 2027 e a última na Data de Vencimento, conforme a tabela abaixo:</w:t>
      </w:r>
    </w:p>
    <w:p>
      <w:pPr>
        <w:pStyle w:val="HOMEBRBodyText"/>
        <w:spacing w:after="0" w:line="300" w:lineRule="exact"/>
        <w:rPr>
          <w:rFonts w:ascii="Verdana" w:hAnsi="Verdana" w:cs="Arial"/>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2"/>
        <w:gridCol w:w="4588"/>
      </w:tblGrid>
      <w:tr>
        <w:tc>
          <w:tcPr>
            <w:tcW w:w="41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pStyle w:val="PargrafodaLista"/>
              <w:tabs>
                <w:tab w:val="num" w:pos="1134"/>
              </w:tabs>
              <w:spacing w:line="300" w:lineRule="exact"/>
              <w:ind w:left="0"/>
              <w:jc w:val="center"/>
              <w:rPr>
                <w:rFonts w:ascii="Verdana" w:hAnsi="Verdana" w:cs="Arial"/>
                <w:b/>
                <w:smallCaps/>
              </w:rPr>
            </w:pPr>
            <w:r>
              <w:rPr>
                <w:rFonts w:ascii="Verdana" w:hAnsi="Verdana" w:cs="Arial"/>
                <w:b/>
                <w:smallCaps/>
              </w:rPr>
              <w:t>Data de Amortização</w:t>
            </w:r>
          </w:p>
        </w:tc>
        <w:tc>
          <w:tcPr>
            <w:tcW w:w="4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pStyle w:val="PargrafodaLista"/>
              <w:tabs>
                <w:tab w:val="num" w:pos="1134"/>
              </w:tabs>
              <w:spacing w:line="300" w:lineRule="exact"/>
              <w:ind w:left="0"/>
              <w:jc w:val="center"/>
              <w:rPr>
                <w:rFonts w:ascii="Verdana" w:hAnsi="Verdana" w:cs="Arial"/>
                <w:b/>
                <w:smallCaps/>
              </w:rPr>
            </w:pPr>
            <w:r>
              <w:rPr>
                <w:rFonts w:ascii="Verdana" w:hAnsi="Verdana" w:cs="Arial"/>
                <w:b/>
                <w:smallCaps/>
              </w:rPr>
              <w:t>Percentual do Valor Nominal Atualizado a Ser Amortizado</w:t>
            </w:r>
          </w:p>
        </w:tc>
      </w:tr>
      <w:tr>
        <w:tc>
          <w:tcPr>
            <w:tcW w:w="4132" w:type="dxa"/>
          </w:tcPr>
          <w:p>
            <w:pPr>
              <w:spacing w:after="0" w:line="300" w:lineRule="exact"/>
              <w:jc w:val="center"/>
              <w:rPr>
                <w:rFonts w:ascii="Verdana" w:hAnsi="Verdana" w:cs="Arial"/>
              </w:rPr>
            </w:pPr>
            <w:r>
              <w:rPr>
                <w:rFonts w:ascii="Verdana" w:hAnsi="Verdana" w:cs="Arial"/>
              </w:rPr>
              <w:t>15 de outubro de 2027</w:t>
            </w:r>
          </w:p>
        </w:tc>
        <w:tc>
          <w:tcPr>
            <w:tcW w:w="4588" w:type="dxa"/>
            <w:vAlign w:val="center"/>
          </w:tcPr>
          <w:p>
            <w:pPr>
              <w:spacing w:after="0" w:line="300" w:lineRule="exact"/>
              <w:jc w:val="center"/>
              <w:rPr>
                <w:rFonts w:ascii="Verdana" w:hAnsi="Verdana" w:cs="Arial"/>
                <w:color w:val="000000"/>
              </w:rPr>
            </w:pPr>
            <w:r>
              <w:rPr>
                <w:rFonts w:ascii="Verdana" w:hAnsi="Verdana" w:cs="Arial"/>
                <w:color w:val="000000"/>
              </w:rPr>
              <w:t>33,3333%</w:t>
            </w:r>
          </w:p>
        </w:tc>
      </w:tr>
      <w:tr>
        <w:tc>
          <w:tcPr>
            <w:tcW w:w="4132" w:type="dxa"/>
          </w:tcPr>
          <w:p>
            <w:pPr>
              <w:spacing w:after="0" w:line="300" w:lineRule="exact"/>
              <w:jc w:val="center"/>
              <w:rPr>
                <w:rFonts w:ascii="Verdana" w:hAnsi="Verdana" w:cs="Arial"/>
              </w:rPr>
            </w:pPr>
            <w:r>
              <w:rPr>
                <w:rFonts w:ascii="Verdana" w:hAnsi="Verdana" w:cs="Arial"/>
              </w:rPr>
              <w:t>15 de outubro de 2028</w:t>
            </w:r>
          </w:p>
        </w:tc>
        <w:tc>
          <w:tcPr>
            <w:tcW w:w="4588" w:type="dxa"/>
          </w:tcPr>
          <w:p>
            <w:pPr>
              <w:spacing w:after="0" w:line="300" w:lineRule="exact"/>
              <w:jc w:val="center"/>
              <w:rPr>
                <w:rFonts w:ascii="Verdana" w:hAnsi="Verdana" w:cs="Arial"/>
                <w:color w:val="000000"/>
              </w:rPr>
            </w:pPr>
            <w:r>
              <w:rPr>
                <w:rFonts w:ascii="Verdana" w:hAnsi="Verdana" w:cs="Arial"/>
              </w:rPr>
              <w:t>50,0000%</w:t>
            </w:r>
          </w:p>
        </w:tc>
      </w:tr>
      <w:tr>
        <w:tc>
          <w:tcPr>
            <w:tcW w:w="4132" w:type="dxa"/>
          </w:tcPr>
          <w:p>
            <w:pPr>
              <w:spacing w:after="0" w:line="300" w:lineRule="exact"/>
              <w:jc w:val="center"/>
              <w:rPr>
                <w:rFonts w:ascii="Verdana" w:hAnsi="Verdana" w:cs="Arial"/>
              </w:rPr>
            </w:pPr>
            <w:r>
              <w:rPr>
                <w:rFonts w:ascii="Verdana" w:hAnsi="Verdana" w:cs="Arial"/>
              </w:rPr>
              <w:t>Data de Vencimento</w:t>
            </w:r>
          </w:p>
        </w:tc>
        <w:tc>
          <w:tcPr>
            <w:tcW w:w="4588" w:type="dxa"/>
            <w:vAlign w:val="center"/>
          </w:tcPr>
          <w:p>
            <w:pPr>
              <w:spacing w:after="0" w:line="300" w:lineRule="exact"/>
              <w:jc w:val="center"/>
              <w:rPr>
                <w:rFonts w:ascii="Verdana" w:hAnsi="Verdana" w:cs="Arial"/>
                <w:color w:val="000000"/>
              </w:rPr>
            </w:pPr>
            <w:r>
              <w:rPr>
                <w:rFonts w:ascii="Verdana" w:hAnsi="Verdana" w:cs="Arial"/>
              </w:rPr>
              <w:t>100,0000%</w:t>
            </w:r>
          </w:p>
        </w:tc>
      </w:tr>
    </w:tbl>
    <w:p>
      <w:pPr>
        <w:pStyle w:val="HOMEBRBodyText"/>
        <w:spacing w:after="0" w:line="300" w:lineRule="exact"/>
        <w:rPr>
          <w:rFonts w:ascii="Verdana" w:hAnsi="Verdana" w:cs="Arial"/>
          <w:bCs/>
        </w:rPr>
      </w:pPr>
    </w:p>
    <w:p>
      <w:pPr>
        <w:pStyle w:val="Ttulo8"/>
        <w:spacing w:line="300" w:lineRule="exact"/>
        <w:rPr>
          <w:rFonts w:ascii="Verdana" w:hAnsi="Verdana" w:cs="Arial"/>
          <w:lang w:val="pt-BR"/>
        </w:rPr>
      </w:pPr>
      <w:bookmarkStart w:id="86" w:name="_Ref434935652"/>
      <w:bookmarkStart w:id="87" w:name="_Ref434936962"/>
      <w:bookmarkStart w:id="88" w:name="_Toc484715981"/>
      <w:r>
        <w:rPr>
          <w:rFonts w:ascii="Verdana" w:hAnsi="Verdana" w:cs="Arial"/>
          <w:lang w:val="pt-BR"/>
        </w:rPr>
        <w:t>Atualização Monetária das Debêntures</w:t>
      </w:r>
      <w:bookmarkEnd w:id="86"/>
      <w:bookmarkEnd w:id="87"/>
      <w:bookmarkEnd w:id="88"/>
    </w:p>
    <w:p>
      <w:pPr>
        <w:pStyle w:val="HOMEBRBodyText"/>
        <w:spacing w:line="300" w:lineRule="exact"/>
        <w:rPr>
          <w:rFonts w:ascii="Verdana" w:hAnsi="Verdana" w:cs="Arial"/>
        </w:rPr>
      </w:pPr>
      <w:bookmarkStart w:id="89" w:name="_Ref420335593"/>
      <w:r>
        <w:rPr>
          <w:rFonts w:ascii="Verdana" w:hAnsi="Verdana" w:cs="Arial"/>
        </w:rPr>
        <w:t xml:space="preserve">O Valor Nominal Unitário ou saldo do Valor Nominal Unitário, conforme o caso, das Debêntures será atualizado pela variação acumulada do IPCA, apurado e divulgado mensalmente pelo IBGE, calculada de forma exponencial e cumulativa </w:t>
      </w:r>
      <w:r>
        <w:rPr>
          <w:rFonts w:ascii="Verdana" w:hAnsi="Verdana" w:cs="Arial"/>
          <w:i/>
        </w:rPr>
        <w:t>pro rata temporis</w:t>
      </w:r>
      <w:r>
        <w:rPr>
          <w:rFonts w:ascii="Verdana" w:hAnsi="Verdana" w:cs="Arial"/>
        </w:rPr>
        <w:t xml:space="preserve"> desde a Primeira Data de Integralização até a data de seu efetivo pagamento, sendo o produto da Atualização Monetária automaticamente incorporado ao Valor Nominal Unitário </w:t>
      </w:r>
      <w:bookmarkStart w:id="90" w:name="_Hlk469622"/>
      <w:r>
        <w:rPr>
          <w:rFonts w:ascii="Verdana" w:hAnsi="Verdana" w:cs="Arial"/>
        </w:rPr>
        <w:t>ou saldo do Valor Nominal Unitário das Debêntures</w:t>
      </w:r>
      <w:bookmarkEnd w:id="90"/>
      <w:r>
        <w:rPr>
          <w:rFonts w:ascii="Verdana" w:hAnsi="Verdana" w:cs="Arial"/>
        </w:rPr>
        <w:t xml:space="preserve">. </w:t>
      </w:r>
    </w:p>
    <w:p>
      <w:pPr>
        <w:pStyle w:val="HOMEBRBodyText"/>
        <w:spacing w:line="300" w:lineRule="exact"/>
        <w:rPr>
          <w:rFonts w:ascii="Verdana" w:hAnsi="Verdana" w:cs="Arial"/>
        </w:rPr>
      </w:pPr>
      <w:r>
        <w:rPr>
          <w:rFonts w:ascii="Verdana" w:hAnsi="Verdana" w:cs="Arial"/>
        </w:rPr>
        <w:t xml:space="preserve">A Atualização Monetária será calculada </w:t>
      </w:r>
      <w:r>
        <w:rPr>
          <w:rFonts w:ascii="Verdana" w:hAnsi="Verdana" w:cs="Arial"/>
          <w:i/>
        </w:rPr>
        <w:t>pro rata temporis</w:t>
      </w:r>
      <w:r>
        <w:rPr>
          <w:rFonts w:ascii="Verdana" w:hAnsi="Verdana" w:cs="Arial"/>
        </w:rPr>
        <w:t>, por Dias Úteis decorridos, conforme a seguinte fórmula:</w:t>
      </w:r>
    </w:p>
    <w:bookmarkEnd w:id="89"/>
    <w:p>
      <w:pPr>
        <w:spacing w:after="0" w:line="300" w:lineRule="exact"/>
        <w:jc w:val="center"/>
        <w:rPr>
          <w:rFonts w:ascii="Verdana" w:hAnsi="Verdana" w:cs="Arial"/>
          <w:lang w:val="pt-BR"/>
        </w:rPr>
      </w:pPr>
      <w:r>
        <w:rPr>
          <w:rFonts w:ascii="Verdana" w:hAnsi="Verdana" w:cs="Arial"/>
          <w:noProof/>
          <w:lang w:val="pt-BR" w:eastAsia="pt-BR"/>
        </w:rPr>
        <w:drawing>
          <wp:inline distT="0" distB="0" distL="0" distR="0">
            <wp:extent cx="1123950" cy="20955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123950" cy="209550"/>
                    </a:xfrm>
                    <a:prstGeom prst="rect">
                      <a:avLst/>
                    </a:prstGeom>
                    <a:noFill/>
                    <a:ln>
                      <a:noFill/>
                    </a:ln>
                  </pic:spPr>
                </pic:pic>
              </a:graphicData>
            </a:graphic>
          </wp:inline>
        </w:drawing>
      </w:r>
    </w:p>
    <w:p>
      <w:pPr>
        <w:spacing w:after="0" w:line="300" w:lineRule="exact"/>
        <w:ind w:left="720"/>
        <w:rPr>
          <w:rFonts w:ascii="Verdana" w:hAnsi="Verdana" w:cs="Arial"/>
          <w:lang w:val="pt-BR"/>
        </w:rPr>
      </w:pPr>
      <w:r>
        <w:rPr>
          <w:rFonts w:ascii="Verdana" w:hAnsi="Verdana" w:cs="Arial"/>
          <w:lang w:val="pt-BR"/>
        </w:rPr>
        <w:t>onde,</w:t>
      </w:r>
    </w:p>
    <w:p>
      <w:pPr>
        <w:spacing w:after="0" w:line="300" w:lineRule="exact"/>
        <w:ind w:left="720"/>
        <w:rPr>
          <w:rFonts w:ascii="Verdana" w:hAnsi="Verdana" w:cs="Arial"/>
          <w:lang w:val="pt-BR"/>
        </w:rPr>
      </w:pPr>
    </w:p>
    <w:p>
      <w:pPr>
        <w:spacing w:after="0" w:line="300" w:lineRule="exact"/>
        <w:ind w:left="720"/>
        <w:rPr>
          <w:rFonts w:ascii="Verdana" w:hAnsi="Verdana" w:cs="Arial"/>
          <w:lang w:val="pt-BR"/>
        </w:rPr>
      </w:pPr>
      <w:r>
        <w:rPr>
          <w:rFonts w:ascii="Verdana" w:hAnsi="Verdana" w:cs="Arial"/>
          <w:b/>
          <w:lang w:val="pt-BR"/>
        </w:rPr>
        <w:t>VNa</w:t>
      </w:r>
      <w:r>
        <w:rPr>
          <w:rFonts w:ascii="Verdana" w:hAnsi="Verdana" w:cs="Arial"/>
          <w:lang w:val="pt-BR"/>
        </w:rPr>
        <w:t xml:space="preserve"> = Valor Nominal Atualizado, calculado com 8 (oito) casas decimais, sem arredondamento;</w:t>
      </w:r>
    </w:p>
    <w:p>
      <w:pPr>
        <w:spacing w:after="0" w:line="300" w:lineRule="exact"/>
        <w:ind w:left="720"/>
        <w:rPr>
          <w:rFonts w:ascii="Verdana" w:hAnsi="Verdana" w:cs="Arial"/>
          <w:b/>
          <w:lang w:val="pt-BR"/>
        </w:rPr>
      </w:pPr>
    </w:p>
    <w:p>
      <w:pPr>
        <w:spacing w:after="0" w:line="300" w:lineRule="exact"/>
        <w:ind w:left="720"/>
        <w:rPr>
          <w:rFonts w:ascii="Verdana" w:hAnsi="Verdana" w:cs="Arial"/>
          <w:lang w:val="pt-BR"/>
        </w:rPr>
      </w:pPr>
      <w:r>
        <w:rPr>
          <w:rFonts w:ascii="Verdana" w:hAnsi="Verdana" w:cs="Arial"/>
          <w:b/>
          <w:lang w:val="pt-BR"/>
        </w:rPr>
        <w:t xml:space="preserve">VNe </w:t>
      </w:r>
      <w:r>
        <w:rPr>
          <w:rFonts w:ascii="Verdana" w:hAnsi="Verdana" w:cs="Arial"/>
          <w:lang w:val="pt-BR"/>
        </w:rPr>
        <w:t>= Valor Nominal Unitário (ou saldo do Valor Nominal Unitário, conforme o caso), informado/calculado com 8 (oito) casas decimais, sem arredondamento;</w:t>
      </w:r>
    </w:p>
    <w:p>
      <w:pPr>
        <w:spacing w:after="0" w:line="300" w:lineRule="exact"/>
        <w:ind w:left="720"/>
        <w:rPr>
          <w:rFonts w:ascii="Verdana" w:hAnsi="Verdana" w:cs="Arial"/>
          <w:b/>
          <w:lang w:val="pt-BR"/>
        </w:rPr>
      </w:pPr>
    </w:p>
    <w:p>
      <w:pPr>
        <w:spacing w:after="0" w:line="300" w:lineRule="exact"/>
        <w:ind w:left="720"/>
        <w:rPr>
          <w:rFonts w:ascii="Verdana" w:hAnsi="Verdana" w:cs="Arial"/>
          <w:b/>
          <w:lang w:val="pt-BR"/>
        </w:rPr>
      </w:pPr>
      <w:r>
        <w:rPr>
          <w:rFonts w:ascii="Verdana" w:hAnsi="Verdana" w:cs="Arial"/>
          <w:b/>
          <w:lang w:val="pt-BR"/>
        </w:rPr>
        <w:t xml:space="preserve">C </w:t>
      </w:r>
      <w:r>
        <w:rPr>
          <w:rFonts w:ascii="Verdana" w:hAnsi="Verdana" w:cs="Arial"/>
          <w:lang w:val="pt-BR"/>
        </w:rPr>
        <w:t>= fator acumulado das variações mensais do IPCA, calculado com 8 (oito) casas decimais, sem arredondamento, apurado da seguinte forma:</w:t>
      </w:r>
    </w:p>
    <w:p>
      <w:pPr>
        <w:spacing w:after="0" w:line="300" w:lineRule="exact"/>
        <w:ind w:left="720"/>
        <w:jc w:val="center"/>
        <w:rPr>
          <w:rFonts w:ascii="Verdana" w:hAnsi="Verdana" w:cs="Arial"/>
          <w:lang w:val="pt-BR"/>
        </w:rPr>
      </w:pPr>
    </w:p>
    <w:p>
      <w:pPr>
        <w:spacing w:after="0" w:line="300" w:lineRule="exact"/>
        <w:ind w:left="720"/>
        <w:jc w:val="center"/>
        <w:rPr>
          <w:rFonts w:ascii="Verdana" w:hAnsi="Verdana" w:cs="Arial"/>
        </w:rPr>
      </w:pPr>
      <w:r>
        <w:rPr>
          <w:rFonts w:ascii="Verdana" w:hAnsi="Verdana" w:cs="Arial"/>
          <w:noProof/>
          <w:lang w:val="pt-BR" w:eastAsia="pt-BR"/>
        </w:rPr>
        <w:drawing>
          <wp:inline distT="0" distB="0" distL="0" distR="0">
            <wp:extent cx="1409700" cy="7429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409700" cy="742950"/>
                    </a:xfrm>
                    <a:prstGeom prst="rect">
                      <a:avLst/>
                    </a:prstGeom>
                    <a:noFill/>
                    <a:ln>
                      <a:noFill/>
                    </a:ln>
                  </pic:spPr>
                </pic:pic>
              </a:graphicData>
            </a:graphic>
          </wp:inline>
        </w:drawing>
      </w:r>
    </w:p>
    <w:p>
      <w:pPr>
        <w:spacing w:after="0" w:line="300" w:lineRule="exact"/>
        <w:ind w:left="720"/>
        <w:rPr>
          <w:rFonts w:ascii="Verdana" w:hAnsi="Verdana" w:cs="Arial"/>
          <w:lang w:val="pt-BR"/>
        </w:rPr>
      </w:pPr>
      <w:r>
        <w:rPr>
          <w:rFonts w:ascii="Verdana" w:hAnsi="Verdana" w:cs="Arial"/>
          <w:lang w:val="pt-BR"/>
        </w:rPr>
        <w:t>onde,</w:t>
      </w:r>
    </w:p>
    <w:p>
      <w:pPr>
        <w:spacing w:after="0" w:line="300" w:lineRule="exact"/>
        <w:ind w:left="720"/>
        <w:rPr>
          <w:rFonts w:ascii="Verdana" w:hAnsi="Verdana" w:cs="Arial"/>
          <w:lang w:val="pt-BR"/>
        </w:rPr>
      </w:pPr>
    </w:p>
    <w:p>
      <w:pPr>
        <w:spacing w:after="0" w:line="300" w:lineRule="exact"/>
        <w:ind w:left="720"/>
        <w:rPr>
          <w:rFonts w:ascii="Verdana" w:hAnsi="Verdana" w:cs="Arial"/>
          <w:lang w:val="pt-BR"/>
        </w:rPr>
      </w:pPr>
      <w:r>
        <w:rPr>
          <w:rFonts w:ascii="Verdana" w:hAnsi="Verdana" w:cs="Arial"/>
          <w:b/>
          <w:lang w:val="pt-BR"/>
        </w:rPr>
        <w:lastRenderedPageBreak/>
        <w:t>n</w:t>
      </w:r>
      <w:r>
        <w:rPr>
          <w:rFonts w:ascii="Verdana" w:hAnsi="Verdana" w:cs="Arial"/>
          <w:lang w:val="pt-BR"/>
        </w:rPr>
        <w:t xml:space="preserve"> =</w:t>
      </w:r>
      <w:r>
        <w:rPr>
          <w:rFonts w:ascii="Verdana" w:hAnsi="Verdana" w:cs="Arial"/>
          <w:lang w:val="pt-BR"/>
        </w:rPr>
        <w:tab/>
        <w:t>número total de índices considerados na Atualização Monetária, sendo “n” um número inteiro;</w:t>
      </w:r>
    </w:p>
    <w:p>
      <w:pPr>
        <w:spacing w:after="0" w:line="300" w:lineRule="exact"/>
        <w:ind w:left="720"/>
        <w:rPr>
          <w:rFonts w:ascii="Verdana" w:hAnsi="Verdana" w:cs="Arial"/>
          <w:lang w:val="pt-BR"/>
        </w:rPr>
      </w:pPr>
    </w:p>
    <w:p>
      <w:pPr>
        <w:spacing w:after="0" w:line="300" w:lineRule="exact"/>
        <w:ind w:left="720"/>
        <w:rPr>
          <w:rFonts w:ascii="Verdana" w:hAnsi="Verdana" w:cs="Arial"/>
          <w:lang w:val="pt-BR"/>
        </w:rPr>
      </w:pPr>
      <w:r>
        <w:rPr>
          <w:rFonts w:ascii="Verdana" w:hAnsi="Verdana" w:cs="Arial"/>
          <w:b/>
          <w:lang w:val="pt-BR"/>
        </w:rPr>
        <w:t xml:space="preserve">NIk </w:t>
      </w:r>
      <w:r>
        <w:rPr>
          <w:rFonts w:ascii="Verdana" w:hAnsi="Verdana" w:cs="Arial"/>
          <w:lang w:val="pt-BR"/>
        </w:rPr>
        <w:t>= valor do número-índice do IPCA do mês anterior à data de aniversário, caso a atualização seja em data anterior ou na própria data de aniversário das Debêntures. Após a data de aniversário, o “NI</w:t>
      </w:r>
      <w:r>
        <w:rPr>
          <w:rFonts w:ascii="Verdana" w:hAnsi="Verdana" w:cs="Arial"/>
          <w:vertAlign w:val="subscript"/>
          <w:lang w:val="pt-BR"/>
        </w:rPr>
        <w:t>k</w:t>
      </w:r>
      <w:r>
        <w:rPr>
          <w:rFonts w:ascii="Verdana" w:hAnsi="Verdana" w:cs="Arial"/>
          <w:lang w:val="pt-BR"/>
        </w:rPr>
        <w:t>” corresponderá ao valor do número índice do IPCA do mês de atualização;</w:t>
      </w:r>
    </w:p>
    <w:p>
      <w:pPr>
        <w:spacing w:after="0" w:line="300" w:lineRule="exact"/>
        <w:ind w:left="720"/>
        <w:rPr>
          <w:rFonts w:ascii="Verdana" w:hAnsi="Verdana" w:cs="Arial"/>
          <w:lang w:val="pt-BR"/>
        </w:rPr>
      </w:pPr>
    </w:p>
    <w:p>
      <w:pPr>
        <w:spacing w:after="0" w:line="300" w:lineRule="exact"/>
        <w:ind w:left="720"/>
        <w:rPr>
          <w:rFonts w:ascii="Verdana" w:hAnsi="Verdana" w:cs="Arial"/>
          <w:lang w:val="pt-BR"/>
        </w:rPr>
      </w:pPr>
      <w:r>
        <w:rPr>
          <w:rFonts w:ascii="Verdana" w:hAnsi="Verdana" w:cs="Arial"/>
          <w:b/>
          <w:lang w:val="pt-BR"/>
        </w:rPr>
        <w:t>NI</w:t>
      </w:r>
      <w:r>
        <w:rPr>
          <w:rFonts w:ascii="Verdana" w:hAnsi="Verdana" w:cs="Arial"/>
          <w:b/>
          <w:vertAlign w:val="subscript"/>
          <w:lang w:val="pt-BR"/>
        </w:rPr>
        <w:t>k-1</w:t>
      </w:r>
      <w:r>
        <w:rPr>
          <w:rFonts w:ascii="Verdana" w:hAnsi="Verdana" w:cs="Arial"/>
          <w:lang w:val="pt-BR"/>
        </w:rPr>
        <w:t>= valor do número-índice do IPCA do mês anterior ao mês “k”;</w:t>
      </w:r>
    </w:p>
    <w:p>
      <w:pPr>
        <w:spacing w:after="0" w:line="300" w:lineRule="exact"/>
        <w:ind w:left="720"/>
        <w:rPr>
          <w:rFonts w:ascii="Verdana" w:hAnsi="Verdana" w:cs="Arial"/>
          <w:lang w:val="pt-BR"/>
        </w:rPr>
      </w:pPr>
    </w:p>
    <w:p>
      <w:pPr>
        <w:spacing w:after="0" w:line="300" w:lineRule="exact"/>
        <w:ind w:left="720"/>
        <w:rPr>
          <w:rFonts w:ascii="Verdana" w:hAnsi="Verdana" w:cs="Arial"/>
          <w:lang w:val="pt-BR"/>
        </w:rPr>
      </w:pPr>
      <w:r>
        <w:rPr>
          <w:rFonts w:ascii="Verdana" w:hAnsi="Verdana" w:cs="Arial"/>
          <w:b/>
          <w:lang w:val="pt-BR"/>
        </w:rPr>
        <w:t>dup</w:t>
      </w:r>
      <w:r>
        <w:rPr>
          <w:rFonts w:ascii="Verdana" w:hAnsi="Verdana" w:cs="Arial"/>
          <w:lang w:val="pt-BR"/>
        </w:rPr>
        <w:t xml:space="preserve"> = número de Dias Úteis entre a Primeira Data de Integralização (ou a última data de aniversário das Debêntures, conforme o caso), e a data de cálculo, sendo “dup” um número inteiro; e </w:t>
      </w:r>
    </w:p>
    <w:p>
      <w:pPr>
        <w:spacing w:after="0" w:line="300" w:lineRule="exact"/>
        <w:ind w:left="720"/>
        <w:rPr>
          <w:rFonts w:ascii="Verdana" w:hAnsi="Verdana" w:cs="Arial"/>
          <w:lang w:val="pt-BR"/>
        </w:rPr>
      </w:pPr>
    </w:p>
    <w:p>
      <w:pPr>
        <w:spacing w:after="0" w:line="300" w:lineRule="exact"/>
        <w:ind w:left="720"/>
        <w:rPr>
          <w:rFonts w:ascii="Verdana" w:hAnsi="Verdana" w:cs="Arial"/>
          <w:lang w:val="pt-BR"/>
        </w:rPr>
      </w:pPr>
      <w:r>
        <w:rPr>
          <w:rFonts w:ascii="Verdana" w:hAnsi="Verdana" w:cs="Arial"/>
          <w:b/>
          <w:lang w:val="pt-BR"/>
        </w:rPr>
        <w:t>dut</w:t>
      </w:r>
      <w:r>
        <w:rPr>
          <w:rFonts w:ascii="Verdana" w:hAnsi="Verdana" w:cs="Arial"/>
          <w:lang w:val="pt-BR"/>
        </w:rPr>
        <w:t xml:space="preserve"> = número de Dias Úteis contidos entre a última data de aniversário das Debêntures e a próxima data de aniversário das Debêntures, sendo “dut” um número inteiro.</w:t>
      </w:r>
    </w:p>
    <w:p>
      <w:pPr>
        <w:spacing w:after="0" w:line="300" w:lineRule="exact"/>
        <w:ind w:left="720"/>
        <w:rPr>
          <w:rFonts w:ascii="Verdana" w:hAnsi="Verdana" w:cs="Arial"/>
          <w:lang w:val="pt-BR"/>
        </w:rPr>
      </w:pPr>
    </w:p>
    <w:p>
      <w:pPr>
        <w:keepNext/>
        <w:keepLines/>
        <w:autoSpaceDE w:val="0"/>
        <w:autoSpaceDN w:val="0"/>
        <w:adjustRightInd w:val="0"/>
        <w:spacing w:after="0" w:line="300" w:lineRule="exact"/>
        <w:ind w:left="720"/>
        <w:rPr>
          <w:rFonts w:ascii="Verdana" w:hAnsi="Verdana" w:cs="Arial"/>
          <w:lang w:val="pt-BR"/>
        </w:rPr>
      </w:pPr>
      <w:r>
        <w:rPr>
          <w:rFonts w:ascii="Verdana" w:hAnsi="Verdana" w:cs="Arial"/>
          <w:lang w:val="pt-BR"/>
        </w:rPr>
        <w:t>Observações:</w:t>
      </w:r>
    </w:p>
    <w:p>
      <w:pPr>
        <w:keepNext/>
        <w:keepLines/>
        <w:spacing w:after="0" w:line="300" w:lineRule="exact"/>
        <w:rPr>
          <w:rFonts w:ascii="Verdana" w:hAnsi="Verdana" w:cs="Arial"/>
          <w:lang w:val="pt-BR"/>
        </w:rPr>
      </w:pPr>
    </w:p>
    <w:p>
      <w:pPr>
        <w:keepNext/>
        <w:keepLines/>
        <w:spacing w:after="0" w:line="300" w:lineRule="exact"/>
        <w:ind w:left="1800" w:hanging="1080"/>
        <w:rPr>
          <w:rFonts w:ascii="Verdana" w:hAnsi="Verdana" w:cs="Arial"/>
          <w:lang w:val="pt-BR"/>
        </w:rPr>
      </w:pPr>
      <w:r>
        <w:rPr>
          <w:rFonts w:ascii="Verdana" w:hAnsi="Verdana" w:cs="Arial"/>
          <w:lang w:val="pt-BR"/>
        </w:rPr>
        <w:t>I.</w:t>
      </w:r>
      <w:r>
        <w:rPr>
          <w:rFonts w:ascii="Verdana" w:hAnsi="Verdana" w:cs="Arial"/>
          <w:lang w:val="pt-BR"/>
        </w:rPr>
        <w:tab/>
        <w:t>O número-índice do IPCA deverá ser utilizado considerando-se idêntico número de casas decimais daquele divulgado pelo IBGE;</w:t>
      </w:r>
    </w:p>
    <w:p>
      <w:pPr>
        <w:spacing w:after="0" w:line="300" w:lineRule="exact"/>
        <w:ind w:left="720"/>
        <w:rPr>
          <w:rFonts w:ascii="Verdana" w:hAnsi="Verdana" w:cs="Arial"/>
          <w:lang w:val="pt-BR"/>
        </w:rPr>
      </w:pPr>
    </w:p>
    <w:p>
      <w:pPr>
        <w:spacing w:after="0" w:line="300" w:lineRule="exact"/>
        <w:ind w:left="1800" w:hanging="1080"/>
        <w:rPr>
          <w:rFonts w:ascii="Verdana" w:hAnsi="Verdana" w:cs="Arial"/>
          <w:lang w:val="pt-BR"/>
        </w:rPr>
      </w:pPr>
      <w:r>
        <w:rPr>
          <w:rFonts w:ascii="Verdana" w:hAnsi="Verdana" w:cs="Arial"/>
          <w:lang w:val="pt-BR"/>
        </w:rPr>
        <w:t>II.</w:t>
      </w:r>
      <w:r>
        <w:rPr>
          <w:rFonts w:ascii="Verdana" w:hAnsi="Verdana" w:cs="Arial"/>
          <w:lang w:val="pt-BR"/>
        </w:rPr>
        <w:tab/>
        <w:t>A aplicação do IPCA incidirá no menor período permitido pela legislação em vigor;</w:t>
      </w:r>
    </w:p>
    <w:p>
      <w:pPr>
        <w:spacing w:after="0" w:line="300" w:lineRule="exact"/>
        <w:ind w:left="720"/>
        <w:rPr>
          <w:rFonts w:ascii="Verdana" w:hAnsi="Verdana" w:cs="Arial"/>
          <w:lang w:val="pt-BR"/>
        </w:rPr>
      </w:pPr>
    </w:p>
    <w:p>
      <w:pPr>
        <w:spacing w:after="0" w:line="300" w:lineRule="exact"/>
        <w:ind w:left="1800" w:hanging="1080"/>
        <w:rPr>
          <w:rFonts w:ascii="Verdana" w:hAnsi="Verdana" w:cs="Arial"/>
          <w:lang w:val="pt-BR"/>
        </w:rPr>
      </w:pPr>
      <w:r>
        <w:rPr>
          <w:rFonts w:ascii="Verdana" w:hAnsi="Verdana" w:cs="Arial"/>
          <w:lang w:val="pt-BR"/>
        </w:rPr>
        <w:t>III.</w:t>
      </w:r>
      <w:r>
        <w:rPr>
          <w:rFonts w:ascii="Verdana" w:hAnsi="Verdana" w:cs="Arial"/>
          <w:lang w:val="pt-BR"/>
        </w:rPr>
        <w:tab/>
        <w:t xml:space="preserve">Considera-se como “data de aniversário” todo dia 15 de cada mês, e caso referida data não seja Dia Útil, o primeiro Dia Útil subsequente. Considera-se como mês de atualização, o período mensal compreendido entre 2 (duas) datas de aniversários consecutivas; </w:t>
      </w:r>
    </w:p>
    <w:p>
      <w:pPr>
        <w:tabs>
          <w:tab w:val="left" w:pos="2817"/>
        </w:tabs>
        <w:spacing w:after="0" w:line="300" w:lineRule="exact"/>
        <w:ind w:left="720"/>
        <w:rPr>
          <w:rFonts w:ascii="Verdana" w:hAnsi="Verdana" w:cs="Arial"/>
          <w:lang w:val="pt-BR"/>
        </w:rPr>
      </w:pPr>
      <w:r>
        <w:rPr>
          <w:rFonts w:ascii="Verdana" w:hAnsi="Verdana" w:cs="Arial"/>
          <w:lang w:val="pt-BR"/>
        </w:rPr>
        <w:tab/>
      </w:r>
      <w:r>
        <w:rPr>
          <w:rFonts w:ascii="Verdana" w:hAnsi="Verdana" w:cs="Arial"/>
          <w:lang w:val="pt-BR"/>
        </w:rPr>
        <w:tab/>
      </w:r>
    </w:p>
    <w:p>
      <w:pPr>
        <w:spacing w:after="0" w:line="300" w:lineRule="exact"/>
        <w:ind w:left="1800" w:hanging="1080"/>
        <w:rPr>
          <w:rFonts w:ascii="Verdana" w:hAnsi="Verdana" w:cs="Arial"/>
          <w:lang w:val="pt-BR"/>
        </w:rPr>
      </w:pPr>
      <w:r>
        <w:rPr>
          <w:rFonts w:ascii="Verdana" w:hAnsi="Verdana" w:cs="Arial"/>
          <w:lang w:val="pt-BR"/>
        </w:rPr>
        <w:t>IV.</w:t>
      </w:r>
      <w:r>
        <w:rPr>
          <w:rFonts w:ascii="Verdana" w:hAnsi="Verdana" w:cs="Arial"/>
          <w:lang w:val="pt-BR"/>
        </w:rPr>
        <w:tab/>
        <w:t>O fator resultante da expressão [NI(k) /NI(k-1)]</w:t>
      </w:r>
      <w:r>
        <w:rPr>
          <w:rFonts w:ascii="Verdana" w:hAnsi="Verdana" w:cs="Arial"/>
          <w:vertAlign w:val="superscript"/>
          <w:lang w:val="pt-BR"/>
        </w:rPr>
        <w:t>(dup/dut)</w:t>
      </w:r>
      <w:r>
        <w:rPr>
          <w:rFonts w:ascii="Verdana" w:hAnsi="Verdana" w:cs="Arial"/>
          <w:lang w:val="pt-BR"/>
        </w:rPr>
        <w:t xml:space="preserve"> é considerado com 8 (oito) casas decimais, sem arredondamento; e</w:t>
      </w:r>
    </w:p>
    <w:p>
      <w:pPr>
        <w:spacing w:after="0" w:line="300" w:lineRule="exact"/>
        <w:ind w:left="720"/>
        <w:rPr>
          <w:rFonts w:ascii="Verdana" w:hAnsi="Verdana" w:cs="Arial"/>
          <w:lang w:val="pt-BR"/>
        </w:rPr>
      </w:pPr>
    </w:p>
    <w:p>
      <w:pPr>
        <w:numPr>
          <w:ilvl w:val="0"/>
          <w:numId w:val="32"/>
        </w:numPr>
        <w:tabs>
          <w:tab w:val="clear" w:pos="2136"/>
          <w:tab w:val="num" w:pos="1800"/>
        </w:tabs>
        <w:spacing w:after="0" w:line="300" w:lineRule="exact"/>
        <w:ind w:left="1800" w:hanging="1080"/>
        <w:rPr>
          <w:rFonts w:ascii="Verdana" w:hAnsi="Verdana" w:cs="Arial"/>
          <w:lang w:val="pt-BR"/>
        </w:rPr>
      </w:pPr>
      <w:r>
        <w:rPr>
          <w:rFonts w:ascii="Verdana" w:hAnsi="Verdana" w:cs="Arial"/>
          <w:lang w:val="pt-BR"/>
        </w:rPr>
        <w:t>O produtório é executado a partir do fator mais recente, acrescentando-se, em seguida, os mais remotos. Os resultados intermediários são calculados com 16 (dezesseis) casas decimais, sem arredondamento.</w:t>
      </w:r>
    </w:p>
    <w:p>
      <w:pPr>
        <w:pStyle w:val="HOMEBRBodyText"/>
        <w:keepNext/>
        <w:spacing w:line="300" w:lineRule="exact"/>
        <w:outlineLvl w:val="0"/>
        <w:rPr>
          <w:rFonts w:ascii="Verdana" w:hAnsi="Verdana" w:cs="Arial"/>
          <w:u w:val="single"/>
        </w:rPr>
      </w:pPr>
    </w:p>
    <w:p>
      <w:pPr>
        <w:pStyle w:val="HOMEBRBodyText"/>
        <w:keepNext/>
        <w:spacing w:line="300" w:lineRule="exact"/>
        <w:outlineLvl w:val="0"/>
        <w:rPr>
          <w:rFonts w:ascii="Verdana" w:hAnsi="Verdana" w:cs="Arial"/>
          <w:u w:val="single"/>
        </w:rPr>
      </w:pPr>
      <w:r>
        <w:rPr>
          <w:rFonts w:ascii="Verdana" w:hAnsi="Verdana" w:cs="Arial"/>
          <w:u w:val="single"/>
        </w:rPr>
        <w:t>Indisponibilidade do IPCA</w:t>
      </w:r>
    </w:p>
    <w:p>
      <w:pPr>
        <w:pStyle w:val="HOMEBRBodyText"/>
        <w:spacing w:line="300" w:lineRule="exact"/>
        <w:rPr>
          <w:rFonts w:ascii="Verdana" w:hAnsi="Verdana" w:cs="Arial"/>
        </w:rPr>
      </w:pPr>
      <w:r>
        <w:rPr>
          <w:rFonts w:ascii="Verdana" w:hAnsi="Verdana" w:cs="Arial"/>
        </w:rPr>
        <w:t xml:space="preserve">Caso o IPCA não esteja disponível quando da apuração da Atualização Monetária, será utilizada, em sua substituição, a variação correspondente ao último IPCA divulgado oficialmente até a data de cálculo, calculado </w:t>
      </w:r>
      <w:r>
        <w:rPr>
          <w:rFonts w:ascii="Verdana" w:hAnsi="Verdana" w:cs="Arial"/>
          <w:i/>
        </w:rPr>
        <w:t>pro rata temporis</w:t>
      </w:r>
      <w:r>
        <w:rPr>
          <w:rFonts w:ascii="Verdana" w:hAnsi="Verdana" w:cs="Arial"/>
        </w:rPr>
        <w:t xml:space="preserve"> por Dias Úteis, não cabendo, porém, quando da divulgação do número-índice devido, quaisquer compensações financeiras, tanto por parte da Emissora quanto pelos Debenturistas. No caso de extinção, limitação e/ou não divulgação do IPCA por mais de 10 dias </w:t>
      </w:r>
      <w:bookmarkStart w:id="91" w:name="_Hlk536213269"/>
      <w:r>
        <w:rPr>
          <w:rFonts w:ascii="Verdana" w:hAnsi="Verdana" w:cs="Arial"/>
        </w:rPr>
        <w:t xml:space="preserve">consecutivos da data esperada para sua apuração, ou, ainda, no caso de sua extinção ou impossibilidade legal de aplicação às Debêntures, ou por determinação judicial, </w:t>
      </w:r>
      <w:bookmarkEnd w:id="91"/>
      <w:r>
        <w:rPr>
          <w:rFonts w:ascii="Verdana" w:hAnsi="Verdana" w:cs="Arial"/>
        </w:rPr>
        <w:t xml:space="preserve">será utilizado, em sua substituição, o mesmo </w:t>
      </w:r>
      <w:bookmarkStart w:id="92" w:name="_Hlk536213330"/>
      <w:r>
        <w:rPr>
          <w:rFonts w:ascii="Verdana" w:hAnsi="Verdana" w:cs="Arial"/>
        </w:rPr>
        <w:t xml:space="preserve">índice que vier a </w:t>
      </w:r>
      <w:r>
        <w:rPr>
          <w:rFonts w:ascii="Verdana" w:hAnsi="Verdana" w:cs="Arial"/>
          <w:bCs/>
        </w:rPr>
        <w:t>ser</w:t>
      </w:r>
      <w:r>
        <w:rPr>
          <w:rFonts w:ascii="Verdana" w:hAnsi="Verdana" w:cs="Arial"/>
        </w:rPr>
        <w:t xml:space="preserve"> utilizado pelo Tesouro Nacional para apuração da remuneração do Tesouro IPCA+ ou título do Tesouro Nacional que venha a substituí-lo </w:t>
      </w:r>
      <w:bookmarkEnd w:id="92"/>
      <w:r>
        <w:rPr>
          <w:rFonts w:ascii="Verdana" w:hAnsi="Verdana" w:cs="Arial"/>
        </w:rPr>
        <w:t>ou, na sua falta, seu substituto legal. Na falta do substituto legal do Tesouro IPCA+, o Agente Fiduciário deverá, no prazo máximo de 2 Dias Úteis a contar do respectivo evento ou do fim do prazo de 10 dias consecutivos mencionado acima, convocar a Assembleia Geral de Debenturistas (no modo e prazos estipulados no item “Assembleias Gerais de Debenturistas” abaixo e no artigo 124 da Lei das Sociedades por Ações), para que os Debenturistas deliberem, de comum acordo com a Emissora, o novo parâmetro a ser utilizado para fins de cálculo da Atualização Monetária que será aplicada às Debêntures, observado o disposto no parágrafo abaixo.</w:t>
      </w:r>
    </w:p>
    <w:p>
      <w:pPr>
        <w:pStyle w:val="HOMEBRBodyText"/>
        <w:spacing w:line="300" w:lineRule="exact"/>
        <w:rPr>
          <w:rFonts w:ascii="Verdana" w:hAnsi="Verdana" w:cs="Arial"/>
        </w:rPr>
      </w:pPr>
      <w:r>
        <w:rPr>
          <w:rFonts w:ascii="Verdana" w:hAnsi="Verdana" w:cs="Arial"/>
        </w:rPr>
        <w:t>Caso não haja acordo sobre o novo índice para Atualização Monetária entre a Emissora e os Debenturistas, ou caso não seja obtido quórum de instalação ou deliberação da Assembleia Geral de Debenturistas em segunda convocação, observados os quóruns previstos no item “Assembleias Gerais de Debenturistas” abaixo, a Emissora deverá, desde que venha a ser legalmente permitido e devidamente regulamentado pelo CMN, nos termos da Lei nº 12.431, efetuar o Resgate Obrigatório da totalidade das Debêntures, no prazo de até 30 dias contados da data da realização da respectiva Assembleia Geral de Debenturistas (ou da data em que seria realizada a respectiva Assembleia Geral de Debenturistas, caso não seja obtido quórum de instalação em segunda convocação), desde que já tenha transcorrido o prazo que venha a ser autorizado pela legislação ou regulamentação aplicáveis, nos termos do item “Resgate Antecipado Obrigatório” abaixo, ou na Data de Vencimento, o que ocorrer primeiro. Nesta alternativa, com a finalidade de apurar-se a Atualização Monetária com relação às Debêntures a serem resgatadas, será utilizada para cálculo do fator “C” a última variação disponível do IPCA divulgada oficialmente. Caso o resgate antecipado das Debêntures não seja permitido nos termos da legislação ou regulamentação aplicáveis, até que seja possível a realização do Resgate Obrigatório será utilizada para cálculo do fator “C” a última variação disponível do IPCA divulgada oficialmente.</w:t>
      </w:r>
    </w:p>
    <w:p>
      <w:pPr>
        <w:pStyle w:val="HOMEBRBodyText"/>
        <w:spacing w:line="300" w:lineRule="exact"/>
        <w:rPr>
          <w:rFonts w:ascii="Verdana" w:hAnsi="Verdana" w:cs="Arial"/>
        </w:rPr>
      </w:pPr>
      <w:r>
        <w:rPr>
          <w:rFonts w:ascii="Verdana" w:hAnsi="Verdana" w:cs="Arial"/>
        </w:rPr>
        <w:lastRenderedPageBreak/>
        <w:t>Não obstante o disposto acima, caso o IPCA ou o respectivo fator de cálculo da remuneração do Tesouro IPCA+ venha a ser divulgado ou volte a ser aplicável às Debêntures antes da realização da Assembleia Geral de Debenturistas, a referida Assembleia Geral de Debenturistas não será mais realizada e o IPCA ou o fator de cálculo da remuneração do Tesouro IPCA+ então divulgado, a partir da respectiva data de referência, será empregado para apuração do fator “C” no cálculo da Atualização Monetária, não sendo devida nenhuma compensação entre a Emissora e os Debenturistas, quando da divulgação posterior do IPCA ou do Tesouro IPCA+ que seria aplicável inicialmente.</w:t>
      </w:r>
    </w:p>
    <w:p>
      <w:pPr>
        <w:pStyle w:val="Ttulo8"/>
        <w:spacing w:line="300" w:lineRule="exact"/>
        <w:rPr>
          <w:rFonts w:ascii="Verdana" w:hAnsi="Verdana" w:cs="Arial"/>
          <w:lang w:val="pt-BR"/>
        </w:rPr>
      </w:pPr>
      <w:bookmarkStart w:id="93" w:name="_Ref434936154"/>
      <w:bookmarkStart w:id="94" w:name="_Ref434936189"/>
      <w:bookmarkStart w:id="95" w:name="_Ref434936199"/>
      <w:bookmarkStart w:id="96" w:name="_Ref434936942"/>
      <w:bookmarkStart w:id="97" w:name="_Ref483330239"/>
      <w:bookmarkStart w:id="98" w:name="_Ref483330249"/>
      <w:bookmarkStart w:id="99" w:name="_Toc484715982"/>
      <w:r>
        <w:rPr>
          <w:rFonts w:ascii="Verdana" w:hAnsi="Verdana" w:cs="Arial"/>
          <w:lang w:val="pt-BR"/>
        </w:rPr>
        <w:t xml:space="preserve">Juros Remuneratórios das Debêntures e Pagamento dos </w:t>
      </w:r>
      <w:bookmarkEnd w:id="93"/>
      <w:bookmarkEnd w:id="94"/>
      <w:bookmarkEnd w:id="95"/>
      <w:bookmarkEnd w:id="96"/>
      <w:r>
        <w:rPr>
          <w:rFonts w:ascii="Verdana" w:hAnsi="Verdana" w:cs="Arial"/>
          <w:lang w:val="pt-BR"/>
        </w:rPr>
        <w:t>Juros Remuneratórios</w:t>
      </w:r>
      <w:bookmarkEnd w:id="97"/>
      <w:bookmarkEnd w:id="98"/>
      <w:bookmarkEnd w:id="99"/>
    </w:p>
    <w:p>
      <w:pPr>
        <w:pStyle w:val="HOMEBRBodyText"/>
        <w:keepNext/>
        <w:spacing w:line="300" w:lineRule="exact"/>
        <w:outlineLvl w:val="0"/>
        <w:rPr>
          <w:rFonts w:ascii="Verdana" w:hAnsi="Verdana" w:cs="Arial"/>
          <w:u w:val="single"/>
        </w:rPr>
      </w:pPr>
      <w:r>
        <w:rPr>
          <w:rFonts w:ascii="Verdana" w:hAnsi="Verdana" w:cs="Arial"/>
          <w:u w:val="single"/>
        </w:rPr>
        <w:t xml:space="preserve">Juros Remuneratórios das Debêntures </w:t>
      </w:r>
    </w:p>
    <w:p>
      <w:pPr>
        <w:pStyle w:val="HOMEBRBodyText"/>
        <w:spacing w:line="300" w:lineRule="exact"/>
        <w:rPr>
          <w:rFonts w:ascii="Verdana" w:hAnsi="Verdana" w:cs="Arial"/>
        </w:rPr>
      </w:pPr>
      <w:bookmarkStart w:id="100" w:name="_Ref420335344"/>
      <w:r>
        <w:rPr>
          <w:rFonts w:ascii="Verdana" w:hAnsi="Verdana" w:cs="Arial"/>
        </w:rPr>
        <w:t xml:space="preserve">Sobre o Valor Nominal Atualizado das Debêntures incidirão juros remuneratórios correspondentes a um determinado percentual ao ano, base 252 (duzentos e cinquenta e dois) Dias Úteis, a ser definido de acordo com o Procedimento de </w:t>
      </w:r>
      <w:r>
        <w:rPr>
          <w:rFonts w:ascii="Verdana" w:hAnsi="Verdana" w:cs="Arial"/>
          <w:i/>
        </w:rPr>
        <w:t>Bookbuilding</w:t>
      </w:r>
      <w:r>
        <w:rPr>
          <w:rFonts w:ascii="Verdana" w:hAnsi="Verdana" w:cs="Arial"/>
        </w:rPr>
        <w:t xml:space="preserve">, e, em qualquer caso, limitados a (i) 0,60% (sessenta centésimos por cento) ao ano, acrescidos exponencialmente à taxa interna de retorno do Tesouro IPCA+ com Juros Semestrais, com vencimento em 2028, que deverá ser a </w:t>
      </w:r>
      <w:r>
        <w:rPr>
          <w:rFonts w:ascii="Verdana" w:hAnsi="Verdana" w:cs="Arial"/>
          <w:u w:val="single"/>
        </w:rPr>
        <w:t>maior</w:t>
      </w:r>
      <w:r>
        <w:rPr>
          <w:rFonts w:ascii="Verdana" w:hAnsi="Verdana" w:cs="Arial"/>
        </w:rPr>
        <w:t xml:space="preserve"> cotação indicativa entre (a) a divulgada pela ANBIMA no fechamento da Data de Apuração; e (b) a média das cotações divulgadas pela ANBIMA no fechamento dos 3 (três) últimos Dias Úteis imediatamente anteriores à data de realização do Procedimento de </w:t>
      </w:r>
      <w:r>
        <w:rPr>
          <w:rFonts w:ascii="Verdana" w:hAnsi="Verdana" w:cs="Arial"/>
          <w:i/>
        </w:rPr>
        <w:t>Bookbuilding</w:t>
      </w:r>
      <w:r>
        <w:rPr>
          <w:rFonts w:ascii="Verdana" w:hAnsi="Verdana" w:cs="Arial"/>
        </w:rPr>
        <w:t xml:space="preserve">; ou (ii) 4,00% (quatro por cento) ao ano, entre os itens (i) e (ii) o que for </w:t>
      </w:r>
      <w:r>
        <w:rPr>
          <w:rFonts w:ascii="Verdana" w:hAnsi="Verdana" w:cs="Arial"/>
          <w:u w:val="single"/>
        </w:rPr>
        <w:t>maior</w:t>
      </w:r>
      <w:r>
        <w:rPr>
          <w:rFonts w:ascii="Verdana" w:hAnsi="Verdana" w:cs="Arial"/>
        </w:rPr>
        <w:t xml:space="preserve"> na Data de Apuração.   </w:t>
      </w:r>
    </w:p>
    <w:p>
      <w:pPr>
        <w:pStyle w:val="HOMEBRBodyText"/>
        <w:spacing w:line="300" w:lineRule="exact"/>
        <w:rPr>
          <w:rFonts w:ascii="Verdana" w:hAnsi="Verdana" w:cs="Arial"/>
        </w:rPr>
      </w:pPr>
      <w:r>
        <w:rPr>
          <w:rFonts w:ascii="Verdana" w:hAnsi="Verdana" w:cs="Arial"/>
        </w:rPr>
        <w:t>A taxa final dos Juros Remuneratórios, uma vez definida em conformidade com o parágrafo acima, será ratificada por meio de aditamento à Escritura, que deverá ser arquivado na JUCEPAR, sem necessidade de nova aprovação societária pela Emissora, nos termos da RCA da Emissão, ou de realização de Assembleia Geral de Debenturistas.</w:t>
      </w:r>
    </w:p>
    <w:p>
      <w:pPr>
        <w:pStyle w:val="HOMEBRBodyText"/>
        <w:spacing w:line="300" w:lineRule="exact"/>
        <w:rPr>
          <w:rFonts w:ascii="Verdana" w:hAnsi="Verdana" w:cs="Arial"/>
        </w:rPr>
      </w:pPr>
      <w:r>
        <w:rPr>
          <w:rFonts w:ascii="Verdana" w:hAnsi="Verdana" w:cs="Arial"/>
        </w:rPr>
        <w:t xml:space="preserve">Os Juros Remuneratórios serão calculados em regime de capitalização composta de forma </w:t>
      </w:r>
      <w:r>
        <w:rPr>
          <w:rFonts w:ascii="Verdana" w:hAnsi="Verdana" w:cs="Arial"/>
          <w:i/>
        </w:rPr>
        <w:t>pro rata temporis</w:t>
      </w:r>
      <w:r>
        <w:rPr>
          <w:rFonts w:ascii="Verdana" w:hAnsi="Verdana" w:cs="Arial"/>
        </w:rPr>
        <w:t xml:space="preserve"> por Dias Úteis decorridos desde a Primeira Data de Integralização ou a Data de Pagamento dos Juros Remuneratórios imediatamente anterior, conforme o caso, até a data de seu efetivo pagamento, e deverão ser pagos, observada a periodicidade prevista no item “Pagamento dos Juros Remuneratórios” abaixo, ao final de cada Período de Capitalização (ou na data da liquidação antecipada resultante (i) do vencimento antecipado das Debêntures em razão da ocorrência de um dos Eventos de Inadimplemento, nos termos do item “Vencimento Antecipado” abaixo; ou (ii) do Resgate Obrigatório, nos termos deste Prospecto e da Escritura).</w:t>
      </w:r>
    </w:p>
    <w:p>
      <w:pPr>
        <w:spacing w:after="0" w:line="300" w:lineRule="exact"/>
        <w:jc w:val="left"/>
        <w:rPr>
          <w:rFonts w:ascii="Verdana" w:hAnsi="Verdana" w:cs="Arial"/>
          <w:lang w:val="pt-BR"/>
        </w:rPr>
      </w:pPr>
      <w:r>
        <w:rPr>
          <w:rFonts w:ascii="Verdana" w:hAnsi="Verdana" w:cs="Arial"/>
          <w:snapToGrid w:val="0"/>
          <w:lang w:val="pt-BR"/>
        </w:rPr>
        <w:t xml:space="preserve">Os Juros </w:t>
      </w:r>
      <w:r>
        <w:rPr>
          <w:rFonts w:ascii="Verdana" w:hAnsi="Verdana" w:cs="Arial"/>
          <w:lang w:val="pt-BR"/>
        </w:rPr>
        <w:t>Remuneratórios</w:t>
      </w:r>
      <w:r>
        <w:rPr>
          <w:rFonts w:ascii="Verdana" w:hAnsi="Verdana" w:cs="Arial"/>
          <w:snapToGrid w:val="0"/>
          <w:lang w:val="pt-BR"/>
        </w:rPr>
        <w:t xml:space="preserve"> serão calculados de acordo com a seguinte fórmula: </w:t>
      </w:r>
    </w:p>
    <w:bookmarkEnd w:id="100"/>
    <w:p>
      <w:pPr>
        <w:spacing w:after="0" w:line="300" w:lineRule="exact"/>
        <w:ind w:left="720"/>
        <w:jc w:val="center"/>
        <w:rPr>
          <w:rFonts w:ascii="Verdana" w:hAnsi="Verdana" w:cs="Arial"/>
          <w:lang w:val="pt-BR"/>
        </w:rPr>
      </w:pPr>
      <w:r>
        <w:rPr>
          <w:rFonts w:ascii="Verdana" w:hAnsi="Verdana" w:cs="Arial"/>
          <w:lang w:val="pt-BR"/>
        </w:rPr>
        <w:t>J = {VNa x [FatorJuros-1]}</w:t>
      </w:r>
    </w:p>
    <w:p>
      <w:pPr>
        <w:tabs>
          <w:tab w:val="num" w:pos="0"/>
        </w:tabs>
        <w:spacing w:after="0" w:line="300" w:lineRule="exact"/>
        <w:ind w:left="720"/>
        <w:rPr>
          <w:rFonts w:ascii="Verdana" w:hAnsi="Verdana" w:cs="Arial"/>
          <w:lang w:val="pt-BR"/>
        </w:rPr>
      </w:pPr>
    </w:p>
    <w:p>
      <w:pPr>
        <w:spacing w:after="0" w:line="300" w:lineRule="exact"/>
        <w:ind w:left="720"/>
        <w:rPr>
          <w:rFonts w:ascii="Verdana" w:hAnsi="Verdana" w:cs="Arial"/>
          <w:lang w:val="pt-BR"/>
        </w:rPr>
      </w:pPr>
      <w:r>
        <w:rPr>
          <w:rFonts w:ascii="Verdana" w:hAnsi="Verdana" w:cs="Arial"/>
          <w:lang w:val="pt-BR"/>
        </w:rPr>
        <w:t>onde,</w:t>
      </w:r>
    </w:p>
    <w:p>
      <w:pPr>
        <w:tabs>
          <w:tab w:val="num" w:pos="0"/>
        </w:tabs>
        <w:spacing w:after="0" w:line="300" w:lineRule="exact"/>
        <w:ind w:left="720"/>
        <w:rPr>
          <w:rFonts w:ascii="Verdana" w:hAnsi="Verdana" w:cs="Arial"/>
          <w:lang w:val="pt-BR"/>
        </w:rPr>
      </w:pPr>
    </w:p>
    <w:p>
      <w:pPr>
        <w:spacing w:after="0" w:line="300" w:lineRule="exact"/>
        <w:ind w:left="720"/>
        <w:rPr>
          <w:rFonts w:ascii="Verdana" w:hAnsi="Verdana" w:cs="Arial"/>
          <w:lang w:val="pt-BR"/>
        </w:rPr>
      </w:pPr>
      <w:r>
        <w:rPr>
          <w:rFonts w:ascii="Verdana" w:hAnsi="Verdana" w:cs="Arial"/>
          <w:b/>
          <w:lang w:val="pt-BR"/>
        </w:rPr>
        <w:lastRenderedPageBreak/>
        <w:t>J</w:t>
      </w:r>
      <w:r>
        <w:rPr>
          <w:rFonts w:ascii="Verdana" w:hAnsi="Verdana" w:cs="Arial"/>
          <w:lang w:val="pt-BR"/>
        </w:rPr>
        <w:t xml:space="preserve"> = valor unitário dos Juros Remuneratórios devidos no final de cada Período de Capitalização, calculado com 8 (oito) casas decimais, sem arredondamento;</w:t>
      </w:r>
    </w:p>
    <w:p>
      <w:pPr>
        <w:spacing w:after="0" w:line="300" w:lineRule="exact"/>
        <w:ind w:left="720"/>
        <w:rPr>
          <w:rFonts w:ascii="Verdana" w:hAnsi="Verdana" w:cs="Arial"/>
          <w:lang w:val="pt-BR"/>
        </w:rPr>
      </w:pPr>
    </w:p>
    <w:p>
      <w:pPr>
        <w:spacing w:after="0" w:line="300" w:lineRule="exact"/>
        <w:ind w:left="720"/>
        <w:rPr>
          <w:rFonts w:ascii="Verdana" w:hAnsi="Verdana" w:cs="Arial"/>
          <w:lang w:val="pt-BR"/>
        </w:rPr>
      </w:pPr>
      <w:r>
        <w:rPr>
          <w:rFonts w:ascii="Verdana" w:hAnsi="Verdana" w:cs="Arial"/>
          <w:b/>
          <w:lang w:val="pt-BR"/>
        </w:rPr>
        <w:t>VNa</w:t>
      </w:r>
      <w:r>
        <w:rPr>
          <w:rFonts w:ascii="Verdana" w:hAnsi="Verdana" w:cs="Arial"/>
          <w:lang w:val="pt-BR"/>
        </w:rPr>
        <w:t xml:space="preserve"> = Valor Nominal Atualizado, calculado com 8 (oito) casas decimais, sem arredondamento;</w:t>
      </w:r>
    </w:p>
    <w:p>
      <w:pPr>
        <w:spacing w:after="0" w:line="300" w:lineRule="exact"/>
        <w:ind w:left="720"/>
        <w:rPr>
          <w:rFonts w:ascii="Verdana" w:hAnsi="Verdana" w:cs="Arial"/>
          <w:lang w:val="pt-BR"/>
        </w:rPr>
      </w:pPr>
    </w:p>
    <w:p>
      <w:pPr>
        <w:spacing w:after="0" w:line="300" w:lineRule="exact"/>
        <w:ind w:left="720"/>
        <w:rPr>
          <w:rFonts w:ascii="Verdana" w:hAnsi="Verdana" w:cs="Arial"/>
          <w:lang w:val="pt-BR"/>
        </w:rPr>
      </w:pPr>
      <w:r>
        <w:rPr>
          <w:rFonts w:ascii="Verdana" w:hAnsi="Verdana" w:cs="Arial"/>
          <w:b/>
          <w:lang w:val="pt-BR"/>
        </w:rPr>
        <w:t>FatorJuros</w:t>
      </w:r>
      <w:r>
        <w:rPr>
          <w:rFonts w:ascii="Verdana" w:hAnsi="Verdana" w:cs="Arial"/>
          <w:lang w:val="pt-BR"/>
        </w:rPr>
        <w:t xml:space="preserve"> = fator de juros fixos, calculado com 9 (nove) casas decimais, com arredondamento, de acordo com a seguinte fórmula:</w:t>
      </w:r>
    </w:p>
    <w:p>
      <w:pPr>
        <w:tabs>
          <w:tab w:val="num" w:pos="0"/>
        </w:tabs>
        <w:spacing w:after="0" w:line="300" w:lineRule="exact"/>
        <w:ind w:left="720"/>
        <w:rPr>
          <w:rFonts w:ascii="Verdana" w:hAnsi="Verdana" w:cs="Arial"/>
          <w:lang w:val="pt-BR"/>
        </w:rPr>
      </w:pPr>
      <w:r>
        <w:rPr>
          <w:rFonts w:ascii="Verdana" w:hAnsi="Verdana" w:cs="Arial"/>
          <w:noProof/>
          <w:lang w:val="pt-BR" w:eastAsia="pt-BR"/>
        </w:rPr>
        <w:drawing>
          <wp:anchor distT="0" distB="0" distL="114300" distR="114300" simplePos="0" relativeHeight="251656704" behindDoc="0" locked="0" layoutInCell="1" allowOverlap="1">
            <wp:simplePos x="0" y="0"/>
            <wp:positionH relativeFrom="column">
              <wp:posOffset>2000707</wp:posOffset>
            </wp:positionH>
            <wp:positionV relativeFrom="paragraph">
              <wp:posOffset>181153</wp:posOffset>
            </wp:positionV>
            <wp:extent cx="1920875" cy="454210"/>
            <wp:effectExtent l="0" t="0" r="0" b="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875" cy="454210"/>
                    </a:xfrm>
                    <a:prstGeom prst="rect">
                      <a:avLst/>
                    </a:prstGeom>
                    <a:noFill/>
                  </pic:spPr>
                </pic:pic>
              </a:graphicData>
            </a:graphic>
            <wp14:sizeRelH relativeFrom="page">
              <wp14:pctWidth>0</wp14:pctWidth>
            </wp14:sizeRelH>
            <wp14:sizeRelV relativeFrom="page">
              <wp14:pctHeight>0</wp14:pctHeight>
            </wp14:sizeRelV>
          </wp:anchor>
        </w:drawing>
      </w:r>
    </w:p>
    <w:p>
      <w:pPr>
        <w:tabs>
          <w:tab w:val="num" w:pos="0"/>
        </w:tabs>
        <w:spacing w:after="0" w:line="300" w:lineRule="exact"/>
        <w:ind w:left="720"/>
        <w:jc w:val="center"/>
        <w:rPr>
          <w:rFonts w:ascii="Verdana" w:hAnsi="Verdana" w:cs="Arial"/>
          <w:i/>
          <w:lang w:val="pt-BR"/>
        </w:rPr>
      </w:pPr>
    </w:p>
    <w:p>
      <w:pPr>
        <w:tabs>
          <w:tab w:val="num" w:pos="0"/>
        </w:tabs>
        <w:spacing w:after="0" w:line="300" w:lineRule="exact"/>
        <w:ind w:left="720"/>
        <w:rPr>
          <w:rFonts w:ascii="Verdana" w:hAnsi="Verdana" w:cs="Arial"/>
          <w:i/>
          <w:lang w:val="pt-BR"/>
        </w:rPr>
      </w:pPr>
    </w:p>
    <w:p>
      <w:pPr>
        <w:spacing w:after="0" w:line="300" w:lineRule="exact"/>
        <w:ind w:left="720"/>
        <w:rPr>
          <w:rFonts w:ascii="Verdana" w:hAnsi="Verdana" w:cs="Arial"/>
          <w:lang w:val="pt-BR"/>
        </w:rPr>
      </w:pPr>
    </w:p>
    <w:p>
      <w:pPr>
        <w:spacing w:after="0" w:line="300" w:lineRule="exact"/>
        <w:ind w:left="720"/>
        <w:rPr>
          <w:rFonts w:ascii="Verdana" w:hAnsi="Verdana" w:cs="Arial"/>
          <w:lang w:val="pt-BR"/>
        </w:rPr>
      </w:pPr>
      <w:r>
        <w:rPr>
          <w:rFonts w:ascii="Verdana" w:hAnsi="Verdana" w:cs="Arial"/>
          <w:lang w:val="pt-BR"/>
        </w:rPr>
        <w:t>onde,</w:t>
      </w:r>
    </w:p>
    <w:p>
      <w:pPr>
        <w:spacing w:after="0" w:line="300" w:lineRule="exact"/>
        <w:ind w:left="720"/>
        <w:rPr>
          <w:rFonts w:ascii="Verdana" w:hAnsi="Verdana" w:cs="Arial"/>
          <w:lang w:val="pt-BR"/>
        </w:rPr>
      </w:pPr>
    </w:p>
    <w:p>
      <w:pPr>
        <w:spacing w:after="0" w:line="300" w:lineRule="exact"/>
        <w:ind w:left="720"/>
        <w:rPr>
          <w:rFonts w:ascii="Verdana" w:hAnsi="Verdana" w:cs="Arial"/>
          <w:lang w:val="pt-BR"/>
        </w:rPr>
      </w:pPr>
      <w:r>
        <w:rPr>
          <w:rFonts w:ascii="Verdana" w:hAnsi="Verdana" w:cs="Arial"/>
          <w:b/>
          <w:lang w:val="pt-BR"/>
        </w:rPr>
        <w:t>Taxa</w:t>
      </w:r>
      <w:r>
        <w:rPr>
          <w:rFonts w:ascii="Verdana" w:hAnsi="Verdana" w:cs="Arial"/>
          <w:lang w:val="pt-BR"/>
        </w:rPr>
        <w:t xml:space="preserve"> = taxa de juros fixa utilizada para cálculo dos Juros Remuneratórios, a ser definida no Procedimento de </w:t>
      </w:r>
      <w:r>
        <w:rPr>
          <w:rFonts w:ascii="Verdana" w:hAnsi="Verdana" w:cs="Arial"/>
          <w:i/>
          <w:lang w:val="pt-BR"/>
        </w:rPr>
        <w:t>Bookbuilding</w:t>
      </w:r>
      <w:r>
        <w:rPr>
          <w:rFonts w:ascii="Verdana" w:hAnsi="Verdana" w:cs="Arial"/>
          <w:lang w:val="pt-BR"/>
        </w:rPr>
        <w:t>, informada com 4 (quatro) casas decimais;</w:t>
      </w:r>
    </w:p>
    <w:p>
      <w:pPr>
        <w:spacing w:after="0" w:line="300" w:lineRule="exact"/>
        <w:ind w:left="720"/>
        <w:rPr>
          <w:rFonts w:ascii="Verdana" w:hAnsi="Verdana" w:cs="Arial"/>
          <w:lang w:val="pt-BR"/>
        </w:rPr>
      </w:pPr>
    </w:p>
    <w:p>
      <w:pPr>
        <w:spacing w:after="0" w:line="300" w:lineRule="exact"/>
        <w:ind w:left="720"/>
        <w:rPr>
          <w:rFonts w:ascii="Verdana" w:hAnsi="Verdana" w:cs="Arial"/>
          <w:lang w:val="pt-BR"/>
        </w:rPr>
      </w:pPr>
      <w:r>
        <w:rPr>
          <w:rFonts w:ascii="Verdana" w:hAnsi="Verdana" w:cs="Arial"/>
          <w:b/>
          <w:lang w:val="pt-BR"/>
        </w:rPr>
        <w:t>DP</w:t>
      </w:r>
      <w:r>
        <w:rPr>
          <w:rFonts w:ascii="Verdana" w:hAnsi="Verdana" w:cs="Arial"/>
          <w:lang w:val="pt-BR"/>
        </w:rPr>
        <w:t xml:space="preserve"> = número de Dias Úteis entre a Primeira Data de Integralização (ou a Data de Pagamento de Juros Remuneratórios imediatamente anterior, conforme o caso), e a data de cálculo, sendo “DP” um número inteiro.</w:t>
      </w:r>
    </w:p>
    <w:p>
      <w:pPr>
        <w:widowControl w:val="0"/>
        <w:spacing w:after="0" w:line="300" w:lineRule="exact"/>
        <w:rPr>
          <w:rFonts w:ascii="Verdana" w:hAnsi="Verdana" w:cs="Arial"/>
          <w:b/>
          <w:lang w:val="pt-BR"/>
        </w:rPr>
      </w:pPr>
    </w:p>
    <w:p>
      <w:pPr>
        <w:pStyle w:val="HOMEBRBodyText"/>
        <w:keepLines w:val="0"/>
        <w:widowControl w:val="0"/>
        <w:spacing w:line="300" w:lineRule="exact"/>
        <w:outlineLvl w:val="0"/>
        <w:rPr>
          <w:rFonts w:ascii="Verdana" w:hAnsi="Verdana" w:cs="Arial"/>
          <w:u w:val="single"/>
        </w:rPr>
      </w:pPr>
      <w:r>
        <w:rPr>
          <w:rFonts w:ascii="Verdana" w:hAnsi="Verdana" w:cs="Arial"/>
          <w:u w:val="single"/>
        </w:rPr>
        <w:t>Pagamento dos Juros Remuneratórios</w:t>
      </w:r>
    </w:p>
    <w:p>
      <w:pPr>
        <w:pStyle w:val="HOMEBRBodyText"/>
        <w:keepLines w:val="0"/>
        <w:widowControl w:val="0"/>
        <w:spacing w:line="300" w:lineRule="exact"/>
        <w:rPr>
          <w:rFonts w:ascii="Verdana" w:hAnsi="Verdana" w:cs="Arial"/>
        </w:rPr>
      </w:pPr>
      <w:r>
        <w:rPr>
          <w:rFonts w:ascii="Verdana" w:hAnsi="Verdana" w:cs="Arial"/>
        </w:rPr>
        <w:t>Ressalvadas as hipóteses de pagamento em decorrência da declaração de vencimento antecipado das Debêntures e, se permitido pelas regras expedidas pelo CMN e pela legislação e regulamentação aplicáveis, do Resgate Obrigatório, os Juros Remuneratórios serão pagos pela Emissora aos Debenturistas anualmente a partir da Data de Emissão, sendo, portanto, os pagamentos devidos no dia 15 do mês de outubro de cada ano. O primeiro pagamento ocorrerá em 15 de outubro de 2020 e o último pagamento ocorrerá na Data de Vencimento, conforme tabela abaixo (cada uma dessas datas, uma “</w:t>
      </w:r>
      <w:r>
        <w:rPr>
          <w:rFonts w:ascii="Verdana" w:hAnsi="Verdana" w:cs="Arial"/>
          <w:u w:val="single"/>
        </w:rPr>
        <w:t>Data de Pagamento dos Juros Remuneratórios</w:t>
      </w:r>
      <w:r>
        <w:rPr>
          <w:rFonts w:ascii="Verdana" w:hAnsi="Verdana" w:cs="Arial"/>
        </w:rPr>
        <w:t>”):</w:t>
      </w:r>
    </w:p>
    <w:tbl>
      <w:tblPr>
        <w:tblStyle w:val="Tabelacomgrade"/>
        <w:tblW w:w="0" w:type="auto"/>
        <w:jc w:val="center"/>
        <w:tblLook w:val="04A0" w:firstRow="1" w:lastRow="0" w:firstColumn="1" w:lastColumn="0" w:noHBand="0" w:noVBand="1"/>
      </w:tblPr>
      <w:tblGrid>
        <w:gridCol w:w="8217"/>
      </w:tblGrid>
      <w:tr>
        <w:trPr>
          <w:trHeight w:val="544"/>
          <w:jc w:val="center"/>
        </w:trPr>
        <w:tc>
          <w:tcPr>
            <w:tcW w:w="8217" w:type="dxa"/>
            <w:shd w:val="clear" w:color="auto" w:fill="D9D9D9" w:themeFill="background1" w:themeFillShade="D9"/>
          </w:tcPr>
          <w:p>
            <w:pPr>
              <w:keepNext/>
              <w:keepLines/>
              <w:spacing w:before="200" w:line="300" w:lineRule="exact"/>
              <w:jc w:val="center"/>
              <w:rPr>
                <w:rFonts w:ascii="Verdana" w:hAnsi="Verdana" w:cs="Arial"/>
                <w:b/>
                <w:lang w:val="pt-BR"/>
              </w:rPr>
            </w:pPr>
            <w:r>
              <w:rPr>
                <w:rFonts w:ascii="Verdana" w:hAnsi="Verdana" w:cs="Arial"/>
                <w:b/>
                <w:lang w:val="pt-BR"/>
              </w:rPr>
              <w:lastRenderedPageBreak/>
              <w:t>Datas de Pagamento dos Juros Remuneratórios</w:t>
            </w:r>
          </w:p>
        </w:tc>
      </w:tr>
      <w:tr>
        <w:trPr>
          <w:jc w:val="center"/>
        </w:trPr>
        <w:tc>
          <w:tcPr>
            <w:tcW w:w="8217" w:type="dxa"/>
          </w:tcPr>
          <w:p>
            <w:pPr>
              <w:keepNext/>
              <w:keepLines/>
              <w:spacing w:line="300" w:lineRule="exact"/>
              <w:ind w:left="3148"/>
              <w:jc w:val="left"/>
              <w:rPr>
                <w:rFonts w:ascii="Verdana" w:hAnsi="Verdana" w:cs="Arial"/>
              </w:rPr>
            </w:pPr>
            <w:r>
              <w:rPr>
                <w:rFonts w:ascii="Verdana" w:hAnsi="Verdana" w:cs="Arial"/>
              </w:rPr>
              <w:t>15 de outubro de 2020</w:t>
            </w:r>
          </w:p>
        </w:tc>
      </w:tr>
      <w:tr>
        <w:trPr>
          <w:jc w:val="center"/>
        </w:trPr>
        <w:tc>
          <w:tcPr>
            <w:tcW w:w="8217" w:type="dxa"/>
          </w:tcPr>
          <w:p>
            <w:pPr>
              <w:keepNext/>
              <w:keepLines/>
              <w:spacing w:line="300" w:lineRule="exact"/>
              <w:ind w:left="3148"/>
              <w:jc w:val="left"/>
              <w:rPr>
                <w:rFonts w:ascii="Verdana" w:hAnsi="Verdana" w:cs="Arial"/>
              </w:rPr>
            </w:pPr>
            <w:r>
              <w:rPr>
                <w:rFonts w:ascii="Verdana" w:hAnsi="Verdana" w:cs="Arial"/>
              </w:rPr>
              <w:t>15 de outubro de 2021</w:t>
            </w:r>
          </w:p>
        </w:tc>
      </w:tr>
      <w:tr>
        <w:trPr>
          <w:jc w:val="center"/>
        </w:trPr>
        <w:tc>
          <w:tcPr>
            <w:tcW w:w="8217" w:type="dxa"/>
          </w:tcPr>
          <w:p>
            <w:pPr>
              <w:keepNext/>
              <w:keepLines/>
              <w:spacing w:line="300" w:lineRule="exact"/>
              <w:ind w:left="3148"/>
              <w:jc w:val="left"/>
              <w:rPr>
                <w:rFonts w:ascii="Verdana" w:hAnsi="Verdana" w:cs="Arial"/>
              </w:rPr>
            </w:pPr>
            <w:r>
              <w:rPr>
                <w:rFonts w:ascii="Verdana" w:hAnsi="Verdana" w:cs="Arial"/>
              </w:rPr>
              <w:t>15 de outubro de 2022</w:t>
            </w:r>
          </w:p>
        </w:tc>
      </w:tr>
      <w:tr>
        <w:trPr>
          <w:jc w:val="center"/>
        </w:trPr>
        <w:tc>
          <w:tcPr>
            <w:tcW w:w="8217" w:type="dxa"/>
          </w:tcPr>
          <w:p>
            <w:pPr>
              <w:keepNext/>
              <w:keepLines/>
              <w:spacing w:line="300" w:lineRule="exact"/>
              <w:ind w:left="3148"/>
              <w:jc w:val="left"/>
              <w:rPr>
                <w:rFonts w:ascii="Verdana" w:hAnsi="Verdana" w:cs="Arial"/>
              </w:rPr>
            </w:pPr>
            <w:r>
              <w:rPr>
                <w:rFonts w:ascii="Verdana" w:hAnsi="Verdana" w:cs="Arial"/>
              </w:rPr>
              <w:t>15 de outubro de 2023</w:t>
            </w:r>
          </w:p>
        </w:tc>
      </w:tr>
      <w:tr>
        <w:trPr>
          <w:jc w:val="center"/>
        </w:trPr>
        <w:tc>
          <w:tcPr>
            <w:tcW w:w="8217" w:type="dxa"/>
          </w:tcPr>
          <w:p>
            <w:pPr>
              <w:keepNext/>
              <w:keepLines/>
              <w:spacing w:line="300" w:lineRule="exact"/>
              <w:ind w:left="3148"/>
              <w:jc w:val="left"/>
              <w:rPr>
                <w:rFonts w:ascii="Verdana" w:hAnsi="Verdana" w:cs="Arial"/>
              </w:rPr>
            </w:pPr>
            <w:r>
              <w:rPr>
                <w:rFonts w:ascii="Verdana" w:hAnsi="Verdana" w:cs="Arial"/>
              </w:rPr>
              <w:t>15 de outubro de 2024</w:t>
            </w:r>
          </w:p>
        </w:tc>
      </w:tr>
      <w:tr>
        <w:trPr>
          <w:jc w:val="center"/>
        </w:trPr>
        <w:tc>
          <w:tcPr>
            <w:tcW w:w="8217" w:type="dxa"/>
          </w:tcPr>
          <w:p>
            <w:pPr>
              <w:keepNext/>
              <w:keepLines/>
              <w:spacing w:line="300" w:lineRule="exact"/>
              <w:ind w:left="3148"/>
              <w:jc w:val="left"/>
              <w:rPr>
                <w:rFonts w:ascii="Verdana" w:hAnsi="Verdana" w:cs="Arial"/>
              </w:rPr>
            </w:pPr>
            <w:r>
              <w:rPr>
                <w:rFonts w:ascii="Verdana" w:hAnsi="Verdana" w:cs="Arial"/>
              </w:rPr>
              <w:t>15 de outubro de 2025</w:t>
            </w:r>
          </w:p>
        </w:tc>
      </w:tr>
      <w:tr>
        <w:trPr>
          <w:jc w:val="center"/>
        </w:trPr>
        <w:tc>
          <w:tcPr>
            <w:tcW w:w="8217" w:type="dxa"/>
          </w:tcPr>
          <w:p>
            <w:pPr>
              <w:keepNext/>
              <w:keepLines/>
              <w:spacing w:line="300" w:lineRule="exact"/>
              <w:ind w:left="3148"/>
              <w:jc w:val="left"/>
              <w:rPr>
                <w:rFonts w:ascii="Verdana" w:hAnsi="Verdana" w:cs="Arial"/>
              </w:rPr>
            </w:pPr>
            <w:r>
              <w:rPr>
                <w:rFonts w:ascii="Verdana" w:hAnsi="Verdana" w:cs="Arial"/>
              </w:rPr>
              <w:t>15 de outubro de 2026</w:t>
            </w:r>
          </w:p>
        </w:tc>
      </w:tr>
      <w:tr>
        <w:trPr>
          <w:jc w:val="center"/>
        </w:trPr>
        <w:tc>
          <w:tcPr>
            <w:tcW w:w="8217" w:type="dxa"/>
          </w:tcPr>
          <w:p>
            <w:pPr>
              <w:keepNext/>
              <w:keepLines/>
              <w:spacing w:line="300" w:lineRule="exact"/>
              <w:ind w:left="3148"/>
              <w:jc w:val="left"/>
              <w:rPr>
                <w:rFonts w:ascii="Verdana" w:hAnsi="Verdana" w:cs="Arial"/>
              </w:rPr>
            </w:pPr>
            <w:r>
              <w:rPr>
                <w:rFonts w:ascii="Verdana" w:hAnsi="Verdana" w:cs="Arial"/>
              </w:rPr>
              <w:t>15 de outubro de 2027</w:t>
            </w:r>
          </w:p>
        </w:tc>
      </w:tr>
      <w:tr>
        <w:trPr>
          <w:trHeight w:val="189"/>
          <w:jc w:val="center"/>
        </w:trPr>
        <w:tc>
          <w:tcPr>
            <w:tcW w:w="8217" w:type="dxa"/>
          </w:tcPr>
          <w:p>
            <w:pPr>
              <w:keepNext/>
              <w:keepLines/>
              <w:spacing w:line="300" w:lineRule="exact"/>
              <w:ind w:left="3148"/>
              <w:jc w:val="left"/>
              <w:rPr>
                <w:rFonts w:ascii="Verdana" w:hAnsi="Verdana" w:cs="Arial"/>
              </w:rPr>
            </w:pPr>
            <w:r>
              <w:rPr>
                <w:rFonts w:ascii="Verdana" w:hAnsi="Verdana" w:cs="Arial"/>
              </w:rPr>
              <w:t>15 de outubro de 2028</w:t>
            </w:r>
          </w:p>
        </w:tc>
      </w:tr>
      <w:tr>
        <w:trPr>
          <w:trHeight w:val="253"/>
          <w:jc w:val="center"/>
        </w:trPr>
        <w:tc>
          <w:tcPr>
            <w:tcW w:w="8217" w:type="dxa"/>
          </w:tcPr>
          <w:p>
            <w:pPr>
              <w:keepNext/>
              <w:keepLines/>
              <w:spacing w:line="300" w:lineRule="exact"/>
              <w:ind w:left="3148"/>
              <w:jc w:val="left"/>
              <w:rPr>
                <w:rFonts w:ascii="Verdana" w:hAnsi="Verdana" w:cs="Arial"/>
              </w:rPr>
            </w:pPr>
            <w:r>
              <w:rPr>
                <w:rFonts w:ascii="Verdana" w:hAnsi="Verdana" w:cs="Arial"/>
              </w:rPr>
              <w:t>Data de Vencimento</w:t>
            </w:r>
          </w:p>
        </w:tc>
      </w:tr>
    </w:tbl>
    <w:p>
      <w:pPr>
        <w:spacing w:after="0" w:line="300" w:lineRule="exact"/>
        <w:rPr>
          <w:rFonts w:ascii="Verdana" w:hAnsi="Verdana" w:cs="Arial"/>
          <w:lang w:val="pt-BR"/>
        </w:rPr>
      </w:pPr>
    </w:p>
    <w:p>
      <w:pPr>
        <w:pStyle w:val="Ttulo8"/>
        <w:spacing w:line="300" w:lineRule="exact"/>
        <w:rPr>
          <w:rFonts w:ascii="Verdana" w:hAnsi="Verdana" w:cs="Arial"/>
          <w:lang w:val="pt-BR"/>
        </w:rPr>
      </w:pPr>
      <w:bookmarkStart w:id="101" w:name="_Toc484715983"/>
      <w:r>
        <w:rPr>
          <w:rFonts w:ascii="Verdana" w:hAnsi="Verdana" w:cs="Arial"/>
          <w:lang w:val="pt-BR"/>
        </w:rPr>
        <w:t>Forma de Subscrição e de Integralização</w:t>
      </w:r>
      <w:bookmarkEnd w:id="101"/>
      <w:r>
        <w:rPr>
          <w:rFonts w:ascii="Verdana" w:hAnsi="Verdana" w:cs="Arial"/>
          <w:lang w:val="pt-BR"/>
        </w:rPr>
        <w:t xml:space="preserve"> </w:t>
      </w:r>
    </w:p>
    <w:p>
      <w:pPr>
        <w:pStyle w:val="HOMEBRBodyText"/>
        <w:spacing w:line="300" w:lineRule="exact"/>
        <w:rPr>
          <w:rFonts w:ascii="Verdana" w:hAnsi="Verdana" w:cs="Arial"/>
          <w:iCs/>
        </w:rPr>
      </w:pPr>
      <w:r>
        <w:rPr>
          <w:rFonts w:ascii="Verdana" w:hAnsi="Verdana" w:cs="Arial"/>
        </w:rPr>
        <w:t xml:space="preserve">As Debêntures poderão ser subscritas no mercado primário a qualquer tempo, dentro do prazo de colocação, com integralização à vista, no ato da subscrição, em moeda corrente nacional, pelo Preço de Subscrição, de acordo com as normas de liquidação e os procedimentos aplicáveis à B3 ou à B3 – Segmento Cetip UTVM, conforme o caso, sendo a liquidação realizada por meio da B3 ou da B3 – Segmento Cetip UTVM. Caso ocorra a subscrição e integralização de Debêntures em mais de uma data, o Preço de Subscrição com relação às Debêntures que forem integralizadas após a Primeira Data de Integralização será o Valor Nominal Atualizado acrescido dos Juros Remuneratórios, calculados </w:t>
      </w:r>
      <w:r>
        <w:rPr>
          <w:rFonts w:ascii="Verdana" w:hAnsi="Verdana" w:cs="Arial"/>
          <w:i/>
        </w:rPr>
        <w:t>pro rata temporis</w:t>
      </w:r>
      <w:r>
        <w:rPr>
          <w:rFonts w:ascii="Verdana" w:hAnsi="Verdana" w:cs="Arial"/>
        </w:rPr>
        <w:t xml:space="preserve"> desde a Primeira Data de Integralização até a data de sua efetiva integralização. </w:t>
      </w:r>
    </w:p>
    <w:p>
      <w:pPr>
        <w:pStyle w:val="Ttulo8"/>
        <w:keepNext w:val="0"/>
        <w:spacing w:line="300" w:lineRule="exact"/>
        <w:rPr>
          <w:rFonts w:ascii="Verdana" w:hAnsi="Verdana" w:cs="Arial"/>
          <w:lang w:val="pt-BR"/>
        </w:rPr>
      </w:pPr>
      <w:bookmarkStart w:id="102" w:name="_Toc484715984"/>
      <w:r>
        <w:rPr>
          <w:rFonts w:ascii="Verdana" w:hAnsi="Verdana" w:cs="Arial"/>
          <w:lang w:val="pt-BR"/>
        </w:rPr>
        <w:t>Preço de Subscrição</w:t>
      </w:r>
      <w:bookmarkEnd w:id="102"/>
    </w:p>
    <w:p>
      <w:pPr>
        <w:pStyle w:val="HOMEBRBodyText"/>
        <w:spacing w:line="300" w:lineRule="exact"/>
        <w:rPr>
          <w:rFonts w:ascii="Verdana" w:eastAsia="Calibri" w:hAnsi="Verdana" w:cs="Arial"/>
        </w:rPr>
      </w:pPr>
      <w:r>
        <w:rPr>
          <w:rFonts w:ascii="Verdana" w:eastAsia="Calibri" w:hAnsi="Verdana" w:cs="Arial"/>
        </w:rPr>
        <w:t>O preço de subscrição de cada uma das Debêntures será o Valor Nominal Unitário ou, conforme disposto no item “</w:t>
      </w:r>
      <w:r>
        <w:rPr>
          <w:rFonts w:ascii="Verdana" w:hAnsi="Verdana" w:cs="Arial"/>
        </w:rPr>
        <w:t>Forma de Subscrição e de Integralização”</w:t>
      </w:r>
      <w:r>
        <w:rPr>
          <w:rFonts w:ascii="Verdana" w:eastAsia="Calibri" w:hAnsi="Verdana" w:cs="Arial"/>
        </w:rPr>
        <w:t xml:space="preserve"> acima, o Valor Nominal Atualizado, acrescido dos Juros Remuneratórios desde a Primeira Data de Integralização, até a data da respectiva integralização. Em qualquer hipótese, o Preço de Subscrição poderá ser acrescido de ágio ou deságio, utilizando-se 8 (oito) casas decimais, sem arredondamento, sendo que, caso aplicável, o ágio ou o deságio, conforme o caso, será o mesmo para todas as Debêntures, em cada data de integralização.</w:t>
      </w:r>
    </w:p>
    <w:p>
      <w:pPr>
        <w:pStyle w:val="HOMEBRBodyText"/>
        <w:spacing w:line="300" w:lineRule="exact"/>
        <w:rPr>
          <w:rFonts w:ascii="Verdana" w:eastAsia="Calibri" w:hAnsi="Verdana" w:cs="Arial"/>
        </w:rPr>
      </w:pPr>
      <w:r>
        <w:rPr>
          <w:rFonts w:ascii="Verdana" w:eastAsia="Calibri" w:hAnsi="Verdana" w:cs="Arial"/>
        </w:rPr>
        <w:lastRenderedPageBreak/>
        <w:t>Caso, até a data em que ocorrer a integralização das Debêntures, não haja divulgação do IPCA do mês imediatamente anterior, será utilizado, para cálculo do Valor Nominal Atualizado, o último IPCA oficialmente divulgado, não sendo devidas quaisquer compensações financeiras entre a Emissora e os Debenturistas, se e quando o IPCA que seria aplicável for divulgado.</w:t>
      </w:r>
    </w:p>
    <w:p>
      <w:pPr>
        <w:pStyle w:val="Ttulo8"/>
        <w:keepNext w:val="0"/>
        <w:spacing w:line="300" w:lineRule="exact"/>
        <w:rPr>
          <w:rFonts w:ascii="Verdana" w:hAnsi="Verdana" w:cs="Arial"/>
          <w:lang w:val="pt-BR"/>
        </w:rPr>
      </w:pPr>
      <w:bookmarkStart w:id="103" w:name="_Toc484715985"/>
      <w:bookmarkStart w:id="104" w:name="_Ref460318257"/>
      <w:bookmarkStart w:id="105" w:name="_Ref434936907"/>
      <w:bookmarkStart w:id="106" w:name="_Ref434937672"/>
      <w:r>
        <w:rPr>
          <w:rFonts w:ascii="Verdana" w:hAnsi="Verdana" w:cs="Arial"/>
          <w:lang w:val="pt-BR"/>
        </w:rPr>
        <w:t>Resgate Antecipado Facultativo</w:t>
      </w:r>
      <w:bookmarkEnd w:id="103"/>
      <w:r>
        <w:rPr>
          <w:rFonts w:ascii="Verdana" w:hAnsi="Verdana" w:cs="Arial"/>
          <w:lang w:val="pt-BR"/>
        </w:rPr>
        <w:t xml:space="preserve"> </w:t>
      </w:r>
      <w:bookmarkEnd w:id="104"/>
    </w:p>
    <w:p>
      <w:pPr>
        <w:pStyle w:val="HOMEBRBodyText"/>
        <w:spacing w:line="300" w:lineRule="exact"/>
        <w:rPr>
          <w:rFonts w:ascii="Verdana" w:hAnsi="Verdana" w:cs="Arial"/>
        </w:rPr>
      </w:pPr>
      <w:r>
        <w:rPr>
          <w:rFonts w:ascii="Verdana" w:hAnsi="Verdana" w:cs="Arial"/>
        </w:rPr>
        <w:t>As Debêntures não estarão sujeitas a resgate antecipado facultativo, total ou parcial, pela Emissora.</w:t>
      </w:r>
    </w:p>
    <w:p>
      <w:pPr>
        <w:pStyle w:val="Ttulo8"/>
        <w:keepNext w:val="0"/>
        <w:spacing w:line="300" w:lineRule="exact"/>
        <w:rPr>
          <w:rFonts w:ascii="Verdana" w:hAnsi="Verdana" w:cs="Arial"/>
          <w:lang w:val="pt-BR"/>
        </w:rPr>
      </w:pPr>
      <w:bookmarkStart w:id="107" w:name="_Toc484715986"/>
      <w:r>
        <w:rPr>
          <w:rFonts w:ascii="Verdana" w:hAnsi="Verdana" w:cs="Arial"/>
          <w:lang w:val="pt-BR"/>
        </w:rPr>
        <w:t>Amortização Extraordinária Facultativa</w:t>
      </w:r>
      <w:bookmarkEnd w:id="107"/>
    </w:p>
    <w:p>
      <w:pPr>
        <w:pStyle w:val="HOMEBRBodyText"/>
        <w:spacing w:line="300" w:lineRule="exact"/>
        <w:rPr>
          <w:rFonts w:ascii="Verdana" w:hAnsi="Verdana" w:cs="Arial"/>
        </w:rPr>
      </w:pPr>
      <w:r>
        <w:rPr>
          <w:rFonts w:ascii="Verdana" w:hAnsi="Verdana" w:cs="Arial"/>
        </w:rPr>
        <w:t>As Debêntures não estarão sujeitas a amortização extraordinária facultativa pela Emissora.</w:t>
      </w:r>
    </w:p>
    <w:p>
      <w:pPr>
        <w:pStyle w:val="Ttulo8"/>
        <w:keepNext w:val="0"/>
        <w:spacing w:line="300" w:lineRule="exact"/>
        <w:rPr>
          <w:rFonts w:ascii="Verdana" w:hAnsi="Verdana" w:cs="Arial"/>
          <w:lang w:val="pt-BR"/>
        </w:rPr>
      </w:pPr>
      <w:bookmarkStart w:id="108" w:name="_Ref483331773"/>
      <w:bookmarkStart w:id="109" w:name="_Toc484715987"/>
      <w:r>
        <w:rPr>
          <w:rFonts w:ascii="Verdana" w:hAnsi="Verdana" w:cs="Arial"/>
          <w:lang w:val="pt-BR"/>
        </w:rPr>
        <w:t>Aquisição Facultativa</w:t>
      </w:r>
      <w:bookmarkEnd w:id="105"/>
      <w:bookmarkEnd w:id="106"/>
      <w:bookmarkEnd w:id="108"/>
      <w:bookmarkEnd w:id="109"/>
    </w:p>
    <w:p>
      <w:pPr>
        <w:pStyle w:val="HOMEBRBodyText"/>
        <w:spacing w:line="300" w:lineRule="exact"/>
        <w:rPr>
          <w:rFonts w:ascii="Verdana" w:hAnsi="Verdana" w:cs="Arial"/>
          <w:bCs/>
          <w:spacing w:val="-6"/>
        </w:rPr>
      </w:pPr>
      <w:r>
        <w:rPr>
          <w:rFonts w:ascii="Verdana" w:hAnsi="Verdana" w:cs="Arial"/>
          <w:bCs/>
          <w:spacing w:val="-6"/>
        </w:rPr>
        <w:t>As Debêntures poderão ser adquiridas pela Emissora, no mercado secundário, condicionado ao aceite do respectivo Debenturista vendedor e observado o disposto no artigo 55, parágrafo 3º, da Lei das Sociedades por Ações, por valor igual ou inferior ao Valor Nominal Atualizado, devendo o fato constar do relatório da administração e das demonstrações financeiras, ou por valor superior ao Valor Nominal Atualizado, desde que observe as regras expedidas pela CVM. A aquisição facultativa poderá ocorrer após 2 anos contados da Data de Emissão, e observado o disposto na Lei nº 12.431 e na regulamentação aplicável da CVM e do CMN, ou antes de tal data, desde que venha a ser legalmente permitido, nos termos no artigo 1º, parágrafo 1º, inciso II da Lei nº 12.431, da regulamentação do CMN ou de outra legislação ou regulamentação aplicável.</w:t>
      </w:r>
    </w:p>
    <w:p>
      <w:pPr>
        <w:pStyle w:val="HOMEBRBodyText"/>
        <w:keepLines w:val="0"/>
        <w:spacing w:line="300" w:lineRule="exact"/>
        <w:rPr>
          <w:rFonts w:ascii="Verdana" w:hAnsi="Verdana" w:cs="Arial"/>
          <w:spacing w:val="-6"/>
        </w:rPr>
      </w:pPr>
      <w:r>
        <w:rPr>
          <w:rFonts w:ascii="Verdana" w:hAnsi="Verdana" w:cs="Arial"/>
          <w:spacing w:val="-6"/>
        </w:rPr>
        <w:t xml:space="preserve">As Debêntures que venham a ser adquiridas nos termos deste item “Aquisição Facultativa”, poderão: (i) ser canceladas, caso seja legalmente permitido, observado o disposto na Lei nº 12.431, nas regras expedidas pelo CMN e na regulamentação aplicável; </w:t>
      </w:r>
      <w:r>
        <w:rPr>
          <w:rFonts w:ascii="Verdana" w:hAnsi="Verdana" w:cs="Arial"/>
          <w:bCs/>
          <w:spacing w:val="-6"/>
        </w:rPr>
        <w:t>(ii)</w:t>
      </w:r>
      <w:r>
        <w:rPr>
          <w:rFonts w:ascii="Verdana" w:hAnsi="Verdana" w:cs="Arial"/>
          <w:spacing w:val="-6"/>
        </w:rPr>
        <w:t xml:space="preserve"> permanecer na tesouraria da Emissora; ou </w:t>
      </w:r>
      <w:r>
        <w:rPr>
          <w:rFonts w:ascii="Verdana" w:hAnsi="Verdana" w:cs="Arial"/>
          <w:bCs/>
          <w:spacing w:val="-6"/>
        </w:rPr>
        <w:t>(iii)</w:t>
      </w:r>
      <w:r>
        <w:rPr>
          <w:rFonts w:ascii="Verdana" w:hAnsi="Verdana" w:cs="Arial"/>
          <w:spacing w:val="-6"/>
        </w:rPr>
        <w:t xml:space="preserve"> ser novamente colocadas no mercado. As Debêntures adquiridas pela Emissora para permanência em tesouraria nos termos deste parágrafo, se e quando recolocadas no mercado, farão jus aos mesmos valores de atualização monetária e juros remuneratórios das demais Debêntures, conforme aplicável.</w:t>
      </w:r>
    </w:p>
    <w:p>
      <w:pPr>
        <w:pStyle w:val="HOMEBRBodyText"/>
        <w:keepLines w:val="0"/>
        <w:spacing w:line="300" w:lineRule="exact"/>
        <w:rPr>
          <w:rFonts w:ascii="Verdana" w:eastAsia="MS Mincho" w:hAnsi="Verdana" w:cs="Arial"/>
          <w:b/>
        </w:rPr>
      </w:pPr>
      <w:r>
        <w:rPr>
          <w:rFonts w:ascii="Verdana" w:eastAsia="MS Mincho" w:hAnsi="Verdana" w:cs="Arial"/>
          <w:b/>
        </w:rPr>
        <w:t xml:space="preserve">Para mais informações sobre a aquisição facultativa, veja a seção “Fatores de Risco Relacionados à Oferta e às Debêntures – As Debêntures poderão ser objeto de aquisição facultativa nos termos previstos na Escritura, o que poderá impactar de maneira adversa na liquidez das Debêntures no mercado secundário”, na </w:t>
      </w:r>
      <w:r>
        <w:rPr>
          <w:rFonts w:ascii="Verdana" w:eastAsia="Calibri" w:hAnsi="Verdana" w:cs="Arial"/>
          <w:b/>
        </w:rPr>
        <w:t>página [</w:t>
      </w:r>
      <w:r>
        <w:rPr>
          <w:rFonts w:ascii="Verdana" w:eastAsia="Calibri" w:hAnsi="Verdana" w:cs="Arial"/>
          <w:b/>
        </w:rPr>
        <w:sym w:font="Symbol" w:char="F0B7"/>
      </w:r>
      <w:r>
        <w:rPr>
          <w:rFonts w:ascii="Verdana" w:eastAsia="Calibri" w:hAnsi="Verdana" w:cs="Arial"/>
          <w:b/>
        </w:rPr>
        <w:t xml:space="preserve">] </w:t>
      </w:r>
      <w:r>
        <w:rPr>
          <w:rFonts w:ascii="Verdana" w:eastAsia="MS Mincho" w:hAnsi="Verdana" w:cs="Arial"/>
          <w:b/>
        </w:rPr>
        <w:t>deste Prospecto.</w:t>
      </w:r>
    </w:p>
    <w:p>
      <w:pPr>
        <w:pStyle w:val="Ttulo8"/>
        <w:keepNext w:val="0"/>
        <w:keepLines w:val="0"/>
        <w:spacing w:line="300" w:lineRule="exact"/>
        <w:rPr>
          <w:rFonts w:ascii="Verdana" w:hAnsi="Verdana" w:cs="Arial"/>
          <w:lang w:val="pt-BR"/>
        </w:rPr>
      </w:pPr>
      <w:bookmarkStart w:id="110" w:name="_Toc484715988"/>
      <w:r>
        <w:rPr>
          <w:rFonts w:ascii="Verdana" w:hAnsi="Verdana" w:cs="Arial"/>
          <w:lang w:val="pt-BR"/>
        </w:rPr>
        <w:t>Local de Pagamento</w:t>
      </w:r>
      <w:bookmarkEnd w:id="110"/>
    </w:p>
    <w:p>
      <w:pPr>
        <w:pStyle w:val="Ttulo8"/>
        <w:keepNext w:val="0"/>
        <w:keepLines w:val="0"/>
        <w:spacing w:line="300" w:lineRule="exact"/>
        <w:rPr>
          <w:rFonts w:ascii="Verdana" w:eastAsia="Calibri" w:hAnsi="Verdana" w:cs="Arial"/>
          <w:b w:val="0"/>
          <w:i w:val="0"/>
          <w:iCs w:val="0"/>
          <w:lang w:val="pt-BR"/>
        </w:rPr>
      </w:pPr>
      <w:bookmarkStart w:id="111" w:name="_Toc484715989"/>
      <w:r>
        <w:rPr>
          <w:rFonts w:ascii="Verdana" w:eastAsia="Calibri" w:hAnsi="Verdana" w:cs="Arial"/>
          <w:b w:val="0"/>
          <w:i w:val="0"/>
          <w:iCs w:val="0"/>
          <w:lang w:val="pt-BR"/>
        </w:rPr>
        <w:lastRenderedPageBreak/>
        <w:t xml:space="preserve">Os pagamentos a que fizerem jus as Debêntures serão efetuados pela Emissora no respectivo vencimento, conforme o caso: (a) utilizando-se os procedimentos adotados pela B3 ou pela B3 – Segmento Cetip UTVM, para as Debêntures custodiadas eletronicamente na B3 ou na B3 – Segmento Cetip UTVM, conforme o caso; (b) por meio do Banco Liquidante, para os Debenturistas que não tiverem suas Debêntures custodiadas eletronicamente na B3 e na B3 – Segmento Cetip UTVM; ou (c) na sede da Emissora, para os pagamentos que não possam ser realizados por meio do Banco Liquidante, B3 e/ou B3 – Segmento Cetip UTVM </w:t>
      </w:r>
    </w:p>
    <w:p>
      <w:pPr>
        <w:pStyle w:val="Ttulo8"/>
        <w:keepNext w:val="0"/>
        <w:keepLines w:val="0"/>
        <w:spacing w:line="300" w:lineRule="exact"/>
        <w:rPr>
          <w:rFonts w:ascii="Verdana" w:hAnsi="Verdana" w:cs="Arial"/>
          <w:lang w:val="pt-BR"/>
        </w:rPr>
      </w:pPr>
      <w:r>
        <w:rPr>
          <w:rFonts w:ascii="Verdana" w:hAnsi="Verdana" w:cs="Arial"/>
          <w:lang w:val="pt-BR"/>
        </w:rPr>
        <w:t>Encargos Moratórios</w:t>
      </w:r>
      <w:bookmarkEnd w:id="111"/>
    </w:p>
    <w:p>
      <w:pPr>
        <w:pStyle w:val="HOMEBRBodyText"/>
        <w:keepLines w:val="0"/>
        <w:spacing w:line="300" w:lineRule="exact"/>
        <w:rPr>
          <w:rFonts w:ascii="Verdana" w:hAnsi="Verdana" w:cs="Arial"/>
        </w:rPr>
      </w:pPr>
      <w:r>
        <w:rPr>
          <w:rFonts w:ascii="Verdana" w:eastAsia="Calibri" w:hAnsi="Verdana" w:cs="Arial"/>
        </w:rPr>
        <w:t>Sem prejuízo do pagamento da Atualização Monetária e dos Juros Remuneratórios, ocorrendo impontualidade no pagamento de qualquer quantia devida aos Debenturistas relativamente a qualquer obrigação decorrente da Escritura, sem prejuízo do disposto no item “Juros Remuneratórios das Debêntures” acima e observado o disposto no item “Vencimento Antecipado” abaixo, os débitos em atraso ficarão sujeitos a (i) juros de mora não compensatórios calculados à taxa de 1% ao mês sobre o montante devido e não pago; e (ii) multa moratória convencional, irredutível e de natureza não compensatória, de 2% sobre o valor devido e não pago. Os Encargos Moratórios ora estabelecidos incidirão desde o efetivo descumprimento da obrigação respectiva até a data do seu efetivo pagamento, independentemente de aviso, notificação ou interpelação judicial ou extrajudicial.</w:t>
      </w:r>
    </w:p>
    <w:p>
      <w:pPr>
        <w:pStyle w:val="Ttulo8"/>
        <w:keepNext w:val="0"/>
        <w:keepLines w:val="0"/>
        <w:spacing w:line="300" w:lineRule="exact"/>
        <w:rPr>
          <w:rFonts w:ascii="Verdana" w:hAnsi="Verdana" w:cs="Arial"/>
          <w:lang w:val="pt-BR"/>
        </w:rPr>
      </w:pPr>
      <w:bookmarkStart w:id="112" w:name="_Toc484715990"/>
      <w:r>
        <w:rPr>
          <w:rFonts w:ascii="Verdana" w:hAnsi="Verdana" w:cs="Arial"/>
          <w:lang w:val="pt-BR"/>
        </w:rPr>
        <w:t>Decadência dos Direitos aos Acréscimos</w:t>
      </w:r>
      <w:bookmarkEnd w:id="112"/>
    </w:p>
    <w:p>
      <w:pPr>
        <w:pStyle w:val="HOMEBRBodyText"/>
        <w:keepLines w:val="0"/>
        <w:spacing w:line="300" w:lineRule="exact"/>
        <w:rPr>
          <w:rFonts w:ascii="Verdana" w:hAnsi="Verdana" w:cs="Arial"/>
        </w:rPr>
      </w:pPr>
      <w:r>
        <w:rPr>
          <w:rFonts w:ascii="Verdana" w:hAnsi="Verdana" w:cs="Arial"/>
        </w:rPr>
        <w:t>O não comparecimento do Debenturista para receber o valor correspondente a quaisquer das obrigações pecuniárias da Emissora, nas datas previstas na Escritura ou em comunicado publicado pela Emissora, não lhe dará direito ao recebimento de qualquer remuneração adicional e/ou Encargos Moratórios no período relativo ao atraso no recebimento, sendo-lhe, todavia, assegurados os direitos adquiridos até a data do respectivo vencimento.</w:t>
      </w:r>
    </w:p>
    <w:p>
      <w:pPr>
        <w:pStyle w:val="Ttulo8"/>
        <w:keepNext w:val="0"/>
        <w:keepLines w:val="0"/>
        <w:spacing w:line="300" w:lineRule="exact"/>
        <w:rPr>
          <w:rFonts w:ascii="Verdana" w:hAnsi="Verdana" w:cs="Arial"/>
          <w:lang w:val="pt-BR"/>
        </w:rPr>
      </w:pPr>
      <w:bookmarkStart w:id="113" w:name="_Ref420336525"/>
      <w:bookmarkStart w:id="114" w:name="_Toc484715991"/>
      <w:r>
        <w:rPr>
          <w:rFonts w:ascii="Verdana" w:hAnsi="Verdana" w:cs="Arial"/>
          <w:lang w:val="pt-BR"/>
        </w:rPr>
        <w:t>Publicidade</w:t>
      </w:r>
      <w:bookmarkEnd w:id="113"/>
      <w:bookmarkEnd w:id="114"/>
    </w:p>
    <w:p>
      <w:pPr>
        <w:pStyle w:val="HOMEBRBodyText"/>
        <w:keepLines w:val="0"/>
        <w:spacing w:line="300" w:lineRule="exact"/>
        <w:rPr>
          <w:rFonts w:ascii="Verdana" w:hAnsi="Verdana" w:cs="Arial"/>
        </w:rPr>
      </w:pPr>
      <w:r>
        <w:rPr>
          <w:rFonts w:ascii="Verdana" w:hAnsi="Verdana" w:cs="Arial"/>
        </w:rPr>
        <w:t xml:space="preserve">O Aviso ao Mercado, o Anúncio de Início da Oferta e o Anúncio de Encerramento da Oferta serão divulgados na página da Emissora na rede mundial de computadores (http://ri.rumolog.com). Todos os demais atos e decisões a serem tomados em decorrência da Oferta que, de qualquer forma, vierem a envolver interesses dos Debenturistas, também deverão ser obrigatoriamente comunicados na forma de avisos, a serem divulgados na página da Emissora na rede mundial de computadores (http://ri.rumolog.com), sempre imediatamente após a ciência do ato a ser divulgado, devendo os prazos para manifestação dos Debenturistas, caso seja necessário, obedecer ao disposto na legislação em vigor, na Escritura ou, na falta de disposição expressa, ser de, no mínimo, 10 (dez) dias contados da data da divulgação do Aviso aos Debenturistas em questão.  </w:t>
      </w:r>
    </w:p>
    <w:p>
      <w:pPr>
        <w:pStyle w:val="Ttulo8"/>
        <w:keepNext w:val="0"/>
        <w:keepLines w:val="0"/>
        <w:spacing w:line="300" w:lineRule="exact"/>
        <w:rPr>
          <w:rFonts w:ascii="Verdana" w:hAnsi="Verdana" w:cs="Arial"/>
          <w:lang w:val="pt-BR"/>
        </w:rPr>
      </w:pPr>
      <w:bookmarkStart w:id="115" w:name="_Ref434936272"/>
      <w:bookmarkStart w:id="116" w:name="_Toc484715992"/>
      <w:r>
        <w:rPr>
          <w:rFonts w:ascii="Verdana" w:hAnsi="Verdana" w:cs="Arial"/>
          <w:lang w:val="pt-BR"/>
        </w:rPr>
        <w:lastRenderedPageBreak/>
        <w:t>Tratamento Tributário</w:t>
      </w:r>
      <w:bookmarkEnd w:id="115"/>
      <w:bookmarkEnd w:id="116"/>
    </w:p>
    <w:p>
      <w:pPr>
        <w:pStyle w:val="HOMEBRBodyText"/>
        <w:keepLines w:val="0"/>
        <w:spacing w:line="300" w:lineRule="exact"/>
        <w:rPr>
          <w:rFonts w:ascii="Verdana" w:hAnsi="Verdana" w:cs="Arial"/>
        </w:rPr>
      </w:pPr>
      <w:bookmarkStart w:id="117" w:name="_DV_C281"/>
      <w:r>
        <w:rPr>
          <w:rFonts w:ascii="Verdana" w:hAnsi="Verdana" w:cs="Arial"/>
          <w:bCs/>
        </w:rPr>
        <w:t xml:space="preserve">As Debêntures gozam do tratamento tributário previsto no artigo 2° da Lei n° 12.431. Caso qualquer Debenturista tenha tratamento tributário diferente daquele previsto na Lei n° 12.431, este deverá encaminhar ao Banco </w:t>
      </w:r>
      <w:r>
        <w:rPr>
          <w:rFonts w:ascii="Verdana" w:hAnsi="Verdana" w:cs="Arial"/>
        </w:rPr>
        <w:t>Liquidante</w:t>
      </w:r>
      <w:r>
        <w:rPr>
          <w:rFonts w:ascii="Verdana" w:hAnsi="Verdana" w:cs="Arial"/>
          <w:bCs/>
        </w:rPr>
        <w:t xml:space="preserve">, no prazo mínimo de 10 Dias Úteis anteriores à data prevista para recebimento de valores relativos às Debêntures, documentação comprobatória do referido tratamento tributário julgada apropriada pelo Banco </w:t>
      </w:r>
      <w:r>
        <w:rPr>
          <w:rFonts w:ascii="Verdana" w:hAnsi="Verdana" w:cs="Arial"/>
        </w:rPr>
        <w:t>Liquidante</w:t>
      </w:r>
      <w:r>
        <w:rPr>
          <w:rFonts w:ascii="Verdana" w:hAnsi="Verdana" w:cs="Arial"/>
          <w:bCs/>
        </w:rPr>
        <w:t>, sob pena de ter descontado de seus pagamentos os valores devidos nos termos da legislação tributária em vigor.</w:t>
      </w:r>
      <w:bookmarkEnd w:id="117"/>
    </w:p>
    <w:p>
      <w:pPr>
        <w:pStyle w:val="HOMEBRBodyText"/>
        <w:keepLines w:val="0"/>
        <w:spacing w:line="300" w:lineRule="exact"/>
        <w:rPr>
          <w:rFonts w:ascii="Verdana" w:hAnsi="Verdana" w:cs="Arial"/>
        </w:rPr>
      </w:pPr>
      <w:r>
        <w:rPr>
          <w:rFonts w:ascii="Verdana" w:hAnsi="Verdana" w:cs="Arial"/>
          <w:bCs/>
        </w:rPr>
        <w:t>Mesmo que tenha recebido a documentação comprobatória referida neste item “Tratamento Tributário”, e desde que tenha fundamento legal para tanto, fica facultado à Emissora depositar em juízo a tributação que entender devida.</w:t>
      </w:r>
    </w:p>
    <w:p>
      <w:pPr>
        <w:pStyle w:val="HOMEBRBodyText"/>
        <w:keepLines w:val="0"/>
        <w:spacing w:after="240" w:line="300" w:lineRule="exact"/>
        <w:contextualSpacing/>
        <w:rPr>
          <w:rFonts w:ascii="Verdana" w:hAnsi="Verdana" w:cs="Arial"/>
        </w:rPr>
      </w:pPr>
      <w:r>
        <w:rPr>
          <w:rFonts w:ascii="Verdana" w:hAnsi="Verdana" w:cs="Arial"/>
          <w:bCs/>
        </w:rPr>
        <w:t>Caso a Emissora não utilize os recursos obtidos com a colocação das Debêntures na forma prevista na seção “Destinação dos Recursos” deste Prospecto, dando causa ao seu desenquadramento nos termos do parágrafo 8º do artigo 1º da Lei n° 12.431, esta será responsável pela multa a ser paga nos termos da Lei n° 12.431, equivalente a 20% (vinte por cento) do valor captado e não alocado no Projeto.</w:t>
      </w:r>
    </w:p>
    <w:p>
      <w:pPr>
        <w:pStyle w:val="Level3"/>
        <w:numPr>
          <w:ilvl w:val="0"/>
          <w:numId w:val="0"/>
        </w:numPr>
        <w:tabs>
          <w:tab w:val="left" w:pos="1134"/>
        </w:tabs>
        <w:spacing w:after="240" w:line="300" w:lineRule="exact"/>
        <w:contextualSpacing/>
        <w:outlineLvl w:val="2"/>
        <w:rPr>
          <w:rFonts w:ascii="Verdana" w:hAnsi="Verdana" w:cs="Arial"/>
          <w:szCs w:val="20"/>
          <w:lang w:val="pt-BR"/>
        </w:rPr>
      </w:pPr>
      <w:bookmarkStart w:id="118" w:name="_Ref530738843"/>
      <w:r>
        <w:rPr>
          <w:rFonts w:ascii="Verdana" w:hAnsi="Verdana" w:cs="Arial"/>
          <w:szCs w:val="20"/>
          <w:lang w:val="pt-BR"/>
        </w:rPr>
        <w:t xml:space="preserve">Sem prejuízo do disposto no parágrafo acima, caso a qualquer momento durante a vigência da presente Emissão e até a data da liquidação integral das Debêntures: (i) as Debêntures deixem de gozar do tratamento tributário previsto na Lei nº 12.431; ou (ii) haja qualquer retenção de tributos sobre os rendimentos das Debêntures, por qualquer motivo, inclusive mas não se limitando, em razão de revogação ou alteração da Lei nº 12.431 ou edição de lei determinando a incidência de imposto de renda retido na fonte ou quaisquer outros tributos sobre os rendimentos das Debêntures, em qualquer das hipóteses, a Emissora:  </w:t>
      </w:r>
    </w:p>
    <w:p>
      <w:pPr>
        <w:pStyle w:val="Level5"/>
        <w:numPr>
          <w:ilvl w:val="4"/>
          <w:numId w:val="33"/>
        </w:numPr>
        <w:tabs>
          <w:tab w:val="clear" w:pos="2721"/>
          <w:tab w:val="left" w:pos="709"/>
        </w:tabs>
        <w:spacing w:after="240" w:line="300" w:lineRule="exact"/>
        <w:ind w:left="0" w:firstLine="0"/>
        <w:contextualSpacing/>
        <w:rPr>
          <w:rFonts w:ascii="Verdana" w:hAnsi="Verdana" w:cs="Arial"/>
          <w:lang w:val="pt-BR"/>
        </w:rPr>
      </w:pPr>
      <w:r>
        <w:rPr>
          <w:rFonts w:ascii="Verdana" w:hAnsi="Verdana" w:cs="Arial"/>
          <w:lang w:val="pt-BR"/>
        </w:rPr>
        <w:t>deverá arcar com todos os tributos que venham a ser devidos pelos Debenturistas, bem como com qualquer multa a ser paga nos termos da Lei nº 12.431, se aplicável, de modo que a Emissora deverá acrescer aos pagamentos de Atualização Monetária e Juros Remuneratórios valores adicionais suficientes para que os Debenturistas recebam tais pagamentos como se os referidos valores não fossem incidentes; ou</w:t>
      </w:r>
    </w:p>
    <w:p>
      <w:pPr>
        <w:pStyle w:val="Level5"/>
        <w:numPr>
          <w:ilvl w:val="0"/>
          <w:numId w:val="0"/>
        </w:numPr>
        <w:tabs>
          <w:tab w:val="left" w:pos="709"/>
        </w:tabs>
        <w:spacing w:after="240" w:line="300" w:lineRule="exact"/>
        <w:contextualSpacing/>
        <w:rPr>
          <w:rFonts w:ascii="Verdana" w:hAnsi="Verdana" w:cs="Arial"/>
          <w:lang w:val="pt-BR"/>
        </w:rPr>
      </w:pPr>
    </w:p>
    <w:p>
      <w:pPr>
        <w:pStyle w:val="Level5"/>
        <w:numPr>
          <w:ilvl w:val="4"/>
          <w:numId w:val="33"/>
        </w:numPr>
        <w:tabs>
          <w:tab w:val="clear" w:pos="2721"/>
          <w:tab w:val="left" w:pos="709"/>
        </w:tabs>
        <w:spacing w:after="240" w:line="300" w:lineRule="exact"/>
        <w:ind w:left="0" w:firstLine="0"/>
        <w:contextualSpacing/>
        <w:rPr>
          <w:rFonts w:ascii="Verdana" w:hAnsi="Verdana" w:cs="Arial"/>
          <w:bCs/>
          <w:lang w:val="pt-BR"/>
        </w:rPr>
      </w:pPr>
      <w:r>
        <w:rPr>
          <w:rFonts w:ascii="Verdana" w:hAnsi="Verdana" w:cs="Arial"/>
          <w:lang w:val="pt-BR"/>
        </w:rPr>
        <w:t xml:space="preserve">sem prejuízo do disposto na alínea “(a)”, acima, estará autorizada, a seu exclusivo critério, a realizar resgate antecipado para a totalidade das Debêntures, independentemente de qualquer procedimento ou aprovação, desde que permitido pela legislação e regulamentação aplicáveis, </w:t>
      </w:r>
      <w:r>
        <w:rPr>
          <w:rStyle w:val="DeltaViewInsertion"/>
          <w:rFonts w:ascii="Verdana" w:hAnsi="Verdana" w:cs="Arial"/>
          <w:color w:val="auto"/>
          <w:u w:val="none"/>
          <w:lang w:val="pt-BR"/>
        </w:rPr>
        <w:t>incluindo, sem limitação, as regras expedidas pelo CMN</w:t>
      </w:r>
      <w:r>
        <w:rPr>
          <w:rFonts w:ascii="Verdana" w:hAnsi="Verdana" w:cs="Arial"/>
          <w:lang w:val="pt-BR"/>
        </w:rPr>
        <w:t xml:space="preserve">. Até que o resgate decorrente do resgate antecipado previsto acima seja realizado, a Emissora deverá arcar com todos os tributos que venham a ser devidos pelos Debenturistas, bem como com qualquer multa a ser paga nos termos da Lei nº 12.431, se aplicável, de modo que a Emissora deverá acrescer aos pagamentos de </w:t>
      </w:r>
      <w:r>
        <w:rPr>
          <w:rFonts w:ascii="Verdana" w:hAnsi="Verdana" w:cs="Arial"/>
          <w:lang w:val="pt-BR"/>
        </w:rPr>
        <w:lastRenderedPageBreak/>
        <w:t>Atualização Monetária e Juros Remuneratórios, valores adicionais suficientes para que os Debenturistas recebam tais pagamentos como se os referidos valores não fossem incidentes</w:t>
      </w:r>
      <w:bookmarkEnd w:id="118"/>
      <w:r>
        <w:rPr>
          <w:rFonts w:ascii="Verdana" w:hAnsi="Verdana" w:cs="Arial"/>
          <w:lang w:val="pt-BR"/>
        </w:rPr>
        <w:t>, sendo certo que tais pagamentos serão realizados fora do âmbito da B3 ou da B3 – Segmento CETIP UTVM.</w:t>
      </w:r>
    </w:p>
    <w:p>
      <w:pPr>
        <w:pStyle w:val="HOMEBRBodyText"/>
        <w:spacing w:line="300" w:lineRule="exact"/>
        <w:rPr>
          <w:rFonts w:ascii="Verdana" w:hAnsi="Verdana" w:cs="Arial"/>
          <w:b/>
        </w:rPr>
      </w:pPr>
      <w:r>
        <w:rPr>
          <w:rFonts w:ascii="Verdana" w:hAnsi="Verdana" w:cs="Arial"/>
          <w:b/>
        </w:rPr>
        <w:t xml:space="preserve">Para mais informações sobre o Tratamento Tributário, veja a seção “Fatores de Risco Relacionados à Oferta e às Debêntures – </w:t>
      </w:r>
      <w:r>
        <w:rPr>
          <w:rFonts w:ascii="Verdana" w:hAnsi="Verdana" w:cs="Arial"/>
          <w:b/>
          <w:lang w:eastAsia="pt-BR"/>
        </w:rPr>
        <w:t xml:space="preserve">Caso as Debêntures deixem de satisfazer determinadas características que as enquadrem como Debêntures de Infraestrutura, a Emissora não pode garantir que elas continuarão a receber o tratamento tributário diferenciado previsto na Lei 12.431, inclusive, a Emissora </w:t>
      </w:r>
      <w:r>
        <w:rPr>
          <w:rFonts w:ascii="Verdana" w:hAnsi="Verdana" w:cs="Arial"/>
          <w:b/>
          <w:iCs/>
          <w:lang w:eastAsia="pt-BR"/>
        </w:rPr>
        <w:t>não pode garantir que a Lei 12.431 não será novamente alterada, questionada, extinta ou substituída por leis mais restritivas</w:t>
      </w:r>
      <w:r>
        <w:rPr>
          <w:rFonts w:ascii="Verdana" w:hAnsi="Verdana" w:cs="Arial"/>
          <w:b/>
        </w:rPr>
        <w:t xml:space="preserve">”, na </w:t>
      </w:r>
      <w:r>
        <w:rPr>
          <w:rFonts w:ascii="Verdana" w:eastAsia="Calibri" w:hAnsi="Verdana" w:cs="Arial"/>
          <w:b/>
        </w:rPr>
        <w:t>página [</w:t>
      </w:r>
      <w:r>
        <w:rPr>
          <w:rFonts w:ascii="Verdana" w:eastAsia="Calibri" w:hAnsi="Verdana" w:cs="Arial"/>
          <w:b/>
        </w:rPr>
        <w:sym w:font="Symbol" w:char="F0B7"/>
      </w:r>
      <w:r>
        <w:rPr>
          <w:rFonts w:ascii="Verdana" w:eastAsia="Calibri" w:hAnsi="Verdana" w:cs="Arial"/>
          <w:b/>
        </w:rPr>
        <w:t>]</w:t>
      </w:r>
      <w:r>
        <w:rPr>
          <w:rFonts w:ascii="Verdana" w:hAnsi="Verdana" w:cs="Arial"/>
          <w:b/>
        </w:rPr>
        <w:t xml:space="preserve"> deste Prospecto.</w:t>
      </w:r>
    </w:p>
    <w:p>
      <w:pPr>
        <w:pStyle w:val="HOMEBRNOTOCH4"/>
        <w:spacing w:line="300" w:lineRule="exact"/>
        <w:outlineLvl w:val="0"/>
        <w:rPr>
          <w:rFonts w:ascii="Verdana" w:hAnsi="Verdana" w:cs="Arial"/>
        </w:rPr>
      </w:pPr>
      <w:r>
        <w:rPr>
          <w:rFonts w:ascii="Verdana" w:hAnsi="Verdana" w:cs="Arial"/>
        </w:rPr>
        <w:t>Resgate Obrigatório</w:t>
      </w:r>
    </w:p>
    <w:p>
      <w:pPr>
        <w:pStyle w:val="HOMEBRBodyText"/>
        <w:spacing w:line="300" w:lineRule="exact"/>
        <w:rPr>
          <w:rFonts w:ascii="Verdana" w:hAnsi="Verdana" w:cs="Arial"/>
          <w:bCs/>
          <w:spacing w:val="-2"/>
        </w:rPr>
      </w:pPr>
      <w:r>
        <w:rPr>
          <w:rFonts w:ascii="Verdana" w:hAnsi="Verdana" w:cs="Arial"/>
          <w:bCs/>
          <w:spacing w:val="-2"/>
        </w:rPr>
        <w:t xml:space="preserve">Desde que o resgate antecipado das Debêntures venha a ser novamente permitido nos termos da legislação ou regulamentação aplicáveis, na ocorrência do evento descrito no item “Indisponibilidade do IPCA” acima, a Emissora deverá, observado o disposto no inciso II do artigo 1º, §1º, da Lei nº 12.431 e legislação ou regulamentação aplicáveis, após o prazo que eventualmente venha a ser exigido pela legislação ou regulamentação aplicáveis, realizar o resgate antecipado da totalidade das Debêntures, pelo seu Valor Nominal Atualizado, acrescido dos Juros Remuneratórios, calculados </w:t>
      </w:r>
      <w:r>
        <w:rPr>
          <w:rFonts w:ascii="Verdana" w:hAnsi="Verdana" w:cs="Arial"/>
          <w:bCs/>
          <w:i/>
          <w:iCs/>
          <w:spacing w:val="-2"/>
        </w:rPr>
        <w:t>pro rata temporis</w:t>
      </w:r>
      <w:r>
        <w:rPr>
          <w:rFonts w:ascii="Verdana" w:hAnsi="Verdana" w:cs="Arial"/>
          <w:bCs/>
          <w:spacing w:val="-2"/>
        </w:rPr>
        <w:t>, desde a Primeira Data de Integralização, ou desde a Data de Pagamento dos Juros Remuneratórios imediatamente anterior, conforme o caso, até a data do resgate, bem como Encargos Moratórios, se houver, e quaisquer outros valores eventualmente devidos pela Emissora, sem pagamento de qualquer prêmio.</w:t>
      </w:r>
    </w:p>
    <w:p>
      <w:pPr>
        <w:pStyle w:val="HOMEBRBodyText"/>
        <w:spacing w:line="300" w:lineRule="exact"/>
        <w:rPr>
          <w:rFonts w:ascii="Verdana" w:hAnsi="Verdana" w:cs="Arial"/>
        </w:rPr>
      </w:pPr>
      <w:r>
        <w:rPr>
          <w:rFonts w:ascii="Verdana" w:hAnsi="Verdana" w:cs="Arial"/>
          <w:bCs/>
        </w:rPr>
        <w:t>O Resgate Obrigatório será realizado mediante a divulgação ou envio da Notificação de Resgate Obrigatório, com 5 Dias Úteis de antecedência da Data do Resgate Obrigatório, sendo que na referida Notificação de Resgate Obrigatório deverá constar: (i) a Data do Resgate Obrigatório; (ii) a forma de cálculo do Valor do Resgate Obrigatório; e (iii) outras informações necessárias à operacionalização do Resgate Obrigatório e que sejam consideradas relevantes pela Emissora para conhecimento dos Debenturistas.</w:t>
      </w:r>
    </w:p>
    <w:p>
      <w:pPr>
        <w:pStyle w:val="HOMEBRBodyText"/>
        <w:spacing w:line="300" w:lineRule="exact"/>
        <w:rPr>
          <w:rFonts w:ascii="Verdana" w:hAnsi="Verdana" w:cs="Arial"/>
          <w:bCs/>
        </w:rPr>
      </w:pPr>
      <w:r>
        <w:rPr>
          <w:rFonts w:ascii="Verdana" w:hAnsi="Verdana" w:cs="Arial"/>
          <w:bCs/>
        </w:rPr>
        <w:t xml:space="preserve">O Resgate Obrigatório será realizado de acordo com: (i) os procedimentos estabelecidos pela </w:t>
      </w:r>
      <w:r>
        <w:rPr>
          <w:rFonts w:ascii="Verdana" w:hAnsi="Verdana" w:cs="Arial"/>
        </w:rPr>
        <w:t>B3</w:t>
      </w:r>
      <w:r>
        <w:rPr>
          <w:rFonts w:ascii="Verdana" w:hAnsi="Verdana" w:cs="Arial"/>
          <w:bCs/>
        </w:rPr>
        <w:t xml:space="preserve">, para as Debêntures que estiverem custodiadas eletronicamente na </w:t>
      </w:r>
      <w:r>
        <w:rPr>
          <w:rFonts w:ascii="Verdana" w:hAnsi="Verdana" w:cs="Arial"/>
        </w:rPr>
        <w:t>B3</w:t>
      </w:r>
      <w:r>
        <w:rPr>
          <w:rFonts w:ascii="Verdana" w:hAnsi="Verdana" w:cs="Arial"/>
          <w:bCs/>
        </w:rPr>
        <w:t xml:space="preserve">; (ii) os procedimentos estabelecidos pela </w:t>
      </w:r>
      <w:r>
        <w:rPr>
          <w:rFonts w:ascii="Verdana" w:hAnsi="Verdana" w:cs="Arial"/>
        </w:rPr>
        <w:t>B3 – Segmento Cetip UTVM</w:t>
      </w:r>
      <w:r>
        <w:rPr>
          <w:rFonts w:ascii="Verdana" w:hAnsi="Verdana" w:cs="Arial"/>
          <w:bCs/>
        </w:rPr>
        <w:t xml:space="preserve">, para as Debêntures que estiverem custodiadas eletronicamente na </w:t>
      </w:r>
      <w:r>
        <w:rPr>
          <w:rFonts w:ascii="Verdana" w:hAnsi="Verdana" w:cs="Arial"/>
        </w:rPr>
        <w:t>B3 – Segmento Cetip UTVM</w:t>
      </w:r>
      <w:r>
        <w:rPr>
          <w:rFonts w:ascii="Verdana" w:hAnsi="Verdana" w:cs="Arial"/>
          <w:bCs/>
        </w:rPr>
        <w:t xml:space="preserve">; ou (iii) os procedimentos adotados pelo Banco Liquidante, para as Debêntures que não estiverem custodiadas eletronicamente na </w:t>
      </w:r>
      <w:r>
        <w:rPr>
          <w:rFonts w:ascii="Verdana" w:hAnsi="Verdana" w:cs="Arial"/>
        </w:rPr>
        <w:t>B3</w:t>
      </w:r>
      <w:r>
        <w:rPr>
          <w:rFonts w:ascii="Verdana" w:hAnsi="Verdana" w:cs="Arial"/>
          <w:bCs/>
        </w:rPr>
        <w:t>.</w:t>
      </w:r>
    </w:p>
    <w:p>
      <w:pPr>
        <w:pStyle w:val="HOMEBRBodyText"/>
        <w:spacing w:line="300" w:lineRule="exact"/>
        <w:rPr>
          <w:rFonts w:ascii="Verdana" w:hAnsi="Verdana" w:cs="Arial"/>
        </w:rPr>
      </w:pPr>
      <w:r>
        <w:rPr>
          <w:rFonts w:ascii="Verdana" w:hAnsi="Verdana" w:cs="Arial"/>
        </w:rPr>
        <w:t>As Debêntures resgatadas pela Emissora serão obrigatoriamente canceladas.</w:t>
      </w:r>
    </w:p>
    <w:p>
      <w:pPr>
        <w:pStyle w:val="HOMEBRBodyText"/>
        <w:spacing w:line="300" w:lineRule="exact"/>
        <w:rPr>
          <w:rFonts w:ascii="Verdana" w:hAnsi="Verdana" w:cs="Arial"/>
        </w:rPr>
      </w:pPr>
      <w:r>
        <w:rPr>
          <w:rFonts w:ascii="Verdana" w:hAnsi="Verdana" w:cs="Arial"/>
        </w:rPr>
        <w:t>Não será admitido o Resgate Obrigatório parcial das Debêntures.</w:t>
      </w:r>
    </w:p>
    <w:p>
      <w:pPr>
        <w:pStyle w:val="HOMEBRBodyText"/>
        <w:spacing w:line="300" w:lineRule="exact"/>
        <w:rPr>
          <w:rFonts w:ascii="Verdana" w:hAnsi="Verdana" w:cs="Arial"/>
        </w:rPr>
      </w:pPr>
      <w:r>
        <w:rPr>
          <w:rFonts w:ascii="Verdana" w:hAnsi="Verdana" w:cs="Arial"/>
        </w:rPr>
        <w:lastRenderedPageBreak/>
        <w:t>Todos os custos decorrentes do Resgate Obrigatório serão integralmente arcados pela Emissora.</w:t>
      </w:r>
    </w:p>
    <w:p>
      <w:pPr>
        <w:pStyle w:val="HOMEBRBodyText"/>
        <w:spacing w:line="300" w:lineRule="exact"/>
        <w:rPr>
          <w:rFonts w:ascii="Verdana" w:hAnsi="Verdana" w:cs="Arial"/>
        </w:rPr>
      </w:pPr>
      <w:r>
        <w:rPr>
          <w:rFonts w:ascii="Verdana" w:hAnsi="Verdana" w:cs="Arial"/>
        </w:rPr>
        <w:t>Para mais informações acerca do Resgate Obrigatório, veja a seção “Fatores de Risco Relacionados à Oferta e às Debêntures - As Debêntures poderão ser objeto de Resgate Obrigatório nas hipóteses previstas na Escritura”, na página [</w:t>
      </w:r>
      <w:r>
        <w:rPr>
          <w:rFonts w:ascii="Verdana" w:hAnsi="Verdana" w:cs="Arial"/>
        </w:rPr>
        <w:sym w:font="Symbol" w:char="F0B7"/>
      </w:r>
      <w:r>
        <w:rPr>
          <w:rFonts w:ascii="Verdana" w:hAnsi="Verdana" w:cs="Arial"/>
        </w:rPr>
        <w:t>] deste Prospecto Preliminar.</w:t>
      </w:r>
    </w:p>
    <w:p>
      <w:pPr>
        <w:pStyle w:val="Ttulo8"/>
        <w:spacing w:line="300" w:lineRule="exact"/>
        <w:rPr>
          <w:rFonts w:ascii="Verdana" w:hAnsi="Verdana" w:cs="Arial"/>
          <w:lang w:val="pt-BR"/>
        </w:rPr>
      </w:pPr>
      <w:bookmarkStart w:id="119" w:name="_Toc426520143"/>
      <w:bookmarkStart w:id="120" w:name="_Toc484715993"/>
      <w:r>
        <w:rPr>
          <w:rFonts w:ascii="Verdana" w:hAnsi="Verdana" w:cs="Arial"/>
          <w:lang w:val="pt-BR"/>
        </w:rPr>
        <w:t>Prorrogação dos Prazos</w:t>
      </w:r>
      <w:bookmarkEnd w:id="119"/>
      <w:bookmarkEnd w:id="120"/>
    </w:p>
    <w:p>
      <w:pPr>
        <w:pStyle w:val="HOMEBRBodyText"/>
        <w:spacing w:line="300" w:lineRule="exact"/>
        <w:rPr>
          <w:rFonts w:ascii="Verdana" w:hAnsi="Verdana" w:cs="Arial"/>
        </w:rPr>
      </w:pPr>
      <w:r>
        <w:rPr>
          <w:rFonts w:ascii="Verdana" w:hAnsi="Verdana" w:cs="Arial"/>
        </w:rPr>
        <w:t xml:space="preserve">Considerar-se-ão prorrogados os prazos referentes ao pagamento de qualquer obrigação até o 1º Dia Útil subsequente se o vencimento coincidir com dia que não seja Dia Útil, sem qualquer acréscimo aos valores a serem pagos.  </w:t>
      </w:r>
    </w:p>
    <w:p>
      <w:pPr>
        <w:pStyle w:val="Ttulo8"/>
        <w:spacing w:line="300" w:lineRule="exact"/>
        <w:rPr>
          <w:rFonts w:ascii="Verdana" w:hAnsi="Verdana" w:cs="Arial"/>
          <w:lang w:val="pt-BR"/>
        </w:rPr>
      </w:pPr>
      <w:bookmarkStart w:id="121" w:name="_Toc484715994"/>
      <w:r>
        <w:rPr>
          <w:rFonts w:ascii="Verdana" w:hAnsi="Verdana" w:cs="Arial"/>
          <w:lang w:val="pt-BR"/>
        </w:rPr>
        <w:t>Classificação de Risco</w:t>
      </w:r>
      <w:bookmarkEnd w:id="121"/>
    </w:p>
    <w:p>
      <w:pPr>
        <w:pStyle w:val="HOMEBRBodyText"/>
        <w:spacing w:line="300" w:lineRule="exact"/>
        <w:rPr>
          <w:rFonts w:ascii="Verdana" w:hAnsi="Verdana" w:cs="Arial"/>
        </w:rPr>
      </w:pPr>
      <w:r>
        <w:rPr>
          <w:rFonts w:ascii="Verdana" w:hAnsi="Verdana" w:cs="Arial"/>
        </w:rPr>
        <w:t>Foi contratada como agência de classificação de risco da Oferta a Fitch Ratings Brasil Ltda., a qual atribuiu o rating “[</w:t>
      </w:r>
      <w:r>
        <w:rPr>
          <w:rFonts w:ascii="Verdana" w:hAnsi="Verdana" w:cs="Arial"/>
        </w:rPr>
        <w:sym w:font="Symbol" w:char="F0B7"/>
      </w:r>
      <w:r>
        <w:rPr>
          <w:rFonts w:ascii="Verdana" w:hAnsi="Verdana" w:cs="Arial"/>
        </w:rPr>
        <w:t>]” para as Debêntures. Durante o prazo de vigência das Debêntures, a Emissora deverá contratar e manter contratada, às suas expensas, a Agência de Classificação de Risco para atribuir classificação de risco as Debêntures, bem como manter o rating válido e atualizado, pelo menos anualmente, observado que, caso a agência de classificação de risco contratada cesse suas atividades no Brasil ou, por qualquer motivo, esteja ou seja impedida de emitir a classificação de risco das Debêntures, a Emissora deverá: (a) contratar outra agência de classificação de risco sem necessidade de aprovação dos Debenturistas, bastando notificar o Agente Fiduciário, desde que tal agência de classificação de risco seja a Standard &amp; Poor's, a Fitch Ratings ou a Moody's, ou (b) mediante contratação de agência de classificação de risco que não as mencionadas anteriormente, conforme venha a ser aprovada pelos Debenturistas, em sede de Assembleia Geral de Debenturistas, a ser realizada nos termos da Escritura.</w:t>
      </w:r>
    </w:p>
    <w:p>
      <w:pPr>
        <w:pStyle w:val="HOMEBRBodyText"/>
        <w:spacing w:line="300" w:lineRule="exact"/>
        <w:rPr>
          <w:rFonts w:ascii="Verdana" w:hAnsi="Verdana" w:cs="Arial"/>
          <w:b/>
        </w:rPr>
      </w:pPr>
      <w:r>
        <w:rPr>
          <w:rFonts w:ascii="Verdana" w:hAnsi="Verdana" w:cs="Arial"/>
          <w:b/>
        </w:rPr>
        <w:t>Para mais informações sobre a classificação de risco das Debêntures, veja a Súmula de Classificação de Risco, anexa a este Prospecto Preliminar, e a seção “Fatores de Risco Relacionados à Oferta e às Debêntures - Eventual rebaixamento na classificação de risco atribuída às Debêntures e/ou à Emissora poderá dificultar a captação de recursos pela Emissora, bem como acarretar redução de liquidez das Debêntures para negociação no mercado secundário e impacto negativo relevante na Emissora”, na página [</w:t>
      </w:r>
      <w:r>
        <w:rPr>
          <w:rFonts w:ascii="Verdana" w:hAnsi="Verdana" w:cs="Arial"/>
          <w:b/>
        </w:rPr>
        <w:sym w:font="Symbol" w:char="F0B7"/>
      </w:r>
      <w:r>
        <w:rPr>
          <w:rFonts w:ascii="Verdana" w:hAnsi="Verdana" w:cs="Arial"/>
          <w:b/>
        </w:rPr>
        <w:t>] deste Prospecto Preliminar.</w:t>
      </w:r>
    </w:p>
    <w:p>
      <w:pPr>
        <w:pStyle w:val="Ttulo8"/>
        <w:spacing w:line="300" w:lineRule="exact"/>
        <w:rPr>
          <w:rFonts w:ascii="Verdana" w:hAnsi="Verdana" w:cs="Arial"/>
          <w:lang w:val="pt-BR"/>
        </w:rPr>
      </w:pPr>
      <w:bookmarkStart w:id="122" w:name="_Toc484715995"/>
      <w:r>
        <w:rPr>
          <w:rFonts w:ascii="Verdana" w:hAnsi="Verdana" w:cs="Arial"/>
          <w:lang w:val="pt-BR"/>
        </w:rPr>
        <w:t>Fundo de Liquidez e Estabilização</w:t>
      </w:r>
      <w:bookmarkEnd w:id="122"/>
    </w:p>
    <w:p>
      <w:pPr>
        <w:pStyle w:val="HOMEBRBodyText"/>
        <w:spacing w:line="300" w:lineRule="exact"/>
        <w:rPr>
          <w:rFonts w:ascii="Verdana" w:hAnsi="Verdana" w:cs="Arial"/>
        </w:rPr>
      </w:pPr>
      <w:r>
        <w:rPr>
          <w:rFonts w:ascii="Verdana" w:hAnsi="Verdana" w:cs="Arial"/>
        </w:rPr>
        <w:t xml:space="preserve">Não será constituído fundo de manutenção de liquidez para as Debêntures. </w:t>
      </w:r>
    </w:p>
    <w:p>
      <w:pPr>
        <w:pStyle w:val="Ttulo8"/>
        <w:spacing w:line="300" w:lineRule="exact"/>
        <w:rPr>
          <w:rFonts w:ascii="Verdana" w:hAnsi="Verdana" w:cs="Arial"/>
          <w:lang w:val="pt-BR"/>
        </w:rPr>
      </w:pPr>
      <w:bookmarkStart w:id="123" w:name="_Toc484715996"/>
      <w:r>
        <w:rPr>
          <w:rFonts w:ascii="Verdana" w:hAnsi="Verdana" w:cs="Arial"/>
          <w:lang w:val="pt-BR"/>
        </w:rPr>
        <w:lastRenderedPageBreak/>
        <w:t>Fundo de Amortização</w:t>
      </w:r>
      <w:bookmarkEnd w:id="123"/>
    </w:p>
    <w:p>
      <w:pPr>
        <w:pStyle w:val="HOMEBRBodyText"/>
        <w:spacing w:line="300" w:lineRule="exact"/>
        <w:rPr>
          <w:rFonts w:ascii="Verdana" w:hAnsi="Verdana" w:cs="Arial"/>
        </w:rPr>
      </w:pPr>
      <w:r>
        <w:rPr>
          <w:rFonts w:ascii="Verdana" w:hAnsi="Verdana" w:cs="Arial"/>
        </w:rPr>
        <w:t xml:space="preserve">Não será constituído fundo de amortização para a presente Emissão. </w:t>
      </w:r>
    </w:p>
    <w:p>
      <w:pPr>
        <w:pStyle w:val="Ttulo8"/>
        <w:spacing w:line="300" w:lineRule="exact"/>
        <w:rPr>
          <w:rFonts w:ascii="Verdana" w:hAnsi="Verdana" w:cs="Arial"/>
          <w:lang w:val="pt-BR"/>
        </w:rPr>
      </w:pPr>
      <w:bookmarkStart w:id="124" w:name="_Ref435022990"/>
      <w:bookmarkStart w:id="125" w:name="_Toc484715997"/>
      <w:r>
        <w:rPr>
          <w:rFonts w:ascii="Verdana" w:hAnsi="Verdana" w:cs="Arial"/>
          <w:lang w:val="pt-BR"/>
        </w:rPr>
        <w:t>Formador de Mercado</w:t>
      </w:r>
      <w:bookmarkEnd w:id="124"/>
      <w:bookmarkEnd w:id="125"/>
      <w:r>
        <w:rPr>
          <w:rFonts w:ascii="Verdana" w:hAnsi="Verdana" w:cs="Arial"/>
          <w:lang w:val="pt-BR"/>
        </w:rPr>
        <w:t xml:space="preserve"> </w:t>
      </w:r>
    </w:p>
    <w:p>
      <w:pPr>
        <w:pStyle w:val="HOMEBRBodyText"/>
        <w:spacing w:line="300" w:lineRule="exact"/>
        <w:rPr>
          <w:rFonts w:ascii="Verdana" w:hAnsi="Verdana" w:cs="Arial"/>
        </w:rPr>
      </w:pPr>
      <w:r>
        <w:rPr>
          <w:rFonts w:ascii="Verdana" w:hAnsi="Verdana" w:cs="Arial"/>
        </w:rPr>
        <w:t>[</w:t>
      </w:r>
      <w:r>
        <w:rPr>
          <w:rFonts w:ascii="Verdana" w:hAnsi="Verdana" w:cs="Arial"/>
          <w:highlight w:val="yellow"/>
        </w:rPr>
        <w:t>Nota PNA: Lefosse/Cia, atualizar cf. aplicável</w:t>
      </w:r>
      <w:r>
        <w:rPr>
          <w:rFonts w:ascii="Verdana" w:hAnsi="Verdana" w:cs="Arial"/>
        </w:rPr>
        <w:t>.]</w:t>
      </w:r>
    </w:p>
    <w:p>
      <w:pPr>
        <w:pStyle w:val="HOMEBRBodyText"/>
        <w:spacing w:line="300" w:lineRule="exact"/>
        <w:rPr>
          <w:rFonts w:ascii="Verdana" w:hAnsi="Verdana" w:cs="Arial"/>
        </w:rPr>
      </w:pPr>
      <w:r>
        <w:rPr>
          <w:rFonts w:ascii="Verdana" w:hAnsi="Verdana" w:cs="Arial"/>
        </w:rPr>
        <w:t>Conforme recomendação dos Coordenadores, a Emissora contratou o [</w:t>
      </w:r>
      <w:r>
        <w:rPr>
          <w:rFonts w:ascii="Verdana" w:hAnsi="Verdana" w:cs="Arial"/>
        </w:rPr>
        <w:sym w:font="Symbol" w:char="F0B7"/>
      </w:r>
      <w:r>
        <w:rPr>
          <w:rFonts w:ascii="Verdana" w:hAnsi="Verdana" w:cs="Arial"/>
        </w:rPr>
        <w:t xml:space="preserve">], nos termos da Instrução da CVM nº 384, de 17 de março de 2003, conforme alterada, para exercer a atividade de Formador de Mercado para as Debêntures, com a finalidade de garantir a existência e a permanência de ofertas firmes diárias de compra e venda para as Debêntures, na B3 – Segmento Cetip UTVM, nos termos previstos no Contrato de Formador de Mercado, pelo prazo de </w:t>
      </w:r>
      <w:r>
        <w:rPr>
          <w:rFonts w:ascii="Verdana" w:hAnsi="Verdana"/>
        </w:rPr>
        <w:t>1 (um) ano, contado da Primeira Data de Integralização, podendo ser renovado de comum acordo entre a Emissora e o Formador de Mercado</w:t>
      </w:r>
      <w:r>
        <w:rPr>
          <w:rFonts w:ascii="Verdana" w:hAnsi="Verdana" w:cs="Arial"/>
        </w:rPr>
        <w:t xml:space="preserve">. Pelos serviços de formação de mercado, o Formador de Mercado fará jus a uma remuneração anual de R$ 0,01, nos termos do Contrato de Formador de Mercado. </w:t>
      </w:r>
    </w:p>
    <w:p>
      <w:pPr>
        <w:pStyle w:val="HOMEBRBodyText"/>
        <w:keepNext/>
        <w:spacing w:line="300" w:lineRule="exact"/>
        <w:rPr>
          <w:rFonts w:ascii="Verdana" w:hAnsi="Verdana" w:cs="Arial"/>
        </w:rPr>
      </w:pPr>
      <w:r>
        <w:rPr>
          <w:rFonts w:ascii="Verdana" w:hAnsi="Verdana" w:cs="Arial"/>
        </w:rPr>
        <w:t xml:space="preserve">O Formador de Mercado terá assegurado o direito de subscrição de até 10% das Debêntures (sem considerar eventuais Debêntures Adicionais), equivalentes a 100.000 Debêntures, nos termos do parágrafo único do artigo 55 da Instrução CVM 400. O Formador de Mercado deverá adquirir as Debêntures observadas a taxa final dos Juros Remuneratórios estabelecida durante o Procedimento de </w:t>
      </w:r>
      <w:r>
        <w:rPr>
          <w:rFonts w:ascii="Verdana" w:hAnsi="Verdana" w:cs="Arial"/>
          <w:i/>
        </w:rPr>
        <w:t>Bookbuilding</w:t>
      </w:r>
      <w:r>
        <w:rPr>
          <w:rFonts w:ascii="Verdana" w:hAnsi="Verdana" w:cs="Arial"/>
        </w:rPr>
        <w:t xml:space="preserve">. Dessa forma, caso seja verificado excesso de demanda superior em um terço das Debêntures inicialmente ofertadas (sem considerar as Debêntures Adicionais), não será aplicável ao Formador de Mercado a restrição prevista no artigo 55 da Instrução CVM 400, uma vez que o direito de subscrever e a quantidade máxima de valores mobiliários a ser subscrita, se houver tal limitação, estarão divulgados nos Prospectos, conforme previsto no parágrafo único do artigo 55 da Instrução CVM 400. </w:t>
      </w:r>
    </w:p>
    <w:p>
      <w:pPr>
        <w:pStyle w:val="HOMEBRBodyText"/>
        <w:spacing w:line="300" w:lineRule="exact"/>
        <w:rPr>
          <w:rFonts w:ascii="Verdana" w:hAnsi="Verdana" w:cs="Arial"/>
        </w:rPr>
      </w:pPr>
      <w:r>
        <w:rPr>
          <w:rFonts w:ascii="Verdana" w:hAnsi="Verdana" w:cs="Arial"/>
        </w:rPr>
        <w:t>O Formador de Mercado deverá realizar diariamente ordens de compra e de venda das Debêntures, observados os limites previstos no parágrafo acima, durante, no mínimo, 120 minutos contínuos no período de negociação compreendido entre 9h00 e 18h00, obedecidos os procedimentos adotados pela B3 - Segmento Cetip UTVM.</w:t>
      </w:r>
    </w:p>
    <w:p>
      <w:pPr>
        <w:pStyle w:val="HOMEBRBodyText"/>
        <w:spacing w:line="300" w:lineRule="exact"/>
        <w:rPr>
          <w:rFonts w:ascii="Verdana" w:hAnsi="Verdana" w:cs="Arial"/>
        </w:rPr>
      </w:pPr>
      <w:r>
        <w:rPr>
          <w:rFonts w:ascii="Verdana" w:hAnsi="Verdana" w:cs="Arial"/>
        </w:rPr>
        <w:lastRenderedPageBreak/>
        <w:t>As ofertas de compra e venda das Debêntures deverão observar o que segue: (i) as ordens diárias de compra e venda das Debêntures deverão ser realizadas em quantidade mínimas de R$ 1.000.000,00 no mercado eletrônico (por meio da CetipTrader, e registradas no CETIP 21) e R$ 1.000.000,00</w:t>
      </w:r>
      <w:r>
        <w:rPr>
          <w:rFonts w:ascii="Verdana" w:hAnsi="Verdana"/>
          <w:sz w:val="22"/>
          <w:szCs w:val="22"/>
          <w:lang w:eastAsia="pt-BR"/>
        </w:rPr>
        <w:t xml:space="preserve"> </w:t>
      </w:r>
      <w:r>
        <w:rPr>
          <w:rFonts w:ascii="Verdana" w:hAnsi="Verdana" w:cs="Arial"/>
        </w:rPr>
        <w:t>no mercado de balcão tradicional; (ii) o intervalo máximo entre as taxas das Ofertas de Compra e Venda será de 0,30%, prevalecendo sempre o menor intervalo entre o estabelecido pela B3 - Segmento Cetip UTVM e o estabelecido no Contrato de Formador de Mercado e, enquanto houver ofertas de compra e venda para as Debêntures com intervalo inferior a 0,30%, o Formador de Mercado ficará desobrigado de apregoar ofertas de compra e venda para as Debêntures; (iii) a frequência da atuação será diária; (iv) o direcionamento de ofertas será para todos os participantes, sem restrição de contraparte; (v) será obrigatória a aceitação de fechamento, inclusive parcial; (vi) a quantidade máxima acumulada, assim entendida como o total de compras subtraído do total de vendas das quantidades de Debêntures nas plataformas administradas e operacionalizadas pela B3 - Segmento Cetip UTVM, que o Formador de Mercado fica obrigado a comprar será de R$50.000.000,00 no mercado secundário; (vii) a aquisição das Debêntures necessárias para a prática das atividades de formador de mercado na B3 - Segmento CETIP UTVM, com recursos próprios, em mercado primário, será no valor total máximo de R$50.000.000,00, considerando as plataformas de negociação da B3 - Segmento Cetip UTVM.</w:t>
      </w:r>
    </w:p>
    <w:p>
      <w:pPr>
        <w:pStyle w:val="HOMEBRBodyText"/>
        <w:spacing w:line="300" w:lineRule="exact"/>
        <w:rPr>
          <w:rFonts w:ascii="Verdana" w:hAnsi="Verdana"/>
        </w:rPr>
      </w:pPr>
      <w:r>
        <w:rPr>
          <w:rFonts w:ascii="Verdana" w:hAnsi="Verdana"/>
        </w:rPr>
        <w:t xml:space="preserve">O Contrato de Formador de Mercado poderá ser resilido por qualquer das partes, mediante notificação escrita à outra parte com antecedência de 30 dias, não cabendo nenhum tipo de indenização a qualquer das partes. A resilição do Contrato de Formador de Mercado pelas partes somente poderá ocorrer após transcorridos, no mínimo, 90 dias contados do credenciamento do Formador de Mercado perante a B3 – Segmento Cetip UTVM. </w:t>
      </w:r>
    </w:p>
    <w:p>
      <w:pPr>
        <w:pStyle w:val="HOMEBRBodyText"/>
        <w:spacing w:line="300" w:lineRule="exact"/>
        <w:rPr>
          <w:rFonts w:ascii="Verdana" w:hAnsi="Verdana"/>
        </w:rPr>
      </w:pPr>
      <w:r>
        <w:rPr>
          <w:rFonts w:ascii="Verdana" w:hAnsi="Verdana"/>
        </w:rPr>
        <w:t xml:space="preserve">O Contrato de Formador de Mercado somente poderá ser denunciado pelo Formador de Mercado se, previamente à efetiva cessação dos serviços objeto do contrato, ele (i) apresentar à Emissora outra instituição financeira para, em seu lugar, prestar os serviços, sem solução de continuidade; e (ii) a Emissora concordar expressamente e por escrito com a substituição do formador de mercado. </w:t>
      </w:r>
    </w:p>
    <w:p>
      <w:pPr>
        <w:pStyle w:val="HOMEBRBodyText"/>
        <w:spacing w:line="300" w:lineRule="exact"/>
        <w:rPr>
          <w:rFonts w:ascii="Verdana" w:hAnsi="Verdana"/>
        </w:rPr>
      </w:pPr>
      <w:r>
        <w:rPr>
          <w:rFonts w:ascii="Verdana" w:hAnsi="Verdana"/>
        </w:rPr>
        <w:lastRenderedPageBreak/>
        <w:t>Não obstante as disposições acima, o Contrato de Formador de Mercado poderá ser rescindido automaticamente pela parte prejudicada, de pleno direito, independentemente de prévia notificação judicial ou extrajudicial, caso: (a) a outra parte infrinja alguma das cláusulas ou condições estipuladas no Contrato de Formador de Mercado que não forem sanadas no prazo cinco Dias Úteis contados do recebimento, pela parte inadimplemento, de notificação encaminhada neste sentido, (b) ocorram alterações por força de lei ou regulamentação que inviabilizem os serviços prestados nos termos do Contrato de Formador de Mercado, (c) seja decretada falência, liquidação ou pedido de recuperação judicial de quaisquer das partes do Contrato de Formador de Mercado não elidido no prazo legal, e/ou (d) ocorra a suspensão ou descredenciamento do Formador de Mercado em virtude de qualquer uma das hipóteses previstas no Manual de Normas de Formador de Mercado.</w:t>
      </w:r>
    </w:p>
    <w:p>
      <w:pPr>
        <w:pStyle w:val="Ttulo3"/>
        <w:spacing w:line="300" w:lineRule="exact"/>
        <w:rPr>
          <w:rFonts w:ascii="Verdana" w:hAnsi="Verdana"/>
          <w:lang w:val="pt-BR"/>
        </w:rPr>
      </w:pPr>
      <w:r>
        <w:rPr>
          <w:rFonts w:ascii="Verdana" w:hAnsi="Verdana"/>
          <w:lang w:val="pt-BR"/>
        </w:rPr>
        <w:t xml:space="preserve">VENCIMENTO ANTECIPADO </w:t>
      </w:r>
    </w:p>
    <w:p>
      <w:pPr>
        <w:pStyle w:val="HOMEBRNOTOCH4"/>
        <w:spacing w:line="300" w:lineRule="exact"/>
        <w:outlineLvl w:val="0"/>
        <w:rPr>
          <w:rFonts w:ascii="Verdana" w:hAnsi="Verdana" w:cs="Arial"/>
        </w:rPr>
      </w:pPr>
      <w:bookmarkStart w:id="126" w:name="_Ref391996822"/>
      <w:r>
        <w:rPr>
          <w:rFonts w:ascii="Verdana" w:hAnsi="Verdana" w:cs="Arial"/>
        </w:rPr>
        <w:t>Vencimento Antecipado Automático</w:t>
      </w:r>
    </w:p>
    <w:p>
      <w:pPr>
        <w:pStyle w:val="HOMEBRNOTOCH4"/>
        <w:spacing w:line="300" w:lineRule="exact"/>
        <w:outlineLvl w:val="0"/>
        <w:rPr>
          <w:rFonts w:ascii="Verdana" w:hAnsi="Verdana" w:cs="Arial"/>
          <w:b w:val="0"/>
          <w:i w:val="0"/>
        </w:rPr>
      </w:pPr>
      <w:bookmarkStart w:id="127" w:name="_Ref435654812"/>
      <w:r>
        <w:rPr>
          <w:rFonts w:ascii="Verdana" w:hAnsi="Verdana" w:cs="Arial"/>
          <w:b w:val="0"/>
          <w:i w:val="0"/>
        </w:rPr>
        <w:t>[</w:t>
      </w:r>
      <w:r>
        <w:rPr>
          <w:rFonts w:ascii="Verdana" w:hAnsi="Verdana" w:cs="Arial"/>
          <w:b w:val="0"/>
          <w:i w:val="0"/>
          <w:highlight w:val="yellow"/>
        </w:rPr>
        <w:t>Nota PNA: A refletir o negociado na Escritura de Emissão</w:t>
      </w:r>
      <w:r>
        <w:rPr>
          <w:rFonts w:ascii="Verdana" w:hAnsi="Verdana" w:cs="Arial"/>
          <w:b w:val="0"/>
          <w:i w:val="0"/>
        </w:rPr>
        <w:t>.]</w:t>
      </w:r>
    </w:p>
    <w:p>
      <w:pPr>
        <w:pStyle w:val="HOMEBRNOTOCH4"/>
        <w:spacing w:line="300" w:lineRule="exact"/>
        <w:outlineLvl w:val="0"/>
        <w:rPr>
          <w:rFonts w:ascii="Verdana" w:hAnsi="Verdana" w:cs="Arial"/>
          <w:b w:val="0"/>
          <w:i w:val="0"/>
        </w:rPr>
      </w:pPr>
      <w:r>
        <w:rPr>
          <w:rFonts w:ascii="Verdana" w:hAnsi="Verdana" w:cs="Arial"/>
          <w:b w:val="0"/>
          <w:i w:val="0"/>
        </w:rPr>
        <w:t xml:space="preserve">O Agente Fiduciário deverá considerar antecipadamente e automaticamente vencidas, independentemente de envio de aviso, notificação ou interpelação judicial ou extrajudicial, todas as obrigações relativas às Debêntures e exigirá da Emissora o imediato pagamento do Valor Nominal Atualizado, acrescido dos Juros Remuneratórios devidos até a data do efetivo pagamento, calculados </w:t>
      </w:r>
      <w:r>
        <w:rPr>
          <w:rFonts w:ascii="Verdana" w:hAnsi="Verdana" w:cs="Arial"/>
          <w:b w:val="0"/>
        </w:rPr>
        <w:t>pro rata temporis</w:t>
      </w:r>
      <w:r>
        <w:rPr>
          <w:rFonts w:ascii="Verdana" w:hAnsi="Verdana" w:cs="Arial"/>
          <w:b w:val="0"/>
          <w:i w:val="0"/>
        </w:rPr>
        <w:t>, e dos Encargos Moratórios, se houver, bem como de quaisquer outros valores eventualmente devidos pela Emissora nos termos na Escritura, na data que tomar ciência da ocorrência de qualquer uma das seguintes hipóteses:</w:t>
      </w:r>
      <w:bookmarkEnd w:id="127"/>
    </w:p>
    <w:p>
      <w:pPr>
        <w:pStyle w:val="Level4"/>
        <w:numPr>
          <w:ilvl w:val="3"/>
          <w:numId w:val="34"/>
        </w:numPr>
        <w:tabs>
          <w:tab w:val="clear" w:pos="2041"/>
          <w:tab w:val="left" w:pos="709"/>
          <w:tab w:val="num" w:pos="1361"/>
          <w:tab w:val="num" w:pos="2268"/>
        </w:tabs>
        <w:spacing w:after="0" w:line="300" w:lineRule="exact"/>
        <w:ind w:left="0" w:firstLine="0"/>
        <w:outlineLvl w:val="3"/>
        <w:rPr>
          <w:rFonts w:ascii="Verdana" w:hAnsi="Verdana" w:cs="Arial"/>
          <w:lang w:val="pt-BR"/>
        </w:rPr>
      </w:pPr>
      <w:bookmarkStart w:id="128" w:name="_Ref312339659"/>
      <w:bookmarkStart w:id="129" w:name="_Ref312344656"/>
      <w:r>
        <w:rPr>
          <w:rFonts w:ascii="Verdana" w:hAnsi="Verdana" w:cs="Arial"/>
          <w:lang w:val="pt-BR"/>
        </w:rPr>
        <w:t xml:space="preserve">(a) decretação de falência da Emissora; (b) pedido de autofalência pela Emissora; (c) pedido de falência da Emissora, formulado por terceiros e não elidido no prazo legal; (d) pedido de recuperação judicial ou de recuperação extrajudicial da Emissora; ou (e) liquidação, dissolução ou extinção da Emissora; </w:t>
      </w:r>
    </w:p>
    <w:p>
      <w:pPr>
        <w:pStyle w:val="Level4"/>
        <w:numPr>
          <w:ilvl w:val="0"/>
          <w:numId w:val="0"/>
        </w:numPr>
        <w:tabs>
          <w:tab w:val="left" w:pos="709"/>
          <w:tab w:val="num" w:pos="2268"/>
        </w:tabs>
        <w:spacing w:after="0" w:line="300" w:lineRule="exact"/>
        <w:rPr>
          <w:rFonts w:ascii="Verdana" w:hAnsi="Verdana" w:cs="Arial"/>
          <w:lang w:val="pt-BR"/>
        </w:rPr>
      </w:pPr>
      <w:bookmarkStart w:id="130" w:name="_Ref374561026"/>
    </w:p>
    <w:p>
      <w:pPr>
        <w:pStyle w:val="Level4"/>
        <w:numPr>
          <w:ilvl w:val="3"/>
          <w:numId w:val="34"/>
        </w:numPr>
        <w:tabs>
          <w:tab w:val="clear" w:pos="2041"/>
          <w:tab w:val="left" w:pos="709"/>
          <w:tab w:val="num" w:pos="1361"/>
          <w:tab w:val="num" w:pos="2268"/>
        </w:tabs>
        <w:spacing w:after="0" w:line="300" w:lineRule="exact"/>
        <w:ind w:left="0" w:firstLine="0"/>
        <w:outlineLvl w:val="3"/>
        <w:rPr>
          <w:rFonts w:ascii="Verdana" w:hAnsi="Verdana" w:cs="Arial"/>
          <w:lang w:val="pt-BR"/>
        </w:rPr>
      </w:pPr>
      <w:r>
        <w:rPr>
          <w:rFonts w:ascii="Verdana" w:hAnsi="Verdana" w:cs="Arial"/>
          <w:lang w:val="pt-BR"/>
        </w:rPr>
        <w:t xml:space="preserve">não pagamento, pela Emissora, nas datas de vencimento previstas na Escritura, do Valor Nominal Atualizado, dos Juros Remuneratórios e/ou de quaisquer outras obrigações pecuniárias devidas aos Debenturistas, </w:t>
      </w:r>
      <w:bookmarkEnd w:id="130"/>
      <w:r>
        <w:rPr>
          <w:rFonts w:ascii="Verdana" w:hAnsi="Verdana" w:cs="Arial"/>
          <w:lang w:val="pt-BR"/>
        </w:rPr>
        <w:t xml:space="preserve">sem que tal descumprimento seja sanado pela Emissora em prazo de cura até 2 Dias Úteis contados do respectivo inadimplemento;  </w:t>
      </w:r>
    </w:p>
    <w:p>
      <w:pPr>
        <w:pStyle w:val="Level4"/>
        <w:numPr>
          <w:ilvl w:val="0"/>
          <w:numId w:val="0"/>
        </w:numPr>
        <w:tabs>
          <w:tab w:val="left" w:pos="709"/>
          <w:tab w:val="num" w:pos="2268"/>
        </w:tabs>
        <w:spacing w:after="0" w:line="300" w:lineRule="exact"/>
        <w:rPr>
          <w:rFonts w:ascii="Verdana" w:hAnsi="Verdana" w:cs="Arial"/>
          <w:lang w:val="pt-BR"/>
        </w:rPr>
      </w:pPr>
    </w:p>
    <w:p>
      <w:pPr>
        <w:pStyle w:val="Level4"/>
        <w:numPr>
          <w:ilvl w:val="3"/>
          <w:numId w:val="34"/>
        </w:numPr>
        <w:tabs>
          <w:tab w:val="clear" w:pos="2041"/>
          <w:tab w:val="left" w:pos="709"/>
          <w:tab w:val="num" w:pos="1361"/>
          <w:tab w:val="num" w:pos="2268"/>
        </w:tabs>
        <w:spacing w:after="0" w:line="300" w:lineRule="exact"/>
        <w:ind w:left="0" w:firstLine="0"/>
        <w:outlineLvl w:val="3"/>
        <w:rPr>
          <w:rFonts w:ascii="Verdana" w:hAnsi="Verdana" w:cs="Arial"/>
          <w:lang w:val="pt-BR"/>
        </w:rPr>
      </w:pPr>
      <w:r>
        <w:rPr>
          <w:rFonts w:ascii="Verdana" w:hAnsi="Verdana" w:cs="Arial"/>
          <w:lang w:val="pt-BR"/>
        </w:rPr>
        <w:t xml:space="preserve">declaração de vencimento antecipado de quaisquer obrigações pecuniárias relacionadas a operações financeiras e/ou a operações no mercado de capitais local ou internacional, da Emissora com valor individual ou agregado superior a R$50.000.000,00 (cinquenta milhões de reais);  </w:t>
      </w:r>
    </w:p>
    <w:p>
      <w:pPr>
        <w:pStyle w:val="Level4"/>
        <w:numPr>
          <w:ilvl w:val="0"/>
          <w:numId w:val="0"/>
        </w:numPr>
        <w:tabs>
          <w:tab w:val="left" w:pos="709"/>
          <w:tab w:val="num" w:pos="2268"/>
        </w:tabs>
        <w:spacing w:after="0" w:line="300" w:lineRule="exact"/>
        <w:rPr>
          <w:rFonts w:ascii="Verdana" w:hAnsi="Verdana" w:cs="Arial"/>
          <w:lang w:val="pt-BR"/>
        </w:rPr>
      </w:pPr>
    </w:p>
    <w:p>
      <w:pPr>
        <w:pStyle w:val="Level4"/>
        <w:numPr>
          <w:ilvl w:val="3"/>
          <w:numId w:val="34"/>
        </w:numPr>
        <w:tabs>
          <w:tab w:val="clear" w:pos="2041"/>
          <w:tab w:val="left" w:pos="709"/>
          <w:tab w:val="num" w:pos="1361"/>
          <w:tab w:val="num" w:pos="2268"/>
        </w:tabs>
        <w:spacing w:after="0" w:line="300" w:lineRule="exact"/>
        <w:ind w:left="0" w:firstLine="0"/>
        <w:outlineLvl w:val="3"/>
        <w:rPr>
          <w:rFonts w:ascii="Verdana" w:hAnsi="Verdana" w:cs="Arial"/>
          <w:lang w:val="pt-BR"/>
        </w:rPr>
      </w:pPr>
      <w:r>
        <w:rPr>
          <w:rFonts w:ascii="Verdana" w:hAnsi="Verdana" w:cs="Arial"/>
          <w:lang w:val="pt-BR"/>
        </w:rPr>
        <w:lastRenderedPageBreak/>
        <w:t xml:space="preserve">redução de capital da Emissora, exceto se (a) a referida redução de capital for realizada exclusivamente para absorção de prejuízos, ou (b) nos termos do artigo 174, parágrafo 3º, da Lei das Sociedades por Ações, previamente autorizada por Debenturistas reunidos em Assembleia Geral de Debenturistas especialmente convocada para tal finalidade representando, no mínimo, 50%  mais uma das Debêntures em Circulação;  </w:t>
      </w:r>
    </w:p>
    <w:p>
      <w:pPr>
        <w:pStyle w:val="Level4"/>
        <w:numPr>
          <w:ilvl w:val="0"/>
          <w:numId w:val="0"/>
        </w:numPr>
        <w:tabs>
          <w:tab w:val="left" w:pos="709"/>
          <w:tab w:val="num" w:pos="2268"/>
        </w:tabs>
        <w:spacing w:after="0" w:line="300" w:lineRule="exact"/>
        <w:rPr>
          <w:rFonts w:ascii="Verdana" w:hAnsi="Verdana" w:cs="Arial"/>
          <w:lang w:val="pt-BR"/>
        </w:rPr>
      </w:pPr>
    </w:p>
    <w:p>
      <w:pPr>
        <w:pStyle w:val="Level4"/>
        <w:numPr>
          <w:ilvl w:val="3"/>
          <w:numId w:val="34"/>
        </w:numPr>
        <w:tabs>
          <w:tab w:val="clear" w:pos="2041"/>
          <w:tab w:val="left" w:pos="709"/>
          <w:tab w:val="num" w:pos="1361"/>
          <w:tab w:val="num" w:pos="2268"/>
        </w:tabs>
        <w:spacing w:after="0" w:line="300" w:lineRule="exact"/>
        <w:ind w:left="0" w:firstLine="0"/>
        <w:outlineLvl w:val="3"/>
        <w:rPr>
          <w:rFonts w:ascii="Verdana" w:hAnsi="Verdana" w:cs="Arial"/>
          <w:lang w:val="pt-BR"/>
        </w:rPr>
      </w:pPr>
      <w:r>
        <w:rPr>
          <w:rFonts w:ascii="Verdana" w:hAnsi="Verdana" w:cs="Arial"/>
          <w:lang w:val="pt-BR"/>
        </w:rPr>
        <w:t xml:space="preserve">alteração do objeto social da Emissora que altere as principais atividades atualmente por ela praticadas, exceto se previamente autorizado por Debenturistas reunidos em Assembleia Geral de Debenturistas especialmente convocada para tal finalidade;  </w:t>
      </w:r>
    </w:p>
    <w:p>
      <w:pPr>
        <w:pStyle w:val="Level4"/>
        <w:numPr>
          <w:ilvl w:val="0"/>
          <w:numId w:val="0"/>
        </w:numPr>
        <w:tabs>
          <w:tab w:val="left" w:pos="709"/>
          <w:tab w:val="num" w:pos="2268"/>
        </w:tabs>
        <w:spacing w:after="0" w:line="300" w:lineRule="exact"/>
        <w:rPr>
          <w:rFonts w:ascii="Verdana" w:hAnsi="Verdana" w:cs="Arial"/>
          <w:lang w:val="pt-BR"/>
        </w:rPr>
      </w:pPr>
    </w:p>
    <w:p>
      <w:pPr>
        <w:pStyle w:val="Level4"/>
        <w:numPr>
          <w:ilvl w:val="3"/>
          <w:numId w:val="34"/>
        </w:numPr>
        <w:tabs>
          <w:tab w:val="clear" w:pos="2041"/>
          <w:tab w:val="left" w:pos="709"/>
          <w:tab w:val="num" w:pos="1361"/>
          <w:tab w:val="num" w:pos="2268"/>
        </w:tabs>
        <w:spacing w:after="0" w:line="300" w:lineRule="exact"/>
        <w:ind w:left="0" w:firstLine="0"/>
        <w:outlineLvl w:val="3"/>
        <w:rPr>
          <w:rFonts w:ascii="Verdana" w:hAnsi="Verdana" w:cs="Arial"/>
          <w:lang w:val="pt-BR"/>
        </w:rPr>
      </w:pPr>
      <w:r>
        <w:rPr>
          <w:rFonts w:ascii="Verdana" w:hAnsi="Verdana" w:cs="Arial"/>
          <w:lang w:val="pt-BR"/>
        </w:rPr>
        <w:t xml:space="preserve">caso a Emissora transfira ou por qualquer forma ceda ou prometa ceder a terceiros os direitos e obrigações assumidos nos termos da Escritura, sem a prévia anuência de Debenturistas reunidos em Assembleia Geral de Debenturistas, desde que respeitada a Destinação dos Recursos e as regras da Lei nº 12.431 e do Decreto nº 8.874;  </w:t>
      </w:r>
    </w:p>
    <w:p>
      <w:pPr>
        <w:pStyle w:val="Level4"/>
        <w:numPr>
          <w:ilvl w:val="0"/>
          <w:numId w:val="0"/>
        </w:numPr>
        <w:tabs>
          <w:tab w:val="left" w:pos="709"/>
          <w:tab w:val="num" w:pos="2268"/>
        </w:tabs>
        <w:spacing w:after="0" w:line="300" w:lineRule="exact"/>
        <w:rPr>
          <w:rFonts w:ascii="Verdana" w:hAnsi="Verdana" w:cs="Arial"/>
          <w:lang w:val="pt-BR"/>
        </w:rPr>
      </w:pPr>
    </w:p>
    <w:p>
      <w:pPr>
        <w:pStyle w:val="Level4"/>
        <w:numPr>
          <w:ilvl w:val="3"/>
          <w:numId w:val="34"/>
        </w:numPr>
        <w:tabs>
          <w:tab w:val="clear" w:pos="2041"/>
          <w:tab w:val="left" w:pos="709"/>
          <w:tab w:val="num" w:pos="1361"/>
          <w:tab w:val="num" w:pos="2268"/>
        </w:tabs>
        <w:spacing w:after="0" w:line="300" w:lineRule="exact"/>
        <w:ind w:left="0" w:firstLine="0"/>
        <w:outlineLvl w:val="3"/>
        <w:rPr>
          <w:rFonts w:ascii="Verdana" w:hAnsi="Verdana" w:cs="Arial"/>
          <w:lang w:val="pt-BR"/>
        </w:rPr>
      </w:pPr>
      <w:r>
        <w:rPr>
          <w:rFonts w:ascii="Verdana" w:hAnsi="Verdana" w:cs="Arial"/>
          <w:lang w:val="pt-BR"/>
        </w:rPr>
        <w:t>transformação da Emissora em outro tipo societário;</w:t>
      </w:r>
    </w:p>
    <w:p>
      <w:pPr>
        <w:pStyle w:val="Level4"/>
        <w:numPr>
          <w:ilvl w:val="0"/>
          <w:numId w:val="0"/>
        </w:numPr>
        <w:tabs>
          <w:tab w:val="left" w:pos="709"/>
          <w:tab w:val="num" w:pos="2268"/>
        </w:tabs>
        <w:spacing w:after="0" w:line="300" w:lineRule="exact"/>
        <w:rPr>
          <w:rFonts w:ascii="Verdana" w:hAnsi="Verdana" w:cs="Arial"/>
          <w:lang w:val="pt-BR"/>
        </w:rPr>
      </w:pPr>
    </w:p>
    <w:p>
      <w:pPr>
        <w:pStyle w:val="Level4"/>
        <w:numPr>
          <w:ilvl w:val="3"/>
          <w:numId w:val="34"/>
        </w:numPr>
        <w:tabs>
          <w:tab w:val="clear" w:pos="2041"/>
          <w:tab w:val="left" w:pos="709"/>
          <w:tab w:val="num" w:pos="2268"/>
        </w:tabs>
        <w:spacing w:after="0" w:line="300" w:lineRule="exact"/>
        <w:ind w:left="0" w:firstLine="0"/>
        <w:outlineLvl w:val="3"/>
        <w:rPr>
          <w:rFonts w:ascii="Verdana" w:hAnsi="Verdana" w:cs="Arial"/>
          <w:lang w:val="pt-BR"/>
        </w:rPr>
      </w:pPr>
      <w:r>
        <w:rPr>
          <w:rFonts w:ascii="Verdana" w:hAnsi="Verdana" w:cs="Arial"/>
          <w:lang w:val="pt-BR"/>
        </w:rPr>
        <w:t>cisão, fusão ou incorporação, incorporação de ações da Emissora ou, ainda, qualquer outra forma de reorganização societária envolvendo a Emissora, seja esta reorganização estritamente societária ou realizada mediante disposição de ativos, sem a prévia autorização dos Debenturistas reunidos em Assembleia Geral de Debenturistas, exceto se tais operações forem realizadas dentro do Grupo Econômico;</w:t>
      </w:r>
    </w:p>
    <w:p>
      <w:pPr>
        <w:pStyle w:val="Level4"/>
        <w:numPr>
          <w:ilvl w:val="0"/>
          <w:numId w:val="0"/>
        </w:numPr>
        <w:tabs>
          <w:tab w:val="left" w:pos="709"/>
          <w:tab w:val="num" w:pos="2268"/>
        </w:tabs>
        <w:spacing w:after="0" w:line="300" w:lineRule="exact"/>
        <w:rPr>
          <w:rFonts w:ascii="Verdana" w:hAnsi="Verdana" w:cs="Arial"/>
          <w:lang w:val="pt-BR"/>
        </w:rPr>
      </w:pPr>
    </w:p>
    <w:p>
      <w:pPr>
        <w:pStyle w:val="Level4"/>
        <w:numPr>
          <w:ilvl w:val="3"/>
          <w:numId w:val="34"/>
        </w:numPr>
        <w:tabs>
          <w:tab w:val="clear" w:pos="2041"/>
          <w:tab w:val="left" w:pos="709"/>
          <w:tab w:val="num" w:pos="1361"/>
          <w:tab w:val="num" w:pos="2268"/>
        </w:tabs>
        <w:spacing w:after="0" w:line="300" w:lineRule="exact"/>
        <w:ind w:left="0" w:firstLine="0"/>
        <w:outlineLvl w:val="3"/>
        <w:rPr>
          <w:rFonts w:ascii="Verdana" w:hAnsi="Verdana" w:cs="Arial"/>
          <w:lang w:val="pt-BR"/>
        </w:rPr>
      </w:pPr>
      <w:r>
        <w:rPr>
          <w:rFonts w:ascii="Verdana" w:hAnsi="Verdana" w:cs="Arial"/>
          <w:lang w:val="pt-BR"/>
        </w:rPr>
        <w:t xml:space="preserve">mudança do controle acionário, conforme definição de controle prevista no artigo 116 da Lei das Sociedades por Ações, direto ou indireto da Emissora, exceto (a) se previamente aprovada por Debenturistas reunidos em Assembleia Geral de Debenturistas; ou (b) se a Cosan Limited, inscrita no CNPJ/ME sob o nº 08.887.330/0001-52, ou uma sucessora (por incorporação, incorporação de ações ou outra forma de reorganização societária semelhante) que seja sua controlada, permanecer como controladora direta ou indireta da Emissora, individualmente ou por meio de bloco de controle;  </w:t>
      </w:r>
    </w:p>
    <w:p>
      <w:pPr>
        <w:pStyle w:val="Level4"/>
        <w:numPr>
          <w:ilvl w:val="0"/>
          <w:numId w:val="0"/>
        </w:numPr>
        <w:tabs>
          <w:tab w:val="left" w:pos="709"/>
          <w:tab w:val="num" w:pos="2268"/>
        </w:tabs>
        <w:spacing w:after="0" w:line="300" w:lineRule="exact"/>
        <w:rPr>
          <w:rFonts w:ascii="Verdana" w:hAnsi="Verdana" w:cs="Arial"/>
          <w:lang w:val="pt-BR"/>
        </w:rPr>
      </w:pPr>
    </w:p>
    <w:p>
      <w:pPr>
        <w:pStyle w:val="Level4"/>
        <w:numPr>
          <w:ilvl w:val="3"/>
          <w:numId w:val="34"/>
        </w:numPr>
        <w:tabs>
          <w:tab w:val="clear" w:pos="2041"/>
          <w:tab w:val="left" w:pos="709"/>
          <w:tab w:val="num" w:pos="1361"/>
          <w:tab w:val="num" w:pos="2268"/>
        </w:tabs>
        <w:spacing w:after="0" w:line="300" w:lineRule="exact"/>
        <w:ind w:left="0" w:firstLine="0"/>
        <w:outlineLvl w:val="3"/>
        <w:rPr>
          <w:rFonts w:ascii="Verdana" w:hAnsi="Verdana" w:cs="Arial"/>
          <w:lang w:val="pt-BR"/>
        </w:rPr>
      </w:pPr>
      <w:r>
        <w:rPr>
          <w:rFonts w:ascii="Verdana" w:hAnsi="Verdana" w:cs="Arial"/>
          <w:lang w:val="pt-BR"/>
        </w:rPr>
        <w:t>utilização dos recursos líquidos obtidos pela Emissora por meio da integralização das Debêntures de forma diversa da prevista na Escritura;</w:t>
      </w:r>
    </w:p>
    <w:p>
      <w:pPr>
        <w:pStyle w:val="Level4"/>
        <w:numPr>
          <w:ilvl w:val="0"/>
          <w:numId w:val="0"/>
        </w:numPr>
        <w:tabs>
          <w:tab w:val="left" w:pos="709"/>
          <w:tab w:val="num" w:pos="2268"/>
        </w:tabs>
        <w:spacing w:after="0" w:line="300" w:lineRule="exact"/>
        <w:rPr>
          <w:rFonts w:ascii="Verdana" w:hAnsi="Verdana" w:cs="Arial"/>
          <w:lang w:val="pt-BR"/>
        </w:rPr>
      </w:pPr>
    </w:p>
    <w:p>
      <w:pPr>
        <w:pStyle w:val="Level4"/>
        <w:numPr>
          <w:ilvl w:val="3"/>
          <w:numId w:val="34"/>
        </w:numPr>
        <w:tabs>
          <w:tab w:val="clear" w:pos="2041"/>
          <w:tab w:val="left" w:pos="709"/>
          <w:tab w:val="num" w:pos="1361"/>
          <w:tab w:val="num" w:pos="2268"/>
        </w:tabs>
        <w:spacing w:after="0" w:line="300" w:lineRule="exact"/>
        <w:ind w:left="0" w:firstLine="0"/>
        <w:outlineLvl w:val="3"/>
        <w:rPr>
          <w:rFonts w:ascii="Verdana" w:hAnsi="Verdana" w:cs="Arial"/>
          <w:lang w:val="pt-BR"/>
        </w:rPr>
      </w:pPr>
      <w:r>
        <w:rPr>
          <w:rFonts w:ascii="Verdana" w:hAnsi="Verdana" w:cs="Arial"/>
          <w:lang w:val="pt-BR"/>
        </w:rPr>
        <w:t xml:space="preserve">aprovação de pagamento aos acionistas da Emissora de dividendos, incluindo dividendos a título de antecipação e/ou rendimentos sob forma de juros sobre capital próprio, quando (a) a Emissora estiver em mora com relação a qualquer de suas obrigações decorrentes das Debêntures, ou (b) não observar os índices financeiros previstos no item “Índices Financeiros” do Sumário da Oferta, em ambos os casos, </w:t>
      </w:r>
      <w:r>
        <w:rPr>
          <w:rFonts w:ascii="Verdana" w:hAnsi="Verdana" w:cs="Arial"/>
          <w:lang w:val="pt-BR"/>
        </w:rPr>
        <w:lastRenderedPageBreak/>
        <w:t xml:space="preserve">exceto se previamente autorizado por Debenturistas reunidos em Assembleia Geral de Debenturistas especialmente convocada para tal finalidade, ressalvado, entretanto, o pagamento do dividendo mínimo legal obrigatório previsto no estatuto social da Emissora; </w:t>
      </w:r>
    </w:p>
    <w:p>
      <w:pPr>
        <w:pStyle w:val="PargrafodaLista"/>
        <w:tabs>
          <w:tab w:val="left" w:pos="709"/>
          <w:tab w:val="num" w:pos="2268"/>
        </w:tabs>
        <w:spacing w:line="300" w:lineRule="exact"/>
        <w:ind w:left="0"/>
        <w:rPr>
          <w:rFonts w:ascii="Verdana" w:hAnsi="Verdana" w:cs="Arial"/>
        </w:rPr>
      </w:pPr>
    </w:p>
    <w:p>
      <w:pPr>
        <w:pStyle w:val="Level4"/>
        <w:numPr>
          <w:ilvl w:val="3"/>
          <w:numId w:val="34"/>
        </w:numPr>
        <w:tabs>
          <w:tab w:val="clear" w:pos="2041"/>
          <w:tab w:val="left" w:pos="709"/>
          <w:tab w:val="num" w:pos="1361"/>
          <w:tab w:val="num" w:pos="2268"/>
        </w:tabs>
        <w:spacing w:after="0" w:line="300" w:lineRule="exact"/>
        <w:ind w:left="0" w:firstLine="0"/>
        <w:outlineLvl w:val="3"/>
        <w:rPr>
          <w:rFonts w:ascii="Verdana" w:hAnsi="Verdana" w:cs="Arial"/>
          <w:lang w:val="pt-BR"/>
        </w:rPr>
      </w:pPr>
      <w:r>
        <w:rPr>
          <w:rFonts w:ascii="Verdana" w:hAnsi="Verdana" w:cs="Arial"/>
          <w:lang w:val="pt-BR"/>
        </w:rPr>
        <w:t xml:space="preserve">concessão de mútuos, adiantamentos ou quaisquer espécies de empréstimos pela Emissora a qualquer outra sociedade, integrante ou não do Grupo Econômico, exceto (a) para sociedades controladas, direta ou indiretamente, pela Emissora e cujas demonstrações financeiras sejam consolidadas nas demonstrações financeiras da Emissora; ou (b) se previamente autorizada por Debenturistas reunidos em Assembleia Geral de Debenturistas especialmente convocada para tal finalidade representando, no mínimo, 2/3 das Debêntures em Circulação; ou </w:t>
      </w:r>
    </w:p>
    <w:p>
      <w:pPr>
        <w:pStyle w:val="Level4"/>
        <w:numPr>
          <w:ilvl w:val="0"/>
          <w:numId w:val="0"/>
        </w:numPr>
        <w:tabs>
          <w:tab w:val="left" w:pos="709"/>
          <w:tab w:val="num" w:pos="2268"/>
        </w:tabs>
        <w:spacing w:after="0" w:line="300" w:lineRule="exact"/>
        <w:rPr>
          <w:rFonts w:ascii="Verdana" w:hAnsi="Verdana" w:cs="Arial"/>
          <w:lang w:val="pt-BR"/>
        </w:rPr>
      </w:pPr>
    </w:p>
    <w:p>
      <w:pPr>
        <w:pStyle w:val="Level4"/>
        <w:numPr>
          <w:ilvl w:val="3"/>
          <w:numId w:val="34"/>
        </w:numPr>
        <w:tabs>
          <w:tab w:val="clear" w:pos="2041"/>
          <w:tab w:val="left" w:pos="709"/>
          <w:tab w:val="num" w:pos="1361"/>
          <w:tab w:val="num" w:pos="2268"/>
        </w:tabs>
        <w:spacing w:after="0" w:line="300" w:lineRule="exact"/>
        <w:ind w:left="0" w:firstLine="0"/>
        <w:outlineLvl w:val="3"/>
        <w:rPr>
          <w:rFonts w:ascii="Verdana" w:hAnsi="Verdana" w:cs="Arial"/>
          <w:lang w:val="pt-BR"/>
        </w:rPr>
      </w:pPr>
      <w:r>
        <w:rPr>
          <w:rFonts w:ascii="Verdana" w:hAnsi="Verdana" w:cs="Arial"/>
          <w:lang w:val="pt-BR"/>
        </w:rPr>
        <w:t xml:space="preserve">constituição de garantias reais, pela Emissora e/ou por suas respectivas controladas para qualquer nova dívida, exceto (a) se previamente autorizada por Debenturistas reunidos em Assembleia Geral de Debenturistas especialmente convocada para tal finalidade representando, no mínimo, 2/3 (dois terços) das Debêntures em Circulação, e/ou (b) para endividamentos com garantias de qualquer modalidade, onde tais garantias sejam compartilhadas </w:t>
      </w:r>
      <w:r>
        <w:rPr>
          <w:rFonts w:ascii="Verdana" w:hAnsi="Verdana" w:cs="Arial"/>
          <w:i/>
          <w:lang w:val="pt-BR"/>
        </w:rPr>
        <w:t>pari passu</w:t>
      </w:r>
      <w:r>
        <w:rPr>
          <w:rFonts w:ascii="Verdana" w:hAnsi="Verdana" w:cs="Arial"/>
          <w:lang w:val="pt-BR"/>
        </w:rPr>
        <w:t xml:space="preserve"> com os Debenturistas; e/ou (c) para eventuais contratos de financiamento celebrados com o BNDES e/ou qualquer outra agência de fomento; e/ou (d) para contratos financeiros celebrados com instituições financeiras no âmbito de operações de repasse de recursos ou no âmbito de garantias em favor do BNDES e/ou qualquer outra agência de fomento; e/ou (e) em financiamentos para aquisição de ativos, nos quais os próprios ativos adquiridos sejam objeto da garantia outorgada. </w:t>
      </w:r>
    </w:p>
    <w:p>
      <w:pPr>
        <w:pStyle w:val="Level4"/>
        <w:numPr>
          <w:ilvl w:val="0"/>
          <w:numId w:val="0"/>
        </w:numPr>
        <w:tabs>
          <w:tab w:val="left" w:pos="709"/>
          <w:tab w:val="num" w:pos="1361"/>
        </w:tabs>
        <w:spacing w:after="0" w:line="300" w:lineRule="exact"/>
        <w:outlineLvl w:val="3"/>
        <w:rPr>
          <w:rFonts w:ascii="Verdana" w:hAnsi="Verdana" w:cs="Arial"/>
          <w:lang w:val="pt-BR"/>
        </w:rPr>
      </w:pPr>
    </w:p>
    <w:p>
      <w:pPr>
        <w:pStyle w:val="HOMEBRBodyText"/>
        <w:spacing w:line="300" w:lineRule="exact"/>
        <w:rPr>
          <w:rFonts w:ascii="Verdana" w:hAnsi="Verdana" w:cs="Arial"/>
        </w:rPr>
      </w:pPr>
      <w:r>
        <w:rPr>
          <w:rFonts w:ascii="Verdana" w:hAnsi="Verdana" w:cs="Arial"/>
          <w:b/>
          <w:i/>
        </w:rPr>
        <w:t>Vencimento Antecipado Não Automático</w:t>
      </w:r>
      <w:r>
        <w:rPr>
          <w:rFonts w:ascii="Verdana" w:hAnsi="Verdana" w:cs="Arial"/>
        </w:rPr>
        <w:t xml:space="preserve"> </w:t>
      </w:r>
    </w:p>
    <w:p>
      <w:pPr>
        <w:pStyle w:val="HOMEBRBodyText"/>
        <w:spacing w:line="300" w:lineRule="exact"/>
        <w:rPr>
          <w:rFonts w:ascii="Verdana" w:hAnsi="Verdana" w:cs="Arial"/>
        </w:rPr>
      </w:pPr>
      <w:bookmarkStart w:id="131" w:name="_Ref435660904"/>
      <w:bookmarkStart w:id="132" w:name="_Ref449343651"/>
      <w:bookmarkEnd w:id="128"/>
      <w:bookmarkEnd w:id="129"/>
      <w:r>
        <w:rPr>
          <w:rFonts w:ascii="Verdana" w:hAnsi="Verdana" w:cs="Arial"/>
        </w:rPr>
        <w:t>O Agente Fiduciário deverá, no prazo de até 2 (dois) Dias Úteis contados da data em que tomar ciência da ocorrência de qualquer um dos seguintes eventos, convocar Assembleia Geral de Debenturistas de acordo com o item “Assembleias Gerais de Debenturistas”, para deliberar sobre a eventual não declaração do vencimento antecipado das Debêntures</w:t>
      </w:r>
      <w:bookmarkEnd w:id="131"/>
      <w:r>
        <w:rPr>
          <w:rFonts w:ascii="Verdana" w:hAnsi="Verdana" w:cs="Arial"/>
        </w:rPr>
        <w:t>:</w:t>
      </w:r>
      <w:bookmarkEnd w:id="132"/>
      <w:r>
        <w:rPr>
          <w:rFonts w:ascii="Verdana" w:hAnsi="Verdana" w:cs="Arial"/>
        </w:rPr>
        <w:t xml:space="preserve"> </w:t>
      </w:r>
    </w:p>
    <w:p>
      <w:pPr>
        <w:numPr>
          <w:ilvl w:val="3"/>
          <w:numId w:val="35"/>
        </w:numPr>
        <w:tabs>
          <w:tab w:val="clear" w:pos="2041"/>
          <w:tab w:val="left" w:pos="709"/>
          <w:tab w:val="num" w:pos="1560"/>
        </w:tabs>
        <w:spacing w:after="0" w:line="300" w:lineRule="exact"/>
        <w:ind w:left="0" w:firstLine="0"/>
        <w:rPr>
          <w:rFonts w:ascii="Verdana" w:hAnsi="Verdana" w:cs="Arial"/>
          <w:lang w:val="pt-BR"/>
        </w:rPr>
      </w:pPr>
      <w:r>
        <w:rPr>
          <w:rFonts w:ascii="Verdana" w:hAnsi="Verdana" w:cs="Arial"/>
          <w:lang w:val="pt-BR"/>
        </w:rPr>
        <w:t xml:space="preserve">inadimplemento pela Emissora de qualquer obrigação não pecuniária prevista na Escritura, não sanada no prazo de até 5 Dias Úteis contados do recebimento (a) pela Emissora, de notificação encaminhada pelo Agente Fiduciário neste sentido; ou (b) pelo Agente Fiduciário, de notificação encaminhada pela Emissora neste sentido, o que ocorrer primeiro, sendo que o prazo de cura previsto neste item não se aplica às obrigações para as quais tenha sido estipulado prazo de cura específico; </w:t>
      </w:r>
    </w:p>
    <w:p>
      <w:pPr>
        <w:pStyle w:val="Level4"/>
        <w:numPr>
          <w:ilvl w:val="0"/>
          <w:numId w:val="0"/>
        </w:numPr>
        <w:tabs>
          <w:tab w:val="left" w:pos="709"/>
          <w:tab w:val="num" w:pos="1560"/>
        </w:tabs>
        <w:spacing w:after="0" w:line="300" w:lineRule="exact"/>
        <w:rPr>
          <w:rFonts w:ascii="Verdana" w:hAnsi="Verdana" w:cs="Arial"/>
          <w:lang w:val="pt-BR"/>
        </w:rPr>
      </w:pPr>
    </w:p>
    <w:p>
      <w:pPr>
        <w:pStyle w:val="Level4"/>
        <w:numPr>
          <w:ilvl w:val="3"/>
          <w:numId w:val="31"/>
        </w:numPr>
        <w:tabs>
          <w:tab w:val="clear" w:pos="2041"/>
          <w:tab w:val="left" w:pos="709"/>
          <w:tab w:val="num" w:pos="1560"/>
        </w:tabs>
        <w:spacing w:after="0" w:line="300" w:lineRule="exact"/>
        <w:ind w:left="0" w:firstLine="0"/>
        <w:outlineLvl w:val="3"/>
        <w:rPr>
          <w:rFonts w:ascii="Verdana" w:hAnsi="Verdana" w:cs="Arial"/>
          <w:lang w:val="pt-BR"/>
        </w:rPr>
      </w:pPr>
      <w:r>
        <w:rPr>
          <w:rFonts w:ascii="Verdana" w:hAnsi="Verdana" w:cs="Arial"/>
          <w:lang w:val="pt-BR"/>
        </w:rPr>
        <w:t xml:space="preserve">inadimplemento de qualquer obrigação pecuniária relacionada a operações financeiras e/ou operações no mercado de capitais local ou internacional, da Emissora, </w:t>
      </w:r>
      <w:r>
        <w:rPr>
          <w:rFonts w:ascii="Verdana" w:hAnsi="Verdana" w:cs="Arial"/>
          <w:lang w:val="pt-BR"/>
        </w:rPr>
        <w:lastRenderedPageBreak/>
        <w:t xml:space="preserve">com valor individual ou agregado superior a R$50.000.000,00, exceto se o inadimplemento for sanado nos prazos de cura previstos nos respectivos instrumentos, se houver, e/ou se tal inadimplemento estiver em discussão entre a Emissora e o respectivo credor; </w:t>
      </w:r>
    </w:p>
    <w:p>
      <w:pPr>
        <w:pStyle w:val="Level4"/>
        <w:numPr>
          <w:ilvl w:val="0"/>
          <w:numId w:val="0"/>
        </w:numPr>
        <w:tabs>
          <w:tab w:val="left" w:pos="709"/>
          <w:tab w:val="num" w:pos="1560"/>
        </w:tabs>
        <w:spacing w:after="0" w:line="300" w:lineRule="exact"/>
        <w:rPr>
          <w:rFonts w:ascii="Verdana" w:hAnsi="Verdana" w:cs="Arial"/>
          <w:lang w:val="pt-BR"/>
        </w:rPr>
      </w:pPr>
    </w:p>
    <w:p>
      <w:pPr>
        <w:pStyle w:val="Level4"/>
        <w:numPr>
          <w:ilvl w:val="3"/>
          <w:numId w:val="31"/>
        </w:numPr>
        <w:tabs>
          <w:tab w:val="clear" w:pos="2041"/>
          <w:tab w:val="left" w:pos="709"/>
          <w:tab w:val="num" w:pos="1560"/>
        </w:tabs>
        <w:spacing w:after="0" w:line="300" w:lineRule="exact"/>
        <w:ind w:left="0" w:firstLine="0"/>
        <w:outlineLvl w:val="3"/>
        <w:rPr>
          <w:rFonts w:ascii="Verdana" w:hAnsi="Verdana" w:cs="Arial"/>
          <w:lang w:val="pt-BR"/>
        </w:rPr>
      </w:pPr>
      <w:r>
        <w:rPr>
          <w:rFonts w:ascii="Verdana" w:hAnsi="Verdana" w:cs="Arial"/>
          <w:lang w:val="pt-BR"/>
        </w:rPr>
        <w:t xml:space="preserve">protesto de títulos contra a Emissora, com valor individual ou agregado superior a R$50.000.000,00, não elidido no prazo legal, salvo se a Emissora, conforme aplicável, validamente comprovar ao Agente Fiduciário que (a) o respectivo protesto foi cancelado, (b) foram prestadas pela Emissora, e aceitas pelo Poder Judiciário, garantias em juízo ou (c) que o respectivo protesto foi requerido por erro ou má fé do representante; </w:t>
      </w:r>
    </w:p>
    <w:p>
      <w:pPr>
        <w:pStyle w:val="Level4"/>
        <w:numPr>
          <w:ilvl w:val="0"/>
          <w:numId w:val="0"/>
        </w:numPr>
        <w:tabs>
          <w:tab w:val="left" w:pos="709"/>
          <w:tab w:val="num" w:pos="1560"/>
        </w:tabs>
        <w:spacing w:after="0" w:line="300" w:lineRule="exact"/>
        <w:rPr>
          <w:rFonts w:ascii="Verdana" w:hAnsi="Verdana" w:cs="Arial"/>
          <w:lang w:val="pt-BR"/>
        </w:rPr>
      </w:pPr>
    </w:p>
    <w:p>
      <w:pPr>
        <w:pStyle w:val="Level4"/>
        <w:numPr>
          <w:ilvl w:val="3"/>
          <w:numId w:val="31"/>
        </w:numPr>
        <w:tabs>
          <w:tab w:val="clear" w:pos="2041"/>
          <w:tab w:val="left" w:pos="709"/>
          <w:tab w:val="num" w:pos="1560"/>
        </w:tabs>
        <w:spacing w:after="0" w:line="300" w:lineRule="exact"/>
        <w:ind w:left="0" w:firstLine="0"/>
        <w:outlineLvl w:val="3"/>
        <w:rPr>
          <w:rFonts w:ascii="Verdana" w:hAnsi="Verdana" w:cs="Arial"/>
          <w:lang w:val="pt-BR"/>
        </w:rPr>
      </w:pPr>
      <w:r>
        <w:rPr>
          <w:rFonts w:ascii="Verdana" w:hAnsi="Verdana" w:cs="Arial"/>
          <w:lang w:val="pt-BR"/>
        </w:rPr>
        <w:t>sequestro, expropriação, nacionalização ou desapropriação da totalidade ou parte substancial dos ativos da Emissora, por qualquer autoridade governamental, desde que afete de forma adversa a capacidade de pagamento, pela Emissora, de suas obrigações relativas às Debêntures, exceto se tal ato for cancelado, sustado ou, por qualquer forma, suspenso, em qualquer hipótese, dentro dos prazos legais;</w:t>
      </w:r>
    </w:p>
    <w:p>
      <w:pPr>
        <w:pStyle w:val="Level4"/>
        <w:numPr>
          <w:ilvl w:val="0"/>
          <w:numId w:val="0"/>
        </w:numPr>
        <w:tabs>
          <w:tab w:val="left" w:pos="709"/>
          <w:tab w:val="num" w:pos="1560"/>
        </w:tabs>
        <w:spacing w:after="0" w:line="300" w:lineRule="exact"/>
        <w:rPr>
          <w:rFonts w:ascii="Verdana" w:hAnsi="Verdana" w:cs="Arial"/>
          <w:lang w:val="pt-BR"/>
        </w:rPr>
      </w:pPr>
    </w:p>
    <w:p>
      <w:pPr>
        <w:pStyle w:val="Level4"/>
        <w:numPr>
          <w:ilvl w:val="3"/>
          <w:numId w:val="31"/>
        </w:numPr>
        <w:tabs>
          <w:tab w:val="clear" w:pos="2041"/>
          <w:tab w:val="left" w:pos="709"/>
          <w:tab w:val="num" w:pos="1560"/>
        </w:tabs>
        <w:spacing w:after="0" w:line="300" w:lineRule="exact"/>
        <w:ind w:left="0" w:firstLine="0"/>
        <w:outlineLvl w:val="3"/>
        <w:rPr>
          <w:rFonts w:ascii="Verdana" w:hAnsi="Verdana" w:cs="Arial"/>
          <w:lang w:val="pt-BR"/>
        </w:rPr>
      </w:pPr>
      <w:r>
        <w:rPr>
          <w:rFonts w:ascii="Verdana" w:hAnsi="Verdana" w:cs="Arial"/>
          <w:lang w:val="pt-BR"/>
        </w:rPr>
        <w:t xml:space="preserve">não cumprimento, nos prazos legais aplicáveis, de qualquer decisão ou sentença judicial transitada em julgado ou sentença judicial transitada em julgado, condenação administrativa ou arbitral definitivas em face da Emissora, com valor individual ou agregado superior a R$50.000.000,00; </w:t>
      </w:r>
    </w:p>
    <w:p>
      <w:pPr>
        <w:pStyle w:val="Level4"/>
        <w:numPr>
          <w:ilvl w:val="0"/>
          <w:numId w:val="0"/>
        </w:numPr>
        <w:tabs>
          <w:tab w:val="left" w:pos="709"/>
          <w:tab w:val="num" w:pos="1560"/>
        </w:tabs>
        <w:spacing w:after="0" w:line="300" w:lineRule="exact"/>
        <w:rPr>
          <w:rFonts w:ascii="Verdana" w:hAnsi="Verdana" w:cs="Arial"/>
          <w:lang w:val="pt-BR"/>
        </w:rPr>
      </w:pPr>
    </w:p>
    <w:p>
      <w:pPr>
        <w:pStyle w:val="Level4"/>
        <w:numPr>
          <w:ilvl w:val="3"/>
          <w:numId w:val="31"/>
        </w:numPr>
        <w:tabs>
          <w:tab w:val="clear" w:pos="2041"/>
          <w:tab w:val="left" w:pos="709"/>
          <w:tab w:val="num" w:pos="1560"/>
        </w:tabs>
        <w:spacing w:after="0" w:line="300" w:lineRule="exact"/>
        <w:ind w:left="0" w:firstLine="0"/>
        <w:outlineLvl w:val="3"/>
        <w:rPr>
          <w:rFonts w:ascii="Verdana" w:hAnsi="Verdana" w:cs="Arial"/>
          <w:lang w:val="pt-BR"/>
        </w:rPr>
      </w:pPr>
      <w:r>
        <w:rPr>
          <w:rFonts w:ascii="Verdana" w:hAnsi="Verdana" w:cs="Arial"/>
          <w:lang w:val="pt-BR"/>
        </w:rPr>
        <w:t xml:space="preserve">não renovação, cancelamento, revogação ou suspensão de autorização, concessão, subvenção, alvará ou licença, desde que afetem, de maneira justificada, a capacidade da Emissora de honrar tempestivamente as obrigações pecuniárias previstas na Escritura; </w:t>
      </w:r>
    </w:p>
    <w:p>
      <w:pPr>
        <w:pStyle w:val="Level4"/>
        <w:numPr>
          <w:ilvl w:val="0"/>
          <w:numId w:val="0"/>
        </w:numPr>
        <w:tabs>
          <w:tab w:val="left" w:pos="709"/>
          <w:tab w:val="num" w:pos="1560"/>
        </w:tabs>
        <w:spacing w:after="0" w:line="300" w:lineRule="exact"/>
        <w:rPr>
          <w:rFonts w:ascii="Verdana" w:hAnsi="Verdana" w:cs="Arial"/>
          <w:lang w:val="pt-BR"/>
        </w:rPr>
      </w:pPr>
    </w:p>
    <w:p>
      <w:pPr>
        <w:pStyle w:val="Level4"/>
        <w:numPr>
          <w:ilvl w:val="3"/>
          <w:numId w:val="31"/>
        </w:numPr>
        <w:tabs>
          <w:tab w:val="clear" w:pos="2041"/>
          <w:tab w:val="left" w:pos="709"/>
          <w:tab w:val="num" w:pos="1560"/>
        </w:tabs>
        <w:spacing w:after="0" w:line="300" w:lineRule="exact"/>
        <w:ind w:left="0" w:firstLine="0"/>
        <w:outlineLvl w:val="3"/>
        <w:rPr>
          <w:rFonts w:ascii="Verdana" w:hAnsi="Verdana" w:cs="Arial"/>
          <w:lang w:val="pt-BR"/>
        </w:rPr>
      </w:pPr>
      <w:r>
        <w:rPr>
          <w:rFonts w:ascii="Verdana" w:hAnsi="Verdana" w:cs="Arial"/>
          <w:lang w:val="pt-BR"/>
        </w:rPr>
        <w:t xml:space="preserve">venda ou transferência de ativos da Emissora e/ou de suas controladas com valor individual ou agregado superior a 5% do patrimônio líquido da Emissora apurado com base nas demonstrações financeiras divulgadas da Emissora mais recentes, incluindo participações societárias por elas detidas, direta ou indiretamente, exceto caso (a) o valor integral da venda dos ativos seja reinvestido na Emissora e/ou em sociedades do Grupo Econômico; ou (b) a transferência seja realizada para sociedades cujas demonstrações financeiras sejam consolidadas nas demonstrações financeiras da Emissora; </w:t>
      </w:r>
    </w:p>
    <w:p>
      <w:pPr>
        <w:pStyle w:val="Level4"/>
        <w:numPr>
          <w:ilvl w:val="0"/>
          <w:numId w:val="0"/>
        </w:numPr>
        <w:tabs>
          <w:tab w:val="left" w:pos="709"/>
          <w:tab w:val="num" w:pos="1560"/>
        </w:tabs>
        <w:spacing w:after="0" w:line="300" w:lineRule="exact"/>
        <w:rPr>
          <w:rFonts w:ascii="Verdana" w:hAnsi="Verdana" w:cs="Arial"/>
          <w:lang w:val="pt-BR"/>
        </w:rPr>
      </w:pPr>
    </w:p>
    <w:p>
      <w:pPr>
        <w:pStyle w:val="Level4"/>
        <w:numPr>
          <w:ilvl w:val="3"/>
          <w:numId w:val="31"/>
        </w:numPr>
        <w:tabs>
          <w:tab w:val="clear" w:pos="2041"/>
          <w:tab w:val="left" w:pos="709"/>
          <w:tab w:val="num" w:pos="1560"/>
        </w:tabs>
        <w:spacing w:after="0" w:line="300" w:lineRule="exact"/>
        <w:ind w:left="0" w:firstLine="0"/>
        <w:outlineLvl w:val="3"/>
        <w:rPr>
          <w:rFonts w:ascii="Verdana" w:hAnsi="Verdana" w:cs="Arial"/>
          <w:lang w:val="pt-BR"/>
        </w:rPr>
      </w:pPr>
      <w:r>
        <w:rPr>
          <w:rFonts w:ascii="Verdana" w:hAnsi="Verdana" w:cs="Arial"/>
          <w:lang w:val="pt-BR"/>
        </w:rPr>
        <w:t xml:space="preserve">provarem-se inconsistentes, incorretas, ou incompletas, quaisquer declarações ou garantias prestadas pela Emissora na Escritura e/ou em qualquer dos demais documentos relacionados à Emissão e desde que tal inconsistência, incorreção, ou incompletude seja relevante e, comprovadamente, tenha acarretado prejuízo aos Debenturistas; </w:t>
      </w:r>
    </w:p>
    <w:p>
      <w:pPr>
        <w:pStyle w:val="PargrafodaLista"/>
        <w:tabs>
          <w:tab w:val="left" w:pos="709"/>
          <w:tab w:val="num" w:pos="1560"/>
        </w:tabs>
        <w:spacing w:line="300" w:lineRule="exact"/>
        <w:ind w:left="0"/>
        <w:rPr>
          <w:rFonts w:ascii="Verdana" w:hAnsi="Verdana" w:cs="Arial"/>
        </w:rPr>
      </w:pPr>
    </w:p>
    <w:p>
      <w:pPr>
        <w:pStyle w:val="Level4"/>
        <w:numPr>
          <w:ilvl w:val="3"/>
          <w:numId w:val="31"/>
        </w:numPr>
        <w:tabs>
          <w:tab w:val="clear" w:pos="2041"/>
          <w:tab w:val="left" w:pos="709"/>
          <w:tab w:val="num" w:pos="1560"/>
        </w:tabs>
        <w:spacing w:after="0" w:line="300" w:lineRule="exact"/>
        <w:ind w:left="0" w:firstLine="0"/>
        <w:outlineLvl w:val="3"/>
        <w:rPr>
          <w:rFonts w:ascii="Verdana" w:hAnsi="Verdana" w:cs="Arial"/>
          <w:lang w:val="pt-BR"/>
        </w:rPr>
      </w:pPr>
      <w:r>
        <w:rPr>
          <w:rFonts w:ascii="Verdana" w:hAnsi="Verdana" w:cs="Arial"/>
          <w:lang w:val="pt-BR"/>
        </w:rPr>
        <w:lastRenderedPageBreak/>
        <w:t>provarem-se falsas quaisquer declarações ou garantias prestadas pela Emissora na Escritura e/ou em qualquer dos demais documentos relacionados à Emissão;</w:t>
      </w:r>
    </w:p>
    <w:p>
      <w:pPr>
        <w:pStyle w:val="Level4"/>
        <w:numPr>
          <w:ilvl w:val="0"/>
          <w:numId w:val="0"/>
        </w:numPr>
        <w:tabs>
          <w:tab w:val="left" w:pos="709"/>
          <w:tab w:val="num" w:pos="1560"/>
        </w:tabs>
        <w:spacing w:after="0" w:line="300" w:lineRule="exact"/>
        <w:rPr>
          <w:rFonts w:ascii="Verdana" w:hAnsi="Verdana" w:cs="Arial"/>
          <w:lang w:val="pt-BR"/>
        </w:rPr>
      </w:pPr>
    </w:p>
    <w:p>
      <w:pPr>
        <w:pStyle w:val="Level4"/>
        <w:numPr>
          <w:ilvl w:val="3"/>
          <w:numId w:val="31"/>
        </w:numPr>
        <w:tabs>
          <w:tab w:val="clear" w:pos="2041"/>
          <w:tab w:val="left" w:pos="709"/>
          <w:tab w:val="num" w:pos="1560"/>
        </w:tabs>
        <w:spacing w:after="0" w:line="300" w:lineRule="exact"/>
        <w:ind w:left="0" w:firstLine="0"/>
        <w:outlineLvl w:val="3"/>
        <w:rPr>
          <w:rFonts w:ascii="Verdana" w:hAnsi="Verdana" w:cs="Arial"/>
          <w:lang w:val="pt-BR"/>
        </w:rPr>
      </w:pPr>
      <w:r>
        <w:rPr>
          <w:rFonts w:ascii="Verdana" w:hAnsi="Verdana" w:cs="Arial"/>
          <w:lang w:val="pt-BR"/>
        </w:rPr>
        <w:t>caso a existência, validade, legalidade ou exequibilidade da Escritura venham a ser questionadas judicialmente pela Emissora ou por quaisquer das sociedades pertencentes ao Grupo Econômico; e</w:t>
      </w:r>
    </w:p>
    <w:p>
      <w:pPr>
        <w:pStyle w:val="Level4"/>
        <w:numPr>
          <w:ilvl w:val="0"/>
          <w:numId w:val="0"/>
        </w:numPr>
        <w:tabs>
          <w:tab w:val="left" w:pos="709"/>
          <w:tab w:val="num" w:pos="1560"/>
        </w:tabs>
        <w:spacing w:after="0" w:line="300" w:lineRule="exact"/>
        <w:rPr>
          <w:rFonts w:ascii="Verdana" w:hAnsi="Verdana" w:cs="Arial"/>
          <w:lang w:val="pt-BR"/>
        </w:rPr>
      </w:pPr>
      <w:bookmarkStart w:id="133" w:name="_Ref448411226"/>
    </w:p>
    <w:p>
      <w:pPr>
        <w:pStyle w:val="Level4"/>
        <w:numPr>
          <w:ilvl w:val="3"/>
          <w:numId w:val="31"/>
        </w:numPr>
        <w:tabs>
          <w:tab w:val="clear" w:pos="2041"/>
          <w:tab w:val="left" w:pos="709"/>
          <w:tab w:val="num" w:pos="1560"/>
        </w:tabs>
        <w:spacing w:after="0" w:line="300" w:lineRule="exact"/>
        <w:ind w:left="0" w:firstLine="0"/>
        <w:outlineLvl w:val="3"/>
        <w:rPr>
          <w:rFonts w:ascii="Verdana" w:hAnsi="Verdana" w:cs="Arial"/>
          <w:lang w:val="pt-BR"/>
        </w:rPr>
      </w:pPr>
      <w:r>
        <w:rPr>
          <w:rFonts w:ascii="Verdana" w:hAnsi="Verdana" w:cs="Arial"/>
          <w:lang w:val="pt-BR"/>
        </w:rPr>
        <w:t>não observância dos seguintes índices financeiros pela Emissora, os quais serão calculados anualmente pela Emissora e verificados pelo Agente Fiduciário, a partir das demonstrações financeiras anuais consolidadas auditadas da Emissora, durante toda a vigência da Emissão, sendo a primeira apuração relativa ao exercício social encerrado em 31 de dezembro de 2019:</w:t>
      </w:r>
      <w:bookmarkEnd w:id="133"/>
      <w:r>
        <w:rPr>
          <w:rFonts w:ascii="Verdana" w:hAnsi="Verdana" w:cs="Arial"/>
          <w:lang w:val="pt-BR"/>
        </w:rPr>
        <w:t xml:space="preserve"> </w:t>
      </w:r>
    </w:p>
    <w:p>
      <w:pPr>
        <w:pStyle w:val="Level4"/>
        <w:numPr>
          <w:ilvl w:val="0"/>
          <w:numId w:val="0"/>
        </w:numPr>
        <w:tabs>
          <w:tab w:val="left" w:pos="709"/>
        </w:tabs>
        <w:spacing w:after="240" w:line="300" w:lineRule="exact"/>
        <w:contextualSpacing/>
        <w:outlineLvl w:val="3"/>
        <w:rPr>
          <w:rFonts w:ascii="Verdana" w:hAnsi="Verdana" w:cs="Arial"/>
          <w:lang w:val="pt-BR"/>
        </w:rPr>
      </w:pPr>
    </w:p>
    <w:p>
      <w:pPr>
        <w:pStyle w:val="Level5"/>
        <w:numPr>
          <w:ilvl w:val="4"/>
          <w:numId w:val="31"/>
        </w:numPr>
        <w:tabs>
          <w:tab w:val="clear" w:pos="2721"/>
          <w:tab w:val="num" w:pos="2127"/>
        </w:tabs>
        <w:spacing w:after="0" w:line="300" w:lineRule="exact"/>
        <w:ind w:left="709" w:hanging="709"/>
        <w:rPr>
          <w:rFonts w:ascii="Verdana" w:hAnsi="Verdana" w:cs="Arial"/>
          <w:lang w:val="pt-BR"/>
        </w:rPr>
      </w:pPr>
      <w:r>
        <w:rPr>
          <w:rFonts w:ascii="Verdana" w:hAnsi="Verdana" w:cs="Arial"/>
          <w:lang w:val="pt-BR"/>
        </w:rPr>
        <w:t xml:space="preserve">Índice de Alavancagem: </w:t>
      </w:r>
    </w:p>
    <w:p>
      <w:pPr>
        <w:pStyle w:val="Level6"/>
        <w:numPr>
          <w:ilvl w:val="0"/>
          <w:numId w:val="0"/>
        </w:numPr>
        <w:tabs>
          <w:tab w:val="num" w:pos="2127"/>
        </w:tabs>
        <w:spacing w:after="0" w:line="300" w:lineRule="exact"/>
        <w:ind w:left="709" w:hanging="709"/>
        <w:rPr>
          <w:rFonts w:ascii="Verdana" w:hAnsi="Verdana" w:cs="Arial"/>
        </w:rPr>
      </w:pPr>
    </w:p>
    <w:p>
      <w:pPr>
        <w:pStyle w:val="Level6"/>
        <w:numPr>
          <w:ilvl w:val="5"/>
          <w:numId w:val="31"/>
        </w:numPr>
        <w:tabs>
          <w:tab w:val="clear" w:pos="3402"/>
          <w:tab w:val="num" w:pos="2127"/>
          <w:tab w:val="num" w:pos="2721"/>
        </w:tabs>
        <w:spacing w:after="0" w:line="300" w:lineRule="exact"/>
        <w:ind w:left="709" w:hanging="709"/>
        <w:rPr>
          <w:rFonts w:ascii="Verdana" w:hAnsi="Verdana" w:cs="Arial"/>
          <w:lang w:val="pt-BR"/>
        </w:rPr>
      </w:pPr>
      <w:r>
        <w:rPr>
          <w:rFonts w:ascii="Verdana" w:hAnsi="Verdana" w:cs="Arial"/>
          <w:lang w:val="pt-BR"/>
        </w:rPr>
        <w:t xml:space="preserve">Dívida Financeira Líquida / EBITDA ≤ 3,6x, com relação às demonstrações financeiras relativas ao período encerrado em 31 de dezembro de 2019. </w:t>
      </w:r>
    </w:p>
    <w:p>
      <w:pPr>
        <w:pStyle w:val="Level6"/>
        <w:numPr>
          <w:ilvl w:val="0"/>
          <w:numId w:val="0"/>
        </w:numPr>
        <w:tabs>
          <w:tab w:val="num" w:pos="2127"/>
        </w:tabs>
        <w:spacing w:after="0" w:line="300" w:lineRule="exact"/>
        <w:ind w:left="709" w:hanging="709"/>
        <w:rPr>
          <w:rFonts w:ascii="Verdana" w:hAnsi="Verdana" w:cs="Arial"/>
          <w:lang w:val="pt-BR"/>
        </w:rPr>
      </w:pPr>
    </w:p>
    <w:p>
      <w:pPr>
        <w:pStyle w:val="Level6"/>
        <w:numPr>
          <w:ilvl w:val="5"/>
          <w:numId w:val="31"/>
        </w:numPr>
        <w:tabs>
          <w:tab w:val="clear" w:pos="3402"/>
          <w:tab w:val="num" w:pos="2127"/>
          <w:tab w:val="num" w:pos="2721"/>
        </w:tabs>
        <w:spacing w:after="0" w:line="300" w:lineRule="exact"/>
        <w:ind w:left="709" w:hanging="709"/>
        <w:rPr>
          <w:rFonts w:ascii="Verdana" w:hAnsi="Verdana" w:cs="Arial"/>
          <w:lang w:val="pt-BR"/>
        </w:rPr>
      </w:pPr>
      <w:r>
        <w:rPr>
          <w:rFonts w:ascii="Verdana" w:hAnsi="Verdana" w:cs="Arial"/>
          <w:lang w:val="pt-BR"/>
        </w:rPr>
        <w:t>Dívida Financeira Líquida / EBITDA ≤ 3,3x, com relação às demonstrações financeiras relativas ao período encerrado em 31 de dezembro de 2020.</w:t>
      </w:r>
    </w:p>
    <w:p>
      <w:pPr>
        <w:pStyle w:val="Level6"/>
        <w:numPr>
          <w:ilvl w:val="0"/>
          <w:numId w:val="0"/>
        </w:numPr>
        <w:tabs>
          <w:tab w:val="num" w:pos="2127"/>
        </w:tabs>
        <w:spacing w:after="0" w:line="300" w:lineRule="exact"/>
        <w:ind w:left="709" w:hanging="709"/>
        <w:rPr>
          <w:rFonts w:ascii="Verdana" w:hAnsi="Verdana" w:cs="Arial"/>
          <w:lang w:val="pt-BR"/>
        </w:rPr>
      </w:pPr>
    </w:p>
    <w:p>
      <w:pPr>
        <w:pStyle w:val="Level6"/>
        <w:numPr>
          <w:ilvl w:val="5"/>
          <w:numId w:val="31"/>
        </w:numPr>
        <w:tabs>
          <w:tab w:val="clear" w:pos="3402"/>
          <w:tab w:val="num" w:pos="2127"/>
          <w:tab w:val="num" w:pos="2721"/>
        </w:tabs>
        <w:spacing w:after="0" w:line="300" w:lineRule="exact"/>
        <w:ind w:left="709" w:hanging="709"/>
        <w:rPr>
          <w:rFonts w:ascii="Verdana" w:hAnsi="Verdana" w:cs="Arial"/>
          <w:lang w:val="pt-BR"/>
        </w:rPr>
      </w:pPr>
      <w:r>
        <w:rPr>
          <w:rFonts w:ascii="Verdana" w:hAnsi="Verdana" w:cs="Arial"/>
          <w:lang w:val="pt-BR"/>
        </w:rPr>
        <w:t>Dívida Financeira Líquida / EBITDA ≤ 3,0x, com relação às demonstrações financeiras relativas aos períodos encerrados a partir de 31 de dezembro de 2021, inclusive.</w:t>
      </w:r>
    </w:p>
    <w:p>
      <w:pPr>
        <w:pStyle w:val="Level6"/>
        <w:numPr>
          <w:ilvl w:val="0"/>
          <w:numId w:val="0"/>
        </w:numPr>
        <w:tabs>
          <w:tab w:val="num" w:pos="2721"/>
        </w:tabs>
        <w:spacing w:after="0" w:line="300" w:lineRule="exact"/>
        <w:ind w:left="709"/>
        <w:rPr>
          <w:rFonts w:ascii="Verdana" w:hAnsi="Verdana" w:cs="Arial"/>
          <w:lang w:val="pt-BR"/>
        </w:rPr>
      </w:pPr>
    </w:p>
    <w:p>
      <w:pPr>
        <w:pStyle w:val="Level5"/>
        <w:numPr>
          <w:ilvl w:val="4"/>
          <w:numId w:val="31"/>
        </w:numPr>
        <w:tabs>
          <w:tab w:val="clear" w:pos="2721"/>
          <w:tab w:val="num" w:pos="2127"/>
        </w:tabs>
        <w:spacing w:after="0" w:line="300" w:lineRule="exact"/>
        <w:ind w:left="709" w:hanging="709"/>
        <w:rPr>
          <w:rFonts w:ascii="Verdana" w:hAnsi="Verdana" w:cs="Arial"/>
          <w:lang w:val="pt-BR"/>
        </w:rPr>
      </w:pPr>
      <w:r>
        <w:rPr>
          <w:rFonts w:ascii="Verdana" w:hAnsi="Verdana" w:cs="Arial"/>
          <w:lang w:val="pt-BR"/>
        </w:rPr>
        <w:t xml:space="preserve">Índice de Cobertura de Juros: </w:t>
      </w:r>
    </w:p>
    <w:p>
      <w:pPr>
        <w:pStyle w:val="Level6"/>
        <w:numPr>
          <w:ilvl w:val="0"/>
          <w:numId w:val="0"/>
        </w:numPr>
        <w:tabs>
          <w:tab w:val="num" w:pos="2127"/>
        </w:tabs>
        <w:spacing w:after="0" w:line="300" w:lineRule="exact"/>
        <w:ind w:left="709" w:hanging="709"/>
        <w:rPr>
          <w:rFonts w:ascii="Verdana" w:hAnsi="Verdana" w:cs="Arial"/>
          <w:lang w:val="pt-BR"/>
        </w:rPr>
      </w:pPr>
    </w:p>
    <w:p>
      <w:pPr>
        <w:pStyle w:val="Level6"/>
        <w:numPr>
          <w:ilvl w:val="5"/>
          <w:numId w:val="31"/>
        </w:numPr>
        <w:tabs>
          <w:tab w:val="clear" w:pos="3402"/>
          <w:tab w:val="num" w:pos="2127"/>
          <w:tab w:val="num" w:pos="2721"/>
        </w:tabs>
        <w:spacing w:after="0" w:line="300" w:lineRule="exact"/>
        <w:ind w:left="709" w:hanging="709"/>
        <w:rPr>
          <w:rFonts w:ascii="Verdana" w:hAnsi="Verdana" w:cs="Arial"/>
          <w:lang w:val="pt-BR"/>
        </w:rPr>
      </w:pPr>
      <w:r>
        <w:rPr>
          <w:rFonts w:ascii="Verdana" w:hAnsi="Verdana" w:cs="Arial"/>
          <w:lang w:val="pt-BR"/>
        </w:rPr>
        <w:t>EBITDA / Resultado Financeiro ≥ 1,70x, com relação às demonstrações financeiras relativas ao período encerrado em 31 de dezembro de 2019.</w:t>
      </w:r>
    </w:p>
    <w:p>
      <w:pPr>
        <w:pStyle w:val="Level6"/>
        <w:numPr>
          <w:ilvl w:val="0"/>
          <w:numId w:val="0"/>
        </w:numPr>
        <w:tabs>
          <w:tab w:val="num" w:pos="2127"/>
        </w:tabs>
        <w:spacing w:after="0" w:line="300" w:lineRule="exact"/>
        <w:ind w:left="709" w:hanging="709"/>
        <w:rPr>
          <w:rFonts w:ascii="Verdana" w:hAnsi="Verdana" w:cs="Arial"/>
          <w:lang w:val="pt-BR"/>
        </w:rPr>
      </w:pPr>
    </w:p>
    <w:p>
      <w:pPr>
        <w:pStyle w:val="Level6"/>
        <w:numPr>
          <w:ilvl w:val="5"/>
          <w:numId w:val="31"/>
        </w:numPr>
        <w:tabs>
          <w:tab w:val="clear" w:pos="3402"/>
          <w:tab w:val="num" w:pos="2127"/>
          <w:tab w:val="num" w:pos="2721"/>
        </w:tabs>
        <w:spacing w:after="0" w:line="300" w:lineRule="exact"/>
        <w:ind w:left="709" w:hanging="709"/>
        <w:rPr>
          <w:rFonts w:ascii="Verdana" w:hAnsi="Verdana" w:cs="Arial"/>
          <w:lang w:val="pt-BR"/>
        </w:rPr>
      </w:pPr>
      <w:r>
        <w:rPr>
          <w:rFonts w:ascii="Verdana" w:hAnsi="Verdana" w:cs="Arial"/>
          <w:lang w:val="pt-BR"/>
        </w:rPr>
        <w:t>EBITDA / Resultado Financeiro ≥ 2,00x, com relação às demonstrações financeiras relativas aos períodos encerrados a partir de 31 de dezembro de 2020, inclusive.</w:t>
      </w:r>
    </w:p>
    <w:p>
      <w:pPr>
        <w:pStyle w:val="STDTextoDois-Quatro"/>
        <w:tabs>
          <w:tab w:val="num" w:pos="2127"/>
        </w:tabs>
        <w:spacing w:before="0" w:line="300" w:lineRule="exact"/>
        <w:ind w:left="709" w:hanging="709"/>
        <w:rPr>
          <w:rFonts w:ascii="Verdana" w:hAnsi="Verdana" w:cs="Arial"/>
          <w:szCs w:val="20"/>
          <w:lang w:val="pt-BR"/>
        </w:rPr>
      </w:pPr>
    </w:p>
    <w:p>
      <w:pPr>
        <w:pStyle w:val="STDTextoDois-Quatro"/>
        <w:tabs>
          <w:tab w:val="num" w:pos="2127"/>
        </w:tabs>
        <w:spacing w:before="0" w:line="300" w:lineRule="exact"/>
        <w:ind w:left="0"/>
        <w:rPr>
          <w:rFonts w:ascii="Verdana" w:hAnsi="Verdana" w:cs="Arial"/>
          <w:szCs w:val="20"/>
          <w:lang w:val="pt-BR"/>
        </w:rPr>
      </w:pPr>
      <w:r>
        <w:rPr>
          <w:rFonts w:ascii="Verdana" w:hAnsi="Verdana" w:cs="Arial"/>
          <w:szCs w:val="20"/>
          <w:lang w:val="pt-BR"/>
        </w:rPr>
        <w:t>Considera-se no conceito de “</w:t>
      </w:r>
      <w:r>
        <w:rPr>
          <w:rFonts w:ascii="Verdana" w:hAnsi="Verdana" w:cs="Arial"/>
          <w:szCs w:val="20"/>
          <w:u w:val="single"/>
          <w:lang w:val="pt-BR"/>
        </w:rPr>
        <w:t>Resultado Financeiro</w:t>
      </w:r>
      <w:r>
        <w:rPr>
          <w:rFonts w:ascii="Verdana" w:hAnsi="Verdana" w:cs="Arial"/>
          <w:szCs w:val="20"/>
          <w:lang w:val="pt-BR"/>
        </w:rPr>
        <w:t xml:space="preserve">”, no âmbito desta Emissão: (i) a soma de despesas financeiras oriundas de financiamentos bancários, operações de mercado de capitais, operações de </w:t>
      </w:r>
      <w:r>
        <w:rPr>
          <w:rFonts w:ascii="Verdana" w:hAnsi="Verdana" w:cs="Arial"/>
          <w:i/>
          <w:szCs w:val="20"/>
          <w:lang w:val="pt-BR"/>
        </w:rPr>
        <w:t xml:space="preserve">leasing </w:t>
      </w:r>
      <w:r>
        <w:rPr>
          <w:rFonts w:ascii="Verdana" w:hAnsi="Verdana" w:cs="Arial"/>
          <w:szCs w:val="20"/>
          <w:lang w:val="pt-BR"/>
        </w:rPr>
        <w:t>financeiro e Certificados de Recebíveis Imobiliários – CRI, juros ativos e passivos sobre mútuos, amortização de ágio e deságio na cessão de direitos creditórios, resultado líquido de operações de derivativos e variações monetárias e cambiais ativas e passivas; (ii) menos receitas financeiras de aplicações financeiras.</w:t>
      </w:r>
    </w:p>
    <w:p>
      <w:pPr>
        <w:pStyle w:val="STDTextoDois-Quatro"/>
        <w:tabs>
          <w:tab w:val="num" w:pos="2127"/>
        </w:tabs>
        <w:spacing w:before="0" w:line="300" w:lineRule="exact"/>
        <w:ind w:left="709" w:hanging="709"/>
        <w:rPr>
          <w:rFonts w:ascii="Verdana" w:hAnsi="Verdana" w:cs="Arial"/>
          <w:szCs w:val="20"/>
          <w:lang w:val="pt-BR"/>
        </w:rPr>
      </w:pPr>
      <w:r>
        <w:rPr>
          <w:rFonts w:ascii="Verdana" w:hAnsi="Verdana" w:cs="Arial"/>
          <w:szCs w:val="20"/>
          <w:lang w:val="pt-BR"/>
        </w:rPr>
        <w:t>Considera-se como:</w:t>
      </w:r>
    </w:p>
    <w:p>
      <w:pPr>
        <w:pStyle w:val="STDTextoDois-Quatro"/>
        <w:tabs>
          <w:tab w:val="num" w:pos="2127"/>
        </w:tabs>
        <w:spacing w:before="0" w:line="300" w:lineRule="exact"/>
        <w:ind w:left="709" w:hanging="709"/>
        <w:rPr>
          <w:rFonts w:ascii="Verdana" w:hAnsi="Verdana" w:cs="Arial"/>
          <w:szCs w:val="20"/>
          <w:lang w:val="pt-BR"/>
        </w:rPr>
      </w:pPr>
    </w:p>
    <w:p>
      <w:pPr>
        <w:pStyle w:val="STDTextoDois-Quatro"/>
        <w:tabs>
          <w:tab w:val="num" w:pos="2127"/>
        </w:tabs>
        <w:spacing w:before="0" w:line="300" w:lineRule="exact"/>
        <w:ind w:left="0"/>
        <w:rPr>
          <w:rFonts w:ascii="Verdana" w:hAnsi="Verdana" w:cs="Arial"/>
          <w:szCs w:val="20"/>
          <w:lang w:val="pt-BR"/>
        </w:rPr>
      </w:pPr>
      <w:r>
        <w:rPr>
          <w:rFonts w:ascii="Verdana" w:hAnsi="Verdana" w:cs="Arial"/>
          <w:szCs w:val="20"/>
          <w:lang w:val="pt-BR"/>
        </w:rPr>
        <w:t>“</w:t>
      </w:r>
      <w:r>
        <w:rPr>
          <w:rFonts w:ascii="Verdana" w:hAnsi="Verdana" w:cs="Arial"/>
          <w:szCs w:val="20"/>
          <w:u w:val="single"/>
          <w:lang w:val="pt-BR"/>
        </w:rPr>
        <w:t>Dívida Financeira Líquida</w:t>
      </w:r>
      <w:r>
        <w:rPr>
          <w:rFonts w:ascii="Verdana" w:hAnsi="Verdana" w:cs="Arial"/>
          <w:szCs w:val="20"/>
          <w:lang w:val="pt-BR"/>
        </w:rPr>
        <w:t xml:space="preserve">”, a soma de todos os empréstimos bancários de curto e longo prazo e de quaisquer exigíveis decorrentes da emissão de títulos ou bônus, conversíveis ou não, no mercado de capitais ou internacional, incluindo Leasing Financeiro, CRIs (Certificados de Recebíveis Imobiliários), títulos descontados com regresso, as fianças e avais prestados em benefícios de terceiros que não façam parte do Grupo Econômico, bem como do resultado líquido a pagar (ou receber) de operações de derivativos utilizadas para contratação de </w:t>
      </w:r>
      <w:r>
        <w:rPr>
          <w:rFonts w:ascii="Verdana" w:hAnsi="Verdana" w:cs="Arial"/>
          <w:i/>
          <w:szCs w:val="20"/>
          <w:lang w:val="pt-BR"/>
        </w:rPr>
        <w:t>hedge</w:t>
      </w:r>
      <w:r>
        <w:rPr>
          <w:rFonts w:ascii="Verdana" w:hAnsi="Verdana" w:cs="Arial"/>
          <w:szCs w:val="20"/>
          <w:lang w:val="pt-BR"/>
        </w:rPr>
        <w:t xml:space="preserve"> de dívidas ou disponibilidades </w:t>
      </w:r>
      <w:r>
        <w:rPr>
          <w:rFonts w:ascii="Verdana" w:hAnsi="Verdana" w:cs="Arial"/>
          <w:iCs/>
          <w:szCs w:val="20"/>
          <w:lang w:val="pt-BR"/>
        </w:rPr>
        <w:t>(composta pela soma do caixa e equivalentes de caixa, títulos e valores mobiliários)</w:t>
      </w:r>
      <w:r>
        <w:rPr>
          <w:rFonts w:ascii="Verdana" w:hAnsi="Verdana" w:cs="Arial"/>
          <w:szCs w:val="20"/>
          <w:lang w:val="pt-BR"/>
        </w:rPr>
        <w:t>, deduzidos de quaisquer disponibilidades, saldos de contas vinculadas dadas em garantia de dívidas, ou aplicações financeiras em contas no Brasil ou no exterior;</w:t>
      </w:r>
    </w:p>
    <w:p>
      <w:pPr>
        <w:pStyle w:val="STDTextoDois-Quatro"/>
        <w:tabs>
          <w:tab w:val="num" w:pos="2127"/>
        </w:tabs>
        <w:spacing w:before="0" w:line="300" w:lineRule="exact"/>
        <w:ind w:left="0"/>
        <w:rPr>
          <w:rFonts w:ascii="Verdana" w:hAnsi="Verdana" w:cs="Arial"/>
          <w:iCs/>
          <w:szCs w:val="20"/>
          <w:lang w:val="pt-BR"/>
        </w:rPr>
      </w:pPr>
    </w:p>
    <w:p>
      <w:pPr>
        <w:pStyle w:val="STDTextoDois-Quatro"/>
        <w:tabs>
          <w:tab w:val="num" w:pos="2127"/>
        </w:tabs>
        <w:spacing w:before="0" w:line="300" w:lineRule="exact"/>
        <w:ind w:left="0"/>
        <w:rPr>
          <w:rFonts w:ascii="Verdana" w:hAnsi="Verdana" w:cs="Arial"/>
          <w:szCs w:val="20"/>
          <w:lang w:val="pt-BR"/>
        </w:rPr>
      </w:pPr>
      <w:r>
        <w:rPr>
          <w:rFonts w:ascii="Verdana" w:hAnsi="Verdana" w:cs="Arial"/>
          <w:iCs/>
          <w:szCs w:val="20"/>
        </w:rPr>
        <w:t>“</w:t>
      </w:r>
      <w:r>
        <w:rPr>
          <w:rFonts w:ascii="Verdana" w:hAnsi="Verdana" w:cs="Arial"/>
          <w:bCs/>
          <w:iCs/>
          <w:szCs w:val="20"/>
          <w:u w:val="single"/>
        </w:rPr>
        <w:t>Leasing Financeiro</w:t>
      </w:r>
      <w:r>
        <w:rPr>
          <w:rFonts w:ascii="Verdana" w:hAnsi="Verdana" w:cs="Arial"/>
          <w:iCs/>
          <w:szCs w:val="20"/>
        </w:rPr>
        <w:t>”, os contratos enquadrados no pronunciamento IAS 17 – Operações de Arrendamento Mercantil vigentes na presente data. Os arrendamentos oriundos dos contratos de concessão celebrados com a Emissora não se enquadram no conceito de Dívida Financeira Líquida, independente da aplicação no novo pronunciamento contábil IFRS 16 – Arrendamentos vigente a partir de 1 de janeiro de 2019.</w:t>
      </w:r>
      <w:r>
        <w:rPr>
          <w:rFonts w:ascii="Verdana" w:hAnsi="Verdana" w:cs="Arial"/>
          <w:szCs w:val="20"/>
          <w:lang w:val="pt-BR"/>
        </w:rPr>
        <w:t xml:space="preserve"> </w:t>
      </w:r>
    </w:p>
    <w:p>
      <w:pPr>
        <w:pStyle w:val="STDTextoDois-Quatro"/>
        <w:tabs>
          <w:tab w:val="num" w:pos="2127"/>
        </w:tabs>
        <w:spacing w:before="0" w:line="300" w:lineRule="exact"/>
        <w:ind w:left="0"/>
        <w:rPr>
          <w:rFonts w:ascii="Verdana" w:hAnsi="Verdana" w:cs="Arial"/>
          <w:szCs w:val="20"/>
          <w:lang w:val="pt-BR"/>
        </w:rPr>
      </w:pPr>
    </w:p>
    <w:p>
      <w:pPr>
        <w:pStyle w:val="STDTextoDois-Quatro"/>
        <w:tabs>
          <w:tab w:val="num" w:pos="2127"/>
        </w:tabs>
        <w:spacing w:before="0" w:line="300" w:lineRule="exact"/>
        <w:ind w:left="0"/>
        <w:rPr>
          <w:rFonts w:ascii="Verdana" w:hAnsi="Verdana" w:cs="Arial"/>
          <w:szCs w:val="20"/>
          <w:lang w:val="pt-BR"/>
        </w:rPr>
      </w:pPr>
      <w:r>
        <w:rPr>
          <w:rFonts w:ascii="Verdana" w:hAnsi="Verdana" w:cs="Arial"/>
          <w:szCs w:val="20"/>
          <w:lang w:val="pt-BR"/>
        </w:rPr>
        <w:t>“</w:t>
      </w:r>
      <w:r>
        <w:rPr>
          <w:rFonts w:ascii="Verdana" w:hAnsi="Verdana" w:cs="Arial"/>
          <w:szCs w:val="20"/>
          <w:u w:val="single"/>
          <w:lang w:val="pt-BR"/>
        </w:rPr>
        <w:t>EBITDA</w:t>
      </w:r>
      <w:r>
        <w:rPr>
          <w:rFonts w:ascii="Verdana" w:hAnsi="Verdana" w:cs="Arial"/>
          <w:szCs w:val="20"/>
          <w:lang w:val="pt-BR"/>
        </w:rPr>
        <w:t xml:space="preserve">”, o faturamento líquido deduzido de (i) custo de mercadoria ou serviços incorridos para a produção das vendas; (ii) despesas com vendas, gerais ou administrativas, e (iii) outras despesas operacionais; e somado a (a) depreciação ou amortização; e (b) outras receitas operacionais, conforme os princípios contábeis aceitos no Brasil e aplicados de forma consistentes com aqueles utilizados na preparação das demonstrações financeiras relativas ao período anterior. Não será considerado no EBITDA o Resultado Extraordinário; </w:t>
      </w:r>
    </w:p>
    <w:p>
      <w:pPr>
        <w:pStyle w:val="STDTextoDois-Quatro"/>
        <w:tabs>
          <w:tab w:val="num" w:pos="2127"/>
        </w:tabs>
        <w:spacing w:before="0" w:line="300" w:lineRule="exact"/>
        <w:ind w:left="0"/>
        <w:rPr>
          <w:rFonts w:ascii="Verdana" w:hAnsi="Verdana" w:cs="Arial"/>
          <w:szCs w:val="20"/>
          <w:lang w:val="pt-BR"/>
        </w:rPr>
      </w:pPr>
    </w:p>
    <w:p>
      <w:pPr>
        <w:pStyle w:val="STDTextoDois-Quatro"/>
        <w:tabs>
          <w:tab w:val="num" w:pos="2127"/>
        </w:tabs>
        <w:spacing w:before="0" w:line="300" w:lineRule="exact"/>
        <w:ind w:left="0"/>
        <w:rPr>
          <w:rFonts w:ascii="Verdana" w:hAnsi="Verdana" w:cs="Arial"/>
          <w:szCs w:val="20"/>
          <w:lang w:val="pt-BR"/>
        </w:rPr>
      </w:pPr>
      <w:r>
        <w:rPr>
          <w:rFonts w:ascii="Verdana" w:hAnsi="Verdana" w:cs="Arial"/>
          <w:szCs w:val="20"/>
          <w:lang w:val="pt-BR"/>
        </w:rPr>
        <w:t>“</w:t>
      </w:r>
      <w:r>
        <w:rPr>
          <w:rFonts w:ascii="Verdana" w:hAnsi="Verdana" w:cs="Arial"/>
          <w:szCs w:val="20"/>
          <w:u w:val="single"/>
          <w:lang w:val="pt-BR"/>
        </w:rPr>
        <w:t>Resultado Extraordinário</w:t>
      </w:r>
      <w:r>
        <w:rPr>
          <w:rFonts w:ascii="Verdana" w:hAnsi="Verdana" w:cs="Arial"/>
          <w:szCs w:val="20"/>
          <w:lang w:val="pt-BR"/>
        </w:rPr>
        <w:t xml:space="preserve">”: resultado da venda ou baixa de ativos, provisões / reversões de contingências sem efeito caixa, </w:t>
      </w:r>
      <w:r>
        <w:rPr>
          <w:rFonts w:ascii="Verdana" w:hAnsi="Verdana" w:cs="Arial"/>
          <w:i/>
          <w:szCs w:val="20"/>
          <w:lang w:val="pt-BR"/>
        </w:rPr>
        <w:t>impairment</w:t>
      </w:r>
      <w:r>
        <w:rPr>
          <w:rFonts w:ascii="Verdana" w:hAnsi="Verdana" w:cs="Arial"/>
          <w:szCs w:val="20"/>
          <w:lang w:val="pt-BR"/>
        </w:rPr>
        <w:t xml:space="preserve">, ganhos por valor justo/atualização de ativos (sem efeito caixa) e despesas pontuais de reestruturação. </w:t>
      </w:r>
    </w:p>
    <w:p>
      <w:pPr>
        <w:pStyle w:val="HOMEBRIdentBullet"/>
        <w:spacing w:after="0" w:line="300" w:lineRule="exact"/>
        <w:ind w:left="539" w:hanging="539"/>
        <w:rPr>
          <w:rFonts w:ascii="Verdana" w:hAnsi="Verdana" w:cs="Arial"/>
          <w:lang w:val="pt-BR"/>
        </w:rPr>
      </w:pPr>
    </w:p>
    <w:p>
      <w:pPr>
        <w:spacing w:after="0" w:line="300" w:lineRule="exact"/>
        <w:jc w:val="left"/>
        <w:rPr>
          <w:rFonts w:ascii="Verdana" w:hAnsi="Verdana" w:cs="Arial"/>
          <w:b/>
          <w:lang w:val="pt-BR"/>
        </w:rPr>
      </w:pPr>
      <w:r>
        <w:rPr>
          <w:rFonts w:ascii="Verdana" w:hAnsi="Verdana" w:cs="Arial"/>
          <w:b/>
          <w:lang w:val="pt-BR"/>
        </w:rPr>
        <w:t>Disposições aplicáveis em caso de ocorrência de Evento de Inadimplemento</w:t>
      </w:r>
    </w:p>
    <w:p>
      <w:pPr>
        <w:spacing w:after="0" w:line="300" w:lineRule="exact"/>
        <w:rPr>
          <w:rFonts w:ascii="Verdana" w:hAnsi="Verdana" w:cs="Arial"/>
          <w:lang w:val="pt-BR"/>
        </w:rPr>
      </w:pPr>
      <w:r>
        <w:rPr>
          <w:rFonts w:ascii="Verdana" w:hAnsi="Verdana" w:cs="Arial"/>
          <w:lang w:val="pt-BR"/>
        </w:rPr>
        <w:t xml:space="preserve">A Assembleia Geral de Debenturistas a que se refere o item “Vencimento Antecipado Não Automático” acima poderá determinar que o Agente Fiduciário não declare o vencimento antecipado das Debêntures por deliberação de Debenturistas detentores de, no mínimo (i) a maioria das Debêntures em Circulação, em primeira convocação; ou (ii) a maioria das Debêntures em Circulação presentes à Assembleia Geral de Debenturistas, desde que estejam presentes Debenturistas representando pelo menos 25% das Debêntures em Circulação, em segunda convocação, sendo que, entre a data da ocorrência do Evento de Inadimplemento e a realização da Assembleia Geral de Debenturistas, as Debêntures não serão consideradas vencidas. Caso a Assembleia Geral de Debenturistas não seja instalada em segunda convocação ou não tenha quórum para deliberar a matéria, após observação das disposições do item “Assembleias Gerais de </w:t>
      </w:r>
      <w:r>
        <w:rPr>
          <w:rFonts w:ascii="Verdana" w:hAnsi="Verdana" w:cs="Arial"/>
          <w:lang w:val="pt-BR"/>
        </w:rPr>
        <w:lastRenderedPageBreak/>
        <w:t>Debenturistas” abaixo, o Agente Fiduciário deverá decretar o vencimento antecipado das Debêntures.</w:t>
      </w:r>
    </w:p>
    <w:p>
      <w:pPr>
        <w:spacing w:after="0" w:line="300" w:lineRule="exact"/>
        <w:rPr>
          <w:rFonts w:ascii="Verdana" w:hAnsi="Verdana" w:cs="Arial"/>
          <w:lang w:val="pt-BR"/>
        </w:rPr>
      </w:pPr>
    </w:p>
    <w:p>
      <w:pPr>
        <w:spacing w:after="0" w:line="300" w:lineRule="exact"/>
        <w:rPr>
          <w:rFonts w:ascii="Verdana" w:hAnsi="Verdana" w:cs="Arial"/>
          <w:lang w:val="pt-BR"/>
        </w:rPr>
      </w:pPr>
      <w:r>
        <w:rPr>
          <w:rFonts w:ascii="Verdana" w:hAnsi="Verdana" w:cs="Arial"/>
          <w:lang w:val="pt-BR"/>
        </w:rPr>
        <w:t xml:space="preserve">Uma vez vencidas antecipadamente as Debêntures, o Agente Fiduciário deverá enviar imediatamente notificação à B3 e à B3 – Segmento Cetip UTVM informando sobre o vencimento antecipado das Debêntures e exigir o pagamento pela Emissora, que deverá conter as respectivas instruções para pagamento, do Valor Nominal Atualizado das Debêntures, acrescido dos Juros Remuneratórios, calculados </w:t>
      </w:r>
      <w:r>
        <w:rPr>
          <w:rFonts w:ascii="Verdana" w:hAnsi="Verdana" w:cs="Arial"/>
          <w:i/>
          <w:lang w:val="pt-BR"/>
        </w:rPr>
        <w:t>pro rata temporis</w:t>
      </w:r>
      <w:r>
        <w:rPr>
          <w:rFonts w:ascii="Verdana" w:hAnsi="Verdana" w:cs="Arial"/>
          <w:lang w:val="pt-BR"/>
        </w:rPr>
        <w:t>, desde a Primeira Data de Integralização ou da última Data de Pagamento dos Juros Remuneratórios, conforme o caso, até a data do seu efetivo pagamento, e demais encargos devidos nos termos da Escritura, fora do âmbito da B3 e da B3 – Segmento CETIP UTVM sob pena de, em não o fazendo no prazo estabelecido, ficarem obrigadas, ainda, ao pagamento dos Encargos Moratórios.</w:t>
      </w:r>
    </w:p>
    <w:p>
      <w:pPr>
        <w:spacing w:after="0" w:line="300" w:lineRule="exact"/>
        <w:rPr>
          <w:rFonts w:ascii="Verdana" w:hAnsi="Verdana" w:cs="Arial"/>
          <w:lang w:val="pt-BR"/>
        </w:rPr>
      </w:pPr>
    </w:p>
    <w:p>
      <w:pPr>
        <w:spacing w:after="0" w:line="300" w:lineRule="exact"/>
        <w:rPr>
          <w:rFonts w:ascii="Verdana" w:hAnsi="Verdana" w:cs="Arial"/>
          <w:lang w:val="pt-BR"/>
        </w:rPr>
      </w:pPr>
      <w:r>
        <w:rPr>
          <w:rFonts w:ascii="Verdana" w:hAnsi="Verdana" w:cs="Arial"/>
          <w:lang w:val="pt-BR"/>
        </w:rPr>
        <w:t xml:space="preserve">Em caso de vencimento antecipado das obrigações decorrentes das Debêntures, os recursos recebidos em pagamento das obrigações decorrentes das Debêntures deverão ser imediatamente aplicados na amortização ou liquidação do saldo devedor das obrigações decorrentes das Debêntures. Caso os recursos recebidos não sejam suficientes para quitar simultaneamente todas as obrigações decorrentes das Debêntures, tais recursos deverão ser imputados na seguinte ordem, de tal forma que, uma vez liquidados os valores referentes ao primeiro item, os recursos sejam alocados para o item imediatamente seguinte, e assim sucessivamente: (i) quaisquer valores devidos, e não pagos, pela Emissora, nos termos da Escritura e/ou dos documentos da Emissão, ao Agente Fiduciário; (ii) quaisquer valores devidos pela Emissora, nos termos da Escritura e/ou dos documentos da Emissão, em relação às obrigações decorrentes das Debêntures, que não sejam os valores a que se referem os itens (i), acima, e (iii), (iv) e (v), abaixo; (iii) Encargos Moratórios e demais encargos devidos sob as obrigações decorrentes das Debêntures; (iv) Juros Remuneratórios; e (v) saldo devedor do Valor Nominal Atualizado. A Emissora permanecerá responsável pelo saldo devedor das obrigações decorrentes das Debêntures que não tiverem sido pagas, sem prejuízo dos acréscimos dos Juros Remuneratórios, Encargos Moratórios e outros encargos incidentes sobre o saldo devedor das obrigações decorrentes das Debêntures enquanto não forem pagas, declarando a Emissora, neste ato, que tal saldo devedor será considerado título executivo extrajudicial. </w:t>
      </w:r>
    </w:p>
    <w:p>
      <w:pPr>
        <w:pStyle w:val="HOMEBRBodyText"/>
        <w:spacing w:after="0" w:line="300" w:lineRule="exact"/>
        <w:rPr>
          <w:rFonts w:ascii="Verdana" w:hAnsi="Verdana" w:cs="Arial"/>
          <w:b/>
        </w:rPr>
      </w:pPr>
    </w:p>
    <w:p>
      <w:pPr>
        <w:pStyle w:val="HOMEBRBodyText"/>
        <w:spacing w:line="300" w:lineRule="exact"/>
        <w:rPr>
          <w:rFonts w:ascii="Verdana" w:hAnsi="Verdana" w:cs="Arial"/>
          <w:b/>
        </w:rPr>
      </w:pPr>
      <w:r>
        <w:rPr>
          <w:rFonts w:ascii="Verdana" w:hAnsi="Verdana" w:cs="Arial"/>
          <w:b/>
        </w:rPr>
        <w:t xml:space="preserve">Para mais informações, ver “Fatores de Risco Relacionados à Oferta e às Debêntures – As obrigações da Emissora constantes da Escritura estão sujeitas a hipóteses de vencimento antecipado”, na </w:t>
      </w:r>
      <w:r>
        <w:rPr>
          <w:rFonts w:ascii="Verdana" w:eastAsia="Calibri" w:hAnsi="Verdana" w:cs="Arial"/>
          <w:b/>
        </w:rPr>
        <w:t>página [</w:t>
      </w:r>
      <w:r>
        <w:rPr>
          <w:rFonts w:ascii="Verdana" w:eastAsia="Calibri" w:hAnsi="Verdana" w:cs="Arial"/>
          <w:b/>
        </w:rPr>
        <w:sym w:font="Symbol" w:char="F0B7"/>
      </w:r>
      <w:r>
        <w:rPr>
          <w:rFonts w:ascii="Verdana" w:eastAsia="Calibri" w:hAnsi="Verdana" w:cs="Arial"/>
          <w:b/>
        </w:rPr>
        <w:t>]</w:t>
      </w:r>
      <w:r>
        <w:rPr>
          <w:rFonts w:ascii="Verdana" w:hAnsi="Verdana" w:cs="Arial"/>
          <w:b/>
        </w:rPr>
        <w:t xml:space="preserve"> deste Prospecto. </w:t>
      </w:r>
    </w:p>
    <w:p>
      <w:pPr>
        <w:spacing w:after="0" w:line="300" w:lineRule="exact"/>
        <w:jc w:val="left"/>
        <w:rPr>
          <w:rFonts w:ascii="Verdana" w:hAnsi="Verdana" w:cs="Arial"/>
          <w:b/>
          <w:bCs/>
          <w:szCs w:val="26"/>
          <w:lang w:val="pt-BR"/>
        </w:rPr>
      </w:pPr>
      <w:bookmarkStart w:id="134" w:name="_Toc428306467"/>
      <w:bookmarkStart w:id="135" w:name="_Ref460330166"/>
      <w:bookmarkStart w:id="136" w:name="_Ref483330512"/>
      <w:bookmarkStart w:id="137" w:name="_Ref484051499"/>
      <w:bookmarkStart w:id="138" w:name="_Toc484715999"/>
      <w:bookmarkEnd w:id="126"/>
    </w:p>
    <w:p>
      <w:pPr>
        <w:pStyle w:val="Ttulo3"/>
        <w:spacing w:line="300" w:lineRule="exact"/>
        <w:rPr>
          <w:rFonts w:ascii="Verdana" w:hAnsi="Verdana"/>
          <w:caps/>
          <w:lang w:val="pt-BR"/>
        </w:rPr>
      </w:pPr>
      <w:r>
        <w:rPr>
          <w:rFonts w:ascii="Verdana" w:hAnsi="Verdana"/>
          <w:lang w:val="pt-BR"/>
        </w:rPr>
        <w:lastRenderedPageBreak/>
        <w:t>ASSEMBLEIA GERAL DE DEBENTURISTAS</w:t>
      </w:r>
      <w:bookmarkEnd w:id="134"/>
      <w:bookmarkEnd w:id="135"/>
      <w:bookmarkEnd w:id="136"/>
      <w:bookmarkEnd w:id="137"/>
      <w:bookmarkEnd w:id="138"/>
    </w:p>
    <w:p>
      <w:pPr>
        <w:pStyle w:val="HOMEBRIdentBullet"/>
        <w:spacing w:line="300" w:lineRule="exact"/>
        <w:ind w:left="0" w:firstLine="0"/>
        <w:rPr>
          <w:rFonts w:ascii="Verdana" w:hAnsi="Verdana" w:cs="Arial"/>
          <w:lang w:val="pt-BR"/>
        </w:rPr>
      </w:pPr>
      <w:r>
        <w:rPr>
          <w:rFonts w:ascii="Verdana" w:hAnsi="Verdana" w:cs="Arial"/>
          <w:lang w:val="pt-BR"/>
        </w:rPr>
        <w:t xml:space="preserve">Os Debenturistas poderão, a qualquer tempo, reunir-se em assembleia geral, de acordo com o disposto no artigo 71 da Lei das Sociedades por Ações, a fim de deliberarem sobre matéria de interesse da comunhão de Debenturistas. </w:t>
      </w:r>
    </w:p>
    <w:p>
      <w:pPr>
        <w:pStyle w:val="Level3"/>
        <w:numPr>
          <w:ilvl w:val="0"/>
          <w:numId w:val="0"/>
        </w:numPr>
        <w:spacing w:after="0" w:line="300" w:lineRule="exact"/>
        <w:outlineLvl w:val="2"/>
        <w:rPr>
          <w:rFonts w:ascii="Verdana" w:hAnsi="Verdana" w:cs="Arial"/>
          <w:szCs w:val="20"/>
          <w:lang w:val="pt-BR"/>
        </w:rPr>
      </w:pPr>
      <w:r>
        <w:rPr>
          <w:rFonts w:ascii="Verdana" w:hAnsi="Verdana" w:cs="Arial"/>
          <w:szCs w:val="20"/>
          <w:lang w:val="pt-BR"/>
        </w:rPr>
        <w:t xml:space="preserve">A Assembleia Geral de Debenturistas pode ser convocada pelo Agente Fiduciário, pela Emissora, por Debenturistas que representem 10%, no mínimo, das Debêntures em Circulação, ou pela CVM. </w:t>
      </w:r>
    </w:p>
    <w:p>
      <w:pPr>
        <w:pStyle w:val="Level3"/>
        <w:numPr>
          <w:ilvl w:val="0"/>
          <w:numId w:val="0"/>
        </w:numPr>
        <w:spacing w:after="0" w:line="300" w:lineRule="exact"/>
        <w:rPr>
          <w:rFonts w:ascii="Verdana" w:hAnsi="Verdana" w:cs="Arial"/>
          <w:szCs w:val="20"/>
          <w:lang w:val="pt-BR"/>
        </w:rPr>
      </w:pPr>
    </w:p>
    <w:p>
      <w:pPr>
        <w:pStyle w:val="Level3"/>
        <w:numPr>
          <w:ilvl w:val="0"/>
          <w:numId w:val="0"/>
        </w:numPr>
        <w:spacing w:after="0" w:line="300" w:lineRule="exact"/>
        <w:outlineLvl w:val="2"/>
        <w:rPr>
          <w:rFonts w:ascii="Verdana" w:hAnsi="Verdana" w:cs="Arial"/>
          <w:szCs w:val="20"/>
          <w:lang w:val="pt-BR"/>
        </w:rPr>
      </w:pPr>
      <w:r>
        <w:rPr>
          <w:rFonts w:ascii="Verdana" w:hAnsi="Verdana" w:cs="Arial"/>
          <w:szCs w:val="20"/>
          <w:lang w:val="pt-BR"/>
        </w:rPr>
        <w:t>A convocação das Assembleias Gerais de Debenturistas se dará conforme a Lei das Sociedades por Ações.</w:t>
      </w:r>
    </w:p>
    <w:p>
      <w:pPr>
        <w:pStyle w:val="Level3"/>
        <w:numPr>
          <w:ilvl w:val="0"/>
          <w:numId w:val="0"/>
        </w:numPr>
        <w:spacing w:after="0" w:line="300" w:lineRule="exact"/>
        <w:rPr>
          <w:rFonts w:ascii="Verdana" w:hAnsi="Verdana" w:cs="Arial"/>
          <w:szCs w:val="20"/>
          <w:lang w:val="pt-BR"/>
        </w:rPr>
      </w:pPr>
    </w:p>
    <w:p>
      <w:pPr>
        <w:pStyle w:val="Level3"/>
        <w:numPr>
          <w:ilvl w:val="0"/>
          <w:numId w:val="0"/>
        </w:numPr>
        <w:spacing w:after="0" w:line="300" w:lineRule="exact"/>
        <w:outlineLvl w:val="2"/>
        <w:rPr>
          <w:rFonts w:ascii="Verdana" w:hAnsi="Verdana" w:cs="Arial"/>
          <w:szCs w:val="20"/>
          <w:lang w:val="pt-BR"/>
        </w:rPr>
      </w:pPr>
      <w:r>
        <w:rPr>
          <w:rFonts w:ascii="Verdana" w:hAnsi="Verdana" w:cs="Arial"/>
          <w:szCs w:val="20"/>
          <w:lang w:val="pt-BR"/>
        </w:rPr>
        <w:t>As Assembleias Gerais de Debenturistas serão convocadas com antecedência mínima de 15 dias corridos, em primeira convocação. A Assembleia Geral de Debenturistas em segunda convocação somente poderá ser realizada em, no mínimo, 8 dias corridos após a data marcada para a instalação da Assembleia Geral de Debenturistas em primeira convocação.</w:t>
      </w:r>
    </w:p>
    <w:p>
      <w:pPr>
        <w:pStyle w:val="Level3"/>
        <w:numPr>
          <w:ilvl w:val="0"/>
          <w:numId w:val="0"/>
        </w:numPr>
        <w:spacing w:after="0" w:line="300" w:lineRule="exact"/>
        <w:rPr>
          <w:rFonts w:ascii="Verdana" w:hAnsi="Verdana" w:cs="Arial"/>
          <w:szCs w:val="20"/>
          <w:lang w:val="pt-BR"/>
        </w:rPr>
      </w:pPr>
    </w:p>
    <w:p>
      <w:pPr>
        <w:pStyle w:val="Level3"/>
        <w:numPr>
          <w:ilvl w:val="0"/>
          <w:numId w:val="0"/>
        </w:numPr>
        <w:spacing w:after="0" w:line="300" w:lineRule="exact"/>
        <w:outlineLvl w:val="2"/>
        <w:rPr>
          <w:rFonts w:ascii="Verdana" w:hAnsi="Verdana" w:cs="Arial"/>
          <w:szCs w:val="20"/>
          <w:lang w:val="pt-BR"/>
        </w:rPr>
      </w:pPr>
      <w:r>
        <w:rPr>
          <w:rFonts w:ascii="Verdana" w:hAnsi="Verdana" w:cs="Arial"/>
          <w:szCs w:val="20"/>
          <w:lang w:val="pt-BR"/>
        </w:rPr>
        <w:t xml:space="preserve">Independentemente das formalidades previstas na legislação aplicável e na Escritura, será considerada regular a Assembleia Geral de Debenturistas a que comparecerem os titulares de todas as Debêntures em Circulação, independentemente de publicações e/ou avisos. </w:t>
      </w:r>
    </w:p>
    <w:p>
      <w:pPr>
        <w:pStyle w:val="Level3"/>
        <w:numPr>
          <w:ilvl w:val="0"/>
          <w:numId w:val="0"/>
        </w:numPr>
        <w:spacing w:after="0" w:line="300" w:lineRule="exact"/>
        <w:rPr>
          <w:rFonts w:ascii="Verdana" w:hAnsi="Verdana" w:cs="Arial"/>
          <w:szCs w:val="20"/>
          <w:lang w:val="pt-BR"/>
        </w:rPr>
      </w:pPr>
    </w:p>
    <w:p>
      <w:pPr>
        <w:pStyle w:val="Level3"/>
        <w:numPr>
          <w:ilvl w:val="0"/>
          <w:numId w:val="0"/>
        </w:numPr>
        <w:spacing w:after="0" w:line="300" w:lineRule="exact"/>
        <w:outlineLvl w:val="2"/>
        <w:rPr>
          <w:rFonts w:ascii="Verdana" w:hAnsi="Verdana" w:cs="Arial"/>
          <w:szCs w:val="20"/>
          <w:lang w:val="pt-BR"/>
        </w:rPr>
      </w:pPr>
      <w:r>
        <w:rPr>
          <w:rFonts w:ascii="Verdana" w:hAnsi="Verdana" w:cs="Arial"/>
          <w:szCs w:val="20"/>
          <w:lang w:val="pt-BR"/>
        </w:rPr>
        <w:t xml:space="preserve">As deliberações tomadas pelos Debenturistas, no âmbito de sua competência legal, observados os </w:t>
      </w:r>
      <w:r>
        <w:rPr>
          <w:rFonts w:ascii="Verdana" w:hAnsi="Verdana" w:cs="Arial"/>
          <w:i/>
          <w:szCs w:val="20"/>
          <w:lang w:val="pt-BR"/>
        </w:rPr>
        <w:t xml:space="preserve">quoruns </w:t>
      </w:r>
      <w:r>
        <w:rPr>
          <w:rFonts w:ascii="Verdana" w:hAnsi="Verdana" w:cs="Arial"/>
          <w:szCs w:val="20"/>
          <w:lang w:val="pt-BR"/>
        </w:rPr>
        <w:t>estabelecidos na Escritura, serão existentes, válidas e eficazes perante a Emissora e obrigarão a todos os titulares das Debêntures, independentemente de terem comparecido à Assembleia Geral de Debenturistas ou do voto proferido na respectiva Assembleia Geral de Debenturistas.</w:t>
      </w:r>
    </w:p>
    <w:p>
      <w:pPr>
        <w:pStyle w:val="Level2"/>
        <w:numPr>
          <w:ilvl w:val="0"/>
          <w:numId w:val="0"/>
        </w:numPr>
        <w:spacing w:after="0" w:line="300" w:lineRule="exact"/>
        <w:rPr>
          <w:rFonts w:ascii="Verdana" w:hAnsi="Verdana" w:cs="Arial"/>
          <w:szCs w:val="20"/>
          <w:lang w:val="pt-BR"/>
        </w:rPr>
      </w:pPr>
    </w:p>
    <w:p>
      <w:pPr>
        <w:pStyle w:val="Level2"/>
        <w:numPr>
          <w:ilvl w:val="0"/>
          <w:numId w:val="0"/>
        </w:numPr>
        <w:spacing w:after="0" w:line="300" w:lineRule="exact"/>
        <w:outlineLvl w:val="1"/>
        <w:rPr>
          <w:rFonts w:ascii="Verdana" w:hAnsi="Verdana" w:cs="Arial"/>
          <w:szCs w:val="20"/>
          <w:lang w:val="pt-BR"/>
        </w:rPr>
      </w:pPr>
      <w:r>
        <w:rPr>
          <w:rFonts w:ascii="Verdana" w:hAnsi="Verdana" w:cs="Arial"/>
          <w:szCs w:val="20"/>
          <w:lang w:val="pt-BR"/>
        </w:rPr>
        <w:t xml:space="preserve">A Assembleia Geral de Debenturistas instalar-se-á, em primeira convocação, com a presença de Debenturistas que representem, em primeira convocação, a metade, no mínimo, das Debêntures em Circulação e, em segunda convocação, com qualquer número de Debenturistas. </w:t>
      </w:r>
    </w:p>
    <w:p>
      <w:pPr>
        <w:spacing w:after="0" w:line="300" w:lineRule="exact"/>
        <w:rPr>
          <w:rFonts w:ascii="Verdana" w:hAnsi="Verdana" w:cs="Arial"/>
          <w:lang w:val="pt-BR"/>
        </w:rPr>
      </w:pPr>
    </w:p>
    <w:p>
      <w:pPr>
        <w:spacing w:after="0" w:line="300" w:lineRule="exact"/>
        <w:rPr>
          <w:rFonts w:ascii="Verdana" w:hAnsi="Verdana" w:cs="Arial"/>
          <w:lang w:val="pt-BR"/>
        </w:rPr>
      </w:pPr>
      <w:bookmarkStart w:id="139" w:name="_DV_M389"/>
      <w:bookmarkEnd w:id="139"/>
      <w:r>
        <w:rPr>
          <w:rFonts w:ascii="Verdana" w:hAnsi="Verdana" w:cs="Arial"/>
          <w:lang w:val="pt-BR"/>
        </w:rPr>
        <w:t>A presidência da Assembleia Geral de Debenturistas caberá ao Debenturista eleito pela comunhão dos Debenturistas ou àquele que for designado pela CVM.</w:t>
      </w:r>
    </w:p>
    <w:p>
      <w:pPr>
        <w:spacing w:after="0" w:line="300" w:lineRule="exact"/>
        <w:rPr>
          <w:rFonts w:ascii="Verdana" w:hAnsi="Verdana" w:cs="Arial"/>
          <w:lang w:val="pt-BR"/>
        </w:rPr>
      </w:pPr>
    </w:p>
    <w:p>
      <w:pPr>
        <w:spacing w:after="0" w:line="300" w:lineRule="exact"/>
        <w:rPr>
          <w:rFonts w:ascii="Verdana" w:hAnsi="Verdana" w:cs="Arial"/>
          <w:lang w:val="pt-BR"/>
        </w:rPr>
      </w:pPr>
      <w:r>
        <w:rPr>
          <w:rFonts w:ascii="Verdana" w:hAnsi="Verdana" w:cs="Arial"/>
          <w:lang w:val="pt-BR"/>
        </w:rPr>
        <w:t>Nas deliberações da Assembleia Geral de Debenturistas, a cada Debênture em Circulação caberá um voto, admitida a constituição de mandatário, Debenturista ou não.</w:t>
      </w:r>
    </w:p>
    <w:p>
      <w:pPr>
        <w:pStyle w:val="PargrafodaLista"/>
        <w:spacing w:line="300" w:lineRule="exact"/>
        <w:ind w:left="0"/>
        <w:rPr>
          <w:rFonts w:ascii="Verdana" w:hAnsi="Verdana" w:cs="Arial"/>
        </w:rPr>
      </w:pPr>
    </w:p>
    <w:p>
      <w:pPr>
        <w:pStyle w:val="PargrafodaLista"/>
        <w:spacing w:after="0" w:line="300" w:lineRule="exact"/>
        <w:ind w:left="0"/>
        <w:contextualSpacing w:val="0"/>
        <w:rPr>
          <w:rFonts w:ascii="Verdana" w:hAnsi="Verdana" w:cs="Arial"/>
        </w:rPr>
      </w:pPr>
      <w:r>
        <w:rPr>
          <w:rFonts w:ascii="Verdana" w:hAnsi="Verdana" w:cs="Arial"/>
        </w:rPr>
        <w:t xml:space="preserve">Todas as matérias submetidas à deliberação dos Debenturistas reunidos em Assembleia Geral de Debenturistas, inclusive os casos de renúncia ou perdão temporário para as hipóteses de Eventos de Inadimplemento, estão sujeitas ao quórum de aprovação de </w:t>
      </w:r>
      <w:r>
        <w:rPr>
          <w:rFonts w:ascii="Verdana" w:hAnsi="Verdana" w:cs="Arial"/>
        </w:rPr>
        <w:lastRenderedPageBreak/>
        <w:t xml:space="preserve">Debenturistas representando, no mínimo, (i) a maioria das Debêntures em Circulação, em primeira convocação, ou (ii) a maioria das Debêntures em Circulação presentes à Assembleia Geral de Debenturistas, desde que estejam presentes Debenturistas representando pelo menos 25% das Debêntures em Circulação, em segunda convocação.  </w:t>
      </w:r>
    </w:p>
    <w:p>
      <w:pPr>
        <w:pStyle w:val="PargrafodaLista"/>
        <w:spacing w:line="300" w:lineRule="exact"/>
        <w:ind w:left="0"/>
        <w:rPr>
          <w:rFonts w:ascii="Verdana" w:hAnsi="Verdana" w:cs="Arial"/>
        </w:rPr>
      </w:pPr>
      <w:bookmarkStart w:id="140" w:name="_Ref436668645"/>
      <w:bookmarkStart w:id="141" w:name="_Ref436157918"/>
      <w:bookmarkStart w:id="142" w:name="_Ref449355979"/>
    </w:p>
    <w:p>
      <w:pPr>
        <w:pStyle w:val="PargrafodaLista"/>
        <w:spacing w:after="0" w:line="300" w:lineRule="exact"/>
        <w:ind w:left="0"/>
        <w:contextualSpacing w:val="0"/>
        <w:rPr>
          <w:rFonts w:ascii="Verdana" w:hAnsi="Verdana" w:cs="Arial"/>
        </w:rPr>
      </w:pPr>
      <w:r>
        <w:rPr>
          <w:rFonts w:ascii="Verdana" w:hAnsi="Verdana" w:cs="Arial"/>
        </w:rPr>
        <w:t xml:space="preserve">Sem prejuízo do disposto </w:t>
      </w:r>
      <w:r>
        <w:rPr>
          <w:rFonts w:ascii="Verdana" w:hAnsi="Verdana" w:cs="Arial"/>
          <w:lang w:val="pt-BR"/>
        </w:rPr>
        <w:t>no parágrafo acima</w:t>
      </w:r>
      <w:r>
        <w:rPr>
          <w:rFonts w:ascii="Verdana" w:hAnsi="Verdana" w:cs="Arial"/>
        </w:rPr>
        <w:t xml:space="preserve">, estão sujeitos a um quórum mínimo de aprovação de 75% das Debêntures em Circulação, em primeira ou segunda convocação, as alterações (a) dos Juros Remuneratórios, (b) do prazo de vigência das Debêntures; (c) das disposições </w:t>
      </w:r>
      <w:r>
        <w:rPr>
          <w:rFonts w:ascii="Verdana" w:hAnsi="Verdana" w:cs="Arial"/>
          <w:lang w:val="pt-BR"/>
        </w:rPr>
        <w:t xml:space="preserve">da </w:t>
      </w:r>
      <w:r>
        <w:rPr>
          <w:rFonts w:ascii="Verdana" w:hAnsi="Verdana" w:cs="Arial"/>
        </w:rPr>
        <w:t>Cláusula 10.4.2</w:t>
      </w:r>
      <w:r>
        <w:rPr>
          <w:rFonts w:ascii="Verdana" w:hAnsi="Verdana" w:cs="Arial"/>
          <w:lang w:val="pt-BR"/>
        </w:rPr>
        <w:t xml:space="preserve"> da Escritura</w:t>
      </w:r>
      <w:r>
        <w:rPr>
          <w:rFonts w:ascii="Verdana" w:hAnsi="Verdana" w:cs="Arial"/>
        </w:rPr>
        <w:t xml:space="preserve">; (d) de qualquer dos quóruns previstos </w:t>
      </w:r>
      <w:r>
        <w:rPr>
          <w:rFonts w:ascii="Verdana" w:hAnsi="Verdana" w:cs="Arial"/>
          <w:lang w:val="pt-BR"/>
        </w:rPr>
        <w:t xml:space="preserve">na </w:t>
      </w:r>
      <w:r>
        <w:rPr>
          <w:rFonts w:ascii="Verdana" w:hAnsi="Verdana" w:cs="Arial"/>
        </w:rPr>
        <w:t xml:space="preserve">Escritura; (e) de quaisquer datas de pagamento de quaisquer valores previstos </w:t>
      </w:r>
      <w:r>
        <w:rPr>
          <w:rFonts w:ascii="Verdana" w:hAnsi="Verdana" w:cs="Arial"/>
          <w:lang w:val="pt-BR"/>
        </w:rPr>
        <w:t>na</w:t>
      </w:r>
      <w:r>
        <w:rPr>
          <w:rFonts w:ascii="Verdana" w:hAnsi="Verdana" w:cs="Arial"/>
        </w:rPr>
        <w:t xml:space="preserve"> Escritura; (f) das obrigações estabelecidas na Cláusula 8 </w:t>
      </w:r>
      <w:r>
        <w:rPr>
          <w:rFonts w:ascii="Verdana" w:hAnsi="Verdana" w:cs="Arial"/>
          <w:lang w:val="pt-BR"/>
        </w:rPr>
        <w:t>da Escritura</w:t>
      </w:r>
      <w:r>
        <w:rPr>
          <w:rFonts w:ascii="Verdana" w:hAnsi="Verdana" w:cs="Arial"/>
        </w:rPr>
        <w:t>; e (g) da redação de qualquer dos Eventos de Inadimplemento</w:t>
      </w:r>
      <w:bookmarkEnd w:id="140"/>
      <w:bookmarkEnd w:id="141"/>
      <w:r>
        <w:rPr>
          <w:rFonts w:ascii="Verdana" w:hAnsi="Verdana" w:cs="Arial"/>
        </w:rPr>
        <w:t>.</w:t>
      </w:r>
      <w:bookmarkEnd w:id="142"/>
      <w:r>
        <w:rPr>
          <w:rFonts w:ascii="Verdana" w:hAnsi="Verdana" w:cs="Arial"/>
        </w:rPr>
        <w:t xml:space="preserve"> </w:t>
      </w:r>
    </w:p>
    <w:p>
      <w:pPr>
        <w:pStyle w:val="PargrafodaLista"/>
        <w:spacing w:line="300" w:lineRule="exact"/>
        <w:ind w:left="0"/>
        <w:rPr>
          <w:rFonts w:ascii="Verdana" w:hAnsi="Verdana" w:cs="Arial"/>
        </w:rPr>
      </w:pPr>
    </w:p>
    <w:p>
      <w:pPr>
        <w:pStyle w:val="PargrafodaLista"/>
        <w:spacing w:after="0" w:line="300" w:lineRule="exact"/>
        <w:ind w:left="0"/>
        <w:contextualSpacing w:val="0"/>
        <w:rPr>
          <w:rFonts w:ascii="Verdana" w:hAnsi="Verdana" w:cs="Arial"/>
        </w:rPr>
      </w:pPr>
      <w:r>
        <w:rPr>
          <w:rFonts w:ascii="Verdana" w:hAnsi="Verdana" w:cs="Arial"/>
        </w:rPr>
        <w:t>Será obrigatória a presença dos representantes legais da Emissora nas Assembleias Gerais de Debenturistas convocadas pela Emissora, enquanto que nas Assembleias Gerais de Debenturistas convocadas pelos Debenturistas ou pelo Agente Fiduciário, a presença dos representantes legais da Emissora será facultativa, a não ser quando ela seja solicitada pelos Debenturistas ou pelo Agente Fiduciário, conforme o caso, hipótese em que será obrigatória.</w:t>
      </w:r>
    </w:p>
    <w:p>
      <w:pPr>
        <w:pStyle w:val="PargrafodaLista"/>
        <w:spacing w:line="300" w:lineRule="exact"/>
        <w:ind w:left="0"/>
        <w:rPr>
          <w:rFonts w:ascii="Verdana" w:hAnsi="Verdana" w:cs="Arial"/>
        </w:rPr>
      </w:pPr>
    </w:p>
    <w:p>
      <w:pPr>
        <w:pStyle w:val="PargrafodaLista"/>
        <w:spacing w:after="0" w:line="300" w:lineRule="exact"/>
        <w:ind w:left="0"/>
        <w:contextualSpacing w:val="0"/>
        <w:rPr>
          <w:rFonts w:ascii="Verdana" w:hAnsi="Verdana" w:cs="Arial"/>
        </w:rPr>
      </w:pPr>
      <w:r>
        <w:rPr>
          <w:rFonts w:ascii="Verdana" w:hAnsi="Verdana" w:cs="Arial"/>
        </w:rPr>
        <w:t>O Agente Fiduciário deverá comparecer às Assembleias Gerais de Debenturistas e prestar aos Debenturistas as informações que lhe forem solicitadas.</w:t>
      </w:r>
    </w:p>
    <w:p>
      <w:pPr>
        <w:pStyle w:val="PargrafodaLista"/>
        <w:spacing w:line="300" w:lineRule="exact"/>
        <w:ind w:left="0"/>
        <w:rPr>
          <w:rFonts w:ascii="Verdana" w:hAnsi="Verdana" w:cs="Arial"/>
        </w:rPr>
      </w:pPr>
    </w:p>
    <w:p>
      <w:pPr>
        <w:pStyle w:val="PargrafodaLista"/>
        <w:spacing w:after="0" w:line="300" w:lineRule="exact"/>
        <w:ind w:left="0"/>
        <w:contextualSpacing w:val="0"/>
        <w:rPr>
          <w:rFonts w:ascii="Verdana" w:hAnsi="Verdana" w:cs="Arial"/>
        </w:rPr>
      </w:pPr>
      <w:r>
        <w:rPr>
          <w:rFonts w:ascii="Verdana" w:hAnsi="Verdana" w:cs="Arial"/>
        </w:rPr>
        <w:t>Aplicar-se-á às Assembleias Gerais de Debenturistas, no que couber, o disposto na Lei das Sociedades por Ações sobre a assembleia geral de acionistas.</w:t>
      </w:r>
    </w:p>
    <w:p>
      <w:pPr>
        <w:spacing w:line="300" w:lineRule="exact"/>
        <w:rPr>
          <w:rFonts w:ascii="Verdana" w:hAnsi="Verdana" w:cs="Arial"/>
          <w:lang w:val="pt-BR"/>
        </w:rPr>
      </w:pPr>
    </w:p>
    <w:p>
      <w:pPr>
        <w:pStyle w:val="Ttulo3"/>
        <w:keepNext w:val="0"/>
        <w:keepLines w:val="0"/>
        <w:spacing w:line="300" w:lineRule="exact"/>
        <w:rPr>
          <w:rFonts w:ascii="Verdana" w:hAnsi="Verdana"/>
          <w:lang w:val="pt-BR"/>
        </w:rPr>
      </w:pPr>
      <w:bookmarkStart w:id="143" w:name="_Toc484716000"/>
      <w:r>
        <w:rPr>
          <w:rFonts w:ascii="Verdana" w:hAnsi="Verdana"/>
          <w:lang w:val="pt-BR"/>
        </w:rPr>
        <w:t>CARACTERÍSTICAS DA OFERTA</w:t>
      </w:r>
      <w:bookmarkEnd w:id="56"/>
      <w:bookmarkEnd w:id="57"/>
      <w:bookmarkEnd w:id="143"/>
    </w:p>
    <w:p>
      <w:pPr>
        <w:pStyle w:val="Ttulo8"/>
        <w:keepNext w:val="0"/>
        <w:keepLines w:val="0"/>
        <w:spacing w:line="300" w:lineRule="exact"/>
        <w:rPr>
          <w:rFonts w:ascii="Verdana" w:hAnsi="Verdana" w:cs="Arial"/>
          <w:lang w:val="pt-BR"/>
        </w:rPr>
      </w:pPr>
      <w:r>
        <w:rPr>
          <w:rFonts w:ascii="Verdana" w:hAnsi="Verdana" w:cs="Arial"/>
          <w:lang w:val="pt-BR"/>
        </w:rPr>
        <w:t>Colocação e Procedimento de Distribuição</w:t>
      </w:r>
    </w:p>
    <w:p>
      <w:pPr>
        <w:pStyle w:val="HOMEBRBodyText"/>
        <w:spacing w:line="300" w:lineRule="exact"/>
        <w:rPr>
          <w:rFonts w:ascii="Verdana" w:hAnsi="Verdana" w:cs="Arial"/>
          <w:lang w:val="pt-PT"/>
        </w:rPr>
      </w:pPr>
      <w:r>
        <w:rPr>
          <w:rFonts w:ascii="Verdana" w:hAnsi="Verdana" w:cs="Arial"/>
        </w:rPr>
        <w:t>As Debêntures inicialmente ofertadas (sem considerar as Debêntures Adicionais) serão objeto de distribuição pública nos termos da Instrução CVM 400, especificamente o procedimento indicado para EGEM, conforme artigos 6º-A e 6º-B da referida instrução, sob o regime de garantia firme de colocação (exceto pelas Debêntures Adicionais, as quais, se emitidas, serão colocadas sob o regime de melhores esforços de colocação), com a intermediação dos Coordenadores, nos termos do Contrato de Distribuição, com a participação dos Participantes Especiais, observado o Plano de Distribuição. As Debêntures Adicionais eventualmente emitidas serão distribuídas sob regime de melhores esforços. A Oferta não contará com esforços de colocação no exterior.</w:t>
      </w:r>
    </w:p>
    <w:p>
      <w:pPr>
        <w:pStyle w:val="HOMEBRBodyText"/>
        <w:spacing w:line="300" w:lineRule="exact"/>
        <w:rPr>
          <w:rFonts w:ascii="Verdana" w:hAnsi="Verdana" w:cs="Arial"/>
        </w:rPr>
      </w:pPr>
      <w:r>
        <w:rPr>
          <w:rFonts w:ascii="Verdana" w:hAnsi="Verdana" w:cs="Arial"/>
        </w:rPr>
        <w:t xml:space="preserve">Não será constituído fundo de sustentação de liquidez para as Debêntures. </w:t>
      </w:r>
      <w:bookmarkStart w:id="144" w:name="_Toc460016395"/>
      <w:bookmarkStart w:id="145" w:name="_Toc484716002"/>
      <w:bookmarkStart w:id="146" w:name="_Ref434936095"/>
    </w:p>
    <w:p>
      <w:pPr>
        <w:pStyle w:val="HOMEBRBodyText"/>
        <w:keepLines w:val="0"/>
        <w:spacing w:line="300" w:lineRule="exact"/>
        <w:rPr>
          <w:rFonts w:ascii="Verdana" w:hAnsi="Verdana" w:cs="Arial"/>
          <w:b/>
        </w:rPr>
      </w:pPr>
      <w:r>
        <w:rPr>
          <w:rFonts w:ascii="Verdana" w:hAnsi="Verdana" w:cs="Arial"/>
          <w:b/>
        </w:rPr>
        <w:lastRenderedPageBreak/>
        <w:t>Para mais informações, veja a seção “Informações Relativas à Emissão, à Oferta e às Debêntures – Contrato de Distribuição - Regime de Colocação”, na página [</w:t>
      </w:r>
      <w:r>
        <w:rPr>
          <w:rFonts w:ascii="Verdana" w:hAnsi="Verdana" w:cs="Arial"/>
          <w:b/>
        </w:rPr>
        <w:sym w:font="Symbol" w:char="F0B7"/>
      </w:r>
      <w:r>
        <w:rPr>
          <w:rFonts w:ascii="Verdana" w:hAnsi="Verdana" w:cs="Arial"/>
          <w:b/>
        </w:rPr>
        <w:t>] deste Prospecto Preliminar.</w:t>
      </w:r>
    </w:p>
    <w:p>
      <w:pPr>
        <w:pStyle w:val="HOMEBRBodyText"/>
        <w:keepLines w:val="0"/>
        <w:spacing w:line="300" w:lineRule="exact"/>
        <w:rPr>
          <w:rFonts w:ascii="Verdana" w:hAnsi="Verdana" w:cs="Arial"/>
          <w:b/>
        </w:rPr>
      </w:pPr>
    </w:p>
    <w:p>
      <w:pPr>
        <w:pStyle w:val="HOMEBRBodyText"/>
        <w:keepLines w:val="0"/>
        <w:spacing w:line="300" w:lineRule="exact"/>
        <w:rPr>
          <w:rFonts w:ascii="Verdana" w:hAnsi="Verdana" w:cs="Arial"/>
          <w:b/>
        </w:rPr>
      </w:pPr>
      <w:r>
        <w:rPr>
          <w:rFonts w:ascii="Verdana" w:hAnsi="Verdana" w:cs="Arial"/>
          <w:b/>
        </w:rPr>
        <w:t>Público-Alvo da Oferta</w:t>
      </w:r>
      <w:bookmarkEnd w:id="144"/>
      <w:bookmarkEnd w:id="145"/>
    </w:p>
    <w:p>
      <w:pPr>
        <w:pStyle w:val="HOMEBRBodyText"/>
        <w:keepLines w:val="0"/>
        <w:spacing w:line="300" w:lineRule="exact"/>
        <w:rPr>
          <w:rFonts w:ascii="Verdana" w:hAnsi="Verdana" w:cs="Arial"/>
        </w:rPr>
      </w:pPr>
      <w:r>
        <w:rPr>
          <w:rFonts w:ascii="Verdana" w:hAnsi="Verdana" w:cs="Arial"/>
        </w:rPr>
        <w:t>O Público-Alvo da Oferta</w:t>
      </w:r>
      <w:r>
        <w:rPr>
          <w:rFonts w:ascii="Verdana" w:eastAsia="Calibri" w:hAnsi="Verdana" w:cs="Arial"/>
        </w:rPr>
        <w:t xml:space="preserve">, levando-se sempre em conta o perfil de risco dos seus destinatários, </w:t>
      </w:r>
      <w:r>
        <w:rPr>
          <w:rFonts w:ascii="Verdana" w:hAnsi="Verdana" w:cs="Arial"/>
        </w:rPr>
        <w:t>é composto pelos Investidores Institucionais e Investidores Não Institucionais.</w:t>
      </w:r>
    </w:p>
    <w:p>
      <w:pPr>
        <w:pStyle w:val="Ttulo8"/>
        <w:keepNext w:val="0"/>
        <w:keepLines w:val="0"/>
        <w:spacing w:line="300" w:lineRule="exact"/>
        <w:rPr>
          <w:rFonts w:ascii="Verdana" w:hAnsi="Verdana" w:cs="Arial"/>
          <w:lang w:val="pt-BR"/>
        </w:rPr>
      </w:pPr>
      <w:bookmarkStart w:id="147" w:name="_Ref460329660"/>
      <w:bookmarkStart w:id="148" w:name="_Toc484716003"/>
      <w:r>
        <w:rPr>
          <w:rFonts w:ascii="Verdana" w:hAnsi="Verdana" w:cs="Arial"/>
          <w:lang w:val="pt-BR"/>
        </w:rPr>
        <w:t>Plano de Distribuição</w:t>
      </w:r>
      <w:bookmarkEnd w:id="146"/>
      <w:bookmarkEnd w:id="147"/>
      <w:bookmarkEnd w:id="148"/>
    </w:p>
    <w:p>
      <w:pPr>
        <w:pStyle w:val="HOMEBRBodyText"/>
        <w:keepLines w:val="0"/>
        <w:spacing w:line="300" w:lineRule="exact"/>
        <w:rPr>
          <w:rFonts w:ascii="Verdana" w:hAnsi="Verdana" w:cs="Arial"/>
        </w:rPr>
      </w:pPr>
      <w:r>
        <w:rPr>
          <w:rFonts w:ascii="Verdana" w:hAnsi="Verdana" w:cs="Arial"/>
        </w:rPr>
        <w:t>Observadas as condições previstas no Contrato de Distribuição, na Escritura e na regulamentação aplicável, e uma vez atendidas as Condições Precedentes, os Coordenadores iniciarão a distribuição pública das Debêntures, nos termos definidos abaixo.</w:t>
      </w:r>
    </w:p>
    <w:p>
      <w:pPr>
        <w:pStyle w:val="HOMEBRBodyText"/>
        <w:keepLines w:val="0"/>
        <w:spacing w:line="300" w:lineRule="exact"/>
        <w:rPr>
          <w:rFonts w:ascii="Verdana" w:hAnsi="Verdana" w:cs="Arial"/>
        </w:rPr>
      </w:pPr>
      <w:r>
        <w:rPr>
          <w:rFonts w:ascii="Verdana" w:hAnsi="Verdana" w:cs="Arial"/>
        </w:rPr>
        <w:t xml:space="preserve">Será utilizado o procedimento previsto no parágrafo 3º do artigo 33 da Instrução CVM 400, conforme plano de distribuição elaborado pelos Coordenadores, o qual levará em consideração suas relações com clientes e outros aspectos de natureza comercial, bem como as estratégias dos Coordenadores e da Emissora, observados os termos do Contrato de Distribuição, assegurando os Coordenadores: (i) que o tratamento conferido aos investidores seja justo e equitativo; (ii) a adequação do investimento ao perfil de risco do Público Alvo; e (iii) que os representantes de venda das Instituições Participantes da Oferta recebam previamente exemplar (a) deste Prospecto Preliminar, acompanhado de seus anexos e documentos incorporados por referência, incluindo, mas sem limitação, o Formulário de Referência, a ser disponibilizado ao mercado quando da divulgação do Aviso ao Mercado, (b) do Prospecto Definitivo, acompanhado de seus anexos e documentos incorporados por referência, incluindo, mas sem limitação, o Formulário de Referência, a ser disponibilizado ao mercado quando da divulgação do Anúncio de Início, nos termos do artigo 54-A da Instrução CVM 400, para leitura obrigatória, e que suas dúvidas possam ser esclarecidas por pessoa designada pelos Coordenadores, nos termos do parágrafo 3º do artigo 33 da Instrução CVM 400, e será fixado nos seguintes termos, observado que a Oferta não contará com esforços de colocação no exterior: </w:t>
      </w:r>
    </w:p>
    <w:p>
      <w:pPr>
        <w:pStyle w:val="PargrafodaLista"/>
        <w:numPr>
          <w:ilvl w:val="2"/>
          <w:numId w:val="46"/>
        </w:numPr>
        <w:spacing w:after="0" w:line="300" w:lineRule="exact"/>
        <w:ind w:hanging="850"/>
        <w:rPr>
          <w:rFonts w:ascii="Verdana" w:hAnsi="Verdana"/>
        </w:rPr>
      </w:pPr>
      <w:r>
        <w:rPr>
          <w:rFonts w:ascii="Verdana" w:hAnsi="Verdana"/>
          <w:lang w:val="pt-BR"/>
        </w:rPr>
        <w:t>o</w:t>
      </w:r>
      <w:r>
        <w:rPr>
          <w:rFonts w:ascii="Verdana" w:hAnsi="Verdana"/>
        </w:rPr>
        <w:t xml:space="preserve"> público alvo da Oferta, levando-se sempre em conta o perfil de risco dos seus destinatários, será composto por</w:t>
      </w:r>
      <w:r>
        <w:rPr>
          <w:rFonts w:ascii="Verdana" w:hAnsi="Verdana"/>
          <w:lang w:val="pt-BR"/>
        </w:rPr>
        <w:t xml:space="preserve"> Investidores Institucionais e Investidores Não Institucionais.</w:t>
      </w:r>
    </w:p>
    <w:p>
      <w:pPr>
        <w:pStyle w:val="PargrafodaLista"/>
        <w:tabs>
          <w:tab w:val="num" w:pos="1418"/>
        </w:tabs>
        <w:spacing w:line="300" w:lineRule="exact"/>
        <w:ind w:left="1418" w:hanging="850"/>
        <w:rPr>
          <w:rFonts w:ascii="Verdana" w:hAnsi="Verdana"/>
        </w:rPr>
      </w:pPr>
    </w:p>
    <w:p>
      <w:pPr>
        <w:pStyle w:val="PargrafodaLista"/>
        <w:numPr>
          <w:ilvl w:val="2"/>
          <w:numId w:val="46"/>
        </w:numPr>
        <w:spacing w:after="0" w:line="300" w:lineRule="exact"/>
        <w:ind w:hanging="850"/>
        <w:rPr>
          <w:rFonts w:ascii="Verdana" w:hAnsi="Verdana"/>
        </w:rPr>
      </w:pPr>
      <w:r>
        <w:rPr>
          <w:rFonts w:ascii="Verdana" w:hAnsi="Verdana"/>
        </w:rPr>
        <w:t xml:space="preserve">após a divulgação do Aviso ao Mercado e a disponibilização deste Prospecto Preliminar, poderão ser realizadas apresentações para </w:t>
      </w:r>
      <w:r>
        <w:rPr>
          <w:rFonts w:ascii="Verdana" w:hAnsi="Verdana"/>
        </w:rPr>
        <w:lastRenderedPageBreak/>
        <w:t>potenciais investidores (</w:t>
      </w:r>
      <w:r>
        <w:rPr>
          <w:rFonts w:ascii="Verdana" w:hAnsi="Verdana"/>
          <w:i/>
        </w:rPr>
        <w:t>roadshow</w:t>
      </w:r>
      <w:r>
        <w:rPr>
          <w:rFonts w:ascii="Verdana" w:hAnsi="Verdana"/>
        </w:rPr>
        <w:t xml:space="preserve"> e/ou </w:t>
      </w:r>
      <w:r>
        <w:rPr>
          <w:rFonts w:ascii="Verdana" w:hAnsi="Verdana"/>
          <w:i/>
        </w:rPr>
        <w:t>one</w:t>
      </w:r>
      <w:r>
        <w:rPr>
          <w:rFonts w:ascii="Verdana" w:hAnsi="Verdana"/>
          <w:i/>
        </w:rPr>
        <w:noBreakHyphen/>
        <w:t>on</w:t>
      </w:r>
      <w:r>
        <w:rPr>
          <w:rFonts w:ascii="Verdana" w:hAnsi="Verdana"/>
          <w:i/>
        </w:rPr>
        <w:noBreakHyphen/>
        <w:t>ones</w:t>
      </w:r>
      <w:r>
        <w:rPr>
          <w:rFonts w:ascii="Verdana" w:hAnsi="Verdana"/>
        </w:rPr>
        <w:t>), conforme determinado pelos Coordenadores em comum acordo com a Emissora;</w:t>
      </w:r>
    </w:p>
    <w:p>
      <w:pPr>
        <w:tabs>
          <w:tab w:val="num" w:pos="1418"/>
          <w:tab w:val="num" w:pos="1701"/>
        </w:tabs>
        <w:spacing w:line="300" w:lineRule="exact"/>
        <w:ind w:left="1418" w:hanging="850"/>
        <w:contextualSpacing/>
        <w:rPr>
          <w:rFonts w:ascii="Verdana" w:hAnsi="Verdana"/>
          <w:lang w:val="pt-BR"/>
        </w:rPr>
      </w:pPr>
    </w:p>
    <w:p>
      <w:pPr>
        <w:numPr>
          <w:ilvl w:val="2"/>
          <w:numId w:val="46"/>
        </w:numPr>
        <w:tabs>
          <w:tab w:val="num" w:pos="1701"/>
        </w:tabs>
        <w:spacing w:after="0" w:line="300" w:lineRule="exact"/>
        <w:ind w:hanging="850"/>
        <w:rPr>
          <w:rFonts w:ascii="Verdana" w:hAnsi="Verdana"/>
          <w:lang w:val="pt-BR"/>
        </w:rPr>
      </w:pPr>
      <w:r>
        <w:rPr>
          <w:rFonts w:ascii="Verdana" w:hAnsi="Verdana"/>
          <w:lang w:val="pt-BR"/>
        </w:rPr>
        <w:t>os materiais publicitários ou documentos de suporte às Apresentações para Potenciais Investidores eventualmente utilizados serão encaminhados à CVM em até 1 (um) Dia Útil contado da sua utilização, nos termos do artigo 50, parágrafo 5º, da Instrução CVM 400 e observado o disposto na Deliberação CVM n° 818, de 30 de abril de 2019;</w:t>
      </w:r>
    </w:p>
    <w:p>
      <w:pPr>
        <w:tabs>
          <w:tab w:val="num" w:pos="1418"/>
          <w:tab w:val="num" w:pos="1701"/>
        </w:tabs>
        <w:spacing w:line="300" w:lineRule="exact"/>
        <w:ind w:left="1418" w:hanging="850"/>
        <w:rPr>
          <w:rFonts w:ascii="Verdana" w:hAnsi="Verdana"/>
          <w:lang w:val="pt-BR"/>
        </w:rPr>
      </w:pPr>
    </w:p>
    <w:p>
      <w:pPr>
        <w:numPr>
          <w:ilvl w:val="2"/>
          <w:numId w:val="46"/>
        </w:numPr>
        <w:tabs>
          <w:tab w:val="num" w:pos="1701"/>
        </w:tabs>
        <w:spacing w:after="0" w:line="300" w:lineRule="exact"/>
        <w:ind w:hanging="850"/>
        <w:rPr>
          <w:rFonts w:ascii="Verdana" w:hAnsi="Verdana"/>
          <w:lang w:val="pt-BR"/>
        </w:rPr>
      </w:pPr>
      <w:r>
        <w:rPr>
          <w:rFonts w:ascii="Verdana" w:hAnsi="Verdana"/>
          <w:lang w:val="x-none"/>
        </w:rPr>
        <w:t xml:space="preserve">após as </w:t>
      </w:r>
      <w:r>
        <w:rPr>
          <w:rFonts w:ascii="Verdana" w:hAnsi="Verdana"/>
          <w:bCs/>
          <w:lang w:val="x-none"/>
        </w:rPr>
        <w:t xml:space="preserve">Apresentações para Potenciais Investidores </w:t>
      </w:r>
      <w:r>
        <w:rPr>
          <w:rFonts w:ascii="Verdana" w:hAnsi="Verdana"/>
          <w:lang w:val="x-none"/>
        </w:rPr>
        <w:t xml:space="preserve">e anteriormente à obtenção do registro da Oferta na CVM, os Coordenadores realizarão o Procedimento de </w:t>
      </w:r>
      <w:r>
        <w:rPr>
          <w:rFonts w:ascii="Verdana" w:hAnsi="Verdana"/>
          <w:i/>
          <w:lang w:val="x-none"/>
        </w:rPr>
        <w:t>Bookbuilding</w:t>
      </w:r>
      <w:r>
        <w:rPr>
          <w:rFonts w:ascii="Verdana" w:hAnsi="Verdana"/>
          <w:lang w:val="x-none"/>
        </w:rPr>
        <w:t>, que será realizado nos termos acima indicados;</w:t>
      </w:r>
    </w:p>
    <w:p>
      <w:pPr>
        <w:tabs>
          <w:tab w:val="num" w:pos="1418"/>
          <w:tab w:val="num" w:pos="1701"/>
        </w:tabs>
        <w:spacing w:line="300" w:lineRule="exact"/>
        <w:ind w:left="1418" w:hanging="850"/>
        <w:rPr>
          <w:rFonts w:ascii="Verdana" w:hAnsi="Verdana"/>
          <w:lang w:val="pt-BR"/>
        </w:rPr>
      </w:pPr>
    </w:p>
    <w:p>
      <w:pPr>
        <w:numPr>
          <w:ilvl w:val="2"/>
          <w:numId w:val="46"/>
        </w:numPr>
        <w:tabs>
          <w:tab w:val="num" w:pos="1701"/>
        </w:tabs>
        <w:spacing w:after="0" w:line="300" w:lineRule="exact"/>
        <w:ind w:hanging="850"/>
        <w:rPr>
          <w:rFonts w:ascii="Verdana" w:hAnsi="Verdana"/>
          <w:lang w:val="pt-BR"/>
        </w:rPr>
      </w:pPr>
      <w:r>
        <w:rPr>
          <w:rFonts w:ascii="Verdana" w:hAnsi="Verdana"/>
          <w:lang w:val="pt-BR"/>
        </w:rPr>
        <w:t xml:space="preserve">os Investidores da Oferta, inclusive aqueles considerados Pessoas Vinculadas, poderão apresentar suas ordens de investimento por meio de um ou mais Pedidos de Reserva; </w:t>
      </w:r>
    </w:p>
    <w:p>
      <w:pPr>
        <w:tabs>
          <w:tab w:val="num" w:pos="1418"/>
          <w:tab w:val="num" w:pos="1701"/>
        </w:tabs>
        <w:spacing w:line="300" w:lineRule="exact"/>
        <w:ind w:left="1418" w:hanging="850"/>
        <w:rPr>
          <w:rFonts w:ascii="Verdana" w:hAnsi="Verdana"/>
          <w:lang w:val="pt-BR"/>
        </w:rPr>
      </w:pPr>
    </w:p>
    <w:p>
      <w:pPr>
        <w:numPr>
          <w:ilvl w:val="2"/>
          <w:numId w:val="46"/>
        </w:numPr>
        <w:tabs>
          <w:tab w:val="num" w:pos="1701"/>
        </w:tabs>
        <w:spacing w:after="0" w:line="300" w:lineRule="exact"/>
        <w:ind w:hanging="850"/>
        <w:rPr>
          <w:rFonts w:ascii="Verdana" w:hAnsi="Verdana"/>
          <w:lang w:val="pt-BR"/>
        </w:rPr>
      </w:pPr>
      <w:r>
        <w:rPr>
          <w:rFonts w:ascii="Verdana" w:hAnsi="Verdana"/>
          <w:iCs/>
          <w:lang w:val="pt-BR"/>
        </w:rPr>
        <w:t>este Prospecto Preliminar deverá estar disponível nos mesmos locais em que será disponibilizado o Prospecto Definitivo pelo menos 5 (cinco) Dias Úteis antes do prazo inicial para o recebimento dos Pedidos de Reserva;</w:t>
      </w:r>
    </w:p>
    <w:p>
      <w:pPr>
        <w:tabs>
          <w:tab w:val="num" w:pos="1418"/>
          <w:tab w:val="num" w:pos="1701"/>
        </w:tabs>
        <w:spacing w:line="300" w:lineRule="exact"/>
        <w:ind w:left="1418" w:hanging="850"/>
        <w:rPr>
          <w:rFonts w:ascii="Verdana" w:hAnsi="Verdana"/>
          <w:lang w:val="pt-BR"/>
        </w:rPr>
      </w:pPr>
    </w:p>
    <w:p>
      <w:pPr>
        <w:numPr>
          <w:ilvl w:val="2"/>
          <w:numId w:val="46"/>
        </w:numPr>
        <w:tabs>
          <w:tab w:val="num" w:pos="1701"/>
        </w:tabs>
        <w:spacing w:after="0" w:line="300" w:lineRule="exact"/>
        <w:ind w:hanging="850"/>
        <w:rPr>
          <w:rFonts w:ascii="Verdana" w:hAnsi="Verdana"/>
          <w:lang w:val="pt-BR"/>
        </w:rPr>
      </w:pPr>
      <w:r>
        <w:rPr>
          <w:rFonts w:ascii="Verdana" w:hAnsi="Verdana"/>
          <w:lang w:val="pt-BR"/>
        </w:rPr>
        <w:t xml:space="preserve">findo o Período de Reserva, os Participantes Especiais consolidarão os Pedidos de Reserva que tenham recebido e os encaminharão já consolidados aos Coordenadores; </w:t>
      </w:r>
    </w:p>
    <w:p>
      <w:pPr>
        <w:pStyle w:val="PargrafodaLista"/>
        <w:tabs>
          <w:tab w:val="num" w:pos="1418"/>
          <w:tab w:val="num" w:pos="1701"/>
        </w:tabs>
        <w:spacing w:line="300" w:lineRule="exact"/>
        <w:ind w:left="1418" w:hanging="850"/>
        <w:rPr>
          <w:rFonts w:ascii="Verdana" w:hAnsi="Verdana"/>
        </w:rPr>
      </w:pPr>
    </w:p>
    <w:p>
      <w:pPr>
        <w:numPr>
          <w:ilvl w:val="2"/>
          <w:numId w:val="46"/>
        </w:numPr>
        <w:tabs>
          <w:tab w:val="num" w:pos="1701"/>
        </w:tabs>
        <w:spacing w:after="0" w:line="300" w:lineRule="exact"/>
        <w:ind w:hanging="850"/>
        <w:rPr>
          <w:rFonts w:ascii="Verdana" w:hAnsi="Verdana"/>
          <w:lang w:val="pt-BR"/>
        </w:rPr>
      </w:pPr>
      <w:r>
        <w:rPr>
          <w:rFonts w:ascii="Verdana" w:hAnsi="Verdana"/>
          <w:lang w:val="pt-BR"/>
        </w:rPr>
        <w:t xml:space="preserve">os Investidores da Oferta, inclusive aqueles considerados Pessoas Vinculadas, interessados em subscrever Debêntures também poderão apresentar seus Pedidos de Reserva, no Período de Reserva, perante uma Instituição Participante da Oferta ou suas respectivas ordens de investimento aos Coordenadores, na data de realização do Procedimento de </w:t>
      </w:r>
      <w:r>
        <w:rPr>
          <w:rFonts w:ascii="Verdana" w:hAnsi="Verdana"/>
          <w:i/>
          <w:lang w:val="pt-BR"/>
        </w:rPr>
        <w:t>Bookbuilding</w:t>
      </w:r>
      <w:r>
        <w:rPr>
          <w:rFonts w:ascii="Verdana" w:hAnsi="Verdana"/>
          <w:lang w:val="pt-BR"/>
        </w:rPr>
        <w:t xml:space="preserve">, indicando a quantidade de Debêntures a ser adquirida em diferentes níveis de taxa de juros; </w:t>
      </w:r>
    </w:p>
    <w:p>
      <w:pPr>
        <w:tabs>
          <w:tab w:val="num" w:pos="1418"/>
          <w:tab w:val="num" w:pos="1701"/>
        </w:tabs>
        <w:spacing w:line="300" w:lineRule="exact"/>
        <w:ind w:left="1418" w:hanging="850"/>
        <w:rPr>
          <w:rFonts w:ascii="Verdana" w:hAnsi="Verdana"/>
          <w:lang w:val="pt-BR"/>
        </w:rPr>
      </w:pPr>
    </w:p>
    <w:p>
      <w:pPr>
        <w:numPr>
          <w:ilvl w:val="2"/>
          <w:numId w:val="46"/>
        </w:numPr>
        <w:tabs>
          <w:tab w:val="num" w:pos="1701"/>
        </w:tabs>
        <w:spacing w:after="0" w:line="300" w:lineRule="exact"/>
        <w:ind w:hanging="850"/>
        <w:rPr>
          <w:rFonts w:ascii="Verdana" w:hAnsi="Verdana"/>
          <w:lang w:val="pt-BR"/>
        </w:rPr>
      </w:pPr>
      <w:r>
        <w:rPr>
          <w:rFonts w:ascii="Verdana" w:hAnsi="Verdana"/>
          <w:lang w:val="pt-BR"/>
        </w:rPr>
        <w:t xml:space="preserve">concluído o Procedimento de </w:t>
      </w:r>
      <w:r>
        <w:rPr>
          <w:rFonts w:ascii="Verdana" w:hAnsi="Verdana"/>
          <w:i/>
          <w:lang w:val="pt-BR"/>
        </w:rPr>
        <w:t>Bookbuilding</w:t>
      </w:r>
      <w:r>
        <w:rPr>
          <w:rFonts w:ascii="Verdana" w:hAnsi="Verdana"/>
          <w:lang w:val="pt-BR"/>
        </w:rPr>
        <w:t xml:space="preserve">, os Coordenadores consolidarão todos </w:t>
      </w:r>
      <w:r>
        <w:rPr>
          <w:rFonts w:ascii="Verdana" w:hAnsi="Verdana"/>
          <w:bCs/>
          <w:lang w:val="pt-BR"/>
        </w:rPr>
        <w:t>os Pedidos de Reserva que tenham recebido de maneira consolidada das Instituições Participantes da Oferta e as ordens de investimento efetuadas para subscrição das Debêntures</w:t>
      </w:r>
      <w:r>
        <w:rPr>
          <w:rFonts w:ascii="Verdana" w:hAnsi="Verdana"/>
          <w:lang w:val="pt-BR"/>
        </w:rPr>
        <w:t xml:space="preserve">; </w:t>
      </w:r>
    </w:p>
    <w:p>
      <w:pPr>
        <w:tabs>
          <w:tab w:val="num" w:pos="1418"/>
          <w:tab w:val="num" w:pos="1701"/>
        </w:tabs>
        <w:spacing w:line="300" w:lineRule="exact"/>
        <w:ind w:left="1418" w:hanging="850"/>
        <w:rPr>
          <w:rFonts w:ascii="Verdana" w:hAnsi="Verdana"/>
          <w:lang w:val="pt-BR"/>
        </w:rPr>
      </w:pPr>
    </w:p>
    <w:p>
      <w:pPr>
        <w:numPr>
          <w:ilvl w:val="2"/>
          <w:numId w:val="46"/>
        </w:numPr>
        <w:tabs>
          <w:tab w:val="num" w:pos="1701"/>
        </w:tabs>
        <w:spacing w:after="0" w:line="300" w:lineRule="exact"/>
        <w:ind w:hanging="850"/>
        <w:rPr>
          <w:rFonts w:ascii="Verdana" w:hAnsi="Verdana"/>
          <w:lang w:val="pt-BR"/>
        </w:rPr>
      </w:pPr>
      <w:r>
        <w:rPr>
          <w:rFonts w:ascii="Verdana" w:hAnsi="Verdana"/>
          <w:bCs/>
          <w:lang w:val="x-none"/>
        </w:rPr>
        <w:lastRenderedPageBreak/>
        <w:t xml:space="preserve">desde que todas as </w:t>
      </w:r>
      <w:r>
        <w:rPr>
          <w:rFonts w:ascii="Verdana" w:hAnsi="Verdana"/>
          <w:bCs/>
          <w:lang w:val="pt-BR"/>
        </w:rPr>
        <w:t>C</w:t>
      </w:r>
      <w:r>
        <w:rPr>
          <w:rFonts w:ascii="Verdana" w:hAnsi="Verdana"/>
          <w:bCs/>
          <w:lang w:val="x-none"/>
        </w:rPr>
        <w:t xml:space="preserve">ondições </w:t>
      </w:r>
      <w:r>
        <w:rPr>
          <w:rFonts w:ascii="Verdana" w:hAnsi="Verdana"/>
          <w:bCs/>
          <w:lang w:val="pt-BR"/>
        </w:rPr>
        <w:t>P</w:t>
      </w:r>
      <w:r>
        <w:rPr>
          <w:rFonts w:ascii="Verdana" w:hAnsi="Verdana"/>
          <w:bCs/>
          <w:lang w:val="x-none"/>
        </w:rPr>
        <w:t xml:space="preserve">recedentes listadas </w:t>
      </w:r>
      <w:r>
        <w:rPr>
          <w:rFonts w:ascii="Verdana" w:hAnsi="Verdana"/>
          <w:bCs/>
          <w:lang w:val="pt-BR"/>
        </w:rPr>
        <w:t>na Cláusula 5 do Contrato de Distribuição</w:t>
      </w:r>
      <w:r>
        <w:rPr>
          <w:rFonts w:ascii="Verdana" w:hAnsi="Verdana"/>
          <w:bCs/>
          <w:lang w:val="x-none"/>
        </w:rPr>
        <w:t xml:space="preserve"> tenham sido satisfeitas ou tenham sido expressamente renunciadas pel</w:t>
      </w:r>
      <w:r>
        <w:rPr>
          <w:rFonts w:ascii="Verdana" w:hAnsi="Verdana"/>
          <w:lang w:val="x-none"/>
        </w:rPr>
        <w:t>os Coordenadores</w:t>
      </w:r>
      <w:r>
        <w:rPr>
          <w:rFonts w:ascii="Verdana" w:hAnsi="Verdana"/>
          <w:bCs/>
          <w:lang w:val="x-none"/>
        </w:rPr>
        <w:t xml:space="preserve">, e </w:t>
      </w:r>
      <w:r>
        <w:rPr>
          <w:rFonts w:ascii="Verdana" w:hAnsi="Verdana"/>
          <w:lang w:val="pt-BR"/>
        </w:rPr>
        <w:t>observado o disposto no Contrato de Distribuição, a Oferta terá início após (a) a obtenção das autorizações e do atendimento aos requisitos a que se refere a Cláusula 2, do Contrato de Distribuição, e as demais disposições do Contrato de Distribuição; (b) a concessão do registro da Oferta pela CVM; (c) a divulgação do Anúncio de Início; (d) o registro para distribuição e negociação das Debêntures pela B3; (e) a disponibilização do Prospecto Definitivo da Oferta aos investidores e o seu envio à CVM, nos termos do artigo 54 da Instrução CVM 400</w:t>
      </w:r>
      <w:r>
        <w:rPr>
          <w:rFonts w:ascii="Verdana" w:hAnsi="Verdana" w:cs="Arial"/>
          <w:lang w:val="pt-BR"/>
        </w:rPr>
        <w:t xml:space="preserve">; </w:t>
      </w:r>
    </w:p>
    <w:p>
      <w:pPr>
        <w:tabs>
          <w:tab w:val="num" w:pos="1418"/>
          <w:tab w:val="num" w:pos="1701"/>
        </w:tabs>
        <w:spacing w:line="300" w:lineRule="exact"/>
        <w:ind w:left="1418" w:hanging="850"/>
        <w:rPr>
          <w:rFonts w:ascii="Verdana" w:hAnsi="Verdana"/>
          <w:lang w:val="pt-BR"/>
        </w:rPr>
      </w:pPr>
    </w:p>
    <w:p>
      <w:pPr>
        <w:numPr>
          <w:ilvl w:val="2"/>
          <w:numId w:val="46"/>
        </w:numPr>
        <w:tabs>
          <w:tab w:val="num" w:pos="1701"/>
        </w:tabs>
        <w:spacing w:after="0" w:line="300" w:lineRule="exact"/>
        <w:ind w:hanging="850"/>
        <w:rPr>
          <w:rFonts w:ascii="Verdana" w:hAnsi="Verdana"/>
          <w:lang w:val="pt-BR"/>
        </w:rPr>
      </w:pPr>
      <w:r>
        <w:rPr>
          <w:rFonts w:ascii="Verdana" w:hAnsi="Verdana"/>
          <w:lang w:val="pt-BR"/>
        </w:rPr>
        <w:t>iniciada a Oferta:</w:t>
      </w:r>
      <w:r>
        <w:rPr>
          <w:rFonts w:ascii="Verdana" w:eastAsiaTheme="minorHAnsi" w:hAnsi="Verdana" w:cstheme="minorBidi"/>
          <w:bCs/>
          <w:lang w:val="pt-BR"/>
        </w:rPr>
        <w:t xml:space="preserve"> </w:t>
      </w:r>
      <w:r>
        <w:rPr>
          <w:rFonts w:ascii="Verdana" w:hAnsi="Verdana"/>
          <w:bCs/>
          <w:lang w:val="pt-BR"/>
        </w:rPr>
        <w:t xml:space="preserve">(a) os Investidores da Oferta que manifestaram interesse na subscrição das Debêntures durante o Período de Reserva por meio de preenchimento do Pedido de Reserva, e </w:t>
      </w:r>
      <w:r>
        <w:rPr>
          <w:rFonts w:ascii="Verdana" w:hAnsi="Verdana"/>
          <w:lang w:val="pt-BR"/>
        </w:rPr>
        <w:t>(b) </w:t>
      </w:r>
      <w:r>
        <w:rPr>
          <w:rFonts w:ascii="Verdana" w:hAnsi="Verdana"/>
          <w:bCs/>
          <w:lang w:val="pt-BR"/>
        </w:rPr>
        <w:t xml:space="preserve">os Investidores da Oferta que encaminharam suas ordens de investimento nas Debêntures e, em ambos os casos, tiveram suas ordens alocadas, </w:t>
      </w:r>
      <w:r>
        <w:rPr>
          <w:rFonts w:ascii="Verdana" w:hAnsi="Verdana"/>
          <w:lang w:val="pt-BR"/>
        </w:rPr>
        <w:t>deverão assinar o boletim de subscrição, na data da respectiva subscrição e integralização</w:t>
      </w:r>
      <w:r>
        <w:rPr>
          <w:rFonts w:ascii="Verdana" w:hAnsi="Verdana"/>
          <w:bCs/>
          <w:iCs/>
          <w:lang w:val="pt-BR"/>
        </w:rPr>
        <w:t>, sendo certo que a integralização das Debêntures somente ocorrerá após a assinatura do boletim de subscrição e será efetuada pelo Preço de Subscrição</w:t>
      </w:r>
      <w:r>
        <w:rPr>
          <w:rFonts w:ascii="Verdana" w:hAnsi="Verdana"/>
          <w:lang w:val="pt-BR"/>
        </w:rPr>
        <w:t xml:space="preserve">; </w:t>
      </w:r>
    </w:p>
    <w:p>
      <w:pPr>
        <w:tabs>
          <w:tab w:val="num" w:pos="1418"/>
          <w:tab w:val="num" w:pos="1701"/>
        </w:tabs>
        <w:spacing w:line="300" w:lineRule="exact"/>
        <w:ind w:left="1418" w:hanging="850"/>
        <w:rPr>
          <w:rFonts w:ascii="Verdana" w:hAnsi="Verdana"/>
          <w:lang w:val="pt-BR"/>
        </w:rPr>
      </w:pPr>
    </w:p>
    <w:p>
      <w:pPr>
        <w:numPr>
          <w:ilvl w:val="2"/>
          <w:numId w:val="46"/>
        </w:numPr>
        <w:tabs>
          <w:tab w:val="num" w:pos="1701"/>
        </w:tabs>
        <w:spacing w:after="0" w:line="300" w:lineRule="exact"/>
        <w:ind w:hanging="850"/>
        <w:rPr>
          <w:rFonts w:ascii="Verdana" w:hAnsi="Verdana"/>
          <w:lang w:val="pt-BR"/>
        </w:rPr>
      </w:pPr>
      <w:r>
        <w:rPr>
          <w:rFonts w:ascii="Verdana" w:hAnsi="Verdana"/>
          <w:bCs/>
          <w:lang w:val="x-none"/>
        </w:rPr>
        <w:t xml:space="preserve">a colocação das Debêntures será realizada de acordo com os procedimentos </w:t>
      </w:r>
      <w:r>
        <w:rPr>
          <w:rFonts w:ascii="Verdana" w:hAnsi="Verdana"/>
          <w:bCs/>
          <w:lang w:val="pt-BR"/>
        </w:rPr>
        <w:t>da</w:t>
      </w:r>
      <w:r>
        <w:rPr>
          <w:rFonts w:ascii="Verdana" w:hAnsi="Verdana"/>
          <w:bCs/>
          <w:lang w:val="x-none"/>
        </w:rPr>
        <w:t xml:space="preserve"> B3 – Segmento CETIP UTVM e/ou da </w:t>
      </w:r>
      <w:r>
        <w:rPr>
          <w:rFonts w:ascii="Verdana" w:hAnsi="Verdana"/>
          <w:bCs/>
          <w:lang w:val="pt-BR"/>
        </w:rPr>
        <w:t>B3</w:t>
      </w:r>
      <w:r>
        <w:rPr>
          <w:rFonts w:ascii="Verdana" w:hAnsi="Verdana"/>
          <w:bCs/>
          <w:lang w:val="x-none"/>
        </w:rPr>
        <w:t xml:space="preserve">, bem como com o Plano de Distribuição; </w:t>
      </w:r>
    </w:p>
    <w:p>
      <w:pPr>
        <w:tabs>
          <w:tab w:val="num" w:pos="1418"/>
          <w:tab w:val="num" w:pos="1701"/>
        </w:tabs>
        <w:spacing w:line="300" w:lineRule="exact"/>
        <w:ind w:left="1418" w:hanging="850"/>
        <w:rPr>
          <w:rFonts w:ascii="Verdana" w:hAnsi="Verdana"/>
          <w:lang w:val="pt-BR"/>
        </w:rPr>
      </w:pPr>
    </w:p>
    <w:p>
      <w:pPr>
        <w:numPr>
          <w:ilvl w:val="2"/>
          <w:numId w:val="46"/>
        </w:numPr>
        <w:tabs>
          <w:tab w:val="num" w:pos="1701"/>
        </w:tabs>
        <w:spacing w:after="0" w:line="300" w:lineRule="exact"/>
        <w:ind w:hanging="850"/>
        <w:rPr>
          <w:rFonts w:ascii="Verdana" w:hAnsi="Verdana"/>
          <w:lang w:val="pt-BR"/>
        </w:rPr>
      </w:pPr>
      <w:r>
        <w:rPr>
          <w:rFonts w:ascii="Verdana" w:hAnsi="Verdana"/>
          <w:lang w:val="pt-BR"/>
        </w:rPr>
        <w:t xml:space="preserve">caso a Oferta seja modificada, nos termos dos artigos 25 e 27 da Instrução CVM 400, (a) a modificação deverá ser divulgada imediatamente através de meios ao menos iguais aos utilizados para a divulgação da Oferta; (b) os Coordenadores deverão se acautelar e se certificar, no momento do recebimento das aceitações da Oferta, de que o investidor está ciente de que a Oferta foi alterada e de que tem conhecimento das novas condições; (c) os investidores que já tiverem aderido à Oferta deverão ser comunicados diretamente, por correio eletrônico, correspondência física ou qualquer forma de comunicação passível de comprovação, a respeito da modificação efetuada, para que confirmem, até o 5º (quinto) Dia Útil subsequente à data em que foram diretamente comunicados por escrito sobre a modificação da Oferta, o interesse em revogar sua aceitação à Oferta, presumindo-se, na falta de manifestação, o interesse do investidor em não revogar sua aceitação. Se o investidor revogar sua aceitação e se o investidor já tiver efetuado o </w:t>
      </w:r>
      <w:r>
        <w:rPr>
          <w:rFonts w:ascii="Verdana" w:hAnsi="Verdana"/>
          <w:lang w:val="pt-BR"/>
        </w:rPr>
        <w:lastRenderedPageBreak/>
        <w:t>pagamento do Preço de Subscrição das Debêntures que houver subscrito, referido Preço de Subscrição será devolvido sem juros ou correção monetária</w:t>
      </w:r>
      <w:r>
        <w:rPr>
          <w:rFonts w:ascii="Verdana" w:hAnsi="Verdana"/>
          <w:color w:val="000000"/>
          <w:lang w:val="pt-BR"/>
        </w:rPr>
        <w:t>, sem reembolso e com dedução dos valores relativos aos tributos e encargos incidentes</w:t>
      </w:r>
      <w:r>
        <w:rPr>
          <w:rFonts w:ascii="Verdana" w:hAnsi="Verdana"/>
          <w:lang w:val="pt-BR"/>
        </w:rPr>
        <w:t xml:space="preserve">, se existentes, no prazo de 5 (cinco) Dias Úteis contados da data da respectiva revogação; </w:t>
      </w:r>
    </w:p>
    <w:p>
      <w:pPr>
        <w:tabs>
          <w:tab w:val="num" w:pos="1418"/>
          <w:tab w:val="num" w:pos="1701"/>
        </w:tabs>
        <w:spacing w:line="300" w:lineRule="exact"/>
        <w:ind w:left="1418" w:hanging="850"/>
        <w:rPr>
          <w:rFonts w:ascii="Verdana" w:hAnsi="Verdana"/>
          <w:lang w:val="pt-BR"/>
        </w:rPr>
      </w:pPr>
    </w:p>
    <w:p>
      <w:pPr>
        <w:numPr>
          <w:ilvl w:val="2"/>
          <w:numId w:val="46"/>
        </w:numPr>
        <w:tabs>
          <w:tab w:val="num" w:pos="1701"/>
        </w:tabs>
        <w:spacing w:after="0" w:line="300" w:lineRule="exact"/>
        <w:ind w:hanging="850"/>
        <w:rPr>
          <w:rFonts w:ascii="Verdana" w:hAnsi="Verdana"/>
          <w:lang w:val="pt-BR"/>
        </w:rPr>
      </w:pPr>
      <w:r>
        <w:rPr>
          <w:rFonts w:ascii="Verdana" w:hAnsi="Verdana"/>
          <w:lang w:val="pt-BR"/>
        </w:rPr>
        <w:t>caso (a) seja verificada divergência relevante entre as informações constantes deste Prospecto Preliminar e do Prospecto Definitivo que altere substancialmente o risco assumido pelo investidor ou a sua decisão de investimento; ou (b) a Oferta seja suspensa, nos termos dos artigos 19 e 20 da Instrução CVM 400; o investidor que já tiver aderido à Oferta deverá ser diretamente comunicado, por correio eletrônico, correspondência física ou qualquer forma de comunicação passível de comprovação, a respeito e poderá revogar sua aceitação à Oferta, devendo, para tanto, informar sua decisão à Instituição Participante da Oferta com quem tenha realizado sua intenção de investimento(i) até o 5º (quinto) Dia Útil subsequente à data de disponibilização do Prospecto Definitivo, no caso da alínea (a) acima; e (ii) até o 5º (quinto) Dia Útil subsequente à data em que foi diretamente comunicado por escrito sobre a suspensão da Oferta, no caso da alínea (b) acima, presumindo-se, na falta da manifestação, o interesse do investidor em não revogar sua aceitação. Se o investidor revogar sua aceitação e se o investidor já tiver efetuado o pagamento do Preço de Subscrição das Debêntures que houver subscrito, referido Preço de Subscrição será devolvido sem juros ou correção monetária</w:t>
      </w:r>
      <w:r>
        <w:rPr>
          <w:rFonts w:ascii="Verdana" w:hAnsi="Verdana"/>
          <w:color w:val="000000"/>
          <w:lang w:val="pt-BR"/>
        </w:rPr>
        <w:t>, sem reembolso e com dedução dos valores relativos aos tributos e encargos incidentes</w:t>
      </w:r>
      <w:r>
        <w:rPr>
          <w:rFonts w:ascii="Verdana" w:hAnsi="Verdana"/>
          <w:lang w:val="pt-BR"/>
        </w:rPr>
        <w:t xml:space="preserve">, se existentes, no prazo de 5 (cinco) Dias Úteis contados da data da respectiva revogação; e </w:t>
      </w:r>
    </w:p>
    <w:p>
      <w:pPr>
        <w:tabs>
          <w:tab w:val="num" w:pos="1418"/>
          <w:tab w:val="num" w:pos="1701"/>
        </w:tabs>
        <w:spacing w:line="300" w:lineRule="exact"/>
        <w:ind w:left="1418" w:hanging="850"/>
        <w:rPr>
          <w:rFonts w:ascii="Verdana" w:hAnsi="Verdana"/>
          <w:lang w:val="pt-BR"/>
        </w:rPr>
      </w:pPr>
    </w:p>
    <w:p>
      <w:pPr>
        <w:numPr>
          <w:ilvl w:val="2"/>
          <w:numId w:val="46"/>
        </w:numPr>
        <w:tabs>
          <w:tab w:val="num" w:pos="1701"/>
        </w:tabs>
        <w:spacing w:after="0" w:line="300" w:lineRule="exact"/>
        <w:ind w:hanging="850"/>
        <w:rPr>
          <w:rFonts w:ascii="Verdana" w:hAnsi="Verdana"/>
          <w:lang w:val="pt-BR"/>
        </w:rPr>
      </w:pPr>
      <w:r>
        <w:rPr>
          <w:rFonts w:ascii="Verdana" w:hAnsi="Verdana"/>
          <w:lang w:val="pt-BR"/>
        </w:rPr>
        <w:t>caso (a) a Oferta seja cancelada, nos termos dos artigos 19 e 20 da Instrução CVM 400; (b) a Oferta seja revogada, nos termos dos artigos 25 e 27 da Instrução CVM 400; ou (c) o Contrato de Distribuição seja resilido, todos os atos de aceitação serão cancelados e os Coordenadores e a Emissora comunicarão tal evento aos investidores, o que poderá ocorrer, inclusive, mediante publicação de aviso ao mercado. Se o investidor já tiver efetuado o pagamento do Preço de Subscrição das Debêntures que houver subscrito, referido Preço de Subscrição será devolvido sem juros ou correção monetária</w:t>
      </w:r>
      <w:r>
        <w:rPr>
          <w:rFonts w:ascii="Verdana" w:hAnsi="Verdana"/>
          <w:color w:val="000000"/>
          <w:lang w:val="pt-BR"/>
        </w:rPr>
        <w:t>, sem reembolso e com dedução dos valores relativos aos tributos e encargos incidentes</w:t>
      </w:r>
      <w:r>
        <w:rPr>
          <w:rFonts w:ascii="Verdana" w:hAnsi="Verdana"/>
          <w:lang w:val="pt-BR"/>
        </w:rPr>
        <w:t xml:space="preserve">, se existentes, no prazo de 5 (cinco) Dias Úteis contados da data da comunicação do cancelamento ou revogação da Oferta. </w:t>
      </w:r>
    </w:p>
    <w:p>
      <w:pPr>
        <w:tabs>
          <w:tab w:val="left" w:pos="1843"/>
        </w:tabs>
        <w:spacing w:after="0" w:line="300" w:lineRule="exact"/>
        <w:ind w:left="709"/>
        <w:rPr>
          <w:rFonts w:ascii="Verdana" w:hAnsi="Verdana" w:cs="Arial"/>
          <w:lang w:val="pt-BR"/>
        </w:rPr>
      </w:pPr>
      <w:bookmarkStart w:id="149" w:name="_Toc428322714"/>
      <w:bookmarkStart w:id="150" w:name="_Toc484716004"/>
      <w:r>
        <w:rPr>
          <w:rFonts w:ascii="Verdana" w:hAnsi="Verdana" w:cs="Arial"/>
          <w:lang w:val="pt-BR"/>
        </w:rPr>
        <w:t xml:space="preserve"> </w:t>
      </w:r>
    </w:p>
    <w:p>
      <w:pPr>
        <w:pStyle w:val="Ttulo8"/>
        <w:keepNext w:val="0"/>
        <w:keepLines w:val="0"/>
        <w:spacing w:line="300" w:lineRule="exact"/>
        <w:rPr>
          <w:rFonts w:ascii="Verdana" w:hAnsi="Verdana" w:cs="Arial"/>
          <w:lang w:val="pt-BR"/>
        </w:rPr>
      </w:pPr>
    </w:p>
    <w:p>
      <w:pPr>
        <w:pStyle w:val="Ttulo8"/>
        <w:keepNext w:val="0"/>
        <w:keepLines w:val="0"/>
        <w:spacing w:line="300" w:lineRule="exact"/>
        <w:rPr>
          <w:rFonts w:ascii="Verdana" w:hAnsi="Verdana" w:cs="Arial"/>
          <w:lang w:val="pt-BR"/>
        </w:rPr>
      </w:pPr>
      <w:r>
        <w:rPr>
          <w:rFonts w:ascii="Verdana" w:hAnsi="Verdana" w:cs="Arial"/>
          <w:lang w:val="pt-BR"/>
        </w:rPr>
        <w:lastRenderedPageBreak/>
        <w:t>Prazo de Colocação</w:t>
      </w:r>
      <w:bookmarkEnd w:id="149"/>
      <w:bookmarkEnd w:id="150"/>
    </w:p>
    <w:p>
      <w:pPr>
        <w:pStyle w:val="HOMEBRBodyText"/>
        <w:keepLines w:val="0"/>
        <w:spacing w:line="300" w:lineRule="exact"/>
        <w:rPr>
          <w:rFonts w:ascii="Verdana" w:hAnsi="Verdana" w:cs="Arial"/>
        </w:rPr>
      </w:pPr>
      <w:bookmarkStart w:id="151" w:name="_Toc428322716"/>
      <w:bookmarkStart w:id="152" w:name="_Ref434934169"/>
      <w:r>
        <w:rPr>
          <w:rFonts w:ascii="Verdana" w:hAnsi="Verdana" w:cs="Arial"/>
        </w:rPr>
        <w:t>Observado o cumprimento das obrigações e das Condições Precedentes previstas no Contrato de Distribuição, os Coordenadores estruturarão a Oferta das Debêntures em regime de garantia firme de colocação, de forma individual e não solidária, nos termos e sujeito às condições do Contrato de Distribuição, para o montante de R$ 1.000.000.000,00, sem considerar as Debêntures Adicionais (as quais, se emitidas, serão colocadas sob o regime de melhores esforços de colocação), na proporção da tabela constante do item “Regime de Colocação” abaixo. As Debêntures serão distribuídas pelos Coordenadores, no prazo de até 5 Dias Úteis após a data de divulgação do Anúncio de Início, desde que tenham sido cumpridas as Condições Precedentes (“</w:t>
      </w:r>
      <w:r>
        <w:rPr>
          <w:rFonts w:ascii="Verdana" w:hAnsi="Verdana" w:cs="Arial"/>
          <w:u w:val="single"/>
        </w:rPr>
        <w:t>Prazo de Colocação</w:t>
      </w:r>
      <w:r>
        <w:rPr>
          <w:rFonts w:ascii="Verdana" w:hAnsi="Verdana" w:cs="Arial"/>
        </w:rPr>
        <w:t>”), observada a Data Limite de Garantia Firme.</w:t>
      </w:r>
    </w:p>
    <w:p>
      <w:pPr>
        <w:pStyle w:val="HOMEBRNOTOCH4"/>
        <w:keepNext w:val="0"/>
        <w:keepLines w:val="0"/>
        <w:spacing w:line="300" w:lineRule="exact"/>
        <w:outlineLvl w:val="0"/>
        <w:rPr>
          <w:rFonts w:ascii="Verdana" w:hAnsi="Verdana" w:cs="Arial"/>
        </w:rPr>
      </w:pPr>
      <w:r>
        <w:rPr>
          <w:rFonts w:ascii="Verdana" w:hAnsi="Verdana" w:cs="Arial"/>
        </w:rPr>
        <w:t>Procedimento de Coleta de Intenções de Investimento (Procedimento de Bookbuilding)</w:t>
      </w:r>
    </w:p>
    <w:p>
      <w:pPr>
        <w:pStyle w:val="HOMEBRBodyText"/>
        <w:keepLines w:val="0"/>
        <w:spacing w:line="300" w:lineRule="exact"/>
        <w:rPr>
          <w:rFonts w:ascii="Verdana" w:hAnsi="Verdana" w:cs="Arial"/>
        </w:rPr>
      </w:pPr>
      <w:bookmarkStart w:id="153" w:name="_Ref434936074"/>
      <w:bookmarkStart w:id="154" w:name="_Ref434936599"/>
      <w:bookmarkStart w:id="155" w:name="_Toc428322717"/>
      <w:bookmarkEnd w:id="151"/>
      <w:bookmarkEnd w:id="152"/>
      <w:r>
        <w:rPr>
          <w:rFonts w:ascii="Verdana" w:hAnsi="Verdana" w:cs="Arial"/>
        </w:rPr>
        <w:t>Os Coordenadores organizarão procedimento de coleta de intenções de investimento, nos termos dos parágrafos 1º e 2º do artigo 23 e do artigo 44 da Instrução CVM 400, com recebimento de reservas, para verificação da demanda pelas Debêntures em diferentes níveis de taxa de juros, de forma a definir, de comum acordo com a Emissora: (i) a taxa final dos Juros Remuneratórios; (ii) a alocação das Debêntures entre os Investidores da Oferta, e (iii) a colocação, ou não, das Debêntures Adicionais.</w:t>
      </w:r>
    </w:p>
    <w:p>
      <w:pPr>
        <w:spacing w:after="0" w:line="300" w:lineRule="exact"/>
        <w:rPr>
          <w:rFonts w:ascii="Verdana" w:hAnsi="Verdana" w:cs="Arial"/>
          <w:lang w:val="pt-BR"/>
        </w:rPr>
      </w:pPr>
      <w:r>
        <w:rPr>
          <w:rFonts w:ascii="Verdana" w:hAnsi="Verdana" w:cs="Arial"/>
          <w:lang w:val="pt-BR"/>
        </w:rPr>
        <w:t xml:space="preserve">Participarão do Procedimento de </w:t>
      </w:r>
      <w:r>
        <w:rPr>
          <w:rFonts w:ascii="Verdana" w:hAnsi="Verdana" w:cs="Arial"/>
          <w:i/>
          <w:lang w:val="pt-BR"/>
        </w:rPr>
        <w:t xml:space="preserve">Bookbuilding </w:t>
      </w:r>
      <w:r>
        <w:rPr>
          <w:rFonts w:ascii="Verdana" w:hAnsi="Verdana" w:cs="Arial"/>
          <w:lang w:val="pt-BR"/>
        </w:rPr>
        <w:t xml:space="preserve">para definição dos Juros Remuneratórios exclusivamente Investidores Institucionais. Os Investidores Não Institucionais não participarão do Procedimento de </w:t>
      </w:r>
      <w:r>
        <w:rPr>
          <w:rFonts w:ascii="Verdana" w:hAnsi="Verdana" w:cs="Arial"/>
          <w:i/>
          <w:lang w:val="pt-BR"/>
        </w:rPr>
        <w:t>Bookbuilding</w:t>
      </w:r>
      <w:r>
        <w:rPr>
          <w:rFonts w:ascii="Verdana" w:hAnsi="Verdana" w:cs="Arial"/>
          <w:lang w:val="pt-BR"/>
        </w:rPr>
        <w:t xml:space="preserve"> para a definição dos Juros Remuneratórios. </w:t>
      </w:r>
    </w:p>
    <w:p>
      <w:pPr>
        <w:spacing w:after="0" w:line="300" w:lineRule="exact"/>
        <w:rPr>
          <w:rFonts w:ascii="Verdana" w:hAnsi="Verdana" w:cs="Arial"/>
          <w:lang w:val="pt-BR"/>
        </w:rPr>
      </w:pPr>
    </w:p>
    <w:p>
      <w:pPr>
        <w:spacing w:after="0" w:line="300" w:lineRule="exact"/>
        <w:rPr>
          <w:rFonts w:ascii="Verdana" w:hAnsi="Verdana" w:cs="Arial"/>
          <w:lang w:val="pt-BR"/>
        </w:rPr>
      </w:pPr>
      <w:r>
        <w:rPr>
          <w:rFonts w:ascii="Verdana" w:hAnsi="Verdana" w:cs="Arial"/>
          <w:lang w:val="pt-BR"/>
        </w:rPr>
        <w:t xml:space="preserve">Ao final do Procedimento de </w:t>
      </w:r>
      <w:r>
        <w:rPr>
          <w:rFonts w:ascii="Verdana" w:hAnsi="Verdana" w:cs="Arial"/>
          <w:i/>
          <w:lang w:val="pt-BR"/>
        </w:rPr>
        <w:t>Bookbuilding</w:t>
      </w:r>
      <w:r>
        <w:rPr>
          <w:rFonts w:ascii="Verdana" w:hAnsi="Verdana" w:cs="Arial"/>
          <w:lang w:val="pt-BR"/>
        </w:rPr>
        <w:t xml:space="preserve">, a Emissora ratificará a taxa final dos Juros Remuneratórios, a colocação ou não das Debêntures Adicionais e, consequentemente, a quantidade final de Debêntures, por meio de aditamento à Escritura, que deverá ser arquivado na JUCEPAR, sem necessidade de nova aprovação societária pela Emissora, nos termos da RCA da Emissão, ou de realização de Assembleia Geral de Debenturistas. O resultado do Procedimento de </w:t>
      </w:r>
      <w:r>
        <w:rPr>
          <w:rFonts w:ascii="Verdana" w:hAnsi="Verdana" w:cs="Arial"/>
          <w:i/>
          <w:lang w:val="pt-BR"/>
        </w:rPr>
        <w:t>Bookbuilding</w:t>
      </w:r>
      <w:r>
        <w:rPr>
          <w:rFonts w:ascii="Verdana" w:hAnsi="Verdana" w:cs="Arial"/>
          <w:lang w:val="pt-BR"/>
        </w:rPr>
        <w:t xml:space="preserve"> será divulgado por meio do Anúncio de Início da Oferta, nos termos do artigo 23, parágrafo 2º, da Instrução CVM 400.</w:t>
      </w:r>
    </w:p>
    <w:p>
      <w:pPr>
        <w:spacing w:after="0" w:line="300" w:lineRule="exact"/>
        <w:rPr>
          <w:rFonts w:ascii="Verdana" w:hAnsi="Verdana" w:cs="Arial"/>
          <w:lang w:val="pt-BR"/>
        </w:rPr>
      </w:pPr>
    </w:p>
    <w:p>
      <w:pPr>
        <w:spacing w:after="0" w:line="300" w:lineRule="exact"/>
        <w:rPr>
          <w:rFonts w:ascii="Verdana" w:hAnsi="Verdana" w:cs="Arial"/>
          <w:lang w:val="pt-BR"/>
        </w:rPr>
      </w:pPr>
      <w:r>
        <w:rPr>
          <w:rFonts w:ascii="Verdana" w:hAnsi="Verdana" w:cs="Arial"/>
          <w:lang w:val="pt-BR"/>
        </w:rPr>
        <w:t>Nos termos do artigo 55 da Instrução CVM 400, poderá ser aceita a participação de Investidores da Oferta que sejam Pessoas Vinculadas na Oferta. Caso seja verificado excesso de demanda superior em 1/3 à quantidade de Debêntures inicialmente ofertada (sem considerar as Debêntures Adicionais), não será permitida a colocação de Debêntures junto aos Investidores da Oferta que sejam Pessoas Vinculadas, sendo suas ordens de investimento ou Pedidos de Reserva, conforme o caso, automaticamente cancelados, observada a vedação disposta no parágrafo abaixo.</w:t>
      </w:r>
    </w:p>
    <w:p>
      <w:pPr>
        <w:spacing w:after="0" w:line="300" w:lineRule="exact"/>
        <w:rPr>
          <w:rFonts w:ascii="Verdana" w:hAnsi="Verdana" w:cs="Arial"/>
          <w:lang w:val="pt-BR"/>
        </w:rPr>
      </w:pPr>
    </w:p>
    <w:p>
      <w:pPr>
        <w:spacing w:after="0" w:line="300" w:lineRule="exact"/>
        <w:rPr>
          <w:rFonts w:ascii="Verdana" w:hAnsi="Verdana" w:cs="Arial"/>
          <w:lang w:val="pt-BR"/>
        </w:rPr>
      </w:pPr>
      <w:r>
        <w:rPr>
          <w:rFonts w:ascii="Verdana" w:hAnsi="Verdana" w:cs="Arial"/>
          <w:lang w:val="pt-BR"/>
        </w:rPr>
        <w:lastRenderedPageBreak/>
        <w:t xml:space="preserve">A vedação de colocação disposta no artigo 55 da Instrução CVM 400 não se aplica ao Formador de Mercado, desde que o direito de subscrever e a quantidade máxima de valores mobiliários a serem subscritos, se houver tal limitação, estejam divulgados nos Prospectos contendo informações sobre a Emissora e a Oferta, conforme previsto no parágrafo único do artigo 55 da Instrução CVM 400.  </w:t>
      </w:r>
    </w:p>
    <w:p>
      <w:pPr>
        <w:spacing w:after="0" w:line="300" w:lineRule="exact"/>
        <w:rPr>
          <w:rFonts w:ascii="Verdana" w:hAnsi="Verdana" w:cs="Arial"/>
          <w:lang w:val="pt-BR"/>
        </w:rPr>
      </w:pPr>
    </w:p>
    <w:p>
      <w:pPr>
        <w:spacing w:after="0" w:line="300" w:lineRule="exact"/>
        <w:rPr>
          <w:rFonts w:ascii="Verdana" w:hAnsi="Verdana" w:cs="Arial"/>
          <w:lang w:val="pt-BR"/>
        </w:rPr>
      </w:pPr>
      <w:r>
        <w:rPr>
          <w:rFonts w:ascii="Verdana" w:hAnsi="Verdana" w:cs="Arial"/>
          <w:bCs/>
          <w:lang w:val="pt-BR"/>
        </w:rPr>
        <w:t xml:space="preserve">As intenções de investimento do Formador de Mercado serão alocadas na taxa de juros apurada no Procedimento de </w:t>
      </w:r>
      <w:r>
        <w:rPr>
          <w:rFonts w:ascii="Verdana" w:hAnsi="Verdana" w:cs="Arial"/>
          <w:bCs/>
          <w:i/>
          <w:lang w:val="pt-BR"/>
        </w:rPr>
        <w:t>Bookbuilding</w:t>
      </w:r>
      <w:r>
        <w:rPr>
          <w:rFonts w:ascii="Verdana" w:hAnsi="Verdana" w:cs="Arial"/>
          <w:bCs/>
          <w:lang w:val="pt-BR"/>
        </w:rPr>
        <w:t xml:space="preserve">, não havendo, portanto, qualquer influência por parte do Formador de Mercado na definição dos Juros Remuneratórios das Debêntures durante o Procedimento de </w:t>
      </w:r>
      <w:r>
        <w:rPr>
          <w:rFonts w:ascii="Verdana" w:hAnsi="Verdana" w:cs="Arial"/>
          <w:bCs/>
          <w:i/>
          <w:lang w:val="pt-BR"/>
        </w:rPr>
        <w:t>Bookbuilding</w:t>
      </w:r>
      <w:r>
        <w:rPr>
          <w:rFonts w:ascii="Verdana" w:hAnsi="Verdana" w:cs="Arial"/>
          <w:bCs/>
          <w:lang w:val="pt-BR"/>
        </w:rPr>
        <w:t>.</w:t>
      </w:r>
      <w:r>
        <w:rPr>
          <w:rFonts w:ascii="Verdana" w:hAnsi="Verdana" w:cs="Arial"/>
          <w:lang w:val="pt-BR"/>
        </w:rPr>
        <w:t xml:space="preserve"> </w:t>
      </w:r>
    </w:p>
    <w:p>
      <w:pPr>
        <w:pStyle w:val="HOMEBRNOTOCH5"/>
        <w:spacing w:line="300" w:lineRule="exact"/>
        <w:rPr>
          <w:rFonts w:ascii="Verdana" w:hAnsi="Verdana" w:cs="Arial"/>
        </w:rPr>
      </w:pPr>
      <w:bookmarkStart w:id="156" w:name="_Toc460016399"/>
      <w:bookmarkStart w:id="157" w:name="_Ref460319850"/>
      <w:r>
        <w:rPr>
          <w:rFonts w:ascii="Verdana" w:hAnsi="Verdana" w:cs="Arial"/>
        </w:rPr>
        <w:t>Pessoas Vinculadas</w:t>
      </w:r>
      <w:bookmarkEnd w:id="156"/>
      <w:bookmarkEnd w:id="157"/>
    </w:p>
    <w:p>
      <w:pPr>
        <w:pStyle w:val="HOMEBRBodyText"/>
        <w:spacing w:line="300" w:lineRule="exact"/>
        <w:rPr>
          <w:rFonts w:ascii="Verdana" w:hAnsi="Verdana" w:cs="Arial"/>
        </w:rPr>
      </w:pPr>
      <w:r>
        <w:rPr>
          <w:rFonts w:ascii="Verdana" w:hAnsi="Verdana" w:cs="Arial"/>
        </w:rPr>
        <w:t>São consideradas “</w:t>
      </w:r>
      <w:r>
        <w:rPr>
          <w:rFonts w:ascii="Verdana" w:hAnsi="Verdana" w:cs="Arial"/>
          <w:u w:val="single"/>
        </w:rPr>
        <w:t>Pessoas Vinculadas</w:t>
      </w:r>
      <w:r>
        <w:rPr>
          <w:rFonts w:ascii="Verdana" w:hAnsi="Verdana" w:cs="Arial"/>
        </w:rPr>
        <w:t>”: (i) controladores pessoa física ou jurídica ou administradores da Emissora, de sua controladora e/ou de suas controladas ou outras pessoas vinculadas à Emissão e à Oferta, bem como seus cônjuges ou companheiros, seus ascendentes, descendentes e colaterais até o 2º (segundo) grau; (ii) controladores pessoa física ou jurídica ou administradores das Instituições Participantes da Oferta; (iii) empregados, operadores e demais prepostos da Emissora e/ou das Instituições Participantes da Oferta, que desempenhem atividades de intermediação ou de suporte operacional diretamente envolvidos na Oferta; (iv) agentes autônomos que prestem serviços à Emissora e/ou às Instituições Participantes da Oferta; (v) demais profissionais que mantenham, com a Emissora e/ou as Instituições Participantes da Oferta, contrato de prestação de serviços diretamente relacionados à atividade de intermediação ou de suporte operacional no âmbito da Oferta; (vi) sociedades controladas, direta ou indiretamente, pela Emissora e/ou pelas Instituições Participantes da Oferta ou por pessoas a elas vinculadas; (vii) sociedades controladas, direta ou indiretamente, por pessoas vinculadas às Instituições Participantes da Oferta, desde que diretamente envolvidos na Oferta; (viii) cônjuges ou companheiro e filhos menores das pessoas mencionadas nos itens “ii” a “v”; e (ix) clubes e fundos de investimento cuja maioria das cotas pertença a pessoas vinculadas, salvo se geridos discricionariamente por terceiros não vinculados, nos termos do artigo 55 da Instrução CVM 400 e do artigo 1º, inciso VI, da Instrução CVM 505.</w:t>
      </w:r>
    </w:p>
    <w:p>
      <w:pPr>
        <w:pStyle w:val="Ttulo8"/>
        <w:spacing w:after="180" w:line="300" w:lineRule="exact"/>
        <w:rPr>
          <w:rFonts w:ascii="Verdana" w:hAnsi="Verdana" w:cs="Arial"/>
          <w:lang w:val="pt-BR"/>
        </w:rPr>
      </w:pPr>
      <w:bookmarkStart w:id="158" w:name="_Toc460016400"/>
      <w:bookmarkStart w:id="159" w:name="_Toc461631159"/>
      <w:bookmarkStart w:id="160" w:name="_Ref483330093"/>
      <w:bookmarkStart w:id="161" w:name="_Ref483330427"/>
      <w:bookmarkStart w:id="162" w:name="_Ref484524819"/>
      <w:bookmarkStart w:id="163" w:name="_Toc484716005"/>
      <w:bookmarkStart w:id="164" w:name="_Ref434936059"/>
      <w:bookmarkStart w:id="165" w:name="_Ref460329260"/>
      <w:bookmarkEnd w:id="153"/>
      <w:bookmarkEnd w:id="154"/>
      <w:r>
        <w:rPr>
          <w:rFonts w:ascii="Verdana" w:hAnsi="Verdana" w:cs="Arial"/>
          <w:lang w:val="pt-BR"/>
        </w:rPr>
        <w:t>Oferta Não Institucional</w:t>
      </w:r>
      <w:bookmarkEnd w:id="158"/>
      <w:bookmarkEnd w:id="159"/>
      <w:bookmarkEnd w:id="160"/>
      <w:bookmarkEnd w:id="161"/>
      <w:bookmarkEnd w:id="162"/>
      <w:bookmarkEnd w:id="163"/>
    </w:p>
    <w:p>
      <w:pPr>
        <w:pStyle w:val="HOMEBRBodyText"/>
        <w:spacing w:after="180" w:line="300" w:lineRule="exact"/>
        <w:rPr>
          <w:rFonts w:ascii="Verdana" w:hAnsi="Verdana" w:cs="Arial"/>
          <w:spacing w:val="-4"/>
        </w:rPr>
      </w:pPr>
      <w:r>
        <w:rPr>
          <w:rFonts w:ascii="Verdana" w:hAnsi="Verdana" w:cs="Arial"/>
          <w:spacing w:val="-4"/>
        </w:rPr>
        <w:t xml:space="preserve">O montante de 100.000 Debêntures, ou seja, 10% do Valor Total da Emissão (sem considerar as Debêntures Adicionais), será destinado, prioritariamente, à colocação pública para Investidores Não Institucionais no âmbito da Oferta Não Institucional. Os Coordenadores, em comum acordo com a Emissora, poderão alterar a quantidade de Debêntures inicialmente destinada à Oferta Não Institucional a um patamar compatível com os objetivos da Oferta, de forma a atender total ou parcialmente os Pedidos de Reserva apresentados pelos Investidores Não Institucionais. </w:t>
      </w:r>
    </w:p>
    <w:p>
      <w:pPr>
        <w:pStyle w:val="HOMEBRBodyText"/>
        <w:spacing w:after="180" w:line="300" w:lineRule="exact"/>
        <w:rPr>
          <w:rFonts w:ascii="Verdana" w:hAnsi="Verdana" w:cs="Arial"/>
          <w:spacing w:val="-4"/>
        </w:rPr>
      </w:pPr>
      <w:r>
        <w:rPr>
          <w:rFonts w:ascii="Verdana" w:hAnsi="Verdana" w:cs="Arial"/>
          <w:spacing w:val="-4"/>
        </w:rPr>
        <w:lastRenderedPageBreak/>
        <w:t xml:space="preserve">Os Pedidos de Reserva dos Investidores Não Institucionais, sejam eles considerados ou não Pessoas Vinculadas, não serão considerados no Procedimento de </w:t>
      </w:r>
      <w:r>
        <w:rPr>
          <w:rFonts w:ascii="Verdana" w:hAnsi="Verdana" w:cs="Arial"/>
          <w:i/>
          <w:spacing w:val="-4"/>
        </w:rPr>
        <w:t>Bookbuilding</w:t>
      </w:r>
      <w:r>
        <w:rPr>
          <w:rFonts w:ascii="Verdana" w:hAnsi="Verdana" w:cs="Arial"/>
          <w:spacing w:val="-4"/>
        </w:rPr>
        <w:t>, não participando, portanto, da definição da taxa final dos Juros Remuneratórios.</w:t>
      </w:r>
    </w:p>
    <w:p>
      <w:pPr>
        <w:pStyle w:val="HOMEBRBodyText"/>
        <w:spacing w:after="180" w:line="300" w:lineRule="exact"/>
        <w:rPr>
          <w:rFonts w:ascii="Verdana" w:hAnsi="Verdana" w:cs="Arial"/>
        </w:rPr>
      </w:pPr>
      <w:r>
        <w:rPr>
          <w:rFonts w:ascii="Verdana" w:hAnsi="Verdana" w:cs="Arial"/>
        </w:rPr>
        <w:t>Os Pedidos de Reserva efetuados pelos Investidores Não Institucionais são irrevogáveis e irretratáveis, exceto pelo disposto nos incisos (II), (III), (VI) e (VII), abaixo, e de acordo com as seguintes condições, observados os procedimentos e normas de liquidação da B3:</w:t>
      </w:r>
    </w:p>
    <w:p>
      <w:pPr>
        <w:widowControl w:val="0"/>
        <w:numPr>
          <w:ilvl w:val="0"/>
          <w:numId w:val="37"/>
        </w:numPr>
        <w:tabs>
          <w:tab w:val="clear" w:pos="1418"/>
          <w:tab w:val="left" w:pos="709"/>
          <w:tab w:val="num" w:pos="1560"/>
        </w:tabs>
        <w:spacing w:after="0" w:line="300" w:lineRule="exact"/>
        <w:ind w:left="0" w:firstLine="0"/>
        <w:rPr>
          <w:rFonts w:ascii="Verdana" w:hAnsi="Verdana" w:cs="Arial"/>
          <w:color w:val="000000"/>
          <w:lang w:val="pt-BR"/>
        </w:rPr>
      </w:pPr>
      <w:r>
        <w:rPr>
          <w:rFonts w:ascii="Verdana" w:hAnsi="Verdana" w:cs="Arial"/>
          <w:color w:val="000000"/>
          <w:lang w:val="pt-BR"/>
        </w:rPr>
        <w:t xml:space="preserve">durante o Período de Reserva, cada Investidor Não Institucional, seja ele considerado Pessoa Vinculada ou não, interessado em participar da Oferta Não Institucional efetuará Pedido de Reserva perante uma Instituição Participante da Oferta, mediante preenchimento do Pedido de Reserva. Recomenda-se aos Investidores Não Institucionais que entrem em contato com a Instituição Participante da Oferta de sua preferência para verificar os procedimentos adotados pela respectiva Instituição Participante da Oferta para efetivação do Pedido de Reserva, incluindo, sem limitação, eventual necessidade de depósito prévio do investimento pretendido; </w:t>
      </w:r>
    </w:p>
    <w:p>
      <w:pPr>
        <w:widowControl w:val="0"/>
        <w:tabs>
          <w:tab w:val="left" w:pos="709"/>
          <w:tab w:val="num" w:pos="1560"/>
        </w:tabs>
        <w:spacing w:line="300" w:lineRule="exact"/>
        <w:rPr>
          <w:rFonts w:ascii="Verdana" w:hAnsi="Verdana" w:cs="Arial"/>
          <w:color w:val="000000"/>
          <w:lang w:val="pt-BR"/>
        </w:rPr>
      </w:pPr>
    </w:p>
    <w:p>
      <w:pPr>
        <w:widowControl w:val="0"/>
        <w:numPr>
          <w:ilvl w:val="0"/>
          <w:numId w:val="37"/>
        </w:numPr>
        <w:tabs>
          <w:tab w:val="clear" w:pos="1418"/>
          <w:tab w:val="left" w:pos="709"/>
          <w:tab w:val="num" w:pos="1560"/>
        </w:tabs>
        <w:spacing w:after="0" w:line="300" w:lineRule="exact"/>
        <w:ind w:left="0" w:firstLine="0"/>
        <w:rPr>
          <w:rFonts w:ascii="Verdana" w:hAnsi="Verdana" w:cs="Arial"/>
          <w:color w:val="000000"/>
          <w:lang w:val="pt-BR"/>
        </w:rPr>
      </w:pPr>
      <w:r>
        <w:rPr>
          <w:rFonts w:ascii="Verdana" w:hAnsi="Verdana" w:cs="Arial"/>
          <w:lang w:val="pt-BR"/>
        </w:rPr>
        <w:t>os Investidores Não Institucionais que sejam Pessoas Vinculadas deverão, obrigatoriamente, indicar no respectivo Pedido de Reserva sua qualidade de Pessoa Vinculada, sendo certo que seus Pedidos de Reserva deverão ser automaticamente cancelados pela respectiva Instituição Participante da Oferta caso seja verificado excesso de demanda superior a 1/3 das Debêntures inicialmente ofertadas (sem considerar as Debêntures Adicionais), nos termos do artigo 55 da Instrução CVM 400;</w:t>
      </w:r>
    </w:p>
    <w:p>
      <w:pPr>
        <w:spacing w:after="0" w:line="300" w:lineRule="exact"/>
        <w:jc w:val="left"/>
        <w:rPr>
          <w:rFonts w:ascii="Verdana" w:hAnsi="Verdana" w:cs="Arial"/>
          <w:color w:val="000000"/>
          <w:lang w:val="pt-BR"/>
        </w:rPr>
      </w:pPr>
    </w:p>
    <w:p>
      <w:pPr>
        <w:widowControl w:val="0"/>
        <w:numPr>
          <w:ilvl w:val="0"/>
          <w:numId w:val="37"/>
        </w:numPr>
        <w:tabs>
          <w:tab w:val="clear" w:pos="1418"/>
          <w:tab w:val="left" w:pos="709"/>
          <w:tab w:val="num" w:pos="1560"/>
        </w:tabs>
        <w:spacing w:after="180" w:line="300" w:lineRule="exact"/>
        <w:ind w:left="0" w:firstLine="0"/>
        <w:rPr>
          <w:rFonts w:ascii="Verdana" w:hAnsi="Verdana" w:cs="Arial"/>
          <w:color w:val="000000"/>
          <w:lang w:val="pt-BR"/>
        </w:rPr>
      </w:pPr>
      <w:r>
        <w:rPr>
          <w:rFonts w:ascii="Verdana" w:hAnsi="Verdana" w:cs="Arial"/>
          <w:color w:val="000000"/>
          <w:lang w:val="pt-BR"/>
        </w:rPr>
        <w:t>no Pedido de Reserva, os Investidores Não Institucionais terão a faculdade de estipular, como condição de eficácia do respectivo Pedido de Reserva e aceitação da Oferta, uma taxa mínima para os Juros Remuneratórios,</w:t>
      </w:r>
      <w:r>
        <w:rPr>
          <w:rFonts w:ascii="Verdana" w:hAnsi="Verdana" w:cs="Arial"/>
          <w:lang w:val="pt-BR"/>
        </w:rPr>
        <w:t>.</w:t>
      </w:r>
      <w:r>
        <w:rPr>
          <w:rFonts w:ascii="Verdana" w:hAnsi="Verdana" w:cs="Arial"/>
          <w:color w:val="000000"/>
          <w:lang w:val="pt-BR"/>
        </w:rPr>
        <w:t xml:space="preserve"> O Pedido de Reserva deverá ser automaticamente cancelado (i) caso o Investidor Não Institucional tenha estipulado como taxa mínima para os Juros Remuneratórios uma taxa superior à taxa final dos Juros Remuneratórios; ou (ii) caso o Investidor Não Institucional tenha estipulado como taxa mínima para as Debêntures uma taxa superior à taxa máxima de Juros Remuneratórios estipulada neste Prospecto Preliminar e no Aviso ao Mercado; ou (iii) na ausência de especificação de taxa mínima para os Juros Remuneratórios. </w:t>
      </w:r>
    </w:p>
    <w:p>
      <w:pPr>
        <w:widowControl w:val="0"/>
        <w:numPr>
          <w:ilvl w:val="0"/>
          <w:numId w:val="37"/>
        </w:numPr>
        <w:tabs>
          <w:tab w:val="clear" w:pos="1418"/>
          <w:tab w:val="left" w:pos="709"/>
          <w:tab w:val="num" w:pos="1560"/>
        </w:tabs>
        <w:spacing w:after="180" w:line="300" w:lineRule="exact"/>
        <w:ind w:left="0" w:firstLine="0"/>
        <w:rPr>
          <w:rFonts w:ascii="Verdana" w:hAnsi="Verdana" w:cs="Arial"/>
          <w:color w:val="000000"/>
          <w:lang w:val="pt-BR"/>
        </w:rPr>
      </w:pPr>
      <w:r>
        <w:rPr>
          <w:rFonts w:ascii="Verdana" w:hAnsi="Verdana" w:cs="Arial"/>
          <w:color w:val="000000"/>
          <w:lang w:val="pt-BR"/>
        </w:rPr>
        <w:t xml:space="preserve">até o final do Dia Útil imediatamente anterior à data de divulgação do Anúncio de Início, serão informados ao Investidor Não Institucional, pela Instituição Participante da Oferta que recebeu o respectivo Pedido de Reserva, por meio de seu respectivo endereço eletrônico, ou, por telefone: (a) a quantidade de Debêntures alocadas ao Investidor Não Institucional após o atendimento, se for o caso, do critério de rateio previsto no item “Critérios de Rateio da Oferta Não Institucional” abaixo; (b) a Primeira </w:t>
      </w:r>
      <w:r>
        <w:rPr>
          <w:rFonts w:ascii="Verdana" w:hAnsi="Verdana" w:cs="Arial"/>
          <w:lang w:val="pt-BR"/>
        </w:rPr>
        <w:t>Data de Integralização</w:t>
      </w:r>
      <w:r>
        <w:rPr>
          <w:rFonts w:ascii="Verdana" w:hAnsi="Verdana" w:cs="Arial"/>
          <w:color w:val="000000"/>
          <w:lang w:val="pt-BR"/>
        </w:rPr>
        <w:t xml:space="preserve">; e (c) os Juros Remuneratórios definidos no Procedimento de </w:t>
      </w:r>
      <w:r>
        <w:rPr>
          <w:rFonts w:ascii="Verdana" w:hAnsi="Verdana" w:cs="Arial"/>
          <w:i/>
          <w:color w:val="000000"/>
          <w:lang w:val="pt-BR"/>
        </w:rPr>
        <w:t>Bookbuilding</w:t>
      </w:r>
      <w:r>
        <w:rPr>
          <w:rFonts w:ascii="Verdana" w:hAnsi="Verdana" w:cs="Arial"/>
          <w:color w:val="000000"/>
          <w:lang w:val="pt-BR"/>
        </w:rPr>
        <w:t>;</w:t>
      </w:r>
    </w:p>
    <w:p>
      <w:pPr>
        <w:widowControl w:val="0"/>
        <w:numPr>
          <w:ilvl w:val="0"/>
          <w:numId w:val="37"/>
        </w:numPr>
        <w:tabs>
          <w:tab w:val="clear" w:pos="1418"/>
          <w:tab w:val="left" w:pos="709"/>
          <w:tab w:val="num" w:pos="1560"/>
        </w:tabs>
        <w:spacing w:after="180" w:line="300" w:lineRule="exact"/>
        <w:ind w:left="0" w:firstLine="0"/>
        <w:rPr>
          <w:rFonts w:ascii="Verdana" w:hAnsi="Verdana" w:cs="Arial"/>
          <w:color w:val="000000"/>
          <w:lang w:val="pt-BR"/>
        </w:rPr>
      </w:pPr>
      <w:bookmarkStart w:id="166" w:name="_Ref459655838"/>
      <w:r>
        <w:rPr>
          <w:rFonts w:ascii="Verdana" w:hAnsi="Verdana" w:cs="Arial"/>
          <w:color w:val="000000"/>
          <w:lang w:val="pt-BR"/>
        </w:rPr>
        <w:lastRenderedPageBreak/>
        <w:t>os Investidores Não Institucionais deverão efetuar o pagamento do valor indicado pela Instituição Participante da Oferta nos termos do item (IV) acima junto à Instituição Participante da Oferta com que tenham realizado o respectivo Pedido de Reserva, conforme procedimentos adotados pela respectiva Instituição Participante da Oferta, na Primeira Data de Integralização, conforme instrução da Instituição Participante da Oferta, sob pena de seu Pedido de Reserva ser cancelado;</w:t>
      </w:r>
      <w:bookmarkEnd w:id="166"/>
      <w:r>
        <w:rPr>
          <w:rFonts w:ascii="Verdana" w:hAnsi="Verdana" w:cs="Arial"/>
          <w:color w:val="000000"/>
          <w:lang w:val="pt-BR"/>
        </w:rPr>
        <w:t xml:space="preserve"> </w:t>
      </w:r>
    </w:p>
    <w:p>
      <w:pPr>
        <w:widowControl w:val="0"/>
        <w:numPr>
          <w:ilvl w:val="0"/>
          <w:numId w:val="37"/>
        </w:numPr>
        <w:tabs>
          <w:tab w:val="clear" w:pos="1418"/>
          <w:tab w:val="left" w:pos="709"/>
          <w:tab w:val="num" w:pos="1560"/>
        </w:tabs>
        <w:spacing w:after="180" w:line="300" w:lineRule="exact"/>
        <w:ind w:left="0" w:firstLine="0"/>
        <w:rPr>
          <w:rFonts w:ascii="Verdana" w:hAnsi="Verdana" w:cs="Arial"/>
          <w:color w:val="000000"/>
          <w:spacing w:val="-2"/>
          <w:lang w:val="pt-BR"/>
        </w:rPr>
      </w:pPr>
      <w:r>
        <w:rPr>
          <w:rFonts w:ascii="Verdana" w:hAnsi="Verdana" w:cs="Arial"/>
          <w:color w:val="000000"/>
          <w:spacing w:val="-2"/>
          <w:lang w:val="pt-BR"/>
        </w:rPr>
        <w:t xml:space="preserve">nas hipóteses de: (a) identificação de divergência relevante entre as informações constantes deste Prospecto Preliminar e do Prospecto Definitivo que alterem substancialmente o risco assumido pelo Investidor Não Institucional, ou a sua decisão de investimento; (b) suspensão da Oferta nos termos do artigo 20 da Instrução CVM 400; ou (c) modificação da Oferta nos termos do artigo 27 da Instrução CVM 400; poderá o referido Investidor Não Institucional desistir do Pedido de Reserva após o início da Oferta. Nesta hipótese, o Investidor Não Institucional deverá informar sua decisão de desistência do Pedido de Reserva à Instituição Participante da Oferta que recebeu o respectivo Pedido de Reserva, em conformidade com os termos e no prazo previsto no respectivo Pedido de Reserva; </w:t>
      </w:r>
    </w:p>
    <w:p>
      <w:pPr>
        <w:widowControl w:val="0"/>
        <w:numPr>
          <w:ilvl w:val="0"/>
          <w:numId w:val="37"/>
        </w:numPr>
        <w:tabs>
          <w:tab w:val="clear" w:pos="1418"/>
          <w:tab w:val="left" w:pos="709"/>
          <w:tab w:val="num" w:pos="1560"/>
        </w:tabs>
        <w:spacing w:after="180" w:line="300" w:lineRule="exact"/>
        <w:ind w:left="0" w:firstLine="0"/>
        <w:rPr>
          <w:rFonts w:ascii="Verdana" w:hAnsi="Verdana" w:cs="Arial"/>
          <w:color w:val="000000"/>
          <w:lang w:val="pt-BR"/>
        </w:rPr>
      </w:pPr>
      <w:r>
        <w:rPr>
          <w:rFonts w:ascii="Verdana" w:hAnsi="Verdana" w:cs="Arial"/>
          <w:color w:val="000000"/>
          <w:lang w:val="pt-BR"/>
        </w:rPr>
        <w:t>na hipótese de não haver conclusão da Oferta ou na hipótese de resilição do Contrato de Distribuição, ou, ainda, em qualquer outra hipótese prevista na legislação de não produção de efeitos ou desconsideração de Pedidos de Reserva, estes serão todos cancelados e os respectivos Investidores Não Institucionais serão comunicados sobre o cancelamento da Oferta, o que poderá ocorrer por meio de divulgação, pela Emissora e pelos Coordenadores, de comunicado ao mercado;</w:t>
      </w:r>
    </w:p>
    <w:p>
      <w:pPr>
        <w:widowControl w:val="0"/>
        <w:numPr>
          <w:ilvl w:val="0"/>
          <w:numId w:val="37"/>
        </w:numPr>
        <w:tabs>
          <w:tab w:val="clear" w:pos="1418"/>
          <w:tab w:val="left" w:pos="709"/>
          <w:tab w:val="num" w:pos="1560"/>
        </w:tabs>
        <w:spacing w:after="180" w:line="300" w:lineRule="exact"/>
        <w:ind w:left="0" w:firstLine="0"/>
        <w:rPr>
          <w:rFonts w:ascii="Verdana" w:hAnsi="Verdana" w:cs="Arial"/>
          <w:color w:val="000000"/>
          <w:lang w:val="pt-BR"/>
        </w:rPr>
      </w:pPr>
      <w:r>
        <w:rPr>
          <w:rFonts w:ascii="Verdana" w:hAnsi="Verdana" w:cs="Arial"/>
          <w:color w:val="000000"/>
          <w:lang w:val="pt-BR"/>
        </w:rPr>
        <w:t>na respectiva Data de Integralização, cada Instituição Participante da Oferta junto à qual o Pedido de Reserva tenha sido realizado, entregará a cada Investidor Não Institucional o número de Debêntures alocado a tal Investidor Não Institucional, ressalvadas as hipóteses de cancelamento do Pedido de Reserva descritas nos incisos (II), (III), (VI) e (VII) acima; e</w:t>
      </w:r>
    </w:p>
    <w:p>
      <w:pPr>
        <w:widowControl w:val="0"/>
        <w:numPr>
          <w:ilvl w:val="0"/>
          <w:numId w:val="37"/>
        </w:numPr>
        <w:tabs>
          <w:tab w:val="clear" w:pos="1418"/>
          <w:tab w:val="left" w:pos="709"/>
          <w:tab w:val="num" w:pos="1560"/>
        </w:tabs>
        <w:spacing w:after="180" w:line="300" w:lineRule="exact"/>
        <w:ind w:left="0" w:firstLine="0"/>
        <w:rPr>
          <w:rFonts w:ascii="Verdana" w:hAnsi="Verdana" w:cs="Arial"/>
          <w:color w:val="000000"/>
          <w:lang w:val="pt-BR"/>
        </w:rPr>
      </w:pPr>
      <w:r>
        <w:rPr>
          <w:rFonts w:ascii="Verdana" w:hAnsi="Verdana" w:cs="Arial"/>
          <w:color w:val="000000"/>
          <w:lang w:val="pt-BR"/>
        </w:rPr>
        <w:t xml:space="preserve">os Investidores Não Institucionais deverão realizar a integralização das Debêntures pelo Preço de Integralização, mediante o pagamento à vista, na respectiva Data de Integralização, em moeda corrente nacional, em recursos imediatamente disponíveis, de acordo com o procedimento descrito acima. </w:t>
      </w:r>
    </w:p>
    <w:p>
      <w:pPr>
        <w:pStyle w:val="HOMEBRIdentBullet"/>
        <w:spacing w:after="180" w:line="300" w:lineRule="exact"/>
        <w:ind w:left="0" w:firstLine="0"/>
        <w:rPr>
          <w:rFonts w:ascii="Verdana" w:hAnsi="Verdana" w:cs="Arial"/>
          <w:b/>
          <w:lang w:val="pt-BR"/>
        </w:rPr>
      </w:pPr>
      <w:r>
        <w:rPr>
          <w:rFonts w:ascii="Verdana" w:hAnsi="Verdana" w:cs="Arial"/>
          <w:b/>
          <w:lang w:val="pt-BR"/>
        </w:rPr>
        <w:lastRenderedPageBreak/>
        <w:t>É recomendado aos Investidores Não Institucionais interessados na realização de Pedido de Reserva, que (i) leiam cuidadosamente os termos e condições estipulados no Pedido de Reserva, especialmente no que se refere aos procedimentos relativos à liquidação da Oferta e às informações constantes deste Prospecto Preliminar e do Formulário de Referência; (ii) verifiquem com a Instituição Participante da Oferta de sua preferência, antes de realizar o seu Pedido de Reserva, se essa, a seu exclusivo critério, exige a manutenção de recursos em conta corrente nela aberta e/ou mantida, para fins de garantia do Pedido de Reserva, conforme o caso; (iii) verifiquem com a Instituição Participante da Oferta de sua preferência, antes da realização do seu Pedido de Reserva, a possibilidade de débito antecipado da reserva por parte da Instituição Participante da Oferta; e (iv) entrem em contato com a Instituição Participante da Oferta de sua preferência para obter informações mais detalhadas sobre o prazo estabelecido pela Instituição Participante da Oferta para a formalização do Pedido de Reserva ou, se for o caso, para a realização do cadastro na Instituição Participante da Oferta, tendo em vista os procedimentos operacionais adotados por cada Instituição Participante da Oferta,</w:t>
      </w:r>
      <w:r>
        <w:rPr>
          <w:rFonts w:ascii="Verdana" w:hAnsi="Verdana" w:cs="Arial"/>
          <w:b/>
          <w:iCs/>
          <w:lang w:val="pt-BR"/>
        </w:rPr>
        <w:t xml:space="preserve"> tais como bloqueio dos recursos necessários à integralização das Debêntures, autorização para débito em conta corrente, eventual garantia exigida e outras cláusulas que dizem respeito à relação jurídica do Investidor Não Institucional com a </w:t>
      </w:r>
      <w:r>
        <w:rPr>
          <w:rFonts w:ascii="Verdana" w:hAnsi="Verdana" w:cs="Arial"/>
          <w:b/>
          <w:lang w:val="pt-BR"/>
        </w:rPr>
        <w:t>Instituição Participante da Oferta.</w:t>
      </w:r>
    </w:p>
    <w:p>
      <w:pPr>
        <w:pStyle w:val="Ttulo8"/>
        <w:spacing w:after="180" w:line="300" w:lineRule="exact"/>
        <w:rPr>
          <w:rFonts w:ascii="Verdana" w:hAnsi="Verdana" w:cs="Arial"/>
          <w:lang w:val="pt-BR"/>
        </w:rPr>
      </w:pPr>
      <w:bookmarkStart w:id="167" w:name="_Ref483330418"/>
      <w:bookmarkStart w:id="168" w:name="_Toc484716006"/>
      <w:r>
        <w:rPr>
          <w:rFonts w:ascii="Verdana" w:hAnsi="Verdana" w:cs="Arial"/>
          <w:lang w:val="pt-BR"/>
        </w:rPr>
        <w:t>Oferta Institucional</w:t>
      </w:r>
      <w:bookmarkEnd w:id="164"/>
      <w:bookmarkEnd w:id="165"/>
      <w:bookmarkEnd w:id="167"/>
      <w:bookmarkEnd w:id="168"/>
      <w:r>
        <w:rPr>
          <w:rFonts w:ascii="Verdana" w:hAnsi="Verdana" w:cs="Arial"/>
          <w:lang w:val="pt-BR"/>
        </w:rPr>
        <w:t xml:space="preserve"> </w:t>
      </w:r>
    </w:p>
    <w:p>
      <w:pPr>
        <w:pStyle w:val="HOMEBRBodyText"/>
        <w:keepNext/>
        <w:spacing w:after="180" w:line="300" w:lineRule="exact"/>
        <w:rPr>
          <w:rFonts w:ascii="Verdana" w:eastAsia="ヒラギノ角ゴ Pro W3" w:hAnsi="Verdana" w:cs="Arial"/>
        </w:rPr>
      </w:pPr>
      <w:bookmarkStart w:id="169" w:name="_Toc427852320"/>
      <w:bookmarkStart w:id="170" w:name="_Toc428322720"/>
      <w:bookmarkEnd w:id="155"/>
      <w:r>
        <w:rPr>
          <w:rFonts w:ascii="Verdana" w:eastAsia="ヒラギノ角ゴ Pro W3" w:hAnsi="Verdana" w:cs="Arial"/>
        </w:rPr>
        <w:t xml:space="preserve">Após o atendimento dos Pedidos de Reserva realizados no âmbito da Oferta Não Institucional, as Debêntures remanescentes serão destinadas aos Investidores Institucionais, sejam eles considerados Pessoas Vinculadas ou não, que deverão apresentar: (i) Pedidos de Reserva, durante o Período de Reserva, perante uma Instituição Participante da Oferta; ou (ii) suas ordens de investimento aos Coordenadores, na data de realização do Procedimento de </w:t>
      </w:r>
      <w:r>
        <w:rPr>
          <w:rFonts w:ascii="Verdana" w:eastAsia="ヒラギノ角ゴ Pro W3" w:hAnsi="Verdana" w:cs="Arial"/>
          <w:i/>
        </w:rPr>
        <w:t xml:space="preserve">Bookbuilding, </w:t>
      </w:r>
      <w:r>
        <w:rPr>
          <w:rFonts w:ascii="Verdana" w:eastAsia="ヒラギノ角ゴ Pro W3" w:hAnsi="Verdana" w:cs="Arial"/>
        </w:rPr>
        <w:t>indicando a quantidade de Debêntures a ser adquirida em diferentes níveis de Juros Remuneratórios, de acordo com os seguintes procedimentos:</w:t>
      </w:r>
    </w:p>
    <w:p>
      <w:pPr>
        <w:widowControl w:val="0"/>
        <w:numPr>
          <w:ilvl w:val="0"/>
          <w:numId w:val="39"/>
        </w:numPr>
        <w:tabs>
          <w:tab w:val="clear" w:pos="1418"/>
          <w:tab w:val="left" w:pos="567"/>
        </w:tabs>
        <w:spacing w:after="180" w:line="300" w:lineRule="exact"/>
        <w:ind w:left="0" w:firstLine="0"/>
        <w:rPr>
          <w:rFonts w:ascii="Verdana" w:hAnsi="Verdana" w:cs="Arial"/>
          <w:color w:val="000000"/>
          <w:lang w:val="pt-BR"/>
        </w:rPr>
      </w:pPr>
      <w:r>
        <w:rPr>
          <w:rFonts w:ascii="Verdana" w:hAnsi="Verdana" w:cs="Arial"/>
          <w:color w:val="000000"/>
          <w:lang w:val="pt-BR"/>
        </w:rPr>
        <w:t xml:space="preserve">cada Investidor Institucional interessado em participar da Oferta Institucional deverá assumir a obrigação de verificar se está cumprindo com os requisitos para participar da Oferta Institucional, para então apresentar suas ordens de investimento aos Coordenadores na data de realização do Procedimento de </w:t>
      </w:r>
      <w:r>
        <w:rPr>
          <w:rFonts w:ascii="Verdana" w:hAnsi="Verdana" w:cs="Arial"/>
          <w:i/>
          <w:color w:val="000000"/>
          <w:lang w:val="pt-BR"/>
        </w:rPr>
        <w:t>Bookbuilding</w:t>
      </w:r>
      <w:r>
        <w:rPr>
          <w:rFonts w:ascii="Verdana" w:hAnsi="Verdana" w:cs="Arial"/>
          <w:color w:val="000000"/>
          <w:lang w:val="pt-BR"/>
        </w:rPr>
        <w:t>, ou seus Pedidos de Reserva a uma Instituição Participante da Oferta durante o Período de Reserva, conforme aplicável</w:t>
      </w:r>
      <w:r>
        <w:rPr>
          <w:rFonts w:ascii="Verdana" w:hAnsi="Verdana" w:cs="Arial"/>
          <w:bCs/>
          <w:color w:val="000000"/>
          <w:lang w:val="pt-BR"/>
        </w:rPr>
        <w:t>, sem necessidade de depósito prévio do investimento pretendido</w:t>
      </w:r>
      <w:r>
        <w:rPr>
          <w:rFonts w:ascii="Verdana" w:hAnsi="Verdana" w:cs="Arial"/>
          <w:color w:val="000000"/>
          <w:lang w:val="pt-BR"/>
        </w:rPr>
        <w:t xml:space="preserve">; </w:t>
      </w:r>
    </w:p>
    <w:p>
      <w:pPr>
        <w:widowControl w:val="0"/>
        <w:numPr>
          <w:ilvl w:val="0"/>
          <w:numId w:val="39"/>
        </w:numPr>
        <w:tabs>
          <w:tab w:val="clear" w:pos="1418"/>
          <w:tab w:val="left" w:pos="567"/>
        </w:tabs>
        <w:spacing w:after="180" w:line="300" w:lineRule="exact"/>
        <w:ind w:left="0" w:firstLine="0"/>
        <w:rPr>
          <w:rFonts w:ascii="Verdana" w:hAnsi="Verdana" w:cs="Arial"/>
          <w:lang w:val="pt-BR"/>
        </w:rPr>
      </w:pPr>
      <w:r>
        <w:rPr>
          <w:rFonts w:ascii="Verdana" w:hAnsi="Verdana" w:cs="Arial"/>
          <w:color w:val="000000"/>
          <w:lang w:val="pt-BR"/>
        </w:rPr>
        <w:t xml:space="preserve">os Pedidos de Reserva ou ordens de investimento, conforme o caso, efetuados pelos Investidores Institucionais são irrevogáveis e irretratáveis, exceto pelo disposto na letra (b) abaixo e nos incisos III e VII abaixo, e de acordo com as seguintes condições, </w:t>
      </w:r>
      <w:r>
        <w:rPr>
          <w:rFonts w:ascii="Verdana" w:hAnsi="Verdana" w:cs="Arial"/>
          <w:color w:val="000000"/>
          <w:lang w:val="pt-BR"/>
        </w:rPr>
        <w:lastRenderedPageBreak/>
        <w:t>observados os procedimentos e normas de liquidação da B3 – Segmento Cetip UTVM e/ou da B3:</w:t>
      </w:r>
    </w:p>
    <w:p>
      <w:pPr>
        <w:pStyle w:val="ENERGISA-CORPODETEXTO"/>
        <w:numPr>
          <w:ilvl w:val="1"/>
          <w:numId w:val="39"/>
        </w:numPr>
        <w:tabs>
          <w:tab w:val="clear" w:pos="1440"/>
          <w:tab w:val="left" w:pos="567"/>
        </w:tabs>
        <w:spacing w:after="180" w:line="300" w:lineRule="exact"/>
        <w:ind w:left="0" w:firstLine="0"/>
        <w:outlineLvl w:val="9"/>
        <w:rPr>
          <w:rFonts w:ascii="Verdana" w:hAnsi="Verdana"/>
          <w:bCs w:val="0"/>
          <w:color w:val="000000"/>
          <w:kern w:val="0"/>
          <w:szCs w:val="20"/>
          <w:lang w:eastAsia="en-US"/>
        </w:rPr>
      </w:pPr>
      <w:r>
        <w:rPr>
          <w:rFonts w:ascii="Verdana" w:hAnsi="Verdana"/>
          <w:bCs w:val="0"/>
          <w:color w:val="000000"/>
          <w:kern w:val="0"/>
          <w:szCs w:val="20"/>
          <w:lang w:eastAsia="en-US"/>
        </w:rPr>
        <w:t xml:space="preserve">durante o Período de Reserva, cada Investidor Institucional interessado em participar da Oferta Institucional poderá realizar a reserva das Debêntures perante uma Instituição Participante da Oferta, mediante preenchimento do Pedido de Reserva. Recomenda-se aos Investidores Institucionais que entrem em contato com a Instituição Participante da Oferta de sua preferência para verificar os procedimentos adotados pela respectiva Instituição Participante da Oferta para efetivação do Pedido de Reserva, incluindo, sem limitação, eventual necessidade de depósito prévio do investimento pretendido; e </w:t>
      </w:r>
    </w:p>
    <w:p>
      <w:pPr>
        <w:pStyle w:val="ENERGISA-CORPODETEXTO"/>
        <w:numPr>
          <w:ilvl w:val="1"/>
          <w:numId w:val="39"/>
        </w:numPr>
        <w:tabs>
          <w:tab w:val="clear" w:pos="1440"/>
          <w:tab w:val="left" w:pos="567"/>
        </w:tabs>
        <w:spacing w:after="180" w:line="300" w:lineRule="exact"/>
        <w:ind w:left="0" w:firstLine="0"/>
        <w:outlineLvl w:val="9"/>
        <w:rPr>
          <w:rFonts w:ascii="Verdana" w:hAnsi="Verdana"/>
          <w:color w:val="000000"/>
          <w:szCs w:val="20"/>
        </w:rPr>
      </w:pPr>
      <w:r>
        <w:rPr>
          <w:rFonts w:ascii="Verdana" w:hAnsi="Verdana"/>
          <w:color w:val="000000"/>
          <w:szCs w:val="20"/>
        </w:rPr>
        <w:t xml:space="preserve">no Pedido de Reserva ou na ordem de investimento, os Investidores Institucionais terão a faculdade de estipular, como condição de eficácia de seu Pedido de Reserva ou ordem de investimento e aceitação da Oferta, uma taxa mínima para os Juros Remuneratórios. O Pedido de Reserva ou ordem de investimento serão automaticamente cancelados (i) caso o Investidor Institucional tenha estipulado como taxa mínima para os Juros Remuneratórios uma taxa superior à taxa final dos respectivos Juros Remuneratórios; ou (ii) caso o Investidor Institucional tenha estipulado como taxa mínima para as Debêntures uma taxa superior à taxa máxima de Juros Remuneratórios estipulada no Aviso ao Mercado; ou (iii) na ausência de especificação de taxa mínima para os Juros Remuneratórios; </w:t>
      </w:r>
    </w:p>
    <w:p>
      <w:pPr>
        <w:widowControl w:val="0"/>
        <w:numPr>
          <w:ilvl w:val="0"/>
          <w:numId w:val="39"/>
        </w:numPr>
        <w:tabs>
          <w:tab w:val="clear" w:pos="1418"/>
          <w:tab w:val="left" w:pos="567"/>
        </w:tabs>
        <w:spacing w:after="180" w:line="300" w:lineRule="exact"/>
        <w:ind w:left="0" w:firstLine="0"/>
        <w:rPr>
          <w:rFonts w:ascii="Verdana" w:hAnsi="Verdana" w:cs="Arial"/>
          <w:color w:val="000000"/>
          <w:lang w:val="pt-BR"/>
        </w:rPr>
      </w:pPr>
      <w:r>
        <w:rPr>
          <w:rFonts w:ascii="Verdana" w:hAnsi="Verdana" w:cs="Arial"/>
          <w:color w:val="000000"/>
          <w:lang w:val="pt-BR"/>
        </w:rPr>
        <w:t>os Investidores Institucionais que sejam considerados Pessoas Vinculadas deverão, obrigatoriamente, indicar no respectivo Pedido de Reserva ou ordem de investimento sua qualidade de Pessoa Vinculada, sendo certo que, caso seja verificado excesso de demanda superior a 1/3 das Debêntures inicialmente ofertadas (sem considerar as Debêntures Adicionais)</w:t>
      </w:r>
      <w:r>
        <w:rPr>
          <w:rFonts w:ascii="Verdana" w:hAnsi="Verdana" w:cs="Arial"/>
          <w:lang w:val="pt-BR"/>
        </w:rPr>
        <w:t>, as ordens de investimento ou Pedidos de Reserva apresentadas por Investidores Institucionais que sejam Pessoas Vinculadas serão automaticamente cancelados, nos termos do artigo 55 da Instrução CVM 400;</w:t>
      </w:r>
    </w:p>
    <w:p>
      <w:pPr>
        <w:widowControl w:val="0"/>
        <w:numPr>
          <w:ilvl w:val="0"/>
          <w:numId w:val="39"/>
        </w:numPr>
        <w:tabs>
          <w:tab w:val="clear" w:pos="1418"/>
          <w:tab w:val="left" w:pos="567"/>
        </w:tabs>
        <w:spacing w:after="180" w:line="300" w:lineRule="exact"/>
        <w:ind w:left="0" w:firstLine="0"/>
        <w:rPr>
          <w:rFonts w:ascii="Verdana" w:hAnsi="Verdana" w:cs="Arial"/>
          <w:color w:val="000000"/>
          <w:lang w:val="pt-BR"/>
        </w:rPr>
      </w:pPr>
      <w:r>
        <w:rPr>
          <w:rFonts w:ascii="Verdana" w:hAnsi="Verdana" w:cs="Arial"/>
          <w:color w:val="000000"/>
          <w:lang w:val="pt-BR"/>
        </w:rPr>
        <w:t xml:space="preserve">até o final do Dia Útil imediatamente anterior à data de </w:t>
      </w:r>
      <w:r>
        <w:rPr>
          <w:rFonts w:ascii="Verdana" w:hAnsi="Verdana" w:cs="Arial"/>
          <w:lang w:val="pt-BR"/>
        </w:rPr>
        <w:t>divulgação</w:t>
      </w:r>
      <w:r>
        <w:rPr>
          <w:rFonts w:ascii="Verdana" w:hAnsi="Verdana" w:cs="Arial"/>
          <w:color w:val="000000"/>
          <w:lang w:val="pt-BR"/>
        </w:rPr>
        <w:t xml:space="preserve"> do Anúncio de Início, as respectivas Instituições Participantes da Oferta informarão aos Investidores Institucionais, por meio do seu respectivo endereço eletrônico ou, na sua ausência, por telefone: (a) a quantidade de Debêntures alocadas ao referido investidor, (b) a Primeira </w:t>
      </w:r>
      <w:r>
        <w:rPr>
          <w:rFonts w:ascii="Verdana" w:hAnsi="Verdana" w:cs="Arial"/>
          <w:lang w:val="pt-BR"/>
        </w:rPr>
        <w:t>Data de Integralização</w:t>
      </w:r>
      <w:r>
        <w:rPr>
          <w:rFonts w:ascii="Verdana" w:hAnsi="Verdana" w:cs="Arial"/>
          <w:color w:val="000000"/>
          <w:lang w:val="pt-BR"/>
        </w:rPr>
        <w:t xml:space="preserve">, e (c) os Juros Remuneratórios definidos no Procedimento de </w:t>
      </w:r>
      <w:r>
        <w:rPr>
          <w:rFonts w:ascii="Verdana" w:hAnsi="Verdana" w:cs="Arial"/>
          <w:i/>
          <w:color w:val="000000"/>
          <w:lang w:val="pt-BR"/>
        </w:rPr>
        <w:t>Bookbuilding</w:t>
      </w:r>
      <w:r>
        <w:rPr>
          <w:rFonts w:ascii="Verdana" w:hAnsi="Verdana" w:cs="Arial"/>
          <w:color w:val="000000"/>
          <w:lang w:val="pt-BR"/>
        </w:rPr>
        <w:t>.</w:t>
      </w:r>
      <w:r>
        <w:rPr>
          <w:rFonts w:ascii="Verdana" w:hAnsi="Verdana" w:cs="Arial"/>
          <w:lang w:val="pt-BR"/>
        </w:rPr>
        <w:t xml:space="preserve"> </w:t>
      </w:r>
      <w:r>
        <w:rPr>
          <w:rFonts w:ascii="Verdana" w:hAnsi="Verdana" w:cs="Arial"/>
          <w:color w:val="000000"/>
          <w:lang w:val="pt-BR"/>
        </w:rPr>
        <w:t xml:space="preserve">Os Investidores Institucionais integralizarão as Debêntures </w:t>
      </w:r>
      <w:r>
        <w:rPr>
          <w:rFonts w:ascii="Verdana" w:hAnsi="Verdana" w:cs="Arial"/>
          <w:bCs/>
          <w:color w:val="000000"/>
          <w:lang w:val="pt-BR"/>
        </w:rPr>
        <w:t xml:space="preserve">à vista, em moeda corrente nacional, em recursos imediatamente disponíveis, </w:t>
      </w:r>
      <w:r>
        <w:rPr>
          <w:rFonts w:ascii="Verdana" w:hAnsi="Verdana" w:cs="Arial"/>
          <w:color w:val="000000"/>
          <w:lang w:val="pt-BR"/>
        </w:rPr>
        <w:t xml:space="preserve">na </w:t>
      </w:r>
      <w:r>
        <w:rPr>
          <w:rFonts w:ascii="Verdana" w:hAnsi="Verdana" w:cs="Arial"/>
          <w:lang w:val="pt-BR"/>
        </w:rPr>
        <w:t>respectiva data de integralização</w:t>
      </w:r>
      <w:r>
        <w:rPr>
          <w:rFonts w:ascii="Verdana" w:hAnsi="Verdana" w:cs="Arial"/>
          <w:color w:val="000000"/>
          <w:lang w:val="pt-BR"/>
        </w:rPr>
        <w:t xml:space="preserve">, </w:t>
      </w:r>
      <w:r>
        <w:rPr>
          <w:rFonts w:ascii="Verdana" w:hAnsi="Verdana" w:cs="Arial"/>
          <w:lang w:val="pt-BR"/>
        </w:rPr>
        <w:t>de acordo com as normas de liquidação e procedimentos aplicáveis da B3 – Segmento Cetip UTVM e/ou da B3, conforme aplicável</w:t>
      </w:r>
      <w:r>
        <w:rPr>
          <w:rFonts w:ascii="Verdana" w:hAnsi="Verdana" w:cs="Arial"/>
          <w:color w:val="000000"/>
          <w:lang w:val="pt-BR"/>
        </w:rPr>
        <w:t xml:space="preserve">; </w:t>
      </w:r>
    </w:p>
    <w:p>
      <w:pPr>
        <w:pStyle w:val="Default"/>
        <w:numPr>
          <w:ilvl w:val="0"/>
          <w:numId w:val="39"/>
        </w:numPr>
        <w:tabs>
          <w:tab w:val="clear" w:pos="1418"/>
          <w:tab w:val="left" w:pos="567"/>
        </w:tabs>
        <w:spacing w:after="180" w:line="300" w:lineRule="exact"/>
        <w:ind w:left="0" w:firstLine="0"/>
        <w:jc w:val="both"/>
        <w:rPr>
          <w:rFonts w:ascii="Verdana" w:hAnsi="Verdana"/>
          <w:color w:val="auto"/>
          <w:sz w:val="20"/>
          <w:szCs w:val="20"/>
        </w:rPr>
      </w:pPr>
      <w:r>
        <w:rPr>
          <w:rFonts w:ascii="Verdana" w:hAnsi="Verdana"/>
          <w:bCs/>
          <w:sz w:val="20"/>
          <w:szCs w:val="20"/>
        </w:rPr>
        <w:t xml:space="preserve">até </w:t>
      </w:r>
      <w:r>
        <w:rPr>
          <w:rFonts w:ascii="Verdana" w:hAnsi="Verdana"/>
          <w:sz w:val="20"/>
          <w:szCs w:val="20"/>
        </w:rPr>
        <w:t>10</w:t>
      </w:r>
      <w:r>
        <w:rPr>
          <w:rFonts w:ascii="Verdana" w:hAnsi="Verdana"/>
          <w:bCs/>
          <w:sz w:val="20"/>
          <w:szCs w:val="20"/>
        </w:rPr>
        <w:t xml:space="preserve">% das Debêntures (sem considerar as Debêntures Adicionais), equivalente a até </w:t>
      </w:r>
      <w:r>
        <w:rPr>
          <w:rFonts w:ascii="Verdana" w:hAnsi="Verdana"/>
          <w:sz w:val="20"/>
          <w:szCs w:val="20"/>
        </w:rPr>
        <w:t xml:space="preserve">100.000 </w:t>
      </w:r>
      <w:r>
        <w:rPr>
          <w:rFonts w:ascii="Verdana" w:hAnsi="Verdana"/>
          <w:bCs/>
          <w:sz w:val="20"/>
          <w:szCs w:val="20"/>
        </w:rPr>
        <w:t xml:space="preserve">Debêntures (sem considerar as Debêntures Adicionais), </w:t>
      </w:r>
      <w:r>
        <w:rPr>
          <w:rFonts w:ascii="Verdana" w:hAnsi="Verdana"/>
          <w:sz w:val="20"/>
          <w:szCs w:val="20"/>
        </w:rPr>
        <w:t>destinadas à Oferta Institucional, serão preferencialmente destinadas à colocação junto ao Formador de Mercado, a fim de possibilitar-lhe a atuação como formador de mercado (</w:t>
      </w:r>
      <w:r>
        <w:rPr>
          <w:rFonts w:ascii="Verdana" w:hAnsi="Verdana"/>
          <w:i/>
          <w:iCs/>
          <w:sz w:val="20"/>
          <w:szCs w:val="20"/>
        </w:rPr>
        <w:t xml:space="preserve">market </w:t>
      </w:r>
      <w:r>
        <w:rPr>
          <w:rFonts w:ascii="Verdana" w:hAnsi="Verdana"/>
          <w:i/>
          <w:iCs/>
          <w:sz w:val="20"/>
          <w:szCs w:val="20"/>
        </w:rPr>
        <w:lastRenderedPageBreak/>
        <w:t>maker</w:t>
      </w:r>
      <w:r>
        <w:rPr>
          <w:rFonts w:ascii="Verdana" w:hAnsi="Verdana"/>
          <w:sz w:val="20"/>
          <w:szCs w:val="20"/>
        </w:rPr>
        <w:t xml:space="preserve">) das Debêntures, garantindo a existência e a permanência de ofertas firmes diárias de compra e venda para as Debêntures durante a vigência do Contrato de Formador de Mercado e nos termos da legislação aplicável. As intenções de investimento do Formador de Mercado serão apresentadas até a data de encerramento do Procedimento de </w:t>
      </w:r>
      <w:r>
        <w:rPr>
          <w:rFonts w:ascii="Verdana" w:hAnsi="Verdana"/>
          <w:i/>
          <w:iCs/>
          <w:sz w:val="20"/>
          <w:szCs w:val="20"/>
        </w:rPr>
        <w:t>Bookbuilding</w:t>
      </w:r>
      <w:r>
        <w:rPr>
          <w:rFonts w:ascii="Verdana" w:hAnsi="Verdana"/>
          <w:sz w:val="20"/>
          <w:szCs w:val="20"/>
        </w:rPr>
        <w:t xml:space="preserve">, pelos Juros Remuneratórios que vierem a ser apurados no Procedimento de </w:t>
      </w:r>
      <w:r>
        <w:rPr>
          <w:rFonts w:ascii="Verdana" w:hAnsi="Verdana"/>
          <w:i/>
          <w:iCs/>
          <w:sz w:val="20"/>
          <w:szCs w:val="20"/>
        </w:rPr>
        <w:t>Bookbuilding</w:t>
      </w:r>
      <w:r>
        <w:rPr>
          <w:rFonts w:ascii="Verdana" w:hAnsi="Verdana"/>
          <w:sz w:val="20"/>
          <w:szCs w:val="20"/>
        </w:rPr>
        <w:t xml:space="preserve">, não havendo, portanto, qualquer influência por parte do Formador de Mercado na definição dos Juros Remuneratórios durante o Procedimento de </w:t>
      </w:r>
      <w:r>
        <w:rPr>
          <w:rFonts w:ascii="Verdana" w:hAnsi="Verdana"/>
          <w:i/>
          <w:iCs/>
          <w:sz w:val="20"/>
          <w:szCs w:val="20"/>
        </w:rPr>
        <w:t>Bookbuilding</w:t>
      </w:r>
      <w:r>
        <w:rPr>
          <w:rFonts w:ascii="Verdana" w:hAnsi="Verdana"/>
          <w:iCs/>
          <w:sz w:val="20"/>
          <w:szCs w:val="20"/>
        </w:rPr>
        <w:t xml:space="preserve">. </w:t>
      </w:r>
      <w:r>
        <w:rPr>
          <w:rFonts w:ascii="Verdana" w:hAnsi="Verdana"/>
          <w:bCs/>
          <w:sz w:val="20"/>
          <w:szCs w:val="20"/>
        </w:rPr>
        <w:t>Adicionalmente, a colocação de Debêntures perante o Formador de Mercado não estará sujeita à vedação em caso de excesso de demanda superior em 1/3 (um terço) à quantidade de Debêntures inicialmente ofertada (sem considerar as Debêntures Adicionais), uma vez que o direito de subscrever e a quantidade máxima de valores mobiliários a ser subscrita estão divulgados no item “Formador de Mercado” dos Prospectos, nos termos do parágrafo único do artigo 55 da Instrução CVM 400;</w:t>
      </w:r>
      <w:r>
        <w:rPr>
          <w:rFonts w:ascii="Verdana" w:hAnsi="Verdana"/>
          <w:i/>
          <w:iCs/>
          <w:sz w:val="20"/>
          <w:szCs w:val="20"/>
        </w:rPr>
        <w:t xml:space="preserve"> </w:t>
      </w:r>
    </w:p>
    <w:p>
      <w:pPr>
        <w:pStyle w:val="Default"/>
        <w:numPr>
          <w:ilvl w:val="0"/>
          <w:numId w:val="39"/>
        </w:numPr>
        <w:tabs>
          <w:tab w:val="clear" w:pos="1418"/>
          <w:tab w:val="left" w:pos="567"/>
        </w:tabs>
        <w:spacing w:after="180" w:line="300" w:lineRule="exact"/>
        <w:ind w:left="0" w:firstLine="0"/>
        <w:jc w:val="both"/>
        <w:rPr>
          <w:rFonts w:ascii="Verdana" w:hAnsi="Verdana"/>
          <w:sz w:val="20"/>
          <w:szCs w:val="20"/>
        </w:rPr>
      </w:pPr>
      <w:r>
        <w:rPr>
          <w:rFonts w:ascii="Verdana" w:hAnsi="Verdana"/>
          <w:sz w:val="20"/>
          <w:szCs w:val="20"/>
        </w:rPr>
        <w:t xml:space="preserve">nas hipóteses de: (a) identificação de divergência relevante entre as informações constantes deste Prospecto Preliminar e do Prospecto Definitivo que alterem substancialmente o risco assumido pelo Investidor Institucional que houver efetuado Pedido de Reserva, ou a sua ordem de investimento; (b) suspensão da Oferta nos termos do artigo 20 da Instrução CVM 400; ou (c) modificação da Oferta nos termos do artigo 27 da Instrução CVM 400; poderá o </w:t>
      </w:r>
      <w:r>
        <w:rPr>
          <w:rFonts w:ascii="Verdana" w:hAnsi="Verdana"/>
          <w:bCs/>
          <w:sz w:val="20"/>
          <w:szCs w:val="20"/>
        </w:rPr>
        <w:t>referido</w:t>
      </w:r>
      <w:r>
        <w:rPr>
          <w:rFonts w:ascii="Verdana" w:hAnsi="Verdana"/>
          <w:sz w:val="20"/>
          <w:szCs w:val="20"/>
        </w:rPr>
        <w:t xml:space="preserve"> Investidor Institucional desistir do Pedido de Reserva ou da sua ordem de investimento, conforme o caso, após o início da Oferta. Nesta hipótese, tal Investidor Institucional deverá informar sua decisão de desistência do Pedido de Reserva ou da sua ordem de investimento, conforme o caso, à Instituição Participante da Oferta que recebeu o respectivo Pedido de Reserva ou ordem de investimento, em conformidade com os termos e no prazo previsto no respectivo Pedido de Reserva ou nos termos deste Prospecto Preliminar; </w:t>
      </w:r>
    </w:p>
    <w:p>
      <w:pPr>
        <w:pStyle w:val="Default"/>
        <w:numPr>
          <w:ilvl w:val="0"/>
          <w:numId w:val="39"/>
        </w:numPr>
        <w:tabs>
          <w:tab w:val="clear" w:pos="1418"/>
          <w:tab w:val="left" w:pos="567"/>
        </w:tabs>
        <w:spacing w:after="180" w:line="300" w:lineRule="exact"/>
        <w:ind w:left="0" w:firstLine="0"/>
        <w:jc w:val="both"/>
        <w:rPr>
          <w:rFonts w:ascii="Verdana" w:hAnsi="Verdana"/>
          <w:sz w:val="20"/>
          <w:szCs w:val="20"/>
        </w:rPr>
      </w:pPr>
      <w:r>
        <w:rPr>
          <w:rFonts w:ascii="Verdana" w:hAnsi="Verdana"/>
          <w:sz w:val="20"/>
          <w:szCs w:val="20"/>
        </w:rPr>
        <w:t>na hipótese de não haver conclusão da Oferta ou na hipótese de resilição do Contrato de Distribuição, ou, ainda, em qualquer outra hipótese prevista na legislação de não produção de efeitos ou desconsideração de Pedidos de Reserva ou da sua ordem de investimento, conforme o caso, estes serão todos cancelados e os respectivos Investidores Institucionais serão comunicados sobre o cancelamento da Oferta, o que poderá ocorrer por meio de divulgação de aviso ao mercado; e</w:t>
      </w:r>
    </w:p>
    <w:p>
      <w:pPr>
        <w:widowControl w:val="0"/>
        <w:numPr>
          <w:ilvl w:val="0"/>
          <w:numId w:val="39"/>
        </w:numPr>
        <w:tabs>
          <w:tab w:val="clear" w:pos="1418"/>
          <w:tab w:val="left" w:pos="567"/>
        </w:tabs>
        <w:spacing w:after="180" w:line="300" w:lineRule="exact"/>
        <w:ind w:left="0" w:firstLine="0"/>
        <w:rPr>
          <w:rFonts w:ascii="Verdana" w:hAnsi="Verdana" w:cs="Arial"/>
          <w:color w:val="000000"/>
          <w:lang w:val="pt-BR"/>
        </w:rPr>
      </w:pPr>
      <w:r>
        <w:rPr>
          <w:rFonts w:ascii="Verdana" w:hAnsi="Verdana" w:cs="Arial"/>
          <w:color w:val="000000"/>
          <w:lang w:val="pt-BR"/>
        </w:rPr>
        <w:t>na respectiva Data de Integralização, cada Instituição Participante da Oferta junto à qual o Pedido de Reserva ou ordem de investimento tenha sido realizado entregará a cada Investidor Institucional o número de Debêntures alocado a tal Investidor Institucional, ressalvadas as hipóteses de cancelamento do Pedido de Reserva descritas nos incisos (II), letra (b), (III) e (VII) acima.</w:t>
      </w:r>
    </w:p>
    <w:p>
      <w:pPr>
        <w:pStyle w:val="HOMEBRIdentBullet"/>
        <w:spacing w:before="200" w:after="180" w:line="300" w:lineRule="exact"/>
        <w:ind w:left="448" w:hanging="448"/>
        <w:rPr>
          <w:rFonts w:ascii="Verdana" w:hAnsi="Verdana" w:cs="Arial"/>
          <w:b/>
          <w:i/>
          <w:lang w:val="pt-BR"/>
        </w:rPr>
      </w:pPr>
      <w:bookmarkStart w:id="171" w:name="_DV_M169"/>
      <w:bookmarkStart w:id="172" w:name="_DV_M170"/>
      <w:bookmarkStart w:id="173" w:name="_DV_M171"/>
      <w:bookmarkStart w:id="174" w:name="_DV_M172"/>
      <w:bookmarkStart w:id="175" w:name="_Toc460016402"/>
      <w:bookmarkStart w:id="176" w:name="_Ref460323371"/>
      <w:bookmarkStart w:id="177" w:name="_Toc461631161"/>
      <w:bookmarkStart w:id="178" w:name="_Ref483330022"/>
      <w:bookmarkStart w:id="179" w:name="_Ref484524736"/>
      <w:bookmarkStart w:id="180" w:name="_Toc484716007"/>
      <w:bookmarkStart w:id="181" w:name="_Toc460016403"/>
      <w:bookmarkStart w:id="182" w:name="_Ref460323430"/>
      <w:bookmarkEnd w:id="171"/>
      <w:bookmarkEnd w:id="172"/>
      <w:bookmarkEnd w:id="173"/>
      <w:bookmarkEnd w:id="174"/>
      <w:r>
        <w:rPr>
          <w:rFonts w:ascii="Verdana" w:hAnsi="Verdana" w:cs="Arial"/>
          <w:b/>
          <w:i/>
          <w:lang w:val="pt-BR"/>
        </w:rPr>
        <w:t>Critérios de Rateio da Oferta Não Institucional</w:t>
      </w:r>
      <w:bookmarkEnd w:id="175"/>
      <w:bookmarkEnd w:id="176"/>
      <w:bookmarkEnd w:id="177"/>
      <w:bookmarkEnd w:id="178"/>
      <w:bookmarkEnd w:id="179"/>
      <w:bookmarkEnd w:id="180"/>
    </w:p>
    <w:p>
      <w:pPr>
        <w:pStyle w:val="HOMEBRBodyText"/>
        <w:spacing w:after="180" w:line="300" w:lineRule="exact"/>
        <w:rPr>
          <w:rFonts w:ascii="Verdana" w:hAnsi="Verdana" w:cs="Arial"/>
          <w:b/>
          <w:i/>
        </w:rPr>
      </w:pPr>
      <w:r>
        <w:rPr>
          <w:rFonts w:ascii="Verdana" w:hAnsi="Verdana" w:cs="Arial"/>
          <w:bCs/>
        </w:rPr>
        <w:lastRenderedPageBreak/>
        <w:t>Caso o total de Debêntures objeto dos Pedidos de Reserva de Investidores Não Institucionais válidos e admitidos seja igual ou inferior a 100.000 Debêntures, ou seja, 10% do Valor Total da Emissão (sem considerar as Debêntures Adicionais), o qual será prioritariamente destinado à Oferta Não Institucional, serão integralmente atendidos todos os Pedidos de Reserva de Investidores Não Institucionais admitidos nos termos acima, e as Debêntures remanescentes serão destinadas aos Investidores Institucionais nos termos da Oferta Institucional. Entretanto, caso a totalidade dos Pedidos de Reserva válidos e admitidos realizados por Investidores Não Institucionais seja superior a 100.000 Debêntures, ou seja, 10% do Valor Total da Emissão (sem considerar as Debêntures Adicionais), o qual será prioritariamente destinado à Oferta Não Institucional, será realizado o rateio das Debêntures proporcionalmente ao montante de Debêntures indicado nos respectivos Pedidos de Reserva e não alocado aos Investidores Não Institucionais, e não sendo consideradas frações de Debêntures, sendo certo que o eventual arredondamento será realizado para baixo até o número inteiro. Os Coordenadores, em comum acordo com a Emissora, poderão manter a quantidade de Debêntures inicialmente destinada à Oferta Não Institucional ou alterar tal quantidade a um patamar compatível com os objetivos da Oferta, de forma a atender, total ou parcialmente, os referidos Pedidos de Reserva. No caso de Investidores Não Institucionais que optarem por realizar Pedido de Reserva Não Institucional durante o Período de Reserva, e que não estipularem uma taxa mínima para os Juros Remuneratórios como condição de eficácia do respectivo Pedido de Reserva e aceitação da Oferta, tais Pedidos de Reserva Não Institucionais serão automaticamente cancelados.</w:t>
      </w:r>
    </w:p>
    <w:p>
      <w:pPr>
        <w:pStyle w:val="Ttulo8"/>
        <w:keepNext w:val="0"/>
        <w:spacing w:after="180" w:line="300" w:lineRule="exact"/>
        <w:rPr>
          <w:rFonts w:ascii="Verdana" w:hAnsi="Verdana" w:cs="Arial"/>
          <w:lang w:val="pt-BR"/>
        </w:rPr>
      </w:pPr>
      <w:bookmarkStart w:id="183" w:name="_Ref483330011"/>
      <w:bookmarkStart w:id="184" w:name="_Toc484716008"/>
      <w:r>
        <w:rPr>
          <w:rFonts w:ascii="Verdana" w:hAnsi="Verdana" w:cs="Arial"/>
          <w:lang w:val="pt-BR"/>
        </w:rPr>
        <w:t>Critério de Colocação da Oferta Institucional</w:t>
      </w:r>
      <w:bookmarkEnd w:id="181"/>
      <w:bookmarkEnd w:id="182"/>
      <w:bookmarkEnd w:id="183"/>
      <w:bookmarkEnd w:id="184"/>
    </w:p>
    <w:p>
      <w:pPr>
        <w:pStyle w:val="HOMEBRBodyText"/>
        <w:spacing w:after="180" w:line="300" w:lineRule="exact"/>
        <w:rPr>
          <w:rFonts w:ascii="Verdana" w:hAnsi="Verdana" w:cs="Arial"/>
        </w:rPr>
      </w:pPr>
      <w:r>
        <w:rPr>
          <w:rFonts w:ascii="Verdana" w:hAnsi="Verdana" w:cs="Arial"/>
          <w:bCs/>
        </w:rPr>
        <w:t xml:space="preserve">Caso as ordens de investimento e/ou os Pedidos de Reserva </w:t>
      </w:r>
      <w:r>
        <w:rPr>
          <w:rFonts w:ascii="Verdana" w:hAnsi="Verdana" w:cs="Arial"/>
        </w:rPr>
        <w:t>apresentados pelos Investidores Institucionais excedam o total de Debêntures remanescentes após o atendimento da Oferta Não Institucional, os Coordenadores darão prioridade aos Investidores Institucionais que, no entender dos Coordenadores, em comum acordo com a Emissora, melhor atendam os objetivos da Oferta, quais sejam, constituir uma base diversificada de investidores, integrada por investidores com diferentes critérios de avaliação das perspectivas da Emissora e a conjuntura macroeconômica brasileira e internacional, bem como criar condições para o desenvolvimento do mercado local de títulos corporativos de renda fixa.</w:t>
      </w:r>
    </w:p>
    <w:p>
      <w:pPr>
        <w:spacing w:after="0" w:line="300" w:lineRule="exact"/>
        <w:jc w:val="left"/>
        <w:rPr>
          <w:rFonts w:ascii="Verdana" w:hAnsi="Verdana" w:cs="Arial"/>
          <w:b/>
          <w:lang w:val="pt-BR"/>
        </w:rPr>
      </w:pPr>
    </w:p>
    <w:p>
      <w:pPr>
        <w:pStyle w:val="HOMEBRBodyText"/>
        <w:keepLines w:val="0"/>
        <w:widowControl w:val="0"/>
        <w:spacing w:line="300" w:lineRule="exact"/>
        <w:rPr>
          <w:rFonts w:ascii="Verdana" w:hAnsi="Verdana" w:cs="Arial"/>
          <w:b/>
          <w:i/>
        </w:rPr>
      </w:pPr>
      <w:r>
        <w:rPr>
          <w:rFonts w:ascii="Verdana" w:hAnsi="Verdana" w:cs="Arial"/>
          <w:b/>
          <w:i/>
        </w:rPr>
        <w:t>Distribuição Parcial</w:t>
      </w:r>
    </w:p>
    <w:p>
      <w:pPr>
        <w:pStyle w:val="Ttulo8"/>
        <w:keepNext w:val="0"/>
        <w:keepLines w:val="0"/>
        <w:widowControl w:val="0"/>
        <w:spacing w:line="300" w:lineRule="exact"/>
        <w:rPr>
          <w:rFonts w:ascii="Verdana" w:eastAsia="Calibri" w:hAnsi="Verdana" w:cs="Arial"/>
          <w:b w:val="0"/>
          <w:i w:val="0"/>
          <w:lang w:val="pt-PT"/>
        </w:rPr>
      </w:pPr>
      <w:bookmarkStart w:id="185" w:name="_Toc460016404"/>
      <w:bookmarkStart w:id="186" w:name="_Toc484716009"/>
      <w:bookmarkStart w:id="187" w:name="_Toc427852321"/>
      <w:bookmarkStart w:id="188" w:name="_Toc428322721"/>
      <w:bookmarkStart w:id="189" w:name="_Ref434936386"/>
      <w:bookmarkEnd w:id="169"/>
      <w:bookmarkEnd w:id="170"/>
      <w:r>
        <w:rPr>
          <w:rFonts w:ascii="Verdana" w:eastAsia="Calibri" w:hAnsi="Verdana" w:cs="Arial"/>
          <w:b w:val="0"/>
          <w:i w:val="0"/>
          <w:lang w:val="pt-PT"/>
        </w:rPr>
        <w:t>Não será permitida a colocação parcial das Debêntures correspondentes ao Valor Total da Emissão, tendo em vista que tais Debêntures inicialmente ofertadas (sem considerar as Debêntures Adicionais) serão colocadas sob o regime de garantia firme de colocação.</w:t>
      </w:r>
    </w:p>
    <w:p>
      <w:pPr>
        <w:spacing w:line="300" w:lineRule="exact"/>
        <w:rPr>
          <w:lang w:val="pt-PT"/>
        </w:rPr>
      </w:pPr>
    </w:p>
    <w:p>
      <w:pPr>
        <w:pStyle w:val="Ttulo8"/>
        <w:keepNext w:val="0"/>
        <w:keepLines w:val="0"/>
        <w:widowControl w:val="0"/>
        <w:spacing w:line="300" w:lineRule="exact"/>
        <w:rPr>
          <w:rFonts w:ascii="Verdana" w:hAnsi="Verdana" w:cs="Arial"/>
          <w:lang w:val="pt-BR"/>
        </w:rPr>
      </w:pPr>
      <w:r>
        <w:rPr>
          <w:rFonts w:ascii="Verdana" w:hAnsi="Verdana" w:cs="Arial"/>
          <w:lang w:val="pt-BR"/>
        </w:rPr>
        <w:lastRenderedPageBreak/>
        <w:t>Inadequação da Oferta a Certos Investidores</w:t>
      </w:r>
      <w:bookmarkEnd w:id="185"/>
      <w:bookmarkEnd w:id="186"/>
    </w:p>
    <w:p>
      <w:pPr>
        <w:pStyle w:val="HOMEBRBodyText"/>
        <w:keepLines w:val="0"/>
        <w:widowControl w:val="0"/>
        <w:spacing w:line="300" w:lineRule="exact"/>
        <w:rPr>
          <w:rFonts w:ascii="Verdana" w:hAnsi="Verdana" w:cs="Arial"/>
          <w:b/>
        </w:rPr>
      </w:pPr>
      <w:r>
        <w:rPr>
          <w:rFonts w:ascii="Verdana" w:hAnsi="Verdana" w:cs="Arial"/>
          <w:b/>
        </w:rPr>
        <w:t xml:space="preserve">O investimento nas Debêntures não é adequado a investidores que: (i) não tenham profundo conhecimento dos riscos envolvidos na operação ou que não tenham acesso a consultoria especializada; (ii) necessitem de liquidez com relação às Debêntures a serem subscritas, tendo em vista a possibilidade de serem pequenas ou inexistentes as negociações das Debêntures no mercado secundário; e/ou (iii) não estejam dispostos a correr o risco de crédito de empresa do setor privado e/ou dos setores em que a Emissora atua, em particular na distribuição de energia elétrica. Para uma avaliação adequada dos riscos associados ao investimento nas Debêntures, os investidores deverão ler a seção “Fatores de Risco Relacionados à Oferta e às Debêntures”, na </w:t>
      </w:r>
      <w:r>
        <w:rPr>
          <w:rFonts w:ascii="Verdana" w:eastAsia="Calibri" w:hAnsi="Verdana" w:cs="Arial"/>
          <w:b/>
        </w:rPr>
        <w:t>página [</w:t>
      </w:r>
      <w:r>
        <w:rPr>
          <w:rFonts w:ascii="Verdana" w:eastAsia="Calibri" w:hAnsi="Verdana" w:cs="Arial"/>
          <w:b/>
        </w:rPr>
        <w:sym w:font="Symbol" w:char="F0B7"/>
      </w:r>
      <w:r>
        <w:rPr>
          <w:rFonts w:ascii="Verdana" w:eastAsia="Calibri" w:hAnsi="Verdana" w:cs="Arial"/>
          <w:b/>
        </w:rPr>
        <w:t xml:space="preserve">] </w:t>
      </w:r>
      <w:r>
        <w:rPr>
          <w:rFonts w:ascii="Verdana" w:hAnsi="Verdana" w:cs="Arial"/>
          <w:b/>
        </w:rPr>
        <w:t>deste Prospecto, bem como a seção “4. Fatores de Risco” do Formulário de Referência antes de aceitar a Oferta.</w:t>
      </w:r>
    </w:p>
    <w:p>
      <w:pPr>
        <w:pStyle w:val="Ttulo8"/>
        <w:keepNext w:val="0"/>
        <w:keepLines w:val="0"/>
        <w:widowControl w:val="0"/>
        <w:spacing w:line="300" w:lineRule="exact"/>
        <w:rPr>
          <w:rFonts w:ascii="Verdana" w:hAnsi="Verdana" w:cs="Arial"/>
          <w:lang w:val="pt-BR"/>
        </w:rPr>
      </w:pPr>
      <w:bookmarkStart w:id="190" w:name="_Toc460016405"/>
      <w:bookmarkStart w:id="191" w:name="_Toc484716010"/>
      <w:bookmarkStart w:id="192" w:name="_Toc427852322"/>
      <w:bookmarkStart w:id="193" w:name="_Toc428322722"/>
      <w:bookmarkEnd w:id="187"/>
      <w:bookmarkEnd w:id="188"/>
      <w:bookmarkEnd w:id="189"/>
      <w:r>
        <w:rPr>
          <w:rFonts w:ascii="Verdana" w:hAnsi="Verdana" w:cs="Arial"/>
          <w:lang w:val="pt-BR"/>
        </w:rPr>
        <w:t>Modificação da Oferta</w:t>
      </w:r>
      <w:bookmarkEnd w:id="190"/>
      <w:bookmarkEnd w:id="191"/>
    </w:p>
    <w:p>
      <w:pPr>
        <w:pStyle w:val="Ttulo8"/>
        <w:keepNext w:val="0"/>
        <w:keepLines w:val="0"/>
        <w:widowControl w:val="0"/>
        <w:spacing w:line="300" w:lineRule="exact"/>
        <w:rPr>
          <w:rFonts w:ascii="Verdana" w:hAnsi="Verdana" w:cs="Arial"/>
          <w:b w:val="0"/>
          <w:i w:val="0"/>
          <w:iCs w:val="0"/>
          <w:lang w:val="pt-BR"/>
        </w:rPr>
      </w:pPr>
      <w:bookmarkStart w:id="194" w:name="_Toc460016406"/>
      <w:bookmarkStart w:id="195" w:name="_Toc484716011"/>
      <w:bookmarkStart w:id="196" w:name="_Toc427852323"/>
      <w:bookmarkStart w:id="197" w:name="_Toc428322723"/>
      <w:bookmarkEnd w:id="192"/>
      <w:bookmarkEnd w:id="193"/>
      <w:r>
        <w:rPr>
          <w:rFonts w:ascii="Verdana" w:hAnsi="Verdana" w:cs="Arial"/>
          <w:b w:val="0"/>
          <w:i w:val="0"/>
          <w:iCs w:val="0"/>
          <w:lang w:val="pt-BR"/>
        </w:rPr>
        <w:t>Nos termos do artigo 25 e seguintes da Instrução CVM 400, havendo, a juízo da CVM, alteração substancial, posterior e imprevisível nas circunstâncias de fato existentes quando da apresentação do pedido de registro da Oferta, ou que o fundamentem, acarretando aumento relevante dos riscos assumidos pela Emissora e inerentes à própria Oferta, a CVM poderá acolher pleito de modificação da Oferta. O pleito de modificação da Oferta presumir-se-á deferido caso não haja manifestação da CVM em sentido contrário no prazo de 10 Dias Úteis, contado do seu protocolo na CVM. Tendo sido deferida a modificação, a CVM poderá, por sua própria iniciativa ou a requerimento do ofertante, prorrogar o prazo da Oferta por até 90 dias. É sempre permitida a modificação da Oferta para melhorá-la em favor dos investidores ou para renúncia a condição da Oferta estabelecida pela Emissora. Caso a Oferta seja modificada, nos termos dos artigos 25 e 27 da Instrução CVM 400, (a) a modificação deverá ser divulgada imediatamente através de meios ao menos iguais aos utilizados para a divulgação da Oferta; (b) os Coordenadores deverão se acautelar e se certificar, no momento do recebimento das aceitações da Oferta, de que o investidor está ciente de que a Oferta foi alterada e de que tem conhecimento das novas condições; (c) os investidores que já tiverem aderido à Oferta deverão ser comunicados diretamente, por correio eletrônico, correspondência física ou qualquer forma de comunicação passível de comprovação, a respeito da modificação efetuada, para que confirmem, até às o 5º Dia Útil subsequente à data em que foram diretamente comunicados por escrito sobre a modificação da Oferta, o interesse em revogar sua aceitação à Oferta, presumindo-se, na falta da manifestação, o interesse do investidor em não revogar sua aceitação. Se o investidor revogar sua aceitação e se o investidor já tiver efetuado o pagamento do Preço de Subscrição das Debêntures que houver subscrito, referido Preço de Subscrição será devolvido sem juros ou correção monetária, sem reembolso e com dedução dos valores relativos aos tributos e encargos incidentes, se existentes, no prazo de 5 Dias Úteis contados da data da respectiva revogação.</w:t>
      </w:r>
    </w:p>
    <w:bookmarkEnd w:id="194"/>
    <w:bookmarkEnd w:id="195"/>
    <w:p>
      <w:pPr>
        <w:pStyle w:val="HOMEBRBodyText"/>
        <w:keepLines w:val="0"/>
        <w:widowControl w:val="0"/>
        <w:spacing w:line="300" w:lineRule="exact"/>
        <w:rPr>
          <w:rFonts w:ascii="Verdana" w:hAnsi="Verdana" w:cs="Arial"/>
          <w:b/>
          <w:i/>
          <w:iCs/>
        </w:rPr>
      </w:pPr>
      <w:r>
        <w:rPr>
          <w:rFonts w:ascii="Verdana" w:hAnsi="Verdana" w:cs="Arial"/>
          <w:b/>
          <w:i/>
          <w:iCs/>
        </w:rPr>
        <w:lastRenderedPageBreak/>
        <w:t xml:space="preserve">Suspensão da Oferta ou Verificação de Divergência Relevante entre este Prospecto Preliminar e o Prospecto Definitivo </w:t>
      </w:r>
    </w:p>
    <w:p>
      <w:pPr>
        <w:pStyle w:val="Ttulo8"/>
        <w:keepNext w:val="0"/>
        <w:keepLines w:val="0"/>
        <w:widowControl w:val="0"/>
        <w:spacing w:line="300" w:lineRule="exact"/>
        <w:rPr>
          <w:rFonts w:ascii="Verdana" w:hAnsi="Verdana" w:cs="Arial"/>
          <w:b w:val="0"/>
          <w:i w:val="0"/>
          <w:iCs w:val="0"/>
          <w:lang w:val="pt-BR"/>
        </w:rPr>
      </w:pPr>
      <w:bookmarkStart w:id="198" w:name="_Toc460016407"/>
      <w:bookmarkStart w:id="199" w:name="_Ref483330833"/>
      <w:bookmarkStart w:id="200" w:name="_Toc484716012"/>
      <w:bookmarkEnd w:id="196"/>
      <w:bookmarkEnd w:id="197"/>
      <w:r>
        <w:rPr>
          <w:rFonts w:ascii="Verdana" w:hAnsi="Verdana" w:cs="Arial"/>
          <w:b w:val="0"/>
          <w:i w:val="0"/>
          <w:iCs w:val="0"/>
          <w:lang w:val="pt-BR"/>
        </w:rPr>
        <w:t xml:space="preserve">Nos termos do artigo 19 da Instrução CVM 400, a CVM: (i) poderá suspender, a qualquer tempo, a Oferta se: (a) estiver se processando em condições diversas das constantes da Instrução CVM 400 ou do registro da Oferta; ou (b) for havida por ilegal, contrária à regulamentação da CVM ou fraudulenta, ainda que após obtido o respectivo registro da Oferta; e (ii) deverá suspender a Oferta quando verificar ilegalidade ou violação de regulamento sanáveis. O prazo de suspensão da Oferta não poderá ser superior a 30 dias, durante o qual a irregularidade apontada deverá ser sanada. Findo tal prazo sem que tenham sido sanados os vícios que determinaram a suspensão, a CVM deverá ordenar a retirada da Oferta e cancelar o respectivo registro. </w:t>
      </w:r>
    </w:p>
    <w:p>
      <w:pPr>
        <w:pStyle w:val="Ttulo8"/>
        <w:keepNext w:val="0"/>
        <w:keepLines w:val="0"/>
        <w:spacing w:line="300" w:lineRule="exact"/>
        <w:rPr>
          <w:rFonts w:ascii="Verdana" w:hAnsi="Verdana" w:cs="Arial"/>
          <w:b w:val="0"/>
          <w:i w:val="0"/>
          <w:iCs w:val="0"/>
          <w:lang w:val="pt-BR"/>
        </w:rPr>
      </w:pPr>
      <w:r>
        <w:rPr>
          <w:rFonts w:ascii="Verdana" w:hAnsi="Verdana" w:cs="Arial"/>
          <w:b w:val="0"/>
          <w:i w:val="0"/>
          <w:iCs w:val="0"/>
          <w:lang w:val="pt-BR"/>
        </w:rPr>
        <w:t xml:space="preserve">Caso (a) a Oferta seja suspensa, conforme disposto no parágrafo acima e nos termos dos artigos 19 e 20 da Instrução CVM 400; ou (b) caso seja verificada divergência relevante entre as informações constantes deste Prospecto Preliminar e do Prospecto Definitivo que altere substancialmente o risco assumido pelo investidor ou a sua decisão de investimento; o investidor que já tiver aderido à Oferta deverá ser diretamente comunicado, por correio eletrônico, correspondência física ou qualquer forma de comunicação passível de comprovação, a respeito e poderá revogar sua aceitação à Oferta, devendo, para tanto, informar sua decisão à Instituição Participante da Oferta com quem tenha realizado sua intenção de investimento (i) até às o 5º Dia Útil subsequente à data de disponibilização do Prospecto Definitivo, no caso da alínea (b) acima; e (ii) até às o 5º Dia Útil subsequente à data em que foi diretamente comunicado por escrito sobre a suspensão da Oferta, no caso da alínea (a) acima, presumindo-se, na falta da manifestação, o interesse do investidor em não revogar sua aceitação. Se o investidor revogar sua aceitação e se o investidor já tiver efetuado o pagamento do Preço de Subscrição das Debêntures que houver subscrito, referido Preço de Subscrição será devolvido sem juros ou correção monetária, sem reembolso e com dedução dos valores relativos aos tributos e encargos incidentes, se existentes, no prazo de 5 Dias Úteis contados da data da respectiva revogação. </w:t>
      </w:r>
    </w:p>
    <w:bookmarkEnd w:id="198"/>
    <w:bookmarkEnd w:id="199"/>
    <w:bookmarkEnd w:id="200"/>
    <w:p>
      <w:pPr>
        <w:pStyle w:val="HOMEBRBodyText"/>
        <w:keepLines w:val="0"/>
        <w:spacing w:line="300" w:lineRule="exact"/>
        <w:rPr>
          <w:rFonts w:ascii="Verdana" w:hAnsi="Verdana" w:cs="Arial"/>
          <w:b/>
          <w:i/>
          <w:iCs/>
        </w:rPr>
      </w:pPr>
      <w:r>
        <w:rPr>
          <w:rFonts w:ascii="Verdana" w:hAnsi="Verdana" w:cs="Arial"/>
          <w:b/>
          <w:i/>
          <w:iCs/>
        </w:rPr>
        <w:t xml:space="preserve">Cancelamento, Revogação da Oferta ou Resilição do Contrato de Distribuição </w:t>
      </w:r>
    </w:p>
    <w:p>
      <w:pPr>
        <w:pStyle w:val="Ttulo3"/>
        <w:keepNext w:val="0"/>
        <w:keepLines w:val="0"/>
        <w:spacing w:line="300" w:lineRule="exact"/>
        <w:rPr>
          <w:rFonts w:ascii="Verdana" w:hAnsi="Verdana"/>
          <w:b w:val="0"/>
          <w:bCs w:val="0"/>
          <w:szCs w:val="20"/>
          <w:lang w:val="pt-BR"/>
        </w:rPr>
      </w:pPr>
      <w:r>
        <w:rPr>
          <w:rFonts w:ascii="Verdana" w:hAnsi="Verdana"/>
          <w:b w:val="0"/>
          <w:bCs w:val="0"/>
          <w:szCs w:val="20"/>
          <w:lang w:val="pt-BR"/>
        </w:rPr>
        <w:t xml:space="preserve">Nos termos dos artigos 19 e 20 da Instrução CVM 400, a CVM poderá cancelar, a qualquer tempo, a Oferta que: (i) estiver se processando em condições diversas das constantes da Instrução CVM 400 ou do registro da Oferta; ou (ii) for havida por ilegal, contrária à regulamentação da CVM ou fraudulenta, ainda que após obtido o respectivo registro da Oferta. Adicionalmente, a rescisão do Contrato de Distribuição também importará no cancelamento do registro da Oferta. Nos termos do artigo 25 e seguintes da Instrução CVM 400, havendo, a juízo da CVM, alteração substancial, posterior e imprevisível nas circunstâncias de fato existentes quando da apresentação do pedido de registro da Oferta, ou que o fundamentem, acarretando aumento relevante dos riscos </w:t>
      </w:r>
      <w:r>
        <w:rPr>
          <w:rFonts w:ascii="Verdana" w:hAnsi="Verdana"/>
          <w:b w:val="0"/>
          <w:bCs w:val="0"/>
          <w:szCs w:val="20"/>
          <w:lang w:val="pt-BR"/>
        </w:rPr>
        <w:lastRenderedPageBreak/>
        <w:t xml:space="preserve">assumidos pela Emissora e inerentes à própria Oferta, a CVM poderá acolher pleito de revogação da Oferta. </w:t>
      </w:r>
    </w:p>
    <w:p>
      <w:pPr>
        <w:pStyle w:val="Ttulo3"/>
        <w:keepNext w:val="0"/>
        <w:keepLines w:val="0"/>
        <w:spacing w:line="300" w:lineRule="exact"/>
        <w:rPr>
          <w:rFonts w:ascii="Verdana" w:hAnsi="Verdana"/>
          <w:b w:val="0"/>
          <w:bCs w:val="0"/>
          <w:szCs w:val="20"/>
          <w:lang w:val="pt-BR"/>
        </w:rPr>
      </w:pPr>
      <w:r>
        <w:rPr>
          <w:rFonts w:ascii="Verdana" w:hAnsi="Verdana"/>
          <w:b w:val="0"/>
          <w:bCs w:val="0"/>
          <w:szCs w:val="20"/>
          <w:lang w:val="pt-BR"/>
        </w:rPr>
        <w:t>Caso (a) a Oferta seja cancelada, nos termos dos artigos 19 e 20 da Instrução CVM 400; (b) a Oferta seja revogada, nos termos dos artigos 25 e 27 da Instrução CVM 400; ou (c) o Contrato de Distribuição seja resilido, todos os atos de aceitação serão cancelados e os Coordenadores e a Emissora comunicarão tal evento aos investidores, o que poderá ocorrer, inclusive, mediante publicação de aviso ao mercado. Se o investidor já tiver efetuado o pagamento do Preço de Subscrição das Debêntures que houver subscrito, referido Preço de Subscrição será devolvido sem juros ou correção monetária, sem reembolso e com dedução dos valores relativos aos tributos e encargos incidentes, se existentes, no prazo de 5 Dias Úteis contados da data da comunicação do cancelamento ou revogação da Oferta.</w:t>
      </w:r>
    </w:p>
    <w:p>
      <w:pPr>
        <w:spacing w:line="300" w:lineRule="exact"/>
        <w:rPr>
          <w:lang w:val="pt-BR"/>
        </w:rPr>
      </w:pPr>
    </w:p>
    <w:p>
      <w:pPr>
        <w:pStyle w:val="Ttulo3"/>
        <w:keepNext w:val="0"/>
        <w:keepLines w:val="0"/>
        <w:spacing w:line="300" w:lineRule="exact"/>
        <w:rPr>
          <w:rFonts w:ascii="Verdana" w:hAnsi="Verdana"/>
          <w:lang w:val="pt-BR"/>
        </w:rPr>
      </w:pPr>
      <w:r>
        <w:rPr>
          <w:rFonts w:ascii="Verdana" w:hAnsi="Verdana"/>
          <w:lang w:val="pt-BR"/>
        </w:rPr>
        <w:t>CONTRATO DE DISTRIBUIÇÃO</w:t>
      </w:r>
    </w:p>
    <w:p>
      <w:pPr>
        <w:pStyle w:val="Ttulo8"/>
        <w:keepNext w:val="0"/>
        <w:keepLines w:val="0"/>
        <w:spacing w:line="300" w:lineRule="exact"/>
        <w:rPr>
          <w:rFonts w:ascii="Verdana" w:hAnsi="Verdana" w:cs="Arial"/>
          <w:lang w:val="pt-BR"/>
        </w:rPr>
      </w:pPr>
      <w:bookmarkStart w:id="201" w:name="_Ref434934462"/>
      <w:bookmarkStart w:id="202" w:name="_Ref434935716"/>
      <w:bookmarkStart w:id="203" w:name="_Ref434936129"/>
      <w:bookmarkStart w:id="204" w:name="_Ref434936408"/>
      <w:bookmarkStart w:id="205" w:name="_Ref434936547"/>
      <w:bookmarkStart w:id="206" w:name="_Toc484716014"/>
      <w:r>
        <w:rPr>
          <w:rFonts w:ascii="Verdana" w:hAnsi="Verdana" w:cs="Arial"/>
          <w:lang w:val="pt-BR"/>
        </w:rPr>
        <w:t>Regime de Colocação</w:t>
      </w:r>
      <w:bookmarkEnd w:id="201"/>
      <w:bookmarkEnd w:id="202"/>
      <w:bookmarkEnd w:id="203"/>
      <w:bookmarkEnd w:id="204"/>
      <w:bookmarkEnd w:id="205"/>
      <w:bookmarkEnd w:id="206"/>
    </w:p>
    <w:p>
      <w:pPr>
        <w:pStyle w:val="HOMEBRBodyText"/>
        <w:keepLines w:val="0"/>
        <w:spacing w:line="300" w:lineRule="exact"/>
        <w:rPr>
          <w:rFonts w:ascii="Verdana" w:hAnsi="Verdana" w:cs="Arial"/>
        </w:rPr>
      </w:pPr>
      <w:r>
        <w:rPr>
          <w:rFonts w:ascii="Verdana" w:hAnsi="Verdana" w:cs="Arial"/>
        </w:rPr>
        <w:t xml:space="preserve">Observado o disposto na Cláusula 7.1.2 do Contrato de Distribuição, os Coordenadores estarão obrigados a subscrever e integralizar as Debêntures não colocadas no âmbito da Oferta, de forma individual e não solidária, caso a demanda apurada conjuntamente pelos Coordenadores no Procedimento de </w:t>
      </w:r>
      <w:r>
        <w:rPr>
          <w:rFonts w:ascii="Verdana" w:hAnsi="Verdana" w:cs="Arial"/>
          <w:i/>
        </w:rPr>
        <w:t>Bookbuilding</w:t>
      </w:r>
      <w:r>
        <w:rPr>
          <w:rFonts w:ascii="Verdana" w:hAnsi="Verdana" w:cs="Arial"/>
        </w:rPr>
        <w:t xml:space="preserve"> não seja suficiente para atingir o volume total de R$ 1.000.000.000,00 até a Data Limite de Garantia Firme, de acordo com a proporção prevista na tabela abaixo:</w:t>
      </w:r>
    </w:p>
    <w:tbl>
      <w:tblPr>
        <w:tblW w:w="4972" w:type="pct"/>
        <w:jc w:val="center"/>
        <w:tblLayout w:type="fixed"/>
        <w:tblCellMar>
          <w:left w:w="72" w:type="dxa"/>
          <w:right w:w="72" w:type="dxa"/>
        </w:tblCellMar>
        <w:tblLook w:val="04A0" w:firstRow="1" w:lastRow="0" w:firstColumn="1" w:lastColumn="0" w:noHBand="0" w:noVBand="1"/>
      </w:tblPr>
      <w:tblGrid>
        <w:gridCol w:w="2408"/>
        <w:gridCol w:w="6381"/>
      </w:tblGrid>
      <w:tr>
        <w:trPr>
          <w:jc w:val="center"/>
        </w:trPr>
        <w:tc>
          <w:tcPr>
            <w:tcW w:w="1370" w:type="pct"/>
            <w:vAlign w:val="bottom"/>
          </w:tcPr>
          <w:p>
            <w:pPr>
              <w:pBdr>
                <w:bottom w:val="single" w:sz="4" w:space="1" w:color="auto"/>
              </w:pBdr>
              <w:spacing w:after="0" w:line="300" w:lineRule="exact"/>
              <w:jc w:val="center"/>
              <w:rPr>
                <w:rFonts w:ascii="Verdana" w:hAnsi="Verdana" w:cs="Arial"/>
                <w:b/>
                <w:smallCaps/>
              </w:rPr>
            </w:pPr>
            <w:r>
              <w:rPr>
                <w:rFonts w:ascii="Verdana" w:hAnsi="Verdana" w:cs="Arial"/>
                <w:b/>
                <w:smallCaps/>
              </w:rPr>
              <w:t>Coordenador</w:t>
            </w:r>
          </w:p>
        </w:tc>
        <w:tc>
          <w:tcPr>
            <w:tcW w:w="3630" w:type="pct"/>
            <w:vAlign w:val="bottom"/>
          </w:tcPr>
          <w:p>
            <w:pPr>
              <w:pBdr>
                <w:bottom w:val="single" w:sz="4" w:space="1" w:color="auto"/>
              </w:pBdr>
              <w:spacing w:after="0" w:line="300" w:lineRule="exact"/>
              <w:jc w:val="center"/>
              <w:rPr>
                <w:rFonts w:ascii="Verdana" w:hAnsi="Verdana" w:cs="Arial"/>
                <w:b/>
                <w:smallCaps/>
                <w:lang w:val="pt-BR"/>
              </w:rPr>
            </w:pPr>
            <w:r>
              <w:rPr>
                <w:rFonts w:ascii="Verdana" w:hAnsi="Verdana" w:cs="Arial"/>
                <w:b/>
                <w:smallCaps/>
                <w:lang w:val="pt-BR"/>
              </w:rPr>
              <w:t xml:space="preserve">Valor Máximo da Garantia Firme Individual e Não Solidária </w:t>
            </w:r>
          </w:p>
        </w:tc>
      </w:tr>
      <w:tr>
        <w:trPr>
          <w:jc w:val="center"/>
        </w:trPr>
        <w:tc>
          <w:tcPr>
            <w:tcW w:w="1370" w:type="pct"/>
          </w:tcPr>
          <w:p>
            <w:pPr>
              <w:spacing w:after="0" w:line="300" w:lineRule="exact"/>
              <w:jc w:val="center"/>
              <w:rPr>
                <w:rFonts w:ascii="Verdana" w:hAnsi="Verdana" w:cs="Arial"/>
                <w:i/>
                <w:lang w:val="pt-BR"/>
              </w:rPr>
            </w:pPr>
            <w:r>
              <w:rPr>
                <w:rFonts w:ascii="Verdana" w:hAnsi="Verdana" w:cs="Arial"/>
              </w:rPr>
              <w:t>Coordenador Líder</w:t>
            </w:r>
          </w:p>
        </w:tc>
        <w:tc>
          <w:tcPr>
            <w:tcW w:w="3630" w:type="pct"/>
          </w:tcPr>
          <w:p>
            <w:pPr>
              <w:spacing w:after="0" w:line="300" w:lineRule="exact"/>
              <w:jc w:val="center"/>
              <w:rPr>
                <w:rFonts w:ascii="Verdana" w:hAnsi="Verdana" w:cs="Arial"/>
                <w:i/>
              </w:rPr>
            </w:pPr>
            <w:r>
              <w:rPr>
                <w:rFonts w:ascii="Verdana" w:hAnsi="Verdana" w:cs="Arial"/>
                <w:smallCaps/>
              </w:rPr>
              <w:t>R$166.666.666,67</w:t>
            </w:r>
          </w:p>
        </w:tc>
      </w:tr>
      <w:tr>
        <w:trPr>
          <w:jc w:val="center"/>
        </w:trPr>
        <w:tc>
          <w:tcPr>
            <w:tcW w:w="1370" w:type="pct"/>
          </w:tcPr>
          <w:p>
            <w:pPr>
              <w:spacing w:after="0" w:line="300" w:lineRule="exact"/>
              <w:jc w:val="center"/>
              <w:rPr>
                <w:rFonts w:ascii="Verdana" w:hAnsi="Verdana" w:cs="Arial"/>
                <w:i/>
                <w:lang w:val="pt-BR"/>
              </w:rPr>
            </w:pPr>
            <w:r>
              <w:rPr>
                <w:rFonts w:ascii="Verdana" w:hAnsi="Verdana" w:cs="Arial"/>
              </w:rPr>
              <w:t>Santander</w:t>
            </w:r>
          </w:p>
        </w:tc>
        <w:tc>
          <w:tcPr>
            <w:tcW w:w="3630" w:type="pct"/>
          </w:tcPr>
          <w:p>
            <w:pPr>
              <w:spacing w:after="0" w:line="300" w:lineRule="exact"/>
              <w:jc w:val="center"/>
              <w:rPr>
                <w:rFonts w:ascii="Verdana" w:hAnsi="Verdana" w:cs="Arial"/>
                <w:i/>
                <w:lang w:val="pt-BR"/>
              </w:rPr>
            </w:pPr>
            <w:r>
              <w:rPr>
                <w:rFonts w:ascii="Verdana" w:hAnsi="Verdana" w:cs="Arial"/>
                <w:smallCaps/>
              </w:rPr>
              <w:t>R$166.666.666,67</w:t>
            </w:r>
          </w:p>
        </w:tc>
      </w:tr>
      <w:tr>
        <w:trPr>
          <w:jc w:val="center"/>
        </w:trPr>
        <w:tc>
          <w:tcPr>
            <w:tcW w:w="1370" w:type="pct"/>
          </w:tcPr>
          <w:p>
            <w:pPr>
              <w:spacing w:after="0" w:line="300" w:lineRule="exact"/>
              <w:jc w:val="center"/>
              <w:rPr>
                <w:rFonts w:ascii="Verdana" w:hAnsi="Verdana" w:cs="Arial"/>
                <w:i/>
                <w:lang w:val="pt-BR"/>
              </w:rPr>
            </w:pPr>
            <w:r>
              <w:rPr>
                <w:rFonts w:ascii="Verdana" w:hAnsi="Verdana" w:cs="Arial"/>
              </w:rPr>
              <w:t>Bradesco BBI</w:t>
            </w:r>
          </w:p>
        </w:tc>
        <w:tc>
          <w:tcPr>
            <w:tcW w:w="3630" w:type="pct"/>
          </w:tcPr>
          <w:p>
            <w:pPr>
              <w:spacing w:after="0" w:line="300" w:lineRule="exact"/>
              <w:jc w:val="center"/>
              <w:rPr>
                <w:rFonts w:ascii="Verdana" w:hAnsi="Verdana" w:cs="Arial"/>
                <w:i/>
                <w:lang w:val="pt-BR"/>
              </w:rPr>
            </w:pPr>
            <w:r>
              <w:rPr>
                <w:rFonts w:ascii="Verdana" w:hAnsi="Verdana" w:cs="Arial"/>
                <w:smallCaps/>
              </w:rPr>
              <w:t>R$166.666.666,67</w:t>
            </w:r>
          </w:p>
        </w:tc>
      </w:tr>
      <w:tr>
        <w:trPr>
          <w:jc w:val="center"/>
        </w:trPr>
        <w:tc>
          <w:tcPr>
            <w:tcW w:w="1370" w:type="pct"/>
          </w:tcPr>
          <w:p>
            <w:pPr>
              <w:spacing w:after="0" w:line="300" w:lineRule="exact"/>
              <w:jc w:val="center"/>
              <w:rPr>
                <w:rFonts w:ascii="Verdana" w:hAnsi="Verdana" w:cs="Arial"/>
                <w:i/>
                <w:lang w:val="pt-BR"/>
              </w:rPr>
            </w:pPr>
            <w:r>
              <w:rPr>
                <w:rFonts w:ascii="Verdana" w:hAnsi="Verdana" w:cs="Arial"/>
              </w:rPr>
              <w:t>BB-BI</w:t>
            </w:r>
          </w:p>
        </w:tc>
        <w:tc>
          <w:tcPr>
            <w:tcW w:w="3630" w:type="pct"/>
          </w:tcPr>
          <w:p>
            <w:pPr>
              <w:spacing w:after="0" w:line="300" w:lineRule="exact"/>
              <w:jc w:val="center"/>
              <w:rPr>
                <w:rFonts w:ascii="Verdana" w:hAnsi="Verdana" w:cs="Arial"/>
                <w:i/>
                <w:lang w:val="pt-BR"/>
              </w:rPr>
            </w:pPr>
            <w:r>
              <w:rPr>
                <w:rFonts w:ascii="Verdana" w:hAnsi="Verdana" w:cs="Arial"/>
                <w:smallCaps/>
              </w:rPr>
              <w:t>R$166.666.666,67</w:t>
            </w:r>
          </w:p>
        </w:tc>
      </w:tr>
      <w:tr>
        <w:trPr>
          <w:jc w:val="center"/>
        </w:trPr>
        <w:tc>
          <w:tcPr>
            <w:tcW w:w="1370" w:type="pct"/>
          </w:tcPr>
          <w:p>
            <w:pPr>
              <w:tabs>
                <w:tab w:val="right" w:leader="dot" w:pos="2754"/>
              </w:tabs>
              <w:spacing w:before="60" w:after="0" w:line="300" w:lineRule="exact"/>
              <w:jc w:val="center"/>
              <w:rPr>
                <w:rFonts w:ascii="Verdana" w:hAnsi="Verdana" w:cs="Arial"/>
                <w:b/>
                <w:smallCaps/>
              </w:rPr>
            </w:pPr>
            <w:r>
              <w:rPr>
                <w:rFonts w:ascii="Verdana" w:hAnsi="Verdana" w:cs="Arial"/>
              </w:rPr>
              <w:t>XP Investimentos</w:t>
            </w:r>
          </w:p>
        </w:tc>
        <w:tc>
          <w:tcPr>
            <w:tcW w:w="3630" w:type="pct"/>
          </w:tcPr>
          <w:p>
            <w:pPr>
              <w:tabs>
                <w:tab w:val="decimal" w:pos="0"/>
              </w:tabs>
              <w:spacing w:before="60" w:after="0" w:line="300" w:lineRule="exact"/>
              <w:jc w:val="center"/>
              <w:rPr>
                <w:rFonts w:ascii="Verdana" w:hAnsi="Verdana" w:cs="Arial"/>
              </w:rPr>
            </w:pPr>
            <w:r>
              <w:rPr>
                <w:rFonts w:ascii="Verdana" w:hAnsi="Verdana" w:cs="Arial"/>
                <w:smallCaps/>
              </w:rPr>
              <w:t>R$166.666.666,67</w:t>
            </w:r>
          </w:p>
        </w:tc>
      </w:tr>
      <w:tr>
        <w:trPr>
          <w:jc w:val="center"/>
        </w:trPr>
        <w:tc>
          <w:tcPr>
            <w:tcW w:w="1370" w:type="pct"/>
          </w:tcPr>
          <w:p>
            <w:pPr>
              <w:tabs>
                <w:tab w:val="right" w:leader="dot" w:pos="2754"/>
              </w:tabs>
              <w:spacing w:after="0" w:line="300" w:lineRule="exact"/>
              <w:jc w:val="center"/>
              <w:rPr>
                <w:rFonts w:ascii="Verdana" w:hAnsi="Verdana" w:cs="Arial"/>
                <w:b/>
                <w:smallCaps/>
              </w:rPr>
            </w:pPr>
            <w:r>
              <w:rPr>
                <w:rFonts w:ascii="Verdana" w:hAnsi="Verdana" w:cs="Arial"/>
              </w:rPr>
              <w:t>BTG Pactual</w:t>
            </w:r>
          </w:p>
        </w:tc>
        <w:tc>
          <w:tcPr>
            <w:tcW w:w="3630" w:type="pct"/>
          </w:tcPr>
          <w:p>
            <w:pPr>
              <w:tabs>
                <w:tab w:val="decimal" w:pos="0"/>
              </w:tabs>
              <w:spacing w:after="0" w:line="300" w:lineRule="exact"/>
              <w:jc w:val="center"/>
              <w:rPr>
                <w:rFonts w:ascii="Verdana" w:hAnsi="Verdana" w:cs="Arial"/>
              </w:rPr>
            </w:pPr>
            <w:r>
              <w:rPr>
                <w:rFonts w:ascii="Verdana" w:hAnsi="Verdana" w:cs="Arial"/>
                <w:smallCaps/>
              </w:rPr>
              <w:t>R$166.666.666,67</w:t>
            </w:r>
          </w:p>
        </w:tc>
      </w:tr>
      <w:tr>
        <w:trPr>
          <w:jc w:val="center"/>
        </w:trPr>
        <w:tc>
          <w:tcPr>
            <w:tcW w:w="1370" w:type="pct"/>
          </w:tcPr>
          <w:p>
            <w:pPr>
              <w:tabs>
                <w:tab w:val="right" w:leader="dot" w:pos="2754"/>
              </w:tabs>
              <w:spacing w:after="0" w:line="300" w:lineRule="exact"/>
              <w:jc w:val="center"/>
              <w:rPr>
                <w:rFonts w:ascii="Verdana" w:hAnsi="Verdana" w:cs="Arial"/>
                <w:b/>
                <w:smallCaps/>
              </w:rPr>
            </w:pPr>
            <w:r>
              <w:rPr>
                <w:rFonts w:ascii="Verdana" w:hAnsi="Verdana" w:cs="Arial"/>
                <w:b/>
              </w:rPr>
              <w:t>Total</w:t>
            </w:r>
          </w:p>
        </w:tc>
        <w:tc>
          <w:tcPr>
            <w:tcW w:w="3630" w:type="pct"/>
          </w:tcPr>
          <w:p>
            <w:pPr>
              <w:tabs>
                <w:tab w:val="decimal" w:pos="0"/>
              </w:tabs>
              <w:spacing w:after="0" w:line="300" w:lineRule="exact"/>
              <w:jc w:val="center"/>
              <w:rPr>
                <w:rFonts w:ascii="Verdana" w:hAnsi="Verdana" w:cs="Arial"/>
                <w:smallCaps/>
              </w:rPr>
            </w:pPr>
            <w:r>
              <w:rPr>
                <w:rFonts w:ascii="Verdana" w:hAnsi="Verdana"/>
              </w:rPr>
              <w:t>R$1.000.000.000,00</w:t>
            </w:r>
          </w:p>
        </w:tc>
      </w:tr>
    </w:tbl>
    <w:p>
      <w:pPr>
        <w:pStyle w:val="HOMEBRBodyText"/>
        <w:keepLines w:val="0"/>
        <w:spacing w:before="200" w:line="300" w:lineRule="exact"/>
        <w:rPr>
          <w:rFonts w:ascii="Verdana" w:hAnsi="Verdana" w:cs="Arial"/>
        </w:rPr>
      </w:pPr>
      <w:r>
        <w:rPr>
          <w:rFonts w:ascii="Verdana" w:hAnsi="Verdana" w:cs="Arial"/>
        </w:rPr>
        <w:t>A Garantia Firme estabelecida acima poderá ser exercida nos termos do parágrafo abaixo e será válida até a Data Limite da Garantia Firme, podendo ser prorrogada exclusivamente a critério dos Coordenadores, mediante comunicação formal por escrito enviada pelos Coordenadores à Emissora.</w:t>
      </w:r>
    </w:p>
    <w:p>
      <w:pPr>
        <w:pStyle w:val="HOMEBRBodyText"/>
        <w:keepLines w:val="0"/>
        <w:spacing w:before="200" w:line="300" w:lineRule="exact"/>
        <w:rPr>
          <w:rFonts w:ascii="Verdana" w:hAnsi="Verdana" w:cs="Arial"/>
        </w:rPr>
      </w:pPr>
      <w:r>
        <w:rPr>
          <w:rFonts w:ascii="Verdana" w:hAnsi="Verdana" w:cs="Arial"/>
        </w:rPr>
        <w:t xml:space="preserve">A obrigação relativa à Garantia Firme pelos Coordenadores disposta neste item “Regime de Colocação” será exercida no Prazo de Colocação, desde que: (i) seja verificado o cumprimento das Condições Precedentes elencadas na Cláusula 5 do Contrato de </w:t>
      </w:r>
      <w:r>
        <w:rPr>
          <w:rFonts w:ascii="Verdana" w:hAnsi="Verdana" w:cs="Arial"/>
        </w:rPr>
        <w:lastRenderedPageBreak/>
        <w:t xml:space="preserve">Distribuição ou caso tenham sido expressamente renunciadas pelos Coordenadores; e (ii) não se verifique demanda pela totalidade das Debêntures por Investidores da Oferta em conformidade com os demais termos e condições do Contrato de Distribuição. Caso a Garantia Firme venha a ser exercida pelos Coordenadores, as Debêntures serão por eles subscritas na taxa máxima dos Juros Remuneratórios prevista no Procedimento de </w:t>
      </w:r>
      <w:r>
        <w:rPr>
          <w:rFonts w:ascii="Verdana" w:hAnsi="Verdana" w:cs="Arial"/>
          <w:i/>
        </w:rPr>
        <w:t>Bookbuilding</w:t>
      </w:r>
      <w:r>
        <w:rPr>
          <w:rFonts w:ascii="Verdana" w:hAnsi="Verdana" w:cs="Arial"/>
        </w:rPr>
        <w:t>.</w:t>
      </w:r>
    </w:p>
    <w:p>
      <w:pPr>
        <w:spacing w:after="0" w:line="300" w:lineRule="exact"/>
        <w:rPr>
          <w:rFonts w:ascii="Verdana" w:hAnsi="Verdana" w:cs="Arial"/>
          <w:lang w:val="pt-BR"/>
        </w:rPr>
      </w:pPr>
      <w:r>
        <w:rPr>
          <w:rFonts w:ascii="Verdana" w:hAnsi="Verdana" w:cs="Arial"/>
          <w:lang w:val="pt-BR"/>
        </w:rPr>
        <w:t xml:space="preserve">Para os fins do disposto no item 5 do Anexo VI à Instrução CVM 400, caso qualquer dos Coordenadores eventualmente (i) venha a subscrever e integralizar as Debêntures em razão do exercício da Garantia Firme; e (ii) tenha interesse em vender tais Debêntures antes da divulgação do Anúncio de Encerramento, o preço de revenda de tais Debêntures será o respectivo Valor Nominal Atualizado, acrescido dos Juros Remuneratórios, calculados </w:t>
      </w:r>
      <w:r>
        <w:rPr>
          <w:rFonts w:ascii="Verdana" w:hAnsi="Verdana" w:cs="Arial"/>
          <w:i/>
          <w:lang w:val="pt-BR"/>
        </w:rPr>
        <w:t>pro rata temporis</w:t>
      </w:r>
      <w:r>
        <w:rPr>
          <w:rFonts w:ascii="Verdana" w:hAnsi="Verdana" w:cs="Arial"/>
          <w:lang w:val="pt-BR"/>
        </w:rPr>
        <w:t xml:space="preserve"> desde a Primeira Data de Integralização até a data da respectiva venda (exclusive).</w:t>
      </w:r>
      <w:bookmarkStart w:id="207" w:name="_DV_M111"/>
      <w:bookmarkStart w:id="208" w:name="_DV_M112"/>
      <w:bookmarkStart w:id="209" w:name="_DV_M114"/>
      <w:bookmarkEnd w:id="207"/>
      <w:bookmarkEnd w:id="208"/>
      <w:bookmarkEnd w:id="209"/>
      <w:r>
        <w:rPr>
          <w:rFonts w:ascii="Verdana" w:hAnsi="Verdana" w:cs="Arial"/>
          <w:lang w:val="pt-BR"/>
        </w:rPr>
        <w:t xml:space="preserve"> A revenda das Debêntures por qualquer dos Coordenadores, após a divulgação do Anúncio de Encerramento, poderá ser feita pelo preço a ser apurado de acordo com as condições de mercado verificadas à época. A revenda das Debêntures, conforme aqui mencionada, deverá ser efetuada respeitada a regulamentação aplicável.</w:t>
      </w:r>
    </w:p>
    <w:p>
      <w:pPr>
        <w:spacing w:after="0" w:line="300" w:lineRule="exact"/>
        <w:rPr>
          <w:rFonts w:ascii="Verdana" w:hAnsi="Verdana" w:cs="Arial"/>
          <w:lang w:val="pt-BR"/>
        </w:rPr>
      </w:pPr>
    </w:p>
    <w:p>
      <w:pPr>
        <w:spacing w:after="0" w:line="300" w:lineRule="exact"/>
        <w:rPr>
          <w:rFonts w:ascii="Verdana" w:hAnsi="Verdana" w:cs="Arial"/>
          <w:lang w:val="pt-BR"/>
        </w:rPr>
      </w:pPr>
      <w:r>
        <w:rPr>
          <w:rFonts w:ascii="Verdana" w:hAnsi="Verdana" w:cs="Arial"/>
          <w:lang w:val="pt-BR"/>
        </w:rPr>
        <w:t>Sem prejuízo das suas obrigações regulamentares, conforme aplicáveis, os Coordenadores poderão designar Afiliadas dos Coordenadores para cumprimento da Garantia Firme assumida pelos Coordenadores. Ocorrida tal designação, em função de tal assunção de responsabilidade, a parcela do Prêmio de Garantia Firme devido pela Emissora aos Coordenadores, incluindo a compensação da tributação de que trata o parágrafo abaixo (</w:t>
      </w:r>
      <w:r>
        <w:rPr>
          <w:rFonts w:ascii="Verdana" w:hAnsi="Verdana" w:cs="Arial"/>
          <w:i/>
          <w:lang w:val="pt-BR"/>
        </w:rPr>
        <w:t>gross-up</w:t>
      </w:r>
      <w:r>
        <w:rPr>
          <w:rFonts w:ascii="Verdana" w:hAnsi="Verdana" w:cs="Arial"/>
          <w:lang w:val="pt-BR"/>
        </w:rPr>
        <w:t xml:space="preserve">) incidente sobre a referida parcela, será devida e paga diretamente às respectivas Afiliadas dos Coordenadores, contra a apresentação de fatura, nota ou recibo específicos. </w:t>
      </w:r>
    </w:p>
    <w:p>
      <w:pPr>
        <w:pStyle w:val="HOMEBRBodyText"/>
        <w:keepLines w:val="0"/>
        <w:spacing w:line="300" w:lineRule="exact"/>
        <w:rPr>
          <w:rFonts w:ascii="Verdana" w:hAnsi="Verdana" w:cs="Arial"/>
        </w:rPr>
      </w:pPr>
    </w:p>
    <w:p>
      <w:pPr>
        <w:pStyle w:val="HOMEBRBodyText"/>
        <w:keepLines w:val="0"/>
        <w:spacing w:line="300" w:lineRule="exact"/>
        <w:rPr>
          <w:rFonts w:ascii="Verdana" w:hAnsi="Verdana" w:cs="Arial"/>
        </w:rPr>
      </w:pPr>
      <w:r>
        <w:rPr>
          <w:rFonts w:ascii="Verdana" w:hAnsi="Verdana" w:cs="Arial"/>
        </w:rPr>
        <w:t>As Debêntures Adicionais, caso emitidas, serão colocadas sob o regime de melhores esforços de colocação.</w:t>
      </w:r>
    </w:p>
    <w:p>
      <w:pPr>
        <w:pStyle w:val="Ttulo8"/>
        <w:keepNext w:val="0"/>
        <w:keepLines w:val="0"/>
        <w:spacing w:line="300" w:lineRule="exact"/>
        <w:rPr>
          <w:rFonts w:ascii="Verdana" w:hAnsi="Verdana" w:cs="Arial"/>
          <w:lang w:val="pt-BR"/>
        </w:rPr>
      </w:pPr>
      <w:bookmarkStart w:id="210" w:name="_Toc427852315"/>
      <w:bookmarkStart w:id="211" w:name="_Toc428322726"/>
      <w:bookmarkStart w:id="212" w:name="_Ref434935237"/>
      <w:bookmarkStart w:id="213" w:name="_Ref434936717"/>
      <w:bookmarkStart w:id="214" w:name="_Ref434936730"/>
      <w:bookmarkStart w:id="215" w:name="_Ref483328702"/>
      <w:bookmarkStart w:id="216" w:name="_Ref483331607"/>
      <w:bookmarkStart w:id="217" w:name="_Ref483331617"/>
      <w:bookmarkStart w:id="218" w:name="_Toc484716015"/>
      <w:r>
        <w:rPr>
          <w:rFonts w:ascii="Verdana" w:hAnsi="Verdana" w:cs="Arial"/>
          <w:lang w:val="pt-BR"/>
        </w:rPr>
        <w:t>Comissionamento dos Coordenadores</w:t>
      </w:r>
      <w:bookmarkEnd w:id="210"/>
      <w:bookmarkEnd w:id="211"/>
      <w:bookmarkEnd w:id="212"/>
      <w:bookmarkEnd w:id="213"/>
      <w:bookmarkEnd w:id="214"/>
      <w:bookmarkEnd w:id="215"/>
      <w:bookmarkEnd w:id="216"/>
      <w:bookmarkEnd w:id="217"/>
      <w:bookmarkEnd w:id="218"/>
    </w:p>
    <w:p>
      <w:pPr>
        <w:pStyle w:val="HOMEBRBodyText"/>
        <w:keepLines w:val="0"/>
        <w:spacing w:line="300" w:lineRule="exact"/>
        <w:rPr>
          <w:rFonts w:ascii="Verdana" w:hAnsi="Verdana" w:cs="Arial"/>
        </w:rPr>
      </w:pPr>
      <w:bookmarkStart w:id="219" w:name="_Ref328999622"/>
      <w:r>
        <w:rPr>
          <w:rFonts w:ascii="Verdana" w:hAnsi="Verdana" w:cs="Arial"/>
        </w:rPr>
        <w:t>Pela execução dos serviços descritos no Contrato de Distribuição, os Coordenadores farão jus ao seguinte Comissionamento:</w:t>
      </w:r>
      <w:bookmarkEnd w:id="219"/>
    </w:p>
    <w:p>
      <w:pPr>
        <w:numPr>
          <w:ilvl w:val="0"/>
          <w:numId w:val="41"/>
        </w:numPr>
        <w:spacing w:after="0" w:line="300" w:lineRule="exact"/>
        <w:ind w:left="1080" w:hanging="426"/>
        <w:rPr>
          <w:rFonts w:ascii="Verdana" w:hAnsi="Verdana" w:cs="Arial"/>
          <w:lang w:val="pt-BR"/>
        </w:rPr>
      </w:pPr>
      <w:r>
        <w:rPr>
          <w:rFonts w:ascii="Verdana" w:hAnsi="Verdana" w:cs="Arial"/>
          <w:lang w:val="pt-BR"/>
        </w:rPr>
        <w:t>“</w:t>
      </w:r>
      <w:r>
        <w:rPr>
          <w:rFonts w:ascii="Verdana" w:hAnsi="Verdana" w:cs="Arial"/>
          <w:u w:val="single"/>
          <w:lang w:val="pt-BR"/>
        </w:rPr>
        <w:t>Comissão de Coordenação e Estruturação e Prêmio de Garantia Firme</w:t>
      </w:r>
      <w:r>
        <w:rPr>
          <w:rFonts w:ascii="Verdana" w:hAnsi="Verdana" w:cs="Arial"/>
          <w:lang w:val="pt-BR"/>
        </w:rPr>
        <w:t>”:</w:t>
      </w:r>
      <w:r>
        <w:rPr>
          <w:rFonts w:ascii="Verdana" w:hAnsi="Verdana" w:cs="Arial"/>
          <w:b/>
          <w:lang w:val="pt-BR"/>
        </w:rPr>
        <w:t xml:space="preserve"> </w:t>
      </w:r>
      <w:r>
        <w:rPr>
          <w:rFonts w:ascii="Verdana" w:hAnsi="Verdana" w:cs="Arial"/>
          <w:lang w:val="pt-BR"/>
        </w:rPr>
        <w:t>a este título, a Emissora pagará aos Coordenadores uma comissão equivalente a 0,30% incidente sobre o número total de Debêntures efetivamente emitidas (incluindo Debêntures Adicionais, se for o caso), multiplicado pelo Preço de Subscrição. A Comissão de Coordenação e Estruturação e Prêmio de Garantia Firme será paga aos Coordenadores na proporção da Garantia Firme prestada por cada um deles.</w:t>
      </w:r>
    </w:p>
    <w:p>
      <w:pPr>
        <w:pStyle w:val="PargrafodaLista"/>
        <w:spacing w:line="300" w:lineRule="exact"/>
        <w:rPr>
          <w:rFonts w:ascii="Verdana" w:hAnsi="Verdana" w:cs="Arial"/>
          <w:b/>
        </w:rPr>
      </w:pPr>
    </w:p>
    <w:p>
      <w:pPr>
        <w:numPr>
          <w:ilvl w:val="0"/>
          <w:numId w:val="48"/>
        </w:numPr>
        <w:spacing w:after="0" w:line="300" w:lineRule="exact"/>
        <w:ind w:left="1080" w:hanging="426"/>
        <w:rPr>
          <w:rFonts w:ascii="Verdana" w:hAnsi="Verdana" w:cs="Arial"/>
          <w:lang w:val="pt-BR"/>
        </w:rPr>
      </w:pPr>
      <w:r>
        <w:rPr>
          <w:rFonts w:ascii="Verdana" w:hAnsi="Verdana" w:cs="Arial"/>
          <w:lang w:val="pt-BR"/>
        </w:rPr>
        <w:lastRenderedPageBreak/>
        <w:t>“</w:t>
      </w:r>
      <w:r>
        <w:rPr>
          <w:rFonts w:ascii="Verdana" w:hAnsi="Verdana" w:cs="Arial"/>
          <w:u w:val="single"/>
          <w:lang w:val="pt-BR"/>
        </w:rPr>
        <w:t>Comissão de Distribuição</w:t>
      </w:r>
      <w:r>
        <w:rPr>
          <w:rFonts w:ascii="Verdana" w:hAnsi="Verdana" w:cs="Arial"/>
          <w:lang w:val="pt-BR"/>
        </w:rPr>
        <w:t>”: a este título, a Emissora pagará aos Coordenadores uma comissão equivalente a 0,25% ao ano, incidente sobre o número total de Debêntures efetivamente colocadas (incluindo as Debêntures Adicionais, se for o caso), multiplicado pelo Preço de Subscrição e pelo prazo médio das Debêntures. A Comissão de Colocação será paga aos Coordenadores na proporção da Garantia Firme prestada por cada um deles.</w:t>
      </w:r>
      <w:r>
        <w:rPr>
          <w:rFonts w:ascii="Verdana" w:hAnsi="Verdana"/>
          <w:lang w:val="pt-BR"/>
        </w:rPr>
        <w:t xml:space="preserve"> </w:t>
      </w:r>
      <w:r>
        <w:rPr>
          <w:rFonts w:ascii="Verdana" w:hAnsi="Verdana" w:cs="Arial"/>
          <w:lang w:val="pt-BR"/>
        </w:rPr>
        <w:t>A Comissão de Distribuição poderá ser repassada, no todo ou em parte, conforme definido pelos Coordenadores, aos Participantes Especiais, inclusive no caso de integralização pelo Formador de Mercado.  Os Coordenadores poderão instruir a Emissora a efetuar diretamente o pagamento das comissões aos Participantes Especiais, sendo certo que tais valores serão descontados da Comissão de Distribuição acima descrita, não havendo incremento de custos para a Emissora. Alternativamente, os Coordenadores poderão realizar a transferência diretamente para os Participantes Especiais, por conta e ordem da Emissora, não havendo, em qualquer caso, nenhum incremento nos custos de distribuição para a Emissora, já que toda e qualquer remuneração dos Participantes Especiais será descontada integralmente desta Comissão de Distribuição devida aos Coordenadores; e</w:t>
      </w:r>
    </w:p>
    <w:p>
      <w:pPr>
        <w:numPr>
          <w:ilvl w:val="0"/>
          <w:numId w:val="48"/>
        </w:numPr>
        <w:spacing w:after="0" w:line="300" w:lineRule="exact"/>
        <w:ind w:left="1080" w:hanging="426"/>
        <w:rPr>
          <w:rFonts w:ascii="Verdana" w:hAnsi="Verdana" w:cs="Arial"/>
          <w:lang w:val="pt-BR"/>
        </w:rPr>
      </w:pPr>
      <w:r>
        <w:rPr>
          <w:rFonts w:ascii="Verdana" w:hAnsi="Verdana" w:cs="Arial"/>
          <w:lang w:val="pt-BR"/>
        </w:rPr>
        <w:t>“</w:t>
      </w:r>
      <w:r>
        <w:rPr>
          <w:rFonts w:ascii="Verdana" w:hAnsi="Verdana" w:cs="Arial"/>
          <w:u w:val="single"/>
          <w:lang w:val="pt-BR"/>
        </w:rPr>
        <w:t>Comissão de Sucesso</w:t>
      </w:r>
      <w:r>
        <w:rPr>
          <w:rFonts w:ascii="Verdana" w:hAnsi="Verdana" w:cs="Arial"/>
          <w:lang w:val="pt-BR"/>
        </w:rPr>
        <w:t xml:space="preserve">”: a este título, será devida pela Emissora aos Coordenadores uma comissão de sucesso equivalente a determinado percentual da diferença entre a taxa máxima dos Juros Remuneratórios e a taxa final dos Juros Remuneratórios apurada conforme o Procedimento de </w:t>
      </w:r>
      <w:r>
        <w:rPr>
          <w:rFonts w:ascii="Verdana" w:hAnsi="Verdana" w:cs="Arial"/>
          <w:i/>
          <w:lang w:val="pt-BR"/>
        </w:rPr>
        <w:t xml:space="preserve">Bookbuilding, </w:t>
      </w:r>
      <w:r>
        <w:rPr>
          <w:rFonts w:ascii="Verdana" w:hAnsi="Verdana" w:cs="Arial"/>
          <w:lang w:val="pt-BR"/>
        </w:rPr>
        <w:t>pelo prazo médio das Debêntures. A Comissão de Sucesso será incidente sobre número total de Debêntures emitidas (incluindo as Debêntures Adicionais, se for o caso), multiplicado pelo Preço de Subscrição. A Comissão de Sucesso será paga aos Coordenadores na proporção da Garantia Firme prestada por cada um deles. O percentual referente à Comissão de Sucesso será definido conforme a tabela abaixo:</w:t>
      </w:r>
    </w:p>
    <w:p>
      <w:pPr>
        <w:pStyle w:val="PargrafodaLista"/>
        <w:spacing w:line="300" w:lineRule="exact"/>
        <w:rPr>
          <w:rFonts w:ascii="Verdana" w:hAnsi="Verdana" w:cs="Arial"/>
          <w:lang w:val="pt-BR"/>
        </w:rPr>
      </w:pPr>
    </w:p>
    <w:tbl>
      <w:tblPr>
        <w:tblStyle w:val="Tabelacomgrade"/>
        <w:tblW w:w="4361" w:type="pct"/>
        <w:jc w:val="right"/>
        <w:tblLook w:val="04A0" w:firstRow="1" w:lastRow="0" w:firstColumn="1" w:lastColumn="0" w:noHBand="0" w:noVBand="1"/>
      </w:tblPr>
      <w:tblGrid>
        <w:gridCol w:w="3850"/>
        <w:gridCol w:w="3850"/>
      </w:tblGrid>
      <w:tr>
        <w:trPr>
          <w:jc w:val="right"/>
        </w:trPr>
        <w:tc>
          <w:tcPr>
            <w:tcW w:w="3850" w:type="dxa"/>
          </w:tcPr>
          <w:p>
            <w:pPr>
              <w:pStyle w:val="PargrafodaLista"/>
              <w:spacing w:line="300" w:lineRule="exact"/>
              <w:ind w:left="29"/>
              <w:jc w:val="center"/>
              <w:rPr>
                <w:rFonts w:ascii="Verdana" w:hAnsi="Verdana" w:cs="Arial"/>
                <w:b/>
                <w:lang w:val="pt-BR"/>
              </w:rPr>
            </w:pPr>
            <w:r>
              <w:rPr>
                <w:rFonts w:ascii="Verdana" w:hAnsi="Verdana" w:cs="Arial"/>
                <w:b/>
                <w:lang w:val="pt-BR"/>
              </w:rPr>
              <w:t>Caso a taxa de Juros Remuneratórios incidente sobre o Valor Nominal Atualizado se situe entre:</w:t>
            </w:r>
          </w:p>
        </w:tc>
        <w:tc>
          <w:tcPr>
            <w:tcW w:w="3850" w:type="dxa"/>
          </w:tcPr>
          <w:p>
            <w:pPr>
              <w:pStyle w:val="PargrafodaLista"/>
              <w:spacing w:line="300" w:lineRule="exact"/>
              <w:ind w:left="10"/>
              <w:jc w:val="center"/>
              <w:rPr>
                <w:rFonts w:ascii="Verdana" w:hAnsi="Verdana" w:cs="Arial"/>
                <w:b/>
                <w:lang w:val="pt-BR"/>
              </w:rPr>
            </w:pPr>
            <w:r>
              <w:rPr>
                <w:rFonts w:ascii="Verdana" w:hAnsi="Verdana" w:cs="Arial"/>
                <w:b/>
                <w:lang w:val="pt-BR"/>
              </w:rPr>
              <w:t>Percentual referente à Comissão de Sucesso:</w:t>
            </w:r>
          </w:p>
        </w:tc>
      </w:tr>
      <w:tr>
        <w:trPr>
          <w:jc w:val="right"/>
        </w:trPr>
        <w:tc>
          <w:tcPr>
            <w:tcW w:w="3850" w:type="dxa"/>
          </w:tcPr>
          <w:p>
            <w:pPr>
              <w:pStyle w:val="PargrafodaLista"/>
              <w:spacing w:line="300" w:lineRule="exact"/>
              <w:ind w:left="29"/>
              <w:jc w:val="center"/>
              <w:rPr>
                <w:rFonts w:ascii="Verdana" w:hAnsi="Verdana" w:cs="Arial"/>
                <w:lang w:val="pt-BR"/>
              </w:rPr>
            </w:pPr>
            <w:r>
              <w:rPr>
                <w:rFonts w:ascii="Verdana" w:hAnsi="Verdana" w:cs="Arial"/>
                <w:lang w:val="pt-BR"/>
              </w:rPr>
              <w:t>4,00% (exclusive) e 3,90% (inclusive)</w:t>
            </w:r>
          </w:p>
        </w:tc>
        <w:tc>
          <w:tcPr>
            <w:tcW w:w="3850" w:type="dxa"/>
          </w:tcPr>
          <w:p>
            <w:pPr>
              <w:pStyle w:val="PargrafodaLista"/>
              <w:spacing w:line="300" w:lineRule="exact"/>
              <w:ind w:left="10"/>
              <w:jc w:val="center"/>
              <w:rPr>
                <w:rFonts w:ascii="Verdana" w:hAnsi="Verdana" w:cs="Arial"/>
                <w:lang w:val="pt-BR"/>
              </w:rPr>
            </w:pPr>
            <w:r>
              <w:rPr>
                <w:rFonts w:ascii="Verdana" w:hAnsi="Verdana" w:cs="Arial"/>
                <w:lang w:val="pt-BR"/>
              </w:rPr>
              <w:t>20%</w:t>
            </w:r>
          </w:p>
        </w:tc>
      </w:tr>
      <w:tr>
        <w:trPr>
          <w:jc w:val="right"/>
        </w:trPr>
        <w:tc>
          <w:tcPr>
            <w:tcW w:w="3850" w:type="dxa"/>
          </w:tcPr>
          <w:p>
            <w:pPr>
              <w:pStyle w:val="PargrafodaLista"/>
              <w:spacing w:line="300" w:lineRule="exact"/>
              <w:ind w:left="29"/>
              <w:jc w:val="center"/>
              <w:rPr>
                <w:rFonts w:ascii="Verdana" w:hAnsi="Verdana" w:cs="Arial"/>
                <w:lang w:val="pt-BR"/>
              </w:rPr>
            </w:pPr>
            <w:r>
              <w:rPr>
                <w:rFonts w:ascii="Verdana" w:hAnsi="Verdana" w:cs="Arial"/>
                <w:lang w:val="pt-BR"/>
              </w:rPr>
              <w:t>3,90% (exclusive) e 3,70% (inclusive)</w:t>
            </w:r>
          </w:p>
        </w:tc>
        <w:tc>
          <w:tcPr>
            <w:tcW w:w="3850" w:type="dxa"/>
          </w:tcPr>
          <w:p>
            <w:pPr>
              <w:pStyle w:val="PargrafodaLista"/>
              <w:spacing w:line="300" w:lineRule="exact"/>
              <w:ind w:left="10"/>
              <w:jc w:val="center"/>
              <w:rPr>
                <w:rFonts w:ascii="Verdana" w:hAnsi="Verdana" w:cs="Arial"/>
                <w:lang w:val="pt-BR"/>
              </w:rPr>
            </w:pPr>
            <w:r>
              <w:rPr>
                <w:rFonts w:ascii="Verdana" w:hAnsi="Verdana" w:cs="Arial"/>
                <w:lang w:val="pt-BR"/>
              </w:rPr>
              <w:t>25%</w:t>
            </w:r>
          </w:p>
        </w:tc>
      </w:tr>
      <w:tr>
        <w:trPr>
          <w:jc w:val="right"/>
        </w:trPr>
        <w:tc>
          <w:tcPr>
            <w:tcW w:w="3850" w:type="dxa"/>
          </w:tcPr>
          <w:p>
            <w:pPr>
              <w:pStyle w:val="PargrafodaLista"/>
              <w:spacing w:line="300" w:lineRule="exact"/>
              <w:ind w:left="29"/>
              <w:jc w:val="center"/>
              <w:rPr>
                <w:rFonts w:ascii="Verdana" w:hAnsi="Verdana" w:cs="Arial"/>
                <w:lang w:val="pt-BR"/>
              </w:rPr>
            </w:pPr>
            <w:r>
              <w:rPr>
                <w:rFonts w:ascii="Verdana" w:hAnsi="Verdana" w:cs="Arial"/>
                <w:lang w:val="pt-BR"/>
              </w:rPr>
              <w:t>Abaixo de 3,70% (exclusive)</w:t>
            </w:r>
          </w:p>
        </w:tc>
        <w:tc>
          <w:tcPr>
            <w:tcW w:w="3850" w:type="dxa"/>
          </w:tcPr>
          <w:p>
            <w:pPr>
              <w:pStyle w:val="PargrafodaLista"/>
              <w:spacing w:line="300" w:lineRule="exact"/>
              <w:ind w:left="10"/>
              <w:jc w:val="center"/>
              <w:rPr>
                <w:rFonts w:ascii="Verdana" w:hAnsi="Verdana" w:cs="Arial"/>
                <w:lang w:val="pt-BR"/>
              </w:rPr>
            </w:pPr>
            <w:r>
              <w:rPr>
                <w:rFonts w:ascii="Verdana" w:hAnsi="Verdana" w:cs="Arial"/>
                <w:lang w:val="pt-BR"/>
              </w:rPr>
              <w:t>30%</w:t>
            </w:r>
          </w:p>
        </w:tc>
      </w:tr>
    </w:tbl>
    <w:p>
      <w:pPr>
        <w:pStyle w:val="HOMEBRIdentBullet"/>
        <w:spacing w:line="300" w:lineRule="exact"/>
        <w:ind w:left="0" w:firstLine="0"/>
        <w:rPr>
          <w:rFonts w:ascii="Verdana" w:hAnsi="Verdana" w:cs="Arial"/>
          <w:lang w:val="pt-BR"/>
        </w:rPr>
      </w:pPr>
      <w:r>
        <w:rPr>
          <w:rFonts w:ascii="Verdana" w:hAnsi="Verdana" w:cs="Arial"/>
          <w:lang w:val="pt-BR"/>
        </w:rPr>
        <w:t xml:space="preserve"> </w:t>
      </w:r>
    </w:p>
    <w:p>
      <w:pPr>
        <w:pStyle w:val="HOMEBRIdentBullet"/>
        <w:tabs>
          <w:tab w:val="left" w:pos="5245"/>
        </w:tabs>
        <w:spacing w:line="300" w:lineRule="exact"/>
        <w:rPr>
          <w:rFonts w:ascii="Verdana" w:hAnsi="Verdana" w:cs="Arial"/>
          <w:lang w:val="pt-BR"/>
        </w:rPr>
      </w:pPr>
      <w:r>
        <w:rPr>
          <w:rFonts w:ascii="Verdana" w:hAnsi="Verdana" w:cs="Arial"/>
          <w:lang w:val="pt-BR"/>
        </w:rPr>
        <w:lastRenderedPageBreak/>
        <w:t xml:space="preserve">A Emissora pagará aos Coordenadores, em até 2 Dias Úteis contados da Primeira Data de Integralização, o valor integral do Comissionamento, à vista e em moeda corrente nacional, mediante Transferência Eletrônica Disponível – TED ou outro mecanismo de transferência equivalente ou mediante débito em conta corrente a ser acordada entre a Emissora e os Coordenadores. Fica desde já acordado que cada Coordenador poderá, a seu exclusivo critério, descontar o Comissionamento que lhe é devido do valor a ser repassado à Emissora pela integralização das Debêntures. </w:t>
      </w:r>
    </w:p>
    <w:p>
      <w:pPr>
        <w:pStyle w:val="Ttulo8"/>
        <w:spacing w:line="300" w:lineRule="exact"/>
        <w:rPr>
          <w:rFonts w:ascii="Verdana" w:hAnsi="Verdana" w:cs="Arial"/>
          <w:lang w:val="pt-BR"/>
        </w:rPr>
      </w:pPr>
      <w:bookmarkStart w:id="220" w:name="_Toc428322727"/>
      <w:bookmarkStart w:id="221" w:name="_Toc484716016"/>
      <w:r>
        <w:rPr>
          <w:rFonts w:ascii="Verdana" w:hAnsi="Verdana" w:cs="Arial"/>
          <w:lang w:val="pt-BR"/>
        </w:rPr>
        <w:t>Data de Liquidação</w:t>
      </w:r>
      <w:bookmarkEnd w:id="220"/>
      <w:bookmarkEnd w:id="221"/>
    </w:p>
    <w:p>
      <w:pPr>
        <w:pStyle w:val="HOMEBRBodyText"/>
        <w:spacing w:line="300" w:lineRule="exact"/>
        <w:rPr>
          <w:rFonts w:ascii="Verdana" w:hAnsi="Verdana" w:cs="Arial"/>
        </w:rPr>
      </w:pPr>
      <w:r>
        <w:rPr>
          <w:rFonts w:ascii="Verdana" w:hAnsi="Verdana" w:cs="Arial"/>
        </w:rPr>
        <w:t>A Data de Liquidação das Debêntures está prevista para ocorrer em [</w:t>
      </w:r>
      <w:r>
        <w:rPr>
          <w:rFonts w:ascii="Verdana" w:hAnsi="Verdana" w:cs="Arial"/>
        </w:rPr>
        <w:sym w:font="Symbol" w:char="F0B7"/>
      </w:r>
      <w:r>
        <w:rPr>
          <w:rFonts w:ascii="Verdana" w:hAnsi="Verdana" w:cs="Arial"/>
        </w:rPr>
        <w:t>] de [</w:t>
      </w:r>
      <w:r>
        <w:rPr>
          <w:rFonts w:ascii="Verdana" w:hAnsi="Verdana" w:cs="Arial"/>
        </w:rPr>
        <w:sym w:font="Symbol" w:char="F0B7"/>
      </w:r>
      <w:r>
        <w:rPr>
          <w:rFonts w:ascii="Verdana" w:hAnsi="Verdana" w:cs="Arial"/>
        </w:rPr>
        <w:t>] de 2019.</w:t>
      </w:r>
    </w:p>
    <w:p>
      <w:pPr>
        <w:pStyle w:val="Ttulo8"/>
        <w:spacing w:line="300" w:lineRule="exact"/>
        <w:rPr>
          <w:rFonts w:ascii="Verdana" w:hAnsi="Verdana" w:cs="Arial"/>
          <w:lang w:val="pt-BR"/>
        </w:rPr>
      </w:pPr>
      <w:bookmarkStart w:id="222" w:name="_Toc427852317"/>
      <w:bookmarkStart w:id="223" w:name="_Toc428322728"/>
      <w:bookmarkStart w:id="224" w:name="_Toc484716017"/>
      <w:r>
        <w:rPr>
          <w:rFonts w:ascii="Verdana" w:hAnsi="Verdana" w:cs="Arial"/>
          <w:lang w:val="pt-BR"/>
        </w:rPr>
        <w:t>Cópia do Contrato de Distribuição</w:t>
      </w:r>
      <w:bookmarkEnd w:id="222"/>
      <w:bookmarkEnd w:id="223"/>
      <w:bookmarkEnd w:id="224"/>
    </w:p>
    <w:p>
      <w:pPr>
        <w:pStyle w:val="HOMEBRBodyText"/>
        <w:spacing w:line="300" w:lineRule="exact"/>
        <w:rPr>
          <w:rFonts w:ascii="Verdana" w:hAnsi="Verdana" w:cs="Arial"/>
        </w:rPr>
      </w:pPr>
      <w:r>
        <w:rPr>
          <w:rFonts w:ascii="Verdana" w:hAnsi="Verdana" w:cs="Arial"/>
        </w:rPr>
        <w:t xml:space="preserve">A cópia do Contrato de Distribuição estará disponível aos investidores, para consulta ou reprodução, na CVM, na sede da Emissora e dos Coordenadores, nos endereços informados na seção “Informações Adicionais” na </w:t>
      </w:r>
      <w:r>
        <w:rPr>
          <w:rFonts w:ascii="Verdana" w:eastAsia="Calibri" w:hAnsi="Verdana" w:cs="Arial"/>
        </w:rPr>
        <w:t>página [</w:t>
      </w:r>
      <w:r>
        <w:rPr>
          <w:rFonts w:ascii="Verdana" w:eastAsia="Calibri" w:hAnsi="Verdana" w:cs="Arial"/>
        </w:rPr>
        <w:sym w:font="Symbol" w:char="F0B7"/>
      </w:r>
      <w:r>
        <w:rPr>
          <w:rFonts w:ascii="Verdana" w:eastAsia="Calibri" w:hAnsi="Verdana" w:cs="Arial"/>
        </w:rPr>
        <w:t xml:space="preserve">] </w:t>
      </w:r>
      <w:r>
        <w:rPr>
          <w:rFonts w:ascii="Verdana" w:hAnsi="Verdana" w:cs="Arial"/>
        </w:rPr>
        <w:t>deste Prospecto.</w:t>
      </w:r>
    </w:p>
    <w:p>
      <w:pPr>
        <w:spacing w:line="300" w:lineRule="exact"/>
        <w:jc w:val="center"/>
        <w:rPr>
          <w:rFonts w:ascii="Verdana" w:hAnsi="Verdana" w:cs="Arial"/>
          <w:b/>
          <w:lang w:val="pt-BR"/>
        </w:rPr>
      </w:pPr>
      <w:r>
        <w:rPr>
          <w:rFonts w:ascii="Verdana" w:hAnsi="Verdana" w:cs="Arial"/>
          <w:lang w:val="pt-BR"/>
        </w:rPr>
        <w:br w:type="page"/>
      </w:r>
      <w:bookmarkStart w:id="225" w:name="_DV_C27"/>
      <w:bookmarkStart w:id="226" w:name="_DV_M10"/>
      <w:bookmarkStart w:id="227" w:name="_DV_M13"/>
      <w:bookmarkStart w:id="228" w:name="_DV_M14"/>
      <w:bookmarkStart w:id="229" w:name="_DV_M15"/>
      <w:bookmarkStart w:id="230" w:name="_DV_M18"/>
      <w:bookmarkStart w:id="231" w:name="_DV_M19"/>
      <w:bookmarkStart w:id="232" w:name="_DV_M20"/>
      <w:bookmarkStart w:id="233" w:name="_DV_M21"/>
      <w:bookmarkStart w:id="234" w:name="_DV_M22"/>
      <w:bookmarkStart w:id="235" w:name="_DV_M23"/>
      <w:bookmarkStart w:id="236" w:name="_DV_M24"/>
      <w:bookmarkStart w:id="237" w:name="_DV_M25"/>
      <w:bookmarkStart w:id="238" w:name="_DV_M26"/>
      <w:bookmarkStart w:id="239" w:name="_DV_M27"/>
      <w:bookmarkStart w:id="240" w:name="_DV_M28"/>
      <w:bookmarkStart w:id="241" w:name="_DV_M29"/>
      <w:bookmarkStart w:id="242" w:name="_DV_M30"/>
      <w:bookmarkStart w:id="243" w:name="_DV_M34"/>
      <w:bookmarkStart w:id="244" w:name="_DV_M35"/>
      <w:bookmarkStart w:id="245" w:name="_DV_M36"/>
      <w:bookmarkStart w:id="246" w:name="_DV_M39"/>
      <w:bookmarkStart w:id="247" w:name="_DV_M40"/>
      <w:bookmarkStart w:id="248" w:name="_DV_M43"/>
      <w:bookmarkStart w:id="249" w:name="_DV_M44"/>
      <w:bookmarkStart w:id="250" w:name="_DV_M46"/>
      <w:bookmarkStart w:id="251" w:name="_DV_M47"/>
      <w:bookmarkStart w:id="252" w:name="_DV_M48"/>
      <w:bookmarkStart w:id="253" w:name="_DV_M51"/>
      <w:bookmarkStart w:id="254" w:name="_DV_M52"/>
      <w:bookmarkStart w:id="255" w:name="_DV_M53"/>
      <w:bookmarkStart w:id="256" w:name="_DV_M54"/>
      <w:bookmarkStart w:id="257" w:name="_DV_M55"/>
      <w:bookmarkStart w:id="258" w:name="_DV_M56"/>
      <w:bookmarkStart w:id="259" w:name="_DV_M57"/>
      <w:bookmarkStart w:id="260" w:name="_DV_M58"/>
      <w:bookmarkStart w:id="261" w:name="_DV_M59"/>
      <w:bookmarkStart w:id="262" w:name="_DV_M61"/>
      <w:bookmarkStart w:id="263" w:name="_DV_M62"/>
      <w:bookmarkStart w:id="264" w:name="_DV_M63"/>
      <w:bookmarkStart w:id="265" w:name="_DV_M64"/>
      <w:bookmarkStart w:id="266" w:name="_DV_M65"/>
      <w:bookmarkStart w:id="267" w:name="_DV_M66"/>
      <w:bookmarkStart w:id="268" w:name="_DV_M68"/>
      <w:bookmarkStart w:id="269" w:name="_DV_M69"/>
      <w:bookmarkStart w:id="270" w:name="_Toc484716018"/>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r>
        <w:rPr>
          <w:rFonts w:ascii="Verdana" w:hAnsi="Verdana" w:cs="Arial"/>
          <w:b/>
          <w:lang w:val="pt-BR"/>
        </w:rPr>
        <w:lastRenderedPageBreak/>
        <w:t>CUSTOS ESTIMADOS DE DISTRIBUIÇÃO</w:t>
      </w:r>
      <w:bookmarkEnd w:id="270"/>
    </w:p>
    <w:p>
      <w:pPr>
        <w:pStyle w:val="HOMEBRBodyText"/>
        <w:keepNext/>
        <w:spacing w:line="300" w:lineRule="exact"/>
        <w:rPr>
          <w:rFonts w:ascii="Verdana" w:hAnsi="Verdana" w:cs="Arial"/>
        </w:rPr>
      </w:pPr>
      <w:r>
        <w:rPr>
          <w:rFonts w:ascii="Verdana" w:hAnsi="Verdana" w:cs="Arial"/>
        </w:rPr>
        <w:t xml:space="preserve">A tabela abaixo demonstra os custos estimados, total e unitário, da Oferta, calculada com base no valor da Oferta na Data de Emissão, considerando a colocação da totalidade das Debêntures inicialmente ofertadas, sem considerar as Debêntures Adicionais. </w:t>
      </w:r>
    </w:p>
    <w:p>
      <w:pPr>
        <w:pStyle w:val="HOMEBRBodyText"/>
        <w:keepNext/>
        <w:spacing w:line="300" w:lineRule="exact"/>
        <w:rPr>
          <w:rFonts w:ascii="Verdana" w:hAnsi="Verdana" w:cs="Arial"/>
          <w:b/>
        </w:rPr>
      </w:pPr>
    </w:p>
    <w:tbl>
      <w:tblPr>
        <w:tblW w:w="5000" w:type="pct"/>
        <w:jc w:val="center"/>
        <w:tblLayout w:type="fixed"/>
        <w:tblCellMar>
          <w:left w:w="72" w:type="dxa"/>
          <w:right w:w="72" w:type="dxa"/>
        </w:tblCellMar>
        <w:tblLook w:val="01E0" w:firstRow="1" w:lastRow="1" w:firstColumn="1" w:lastColumn="1" w:noHBand="0" w:noVBand="0"/>
      </w:tblPr>
      <w:tblGrid>
        <w:gridCol w:w="4536"/>
        <w:gridCol w:w="1403"/>
        <w:gridCol w:w="1501"/>
        <w:gridCol w:w="1398"/>
      </w:tblGrid>
      <w:tr>
        <w:trPr>
          <w:trHeight w:val="216"/>
          <w:jc w:val="center"/>
        </w:trPr>
        <w:tc>
          <w:tcPr>
            <w:tcW w:w="2566" w:type="pct"/>
            <w:vAlign w:val="bottom"/>
          </w:tcPr>
          <w:p>
            <w:pPr>
              <w:widowControl w:val="0"/>
              <w:pBdr>
                <w:bottom w:val="single" w:sz="4" w:space="1" w:color="auto"/>
              </w:pBdr>
              <w:spacing w:after="0" w:line="300" w:lineRule="exact"/>
              <w:jc w:val="left"/>
              <w:rPr>
                <w:rFonts w:ascii="Verdana" w:hAnsi="Verdana" w:cs="Arial"/>
                <w:b/>
                <w:bCs/>
                <w:sz w:val="18"/>
                <w:szCs w:val="16"/>
              </w:rPr>
            </w:pPr>
            <w:r>
              <w:rPr>
                <w:rFonts w:ascii="Verdana" w:hAnsi="Verdana" w:cs="Arial"/>
                <w:b/>
                <w:bCs/>
                <w:sz w:val="18"/>
                <w:szCs w:val="16"/>
              </w:rPr>
              <w:t>Descrição</w:t>
            </w:r>
          </w:p>
        </w:tc>
        <w:tc>
          <w:tcPr>
            <w:tcW w:w="794" w:type="pct"/>
            <w:vAlign w:val="bottom"/>
          </w:tcPr>
          <w:p>
            <w:pPr>
              <w:widowControl w:val="0"/>
              <w:pBdr>
                <w:bottom w:val="single" w:sz="4" w:space="1" w:color="auto"/>
              </w:pBdr>
              <w:spacing w:after="0" w:line="300" w:lineRule="exact"/>
              <w:jc w:val="center"/>
              <w:rPr>
                <w:rFonts w:ascii="Verdana" w:hAnsi="Verdana" w:cs="Arial"/>
                <w:b/>
                <w:bCs/>
                <w:sz w:val="18"/>
                <w:szCs w:val="16"/>
                <w:lang w:val="pt-BR"/>
              </w:rPr>
            </w:pPr>
            <w:r>
              <w:rPr>
                <w:rFonts w:ascii="Verdana" w:hAnsi="Verdana" w:cs="Arial"/>
                <w:b/>
                <w:bCs/>
                <w:sz w:val="18"/>
                <w:szCs w:val="16"/>
                <w:lang w:val="pt-BR"/>
              </w:rPr>
              <w:t xml:space="preserve">Valor Total </w:t>
            </w:r>
          </w:p>
        </w:tc>
        <w:tc>
          <w:tcPr>
            <w:tcW w:w="849" w:type="pct"/>
            <w:vAlign w:val="bottom"/>
          </w:tcPr>
          <w:p>
            <w:pPr>
              <w:widowControl w:val="0"/>
              <w:pBdr>
                <w:bottom w:val="single" w:sz="4" w:space="1" w:color="auto"/>
              </w:pBdr>
              <w:spacing w:after="0" w:line="300" w:lineRule="exact"/>
              <w:jc w:val="center"/>
              <w:rPr>
                <w:rFonts w:ascii="Verdana" w:hAnsi="Verdana" w:cs="Arial"/>
                <w:b/>
                <w:bCs/>
                <w:sz w:val="18"/>
                <w:szCs w:val="16"/>
                <w:vertAlign w:val="superscript"/>
                <w:lang w:val="pt-BR"/>
              </w:rPr>
            </w:pPr>
            <w:r>
              <w:rPr>
                <w:rFonts w:ascii="Verdana" w:hAnsi="Verdana" w:cs="Arial"/>
                <w:b/>
                <w:bCs/>
                <w:sz w:val="18"/>
                <w:szCs w:val="16"/>
                <w:lang w:val="pt-BR"/>
              </w:rPr>
              <w:t>Valor por Debênture</w:t>
            </w:r>
            <w:r>
              <w:rPr>
                <w:rFonts w:ascii="Verdana" w:hAnsi="Verdana" w:cs="Arial"/>
                <w:b/>
                <w:bCs/>
                <w:sz w:val="18"/>
                <w:szCs w:val="16"/>
                <w:vertAlign w:val="superscript"/>
                <w:lang w:val="pt-BR"/>
              </w:rPr>
              <w:t>(1)</w:t>
            </w:r>
          </w:p>
        </w:tc>
        <w:tc>
          <w:tcPr>
            <w:tcW w:w="791" w:type="pct"/>
            <w:vAlign w:val="bottom"/>
          </w:tcPr>
          <w:p>
            <w:pPr>
              <w:widowControl w:val="0"/>
              <w:pBdr>
                <w:bottom w:val="single" w:sz="4" w:space="1" w:color="auto"/>
              </w:pBdr>
              <w:spacing w:after="0" w:line="300" w:lineRule="exact"/>
              <w:jc w:val="center"/>
              <w:rPr>
                <w:rFonts w:ascii="Verdana" w:hAnsi="Verdana" w:cs="Arial"/>
                <w:b/>
                <w:bCs/>
                <w:sz w:val="18"/>
                <w:szCs w:val="16"/>
                <w:lang w:val="pt-BR"/>
              </w:rPr>
            </w:pPr>
            <w:r>
              <w:rPr>
                <w:rFonts w:ascii="Verdana" w:hAnsi="Verdana" w:cs="Arial"/>
                <w:b/>
                <w:bCs/>
                <w:sz w:val="18"/>
                <w:szCs w:val="16"/>
                <w:lang w:val="pt-BR"/>
              </w:rPr>
              <w:t>% do Valor Total da Oferta</w:t>
            </w:r>
            <w:r>
              <w:rPr>
                <w:rFonts w:ascii="Verdana" w:hAnsi="Verdana" w:cs="Arial"/>
                <w:b/>
                <w:bCs/>
                <w:sz w:val="18"/>
                <w:szCs w:val="16"/>
                <w:vertAlign w:val="superscript"/>
                <w:lang w:val="pt-BR"/>
              </w:rPr>
              <w:t>(8)</w:t>
            </w:r>
          </w:p>
        </w:tc>
      </w:tr>
      <w:tr>
        <w:trPr>
          <w:trHeight w:val="216"/>
          <w:jc w:val="center"/>
        </w:trPr>
        <w:tc>
          <w:tcPr>
            <w:tcW w:w="2566" w:type="pct"/>
            <w:vAlign w:val="bottom"/>
          </w:tcPr>
          <w:p>
            <w:pPr>
              <w:widowControl w:val="0"/>
              <w:spacing w:after="0" w:line="300" w:lineRule="exact"/>
              <w:jc w:val="left"/>
              <w:rPr>
                <w:rFonts w:ascii="Verdana" w:hAnsi="Verdana" w:cs="Arial"/>
                <w:b/>
                <w:bCs/>
                <w:sz w:val="18"/>
                <w:szCs w:val="16"/>
                <w:lang w:val="pt-BR"/>
              </w:rPr>
            </w:pPr>
          </w:p>
        </w:tc>
        <w:tc>
          <w:tcPr>
            <w:tcW w:w="794" w:type="pct"/>
            <w:vAlign w:val="bottom"/>
          </w:tcPr>
          <w:p>
            <w:pPr>
              <w:widowControl w:val="0"/>
              <w:spacing w:after="0" w:line="300" w:lineRule="exact"/>
              <w:jc w:val="center"/>
              <w:rPr>
                <w:rFonts w:ascii="Verdana" w:hAnsi="Verdana" w:cs="Arial"/>
                <w:bCs/>
                <w:i/>
                <w:sz w:val="18"/>
                <w:szCs w:val="16"/>
                <w:lang w:val="pt-BR"/>
              </w:rPr>
            </w:pPr>
            <w:r>
              <w:rPr>
                <w:rFonts w:ascii="Verdana" w:hAnsi="Verdana" w:cs="Arial"/>
                <w:bCs/>
                <w:i/>
                <w:sz w:val="18"/>
                <w:szCs w:val="16"/>
                <w:lang w:val="pt-BR"/>
              </w:rPr>
              <w:t>(R$)</w:t>
            </w:r>
          </w:p>
        </w:tc>
        <w:tc>
          <w:tcPr>
            <w:tcW w:w="849" w:type="pct"/>
            <w:vAlign w:val="bottom"/>
          </w:tcPr>
          <w:p>
            <w:pPr>
              <w:widowControl w:val="0"/>
              <w:spacing w:after="0" w:line="300" w:lineRule="exact"/>
              <w:jc w:val="center"/>
              <w:rPr>
                <w:rFonts w:ascii="Verdana" w:hAnsi="Verdana" w:cs="Arial"/>
                <w:bCs/>
                <w:i/>
                <w:sz w:val="18"/>
                <w:szCs w:val="16"/>
                <w:lang w:val="pt-BR"/>
              </w:rPr>
            </w:pPr>
            <w:r>
              <w:rPr>
                <w:rFonts w:ascii="Verdana" w:hAnsi="Verdana" w:cs="Arial"/>
                <w:bCs/>
                <w:i/>
                <w:sz w:val="18"/>
                <w:szCs w:val="16"/>
                <w:lang w:val="pt-BR"/>
              </w:rPr>
              <w:t>(R$)</w:t>
            </w:r>
          </w:p>
        </w:tc>
        <w:tc>
          <w:tcPr>
            <w:tcW w:w="791" w:type="pct"/>
            <w:vAlign w:val="bottom"/>
          </w:tcPr>
          <w:p>
            <w:pPr>
              <w:widowControl w:val="0"/>
              <w:spacing w:after="0" w:line="300" w:lineRule="exact"/>
              <w:jc w:val="center"/>
              <w:rPr>
                <w:rFonts w:ascii="Verdana" w:hAnsi="Verdana" w:cs="Arial"/>
                <w:b/>
                <w:bCs/>
                <w:sz w:val="18"/>
                <w:szCs w:val="16"/>
                <w:lang w:val="pt-BR"/>
              </w:rPr>
            </w:pPr>
          </w:p>
        </w:tc>
      </w:tr>
      <w:tr>
        <w:trPr>
          <w:trHeight w:val="216"/>
          <w:jc w:val="center"/>
        </w:trPr>
        <w:tc>
          <w:tcPr>
            <w:tcW w:w="2566" w:type="pct"/>
            <w:vAlign w:val="bottom"/>
          </w:tcPr>
          <w:p>
            <w:pPr>
              <w:tabs>
                <w:tab w:val="right" w:leader="dot" w:pos="4257"/>
              </w:tabs>
              <w:spacing w:before="60" w:after="0" w:line="300" w:lineRule="exact"/>
              <w:jc w:val="left"/>
              <w:rPr>
                <w:rFonts w:ascii="Verdana" w:eastAsia="Arial Unicode MS" w:hAnsi="Verdana" w:cs="Arial"/>
                <w:b/>
                <w:sz w:val="18"/>
                <w:szCs w:val="16"/>
                <w:lang w:val="pt-BR"/>
              </w:rPr>
            </w:pPr>
            <w:r>
              <w:rPr>
                <w:rFonts w:ascii="Verdana" w:hAnsi="Verdana" w:cs="Arial"/>
                <w:b/>
                <w:color w:val="000000"/>
                <w:sz w:val="18"/>
                <w:szCs w:val="16"/>
                <w:lang w:val="pt-BR"/>
              </w:rPr>
              <w:t xml:space="preserve">Custo Total </w:t>
            </w:r>
            <w:r>
              <w:rPr>
                <w:rFonts w:ascii="Verdana" w:hAnsi="Verdana" w:cs="Arial"/>
                <w:b/>
                <w:color w:val="000000"/>
                <w:sz w:val="18"/>
                <w:szCs w:val="16"/>
                <w:lang w:val="pt-BR"/>
              </w:rPr>
              <w:tab/>
            </w:r>
          </w:p>
        </w:tc>
        <w:tc>
          <w:tcPr>
            <w:tcW w:w="794" w:type="pct"/>
            <w:vAlign w:val="bottom"/>
          </w:tcPr>
          <w:p>
            <w:pPr>
              <w:tabs>
                <w:tab w:val="decimal" w:pos="0"/>
              </w:tabs>
              <w:spacing w:before="60" w:after="0" w:line="300" w:lineRule="exact"/>
              <w:jc w:val="center"/>
              <w:rPr>
                <w:rFonts w:ascii="Verdana" w:eastAsia="MS Mincho" w:hAnsi="Verdana" w:cs="Arial"/>
                <w:b/>
                <w:sz w:val="18"/>
                <w:szCs w:val="16"/>
                <w:lang w:val="pt-BR"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849" w:type="pct"/>
            <w:vAlign w:val="bottom"/>
          </w:tcPr>
          <w:p>
            <w:pPr>
              <w:tabs>
                <w:tab w:val="decimal" w:pos="0"/>
              </w:tabs>
              <w:spacing w:before="60" w:after="0" w:line="300" w:lineRule="exact"/>
              <w:jc w:val="center"/>
              <w:rPr>
                <w:rFonts w:ascii="Verdana" w:eastAsia="MS Mincho" w:hAnsi="Verdana" w:cs="Arial"/>
                <w:b/>
                <w:sz w:val="18"/>
                <w:szCs w:val="16"/>
                <w:lang w:val="pt-BR"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791" w:type="pct"/>
          </w:tcPr>
          <w:p>
            <w:pPr>
              <w:tabs>
                <w:tab w:val="decimal" w:pos="0"/>
              </w:tabs>
              <w:spacing w:before="60" w:after="0" w:line="300" w:lineRule="exact"/>
              <w:jc w:val="center"/>
              <w:rPr>
                <w:rFonts w:ascii="Verdana" w:eastAsia="MS Mincho" w:hAnsi="Verdana" w:cs="Arial"/>
                <w:b/>
                <w:sz w:val="18"/>
                <w:szCs w:val="16"/>
                <w:lang w:val="pt-BR"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r>
      <w:tr>
        <w:trPr>
          <w:trHeight w:val="216"/>
          <w:jc w:val="center"/>
        </w:trPr>
        <w:tc>
          <w:tcPr>
            <w:tcW w:w="2566" w:type="pct"/>
            <w:vAlign w:val="bottom"/>
          </w:tcPr>
          <w:p>
            <w:pPr>
              <w:tabs>
                <w:tab w:val="right" w:leader="dot" w:pos="4257"/>
              </w:tabs>
              <w:spacing w:after="0" w:line="300" w:lineRule="exact"/>
              <w:jc w:val="left"/>
              <w:rPr>
                <w:rFonts w:ascii="Verdana" w:eastAsia="Arial Unicode MS" w:hAnsi="Verdana" w:cs="Arial"/>
                <w:i/>
                <w:sz w:val="18"/>
                <w:szCs w:val="16"/>
                <w:vertAlign w:val="superscript"/>
              </w:rPr>
            </w:pPr>
            <w:r>
              <w:rPr>
                <w:rFonts w:ascii="Verdana" w:hAnsi="Verdana" w:cs="Arial"/>
                <w:color w:val="000000"/>
                <w:sz w:val="18"/>
                <w:szCs w:val="16"/>
                <w:lang w:val="pt-BR"/>
              </w:rPr>
              <w:t>Comissões dos Coordenadores</w:t>
            </w:r>
            <w:r>
              <w:rPr>
                <w:rFonts w:ascii="Verdana" w:hAnsi="Verdana" w:cs="Arial"/>
                <w:color w:val="000000"/>
                <w:sz w:val="18"/>
                <w:szCs w:val="16"/>
                <w:vertAlign w:val="superscript"/>
                <w:lang w:val="pt-BR"/>
              </w:rPr>
              <w:t>(</w:t>
            </w:r>
            <w:r>
              <w:rPr>
                <w:rFonts w:ascii="Verdana" w:hAnsi="Verdana" w:cs="Arial"/>
                <w:color w:val="000000"/>
                <w:sz w:val="18"/>
                <w:szCs w:val="16"/>
                <w:vertAlign w:val="superscript"/>
              </w:rPr>
              <w:t>2)</w:t>
            </w:r>
            <w:r>
              <w:rPr>
                <w:rFonts w:ascii="Verdana" w:hAnsi="Verdana" w:cs="Arial"/>
                <w:color w:val="000000"/>
                <w:sz w:val="18"/>
                <w:szCs w:val="16"/>
              </w:rPr>
              <w:tab/>
            </w:r>
          </w:p>
        </w:tc>
        <w:tc>
          <w:tcPr>
            <w:tcW w:w="794"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849"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791"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r>
      <w:tr>
        <w:trPr>
          <w:trHeight w:val="216"/>
          <w:jc w:val="center"/>
        </w:trPr>
        <w:tc>
          <w:tcPr>
            <w:tcW w:w="2566" w:type="pct"/>
            <w:vAlign w:val="bottom"/>
          </w:tcPr>
          <w:p>
            <w:pPr>
              <w:tabs>
                <w:tab w:val="right" w:leader="dot" w:pos="4257"/>
              </w:tabs>
              <w:spacing w:after="0" w:line="300" w:lineRule="exact"/>
              <w:ind w:left="227"/>
              <w:jc w:val="left"/>
              <w:rPr>
                <w:rFonts w:ascii="Verdana" w:hAnsi="Verdana" w:cs="Arial"/>
                <w:i/>
                <w:sz w:val="18"/>
                <w:szCs w:val="16"/>
                <w:lang w:val="pt-BR"/>
              </w:rPr>
            </w:pPr>
            <w:r>
              <w:rPr>
                <w:rFonts w:ascii="Verdana" w:hAnsi="Verdana" w:cs="Arial"/>
                <w:color w:val="000000"/>
                <w:sz w:val="18"/>
                <w:szCs w:val="16"/>
                <w:lang w:val="pt-BR"/>
              </w:rPr>
              <w:t>Coordenação, Estruturação e Prêmio de Garantia Firme</w:t>
            </w:r>
            <w:r>
              <w:rPr>
                <w:rFonts w:ascii="Verdana" w:hAnsi="Verdana" w:cs="Arial"/>
                <w:color w:val="000000"/>
                <w:sz w:val="18"/>
                <w:szCs w:val="16"/>
                <w:vertAlign w:val="superscript"/>
                <w:lang w:val="pt-BR"/>
              </w:rPr>
              <w:t>(3)</w:t>
            </w:r>
            <w:r>
              <w:rPr>
                <w:rFonts w:ascii="Verdana" w:hAnsi="Verdana" w:cs="Arial"/>
                <w:color w:val="000000"/>
                <w:sz w:val="18"/>
                <w:szCs w:val="16"/>
                <w:lang w:val="pt-BR"/>
              </w:rPr>
              <w:tab/>
            </w:r>
          </w:p>
        </w:tc>
        <w:tc>
          <w:tcPr>
            <w:tcW w:w="794"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849"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791"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r>
      <w:tr>
        <w:trPr>
          <w:trHeight w:val="216"/>
          <w:jc w:val="center"/>
        </w:trPr>
        <w:tc>
          <w:tcPr>
            <w:tcW w:w="2566" w:type="pct"/>
            <w:vAlign w:val="bottom"/>
          </w:tcPr>
          <w:p>
            <w:pPr>
              <w:tabs>
                <w:tab w:val="right" w:leader="dot" w:pos="4257"/>
              </w:tabs>
              <w:spacing w:after="0" w:line="300" w:lineRule="exact"/>
              <w:ind w:left="227"/>
              <w:jc w:val="left"/>
              <w:rPr>
                <w:rFonts w:ascii="Verdana" w:hAnsi="Verdana" w:cs="Arial"/>
                <w:color w:val="000000"/>
                <w:sz w:val="18"/>
                <w:szCs w:val="16"/>
              </w:rPr>
            </w:pPr>
            <w:r>
              <w:rPr>
                <w:rFonts w:ascii="Verdana" w:hAnsi="Verdana" w:cs="Arial"/>
                <w:color w:val="000000"/>
                <w:sz w:val="18"/>
                <w:szCs w:val="16"/>
              </w:rPr>
              <w:t>Distribuição</w:t>
            </w:r>
            <w:r>
              <w:rPr>
                <w:rFonts w:ascii="Verdana" w:hAnsi="Verdana" w:cs="Arial"/>
                <w:color w:val="000000"/>
                <w:sz w:val="18"/>
                <w:szCs w:val="16"/>
                <w:vertAlign w:val="superscript"/>
              </w:rPr>
              <w:t>(4)</w:t>
            </w:r>
            <w:r>
              <w:rPr>
                <w:rFonts w:ascii="Verdana" w:hAnsi="Verdana" w:cs="Arial"/>
                <w:color w:val="000000"/>
                <w:sz w:val="18"/>
                <w:szCs w:val="16"/>
              </w:rPr>
              <w:tab/>
            </w:r>
          </w:p>
        </w:tc>
        <w:tc>
          <w:tcPr>
            <w:tcW w:w="794" w:type="pct"/>
          </w:tcPr>
          <w:p>
            <w:pPr>
              <w:tabs>
                <w:tab w:val="decimal" w:pos="0"/>
              </w:tabs>
              <w:spacing w:after="0" w:line="300" w:lineRule="exact"/>
              <w:jc w:val="center"/>
              <w:rPr>
                <w:rFonts w:ascii="Verdana" w:hAnsi="Verdana" w:cs="Arial"/>
                <w:sz w:val="18"/>
                <w:szCs w:val="16"/>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849" w:type="pct"/>
          </w:tcPr>
          <w:p>
            <w:pPr>
              <w:tabs>
                <w:tab w:val="decimal" w:pos="0"/>
              </w:tabs>
              <w:spacing w:after="0" w:line="300" w:lineRule="exact"/>
              <w:jc w:val="center"/>
              <w:rPr>
                <w:rFonts w:ascii="Verdana" w:hAnsi="Verdana" w:cs="Arial"/>
                <w:sz w:val="18"/>
                <w:szCs w:val="16"/>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791" w:type="pct"/>
          </w:tcPr>
          <w:p>
            <w:pPr>
              <w:tabs>
                <w:tab w:val="decimal" w:pos="0"/>
              </w:tabs>
              <w:spacing w:after="0" w:line="300" w:lineRule="exact"/>
              <w:jc w:val="center"/>
              <w:rPr>
                <w:rFonts w:ascii="Verdana" w:hAnsi="Verdana" w:cs="Arial"/>
                <w:sz w:val="18"/>
                <w:szCs w:val="16"/>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r>
      <w:tr>
        <w:trPr>
          <w:trHeight w:val="216"/>
          <w:jc w:val="center"/>
        </w:trPr>
        <w:tc>
          <w:tcPr>
            <w:tcW w:w="2566" w:type="pct"/>
            <w:vAlign w:val="bottom"/>
          </w:tcPr>
          <w:p>
            <w:pPr>
              <w:tabs>
                <w:tab w:val="right" w:leader="dot" w:pos="4257"/>
              </w:tabs>
              <w:spacing w:after="0" w:line="300" w:lineRule="exact"/>
              <w:ind w:left="227"/>
              <w:jc w:val="left"/>
              <w:rPr>
                <w:rFonts w:ascii="Verdana" w:hAnsi="Verdana" w:cs="Arial"/>
                <w:color w:val="000000"/>
                <w:sz w:val="18"/>
                <w:szCs w:val="16"/>
              </w:rPr>
            </w:pPr>
            <w:r>
              <w:rPr>
                <w:rFonts w:ascii="Verdana" w:hAnsi="Verdana" w:cs="Arial"/>
                <w:color w:val="000000"/>
                <w:sz w:val="18"/>
                <w:szCs w:val="16"/>
              </w:rPr>
              <w:t>Sucesso pela Colocação</w:t>
            </w:r>
            <w:r>
              <w:rPr>
                <w:rFonts w:ascii="Verdana" w:hAnsi="Verdana" w:cs="Arial"/>
                <w:color w:val="000000"/>
                <w:sz w:val="18"/>
                <w:szCs w:val="16"/>
                <w:vertAlign w:val="superscript"/>
              </w:rPr>
              <w:t>(5)</w:t>
            </w:r>
            <w:r>
              <w:rPr>
                <w:rFonts w:ascii="Verdana" w:hAnsi="Verdana" w:cs="Arial"/>
                <w:color w:val="000000"/>
                <w:sz w:val="18"/>
                <w:szCs w:val="16"/>
              </w:rPr>
              <w:tab/>
            </w:r>
          </w:p>
        </w:tc>
        <w:tc>
          <w:tcPr>
            <w:tcW w:w="794" w:type="pct"/>
          </w:tcPr>
          <w:p>
            <w:pPr>
              <w:tabs>
                <w:tab w:val="decimal" w:pos="0"/>
                <w:tab w:val="decimal" w:pos="1408"/>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849" w:type="pct"/>
          </w:tcPr>
          <w:p>
            <w:pPr>
              <w:tabs>
                <w:tab w:val="decimal" w:pos="0"/>
                <w:tab w:val="decimal" w:pos="964"/>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791" w:type="pct"/>
          </w:tcPr>
          <w:p>
            <w:pPr>
              <w:tabs>
                <w:tab w:val="decimal" w:pos="0"/>
                <w:tab w:val="decimal" w:pos="923"/>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r>
      <w:tr>
        <w:trPr>
          <w:trHeight w:val="216"/>
          <w:jc w:val="center"/>
        </w:trPr>
        <w:tc>
          <w:tcPr>
            <w:tcW w:w="2566" w:type="pct"/>
            <w:vAlign w:val="bottom"/>
          </w:tcPr>
          <w:p>
            <w:pPr>
              <w:tabs>
                <w:tab w:val="right" w:leader="dot" w:pos="4257"/>
              </w:tabs>
              <w:spacing w:after="0" w:line="300" w:lineRule="exact"/>
              <w:ind w:left="227"/>
              <w:jc w:val="left"/>
              <w:rPr>
                <w:rFonts w:ascii="Verdana" w:hAnsi="Verdana" w:cs="Arial"/>
                <w:color w:val="000000"/>
                <w:sz w:val="18"/>
                <w:szCs w:val="16"/>
                <w:lang w:val="pt-BR"/>
              </w:rPr>
            </w:pPr>
            <w:r>
              <w:rPr>
                <w:rFonts w:ascii="Verdana" w:hAnsi="Verdana" w:cs="Arial"/>
                <w:color w:val="000000"/>
                <w:sz w:val="18"/>
                <w:szCs w:val="16"/>
                <w:lang w:val="pt-BR"/>
              </w:rPr>
              <w:t>Tributos Incidentes sobre o Comissionamento</w:t>
            </w:r>
            <w:r>
              <w:rPr>
                <w:rFonts w:ascii="Verdana" w:hAnsi="Verdana" w:cs="Arial"/>
                <w:color w:val="000000"/>
                <w:sz w:val="18"/>
                <w:szCs w:val="16"/>
                <w:lang w:val="pt-BR"/>
              </w:rPr>
              <w:tab/>
            </w:r>
          </w:p>
        </w:tc>
        <w:tc>
          <w:tcPr>
            <w:tcW w:w="794"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849"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791"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r>
      <w:tr>
        <w:trPr>
          <w:trHeight w:val="216"/>
          <w:jc w:val="center"/>
        </w:trPr>
        <w:tc>
          <w:tcPr>
            <w:tcW w:w="2566" w:type="pct"/>
            <w:vAlign w:val="bottom"/>
          </w:tcPr>
          <w:p>
            <w:pPr>
              <w:tabs>
                <w:tab w:val="right" w:leader="dot" w:pos="4257"/>
              </w:tabs>
              <w:spacing w:after="0" w:line="300" w:lineRule="exact"/>
              <w:jc w:val="left"/>
              <w:rPr>
                <w:rFonts w:ascii="Verdana" w:hAnsi="Verdana" w:cs="Arial"/>
                <w:color w:val="000000"/>
                <w:sz w:val="18"/>
                <w:szCs w:val="16"/>
                <w:lang w:val="pt-BR"/>
              </w:rPr>
            </w:pPr>
            <w:r>
              <w:rPr>
                <w:rFonts w:ascii="Verdana" w:hAnsi="Verdana" w:cs="Arial"/>
                <w:color w:val="000000"/>
                <w:sz w:val="18"/>
                <w:szCs w:val="16"/>
                <w:lang w:val="pt-BR"/>
              </w:rPr>
              <w:t>Taxa de Registro na CVM</w:t>
            </w:r>
            <w:r>
              <w:rPr>
                <w:rFonts w:ascii="Verdana" w:hAnsi="Verdana" w:cs="Arial"/>
                <w:color w:val="000000"/>
                <w:sz w:val="18"/>
                <w:szCs w:val="16"/>
                <w:lang w:val="pt-BR"/>
              </w:rPr>
              <w:tab/>
            </w:r>
          </w:p>
        </w:tc>
        <w:tc>
          <w:tcPr>
            <w:tcW w:w="794"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849"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791"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r>
      <w:tr>
        <w:trPr>
          <w:trHeight w:val="216"/>
          <w:jc w:val="center"/>
        </w:trPr>
        <w:tc>
          <w:tcPr>
            <w:tcW w:w="2566" w:type="pct"/>
            <w:vAlign w:val="bottom"/>
          </w:tcPr>
          <w:p>
            <w:pPr>
              <w:tabs>
                <w:tab w:val="right" w:leader="dot" w:pos="4257"/>
              </w:tabs>
              <w:spacing w:after="0" w:line="300" w:lineRule="exact"/>
              <w:jc w:val="left"/>
              <w:rPr>
                <w:rFonts w:ascii="Verdana" w:hAnsi="Verdana" w:cs="Arial"/>
                <w:color w:val="000000"/>
                <w:sz w:val="18"/>
                <w:szCs w:val="16"/>
                <w:lang w:val="pt-BR"/>
              </w:rPr>
            </w:pPr>
            <w:r>
              <w:rPr>
                <w:rFonts w:ascii="Verdana" w:hAnsi="Verdana" w:cs="Arial"/>
                <w:color w:val="000000"/>
                <w:sz w:val="18"/>
                <w:szCs w:val="16"/>
                <w:lang w:val="pt-BR"/>
              </w:rPr>
              <w:t>Taxa de Registro na B3 e B3 – Segmento Cetip UTVM</w:t>
            </w:r>
            <w:r>
              <w:rPr>
                <w:rFonts w:ascii="Verdana" w:hAnsi="Verdana" w:cs="Arial"/>
                <w:color w:val="000000"/>
                <w:sz w:val="18"/>
                <w:szCs w:val="16"/>
                <w:lang w:val="pt-BR"/>
              </w:rPr>
              <w:tab/>
            </w:r>
          </w:p>
        </w:tc>
        <w:tc>
          <w:tcPr>
            <w:tcW w:w="794"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849"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791"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r>
      <w:tr>
        <w:trPr>
          <w:trHeight w:val="216"/>
          <w:jc w:val="center"/>
        </w:trPr>
        <w:tc>
          <w:tcPr>
            <w:tcW w:w="2566" w:type="pct"/>
            <w:vAlign w:val="bottom"/>
          </w:tcPr>
          <w:p>
            <w:pPr>
              <w:tabs>
                <w:tab w:val="right" w:leader="dot" w:pos="4257"/>
              </w:tabs>
              <w:spacing w:after="0" w:line="300" w:lineRule="exact"/>
              <w:jc w:val="left"/>
              <w:rPr>
                <w:rFonts w:ascii="Verdana" w:hAnsi="Verdana" w:cs="Arial"/>
                <w:color w:val="000000"/>
                <w:sz w:val="18"/>
                <w:szCs w:val="16"/>
                <w:lang w:val="pt-BR"/>
              </w:rPr>
            </w:pPr>
            <w:r>
              <w:rPr>
                <w:rFonts w:ascii="Verdana" w:hAnsi="Verdana" w:cs="Arial"/>
                <w:color w:val="000000"/>
                <w:sz w:val="18"/>
                <w:szCs w:val="16"/>
                <w:lang w:val="pt-BR"/>
              </w:rPr>
              <w:t>Taxa de Registro na Anbima.......................................................................</w:t>
            </w:r>
          </w:p>
        </w:tc>
        <w:tc>
          <w:tcPr>
            <w:tcW w:w="794" w:type="pct"/>
          </w:tcPr>
          <w:p>
            <w:pPr>
              <w:tabs>
                <w:tab w:val="decimal" w:pos="0"/>
              </w:tabs>
              <w:spacing w:after="0" w:line="300" w:lineRule="exact"/>
              <w:jc w:val="center"/>
              <w:rPr>
                <w:rFonts w:ascii="Verdana" w:hAnsi="Verdana" w:cs="Arial"/>
                <w:b/>
                <w:bCs/>
                <w:sz w:val="18"/>
                <w:szCs w:val="16"/>
                <w:lang w:val="pt-BR"/>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849" w:type="pct"/>
          </w:tcPr>
          <w:p>
            <w:pPr>
              <w:tabs>
                <w:tab w:val="decimal" w:pos="0"/>
              </w:tabs>
              <w:spacing w:after="0" w:line="300" w:lineRule="exact"/>
              <w:jc w:val="center"/>
              <w:rPr>
                <w:rFonts w:ascii="Verdana" w:hAnsi="Verdana" w:cs="Arial"/>
                <w:b/>
                <w:bCs/>
                <w:sz w:val="18"/>
                <w:szCs w:val="16"/>
                <w:lang w:val="pt-BR"/>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791" w:type="pct"/>
          </w:tcPr>
          <w:p>
            <w:pPr>
              <w:tabs>
                <w:tab w:val="decimal" w:pos="0"/>
              </w:tabs>
              <w:spacing w:after="0" w:line="300" w:lineRule="exact"/>
              <w:jc w:val="center"/>
              <w:rPr>
                <w:rFonts w:ascii="Verdana" w:hAnsi="Verdana" w:cs="Arial"/>
                <w:b/>
                <w:bCs/>
                <w:sz w:val="18"/>
                <w:szCs w:val="16"/>
                <w:lang w:val="pt-BR"/>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r>
      <w:tr>
        <w:trPr>
          <w:trHeight w:val="216"/>
          <w:jc w:val="center"/>
        </w:trPr>
        <w:tc>
          <w:tcPr>
            <w:tcW w:w="2566" w:type="pct"/>
            <w:vAlign w:val="bottom"/>
          </w:tcPr>
          <w:p>
            <w:pPr>
              <w:tabs>
                <w:tab w:val="right" w:leader="dot" w:pos="4257"/>
              </w:tabs>
              <w:spacing w:after="0" w:line="300" w:lineRule="exact"/>
              <w:jc w:val="left"/>
              <w:rPr>
                <w:rFonts w:ascii="Verdana" w:hAnsi="Verdana" w:cs="Arial"/>
                <w:color w:val="000000"/>
                <w:sz w:val="18"/>
                <w:szCs w:val="16"/>
                <w:lang w:val="pt-BR"/>
              </w:rPr>
            </w:pPr>
            <w:r>
              <w:rPr>
                <w:rFonts w:ascii="Verdana" w:hAnsi="Verdana" w:cs="Arial"/>
                <w:color w:val="000000"/>
                <w:sz w:val="18"/>
                <w:szCs w:val="16"/>
                <w:lang w:val="pt-BR"/>
              </w:rPr>
              <w:t>Agência de Classificação de Risco</w:t>
            </w:r>
            <w:r>
              <w:rPr>
                <w:rFonts w:ascii="Verdana" w:hAnsi="Verdana" w:cs="Arial"/>
                <w:color w:val="000000"/>
                <w:sz w:val="18"/>
                <w:szCs w:val="16"/>
                <w:lang w:val="pt-BR"/>
              </w:rPr>
              <w:tab/>
            </w:r>
          </w:p>
        </w:tc>
        <w:tc>
          <w:tcPr>
            <w:tcW w:w="794"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849"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791"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r>
      <w:tr>
        <w:trPr>
          <w:trHeight w:val="216"/>
          <w:jc w:val="center"/>
        </w:trPr>
        <w:tc>
          <w:tcPr>
            <w:tcW w:w="2566" w:type="pct"/>
            <w:vAlign w:val="bottom"/>
          </w:tcPr>
          <w:p>
            <w:pPr>
              <w:tabs>
                <w:tab w:val="right" w:leader="dot" w:pos="4257"/>
              </w:tabs>
              <w:spacing w:after="0" w:line="300" w:lineRule="exact"/>
              <w:jc w:val="left"/>
              <w:rPr>
                <w:rFonts w:ascii="Verdana" w:hAnsi="Verdana" w:cs="Arial"/>
                <w:color w:val="000000"/>
                <w:sz w:val="18"/>
                <w:szCs w:val="16"/>
              </w:rPr>
            </w:pPr>
            <w:r>
              <w:rPr>
                <w:rFonts w:ascii="Verdana" w:hAnsi="Verdana" w:cs="Arial"/>
                <w:color w:val="000000"/>
                <w:sz w:val="18"/>
                <w:szCs w:val="16"/>
              </w:rPr>
              <w:t>Assessores Jurídicos</w:t>
            </w:r>
            <w:r>
              <w:rPr>
                <w:rFonts w:ascii="Verdana" w:hAnsi="Verdana" w:cs="Arial"/>
                <w:color w:val="000000"/>
                <w:sz w:val="18"/>
                <w:szCs w:val="16"/>
              </w:rPr>
              <w:tab/>
            </w:r>
          </w:p>
        </w:tc>
        <w:tc>
          <w:tcPr>
            <w:tcW w:w="794"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849"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791"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r>
      <w:tr>
        <w:trPr>
          <w:trHeight w:val="216"/>
          <w:jc w:val="center"/>
        </w:trPr>
        <w:tc>
          <w:tcPr>
            <w:tcW w:w="2566" w:type="pct"/>
            <w:vAlign w:val="bottom"/>
          </w:tcPr>
          <w:p>
            <w:pPr>
              <w:tabs>
                <w:tab w:val="right" w:leader="dot" w:pos="4257"/>
              </w:tabs>
              <w:spacing w:after="0" w:line="300" w:lineRule="exact"/>
              <w:jc w:val="left"/>
              <w:rPr>
                <w:rFonts w:ascii="Verdana" w:hAnsi="Verdana" w:cs="Arial"/>
                <w:color w:val="000000"/>
                <w:sz w:val="18"/>
                <w:szCs w:val="16"/>
              </w:rPr>
            </w:pPr>
            <w:r>
              <w:rPr>
                <w:rFonts w:ascii="Verdana" w:hAnsi="Verdana" w:cs="Arial"/>
                <w:color w:val="000000"/>
                <w:sz w:val="18"/>
                <w:szCs w:val="16"/>
              </w:rPr>
              <w:t>Auditores Independentes</w:t>
            </w:r>
            <w:r>
              <w:rPr>
                <w:rFonts w:ascii="Verdana" w:hAnsi="Verdana" w:cs="Arial"/>
                <w:color w:val="000000"/>
                <w:sz w:val="18"/>
                <w:szCs w:val="16"/>
              </w:rPr>
              <w:tab/>
            </w:r>
          </w:p>
        </w:tc>
        <w:tc>
          <w:tcPr>
            <w:tcW w:w="794"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849"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791"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r>
      <w:tr>
        <w:trPr>
          <w:trHeight w:val="216"/>
          <w:jc w:val="center"/>
        </w:trPr>
        <w:tc>
          <w:tcPr>
            <w:tcW w:w="2566" w:type="pct"/>
            <w:vAlign w:val="bottom"/>
          </w:tcPr>
          <w:p>
            <w:pPr>
              <w:tabs>
                <w:tab w:val="right" w:leader="dot" w:pos="4257"/>
              </w:tabs>
              <w:spacing w:after="0" w:line="300" w:lineRule="exact"/>
              <w:jc w:val="left"/>
              <w:rPr>
                <w:rFonts w:ascii="Verdana" w:hAnsi="Verdana" w:cs="Arial"/>
                <w:color w:val="000000"/>
                <w:sz w:val="18"/>
                <w:szCs w:val="16"/>
              </w:rPr>
            </w:pPr>
            <w:r>
              <w:rPr>
                <w:rFonts w:ascii="Verdana" w:hAnsi="Verdana" w:cs="Arial"/>
                <w:color w:val="000000"/>
                <w:sz w:val="18"/>
                <w:szCs w:val="16"/>
              </w:rPr>
              <w:t xml:space="preserve">Escriturador e Banco Liquidante </w:t>
            </w:r>
            <w:r>
              <w:rPr>
                <w:rFonts w:ascii="Verdana" w:hAnsi="Verdana" w:cs="Arial"/>
                <w:color w:val="000000"/>
                <w:sz w:val="18"/>
                <w:szCs w:val="16"/>
                <w:vertAlign w:val="superscript"/>
              </w:rPr>
              <w:t>(6)</w:t>
            </w:r>
            <w:r>
              <w:rPr>
                <w:rFonts w:ascii="Verdana" w:hAnsi="Verdana" w:cs="Arial"/>
                <w:color w:val="000000"/>
                <w:sz w:val="18"/>
                <w:szCs w:val="16"/>
              </w:rPr>
              <w:tab/>
            </w:r>
          </w:p>
        </w:tc>
        <w:tc>
          <w:tcPr>
            <w:tcW w:w="794"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849"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791" w:type="pct"/>
          </w:tcPr>
          <w:p>
            <w:pPr>
              <w:tabs>
                <w:tab w:val="decimal" w:pos="0"/>
              </w:tabs>
              <w:spacing w:after="0" w:line="300" w:lineRule="exact"/>
              <w:jc w:val="center"/>
              <w:rPr>
                <w:rFonts w:ascii="Verdana" w:eastAsia="MS Mincho" w:hAnsi="Verdana" w:cs="Arial"/>
                <w:sz w:val="18"/>
                <w:szCs w:val="16"/>
                <w:lang w:eastAsia="ja-JP"/>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r>
      <w:tr>
        <w:trPr>
          <w:trHeight w:val="216"/>
          <w:jc w:val="center"/>
        </w:trPr>
        <w:tc>
          <w:tcPr>
            <w:tcW w:w="2566" w:type="pct"/>
            <w:vAlign w:val="bottom"/>
          </w:tcPr>
          <w:p>
            <w:pPr>
              <w:tabs>
                <w:tab w:val="right" w:leader="dot" w:pos="4257"/>
              </w:tabs>
              <w:spacing w:after="0" w:line="300" w:lineRule="exact"/>
              <w:jc w:val="left"/>
              <w:rPr>
                <w:rFonts w:ascii="Verdana" w:hAnsi="Verdana" w:cs="Arial"/>
                <w:color w:val="000000"/>
                <w:sz w:val="18"/>
                <w:szCs w:val="16"/>
              </w:rPr>
            </w:pPr>
            <w:r>
              <w:rPr>
                <w:rFonts w:ascii="Verdana" w:hAnsi="Verdana" w:cs="Arial"/>
                <w:color w:val="000000"/>
                <w:sz w:val="18"/>
                <w:szCs w:val="16"/>
              </w:rPr>
              <w:t>Agente Fiduciário</w:t>
            </w:r>
            <w:r>
              <w:rPr>
                <w:rFonts w:ascii="Verdana" w:hAnsi="Verdana" w:cs="Arial"/>
                <w:color w:val="000000"/>
                <w:sz w:val="18"/>
                <w:szCs w:val="16"/>
                <w:vertAlign w:val="superscript"/>
              </w:rPr>
              <w:t>(7)</w:t>
            </w:r>
            <w:r>
              <w:rPr>
                <w:rFonts w:ascii="Verdana" w:hAnsi="Verdana" w:cs="Arial"/>
                <w:color w:val="000000"/>
                <w:sz w:val="18"/>
                <w:szCs w:val="16"/>
              </w:rPr>
              <w:tab/>
            </w:r>
          </w:p>
        </w:tc>
        <w:tc>
          <w:tcPr>
            <w:tcW w:w="794" w:type="pct"/>
          </w:tcPr>
          <w:p>
            <w:pPr>
              <w:tabs>
                <w:tab w:val="decimal" w:pos="0"/>
              </w:tabs>
              <w:spacing w:after="0" w:line="300" w:lineRule="exact"/>
              <w:jc w:val="center"/>
              <w:rPr>
                <w:rFonts w:ascii="Verdana" w:hAnsi="Verdana" w:cs="Arial"/>
                <w:sz w:val="18"/>
                <w:szCs w:val="16"/>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849" w:type="pct"/>
          </w:tcPr>
          <w:p>
            <w:pPr>
              <w:tabs>
                <w:tab w:val="decimal" w:pos="0"/>
              </w:tabs>
              <w:spacing w:after="0" w:line="300" w:lineRule="exact"/>
              <w:jc w:val="center"/>
              <w:rPr>
                <w:rFonts w:ascii="Verdana" w:hAnsi="Verdana" w:cs="Arial"/>
                <w:sz w:val="18"/>
                <w:szCs w:val="16"/>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791" w:type="pct"/>
          </w:tcPr>
          <w:p>
            <w:pPr>
              <w:tabs>
                <w:tab w:val="decimal" w:pos="0"/>
              </w:tabs>
              <w:spacing w:after="0" w:line="300" w:lineRule="exact"/>
              <w:jc w:val="center"/>
              <w:rPr>
                <w:rFonts w:ascii="Verdana" w:hAnsi="Verdana" w:cs="Arial"/>
                <w:sz w:val="18"/>
                <w:szCs w:val="16"/>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r>
      <w:tr>
        <w:trPr>
          <w:trHeight w:val="216"/>
          <w:jc w:val="center"/>
        </w:trPr>
        <w:tc>
          <w:tcPr>
            <w:tcW w:w="2566" w:type="pct"/>
            <w:vAlign w:val="bottom"/>
          </w:tcPr>
          <w:p>
            <w:pPr>
              <w:tabs>
                <w:tab w:val="right" w:leader="dot" w:pos="4257"/>
              </w:tabs>
              <w:spacing w:after="0" w:line="300" w:lineRule="exact"/>
              <w:jc w:val="left"/>
              <w:rPr>
                <w:rFonts w:ascii="Verdana" w:hAnsi="Verdana" w:cs="Arial"/>
                <w:color w:val="000000"/>
                <w:sz w:val="18"/>
                <w:szCs w:val="16"/>
              </w:rPr>
            </w:pPr>
            <w:r>
              <w:rPr>
                <w:rFonts w:ascii="Verdana" w:hAnsi="Verdana" w:cs="Arial"/>
                <w:color w:val="000000"/>
                <w:sz w:val="18"/>
                <w:szCs w:val="16"/>
              </w:rPr>
              <w:t xml:space="preserve">Despesas Gerais de </w:t>
            </w:r>
            <w:r>
              <w:rPr>
                <w:rFonts w:ascii="Verdana" w:hAnsi="Verdana" w:cs="Arial"/>
                <w:i/>
                <w:color w:val="000000"/>
                <w:sz w:val="18"/>
                <w:szCs w:val="16"/>
              </w:rPr>
              <w:t>Marketing</w:t>
            </w:r>
            <w:r>
              <w:rPr>
                <w:rFonts w:ascii="Verdana" w:hAnsi="Verdana" w:cs="Arial"/>
                <w:i/>
                <w:color w:val="000000"/>
                <w:sz w:val="18"/>
                <w:szCs w:val="16"/>
              </w:rPr>
              <w:tab/>
            </w:r>
          </w:p>
        </w:tc>
        <w:tc>
          <w:tcPr>
            <w:tcW w:w="794" w:type="pct"/>
          </w:tcPr>
          <w:p>
            <w:pPr>
              <w:pBdr>
                <w:bottom w:val="single" w:sz="4" w:space="1" w:color="auto"/>
              </w:pBdr>
              <w:tabs>
                <w:tab w:val="decimal" w:pos="0"/>
              </w:tabs>
              <w:spacing w:after="0" w:line="300" w:lineRule="exact"/>
              <w:jc w:val="center"/>
              <w:rPr>
                <w:rFonts w:ascii="Verdana" w:hAnsi="Verdana" w:cs="Arial"/>
                <w:sz w:val="18"/>
                <w:szCs w:val="16"/>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849" w:type="pct"/>
          </w:tcPr>
          <w:p>
            <w:pPr>
              <w:pBdr>
                <w:bottom w:val="single" w:sz="4" w:space="1" w:color="auto"/>
              </w:pBdr>
              <w:tabs>
                <w:tab w:val="decimal" w:pos="0"/>
              </w:tabs>
              <w:spacing w:after="0" w:line="300" w:lineRule="exact"/>
              <w:jc w:val="center"/>
              <w:rPr>
                <w:rFonts w:ascii="Verdana" w:hAnsi="Verdana" w:cs="Arial"/>
                <w:sz w:val="18"/>
                <w:szCs w:val="16"/>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791" w:type="pct"/>
          </w:tcPr>
          <w:p>
            <w:pPr>
              <w:pBdr>
                <w:bottom w:val="single" w:sz="4" w:space="1" w:color="auto"/>
              </w:pBdr>
              <w:tabs>
                <w:tab w:val="decimal" w:pos="0"/>
              </w:tabs>
              <w:spacing w:after="0" w:line="300" w:lineRule="exact"/>
              <w:jc w:val="center"/>
              <w:rPr>
                <w:rFonts w:ascii="Verdana" w:hAnsi="Verdana" w:cs="Arial"/>
                <w:sz w:val="18"/>
                <w:szCs w:val="16"/>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r>
      <w:tr>
        <w:trPr>
          <w:trHeight w:val="216"/>
          <w:jc w:val="center"/>
        </w:trPr>
        <w:tc>
          <w:tcPr>
            <w:tcW w:w="2566" w:type="pct"/>
            <w:vAlign w:val="bottom"/>
          </w:tcPr>
          <w:p>
            <w:pPr>
              <w:tabs>
                <w:tab w:val="right" w:leader="dot" w:pos="4257"/>
              </w:tabs>
              <w:spacing w:after="0" w:line="300" w:lineRule="exact"/>
              <w:jc w:val="left"/>
              <w:rPr>
                <w:rFonts w:ascii="Verdana" w:eastAsia="Arial Unicode MS" w:hAnsi="Verdana" w:cs="Arial"/>
                <w:b/>
                <w:sz w:val="18"/>
                <w:szCs w:val="16"/>
              </w:rPr>
            </w:pPr>
            <w:r>
              <w:rPr>
                <w:rFonts w:ascii="Verdana" w:hAnsi="Verdana" w:cs="Arial"/>
                <w:b/>
                <w:color w:val="000000"/>
                <w:sz w:val="18"/>
                <w:szCs w:val="16"/>
              </w:rPr>
              <w:t>Valor Líquido para Emissora</w:t>
            </w:r>
            <w:r>
              <w:rPr>
                <w:rFonts w:ascii="Verdana" w:hAnsi="Verdana" w:cs="Arial"/>
                <w:b/>
                <w:color w:val="000000"/>
                <w:sz w:val="18"/>
                <w:szCs w:val="16"/>
              </w:rPr>
              <w:tab/>
            </w:r>
          </w:p>
        </w:tc>
        <w:tc>
          <w:tcPr>
            <w:tcW w:w="794" w:type="pct"/>
          </w:tcPr>
          <w:p>
            <w:pPr>
              <w:pBdr>
                <w:bottom w:val="double" w:sz="4" w:space="1" w:color="auto"/>
              </w:pBdr>
              <w:spacing w:after="0" w:line="300" w:lineRule="exact"/>
              <w:jc w:val="center"/>
              <w:rPr>
                <w:rFonts w:ascii="Verdana" w:hAnsi="Verdana" w:cs="Arial"/>
                <w:b/>
                <w:bCs/>
                <w:color w:val="000000"/>
                <w:sz w:val="18"/>
                <w:szCs w:val="16"/>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849" w:type="pct"/>
          </w:tcPr>
          <w:p>
            <w:pPr>
              <w:pBdr>
                <w:bottom w:val="double" w:sz="4" w:space="1" w:color="auto"/>
              </w:pBdr>
              <w:tabs>
                <w:tab w:val="decimal" w:pos="0"/>
              </w:tabs>
              <w:spacing w:after="0" w:line="300" w:lineRule="exact"/>
              <w:jc w:val="center"/>
              <w:rPr>
                <w:rFonts w:ascii="Verdana" w:hAnsi="Verdana" w:cs="Arial"/>
                <w:b/>
                <w:bCs/>
                <w:color w:val="000000"/>
                <w:sz w:val="18"/>
                <w:szCs w:val="16"/>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c>
          <w:tcPr>
            <w:tcW w:w="791" w:type="pct"/>
          </w:tcPr>
          <w:p>
            <w:pPr>
              <w:pBdr>
                <w:bottom w:val="double" w:sz="4" w:space="1" w:color="auto"/>
              </w:pBdr>
              <w:tabs>
                <w:tab w:val="decimal" w:pos="0"/>
              </w:tabs>
              <w:spacing w:after="0" w:line="300" w:lineRule="exact"/>
              <w:jc w:val="center"/>
              <w:rPr>
                <w:rFonts w:ascii="Verdana" w:hAnsi="Verdana" w:cs="Arial"/>
                <w:b/>
                <w:bCs/>
                <w:color w:val="000000"/>
                <w:sz w:val="18"/>
                <w:szCs w:val="16"/>
              </w:rPr>
            </w:pPr>
            <w:r>
              <w:rPr>
                <w:rFonts w:ascii="Verdana" w:hAnsi="Verdana" w:cs="Arial"/>
                <w:b/>
                <w:bCs/>
                <w:sz w:val="18"/>
                <w:szCs w:val="16"/>
                <w:lang w:val="pt-BR"/>
              </w:rPr>
              <w:t>[</w:t>
            </w:r>
            <w:r>
              <w:rPr>
                <w:rFonts w:ascii="Verdana" w:hAnsi="Verdana" w:cs="Arial"/>
                <w:b/>
                <w:bCs/>
                <w:sz w:val="18"/>
                <w:szCs w:val="16"/>
                <w:lang w:val="pt-BR"/>
              </w:rPr>
              <w:sym w:font="Symbol" w:char="F0B7"/>
            </w:r>
            <w:r>
              <w:rPr>
                <w:rFonts w:ascii="Verdana" w:hAnsi="Verdana" w:cs="Arial"/>
                <w:b/>
                <w:bCs/>
                <w:sz w:val="18"/>
                <w:szCs w:val="16"/>
                <w:lang w:val="pt-BR"/>
              </w:rPr>
              <w:t>]%</w:t>
            </w:r>
          </w:p>
        </w:tc>
      </w:tr>
    </w:tbl>
    <w:p>
      <w:pPr>
        <w:pBdr>
          <w:bottom w:val="single" w:sz="4" w:space="1" w:color="auto"/>
        </w:pBdr>
        <w:tabs>
          <w:tab w:val="left" w:pos="288"/>
          <w:tab w:val="left" w:pos="360"/>
        </w:tabs>
        <w:spacing w:after="60" w:line="300" w:lineRule="exact"/>
        <w:ind w:right="7546"/>
        <w:jc w:val="left"/>
        <w:rPr>
          <w:rFonts w:ascii="Verdana" w:eastAsia="Tahoma" w:hAnsi="Verdana" w:cs="Arial"/>
          <w:color w:val="000000"/>
          <w:spacing w:val="2"/>
          <w:sz w:val="6"/>
          <w:szCs w:val="16"/>
          <w:lang w:val="pt-BR"/>
        </w:rPr>
      </w:pPr>
    </w:p>
    <w:p>
      <w:pPr>
        <w:pStyle w:val="HOMEBRBodyText"/>
        <w:keepLines w:val="0"/>
        <w:spacing w:after="0" w:line="300" w:lineRule="exact"/>
        <w:ind w:left="288" w:hanging="288"/>
        <w:rPr>
          <w:rFonts w:ascii="Verdana" w:eastAsia="Tahoma" w:hAnsi="Verdana" w:cs="Arial"/>
          <w:sz w:val="14"/>
        </w:rPr>
      </w:pPr>
      <w:r>
        <w:rPr>
          <w:rFonts w:ascii="Verdana" w:eastAsia="Tahoma" w:hAnsi="Verdana" w:cs="Arial"/>
          <w:sz w:val="14"/>
          <w:vertAlign w:val="superscript"/>
        </w:rPr>
        <w:t>(1)</w:t>
      </w:r>
      <w:r>
        <w:rPr>
          <w:rFonts w:ascii="Verdana" w:eastAsia="Tahoma" w:hAnsi="Verdana" w:cs="Arial"/>
          <w:sz w:val="14"/>
        </w:rPr>
        <w:tab/>
        <w:t>O custo da Oferta por Debêntures corresponde ao quociente obtido pela divisão do custo total da Oferta pelo número de Debêntures, sem considerar as Debêntures Adicionais.</w:t>
      </w:r>
    </w:p>
    <w:p>
      <w:pPr>
        <w:pStyle w:val="HOMEBRBodyText"/>
        <w:keepLines w:val="0"/>
        <w:spacing w:after="0" w:line="300" w:lineRule="exact"/>
        <w:ind w:left="288" w:hanging="288"/>
        <w:rPr>
          <w:rFonts w:ascii="Verdana" w:eastAsia="Tahoma" w:hAnsi="Verdana" w:cs="Arial"/>
          <w:sz w:val="14"/>
        </w:rPr>
      </w:pPr>
      <w:r>
        <w:rPr>
          <w:rFonts w:ascii="Verdana" w:eastAsia="Tahoma" w:hAnsi="Verdana" w:cs="Arial"/>
          <w:sz w:val="14"/>
          <w:vertAlign w:val="superscript"/>
        </w:rPr>
        <w:t>(2)</w:t>
      </w:r>
      <w:r>
        <w:rPr>
          <w:rFonts w:ascii="Verdana" w:eastAsia="Tahoma" w:hAnsi="Verdana" w:cs="Arial"/>
          <w:sz w:val="14"/>
        </w:rPr>
        <w:tab/>
        <w:t xml:space="preserve">Cálculo realizado sem considerar a emissão das Debêntures Adicionais. Para mais informações sobre as comissões dos Coordenadores, veja esta seção “Informações Relativas à Emissão, à Oferta e às Debêntures – Contrato de Distribuição – Comissionamentos dos Coordenadores”, na </w:t>
      </w:r>
      <w:r>
        <w:rPr>
          <w:rFonts w:ascii="Verdana" w:hAnsi="Verdana" w:cs="Arial"/>
          <w:sz w:val="14"/>
        </w:rPr>
        <w:t>página [</w:t>
      </w:r>
      <w:r>
        <w:rPr>
          <w:rFonts w:ascii="Verdana" w:hAnsi="Verdana" w:cs="Arial"/>
          <w:sz w:val="14"/>
        </w:rPr>
        <w:sym w:font="Symbol" w:char="F0B7"/>
      </w:r>
      <w:r>
        <w:rPr>
          <w:rFonts w:ascii="Verdana" w:hAnsi="Verdana" w:cs="Arial"/>
          <w:sz w:val="14"/>
        </w:rPr>
        <w:t xml:space="preserve">] </w:t>
      </w:r>
      <w:r>
        <w:rPr>
          <w:rFonts w:ascii="Verdana" w:eastAsia="Tahoma" w:hAnsi="Verdana" w:cs="Arial"/>
          <w:sz w:val="14"/>
        </w:rPr>
        <w:t>deste Prospecto.</w:t>
      </w:r>
    </w:p>
    <w:p>
      <w:pPr>
        <w:pStyle w:val="HOMEBRBodyText"/>
        <w:keepLines w:val="0"/>
        <w:spacing w:after="0" w:line="300" w:lineRule="exact"/>
        <w:ind w:left="288" w:hanging="288"/>
        <w:rPr>
          <w:rFonts w:ascii="Verdana" w:eastAsia="Tahoma" w:hAnsi="Verdana" w:cs="Arial"/>
          <w:sz w:val="14"/>
        </w:rPr>
      </w:pPr>
      <w:r>
        <w:rPr>
          <w:rFonts w:ascii="Verdana" w:eastAsia="Tahoma" w:hAnsi="Verdana" w:cs="Arial"/>
          <w:sz w:val="14"/>
          <w:vertAlign w:val="superscript"/>
        </w:rPr>
        <w:t>(3)</w:t>
      </w:r>
      <w:r>
        <w:rPr>
          <w:rFonts w:ascii="Verdana" w:eastAsia="Tahoma" w:hAnsi="Verdana" w:cs="Arial"/>
          <w:sz w:val="14"/>
        </w:rPr>
        <w:tab/>
        <w:t xml:space="preserve">A este título, a Emissora pagará aos Coordenadores uma comissão de 0,30% (trinta centésimos por cento), incidente sobre o número total de Debêntures efetivamente emitidas, multiplicado pelo Preço de Subscrição. </w:t>
      </w:r>
    </w:p>
    <w:p>
      <w:pPr>
        <w:pStyle w:val="HOMEBRBodyText"/>
        <w:keepLines w:val="0"/>
        <w:spacing w:after="0" w:line="300" w:lineRule="exact"/>
        <w:ind w:left="288" w:hanging="288"/>
        <w:rPr>
          <w:rFonts w:ascii="Verdana" w:eastAsia="Tahoma" w:hAnsi="Verdana" w:cs="Arial"/>
          <w:sz w:val="14"/>
        </w:rPr>
      </w:pPr>
      <w:r>
        <w:rPr>
          <w:rFonts w:ascii="Verdana" w:eastAsia="Tahoma" w:hAnsi="Verdana" w:cs="Arial"/>
          <w:sz w:val="14"/>
          <w:vertAlign w:val="superscript"/>
        </w:rPr>
        <w:lastRenderedPageBreak/>
        <w:t>(4)</w:t>
      </w:r>
      <w:r>
        <w:rPr>
          <w:rFonts w:ascii="Verdana" w:eastAsia="Tahoma" w:hAnsi="Verdana" w:cs="Arial"/>
          <w:sz w:val="14"/>
        </w:rPr>
        <w:tab/>
        <w:t xml:space="preserve">A este título, a Emissora pagará aos Coordenadores uma comissão de até 0,25% (vinte e cinco centésimos por cento), incidente sobre o número total de Debêntures efetivamente emitidas, calculado com base no Preço de Integralização das Debêntures, multiplicado pelo prazo médio das Debêntures e pelo prazo médio das Debêntures. </w:t>
      </w:r>
    </w:p>
    <w:p>
      <w:pPr>
        <w:pStyle w:val="HOMEBRBodyText"/>
        <w:keepLines w:val="0"/>
        <w:spacing w:after="0" w:line="300" w:lineRule="exact"/>
        <w:ind w:left="288" w:hanging="288"/>
        <w:rPr>
          <w:rFonts w:ascii="Verdana" w:eastAsia="Tahoma" w:hAnsi="Verdana" w:cs="Arial"/>
          <w:sz w:val="14"/>
        </w:rPr>
      </w:pPr>
      <w:r>
        <w:rPr>
          <w:rFonts w:ascii="Verdana" w:eastAsia="Tahoma" w:hAnsi="Verdana" w:cs="Arial"/>
          <w:sz w:val="14"/>
          <w:vertAlign w:val="superscript"/>
        </w:rPr>
        <w:t>(5)</w:t>
      </w:r>
      <w:r>
        <w:rPr>
          <w:rFonts w:ascii="Verdana" w:eastAsia="Tahoma" w:hAnsi="Verdana" w:cs="Arial"/>
          <w:sz w:val="14"/>
        </w:rPr>
        <w:tab/>
        <w:t xml:space="preserve">A este título, a Emissora pagará aos Coordenadores uma comissão de sucesso equivalente a determinado percentual da diferença entre a taxa máxima dos Juros Remuneratórios e a taxa final dos Juros Remuneratórios apurada conforme o Procedimento de </w:t>
      </w:r>
      <w:r>
        <w:rPr>
          <w:rFonts w:ascii="Verdana" w:eastAsia="Tahoma" w:hAnsi="Verdana" w:cs="Arial"/>
          <w:i/>
          <w:sz w:val="14"/>
        </w:rPr>
        <w:t xml:space="preserve">Bookbuilding, </w:t>
      </w:r>
      <w:r>
        <w:rPr>
          <w:rFonts w:ascii="Verdana" w:eastAsia="Tahoma" w:hAnsi="Verdana" w:cs="Arial"/>
          <w:sz w:val="14"/>
        </w:rPr>
        <w:t>pelo prazo médio das Debêntures. A Comissão de Sucesso será incidente sobre número total de Debêntures emitidas (incluindo as Debêntures Adicionais, se for o caso), multiplicado pelo Preço de Subscrição. A Comissão de Sucesso será paga aos Coordenadores na proporção da Garantia Firme prestada por cada um deles. O percentual referente à Comissão de Sucesso será definido conforme índices elencados no item “</w:t>
      </w:r>
      <w:r>
        <w:rPr>
          <w:rFonts w:ascii="Verdana" w:eastAsia="Tahoma" w:hAnsi="Verdana" w:cs="Arial"/>
          <w:i/>
          <w:sz w:val="14"/>
        </w:rPr>
        <w:t>Comissionamento dos Coordenadores</w:t>
      </w:r>
      <w:r>
        <w:rPr>
          <w:rFonts w:ascii="Verdana" w:eastAsia="Tahoma" w:hAnsi="Verdana" w:cs="Arial"/>
          <w:sz w:val="14"/>
        </w:rPr>
        <w:t xml:space="preserve">”, (iii), acima. </w:t>
      </w:r>
    </w:p>
    <w:p>
      <w:pPr>
        <w:pStyle w:val="HOMEBRBodyText"/>
        <w:keepLines w:val="0"/>
        <w:spacing w:after="0" w:line="300" w:lineRule="exact"/>
        <w:ind w:left="288" w:hanging="288"/>
        <w:rPr>
          <w:rFonts w:ascii="Verdana" w:eastAsia="Tahoma" w:hAnsi="Verdana" w:cs="Arial"/>
          <w:sz w:val="14"/>
        </w:rPr>
      </w:pPr>
      <w:r>
        <w:rPr>
          <w:rFonts w:ascii="Verdana" w:eastAsia="Tahoma" w:hAnsi="Verdana" w:cs="Arial"/>
          <w:sz w:val="14"/>
          <w:vertAlign w:val="superscript"/>
        </w:rPr>
        <w:t>(6)</w:t>
      </w:r>
      <w:r>
        <w:rPr>
          <w:rFonts w:ascii="Verdana" w:eastAsia="Tahoma" w:hAnsi="Verdana" w:cs="Arial"/>
          <w:sz w:val="14"/>
        </w:rPr>
        <w:tab/>
        <w:t>Valor anual.</w:t>
      </w:r>
    </w:p>
    <w:p>
      <w:pPr>
        <w:pStyle w:val="HOMEBRBodyText"/>
        <w:keepLines w:val="0"/>
        <w:spacing w:after="0" w:line="300" w:lineRule="exact"/>
        <w:ind w:left="288" w:hanging="288"/>
        <w:rPr>
          <w:rFonts w:ascii="Verdana" w:eastAsia="Tahoma" w:hAnsi="Verdana" w:cs="Arial"/>
          <w:sz w:val="14"/>
        </w:rPr>
      </w:pPr>
      <w:r>
        <w:rPr>
          <w:rFonts w:ascii="Verdana" w:eastAsia="Tahoma" w:hAnsi="Verdana" w:cs="Arial"/>
          <w:sz w:val="14"/>
          <w:vertAlign w:val="superscript"/>
        </w:rPr>
        <w:t>(7)</w:t>
      </w:r>
      <w:r>
        <w:rPr>
          <w:rFonts w:ascii="Verdana" w:eastAsia="Tahoma" w:hAnsi="Verdana" w:cs="Arial"/>
          <w:sz w:val="14"/>
        </w:rPr>
        <w:tab/>
        <w:t>Valor anual.</w:t>
      </w:r>
    </w:p>
    <w:p>
      <w:pPr>
        <w:pStyle w:val="HOMEBRBodyText"/>
        <w:keepLines w:val="0"/>
        <w:spacing w:after="0" w:line="300" w:lineRule="exact"/>
        <w:ind w:left="288" w:hanging="288"/>
        <w:rPr>
          <w:rFonts w:ascii="Verdana" w:eastAsia="Tahoma" w:hAnsi="Verdana" w:cs="Arial"/>
          <w:sz w:val="14"/>
        </w:rPr>
      </w:pPr>
      <w:r>
        <w:rPr>
          <w:rFonts w:ascii="Verdana" w:eastAsia="Tahoma" w:hAnsi="Verdana" w:cs="Arial"/>
          <w:sz w:val="14"/>
          <w:vertAlign w:val="superscript"/>
        </w:rPr>
        <w:t>(8)</w:t>
      </w:r>
      <w:r>
        <w:rPr>
          <w:rFonts w:ascii="Verdana" w:eastAsia="Tahoma" w:hAnsi="Verdana" w:cs="Arial"/>
          <w:sz w:val="14"/>
        </w:rPr>
        <w:tab/>
        <w:t>Montante total correspondente a R$1.000.000.000,00 utilizado para cálculo dos custos da Emissão.</w:t>
      </w:r>
    </w:p>
    <w:p>
      <w:pPr>
        <w:pStyle w:val="HOMEBRBodyText"/>
        <w:keepLines w:val="0"/>
        <w:spacing w:before="200" w:line="300" w:lineRule="exact"/>
        <w:rPr>
          <w:rFonts w:ascii="Verdana" w:hAnsi="Verdana" w:cs="Arial"/>
        </w:rPr>
      </w:pPr>
      <w:r>
        <w:rPr>
          <w:rFonts w:ascii="Verdana" w:hAnsi="Verdana" w:cs="Arial"/>
        </w:rPr>
        <w:t>A Emissora arcará com o custo de todos os tributos, atuais, incidentes diretamente sobre os pagamentos, comissionamento e reembolso devido aos Coordenadores no âmbito da Emissão. A Emissora deverá fazer os pagamentos devidos líquidos de deduções e retenções fiscais de qualquer natureza, incluindo-se quaisquer outros tributos que porventura venham a incidir sobre as operações da espécie da Emissão, bem como quaisquer majorações das alíquotas dos tributos já existentes. Dessa forma, todos os pagamentos relativos ao Comissionamento serão acrescidos dos valores relativos ao Imposto Sobre Serviços de Qualquer Natureza – ISS; à Contribuição para o Programa de Integração Social – PIS; e à Contribuição para o Financiamento da Seguridade Social – COFINS, de forma que os Coordenadores recebam o Comissionamento como se tais tributos não fossem incidentes (</w:t>
      </w:r>
      <w:r>
        <w:rPr>
          <w:rFonts w:ascii="Verdana" w:hAnsi="Verdana" w:cs="Arial"/>
          <w:i/>
        </w:rPr>
        <w:t>gross up</w:t>
      </w:r>
      <w:r>
        <w:rPr>
          <w:rFonts w:ascii="Verdana" w:hAnsi="Verdana" w:cs="Arial"/>
        </w:rPr>
        <w:t>). Uma vez acordados os Prestadores de Serviços, ainda que a Emissão não seja efetivada, por qualquer motivo, a Emissora deverá arcar com os custos incorridos até então.</w:t>
      </w:r>
    </w:p>
    <w:p>
      <w:pPr>
        <w:pStyle w:val="HOMEBRBodyText"/>
        <w:keepLines w:val="0"/>
        <w:spacing w:line="300" w:lineRule="exact"/>
        <w:rPr>
          <w:rFonts w:ascii="Verdana" w:hAnsi="Verdana" w:cs="Arial"/>
          <w:b/>
        </w:rPr>
      </w:pPr>
      <w:r>
        <w:rPr>
          <w:rFonts w:ascii="Verdana" w:hAnsi="Verdana" w:cs="Arial"/>
          <w:b/>
        </w:rPr>
        <w:t>Para mais informações sobre os comissionamentos a serem pagos pela Emissora aos Coordenadores, veja a seção “</w:t>
      </w:r>
      <w:r>
        <w:rPr>
          <w:rFonts w:ascii="Verdana" w:hAnsi="Verdana" w:cs="Arial"/>
          <w:b/>
          <w:i/>
        </w:rPr>
        <w:t xml:space="preserve">Informações Relativas à Emissão, à Oferta e às Debêntures – </w:t>
      </w:r>
      <w:r>
        <w:rPr>
          <w:rFonts w:ascii="Verdana" w:hAnsi="Verdana" w:cs="Arial"/>
          <w:b/>
        </w:rPr>
        <w:t xml:space="preserve">Contrato de Distribuição – Comissionamentos dos Coordenadores”, na </w:t>
      </w:r>
      <w:r>
        <w:rPr>
          <w:rFonts w:ascii="Verdana" w:eastAsia="Calibri" w:hAnsi="Verdana" w:cs="Arial"/>
          <w:b/>
        </w:rPr>
        <w:t>página [</w:t>
      </w:r>
      <w:r>
        <w:rPr>
          <w:rFonts w:ascii="Verdana" w:eastAsia="Calibri" w:hAnsi="Verdana" w:cs="Arial"/>
          <w:b/>
        </w:rPr>
        <w:sym w:font="Symbol" w:char="F0B7"/>
      </w:r>
      <w:r>
        <w:rPr>
          <w:rFonts w:ascii="Verdana" w:eastAsia="Calibri" w:hAnsi="Verdana" w:cs="Arial"/>
          <w:b/>
        </w:rPr>
        <w:t xml:space="preserve">] </w:t>
      </w:r>
      <w:r>
        <w:rPr>
          <w:rFonts w:ascii="Verdana" w:hAnsi="Verdana" w:cs="Arial"/>
          <w:b/>
        </w:rPr>
        <w:t>deste Prospecto.</w:t>
      </w:r>
    </w:p>
    <w:p>
      <w:pPr>
        <w:pStyle w:val="HOMEBRBodyText"/>
        <w:keepLines w:val="0"/>
        <w:spacing w:line="300" w:lineRule="exact"/>
        <w:rPr>
          <w:rFonts w:ascii="Verdana" w:hAnsi="Verdana" w:cs="Arial"/>
        </w:rPr>
      </w:pPr>
      <w:r>
        <w:rPr>
          <w:rFonts w:ascii="Verdana" w:hAnsi="Verdana" w:cs="Arial"/>
        </w:rPr>
        <w:t xml:space="preserve">A tabela abaixo apresenta o custo unitário de distribuição das Debêntures objeto desta Emissão: </w:t>
      </w:r>
    </w:p>
    <w:tbl>
      <w:tblPr>
        <w:tblW w:w="5000" w:type="pct"/>
        <w:jc w:val="center"/>
        <w:tblLayout w:type="fixed"/>
        <w:tblCellMar>
          <w:left w:w="72" w:type="dxa"/>
          <w:right w:w="72" w:type="dxa"/>
        </w:tblCellMar>
        <w:tblLook w:val="04A0" w:firstRow="1" w:lastRow="0" w:firstColumn="1" w:lastColumn="0" w:noHBand="0" w:noVBand="1"/>
      </w:tblPr>
      <w:tblGrid>
        <w:gridCol w:w="2298"/>
        <w:gridCol w:w="1308"/>
        <w:gridCol w:w="1308"/>
        <w:gridCol w:w="1308"/>
        <w:gridCol w:w="1308"/>
        <w:gridCol w:w="1308"/>
      </w:tblGrid>
      <w:tr>
        <w:trPr>
          <w:jc w:val="center"/>
        </w:trPr>
        <w:tc>
          <w:tcPr>
            <w:tcW w:w="1300" w:type="pct"/>
            <w:tcMar>
              <w:top w:w="0" w:type="dxa"/>
              <w:left w:w="72" w:type="dxa"/>
              <w:bottom w:w="0" w:type="dxa"/>
              <w:right w:w="72" w:type="dxa"/>
            </w:tcMar>
            <w:vAlign w:val="bottom"/>
          </w:tcPr>
          <w:p>
            <w:pPr>
              <w:widowControl w:val="0"/>
              <w:spacing w:after="0" w:line="300" w:lineRule="exact"/>
              <w:jc w:val="center"/>
              <w:rPr>
                <w:rFonts w:ascii="Verdana" w:eastAsia="MS Mincho" w:hAnsi="Verdana" w:cs="Arial"/>
                <w:b/>
                <w:bCs/>
                <w:sz w:val="18"/>
                <w:szCs w:val="16"/>
                <w:lang w:val="pt-BR" w:eastAsia="ja-JP"/>
              </w:rPr>
            </w:pPr>
          </w:p>
        </w:tc>
        <w:tc>
          <w:tcPr>
            <w:tcW w:w="740" w:type="pct"/>
            <w:tcMar>
              <w:top w:w="0" w:type="dxa"/>
              <w:left w:w="60" w:type="dxa"/>
              <w:bottom w:w="0" w:type="dxa"/>
              <w:right w:w="60" w:type="dxa"/>
            </w:tcMar>
            <w:vAlign w:val="bottom"/>
            <w:hideMark/>
          </w:tcPr>
          <w:p>
            <w:pPr>
              <w:widowControl w:val="0"/>
              <w:pBdr>
                <w:bottom w:val="single" w:sz="4" w:space="1" w:color="auto"/>
              </w:pBdr>
              <w:spacing w:after="0" w:line="300" w:lineRule="exact"/>
              <w:jc w:val="center"/>
              <w:rPr>
                <w:rFonts w:ascii="Verdana" w:eastAsia="MS Mincho" w:hAnsi="Verdana" w:cs="Arial"/>
                <w:b/>
                <w:bCs/>
                <w:sz w:val="18"/>
                <w:szCs w:val="16"/>
                <w:lang w:eastAsia="ja-JP"/>
              </w:rPr>
            </w:pPr>
            <w:r>
              <w:rPr>
                <w:rFonts w:ascii="Verdana" w:eastAsia="MS Mincho" w:hAnsi="Verdana" w:cs="Arial"/>
                <w:b/>
                <w:bCs/>
                <w:sz w:val="18"/>
                <w:szCs w:val="16"/>
                <w:lang w:eastAsia="ja-JP"/>
              </w:rPr>
              <w:t xml:space="preserve">Valor Nominal Unitário </w:t>
            </w:r>
          </w:p>
        </w:tc>
        <w:tc>
          <w:tcPr>
            <w:tcW w:w="740" w:type="pct"/>
            <w:tcMar>
              <w:top w:w="0" w:type="dxa"/>
              <w:left w:w="60" w:type="dxa"/>
              <w:bottom w:w="0" w:type="dxa"/>
              <w:right w:w="60" w:type="dxa"/>
            </w:tcMar>
            <w:vAlign w:val="bottom"/>
            <w:hideMark/>
          </w:tcPr>
          <w:p>
            <w:pPr>
              <w:widowControl w:val="0"/>
              <w:pBdr>
                <w:bottom w:val="single" w:sz="4" w:space="1" w:color="auto"/>
              </w:pBdr>
              <w:spacing w:after="0" w:line="300" w:lineRule="exact"/>
              <w:jc w:val="center"/>
              <w:rPr>
                <w:rFonts w:ascii="Verdana" w:eastAsia="MS Mincho" w:hAnsi="Verdana" w:cs="Arial"/>
                <w:b/>
                <w:bCs/>
                <w:sz w:val="18"/>
                <w:szCs w:val="16"/>
                <w:lang w:eastAsia="ja-JP"/>
              </w:rPr>
            </w:pPr>
            <w:r>
              <w:rPr>
                <w:rFonts w:ascii="Verdana" w:eastAsia="MS Mincho" w:hAnsi="Verdana" w:cs="Arial"/>
                <w:b/>
                <w:bCs/>
                <w:sz w:val="18"/>
                <w:szCs w:val="16"/>
                <w:lang w:eastAsia="ja-JP"/>
              </w:rPr>
              <w:t xml:space="preserve">Custo da Distribuição </w:t>
            </w:r>
          </w:p>
        </w:tc>
        <w:tc>
          <w:tcPr>
            <w:tcW w:w="740" w:type="pct"/>
            <w:vAlign w:val="bottom"/>
          </w:tcPr>
          <w:p>
            <w:pPr>
              <w:widowControl w:val="0"/>
              <w:pBdr>
                <w:bottom w:val="single" w:sz="4" w:space="1" w:color="auto"/>
              </w:pBdr>
              <w:spacing w:after="0" w:line="300" w:lineRule="exact"/>
              <w:jc w:val="center"/>
              <w:rPr>
                <w:rFonts w:ascii="Verdana" w:eastAsia="MS Mincho" w:hAnsi="Verdana" w:cs="Arial"/>
                <w:b/>
                <w:bCs/>
                <w:sz w:val="18"/>
                <w:szCs w:val="16"/>
                <w:lang w:val="pt-BR" w:eastAsia="ja-JP"/>
              </w:rPr>
            </w:pPr>
            <w:r>
              <w:rPr>
                <w:rFonts w:ascii="Verdana" w:eastAsia="MS Mincho" w:hAnsi="Verdana" w:cs="Arial"/>
                <w:b/>
                <w:bCs/>
                <w:sz w:val="18"/>
                <w:szCs w:val="16"/>
                <w:lang w:val="pt-BR" w:eastAsia="ja-JP"/>
              </w:rPr>
              <w:t xml:space="preserve">Custo da Distribuição Unitário </w:t>
            </w:r>
          </w:p>
        </w:tc>
        <w:tc>
          <w:tcPr>
            <w:tcW w:w="740" w:type="pct"/>
            <w:vAlign w:val="bottom"/>
          </w:tcPr>
          <w:p>
            <w:pPr>
              <w:widowControl w:val="0"/>
              <w:pBdr>
                <w:bottom w:val="single" w:sz="4" w:space="1" w:color="auto"/>
              </w:pBdr>
              <w:spacing w:after="0" w:line="300" w:lineRule="exact"/>
              <w:jc w:val="center"/>
              <w:rPr>
                <w:rFonts w:ascii="Verdana" w:eastAsia="MS Mincho" w:hAnsi="Verdana" w:cs="Arial"/>
                <w:b/>
                <w:bCs/>
                <w:sz w:val="18"/>
                <w:szCs w:val="16"/>
                <w:lang w:val="pt-BR" w:eastAsia="ja-JP"/>
              </w:rPr>
            </w:pPr>
          </w:p>
          <w:p>
            <w:pPr>
              <w:widowControl w:val="0"/>
              <w:pBdr>
                <w:bottom w:val="single" w:sz="4" w:space="1" w:color="auto"/>
              </w:pBdr>
              <w:spacing w:after="0" w:line="300" w:lineRule="exact"/>
              <w:jc w:val="center"/>
              <w:rPr>
                <w:rFonts w:ascii="Verdana" w:eastAsia="MS Mincho" w:hAnsi="Verdana" w:cs="Arial"/>
                <w:b/>
                <w:bCs/>
                <w:sz w:val="18"/>
                <w:szCs w:val="16"/>
                <w:lang w:val="pt-BR" w:eastAsia="ja-JP"/>
              </w:rPr>
            </w:pPr>
            <w:r>
              <w:rPr>
                <w:rFonts w:ascii="Verdana" w:eastAsia="MS Mincho" w:hAnsi="Verdana" w:cs="Arial"/>
                <w:b/>
                <w:bCs/>
                <w:sz w:val="18"/>
                <w:szCs w:val="16"/>
                <w:lang w:val="pt-BR" w:eastAsia="ja-JP"/>
              </w:rPr>
              <w:t>% em relação ao preço unitário</w:t>
            </w:r>
          </w:p>
        </w:tc>
        <w:tc>
          <w:tcPr>
            <w:tcW w:w="740" w:type="pct"/>
            <w:tcMar>
              <w:top w:w="0" w:type="dxa"/>
              <w:left w:w="60" w:type="dxa"/>
              <w:bottom w:w="0" w:type="dxa"/>
              <w:right w:w="60" w:type="dxa"/>
            </w:tcMar>
            <w:vAlign w:val="bottom"/>
            <w:hideMark/>
          </w:tcPr>
          <w:p>
            <w:pPr>
              <w:widowControl w:val="0"/>
              <w:pBdr>
                <w:bottom w:val="single" w:sz="4" w:space="1" w:color="auto"/>
              </w:pBdr>
              <w:spacing w:after="0" w:line="300" w:lineRule="exact"/>
              <w:jc w:val="center"/>
              <w:rPr>
                <w:rFonts w:ascii="Verdana" w:eastAsia="MS Mincho" w:hAnsi="Verdana" w:cs="Arial"/>
                <w:b/>
                <w:bCs/>
                <w:sz w:val="18"/>
                <w:szCs w:val="16"/>
                <w:lang w:val="pt-BR" w:eastAsia="ja-JP"/>
              </w:rPr>
            </w:pPr>
            <w:r>
              <w:rPr>
                <w:rFonts w:ascii="Verdana" w:eastAsia="MS Mincho" w:hAnsi="Verdana" w:cs="Arial"/>
                <w:b/>
                <w:bCs/>
                <w:sz w:val="18"/>
                <w:szCs w:val="16"/>
                <w:lang w:val="pt-BR" w:eastAsia="ja-JP"/>
              </w:rPr>
              <w:t>Valor Líquido por Debênture</w:t>
            </w:r>
            <w:r>
              <w:rPr>
                <w:rFonts w:ascii="Verdana" w:eastAsia="MS Mincho" w:hAnsi="Verdana" w:cs="Arial"/>
                <w:b/>
                <w:bCs/>
                <w:sz w:val="18"/>
                <w:szCs w:val="16"/>
                <w:vertAlign w:val="superscript"/>
                <w:lang w:val="pt-BR" w:eastAsia="ja-JP"/>
              </w:rPr>
              <w:t>(1)</w:t>
            </w:r>
          </w:p>
        </w:tc>
      </w:tr>
      <w:tr>
        <w:trPr>
          <w:jc w:val="center"/>
        </w:trPr>
        <w:tc>
          <w:tcPr>
            <w:tcW w:w="1300" w:type="pct"/>
            <w:tcMar>
              <w:top w:w="0" w:type="dxa"/>
              <w:left w:w="72" w:type="dxa"/>
              <w:bottom w:w="0" w:type="dxa"/>
              <w:right w:w="72" w:type="dxa"/>
            </w:tcMar>
            <w:vAlign w:val="bottom"/>
          </w:tcPr>
          <w:p>
            <w:pPr>
              <w:widowControl w:val="0"/>
              <w:spacing w:after="0" w:line="300" w:lineRule="exact"/>
              <w:jc w:val="center"/>
              <w:rPr>
                <w:rFonts w:ascii="Verdana" w:eastAsia="MS Mincho" w:hAnsi="Verdana" w:cs="Arial"/>
                <w:b/>
                <w:bCs/>
                <w:sz w:val="18"/>
                <w:szCs w:val="16"/>
                <w:lang w:val="pt-BR" w:eastAsia="ja-JP"/>
              </w:rPr>
            </w:pPr>
          </w:p>
        </w:tc>
        <w:tc>
          <w:tcPr>
            <w:tcW w:w="740" w:type="pct"/>
            <w:tcMar>
              <w:top w:w="0" w:type="dxa"/>
              <w:left w:w="60" w:type="dxa"/>
              <w:bottom w:w="0" w:type="dxa"/>
              <w:right w:w="60" w:type="dxa"/>
            </w:tcMar>
            <w:vAlign w:val="bottom"/>
          </w:tcPr>
          <w:p>
            <w:pPr>
              <w:widowControl w:val="0"/>
              <w:spacing w:after="0" w:line="300" w:lineRule="exact"/>
              <w:jc w:val="center"/>
              <w:rPr>
                <w:rFonts w:ascii="Verdana" w:eastAsia="MS Mincho" w:hAnsi="Verdana" w:cs="Arial"/>
                <w:bCs/>
                <w:i/>
                <w:sz w:val="18"/>
                <w:szCs w:val="16"/>
                <w:lang w:eastAsia="ja-JP"/>
              </w:rPr>
            </w:pPr>
            <w:r>
              <w:rPr>
                <w:rFonts w:ascii="Verdana" w:eastAsia="MS Mincho" w:hAnsi="Verdana" w:cs="Arial"/>
                <w:bCs/>
                <w:i/>
                <w:sz w:val="18"/>
                <w:szCs w:val="16"/>
                <w:lang w:eastAsia="ja-JP"/>
              </w:rPr>
              <w:t>(R$)</w:t>
            </w:r>
          </w:p>
        </w:tc>
        <w:tc>
          <w:tcPr>
            <w:tcW w:w="740" w:type="pct"/>
            <w:tcMar>
              <w:top w:w="0" w:type="dxa"/>
              <w:left w:w="60" w:type="dxa"/>
              <w:bottom w:w="0" w:type="dxa"/>
              <w:right w:w="60" w:type="dxa"/>
            </w:tcMar>
            <w:vAlign w:val="bottom"/>
          </w:tcPr>
          <w:p>
            <w:pPr>
              <w:widowControl w:val="0"/>
              <w:spacing w:after="0" w:line="300" w:lineRule="exact"/>
              <w:jc w:val="center"/>
              <w:rPr>
                <w:rFonts w:ascii="Verdana" w:eastAsia="MS Mincho" w:hAnsi="Verdana" w:cs="Arial"/>
                <w:bCs/>
                <w:i/>
                <w:sz w:val="18"/>
                <w:szCs w:val="16"/>
                <w:lang w:eastAsia="ja-JP"/>
              </w:rPr>
            </w:pPr>
            <w:r>
              <w:rPr>
                <w:rFonts w:ascii="Verdana" w:eastAsia="MS Mincho" w:hAnsi="Verdana" w:cs="Arial"/>
                <w:bCs/>
                <w:i/>
                <w:sz w:val="18"/>
                <w:szCs w:val="16"/>
                <w:lang w:eastAsia="ja-JP"/>
              </w:rPr>
              <w:t>(R$)</w:t>
            </w:r>
          </w:p>
        </w:tc>
        <w:tc>
          <w:tcPr>
            <w:tcW w:w="740" w:type="pct"/>
            <w:vAlign w:val="bottom"/>
          </w:tcPr>
          <w:p>
            <w:pPr>
              <w:widowControl w:val="0"/>
              <w:spacing w:after="0" w:line="300" w:lineRule="exact"/>
              <w:jc w:val="center"/>
              <w:rPr>
                <w:rFonts w:ascii="Verdana" w:eastAsia="MS Mincho" w:hAnsi="Verdana" w:cs="Arial"/>
                <w:bCs/>
                <w:i/>
                <w:sz w:val="18"/>
                <w:szCs w:val="16"/>
                <w:lang w:val="pt-BR" w:eastAsia="ja-JP"/>
              </w:rPr>
            </w:pPr>
            <w:r>
              <w:rPr>
                <w:rFonts w:ascii="Verdana" w:eastAsia="MS Mincho" w:hAnsi="Verdana" w:cs="Arial"/>
                <w:bCs/>
                <w:i/>
                <w:sz w:val="18"/>
                <w:szCs w:val="16"/>
                <w:lang w:val="pt-BR" w:eastAsia="ja-JP"/>
              </w:rPr>
              <w:t>(R$)</w:t>
            </w:r>
          </w:p>
        </w:tc>
        <w:tc>
          <w:tcPr>
            <w:tcW w:w="740" w:type="pct"/>
            <w:vAlign w:val="bottom"/>
          </w:tcPr>
          <w:p>
            <w:pPr>
              <w:widowControl w:val="0"/>
              <w:spacing w:after="0" w:line="300" w:lineRule="exact"/>
              <w:jc w:val="center"/>
              <w:rPr>
                <w:rFonts w:ascii="Verdana" w:eastAsia="MS Mincho" w:hAnsi="Verdana" w:cs="Arial"/>
                <w:bCs/>
                <w:i/>
                <w:sz w:val="18"/>
                <w:szCs w:val="16"/>
                <w:lang w:val="pt-BR" w:eastAsia="ja-JP"/>
              </w:rPr>
            </w:pPr>
          </w:p>
        </w:tc>
        <w:tc>
          <w:tcPr>
            <w:tcW w:w="740" w:type="pct"/>
            <w:tcMar>
              <w:top w:w="0" w:type="dxa"/>
              <w:left w:w="60" w:type="dxa"/>
              <w:bottom w:w="0" w:type="dxa"/>
              <w:right w:w="60" w:type="dxa"/>
            </w:tcMar>
            <w:vAlign w:val="bottom"/>
          </w:tcPr>
          <w:p>
            <w:pPr>
              <w:widowControl w:val="0"/>
              <w:spacing w:after="0" w:line="300" w:lineRule="exact"/>
              <w:jc w:val="center"/>
              <w:rPr>
                <w:rFonts w:ascii="Verdana" w:eastAsia="MS Mincho" w:hAnsi="Verdana" w:cs="Arial"/>
                <w:bCs/>
                <w:i/>
                <w:sz w:val="18"/>
                <w:szCs w:val="16"/>
                <w:lang w:val="pt-BR" w:eastAsia="ja-JP"/>
              </w:rPr>
            </w:pPr>
            <w:r>
              <w:rPr>
                <w:rFonts w:ascii="Verdana" w:eastAsia="MS Mincho" w:hAnsi="Verdana" w:cs="Arial"/>
                <w:bCs/>
                <w:i/>
                <w:sz w:val="18"/>
                <w:szCs w:val="16"/>
                <w:lang w:val="pt-BR" w:eastAsia="ja-JP"/>
              </w:rPr>
              <w:t>(R$)</w:t>
            </w:r>
          </w:p>
        </w:tc>
      </w:tr>
      <w:tr>
        <w:trPr>
          <w:jc w:val="center"/>
        </w:trPr>
        <w:tc>
          <w:tcPr>
            <w:tcW w:w="1300" w:type="pct"/>
            <w:tcMar>
              <w:top w:w="0" w:type="dxa"/>
              <w:left w:w="60" w:type="dxa"/>
              <w:bottom w:w="0" w:type="dxa"/>
              <w:right w:w="60" w:type="dxa"/>
            </w:tcMar>
            <w:vAlign w:val="bottom"/>
            <w:hideMark/>
          </w:tcPr>
          <w:p>
            <w:pPr>
              <w:tabs>
                <w:tab w:val="right" w:leader="dot" w:pos="2220"/>
              </w:tabs>
              <w:spacing w:before="60" w:after="0" w:line="300" w:lineRule="exact"/>
              <w:jc w:val="left"/>
              <w:rPr>
                <w:rFonts w:ascii="Verdana" w:eastAsia="MS Mincho" w:hAnsi="Verdana" w:cs="Arial"/>
                <w:sz w:val="18"/>
                <w:szCs w:val="16"/>
                <w:lang w:eastAsia="ja-JP"/>
              </w:rPr>
            </w:pPr>
            <w:r>
              <w:rPr>
                <w:rFonts w:ascii="Verdana" w:eastAsia="MS Mincho" w:hAnsi="Verdana" w:cs="Arial"/>
                <w:sz w:val="18"/>
                <w:szCs w:val="16"/>
                <w:lang w:eastAsia="ja-JP"/>
              </w:rPr>
              <w:t>Por Debênture</w:t>
            </w:r>
            <w:r>
              <w:rPr>
                <w:rFonts w:ascii="Verdana" w:eastAsia="MS Mincho" w:hAnsi="Verdana" w:cs="Arial"/>
                <w:sz w:val="18"/>
                <w:szCs w:val="16"/>
                <w:lang w:eastAsia="ja-JP"/>
              </w:rPr>
              <w:tab/>
            </w:r>
          </w:p>
        </w:tc>
        <w:tc>
          <w:tcPr>
            <w:tcW w:w="740" w:type="pct"/>
            <w:tcMar>
              <w:top w:w="0" w:type="dxa"/>
              <w:left w:w="60" w:type="dxa"/>
              <w:bottom w:w="0" w:type="dxa"/>
              <w:right w:w="60" w:type="dxa"/>
            </w:tcMar>
            <w:vAlign w:val="bottom"/>
          </w:tcPr>
          <w:p>
            <w:pPr>
              <w:widowControl w:val="0"/>
              <w:spacing w:before="60" w:after="0" w:line="300" w:lineRule="exact"/>
              <w:jc w:val="center"/>
              <w:rPr>
                <w:rFonts w:ascii="Verdana" w:eastAsia="MS Mincho" w:hAnsi="Verdana" w:cs="Arial"/>
                <w:sz w:val="18"/>
                <w:szCs w:val="16"/>
                <w:lang w:eastAsia="ja-JP"/>
              </w:rPr>
            </w:pPr>
            <w:r>
              <w:rPr>
                <w:rFonts w:ascii="Verdana" w:eastAsia="MS Mincho" w:hAnsi="Verdana" w:cs="Arial"/>
                <w:sz w:val="18"/>
                <w:szCs w:val="16"/>
                <w:lang w:eastAsia="ja-JP"/>
              </w:rPr>
              <w:t>1.000,00</w:t>
            </w:r>
          </w:p>
        </w:tc>
        <w:tc>
          <w:tcPr>
            <w:tcW w:w="740" w:type="pct"/>
            <w:tcMar>
              <w:top w:w="0" w:type="dxa"/>
              <w:left w:w="60" w:type="dxa"/>
              <w:bottom w:w="0" w:type="dxa"/>
              <w:right w:w="60" w:type="dxa"/>
            </w:tcMar>
            <w:vAlign w:val="bottom"/>
          </w:tcPr>
          <w:p>
            <w:pPr>
              <w:widowControl w:val="0"/>
              <w:spacing w:before="60" w:after="0" w:line="300" w:lineRule="exact"/>
              <w:jc w:val="center"/>
              <w:rPr>
                <w:rFonts w:ascii="Verdana" w:eastAsia="MS Mincho" w:hAnsi="Verdana" w:cs="Arial"/>
                <w:sz w:val="18"/>
                <w:szCs w:val="16"/>
                <w:lang w:eastAsia="ja-JP"/>
              </w:rPr>
            </w:pPr>
            <w:r>
              <w:rPr>
                <w:rFonts w:ascii="Verdana" w:eastAsia="MS Mincho" w:hAnsi="Verdana" w:cs="Arial"/>
                <w:sz w:val="18"/>
                <w:szCs w:val="16"/>
                <w:lang w:eastAsia="ja-JP"/>
              </w:rPr>
              <w:t>[</w:t>
            </w:r>
            <w:r>
              <w:rPr>
                <w:rFonts w:ascii="Verdana" w:eastAsia="MS Mincho" w:hAnsi="Verdana" w:cs="Arial"/>
                <w:sz w:val="18"/>
                <w:szCs w:val="16"/>
                <w:lang w:eastAsia="ja-JP"/>
              </w:rPr>
              <w:sym w:font="Symbol" w:char="F0B7"/>
            </w:r>
            <w:r>
              <w:rPr>
                <w:rFonts w:ascii="Verdana" w:eastAsia="MS Mincho" w:hAnsi="Verdana" w:cs="Arial"/>
                <w:sz w:val="18"/>
                <w:szCs w:val="16"/>
                <w:lang w:eastAsia="ja-JP"/>
              </w:rPr>
              <w:t>]</w:t>
            </w:r>
          </w:p>
        </w:tc>
        <w:tc>
          <w:tcPr>
            <w:tcW w:w="740" w:type="pct"/>
            <w:vAlign w:val="bottom"/>
          </w:tcPr>
          <w:p>
            <w:pPr>
              <w:widowControl w:val="0"/>
              <w:spacing w:before="60" w:after="0" w:line="300" w:lineRule="exact"/>
              <w:jc w:val="center"/>
              <w:rPr>
                <w:rFonts w:ascii="Verdana" w:hAnsi="Verdana" w:cs="Arial"/>
                <w:color w:val="000000"/>
                <w:sz w:val="18"/>
                <w:szCs w:val="16"/>
              </w:rPr>
            </w:pPr>
            <w:r>
              <w:rPr>
                <w:rFonts w:ascii="Verdana" w:eastAsia="MS Mincho" w:hAnsi="Verdana" w:cs="Arial"/>
                <w:sz w:val="18"/>
                <w:szCs w:val="16"/>
                <w:lang w:eastAsia="ja-JP"/>
              </w:rPr>
              <w:t>[</w:t>
            </w:r>
            <w:r>
              <w:rPr>
                <w:rFonts w:ascii="Verdana" w:eastAsia="MS Mincho" w:hAnsi="Verdana" w:cs="Arial"/>
                <w:sz w:val="18"/>
                <w:szCs w:val="16"/>
                <w:lang w:eastAsia="ja-JP"/>
              </w:rPr>
              <w:sym w:font="Symbol" w:char="F0B7"/>
            </w:r>
            <w:r>
              <w:rPr>
                <w:rFonts w:ascii="Verdana" w:eastAsia="MS Mincho" w:hAnsi="Verdana" w:cs="Arial"/>
                <w:sz w:val="18"/>
                <w:szCs w:val="16"/>
                <w:lang w:eastAsia="ja-JP"/>
              </w:rPr>
              <w:t>]</w:t>
            </w:r>
          </w:p>
        </w:tc>
        <w:tc>
          <w:tcPr>
            <w:tcW w:w="740" w:type="pct"/>
            <w:vAlign w:val="bottom"/>
          </w:tcPr>
          <w:p>
            <w:pPr>
              <w:widowControl w:val="0"/>
              <w:spacing w:before="60" w:after="0" w:line="300" w:lineRule="exact"/>
              <w:jc w:val="center"/>
              <w:rPr>
                <w:rFonts w:ascii="Verdana" w:eastAsia="MS Mincho" w:hAnsi="Verdana" w:cs="Arial"/>
                <w:sz w:val="18"/>
                <w:szCs w:val="16"/>
                <w:lang w:eastAsia="ja-JP"/>
              </w:rPr>
            </w:pPr>
            <w:r>
              <w:rPr>
                <w:rFonts w:ascii="Verdana" w:eastAsia="MS Mincho" w:hAnsi="Verdana" w:cs="Arial"/>
                <w:sz w:val="18"/>
                <w:szCs w:val="16"/>
                <w:lang w:eastAsia="ja-JP"/>
              </w:rPr>
              <w:t>[</w:t>
            </w:r>
            <w:r>
              <w:rPr>
                <w:rFonts w:ascii="Verdana" w:eastAsia="MS Mincho" w:hAnsi="Verdana" w:cs="Arial"/>
                <w:sz w:val="18"/>
                <w:szCs w:val="16"/>
                <w:lang w:eastAsia="ja-JP"/>
              </w:rPr>
              <w:sym w:font="Symbol" w:char="F0B7"/>
            </w:r>
            <w:r>
              <w:rPr>
                <w:rFonts w:ascii="Verdana" w:eastAsia="MS Mincho" w:hAnsi="Verdana" w:cs="Arial"/>
                <w:sz w:val="18"/>
                <w:szCs w:val="16"/>
                <w:lang w:eastAsia="ja-JP"/>
              </w:rPr>
              <w:t>]%</w:t>
            </w:r>
          </w:p>
        </w:tc>
        <w:tc>
          <w:tcPr>
            <w:tcW w:w="740" w:type="pct"/>
            <w:tcMar>
              <w:top w:w="0" w:type="dxa"/>
              <w:left w:w="60" w:type="dxa"/>
              <w:bottom w:w="0" w:type="dxa"/>
              <w:right w:w="60" w:type="dxa"/>
            </w:tcMar>
            <w:vAlign w:val="bottom"/>
          </w:tcPr>
          <w:p>
            <w:pPr>
              <w:widowControl w:val="0"/>
              <w:spacing w:before="60" w:after="0" w:line="300" w:lineRule="exact"/>
              <w:jc w:val="center"/>
              <w:rPr>
                <w:rFonts w:ascii="Verdana" w:eastAsia="MS Mincho" w:hAnsi="Verdana" w:cs="Arial"/>
                <w:sz w:val="18"/>
                <w:szCs w:val="16"/>
                <w:lang w:eastAsia="ja-JP"/>
              </w:rPr>
            </w:pPr>
            <w:r>
              <w:rPr>
                <w:rFonts w:ascii="Verdana" w:eastAsia="MS Mincho" w:hAnsi="Verdana" w:cs="Arial"/>
                <w:sz w:val="18"/>
                <w:szCs w:val="16"/>
                <w:lang w:eastAsia="ja-JP"/>
              </w:rPr>
              <w:t>[</w:t>
            </w:r>
            <w:r>
              <w:rPr>
                <w:rFonts w:ascii="Verdana" w:eastAsia="MS Mincho" w:hAnsi="Verdana" w:cs="Arial"/>
                <w:sz w:val="18"/>
                <w:szCs w:val="16"/>
                <w:lang w:eastAsia="ja-JP"/>
              </w:rPr>
              <w:sym w:font="Symbol" w:char="F0B7"/>
            </w:r>
            <w:r>
              <w:rPr>
                <w:rFonts w:ascii="Verdana" w:eastAsia="MS Mincho" w:hAnsi="Verdana" w:cs="Arial"/>
                <w:sz w:val="18"/>
                <w:szCs w:val="16"/>
                <w:lang w:eastAsia="ja-JP"/>
              </w:rPr>
              <w:t>]</w:t>
            </w:r>
          </w:p>
        </w:tc>
      </w:tr>
    </w:tbl>
    <w:p>
      <w:pPr>
        <w:pStyle w:val="EDP-corpodetexto"/>
        <w:pBdr>
          <w:bottom w:val="single" w:sz="4" w:space="1" w:color="auto"/>
        </w:pBdr>
        <w:spacing w:after="60"/>
        <w:ind w:right="7546"/>
        <w:jc w:val="left"/>
        <w:rPr>
          <w:rFonts w:ascii="Verdana" w:hAnsi="Verdana" w:cs="Arial"/>
          <w:sz w:val="6"/>
          <w:szCs w:val="16"/>
        </w:rPr>
      </w:pPr>
    </w:p>
    <w:p>
      <w:pPr>
        <w:pStyle w:val="EDP-corpodetexto"/>
        <w:ind w:left="288" w:hanging="288"/>
        <w:rPr>
          <w:rFonts w:ascii="Verdana" w:hAnsi="Verdana" w:cs="Arial"/>
          <w:sz w:val="16"/>
          <w:szCs w:val="16"/>
        </w:rPr>
      </w:pPr>
      <w:r>
        <w:rPr>
          <w:rFonts w:ascii="Verdana" w:hAnsi="Verdana" w:cs="Arial"/>
          <w:sz w:val="16"/>
          <w:szCs w:val="16"/>
          <w:vertAlign w:val="superscript"/>
        </w:rPr>
        <w:lastRenderedPageBreak/>
        <w:t>(1)</w:t>
      </w:r>
      <w:r>
        <w:rPr>
          <w:rFonts w:ascii="Verdana" w:hAnsi="Verdana" w:cs="Arial"/>
          <w:sz w:val="16"/>
          <w:szCs w:val="16"/>
        </w:rPr>
        <w:tab/>
        <w:t>Líquido de comissões e de todas as despesas da Oferta.</w:t>
      </w:r>
    </w:p>
    <w:p>
      <w:pPr>
        <w:pStyle w:val="Ttulo1"/>
        <w:spacing w:line="300" w:lineRule="exact"/>
        <w:rPr>
          <w:rFonts w:ascii="Verdana" w:hAnsi="Verdana"/>
          <w:sz w:val="24"/>
          <w:lang w:val="pt-BR"/>
        </w:rPr>
      </w:pPr>
      <w:bookmarkStart w:id="271" w:name="_Toc428322730"/>
      <w:bookmarkStart w:id="272" w:name="_Ref434934731"/>
      <w:bookmarkStart w:id="273" w:name="_Ref434934984"/>
      <w:bookmarkStart w:id="274" w:name="_Ref434936699"/>
      <w:bookmarkStart w:id="275" w:name="_Ref459515526"/>
      <w:bookmarkStart w:id="276" w:name="_Ref459515562"/>
      <w:bookmarkStart w:id="277" w:name="_Ref483331590"/>
      <w:bookmarkStart w:id="278" w:name="_Ref484051359"/>
      <w:bookmarkStart w:id="279" w:name="_Toc484716019"/>
      <w:r>
        <w:rPr>
          <w:rFonts w:ascii="Verdana" w:hAnsi="Verdana"/>
          <w:lang w:val="pt-BR"/>
        </w:rPr>
        <w:lastRenderedPageBreak/>
        <w:t>INFORMAÇÕES ADICIONAIS</w:t>
      </w:r>
      <w:bookmarkEnd w:id="271"/>
      <w:bookmarkEnd w:id="272"/>
      <w:bookmarkEnd w:id="273"/>
      <w:bookmarkEnd w:id="274"/>
      <w:bookmarkEnd w:id="275"/>
      <w:bookmarkEnd w:id="276"/>
      <w:bookmarkEnd w:id="277"/>
      <w:bookmarkEnd w:id="278"/>
      <w:bookmarkEnd w:id="279"/>
    </w:p>
    <w:p>
      <w:pPr>
        <w:pStyle w:val="HOMEBRBodyText"/>
        <w:spacing w:line="300" w:lineRule="exact"/>
        <w:rPr>
          <w:rFonts w:ascii="Verdana" w:hAnsi="Verdana" w:cs="Arial"/>
        </w:rPr>
      </w:pPr>
      <w:r>
        <w:rPr>
          <w:rFonts w:ascii="Verdana" w:hAnsi="Verdana" w:cs="Arial"/>
        </w:rPr>
        <w:t xml:space="preserve">Os Coordenadores recomendam aos investidores, antes de tomar qualquer decisão de investimento relativa à Oferta, a consulta deste Prospecto. </w:t>
      </w:r>
      <w:r>
        <w:rPr>
          <w:rFonts w:ascii="Verdana" w:hAnsi="Verdana" w:cs="Arial"/>
          <w:b/>
          <w:bCs/>
        </w:rPr>
        <w:t>O investimento nas Debêntures não é adequado a investidores que: (i) não tenham profundo conhecimento dos riscos envolvidos na operação ou que não tenham acesso a consultoria especializada; (ii) necessitem de liquidez com relação às Debêntures a serem subscritas, tendo em vista a possibilidade de serem pequenas ou inexistentes as negociações das Debêntures no mercado secundário; e/ou (iii) não estejam dispostos a correr o risco de crédito de empresa do setor privado e/ou dos setores em que a Emissora atua, em particular de transporte ferroviário. Para uma avaliação adequada dos riscos associados ao investimento nas Debêntures, os investidores deverão ler a seção “Fatores de Risco Relacionados à Oferta e às Debêntures”</w:t>
      </w:r>
      <w:r>
        <w:rPr>
          <w:rFonts w:ascii="Verdana" w:hAnsi="Verdana" w:cs="Arial"/>
          <w:b/>
        </w:rPr>
        <w:t>, na página [</w:t>
      </w:r>
      <w:r>
        <w:rPr>
          <w:rFonts w:ascii="Verdana" w:hAnsi="Verdana" w:cs="Arial"/>
          <w:b/>
        </w:rPr>
        <w:sym w:font="Symbol" w:char="F0B7"/>
      </w:r>
      <w:r>
        <w:rPr>
          <w:rFonts w:ascii="Verdana" w:hAnsi="Verdana" w:cs="Arial"/>
          <w:b/>
        </w:rPr>
        <w:t>] deste Prospecto, bem como a seção "4. Fatores de Risco" do Formulário de Referência antes de aceitar a Oferta.</w:t>
      </w:r>
    </w:p>
    <w:p>
      <w:pPr>
        <w:pStyle w:val="HOMEBRBodyText"/>
        <w:spacing w:line="300" w:lineRule="exact"/>
        <w:rPr>
          <w:rFonts w:ascii="Verdana" w:hAnsi="Verdana" w:cs="Arial"/>
        </w:rPr>
      </w:pPr>
      <w:r>
        <w:rPr>
          <w:rFonts w:ascii="Verdana" w:hAnsi="Verdana" w:cs="Arial"/>
        </w:rPr>
        <w:t xml:space="preserve">Este Prospecto Preliminar, que incorpora por referência o Formulário de Referência, está disponível nas páginas da rede mundial de computadores: </w:t>
      </w:r>
    </w:p>
    <w:p>
      <w:pPr>
        <w:pStyle w:val="HOMEBRBullet"/>
        <w:numPr>
          <w:ilvl w:val="0"/>
          <w:numId w:val="0"/>
        </w:numPr>
        <w:spacing w:line="300" w:lineRule="exact"/>
        <w:rPr>
          <w:rFonts w:ascii="Verdana" w:hAnsi="Verdana" w:cs="Arial"/>
        </w:rPr>
      </w:pPr>
      <w:r>
        <w:rPr>
          <w:rFonts w:ascii="Verdana" w:hAnsi="Verdana" w:cs="Arial"/>
          <w:b/>
        </w:rPr>
        <w:t>Emissora</w:t>
      </w:r>
      <w:r>
        <w:rPr>
          <w:rFonts w:ascii="Verdana" w:hAnsi="Verdana" w:cs="Arial"/>
        </w:rPr>
        <w:t>: Rua Emilio Bertolini, nº 100</w:t>
      </w:r>
      <w:r>
        <w:rPr>
          <w:rFonts w:ascii="Verdana" w:hAnsi="Verdana" w:cs="Arial"/>
          <w:spacing w:val="-4"/>
        </w:rPr>
        <w:t>, sala 1, Vila Oficinas</w:t>
      </w:r>
      <w:r>
        <w:rPr>
          <w:rFonts w:ascii="Verdana" w:hAnsi="Verdana" w:cs="Arial"/>
        </w:rPr>
        <w:t xml:space="preserve">, Curitiba, Paraná. </w:t>
      </w:r>
      <w:hyperlink r:id="rId38" w:history="1">
        <w:r>
          <w:rPr>
            <w:rStyle w:val="Hyperlink"/>
            <w:rFonts w:ascii="Verdana" w:hAnsi="Verdana" w:cs="Arial"/>
          </w:rPr>
          <w:t>http://rumo.infoinvest.com.br/</w:t>
        </w:r>
      </w:hyperlink>
      <w:r>
        <w:rPr>
          <w:rFonts w:ascii="Verdana" w:hAnsi="Verdana" w:cs="Arial"/>
        </w:rPr>
        <w:t xml:space="preserve"> (nesta página acessar “Ofertas Públicas” e, em seguida fazer download do documento “Prospecto Preliminar – Emissão de Debêntures ICVM 400”) </w:t>
      </w:r>
    </w:p>
    <w:p>
      <w:pPr>
        <w:pStyle w:val="HOMEBRBullet"/>
        <w:spacing w:line="300" w:lineRule="exact"/>
        <w:rPr>
          <w:rFonts w:ascii="Verdana" w:hAnsi="Verdana" w:cs="Arial"/>
        </w:rPr>
      </w:pPr>
      <w:r>
        <w:rPr>
          <w:rFonts w:ascii="Verdana" w:hAnsi="Verdana" w:cs="Arial"/>
          <w:b/>
        </w:rPr>
        <w:t xml:space="preserve">Coordenador Líder: </w:t>
      </w:r>
      <w:r>
        <w:rPr>
          <w:rFonts w:ascii="Verdana" w:eastAsia="MS Mincho" w:hAnsi="Verdana" w:cs="Arial"/>
          <w:color w:val="000000"/>
          <w:lang w:eastAsia="pt-BR"/>
        </w:rPr>
        <w:t xml:space="preserve">http://www.itau.com.br/itaubba-pt/nossos-negocios/ofertas-publicas/ (neste </w:t>
      </w:r>
      <w:r>
        <w:rPr>
          <w:rFonts w:ascii="Verdana" w:eastAsia="MS Mincho" w:hAnsi="Verdana" w:cs="Arial"/>
          <w:i/>
          <w:iCs/>
          <w:color w:val="000000"/>
          <w:lang w:eastAsia="pt-BR"/>
        </w:rPr>
        <w:t>website</w:t>
      </w:r>
      <w:r>
        <w:rPr>
          <w:rFonts w:ascii="Verdana" w:eastAsia="MS Mincho" w:hAnsi="Verdana" w:cs="Arial"/>
          <w:color w:val="000000"/>
          <w:lang w:eastAsia="pt-BR"/>
        </w:rPr>
        <w:t>, acessar “Rumo S.A”, posteriormente, na seção “2019”, posteriormente na subseção “Setembro” e após isso acessar “Rumo – Prospecto Preliminar”);</w:t>
      </w:r>
    </w:p>
    <w:p>
      <w:pPr>
        <w:pStyle w:val="HOMEBRBullet"/>
        <w:spacing w:line="300" w:lineRule="exact"/>
        <w:rPr>
          <w:rFonts w:ascii="Verdana" w:hAnsi="Verdana" w:cs="Arial"/>
        </w:rPr>
      </w:pPr>
      <w:r>
        <w:rPr>
          <w:rFonts w:ascii="Verdana" w:hAnsi="Verdana" w:cs="Arial"/>
          <w:b/>
        </w:rPr>
        <w:t xml:space="preserve">Bradesco BBI: </w:t>
      </w:r>
      <w:r>
        <w:rPr>
          <w:rFonts w:ascii="Verdana" w:hAnsi="Verdana" w:cs="Arial"/>
        </w:rPr>
        <w:t>Avenida Brigadeiro Faria Lima, 3.064, 10º andar, São Paulo, SP</w:t>
      </w:r>
      <w:r>
        <w:rPr>
          <w:rFonts w:ascii="Verdana" w:hAnsi="Verdana" w:cs="Arial"/>
          <w:b/>
        </w:rPr>
        <w:t xml:space="preserve">; </w:t>
      </w:r>
      <w:hyperlink r:id="rId39" w:history="1">
        <w:r>
          <w:rPr>
            <w:rStyle w:val="Hyperlink"/>
            <w:rFonts w:ascii="Verdana" w:hAnsi="Verdana" w:cs="Arial"/>
          </w:rPr>
          <w:t>https://www.bradescobbi.com.br/Site/Ofertas_Publicas/Default.aspx</w:t>
        </w:r>
      </w:hyperlink>
      <w:r>
        <w:rPr>
          <w:rFonts w:ascii="Verdana" w:hAnsi="Verdana" w:cs="Arial"/>
        </w:rPr>
        <w:t xml:space="preserve"> (neste </w:t>
      </w:r>
      <w:r>
        <w:rPr>
          <w:rFonts w:ascii="Verdana" w:hAnsi="Verdana" w:cs="Arial"/>
          <w:i/>
          <w:iCs/>
        </w:rPr>
        <w:t>website</w:t>
      </w:r>
      <w:r>
        <w:rPr>
          <w:rFonts w:ascii="Verdana" w:hAnsi="Verdana" w:cs="Arial"/>
        </w:rPr>
        <w:t>, selecionar o tipo de oferta “Debentures”, em seguida localizar “Debêntures Rumo” e clicar em “Prospecto Preliminar”);</w:t>
      </w:r>
      <w:r>
        <w:rPr>
          <w:rFonts w:ascii="Verdana" w:hAnsi="Verdana" w:cs="Arial"/>
          <w:b/>
        </w:rPr>
        <w:t xml:space="preserve"> </w:t>
      </w:r>
    </w:p>
    <w:p>
      <w:pPr>
        <w:pStyle w:val="HOMEBRBullet"/>
        <w:spacing w:line="300" w:lineRule="exact"/>
        <w:rPr>
          <w:rFonts w:ascii="Verdana" w:hAnsi="Verdana" w:cs="Arial"/>
        </w:rPr>
      </w:pPr>
      <w:r>
        <w:rPr>
          <w:rFonts w:ascii="Verdana" w:hAnsi="Verdana" w:cs="Arial"/>
          <w:b/>
        </w:rPr>
        <w:t xml:space="preserve">Santander: </w:t>
      </w:r>
      <w:r>
        <w:rPr>
          <w:rFonts w:ascii="Verdana" w:eastAsia="MS Mincho" w:hAnsi="Verdana" w:cs="Arial"/>
          <w:color w:val="000000"/>
          <w:szCs w:val="22"/>
          <w:lang w:eastAsia="pt-BR"/>
        </w:rPr>
        <w:t xml:space="preserve">www.santander.com.br/prospectos (neste </w:t>
      </w:r>
      <w:r>
        <w:rPr>
          <w:rFonts w:ascii="Verdana" w:eastAsia="MS Mincho" w:hAnsi="Verdana" w:cs="Arial"/>
          <w:i/>
          <w:color w:val="000000"/>
          <w:szCs w:val="22"/>
          <w:lang w:eastAsia="pt-BR"/>
        </w:rPr>
        <w:t>website</w:t>
      </w:r>
      <w:r>
        <w:rPr>
          <w:rFonts w:ascii="Verdana" w:eastAsia="MS Mincho" w:hAnsi="Verdana" w:cs="Arial"/>
          <w:color w:val="000000"/>
          <w:szCs w:val="22"/>
          <w:lang w:eastAsia="pt-BR"/>
        </w:rPr>
        <w:t>, acessar “Ofertas em Andamento” e, por fim, acessar “Rumo S.A” e clicar em “Prospecto Preliminar”);</w:t>
      </w:r>
    </w:p>
    <w:p>
      <w:pPr>
        <w:numPr>
          <w:ilvl w:val="0"/>
          <w:numId w:val="9"/>
        </w:numPr>
        <w:spacing w:after="140" w:line="300" w:lineRule="exact"/>
        <w:ind w:left="392" w:hanging="392"/>
        <w:rPr>
          <w:rFonts w:ascii="Verdana" w:hAnsi="Verdana" w:cs="Arial"/>
          <w:lang w:val="pt-BR" w:eastAsia="pt-BR"/>
        </w:rPr>
      </w:pPr>
      <w:r>
        <w:rPr>
          <w:rFonts w:ascii="Verdana" w:hAnsi="Verdana" w:cs="Arial"/>
          <w:b/>
          <w:lang w:val="pt-BR"/>
        </w:rPr>
        <w:t xml:space="preserve">BB-BI: </w:t>
      </w:r>
      <w:r>
        <w:rPr>
          <w:rFonts w:ascii="Verdana" w:hAnsi="Verdana" w:cs="Arial"/>
          <w:bCs/>
          <w:lang w:val="pt-BR"/>
        </w:rPr>
        <w:t xml:space="preserve">Rua Senador Dantas, nº 105, 37º andar, Centro, CEP 20031-923, Rio de Janeiro, RJ - www.bb.com.br/ofertapublica (neste </w:t>
      </w:r>
      <w:r>
        <w:rPr>
          <w:rFonts w:ascii="Verdana" w:hAnsi="Verdana" w:cs="Arial"/>
          <w:bCs/>
          <w:i/>
          <w:lang w:val="pt-BR"/>
        </w:rPr>
        <w:t>website</w:t>
      </w:r>
      <w:r>
        <w:rPr>
          <w:rFonts w:ascii="Verdana" w:hAnsi="Verdana" w:cs="Arial"/>
          <w:bCs/>
          <w:lang w:val="pt-BR"/>
        </w:rPr>
        <w:t>, clicar em “Debêntures Rumo 2019”, acessar “Leia o Prospecto Preliminar”);</w:t>
      </w:r>
      <w:r>
        <w:rPr>
          <w:rFonts w:ascii="Verdana" w:hAnsi="Verdana" w:cs="Arial"/>
          <w:bCs/>
          <w:lang w:val="pt-BR" w:eastAsia="pt-BR"/>
        </w:rPr>
        <w:t xml:space="preserve"> </w:t>
      </w:r>
    </w:p>
    <w:p>
      <w:pPr>
        <w:pStyle w:val="HOMEBRBullet"/>
        <w:spacing w:line="300" w:lineRule="exact"/>
        <w:rPr>
          <w:rFonts w:ascii="Verdana" w:hAnsi="Verdana" w:cs="Arial"/>
        </w:rPr>
      </w:pPr>
      <w:r>
        <w:rPr>
          <w:rFonts w:ascii="Verdana" w:hAnsi="Verdana" w:cs="Arial"/>
          <w:b/>
        </w:rPr>
        <w:t>XP Investimentos</w:t>
      </w:r>
      <w:r>
        <w:rPr>
          <w:rFonts w:ascii="Verdana" w:hAnsi="Verdana" w:cs="Arial"/>
        </w:rPr>
        <w:t xml:space="preserve">: http://www.xpi.com.br/investimentos/oferta-publica.aspx – (neste </w:t>
      </w:r>
      <w:r>
        <w:rPr>
          <w:rFonts w:ascii="Verdana" w:hAnsi="Verdana" w:cs="Arial"/>
          <w:i/>
        </w:rPr>
        <w:t>website</w:t>
      </w:r>
      <w:r>
        <w:rPr>
          <w:rFonts w:ascii="Verdana" w:hAnsi="Verdana" w:cs="Arial"/>
        </w:rPr>
        <w:t>, clicar em “Debênture Rumo S.A. – 13ª Emissão de Debêntures da Rumo S.A”, em seguida clicar em “Prospecto Preliminar”)</w:t>
      </w:r>
      <w:r>
        <w:rPr>
          <w:rFonts w:ascii="Verdana" w:hAnsi="Verdana" w:cs="Arial"/>
          <w:bCs/>
        </w:rPr>
        <w:t>;</w:t>
      </w:r>
    </w:p>
    <w:p>
      <w:pPr>
        <w:pStyle w:val="HOMEBRBullet"/>
        <w:spacing w:line="300" w:lineRule="exact"/>
        <w:rPr>
          <w:rFonts w:ascii="Verdana" w:hAnsi="Verdana" w:cs="Arial"/>
          <w:bCs/>
        </w:rPr>
      </w:pPr>
      <w:r>
        <w:rPr>
          <w:rFonts w:ascii="Verdana" w:hAnsi="Verdana" w:cs="Arial"/>
          <w:b/>
        </w:rPr>
        <w:lastRenderedPageBreak/>
        <w:t>BTG</w:t>
      </w:r>
      <w:r>
        <w:rPr>
          <w:rFonts w:ascii="Verdana" w:hAnsi="Verdana" w:cs="Arial"/>
        </w:rPr>
        <w:t xml:space="preserve">: </w:t>
      </w:r>
      <w:r>
        <w:rPr>
          <w:rFonts w:ascii="Verdana" w:hAnsi="Verdana" w:cs="Arial"/>
          <w:bCs/>
        </w:rPr>
        <w:t xml:space="preserve">Avenida Brigadeiro Faria Lima, 3.477, 12º andar, São Paulo, SP. </w:t>
      </w:r>
      <w:hyperlink r:id="rId40" w:history="1">
        <w:r>
          <w:rPr>
            <w:rStyle w:val="Hyperlink"/>
            <w:rFonts w:ascii="Verdana" w:hAnsi="Verdana" w:cs="Arial"/>
            <w:lang w:eastAsia="pt-BR"/>
          </w:rPr>
          <w:t>https://www.btgpactual.com/home/investment-bank</w:t>
        </w:r>
      </w:hyperlink>
      <w:r>
        <w:rPr>
          <w:rFonts w:ascii="Verdana" w:hAnsi="Verdana" w:cs="Arial"/>
        </w:rPr>
        <w:t xml:space="preserve"> (neste </w:t>
      </w:r>
      <w:r>
        <w:rPr>
          <w:rFonts w:ascii="Verdana" w:hAnsi="Verdana" w:cs="Arial"/>
          <w:i/>
        </w:rPr>
        <w:t>website</w:t>
      </w:r>
      <w:r>
        <w:rPr>
          <w:rFonts w:ascii="Verdana" w:hAnsi="Verdana" w:cs="Arial"/>
        </w:rPr>
        <w:t xml:space="preserve"> clicar em “</w:t>
      </w:r>
      <w:r>
        <w:rPr>
          <w:rFonts w:ascii="Verdana" w:hAnsi="Verdana" w:cs="Arial"/>
          <w:lang w:eastAsia="pt-BR"/>
        </w:rPr>
        <w:t>Mercado de Capitais - Download</w:t>
      </w:r>
      <w:r>
        <w:rPr>
          <w:rFonts w:ascii="Verdana" w:hAnsi="Verdana" w:cs="Arial"/>
        </w:rPr>
        <w:t>”, depois clicar em “</w:t>
      </w:r>
      <w:r>
        <w:rPr>
          <w:rFonts w:ascii="Verdana" w:hAnsi="Verdana" w:cs="Arial"/>
          <w:lang w:eastAsia="pt-BR"/>
        </w:rPr>
        <w:t>2019</w:t>
      </w:r>
      <w:r>
        <w:rPr>
          <w:rFonts w:ascii="Verdana" w:hAnsi="Verdana" w:cs="Arial"/>
        </w:rPr>
        <w:t>”, em Prospecto Preliminar);</w:t>
      </w:r>
    </w:p>
    <w:p>
      <w:pPr>
        <w:pStyle w:val="HOMEBRBullet"/>
        <w:spacing w:line="300" w:lineRule="exact"/>
        <w:rPr>
          <w:rFonts w:ascii="Verdana" w:hAnsi="Verdana" w:cs="Arial"/>
        </w:rPr>
      </w:pPr>
      <w:r>
        <w:rPr>
          <w:rFonts w:ascii="Verdana" w:hAnsi="Verdana" w:cs="Arial"/>
          <w:b/>
        </w:rPr>
        <w:t>CVM</w:t>
      </w:r>
      <w:r>
        <w:rPr>
          <w:rFonts w:ascii="Verdana" w:hAnsi="Verdana" w:cs="Arial"/>
          <w:bCs/>
        </w:rPr>
        <w:t>: Rua Sete de Setembro, 111, 5º andar, Rio de Janeiro, RJ, e Rua Cincinato Braga, 340, 2º, 3º e 4º andares, São Paulo, SP (</w:t>
      </w:r>
      <w:hyperlink r:id="rId41" w:history="1">
        <w:r>
          <w:rPr>
            <w:rFonts w:ascii="Verdana" w:hAnsi="Verdana" w:cs="Arial"/>
          </w:rPr>
          <w:t>http://www.cvm.gov.br</w:t>
        </w:r>
      </w:hyperlink>
      <w:r>
        <w:rPr>
          <w:rFonts w:ascii="Verdana" w:hAnsi="Verdana" w:cs="Arial"/>
          <w:bCs/>
        </w:rPr>
        <w:t xml:space="preserve">, </w:t>
      </w:r>
      <w:r>
        <w:rPr>
          <w:rFonts w:ascii="Verdana" w:hAnsi="Verdana" w:cs="Arial"/>
        </w:rPr>
        <w:t xml:space="preserve">neste </w:t>
      </w:r>
      <w:r>
        <w:rPr>
          <w:rFonts w:ascii="Verdana" w:hAnsi="Verdana" w:cs="Arial"/>
          <w:i/>
        </w:rPr>
        <w:t>website</w:t>
      </w:r>
      <w:r>
        <w:rPr>
          <w:rFonts w:ascii="Verdana" w:hAnsi="Verdana" w:cs="Arial"/>
        </w:rPr>
        <w:t xml:space="preserve">, acessar “Informações de Regulados”, acessar “Companhias”. Em seguida, clicar em “Consulta a Informações de Companhias”, clicar em “Informações Periódicas e Eventuais de Companhias” e, na página seguinte, digitar “Rumo” no campo disponível. Clicar em “Rumo S.A”, clicar em “Documentos de Oferta de Distribuição Pública” e clicar no </w:t>
      </w:r>
      <w:r>
        <w:rPr>
          <w:rFonts w:ascii="Verdana" w:hAnsi="Verdana" w:cs="Arial"/>
          <w:i/>
        </w:rPr>
        <w:t>link</w:t>
      </w:r>
      <w:r>
        <w:rPr>
          <w:rFonts w:ascii="Verdana" w:hAnsi="Verdana" w:cs="Arial"/>
        </w:rPr>
        <w:t xml:space="preserve"> referente ao último Prospecto Preliminar disponível); e</w:t>
      </w:r>
    </w:p>
    <w:p>
      <w:pPr>
        <w:pStyle w:val="HOMEBRBullet"/>
        <w:spacing w:line="300" w:lineRule="exact"/>
        <w:rPr>
          <w:rFonts w:ascii="Verdana" w:hAnsi="Verdana" w:cs="Arial"/>
        </w:rPr>
      </w:pPr>
      <w:r>
        <w:rPr>
          <w:rFonts w:ascii="Verdana" w:hAnsi="Verdana" w:cs="Arial"/>
          <w:b/>
        </w:rPr>
        <w:t>B3 e B3 – Segmento Cetip UTVM:</w:t>
      </w:r>
      <w:r>
        <w:rPr>
          <w:rFonts w:ascii="Verdana" w:hAnsi="Verdana" w:cs="Arial"/>
        </w:rPr>
        <w:t xml:space="preserve"> http://www.b3.com.br/pt_br/produtos-e-servicos/negociacao/renda-variavel/empresas-listadas.htm</w:t>
      </w:r>
      <w:r>
        <w:rPr>
          <w:rFonts w:ascii="Verdana" w:hAnsi="Verdana" w:cs="Arial"/>
          <w:bCs/>
          <w:lang w:eastAsia="pt-BR"/>
        </w:rPr>
        <w:t xml:space="preserve">, neste </w:t>
      </w:r>
      <w:r>
        <w:rPr>
          <w:rFonts w:ascii="Verdana" w:hAnsi="Verdana" w:cs="Arial"/>
          <w:bCs/>
          <w:i/>
          <w:lang w:eastAsia="pt-BR"/>
        </w:rPr>
        <w:t>website</w:t>
      </w:r>
      <w:r>
        <w:rPr>
          <w:rFonts w:ascii="Verdana" w:hAnsi="Verdana" w:cs="Arial"/>
          <w:bCs/>
          <w:lang w:eastAsia="pt-BR"/>
        </w:rPr>
        <w:t>, digitar “RUMO”, clicar em “Buscar”, depois clicar em “RUMO S.A”. Na nova página, clicar em “Informações Relevantes”, depois em “Documentos de Oferta de Distribuição Pública”, e clicar no Prospecto Preliminar da 13ª Emissão de Debêntures da Companhia”).</w:t>
      </w:r>
    </w:p>
    <w:p>
      <w:pPr>
        <w:pStyle w:val="HOMEBRBodyText"/>
        <w:spacing w:line="300" w:lineRule="exact"/>
        <w:rPr>
          <w:rFonts w:ascii="Verdana" w:hAnsi="Verdana" w:cs="Arial"/>
        </w:rPr>
      </w:pPr>
      <w:r>
        <w:rPr>
          <w:rFonts w:ascii="Verdana" w:hAnsi="Verdana" w:cs="Arial"/>
        </w:rPr>
        <w:t xml:space="preserve">Informações adicionais sobre a Emissora, as Debêntures e a Oferta poderão ser obtidas no Formulário de Referência, incorporado por referência a este Prospecto, e junto à diretoria de relações com investidores da Emissora, aos Coordenadores, à CVM, ao Agente Fiduciário, à B3 e à B3 – Segmento Cetip UTVM, nos endereços e </w:t>
      </w:r>
      <w:r>
        <w:rPr>
          <w:rFonts w:ascii="Verdana" w:hAnsi="Verdana" w:cs="Arial"/>
          <w:i/>
        </w:rPr>
        <w:t xml:space="preserve">websites </w:t>
      </w:r>
      <w:r>
        <w:rPr>
          <w:rFonts w:ascii="Verdana" w:hAnsi="Verdana" w:cs="Arial"/>
        </w:rPr>
        <w:t>indicados na seção “Informações Sobre a Emissora, os Coordenadores, os Consultores, o Agente Fiduciário, o Banco Liquidante, o Escriturador e os Auditores” na página [</w:t>
      </w:r>
      <w:r>
        <w:rPr>
          <w:rFonts w:ascii="Verdana" w:hAnsi="Verdana" w:cs="Arial"/>
        </w:rPr>
        <w:sym w:font="Symbol" w:char="F0B7"/>
      </w:r>
      <w:r>
        <w:rPr>
          <w:rFonts w:ascii="Verdana" w:hAnsi="Verdana" w:cs="Arial"/>
        </w:rPr>
        <w:t>] deste Prospecto.</w:t>
      </w:r>
    </w:p>
    <w:p>
      <w:pPr>
        <w:pStyle w:val="Ttulo1"/>
        <w:spacing w:line="300" w:lineRule="exact"/>
        <w:rPr>
          <w:rFonts w:ascii="Verdana" w:hAnsi="Verdana"/>
          <w:lang w:val="pt-BR"/>
        </w:rPr>
      </w:pPr>
      <w:bookmarkStart w:id="280" w:name="_Ref434936840"/>
      <w:bookmarkStart w:id="281" w:name="_Toc484716020"/>
      <w:bookmarkStart w:id="282" w:name="_Hlk536465324"/>
      <w:r>
        <w:rPr>
          <w:rFonts w:ascii="Verdana" w:hAnsi="Verdana"/>
          <w:lang w:val="pt-BR"/>
        </w:rPr>
        <w:lastRenderedPageBreak/>
        <w:t>VISÃO GERAL DA LEI 12.431</w:t>
      </w:r>
      <w:bookmarkEnd w:id="280"/>
      <w:bookmarkEnd w:id="281"/>
    </w:p>
    <w:p>
      <w:pPr>
        <w:pStyle w:val="HOMEBRBodyText"/>
        <w:spacing w:line="300" w:lineRule="exact"/>
        <w:rPr>
          <w:rFonts w:ascii="Verdana" w:hAnsi="Verdana" w:cs="Arial"/>
        </w:rPr>
      </w:pPr>
      <w:r>
        <w:rPr>
          <w:rFonts w:ascii="Verdana" w:hAnsi="Verdana" w:cs="Arial"/>
        </w:rPr>
        <w:t>A fim de aprimorar os mecanismos de captação de recursos para financiamentos de longo prazo, foram criados pela Lei 12.431 e regulamentados pelo Decreto 8.874, benefícios tributários para determinados valores mobiliários. Abaixo segue sumário dos principais aspectos de referidos valores mobiliários regulados pela Lei 12.431.</w:t>
      </w:r>
    </w:p>
    <w:p>
      <w:pPr>
        <w:pStyle w:val="Ttulo3"/>
        <w:spacing w:line="300" w:lineRule="exact"/>
        <w:rPr>
          <w:rFonts w:ascii="Verdana" w:hAnsi="Verdana"/>
          <w:lang w:val="pt-BR"/>
        </w:rPr>
      </w:pPr>
      <w:bookmarkStart w:id="283" w:name="_Toc427852331"/>
      <w:bookmarkStart w:id="284" w:name="_Toc428306470"/>
      <w:bookmarkStart w:id="285" w:name="_Ref483332165"/>
      <w:bookmarkStart w:id="286" w:name="_Toc484716021"/>
      <w:r>
        <w:rPr>
          <w:rFonts w:ascii="Verdana" w:hAnsi="Verdana"/>
          <w:lang w:val="pt-BR"/>
        </w:rPr>
        <w:t>Sumário</w:t>
      </w:r>
      <w:bookmarkEnd w:id="283"/>
      <w:bookmarkEnd w:id="284"/>
      <w:bookmarkEnd w:id="285"/>
      <w:bookmarkEnd w:id="286"/>
    </w:p>
    <w:p>
      <w:pPr>
        <w:pStyle w:val="Ttulo8"/>
        <w:spacing w:line="300" w:lineRule="exact"/>
        <w:rPr>
          <w:rFonts w:ascii="Verdana" w:hAnsi="Verdana" w:cs="Arial"/>
          <w:lang w:val="pt-BR"/>
        </w:rPr>
      </w:pPr>
      <w:bookmarkStart w:id="287" w:name="_Toc427852332"/>
      <w:bookmarkStart w:id="288" w:name="_Toc484716022"/>
      <w:r>
        <w:rPr>
          <w:rFonts w:ascii="Verdana" w:hAnsi="Verdana" w:cs="Arial"/>
          <w:lang w:val="pt-BR"/>
        </w:rPr>
        <w:t>Valores mobiliários de longo prazo – descrição</w:t>
      </w:r>
      <w:bookmarkEnd w:id="287"/>
      <w:bookmarkEnd w:id="288"/>
    </w:p>
    <w:p>
      <w:pPr>
        <w:pStyle w:val="HOMEBRBodyText"/>
        <w:spacing w:line="300" w:lineRule="exact"/>
        <w:rPr>
          <w:rFonts w:ascii="Verdana" w:hAnsi="Verdana" w:cs="Arial"/>
        </w:rPr>
      </w:pPr>
      <w:r>
        <w:rPr>
          <w:rFonts w:ascii="Verdana" w:hAnsi="Verdana" w:cs="Arial"/>
        </w:rPr>
        <w:t xml:space="preserve">Os valores mobiliários sujeitos aos benefícios fiscais criados pela Lei 12.431 compreendem: </w:t>
      </w:r>
    </w:p>
    <w:p>
      <w:pPr>
        <w:pStyle w:val="HOMEBRBodyText"/>
        <w:numPr>
          <w:ilvl w:val="0"/>
          <w:numId w:val="28"/>
        </w:numPr>
        <w:tabs>
          <w:tab w:val="left" w:pos="709"/>
        </w:tabs>
        <w:spacing w:line="300" w:lineRule="exact"/>
        <w:ind w:left="709" w:hanging="709"/>
        <w:rPr>
          <w:rFonts w:ascii="Verdana" w:hAnsi="Verdana" w:cs="Arial"/>
        </w:rPr>
      </w:pPr>
      <w:r>
        <w:rPr>
          <w:rFonts w:ascii="Verdana" w:hAnsi="Verdana" w:cs="Arial"/>
        </w:rPr>
        <w:t>valores mobiliários relacionados à captação de recursos para implementar projetos de investimento na área de infraestrutura ou de produção econômica intensiva em pesquisa, desenvolvimento e inovação, considerados como prioritários na forma regulamentada pelo Poder Executivo federal, a saber: (a) debêntures de infraestrutura; (b) quotas emitidas por fundos de investimento em direitos creditórios constituídos sob a forma de condomínio fechado; e (c) certificados de recebíveis imobiliários, adquiridos por pessoas físicas ou pessoas jurídicas residentes ou domiciliadas no País;</w:t>
      </w:r>
    </w:p>
    <w:p>
      <w:pPr>
        <w:pStyle w:val="HOMEBRBodyText"/>
        <w:numPr>
          <w:ilvl w:val="0"/>
          <w:numId w:val="28"/>
        </w:numPr>
        <w:tabs>
          <w:tab w:val="left" w:pos="709"/>
        </w:tabs>
        <w:spacing w:line="300" w:lineRule="exact"/>
        <w:ind w:left="709" w:hanging="709"/>
        <w:rPr>
          <w:rFonts w:ascii="Verdana" w:hAnsi="Verdana" w:cs="Arial"/>
        </w:rPr>
      </w:pPr>
      <w:r>
        <w:rPr>
          <w:rFonts w:ascii="Verdana" w:hAnsi="Verdana" w:cs="Arial"/>
        </w:rPr>
        <w:t>valores mobiliários para financiar projetos de investimento, incluindo (a) certificados de recebíveis imobiliários; e (b) quotas emitidas por fundos de investimento em direitos creditórios constituídos sob a forma de condomínio fechado, cujo originador ou cedente da carteira de direitos creditórios não seja instituição financeira, adquiridos por beneficiário residente ou domiciliado no exterior, exceto em país que não tribute a renda ou que tribute à alíquota máxima inferior a 20%; e</w:t>
      </w:r>
    </w:p>
    <w:p>
      <w:pPr>
        <w:pStyle w:val="HOMEBRBodyText"/>
        <w:numPr>
          <w:ilvl w:val="0"/>
          <w:numId w:val="28"/>
        </w:numPr>
        <w:tabs>
          <w:tab w:val="left" w:pos="709"/>
        </w:tabs>
        <w:spacing w:line="300" w:lineRule="exact"/>
        <w:ind w:left="709" w:hanging="709"/>
        <w:rPr>
          <w:rFonts w:ascii="Verdana" w:hAnsi="Verdana" w:cs="Arial"/>
        </w:rPr>
      </w:pPr>
      <w:r>
        <w:rPr>
          <w:rFonts w:ascii="Verdana" w:hAnsi="Verdana" w:cs="Arial"/>
        </w:rPr>
        <w:t>fundos de investimento em valores mobiliários de projetos prioritários, constituídos por instituições autorizadas pela Comissão de Valores Mobiliários ao exercício da administração de carteira de títulos e valores mobiliários e desde que autorizado pela regulação aplicável a cada tipo de fundo de investimento.</w:t>
      </w:r>
    </w:p>
    <w:p>
      <w:pPr>
        <w:pStyle w:val="Ttulo8"/>
        <w:spacing w:line="300" w:lineRule="exact"/>
        <w:rPr>
          <w:rFonts w:ascii="Verdana" w:hAnsi="Verdana" w:cs="Arial"/>
          <w:lang w:val="pt-BR"/>
        </w:rPr>
      </w:pPr>
      <w:bookmarkStart w:id="289" w:name="_Toc427852333"/>
      <w:bookmarkStart w:id="290" w:name="_Toc484716023"/>
      <w:r>
        <w:rPr>
          <w:rFonts w:ascii="Verdana" w:hAnsi="Verdana" w:cs="Arial"/>
          <w:lang w:val="pt-BR"/>
        </w:rPr>
        <w:lastRenderedPageBreak/>
        <w:t>Principais características das Debêntures de Infraestrutura</w:t>
      </w:r>
      <w:bookmarkEnd w:id="289"/>
      <w:bookmarkEnd w:id="290"/>
      <w:r>
        <w:rPr>
          <w:rFonts w:ascii="Verdana" w:hAnsi="Verdana" w:cs="Arial"/>
          <w:lang w:val="pt-BR"/>
        </w:rPr>
        <w:t xml:space="preserve"> </w:t>
      </w:r>
    </w:p>
    <w:p>
      <w:pPr>
        <w:pStyle w:val="HOMEBRBodyText"/>
        <w:spacing w:line="300" w:lineRule="exact"/>
        <w:rPr>
          <w:rFonts w:ascii="Verdana" w:hAnsi="Verdana" w:cs="Arial"/>
        </w:rPr>
      </w:pPr>
      <w:r>
        <w:rPr>
          <w:rFonts w:ascii="Verdana" w:hAnsi="Verdana" w:cs="Arial"/>
        </w:rPr>
        <w:t xml:space="preserve">São denominadas Debêntures de Infraestrutura aquelas que apresentem as seguintes características: (i) remuneração por taxa de juros prefixada, vinculada à índice de preço ou à taxa referencial; (ii) não admitir a pactuação total ou parcial de taxa de juros pós-fixada; (iii) prazo médio ponderado superior a quatro anos; (iv) </w:t>
      </w:r>
      <w:r>
        <w:rPr>
          <w:rFonts w:ascii="Verdana" w:hAnsi="Verdana" w:cs="Arial"/>
          <w:lang w:eastAsia="pt-BR"/>
        </w:rPr>
        <w:t>vedação à resgate antecipado pelo respectivo emissor, salvo na forma a ser regulamentada pelo CMN</w:t>
      </w:r>
      <w:r>
        <w:rPr>
          <w:rFonts w:ascii="Verdana" w:hAnsi="Verdana" w:cs="Arial"/>
        </w:rPr>
        <w:t>; (v) vedação a compromisso de revenda assumido pelo titular; (vi) prazo de pagamento periódico de rendimentos, se existente, com intervalos de, no mínimo, 180 dias; (vii) comprovação de seu registro em sistema de registro devidamente autorizado pelo Banco Central do Brasil ou pela CVM, nas suas respectivas áreas de competência; e (viii) procedimento simplificado que demonstre o compromisso de alocar os recursos captados com as Debêntures de Infraestrutura em projetos de investimento considerado como prioritário pelo Ministério competente.</w:t>
      </w:r>
    </w:p>
    <w:p>
      <w:pPr>
        <w:pStyle w:val="Ttulo8"/>
        <w:spacing w:line="300" w:lineRule="exact"/>
        <w:rPr>
          <w:rFonts w:ascii="Verdana" w:hAnsi="Verdana" w:cs="Arial"/>
          <w:lang w:val="pt-BR"/>
        </w:rPr>
      </w:pPr>
      <w:bookmarkStart w:id="291" w:name="_Toc427852334"/>
      <w:bookmarkStart w:id="292" w:name="_Toc484716024"/>
      <w:r>
        <w:rPr>
          <w:rFonts w:ascii="Verdana" w:hAnsi="Verdana" w:cs="Arial"/>
          <w:lang w:val="pt-BR"/>
        </w:rPr>
        <w:t>Investimento em projetos prioritários</w:t>
      </w:r>
      <w:bookmarkEnd w:id="291"/>
      <w:bookmarkEnd w:id="292"/>
      <w:r>
        <w:rPr>
          <w:rFonts w:ascii="Verdana" w:hAnsi="Verdana" w:cs="Arial"/>
          <w:lang w:val="pt-BR"/>
        </w:rPr>
        <w:t xml:space="preserve"> </w:t>
      </w:r>
    </w:p>
    <w:p>
      <w:pPr>
        <w:spacing w:line="300" w:lineRule="exact"/>
        <w:rPr>
          <w:rFonts w:ascii="Verdana" w:hAnsi="Verdana" w:cs="Arial"/>
          <w:lang w:val="pt-BR" w:eastAsia="pt-BR"/>
        </w:rPr>
      </w:pPr>
      <w:r>
        <w:rPr>
          <w:rFonts w:ascii="Verdana" w:hAnsi="Verdana" w:cs="Arial"/>
          <w:lang w:val="pt-BR" w:eastAsia="pt-BR"/>
        </w:rPr>
        <w:t xml:space="preserve">Os recursos captados em ofertas de Debêntures de Infraestrutura devem ser destinados: </w:t>
      </w:r>
      <w:r>
        <w:rPr>
          <w:rFonts w:ascii="Verdana" w:hAnsi="Verdana" w:cs="Arial"/>
          <w:b/>
          <w:lang w:val="pt-BR" w:eastAsia="pt-BR"/>
        </w:rPr>
        <w:t>(i)</w:t>
      </w:r>
      <w:r>
        <w:rPr>
          <w:rFonts w:ascii="Verdana" w:hAnsi="Verdana" w:cs="Arial"/>
          <w:lang w:val="pt-BR" w:eastAsia="pt-BR"/>
        </w:rPr>
        <w:t xml:space="preserve"> ao pagamento futuro de projeto de investimento prioritários; ou </w:t>
      </w:r>
      <w:r>
        <w:rPr>
          <w:rFonts w:ascii="Verdana" w:hAnsi="Verdana" w:cs="Arial"/>
          <w:b/>
          <w:lang w:val="pt-BR" w:eastAsia="pt-BR"/>
        </w:rPr>
        <w:t>(ii)</w:t>
      </w:r>
      <w:r>
        <w:rPr>
          <w:rFonts w:ascii="Verdana" w:hAnsi="Verdana" w:cs="Arial"/>
          <w:lang w:val="pt-BR" w:eastAsia="pt-BR"/>
        </w:rPr>
        <w:t xml:space="preserve"> ao reembolso de gastos, despesas ou dívidas relacionadas com tais projeto de investimento prioritários, incorridos até 24 meses antes do encerramento da oferta dos respectivos valores mobiliários. </w:t>
      </w:r>
    </w:p>
    <w:p>
      <w:pPr>
        <w:pStyle w:val="Ttulo8"/>
        <w:spacing w:line="300" w:lineRule="exact"/>
        <w:rPr>
          <w:rFonts w:ascii="Verdana" w:hAnsi="Verdana" w:cs="Arial"/>
          <w:lang w:val="pt-BR"/>
        </w:rPr>
      </w:pPr>
      <w:bookmarkStart w:id="293" w:name="_Toc427852335"/>
      <w:bookmarkStart w:id="294" w:name="_Toc484716025"/>
      <w:r>
        <w:rPr>
          <w:rFonts w:ascii="Verdana" w:hAnsi="Verdana" w:cs="Arial"/>
          <w:lang w:val="pt-BR"/>
        </w:rPr>
        <w:t>Qualificação dos emissores</w:t>
      </w:r>
      <w:bookmarkEnd w:id="293"/>
      <w:bookmarkEnd w:id="294"/>
      <w:r>
        <w:rPr>
          <w:rFonts w:ascii="Verdana" w:hAnsi="Verdana" w:cs="Arial"/>
          <w:lang w:val="pt-BR"/>
        </w:rPr>
        <w:t xml:space="preserve"> </w:t>
      </w:r>
    </w:p>
    <w:p>
      <w:pPr>
        <w:pStyle w:val="HOMEBRBodyText"/>
        <w:spacing w:line="300" w:lineRule="exact"/>
        <w:rPr>
          <w:rFonts w:ascii="Verdana" w:hAnsi="Verdana" w:cs="Arial"/>
        </w:rPr>
      </w:pPr>
      <w:r>
        <w:rPr>
          <w:rFonts w:ascii="Verdana" w:hAnsi="Verdana" w:cs="Arial"/>
        </w:rPr>
        <w:t>Os emissores de Debêntures de Infraestrutura devem ser constituídos sob a forma de sociedade por ações e qualificados como: (i) sociedade de propósito específico dedicada à implementação de projetos de investimento prioritários; (ii) concessionária, permissionária, autorizatária ou arrendatária; ou (iii) sociedades controladoras das pessoas jurídicas mencionadas nos itens (i) e (ii) acima.</w:t>
      </w:r>
    </w:p>
    <w:p>
      <w:pPr>
        <w:pStyle w:val="Ttulo8"/>
        <w:spacing w:line="300" w:lineRule="exact"/>
        <w:rPr>
          <w:rFonts w:ascii="Verdana" w:hAnsi="Verdana" w:cs="Arial"/>
          <w:lang w:val="pt-BR"/>
        </w:rPr>
      </w:pPr>
      <w:bookmarkStart w:id="295" w:name="_Toc427852336"/>
      <w:bookmarkStart w:id="296" w:name="_Toc484716026"/>
      <w:r>
        <w:rPr>
          <w:rFonts w:ascii="Verdana" w:hAnsi="Verdana" w:cs="Arial"/>
          <w:lang w:val="pt-BR"/>
        </w:rPr>
        <w:t>Decreto 8.874</w:t>
      </w:r>
      <w:bookmarkEnd w:id="295"/>
      <w:bookmarkEnd w:id="296"/>
      <w:r>
        <w:rPr>
          <w:rFonts w:ascii="Verdana" w:hAnsi="Verdana" w:cs="Arial"/>
          <w:lang w:val="pt-BR"/>
        </w:rPr>
        <w:t xml:space="preserve"> </w:t>
      </w:r>
    </w:p>
    <w:p>
      <w:pPr>
        <w:pStyle w:val="HOMEBRBodyText"/>
        <w:spacing w:line="300" w:lineRule="exact"/>
        <w:rPr>
          <w:rFonts w:ascii="Verdana" w:hAnsi="Verdana" w:cs="Arial"/>
        </w:rPr>
      </w:pPr>
      <w:r>
        <w:rPr>
          <w:rFonts w:ascii="Verdana" w:hAnsi="Verdana" w:cs="Arial"/>
        </w:rPr>
        <w:t xml:space="preserve">O Decreto 8.874 regulamenta as condições para aprovação dos projetos de investimento considerados como prioritários na área de infraestrutura ou de produção econômica intensiva em pesquisa, desenvolvimento e inovação. Para um projeto de investimento ser considerado prioritário, requerimento específico deve ser apresentado para aprovação pelo ministério competente para a avaliação de tal projeto de investimento, nos termos da portaria publicada por cada ministério. Desta maneira, a Emissora submeteu o Projeto à aprovação do Ministério da Infraestrutura, obedecendo ao disposto na Portaria 009/2012. </w:t>
      </w:r>
    </w:p>
    <w:p>
      <w:pPr>
        <w:pStyle w:val="HOMEBRBodyText"/>
        <w:spacing w:line="300" w:lineRule="exact"/>
        <w:rPr>
          <w:rFonts w:ascii="Verdana" w:hAnsi="Verdana" w:cs="Arial"/>
          <w:b/>
        </w:rPr>
      </w:pPr>
      <w:r>
        <w:rPr>
          <w:rFonts w:ascii="Verdana" w:hAnsi="Verdana" w:cs="Arial"/>
          <w:b/>
        </w:rPr>
        <w:t>Para mais informações sobre o Projeto, vide seção “Destinação dos Recursos” na página [</w:t>
      </w:r>
      <w:r>
        <w:rPr>
          <w:rFonts w:ascii="Verdana" w:hAnsi="Verdana" w:cs="Arial"/>
          <w:b/>
        </w:rPr>
        <w:sym w:font="Symbol" w:char="F0B7"/>
      </w:r>
      <w:r>
        <w:rPr>
          <w:rFonts w:ascii="Verdana" w:hAnsi="Verdana" w:cs="Arial"/>
          <w:b/>
        </w:rPr>
        <w:t xml:space="preserve">] deste Prospecto. </w:t>
      </w:r>
    </w:p>
    <w:p>
      <w:pPr>
        <w:pStyle w:val="HOMEBRBodyText"/>
        <w:spacing w:line="300" w:lineRule="exact"/>
        <w:rPr>
          <w:rFonts w:ascii="Verdana" w:hAnsi="Verdana" w:cs="Arial"/>
        </w:rPr>
      </w:pPr>
      <w:r>
        <w:rPr>
          <w:rFonts w:ascii="Verdana" w:hAnsi="Verdana" w:cs="Arial"/>
        </w:rPr>
        <w:lastRenderedPageBreak/>
        <w:t>Por esta razão, as Debêntures contarão com benefício tributário nos termos dos artigos 2º da Lei 12.431.</w:t>
      </w:r>
    </w:p>
    <w:p>
      <w:pPr>
        <w:pStyle w:val="Ttulo8"/>
        <w:spacing w:line="300" w:lineRule="exact"/>
        <w:rPr>
          <w:rFonts w:ascii="Verdana" w:hAnsi="Verdana" w:cs="Arial"/>
          <w:lang w:val="pt-BR"/>
        </w:rPr>
      </w:pPr>
      <w:bookmarkStart w:id="297" w:name="_Toc427852337"/>
      <w:bookmarkStart w:id="298" w:name="_Toc484716027"/>
      <w:r>
        <w:rPr>
          <w:rFonts w:ascii="Verdana" w:hAnsi="Verdana" w:cs="Arial"/>
          <w:lang w:val="pt-BR"/>
        </w:rPr>
        <w:t>Tributação das Debêntures</w:t>
      </w:r>
      <w:bookmarkEnd w:id="297"/>
      <w:bookmarkEnd w:id="298"/>
      <w:r>
        <w:rPr>
          <w:rFonts w:ascii="Verdana" w:hAnsi="Verdana" w:cs="Arial"/>
          <w:lang w:val="pt-BR"/>
        </w:rPr>
        <w:t xml:space="preserve"> </w:t>
      </w:r>
    </w:p>
    <w:p>
      <w:pPr>
        <w:pStyle w:val="HOMEBRBodyText"/>
        <w:spacing w:line="300" w:lineRule="exact"/>
        <w:rPr>
          <w:rFonts w:ascii="Verdana" w:hAnsi="Verdana" w:cs="Arial"/>
        </w:rPr>
      </w:pPr>
      <w:r>
        <w:rPr>
          <w:rFonts w:ascii="Verdana" w:hAnsi="Verdana" w:cs="Arial"/>
        </w:rPr>
        <w:t xml:space="preserve">O disposto neste capítulo foi elaborado com base na legislação brasileira em vigor na data de aprovação deste Prospecto, e tem por objetivo descrever genericamente o tratamento tributário aplicável aos investidores, no caso de as Debêntures cumprirem integralmente os requisitos previstos nos artigos 1º e 2º da Lei 12.431. </w:t>
      </w:r>
    </w:p>
    <w:p>
      <w:pPr>
        <w:pStyle w:val="HOMEBRBodyText"/>
        <w:keepLines w:val="0"/>
        <w:spacing w:line="300" w:lineRule="exact"/>
        <w:rPr>
          <w:rFonts w:ascii="Verdana" w:hAnsi="Verdana" w:cs="Arial"/>
        </w:rPr>
      </w:pPr>
      <w:r>
        <w:rPr>
          <w:rFonts w:ascii="Verdana" w:hAnsi="Verdana" w:cs="Arial"/>
        </w:rPr>
        <w:t>Caso a Emissora não tenha êxito em alocar integralmente os recursos captados pelas Debêntures no pagamento futuro ou no reembolso de gastos, despesas ou dívidas relacionados ao Projeto, a Emissora estará sujeita à multa equivalente a 20% do valor captado e não alocado no Projeto, mantido, mesmo nesta hipótese, o tratamento tributário abaixo descrito.</w:t>
      </w:r>
    </w:p>
    <w:p>
      <w:pPr>
        <w:pStyle w:val="HOMEBRBodyText"/>
        <w:keepLines w:val="0"/>
        <w:spacing w:line="300" w:lineRule="exact"/>
        <w:rPr>
          <w:rFonts w:ascii="Verdana" w:hAnsi="Verdana" w:cs="Arial"/>
        </w:rPr>
      </w:pPr>
      <w:r>
        <w:rPr>
          <w:rFonts w:ascii="Verdana" w:hAnsi="Verdana" w:cs="Arial"/>
        </w:rPr>
        <w:t>Os comentários desta seção tomam por base a interpretação da legislação vigente em termos gerais, podendo haver exceções, motivo pelo qual os investidores devem consultar seus assessores jurídicos com relação à tributação aplicável nos investimentos realizados nas Debêntures.</w:t>
      </w:r>
    </w:p>
    <w:p>
      <w:pPr>
        <w:pStyle w:val="HOMEBRBodyText"/>
        <w:keepLines w:val="0"/>
        <w:spacing w:line="300" w:lineRule="exact"/>
        <w:rPr>
          <w:rFonts w:ascii="Verdana" w:hAnsi="Verdana" w:cs="Arial"/>
        </w:rPr>
      </w:pPr>
      <w:r>
        <w:rPr>
          <w:rFonts w:ascii="Verdana" w:hAnsi="Verdana" w:cs="Arial"/>
        </w:rPr>
        <w:t xml:space="preserve">Os Debenturistas não devem considerar unicamente as informações contidas neste Prospecto para fins de avaliar o tratamento tributário de seu investimento nas Debêntures, devendo consultar seus próprios assessores quanto à tributação específica à qual estarão sujeitos, especialmente quanto a outros tributos que não o imposto de renda eventualmente aplicáveis a esse investimento ou a ganhos porventura auferidos em transações com Debêntures. </w:t>
      </w:r>
    </w:p>
    <w:p>
      <w:pPr>
        <w:pStyle w:val="HOMEBRBodyText"/>
        <w:keepLines w:val="0"/>
        <w:spacing w:line="300" w:lineRule="exact"/>
        <w:rPr>
          <w:rFonts w:ascii="Verdana" w:hAnsi="Verdana" w:cs="Arial"/>
          <w:b/>
          <w:i/>
        </w:rPr>
      </w:pPr>
      <w:r>
        <w:rPr>
          <w:rFonts w:ascii="Verdana" w:hAnsi="Verdana" w:cs="Arial"/>
          <w:b/>
        </w:rPr>
        <w:t>Adicionalmente, os potenciais investidores deverão ler a seção “Fatores de Risco Relacionados à Oferta e às Debêntures – “</w:t>
      </w:r>
      <w:r>
        <w:rPr>
          <w:rFonts w:ascii="Verdana" w:hAnsi="Verdana" w:cs="Arial"/>
          <w:b/>
          <w:i/>
        </w:rPr>
        <w:t xml:space="preserve">Caso as Debêntures deixem de satisfazer determinadas características que as enquadrem como Debêntures de Infraestrutura, a Emissora não pode garantir que elas continuarão a receber o tratamento tributário diferenciado previsto na Lei 12.431, inclusive, a Emissora não pode garantir que a Lei 12.431 não será novamente alterada, questionada, extinta ou substituída por leis mais restritivas” </w:t>
      </w:r>
      <w:r>
        <w:rPr>
          <w:rFonts w:ascii="Verdana" w:hAnsi="Verdana" w:cs="Arial"/>
          <w:b/>
        </w:rPr>
        <w:t>– na página [</w:t>
      </w:r>
      <w:r>
        <w:rPr>
          <w:rFonts w:ascii="Verdana" w:hAnsi="Verdana" w:cs="Arial"/>
          <w:b/>
        </w:rPr>
        <w:sym w:font="Symbol" w:char="F0B7"/>
      </w:r>
      <w:r>
        <w:rPr>
          <w:rFonts w:ascii="Verdana" w:hAnsi="Verdana" w:cs="Arial"/>
          <w:b/>
        </w:rPr>
        <w:t>] deste Prospecto.</w:t>
      </w:r>
    </w:p>
    <w:p>
      <w:pPr>
        <w:pStyle w:val="HOMEBRNOTOCH3"/>
        <w:keepNext w:val="0"/>
        <w:keepLines w:val="0"/>
        <w:spacing w:line="300" w:lineRule="exact"/>
        <w:outlineLvl w:val="0"/>
        <w:rPr>
          <w:rFonts w:ascii="Verdana" w:hAnsi="Verdana" w:cs="Arial"/>
          <w:u w:val="single"/>
          <w:lang w:val="pt-BR"/>
        </w:rPr>
      </w:pPr>
      <w:r>
        <w:rPr>
          <w:rFonts w:ascii="Verdana" w:hAnsi="Verdana" w:cs="Arial"/>
          <w:lang w:val="pt-BR"/>
        </w:rPr>
        <w:t>IR Fonte</w:t>
      </w:r>
    </w:p>
    <w:p>
      <w:pPr>
        <w:pStyle w:val="HOMEBRNOTOCH5"/>
        <w:keepNext w:val="0"/>
        <w:keepLines w:val="0"/>
        <w:spacing w:line="300" w:lineRule="exact"/>
        <w:outlineLvl w:val="0"/>
        <w:rPr>
          <w:rFonts w:ascii="Verdana" w:hAnsi="Verdana" w:cs="Arial"/>
        </w:rPr>
      </w:pPr>
      <w:r>
        <w:rPr>
          <w:rFonts w:ascii="Verdana" w:hAnsi="Verdana" w:cs="Arial"/>
        </w:rPr>
        <w:t>Titulares de Debêntures residentes no Brasil</w:t>
      </w:r>
    </w:p>
    <w:p>
      <w:pPr>
        <w:pStyle w:val="HOMEBRBodyText"/>
        <w:keepLines w:val="0"/>
        <w:spacing w:line="300" w:lineRule="exact"/>
        <w:rPr>
          <w:rFonts w:ascii="Verdana" w:hAnsi="Verdana" w:cs="Arial"/>
        </w:rPr>
      </w:pPr>
      <w:bookmarkStart w:id="299" w:name="_DV_M569"/>
      <w:bookmarkEnd w:id="299"/>
      <w:r>
        <w:rPr>
          <w:rFonts w:ascii="Verdana" w:hAnsi="Verdana" w:cs="Arial"/>
        </w:rPr>
        <w:t xml:space="preserve">Os rendimentos decorrentes dos investimentos nas Debêntures, incluindo os ganhos de capital auferidos em sua alienação, estarão sujeitos à incidência do IR Fonte: (i) à alíquota de 0%, quando auferidos por pessoas físicas; e (ii) à alíquota de 15%, quando auferidos por pessoa jurídica, hipótese em que os rendimentos serão excluídos na apuração do lucro real para fins de cálculo do Imposto de Renda da Pessoa Jurídica e adicionados à base de cálculo da Contribuição Social sobre o Lucro Líquido. </w:t>
      </w:r>
    </w:p>
    <w:p>
      <w:pPr>
        <w:pStyle w:val="HOMEBRNOTOCH5"/>
        <w:spacing w:line="300" w:lineRule="exact"/>
        <w:rPr>
          <w:rFonts w:ascii="Verdana" w:hAnsi="Verdana" w:cs="Arial"/>
        </w:rPr>
      </w:pPr>
      <w:bookmarkStart w:id="300" w:name="_DV_M573"/>
      <w:bookmarkStart w:id="301" w:name="_DV_M575"/>
      <w:bookmarkEnd w:id="300"/>
      <w:bookmarkEnd w:id="301"/>
      <w:r>
        <w:rPr>
          <w:rFonts w:ascii="Verdana" w:hAnsi="Verdana" w:cs="Arial"/>
        </w:rPr>
        <w:lastRenderedPageBreak/>
        <w:t>Titulares de Debêntures não residentes no Brasil</w:t>
      </w:r>
    </w:p>
    <w:p>
      <w:pPr>
        <w:pStyle w:val="HOMEBRBodyText"/>
        <w:spacing w:line="300" w:lineRule="exact"/>
        <w:rPr>
          <w:rFonts w:ascii="Verdana" w:hAnsi="Verdana" w:cs="Arial"/>
        </w:rPr>
      </w:pPr>
      <w:bookmarkStart w:id="302" w:name="_DV_M576"/>
      <w:bookmarkEnd w:id="302"/>
      <w:r>
        <w:rPr>
          <w:rFonts w:ascii="Verdana" w:hAnsi="Verdana" w:cs="Arial"/>
        </w:rPr>
        <w:t>Aos investidores residentes no exterior que realizem investimento em conformidade com a Resolução CMN 4.373 é aplicável tratamento tributário específico determinado em função de residirem ou não em uma Jurisdição de Tributação Favorecida.</w:t>
      </w:r>
    </w:p>
    <w:p>
      <w:pPr>
        <w:pStyle w:val="HOMEBRIdentBullet"/>
        <w:spacing w:line="300" w:lineRule="exact"/>
        <w:rPr>
          <w:rFonts w:ascii="Verdana" w:hAnsi="Verdana" w:cs="Arial"/>
          <w:lang w:val="pt-BR"/>
        </w:rPr>
      </w:pPr>
      <w:r>
        <w:rPr>
          <w:rFonts w:ascii="Verdana" w:hAnsi="Verdana" w:cs="Arial"/>
          <w:lang w:val="pt-BR"/>
        </w:rPr>
        <w:t>(a)</w:t>
      </w:r>
      <w:r>
        <w:rPr>
          <w:rFonts w:ascii="Verdana" w:hAnsi="Verdana" w:cs="Arial"/>
          <w:lang w:val="pt-BR"/>
        </w:rPr>
        <w:tab/>
        <w:t>Investidores não residentes no Brasil que não estejam domiciliados em Jurisdição de Tributação Favorecida: os rendimentos decorrentes dos investimentos nas Debêntures, inclusive os ganhos de capital auferidos em sua alienação, estarão sujeitos à incidência do IR Fonte à alíquota de 0%.</w:t>
      </w:r>
    </w:p>
    <w:p>
      <w:pPr>
        <w:pStyle w:val="HOMEBRIdentBullet"/>
        <w:spacing w:line="300" w:lineRule="exact"/>
        <w:rPr>
          <w:rFonts w:ascii="Verdana" w:hAnsi="Verdana" w:cs="Arial"/>
          <w:lang w:val="pt-BR"/>
        </w:rPr>
      </w:pPr>
      <w:r>
        <w:rPr>
          <w:rFonts w:ascii="Verdana" w:hAnsi="Verdana" w:cs="Arial"/>
          <w:lang w:val="pt-BR"/>
        </w:rPr>
        <w:t>(b)</w:t>
      </w:r>
      <w:r>
        <w:rPr>
          <w:rFonts w:ascii="Verdana" w:hAnsi="Verdana" w:cs="Arial"/>
          <w:lang w:val="pt-BR"/>
        </w:rPr>
        <w:tab/>
        <w:t xml:space="preserve">Investidores não residentes no Brasil que estejam domiciliados em Jurisdição de Tributação Favorecida: os rendimentos e ganhos decorrentes dos investimentos nas Debêntures estarão sujeitos à incidência do IR Fonte, que será cobrado segundo o prazo do investimento nas Debêntures, com a aplicação de alíquotas decrescentes do IR Fonte: (i) 22,50%, para aplicações com prazo de até 180 dias, (ii) 20%, para aplicações com prazo de 181 dias até 360 dias, (iii) 17,50%, para aplicações com prazo de 361 dias até 720 dias, ou (iv) 15%, para aplicações com prazo acima de 720 dias. Os ganhos auferidos na alienação das Debêntures estarão sujeitos à tributação pelo Imposto de Renda (i) à alíquota de 25% em caso de negociação conduzida fora de bolsa de valores ou mercado de balcão organizado. Adicionalmente, sobre as operações realizadas em ambiente de bolsa, mercado de balcão organizado ou mercado de balcão não organizado com intermediação, haverá retenção do IR Fonte, à alíquota de 0,005%. </w:t>
      </w:r>
    </w:p>
    <w:p>
      <w:pPr>
        <w:pStyle w:val="HOMEBRNOTOCH3"/>
        <w:spacing w:line="300" w:lineRule="exact"/>
        <w:outlineLvl w:val="0"/>
        <w:rPr>
          <w:rFonts w:ascii="Verdana" w:hAnsi="Verdana" w:cs="Arial"/>
          <w:u w:val="single"/>
          <w:lang w:val="pt-BR"/>
        </w:rPr>
      </w:pPr>
      <w:r>
        <w:rPr>
          <w:rFonts w:ascii="Verdana" w:hAnsi="Verdana" w:cs="Arial"/>
          <w:u w:val="single"/>
          <w:lang w:val="pt-BR"/>
        </w:rPr>
        <w:t xml:space="preserve">Imposto sobre Operações que Envolvam Títulos e Valores Mobiliários </w:t>
      </w:r>
    </w:p>
    <w:p>
      <w:pPr>
        <w:pStyle w:val="HOMEBRBodyText"/>
        <w:spacing w:line="300" w:lineRule="exact"/>
        <w:rPr>
          <w:rFonts w:ascii="Verdana" w:hAnsi="Verdana" w:cs="Arial"/>
        </w:rPr>
      </w:pPr>
      <w:bookmarkStart w:id="303" w:name="_DV_M574"/>
      <w:bookmarkEnd w:id="303"/>
      <w:r>
        <w:rPr>
          <w:rFonts w:ascii="Verdana" w:hAnsi="Verdana" w:cs="Arial"/>
        </w:rPr>
        <w:t xml:space="preserve">As operações com Debêntures estão sujeitas ao IOF/Títulos à alíquota de 0%. A alíquota do IOF/Títulos pode ser majorada a qualquer tempo por ato do Poder Executivo, até o percentual de 1,5% ao dia, embora essa possibilidade seja válida apenas para as transações efetuadas em data futura à majoração da alíquota. </w:t>
      </w:r>
    </w:p>
    <w:p>
      <w:pPr>
        <w:pStyle w:val="HOMEBRNOTOCH3"/>
        <w:keepNext w:val="0"/>
        <w:keepLines w:val="0"/>
        <w:widowControl w:val="0"/>
        <w:spacing w:line="300" w:lineRule="exact"/>
        <w:outlineLvl w:val="0"/>
        <w:rPr>
          <w:rFonts w:ascii="Verdana" w:hAnsi="Verdana" w:cs="Arial"/>
          <w:u w:val="single"/>
          <w:lang w:val="pt-BR"/>
        </w:rPr>
      </w:pPr>
      <w:r>
        <w:rPr>
          <w:rFonts w:ascii="Verdana" w:hAnsi="Verdana" w:cs="Arial"/>
          <w:u w:val="single"/>
          <w:lang w:val="pt-BR"/>
        </w:rPr>
        <w:t xml:space="preserve">Imposto sobre Operações de Câmbio </w:t>
      </w:r>
    </w:p>
    <w:p>
      <w:pPr>
        <w:pStyle w:val="HOMEBRBodyText"/>
        <w:keepLines w:val="0"/>
        <w:widowControl w:val="0"/>
        <w:spacing w:line="300" w:lineRule="exact"/>
        <w:rPr>
          <w:rFonts w:ascii="Verdana" w:hAnsi="Verdana" w:cs="Arial"/>
        </w:rPr>
      </w:pPr>
      <w:bookmarkStart w:id="304" w:name="_DV_M586"/>
      <w:bookmarkEnd w:id="304"/>
      <w:r>
        <w:rPr>
          <w:rFonts w:ascii="Verdana" w:hAnsi="Verdana" w:cs="Arial"/>
        </w:rPr>
        <w:t>Conversões de moeda estrangeira para a moeda Brasileira, bem como de moeda Brasileira para moeda estrangeira, porventura geradas no investimento em Debêntures, estarão sujeitas ao IOF/Câmbio. A despeito de atualmente a alíquota do IOF/Câmbio aplicável à maioria das operações de câmbio ser de 0,38%, as operações de câmbio conduzidas por investidores residentes e domiciliados no exterior, por ingressarem recursos no Brasil por intermédio dos mecanismos previstos na Resolução CMN 4.373 para fins de investimento nos mercados financeiro e de capitais, e vinculadas às aplicações nas Debêntures estão sujeitas à alíquota de 0% do IOF/Câmbio. Em qualquer caso, a alíquota do IOF/Câmbio pode ser majorada a qualquer tempo, por ato do Poder Executivo, até o percentual de 25%, relativamente a operações ocorridas após tal eventual aumento.</w:t>
      </w:r>
    </w:p>
    <w:p>
      <w:pPr>
        <w:pStyle w:val="HOMEBRNOTOCH3"/>
        <w:spacing w:line="300" w:lineRule="exact"/>
        <w:outlineLvl w:val="0"/>
        <w:rPr>
          <w:rFonts w:ascii="Verdana" w:hAnsi="Verdana" w:cs="Arial"/>
          <w:u w:val="single"/>
          <w:lang w:val="pt-BR"/>
        </w:rPr>
      </w:pPr>
      <w:r>
        <w:rPr>
          <w:rFonts w:ascii="Verdana" w:hAnsi="Verdana" w:cs="Arial"/>
          <w:u w:val="single"/>
          <w:lang w:val="pt-BR"/>
        </w:rPr>
        <w:lastRenderedPageBreak/>
        <w:t>Outros Impostos válidos no Brasil</w:t>
      </w:r>
    </w:p>
    <w:p>
      <w:pPr>
        <w:pStyle w:val="HOMEBRBodyText"/>
        <w:spacing w:line="300" w:lineRule="exact"/>
        <w:rPr>
          <w:rFonts w:ascii="Verdana" w:hAnsi="Verdana" w:cs="Arial"/>
        </w:rPr>
      </w:pPr>
      <w:bookmarkStart w:id="305" w:name="_DV_M592"/>
      <w:bookmarkEnd w:id="305"/>
      <w:r>
        <w:rPr>
          <w:rFonts w:ascii="Verdana" w:hAnsi="Verdana" w:cs="Arial"/>
        </w:rPr>
        <w:t>No âmbito federal, o sistema fiscal brasileiro não prevê o pagamento de impostos sobre herança, doações ou sucessões, aplicados sobre a propriedade, transmissão ou alienação de capital. Entretanto, impostos sobre doações e herança são cobrados em alguns estados do País sobre transações efetuadas por investidores não residentes em benefício de indivíduos ou instituições domiciliadas ou residentes nessas unidades federativas. Segundo as normas brasileiras, os investidores não residentes não estão sujeitos ao pagamento de impostos ou taxas semelhantes sobre selo, emissão, registro ou similares.</w:t>
      </w:r>
    </w:p>
    <w:p>
      <w:pPr>
        <w:pStyle w:val="HOMEBRNOTOCH3"/>
        <w:spacing w:line="300" w:lineRule="exact"/>
        <w:outlineLvl w:val="0"/>
        <w:rPr>
          <w:rFonts w:ascii="Verdana" w:hAnsi="Verdana" w:cs="Arial"/>
          <w:u w:val="single"/>
          <w:lang w:val="pt-BR"/>
        </w:rPr>
      </w:pPr>
      <w:r>
        <w:rPr>
          <w:rFonts w:ascii="Verdana" w:hAnsi="Verdana" w:cs="Arial"/>
          <w:u w:val="single"/>
          <w:lang w:val="pt-BR"/>
        </w:rPr>
        <w:t xml:space="preserve">Verificação de Imunidade ou Isenção Tributária dos Debenturistas </w:t>
      </w:r>
    </w:p>
    <w:p>
      <w:pPr>
        <w:pStyle w:val="HOMEBRBodyText"/>
        <w:spacing w:line="300" w:lineRule="exact"/>
        <w:rPr>
          <w:rFonts w:ascii="Verdana" w:hAnsi="Verdana" w:cs="Arial"/>
        </w:rPr>
      </w:pPr>
      <w:r>
        <w:rPr>
          <w:rFonts w:ascii="Verdana" w:hAnsi="Verdana" w:cs="Arial"/>
        </w:rPr>
        <w:t>Caso qualquer Debenturista goze de algum tipo de imunidade ou isenção tributária, este deverá encaminhar ao Banco Liquidante, com cópia para a Emissora, no prazo mínimo de 10 Dias Úteis antes das datas previstas de pagamento das Debêntures, documentação comprobatória dessa imunidade ou isenção tributária, sob pena de ter descontado dos seus rendimentos os valores devidos nos termos da legislação tributária em vigor, como se não fosse imune ou gozasse de isenção tributária. Caso a documentação comprobatória da imunidade de que trata este parágrafo não seja suficiente para comprová-la, o pagamento será realizado com o desconto da alíquota dos tributos incidentes, nos termos da legislação tributária em vigor e da Lei 12.431.</w:t>
      </w:r>
    </w:p>
    <w:p>
      <w:pPr>
        <w:pStyle w:val="HOMEBRBodyText"/>
        <w:spacing w:line="300" w:lineRule="exact"/>
        <w:rPr>
          <w:rFonts w:ascii="Verdana" w:hAnsi="Verdana" w:cs="Arial"/>
        </w:rPr>
      </w:pPr>
      <w:r>
        <w:rPr>
          <w:rFonts w:ascii="Verdana" w:hAnsi="Verdana" w:cs="Arial"/>
        </w:rPr>
        <w:t>Será de responsabilidade do Banco Liquidante a avaliação e validação da imunidade ou isenção tributária, podendo, inclusive, solicitar documentos adicionais para a comprovação de mencionada situação jurídica tributária. Desta forma, enquanto pendente o processo de avaliação, não poderá ser imputada à Emissora ou ao Banco Liquidante qualquer responsabilidade pelo não pagamento no prazo estabelecido por meio da Escritura.</w:t>
      </w:r>
    </w:p>
    <w:p>
      <w:pPr>
        <w:pStyle w:val="HOMEBRBodyText"/>
        <w:spacing w:line="300" w:lineRule="exact"/>
        <w:rPr>
          <w:rFonts w:ascii="Verdana" w:hAnsi="Verdana" w:cs="Arial"/>
        </w:rPr>
      </w:pPr>
      <w:r>
        <w:rPr>
          <w:rFonts w:ascii="Verdana" w:hAnsi="Verdana" w:cs="Arial"/>
        </w:rPr>
        <w:t>Mesmo que tenha recebido a documentação comprobatória referida acima, e desde que tenha fundamento legal para tanto, fica facultado à Emissora depositar em juízo ou descontar de quaisquer valores relacionados às Debêntures a tributação que entender devida.</w:t>
      </w:r>
    </w:p>
    <w:p>
      <w:pPr>
        <w:pStyle w:val="HOMEBRNOTOCH3"/>
        <w:spacing w:line="300" w:lineRule="exact"/>
        <w:outlineLvl w:val="0"/>
        <w:rPr>
          <w:rFonts w:ascii="Verdana" w:hAnsi="Verdana" w:cs="Arial"/>
          <w:u w:val="single"/>
          <w:lang w:val="pt-BR"/>
        </w:rPr>
      </w:pPr>
      <w:r>
        <w:rPr>
          <w:rFonts w:ascii="Verdana" w:hAnsi="Verdana" w:cs="Arial"/>
          <w:u w:val="single"/>
          <w:lang w:val="pt-BR"/>
        </w:rPr>
        <w:t>Multa</w:t>
      </w:r>
    </w:p>
    <w:p>
      <w:pPr>
        <w:pStyle w:val="HOMEBRBodyText"/>
        <w:spacing w:line="300" w:lineRule="exact"/>
        <w:rPr>
          <w:rFonts w:ascii="Verdana" w:hAnsi="Verdana" w:cs="Arial"/>
        </w:rPr>
      </w:pPr>
      <w:r>
        <w:rPr>
          <w:rFonts w:ascii="Verdana" w:hAnsi="Verdana" w:cs="Arial"/>
        </w:rPr>
        <w:t>Considerando a atratividade da tributação relacionada com as Debêntures de Infraestrutura, os tomadores dos recursos captados, e não seus investidores, estão sujeitos à multa, nos termos do parágrafo 8º, do artigo 1º e parágrafo 5º do artigo 2º da Lei 12.431, caso os recursos não sejam destinados aos projetos de investimento a eles relacionados, conforme descrito na seção “Destinação dos Recursos” na página [</w:t>
      </w:r>
      <w:r>
        <w:rPr>
          <w:rFonts w:ascii="Verdana" w:hAnsi="Verdana" w:cs="Arial"/>
        </w:rPr>
        <w:sym w:font="Symbol" w:char="F0B7"/>
      </w:r>
      <w:r>
        <w:rPr>
          <w:rFonts w:ascii="Verdana" w:hAnsi="Verdana" w:cs="Arial"/>
        </w:rPr>
        <w:t>] deste Prospecto. A referida multa equivale a 20% do montante total dos recursos captados não investido nos projetos de investimento, e é devida pelo referido emissor à Receita Federal do Brasil.</w:t>
      </w:r>
    </w:p>
    <w:p>
      <w:pPr>
        <w:pStyle w:val="HOMEBRNOTOCH3"/>
        <w:spacing w:line="300" w:lineRule="exact"/>
        <w:outlineLvl w:val="0"/>
        <w:rPr>
          <w:rFonts w:ascii="Verdana" w:hAnsi="Verdana" w:cs="Arial"/>
          <w:u w:val="single"/>
          <w:lang w:val="pt-BR"/>
        </w:rPr>
      </w:pPr>
      <w:r>
        <w:rPr>
          <w:rFonts w:ascii="Verdana" w:hAnsi="Verdana" w:cs="Arial"/>
          <w:u w:val="single"/>
          <w:lang w:val="pt-BR"/>
        </w:rPr>
        <w:lastRenderedPageBreak/>
        <w:t>Alteração de Tratamento Tributário</w:t>
      </w:r>
    </w:p>
    <w:p>
      <w:pPr>
        <w:pStyle w:val="HOMEBRNOTOCH3"/>
        <w:spacing w:line="300" w:lineRule="exact"/>
        <w:outlineLvl w:val="0"/>
        <w:rPr>
          <w:rFonts w:ascii="Verdana" w:hAnsi="Verdana" w:cs="Arial"/>
          <w:b w:val="0"/>
          <w:lang w:val="pt-BR"/>
        </w:rPr>
      </w:pPr>
      <w:r>
        <w:rPr>
          <w:rFonts w:ascii="Verdana" w:hAnsi="Verdana" w:cs="Arial"/>
          <w:b w:val="0"/>
          <w:lang w:val="pt-BR"/>
        </w:rPr>
        <w:t xml:space="preserve">Sem prejuízo da multa disposta acima, caso, a qualquer momento durante a vigência da Emissão e até a data da liquidação integral das Debêntures: (i) as Debêntures deixem de gozar do tratamento tributário previsto na Lei nº 12.431; ou (ii) haja qualquer retenção de tributos sobre os rendimentos das Debêntures, por qualquer motivo, inclusive mas não se limitando, em razão de revogação ou alteração da Lei nº 12.431 ou edição de lei determinando a incidência de imposto de renda retido na fonte ou quaisquer outros tributos sobre os rendimentos das Debêntures, em qualquer das hipóteses, a Emissora:  </w:t>
      </w:r>
    </w:p>
    <w:p>
      <w:pPr>
        <w:pStyle w:val="HOMEBRIdentBullet"/>
        <w:spacing w:line="300" w:lineRule="exact"/>
        <w:rPr>
          <w:rFonts w:ascii="Verdana" w:hAnsi="Verdana" w:cs="Arial"/>
          <w:lang w:val="pt-BR"/>
        </w:rPr>
      </w:pPr>
      <w:r>
        <w:rPr>
          <w:rFonts w:ascii="Verdana" w:hAnsi="Verdana" w:cs="Arial"/>
          <w:lang w:val="pt-BR"/>
        </w:rPr>
        <w:t>(a)</w:t>
      </w:r>
      <w:r>
        <w:rPr>
          <w:rFonts w:ascii="Verdana" w:hAnsi="Verdana" w:cs="Arial"/>
          <w:lang w:val="pt-BR"/>
        </w:rPr>
        <w:tab/>
        <w:t xml:space="preserve">deverá arcar com todos os tributos que venham a ser devidos pelos Debenturistas, bem como com qualquer multa a ser paga nos termos da Lei nº 12.431, se aplicável, de modo que a Emissora deverá acrescer aos pagamentos de Atualização Monetária e Juros Remuneratórios valores adicionais suficientes para que os Debenturistas recebam tais pagamentos como se os referidos valores não fossem incidentes; e </w:t>
      </w:r>
    </w:p>
    <w:p>
      <w:pPr>
        <w:pStyle w:val="HOMEBRIdentBullet"/>
        <w:spacing w:line="300" w:lineRule="exact"/>
        <w:rPr>
          <w:rFonts w:ascii="Verdana" w:hAnsi="Verdana" w:cs="Arial"/>
          <w:b/>
          <w:lang w:val="pt-BR"/>
        </w:rPr>
      </w:pPr>
      <w:r>
        <w:rPr>
          <w:rFonts w:ascii="Verdana" w:hAnsi="Verdana" w:cs="Arial"/>
          <w:lang w:val="pt-BR"/>
        </w:rPr>
        <w:t>(b)</w:t>
      </w:r>
      <w:r>
        <w:rPr>
          <w:rFonts w:ascii="Verdana" w:hAnsi="Verdana" w:cs="Arial"/>
          <w:lang w:val="pt-BR"/>
        </w:rPr>
        <w:tab/>
        <w:t>sem prejuízo do disposto na alínea “(a)”, acima, poderá, a seu exclusivo critério, realizar resgate antecipado para a totalidade das Debêntures, independentemente de qualquer procedimento ou aprovação, desde que permitido pela legislação e regulamentação aplicáveis, incluindo, sem limitação, as regras expedidas pelo CMN. Até que o resgate decorrente do resgate antecipado previsto acima seja realizado, a Emissora deverá arcar com todos os tributos que venham a ser devidos pelos Debenturistas, bem como com qualquer multa a ser paga nos termos da Lei nº 12.431, se aplicável, de modo que a Emissora deverá acrescer aos pagamentos de Atualização Monetária e Juros Remuneratórios, valores adicionais suficientes para que os Debenturistas recebam tais pagamentos como se os referidos valores não fossem incidentes.</w:t>
      </w:r>
    </w:p>
    <w:p>
      <w:pPr>
        <w:pStyle w:val="HOMEBRNOTOCH3"/>
        <w:spacing w:line="300" w:lineRule="exact"/>
        <w:outlineLvl w:val="0"/>
        <w:rPr>
          <w:rFonts w:ascii="Verdana" w:hAnsi="Verdana" w:cs="Arial"/>
          <w:u w:val="single"/>
          <w:lang w:val="pt-BR"/>
        </w:rPr>
      </w:pPr>
      <w:r>
        <w:rPr>
          <w:rFonts w:ascii="Verdana" w:hAnsi="Verdana" w:cs="Arial"/>
          <w:u w:val="single"/>
          <w:lang w:val="pt-BR"/>
        </w:rPr>
        <w:t>Prazo de Isenção</w:t>
      </w:r>
    </w:p>
    <w:p>
      <w:pPr>
        <w:pStyle w:val="HOMEBRBodyText"/>
        <w:spacing w:line="300" w:lineRule="exact"/>
        <w:rPr>
          <w:rFonts w:ascii="Verdana" w:hAnsi="Verdana" w:cs="Arial"/>
          <w:b/>
        </w:rPr>
      </w:pPr>
      <w:r>
        <w:rPr>
          <w:rFonts w:ascii="Verdana" w:hAnsi="Verdana" w:cs="Arial"/>
        </w:rPr>
        <w:t>A Lei nº 13.043, de 13 de novembro de 2014, conforme alterada, prorrogou as alíquotas constantes das Debêntures de Infraestrutura, nos termos da Lei 12.431, para emissões que ocorrerem até 31 de dezembro de 2030.</w:t>
      </w:r>
      <w:bookmarkEnd w:id="282"/>
    </w:p>
    <w:p>
      <w:pPr>
        <w:pStyle w:val="Ttulo1"/>
        <w:spacing w:line="300" w:lineRule="exact"/>
        <w:rPr>
          <w:rFonts w:ascii="Verdana" w:hAnsi="Verdana"/>
          <w:sz w:val="24"/>
          <w:lang w:val="pt-BR"/>
        </w:rPr>
      </w:pPr>
      <w:bookmarkStart w:id="306" w:name="_Toc428306471"/>
      <w:bookmarkStart w:id="307" w:name="_Ref434934662"/>
      <w:bookmarkStart w:id="308" w:name="_Ref434934763"/>
      <w:bookmarkStart w:id="309" w:name="_Ref434935494"/>
      <w:bookmarkStart w:id="310" w:name="_Ref434935520"/>
      <w:bookmarkStart w:id="311" w:name="_Ref434935550"/>
      <w:bookmarkStart w:id="312" w:name="_Ref434935577"/>
      <w:bookmarkStart w:id="313" w:name="_Ref434935837"/>
      <w:bookmarkStart w:id="314" w:name="_Ref434935865"/>
      <w:bookmarkStart w:id="315" w:name="_Ref434936671"/>
      <w:bookmarkStart w:id="316" w:name="_Ref434936753"/>
      <w:bookmarkStart w:id="317" w:name="_Ref459515407"/>
      <w:bookmarkStart w:id="318" w:name="_Ref483332001"/>
      <w:bookmarkStart w:id="319" w:name="_Ref483332217"/>
      <w:bookmarkStart w:id="320" w:name="_Ref483332466"/>
      <w:bookmarkStart w:id="321" w:name="_Ref483332532"/>
      <w:bookmarkStart w:id="322" w:name="_Ref483332543"/>
      <w:bookmarkStart w:id="323" w:name="_Ref483332661"/>
      <w:bookmarkStart w:id="324" w:name="_Ref483332671"/>
      <w:bookmarkStart w:id="325" w:name="_Ref484522964"/>
      <w:bookmarkStart w:id="326" w:name="_Ref484524063"/>
      <w:bookmarkStart w:id="327" w:name="_Ref484524844"/>
      <w:bookmarkStart w:id="328" w:name="_Ref484524856"/>
      <w:bookmarkStart w:id="329" w:name="_Ref484533947"/>
      <w:bookmarkStart w:id="330" w:name="_Ref484533953"/>
      <w:bookmarkStart w:id="331" w:name="_Toc484716028"/>
      <w:r>
        <w:rPr>
          <w:rFonts w:ascii="Verdana" w:hAnsi="Verdana"/>
          <w:lang w:val="pt-BR"/>
        </w:rPr>
        <w:lastRenderedPageBreak/>
        <w:t>FATORES DE RISCO RELACIONADOS À OFERTA E ÀS DEBêNTURES</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pPr>
        <w:pStyle w:val="HOMEBRBodyText"/>
        <w:spacing w:line="300" w:lineRule="exact"/>
        <w:rPr>
          <w:rFonts w:ascii="Verdana" w:hAnsi="Verdana" w:cs="Arial"/>
          <w:i/>
        </w:rPr>
      </w:pPr>
      <w:r>
        <w:rPr>
          <w:rFonts w:ascii="Verdana" w:hAnsi="Verdana" w:cs="Arial"/>
          <w:i/>
        </w:rPr>
        <w:t>Esta seção contempla, exclusivamente, os fatores de risco diretamente relacionados às Debêntures e à Oferta e não descreve todos os fatores de risco relativos à Emissora e suas atividades ou o mercado que atua, os quais o investidor deve considerar antes de subscrever Debêntures no âmbito da Oferta.</w:t>
      </w:r>
    </w:p>
    <w:p>
      <w:pPr>
        <w:pStyle w:val="HOMEBRBodyText"/>
        <w:spacing w:line="300" w:lineRule="exact"/>
        <w:rPr>
          <w:rFonts w:ascii="Verdana" w:hAnsi="Verdana" w:cs="Arial"/>
          <w:i/>
        </w:rPr>
      </w:pPr>
      <w:r>
        <w:rPr>
          <w:rFonts w:ascii="Verdana" w:hAnsi="Verdana" w:cs="Arial"/>
          <w:i/>
        </w:rPr>
        <w:t>O investimento nas Debêntures envolve a exposição a determinados riscos. Antes de tomar qualquer decisão de investimento nas Debêntures, os potenciais investidores devem analisar cuidadosamente todas as informações contidas neste Prospecto e no Formulário de Referência, incorporado por referência a este Prospecto, incluindo os riscos mencionados abaixo e na seção “4. Fatores de Risco” do Formulário de Referência, e as demonstrações financeiras da Emissora e respectivas notas explicativas incorporadas por referência a este Prospecto.</w:t>
      </w:r>
    </w:p>
    <w:p>
      <w:pPr>
        <w:pStyle w:val="HOMEBRBodyText"/>
        <w:spacing w:line="300" w:lineRule="exact"/>
        <w:rPr>
          <w:rFonts w:ascii="Verdana" w:hAnsi="Verdana" w:cs="Arial"/>
          <w:i/>
        </w:rPr>
      </w:pPr>
      <w:r>
        <w:rPr>
          <w:rFonts w:ascii="Verdana" w:hAnsi="Verdana" w:cs="Arial"/>
          <w:i/>
        </w:rPr>
        <w:t>A leitura deste Prospecto não substitui a leitura do Formulário de Referência. Os negócios, a situação financeira, os resultados operacionais, o fluxo de caixa, a liquidez e/ou os negócios atuais e futuros da Emissora podem ser afetados de maneira adversa por qualquer dos fatores de risco mencionados abaixo e na seção “4. Fatores de Risco” do Formulário de Referência. O preço de mercado das Debêntures e a capacidade de pagamento da Emissora podem ser adversamente afetados em razão de qualquer desses e/ou de outros fatores de risco, hipóteses em que os potenciais investidores poderão perder parte substancial ou a totalidade de seu investimento nas Debêntures.</w:t>
      </w:r>
    </w:p>
    <w:p>
      <w:pPr>
        <w:pStyle w:val="HOMEBRBodyText"/>
        <w:spacing w:line="300" w:lineRule="exact"/>
        <w:rPr>
          <w:rFonts w:ascii="Verdana" w:hAnsi="Verdana" w:cs="Arial"/>
          <w:i/>
        </w:rPr>
      </w:pPr>
      <w:r>
        <w:rPr>
          <w:rFonts w:ascii="Verdana" w:hAnsi="Verdana" w:cs="Arial"/>
          <w:i/>
        </w:rPr>
        <w:t>Este Prospecto contém apenas uma descrição resumida dos termos e condições das Debêntures e das obrigações assumidas pela Emissora no âmbito da Oferta. É essencial e indispensável que os Investidores leiam a Escritura e compreendam integralmente seus termos e condições, os quais são específicos desta operação e podem diferir dos termos e condições de outras operações envolvendo risco de crédito. Os potenciais investidores podem perder parte substancial ou todo o seu investimento. Os riscos descritos abaixo e na seção “4. Fatores de Risco” do Formulário de Referência são aqueles que a Emissora e os Coordenadores conhecem e que acreditam que atualmente podem afetar de maneira adversa as Debêntures e a Oferta, podendo riscos adicionais e incertezas atualmente não conhecidos pela Emissora e pelos Coordenadores, ou que estes considerem atualmente irrelevantes, também prejudicar as atividades, situação financeira e resultados operacionais da Emissora, a Oferta e/ou as Debêntures de maneira significativa.</w:t>
      </w:r>
    </w:p>
    <w:p>
      <w:pPr>
        <w:pStyle w:val="HOMEBRBodyText"/>
        <w:spacing w:line="300" w:lineRule="exact"/>
        <w:rPr>
          <w:rFonts w:ascii="Verdana" w:hAnsi="Verdana" w:cs="Arial"/>
          <w:i/>
        </w:rPr>
      </w:pPr>
      <w:r>
        <w:rPr>
          <w:rFonts w:ascii="Verdana" w:hAnsi="Verdana" w:cs="Arial"/>
          <w:i/>
        </w:rPr>
        <w:t>Os riscos descritos abaixo e na seção “4. Fatores de Risco” do Formulário de Referência são aqueles que a Emissora e os Coordenadores conhecem e que acreditam que atualmente podem afetar de maneira adversa as Debêntures e a Oferta e/ou o ambiente macroeconômico, podendo riscos adicionais e incertezas atualmente não conhecidos pela Emissora e pelos Coordenadores, ou que estes considerem atualmente irrelevantes, também prejudicar as atividades, situação financeira e resultados operacionais da Emissora, à Oferta e/ou às Debêntures de maneira significativa.</w:t>
      </w:r>
    </w:p>
    <w:p>
      <w:pPr>
        <w:pStyle w:val="HOMEBRBodyText"/>
        <w:spacing w:line="300" w:lineRule="exact"/>
        <w:rPr>
          <w:rFonts w:ascii="Verdana" w:hAnsi="Verdana" w:cs="Arial"/>
          <w:i/>
        </w:rPr>
      </w:pPr>
      <w:r>
        <w:rPr>
          <w:rFonts w:ascii="Verdana" w:hAnsi="Verdana" w:cs="Arial"/>
          <w:i/>
        </w:rPr>
        <w:lastRenderedPageBreak/>
        <w:t>Para os fins desta seção, exceto se expressamente indicado de maneira diversa ou se o contexto assim o exigir, a menção ao fato de que um risco, incerteza ou problema poderá causar ou ter ou causará ou terá “efeito adverso” ou “efeito negativo” para a Emissora, ou expressões similares, significa que tal risco, incerteza ou problema poderá causar efeito adverso relevante nos negócios, na situação financeira, nos resultados operacionais, no fluxo de caixa, na liquidez e/ou nos negócios atuais e futuros da Emissora, bem como no preço das Debêntures. Expressões similares incluídas nesta seção devem ser compreendidas nesse contexto.</w:t>
      </w:r>
    </w:p>
    <w:p>
      <w:pPr>
        <w:pStyle w:val="HOMEBRNOTOCH3"/>
        <w:keepNext w:val="0"/>
        <w:keepLines w:val="0"/>
        <w:spacing w:line="300" w:lineRule="exact"/>
        <w:rPr>
          <w:rFonts w:ascii="Verdana" w:hAnsi="Verdana" w:cs="Arial"/>
          <w:lang w:val="pt-BR"/>
        </w:rPr>
      </w:pPr>
      <w:r>
        <w:rPr>
          <w:rFonts w:ascii="Verdana" w:hAnsi="Verdana" w:cs="Arial"/>
          <w:lang w:val="pt-BR"/>
        </w:rPr>
        <w:t>RECOMENDA-SE AOS INVESTIDORES DA OFERTA INTERESSADOS QUE CONTATEM SEUS CONSULTORES JURÍDICOS E FINANCEIROS ANTES DE INVESTIR NAS DEBÊNTURES.</w:t>
      </w:r>
    </w:p>
    <w:p>
      <w:pPr>
        <w:spacing w:after="0" w:line="300" w:lineRule="exact"/>
        <w:jc w:val="left"/>
        <w:rPr>
          <w:rFonts w:ascii="Verdana" w:hAnsi="Verdana" w:cs="Arial"/>
          <w:b/>
          <w:smallCaps/>
          <w:lang w:val="pt-BR"/>
        </w:rPr>
      </w:pPr>
      <w:r>
        <w:rPr>
          <w:rFonts w:ascii="Verdana" w:hAnsi="Verdana" w:cs="Arial"/>
          <w:smallCaps/>
          <w:lang w:val="pt-BR"/>
        </w:rPr>
        <w:br w:type="page"/>
      </w:r>
    </w:p>
    <w:p>
      <w:pPr>
        <w:pStyle w:val="HOMEBRNOTOCH3"/>
        <w:keepNext w:val="0"/>
        <w:keepLines w:val="0"/>
        <w:spacing w:line="300" w:lineRule="exact"/>
        <w:outlineLvl w:val="0"/>
        <w:rPr>
          <w:rFonts w:ascii="Verdana" w:hAnsi="Verdana" w:cs="Arial"/>
          <w:smallCaps/>
          <w:lang w:val="pt-BR"/>
        </w:rPr>
      </w:pPr>
      <w:r>
        <w:rPr>
          <w:rFonts w:ascii="Verdana" w:hAnsi="Verdana" w:cs="Arial"/>
          <w:smallCaps/>
          <w:lang w:val="pt-BR"/>
        </w:rPr>
        <w:lastRenderedPageBreak/>
        <w:t>FATORES DE RISCOS RELACIONADOS À EMISSORA E AO AMBIENTE MACROECONÔMICO</w:t>
      </w:r>
    </w:p>
    <w:p>
      <w:pPr>
        <w:pStyle w:val="HOMEBRBodyText"/>
        <w:keepLines w:val="0"/>
        <w:spacing w:line="300" w:lineRule="exact"/>
        <w:rPr>
          <w:rFonts w:ascii="Verdana" w:hAnsi="Verdana" w:cs="Arial"/>
        </w:rPr>
      </w:pPr>
      <w:r>
        <w:rPr>
          <w:rFonts w:ascii="Verdana" w:hAnsi="Verdana" w:cs="Arial"/>
        </w:rPr>
        <w:t>Os fatores de risco relacionados à Emissora, seus controladores, seus acionistas, seus investidores, ao seu ramo de atuação e ao ambiente macroeconômico estão disponíveis em seu Formulário de Referência, na seção “</w:t>
      </w:r>
      <w:r>
        <w:rPr>
          <w:rFonts w:ascii="Verdana" w:hAnsi="Verdana" w:cs="Arial"/>
          <w:iCs/>
        </w:rPr>
        <w:t>4. Fatores de Risco</w:t>
      </w:r>
      <w:r>
        <w:rPr>
          <w:rFonts w:ascii="Verdana" w:hAnsi="Verdana" w:cs="Arial"/>
        </w:rPr>
        <w:t>”, incorporado por referência a este Prospecto</w:t>
      </w:r>
      <w:r>
        <w:rPr>
          <w:rFonts w:ascii="Verdana" w:hAnsi="Verdana" w:cs="Arial"/>
          <w:iCs/>
        </w:rPr>
        <w:t>.</w:t>
      </w:r>
    </w:p>
    <w:p>
      <w:pPr>
        <w:pStyle w:val="HOMEBRNOTOCH3"/>
        <w:keepNext w:val="0"/>
        <w:keepLines w:val="0"/>
        <w:spacing w:line="300" w:lineRule="exact"/>
        <w:outlineLvl w:val="0"/>
        <w:rPr>
          <w:rFonts w:ascii="Verdana" w:hAnsi="Verdana" w:cs="Arial"/>
          <w:smallCaps/>
          <w:lang w:val="pt-BR"/>
        </w:rPr>
      </w:pPr>
      <w:r>
        <w:rPr>
          <w:rFonts w:ascii="Verdana" w:hAnsi="Verdana" w:cs="Arial"/>
          <w:smallCaps/>
          <w:lang w:val="pt-BR"/>
        </w:rPr>
        <w:t>FATORES DE RISCOS RELACIONADOS À OFERTA E ÀS DEBÊNTURES</w:t>
      </w:r>
    </w:p>
    <w:p>
      <w:pPr>
        <w:pStyle w:val="HOMEBRNOTOCH4"/>
        <w:keepNext w:val="0"/>
        <w:keepLines w:val="0"/>
        <w:spacing w:line="300" w:lineRule="exact"/>
        <w:outlineLvl w:val="0"/>
        <w:rPr>
          <w:rFonts w:ascii="Verdana" w:hAnsi="Verdana" w:cs="Arial"/>
        </w:rPr>
      </w:pPr>
      <w:bookmarkStart w:id="332" w:name="caso_as_deb_deixem"/>
      <w:r>
        <w:rPr>
          <w:rFonts w:ascii="Verdana" w:hAnsi="Verdana" w:cs="Arial"/>
        </w:rPr>
        <w:t xml:space="preserve">As Debêntures são da espécie quirografária, sem garantia e sem preferência. </w:t>
      </w:r>
    </w:p>
    <w:p>
      <w:pPr>
        <w:pStyle w:val="HOMEBRBodyText"/>
        <w:keepLines w:val="0"/>
        <w:spacing w:line="300" w:lineRule="exact"/>
        <w:rPr>
          <w:rFonts w:ascii="Verdana" w:hAnsi="Verdana" w:cs="Arial"/>
        </w:rPr>
      </w:pPr>
      <w:r>
        <w:rPr>
          <w:rFonts w:ascii="Verdana" w:hAnsi="Verdana" w:cs="Arial"/>
        </w:rPr>
        <w:t xml:space="preserve">As Debêntures não contarão com qualquer espécie de garantia, conforme previsto neste Prospecto, ou preferência em relação aos demais credores da Emissora, pois são da espécie quirografária. Dessa forma, na hipótese de eventual falência da Emissora, ou de ela ser liquidada, os Debenturistas somente terão preferência no recebimento de valores que lhe forem devidos pela Emissora em face de titulares de créditos subordinados, se houver, e de acionistas da Emissora, ou seja, os titulares das Debêntures estarão subordinados aos demais credores da Emissora que contarem com garantia real ou privilégio (em atendimento ao critério legal de classificação dos créditos na falência). Assim, credores com privilégio (geral ou especial) ou, ainda, com garantias, assim indicados em lei, receberão parte ou totalidade dos recursos que lhe forem devidos em caráter prioritário, antes, portanto, dos Debenturistas. Em caso de liquidação da Emissora, não há garantias de que os ativos da Emissora serão suficientes para quitar seus passivos, razão pela qual não há como garantir que os Debenturistas receberão a totalidade, ou mesmo parte dos seus créditos. </w:t>
      </w:r>
    </w:p>
    <w:p>
      <w:pPr>
        <w:pStyle w:val="HOMEBRBodyText"/>
        <w:keepLines w:val="0"/>
        <w:spacing w:line="300" w:lineRule="exact"/>
        <w:rPr>
          <w:rFonts w:ascii="Verdana" w:hAnsi="Verdana" w:cs="Arial"/>
          <w:b/>
        </w:rPr>
      </w:pPr>
      <w:bookmarkStart w:id="333" w:name="_Hlk536633351"/>
      <w:r>
        <w:rPr>
          <w:rFonts w:ascii="Verdana" w:hAnsi="Verdana" w:cs="Arial"/>
          <w:b/>
          <w:i/>
        </w:rPr>
        <w:t xml:space="preserve">Em caso de recuperação judicial ou falência da Emissora e de sociedades integrantes do grupo econômico da Emissora, não é possível garantir que não ocorrerá a consolidação substancial de ativos e passivos de tais sociedades. </w:t>
      </w:r>
    </w:p>
    <w:p>
      <w:pPr>
        <w:pStyle w:val="HOMEBRBodyText"/>
        <w:keepLines w:val="0"/>
        <w:spacing w:line="300" w:lineRule="exact"/>
        <w:rPr>
          <w:rFonts w:ascii="Verdana" w:hAnsi="Verdana" w:cs="Arial"/>
        </w:rPr>
      </w:pPr>
      <w:r>
        <w:rPr>
          <w:rFonts w:ascii="Verdana" w:hAnsi="Verdana" w:cs="Arial"/>
        </w:rPr>
        <w:t>Em caso de processos de recuperação judicial ou falência da Emissora e de sociedades integrantes do grupo econômico da Emissora, não é possível garantir que o juízo responsável pelo processamento da recuperação judicial ou falência não determinará, ainda que de ofício, independentemente da vontade dos credores, a consolidação substancial dos ativos e passivos de tais sociedades.</w:t>
      </w:r>
    </w:p>
    <w:p>
      <w:pPr>
        <w:pStyle w:val="HOMEBRBodyText"/>
        <w:keepLines w:val="0"/>
        <w:spacing w:line="300" w:lineRule="exact"/>
        <w:rPr>
          <w:rFonts w:ascii="Verdana" w:hAnsi="Verdana" w:cs="Arial"/>
        </w:rPr>
      </w:pPr>
      <w:r>
        <w:rPr>
          <w:rFonts w:ascii="Verdana" w:hAnsi="Verdana" w:cs="Arial"/>
        </w:rPr>
        <w:t xml:space="preserve">Nesse caso, haveria o risco de consolidação substancial com sociedades com situação patrimonial menos favorável que a da Emissora e, nessa hipótese, os Debenturistas podem ter maior dificuldade para recuperar seus créditos decorrentes das Debêntures do que teriam caso a consolidação substancial não ocorresse, dado que o patrimônio da Emissora será consolidado com o patrimônio das outras sociedades de seu grupo econômico, respondendo, sem distinção e conjuntamente, pela satisfação de todos os créditos de todas as sociedades. Isso pode gerar uma situação na qual os Debênturistas podem ser incapazes de recuperar a totalidade, ou mesmo parte, de tais créditos. </w:t>
      </w:r>
      <w:bookmarkEnd w:id="333"/>
    </w:p>
    <w:p>
      <w:pPr>
        <w:pStyle w:val="HOMEBRBodyText"/>
        <w:keepLines w:val="0"/>
        <w:spacing w:line="300" w:lineRule="exact"/>
        <w:rPr>
          <w:rFonts w:ascii="Verdana" w:hAnsi="Verdana" w:cs="Arial"/>
          <w:b/>
        </w:rPr>
      </w:pPr>
      <w:r>
        <w:rPr>
          <w:rFonts w:ascii="Verdana" w:hAnsi="Verdana" w:cs="Arial"/>
          <w:b/>
          <w:i/>
        </w:rPr>
        <w:lastRenderedPageBreak/>
        <w:t xml:space="preserve">Caso as Debêntures deixem de satisfazer determinadas características que as enquadrem como Debêntures de Infraestrutura, a Emissora não pode garantir que elas continuarão a receber o tratamento tributário diferenciado previsto na Lei 12.431, inclusive, a Emissora </w:t>
      </w:r>
      <w:r>
        <w:rPr>
          <w:rFonts w:ascii="Verdana" w:hAnsi="Verdana" w:cs="Arial"/>
          <w:b/>
          <w:i/>
          <w:iCs/>
        </w:rPr>
        <w:t>não pode garantir que a Lei 12.431 não será novamente alterada, questionada, extinta ou substituída por leis mais restritivas</w:t>
      </w:r>
      <w:r>
        <w:rPr>
          <w:rFonts w:ascii="Verdana" w:hAnsi="Verdana" w:cs="Arial"/>
          <w:b/>
          <w:i/>
        </w:rPr>
        <w:t xml:space="preserve">. </w:t>
      </w:r>
    </w:p>
    <w:bookmarkEnd w:id="332"/>
    <w:p>
      <w:pPr>
        <w:pStyle w:val="HOMEBRBodyText"/>
        <w:keepLines w:val="0"/>
        <w:spacing w:line="300" w:lineRule="exact"/>
        <w:rPr>
          <w:rFonts w:ascii="Verdana" w:hAnsi="Verdana" w:cs="Arial"/>
        </w:rPr>
      </w:pPr>
      <w:r>
        <w:rPr>
          <w:rFonts w:ascii="Verdana" w:hAnsi="Verdana" w:cs="Arial"/>
        </w:rPr>
        <w:t>Nos termos da Lei 12.431, foi reduzida para 0% a alíquota do imposto de renda incidente sobre os rendimentos auferidos por pessoas residentes no exterior que tenham se utilizado dos mecanismos de investimento da Resolução CMN 4.373, e que não sejam residentes ou domiciliados em jurisdição de tributação favorecida em decorrência da sua titularidade de, dentre outros, debêntures que atendam determinadas características, e que tenham sido objeto de oferta pública de distribuição por pessoas jurídicas de direito privado não classificadas como instituições financeiras e regulamentadas pelo CMN ou CVM.</w:t>
      </w:r>
    </w:p>
    <w:p>
      <w:pPr>
        <w:pStyle w:val="HOMEBRBodyText"/>
        <w:keepLines w:val="0"/>
        <w:spacing w:line="300" w:lineRule="exact"/>
        <w:rPr>
          <w:rFonts w:ascii="Verdana" w:hAnsi="Verdana" w:cs="Arial"/>
        </w:rPr>
      </w:pPr>
      <w:r>
        <w:rPr>
          <w:rFonts w:ascii="Verdana" w:hAnsi="Verdana" w:cs="Arial"/>
        </w:rPr>
        <w:t>Adicionalmente, a Lei 12.431 estabeleceu que os rendimentos auferidos por pessoas físicas residentes no Brasil em decorrência de sua titularidade de Debêntures de Infraestrutura, que tenham sido emitidas por sociedade de propósito específico constituída para implementar projetos de investimento na área de infraestrutura, ou por sua sociedade controladora, desde que constituídas sob a forma de sociedades por ações, como a Emissora, sujeitam-se à incidência do imposto sobre a renda, exclusivamente na fonte, à alíquota de 0%, desde que os projetos de investimento na área de infraestrutura sejam considerados como prioritários na forma regulamentada pelo Governo Federal.</w:t>
      </w:r>
    </w:p>
    <w:p>
      <w:pPr>
        <w:pStyle w:val="HOMEBRBodyText"/>
        <w:keepLines w:val="0"/>
        <w:spacing w:line="300" w:lineRule="exact"/>
        <w:rPr>
          <w:rFonts w:ascii="Verdana" w:hAnsi="Verdana" w:cs="Arial"/>
        </w:rPr>
      </w:pPr>
      <w:r>
        <w:rPr>
          <w:rFonts w:ascii="Verdana" w:hAnsi="Verdana" w:cs="Arial"/>
        </w:rPr>
        <w:t>São consideradas Debêntures de Infraestrutura as debêntures que, além dos requisitos descritos acima, apresentem, cumulativamente, as seguintes características: (i) sejam remuneradas por taxa de juros prefixada, vinculada a índice de preço ou à taxa referencial; (ii) não admitam a pactuação total ou parcial de taxa de juros pós-fixada; (iii) apresentem prazo médio ponderado superior a quatro anos; (iv) não admitam a sua recompra pelo respectivo emissor nos dois primeiros anos após a sua emissão, tampouco a sua liquidação antecipada por meio de resgate, sem observância da Lei 12.431 e da regulamentação em vigor; (v) não estabeleçam compromisso de revenda assumido pelo respectivo titular; (vi) apresentem prazo de pagamento periódico de rendimentos, se existente, com intervalos de, no mínimo, 180 dias, (vii) comprove-se a sua negociação em mercados regulamentados de valores mobiliários no Brasil; e (viii) os recursos captados com as Debêntures sejam integralmente alocados no Projeto. Para informações adicionais sobre as Debêntures de Infraestrutura, ver seção “Visão Geral da Lei 12.431” na página [</w:t>
      </w:r>
      <w:r>
        <w:rPr>
          <w:rFonts w:ascii="Verdana" w:hAnsi="Verdana" w:cs="Arial"/>
        </w:rPr>
        <w:sym w:font="Symbol" w:char="F0B7"/>
      </w:r>
      <w:r>
        <w:rPr>
          <w:rFonts w:ascii="Verdana" w:hAnsi="Verdana" w:cs="Arial"/>
        </w:rPr>
        <w:t>] deste Prospecto.</w:t>
      </w:r>
    </w:p>
    <w:p>
      <w:pPr>
        <w:pStyle w:val="HOMEBRBodyText"/>
        <w:keepLines w:val="0"/>
        <w:spacing w:line="300" w:lineRule="exact"/>
        <w:rPr>
          <w:rFonts w:ascii="Verdana" w:hAnsi="Verdana" w:cs="Arial"/>
        </w:rPr>
      </w:pPr>
      <w:r>
        <w:rPr>
          <w:rFonts w:ascii="Verdana" w:hAnsi="Verdana" w:cs="Arial"/>
        </w:rPr>
        <w:t xml:space="preserve">Dessa forma, caso as Debêntures deixem de satisfazer qualquer uma das características relacionadas nos itens (i) a (viii) do parágrafo anterior (inclusive em razão de qualquer direito de resgate das Debêntures previsto no §1º do artigo 231 da Lei das Sociedades </w:t>
      </w:r>
      <w:r>
        <w:rPr>
          <w:rFonts w:ascii="Verdana" w:hAnsi="Verdana" w:cs="Arial"/>
        </w:rPr>
        <w:lastRenderedPageBreak/>
        <w:t>por Ações), a Emissora não pode garantir que as Debêntures continuarão a receber o tratamento tributário diferenciado previsto na Lei 12.431.</w:t>
      </w:r>
    </w:p>
    <w:p>
      <w:pPr>
        <w:pStyle w:val="HOMEBRBodyText"/>
        <w:keepLines w:val="0"/>
        <w:spacing w:line="300" w:lineRule="exact"/>
        <w:rPr>
          <w:rFonts w:ascii="Verdana" w:hAnsi="Verdana" w:cs="Arial"/>
        </w:rPr>
      </w:pPr>
      <w:r>
        <w:rPr>
          <w:rFonts w:ascii="Verdana" w:hAnsi="Verdana" w:cs="Arial"/>
        </w:rPr>
        <w:t>Nessa hipótese, a Emissora não pode garantir que os rendimentos, incluindo os ganhos de capital, auferidos em decorrência da titularidade das Debêntures pelas Pessoas Elegíveis continuarão a ser tributados à alíquota de 0%</w:t>
      </w:r>
      <w:r>
        <w:rPr>
          <w:rFonts w:ascii="Verdana" w:hAnsi="Verdana" w:cs="Arial"/>
          <w:lang w:eastAsia="pt-BR"/>
        </w:rPr>
        <w:t xml:space="preserve"> (zero por cento), passando a ser tributados </w:t>
      </w:r>
      <w:r>
        <w:rPr>
          <w:rFonts w:ascii="Verdana" w:hAnsi="Verdana" w:cs="Arial"/>
        </w:rPr>
        <w:t xml:space="preserve">à alíquota regressiva </w:t>
      </w:r>
      <w:r>
        <w:rPr>
          <w:rFonts w:ascii="Verdana" w:hAnsi="Verdana" w:cs="Arial"/>
          <w:lang w:eastAsia="pt-BR"/>
        </w:rPr>
        <w:t>de 22,5% (vinte e dois inteiros e cinco décimos por cento) a 15% (quinze por cento) para Pessoas Físicas Residentes no Brasil e 15% (quinze por cento) para Pessoas Residentes do Exterior</w:t>
      </w:r>
      <w:r>
        <w:rPr>
          <w:rFonts w:ascii="Verdana" w:hAnsi="Verdana" w:cs="Arial"/>
        </w:rPr>
        <w:t>. Da mesma forma, a Emissora não pode garantir que o imposto de renda não pago sobre os rendimentos auferidos desde a respectiva Data de Integralização não será cobrado pelas autoridades brasileiras competentes, acrescido de juros calculados segundo a taxa SELIC e multa. Além disso, a Emissora não pode garantir que a Lei 12.431 não será novamente alterada, questionada, extinta ou substituída por leis mais restritivas, o que poderia afetar ou comprometer o tratamento tributário diferenciado previsto na Lei 12.431 conferido às Debêntures.</w:t>
      </w:r>
    </w:p>
    <w:p>
      <w:pPr>
        <w:pStyle w:val="HOMEBRBodyText"/>
        <w:keepLines w:val="0"/>
        <w:spacing w:line="300" w:lineRule="exact"/>
        <w:rPr>
          <w:rFonts w:ascii="Verdana" w:hAnsi="Verdana" w:cs="Arial"/>
        </w:rPr>
      </w:pPr>
      <w:r>
        <w:rPr>
          <w:rFonts w:ascii="Verdana" w:hAnsi="Verdana" w:cs="Arial"/>
        </w:rPr>
        <w:t xml:space="preserve">Adicionalmente, na hipótese de não aplicação dos recursos oriundos da Oferta </w:t>
      </w:r>
      <w:r>
        <w:rPr>
          <w:rFonts w:ascii="Verdana" w:hAnsi="Verdana" w:cs="Arial"/>
          <w:lang w:eastAsia="pt-BR"/>
        </w:rPr>
        <w:t>das Debêntures no Projeto</w:t>
      </w:r>
      <w:r>
        <w:rPr>
          <w:rFonts w:ascii="Verdana" w:hAnsi="Verdana" w:cs="Arial"/>
        </w:rPr>
        <w:t xml:space="preserve">, é estabelecida uma penalidade de 20% </w:t>
      </w:r>
      <w:r>
        <w:rPr>
          <w:rFonts w:ascii="Verdana" w:hAnsi="Verdana" w:cs="Arial"/>
          <w:lang w:eastAsia="pt-BR"/>
        </w:rPr>
        <w:t xml:space="preserve">(vinte por cento) </w:t>
      </w:r>
      <w:r>
        <w:rPr>
          <w:rFonts w:ascii="Verdana" w:hAnsi="Verdana" w:cs="Arial"/>
        </w:rPr>
        <w:t xml:space="preserve">sobre o valor não </w:t>
      </w:r>
      <w:r>
        <w:rPr>
          <w:rFonts w:ascii="Verdana" w:hAnsi="Verdana" w:cs="Arial"/>
          <w:lang w:eastAsia="pt-BR"/>
        </w:rPr>
        <w:t>destinado ao Projeto, ainda que, em caso de penalidade, seja mantido o tratamento tributário diferenciado previsto na Lei 12.431</w:t>
      </w:r>
      <w:r>
        <w:rPr>
          <w:rFonts w:ascii="Verdana" w:hAnsi="Verdana" w:cs="Arial"/>
        </w:rPr>
        <w:t xml:space="preserve"> aos </w:t>
      </w:r>
      <w:r>
        <w:rPr>
          <w:rFonts w:ascii="Verdana" w:hAnsi="Verdana" w:cs="Arial"/>
          <w:lang w:eastAsia="pt-BR"/>
        </w:rPr>
        <w:t>investidores nas Debêntures que sejam Pessoas Elegíveis. Não</w:t>
      </w:r>
      <w:r>
        <w:rPr>
          <w:rFonts w:ascii="Verdana" w:hAnsi="Verdana" w:cs="Arial"/>
        </w:rPr>
        <w:t xml:space="preserve"> </w:t>
      </w:r>
      <w:r>
        <w:rPr>
          <w:rFonts w:ascii="Verdana" w:hAnsi="Verdana" w:cs="Arial"/>
          <w:lang w:eastAsia="pt-BR"/>
        </w:rPr>
        <w:t>há como</w:t>
      </w:r>
      <w:r>
        <w:rPr>
          <w:rFonts w:ascii="Verdana" w:hAnsi="Verdana" w:cs="Arial"/>
        </w:rPr>
        <w:t xml:space="preserve"> garantir que</w:t>
      </w:r>
      <w:r>
        <w:rPr>
          <w:rFonts w:ascii="Verdana" w:hAnsi="Verdana" w:cs="Arial"/>
          <w:lang w:eastAsia="pt-BR"/>
        </w:rPr>
        <w:t xml:space="preserve"> a Emissora</w:t>
      </w:r>
      <w:r>
        <w:rPr>
          <w:rFonts w:ascii="Verdana" w:hAnsi="Verdana" w:cs="Arial"/>
        </w:rPr>
        <w:t xml:space="preserve"> terá recursos suficientes para o pagamento dessa penalidade ou, se tiver, que isso não terá um efeito adverso para a Emissora. </w:t>
      </w:r>
    </w:p>
    <w:p>
      <w:pPr>
        <w:pStyle w:val="HOMEBRBodyText"/>
        <w:keepLines w:val="0"/>
        <w:spacing w:line="300" w:lineRule="exact"/>
        <w:rPr>
          <w:rFonts w:ascii="Verdana" w:hAnsi="Verdana" w:cs="Arial"/>
          <w:b/>
          <w:i/>
        </w:rPr>
      </w:pPr>
      <w:r>
        <w:rPr>
          <w:rFonts w:ascii="Verdana" w:hAnsi="Verdana" w:cs="Arial"/>
          <w:b/>
          <w:i/>
        </w:rPr>
        <w:t>A volatilidade do mercado de capitais brasileiro e a baixa liquidez do mercado secundário brasileiro poderão limitar substancialmente a capacidade dos investidores de vender as Debêntures pelo preço e na ocasião que desejarem.</w:t>
      </w:r>
    </w:p>
    <w:p>
      <w:pPr>
        <w:pStyle w:val="HOMEBRBodyText"/>
        <w:keepLines w:val="0"/>
        <w:spacing w:line="300" w:lineRule="exact"/>
        <w:rPr>
          <w:rFonts w:ascii="Verdana" w:hAnsi="Verdana" w:cs="Arial"/>
        </w:rPr>
      </w:pPr>
      <w:r>
        <w:rPr>
          <w:rFonts w:ascii="Verdana" w:hAnsi="Verdana" w:cs="Arial"/>
        </w:rPr>
        <w:t>O investimento em valores mobiliários negociados em países de economia emergente, tais como o Brasil, envolve, com frequência, maior grau de risco em comparação a outros mercados mundiais, sendo tais investimentos considerados, em geral, de natureza mais especulativa.</w:t>
      </w:r>
    </w:p>
    <w:p>
      <w:pPr>
        <w:spacing w:after="0" w:line="300" w:lineRule="exact"/>
        <w:rPr>
          <w:rFonts w:ascii="Verdana" w:hAnsi="Verdana" w:cs="Arial"/>
          <w:lang w:val="pt-BR"/>
        </w:rPr>
      </w:pPr>
      <w:r>
        <w:rPr>
          <w:rFonts w:ascii="Verdana" w:hAnsi="Verdana" w:cs="Arial"/>
          <w:lang w:val="pt-BR"/>
        </w:rPr>
        <w:t>O mercado brasileiro de valores mobiliários é substancialmente menor, menos líquido e mais concentrado, podendo ser mais volátil do que os principais mercados de valores mobiliários mundiais, como o dos Estados Unidos. Os subscritores das Debêntures não têm nenhuma garantia de que no futuro terão um mercado líquido em que possam negociar a alienação desses títulos, caso queiram optar pelo desinvestimento. Isso pode trazer dificuldades aos titulares de Debêntures que queiram vendê-las no mercado secundário.</w:t>
      </w:r>
    </w:p>
    <w:p>
      <w:pPr>
        <w:spacing w:after="0" w:line="300" w:lineRule="exact"/>
        <w:rPr>
          <w:rFonts w:ascii="Verdana" w:hAnsi="Verdana" w:cs="Arial"/>
          <w:lang w:val="pt-BR"/>
        </w:rPr>
      </w:pPr>
    </w:p>
    <w:p>
      <w:pPr>
        <w:pStyle w:val="HOMEBRBodyText"/>
        <w:keepLines w:val="0"/>
        <w:spacing w:line="300" w:lineRule="exact"/>
        <w:rPr>
          <w:rFonts w:ascii="Verdana" w:hAnsi="Verdana" w:cs="Arial"/>
          <w:b/>
          <w:i/>
        </w:rPr>
      </w:pPr>
      <w:r>
        <w:rPr>
          <w:rFonts w:ascii="Verdana" w:hAnsi="Verdana" w:cs="Arial"/>
          <w:b/>
          <w:i/>
        </w:rPr>
        <w:t xml:space="preserve">Riscos relacionados à situação da economia global e brasileira poderão afetar a percepção do risco no Brasil e em outros países, especialmente nos mercados emergentes, o que poderá afetar negativamente a economia brasileira inclusive </w:t>
      </w:r>
      <w:r>
        <w:rPr>
          <w:rFonts w:ascii="Verdana" w:hAnsi="Verdana" w:cs="Arial"/>
          <w:b/>
          <w:i/>
        </w:rPr>
        <w:lastRenderedPageBreak/>
        <w:t>por meio de oscilações nos mercados de valores mobiliários, incluindo as Debêntures.</w:t>
      </w:r>
    </w:p>
    <w:p>
      <w:pPr>
        <w:pStyle w:val="HOMEBRBodyText"/>
        <w:keepLines w:val="0"/>
        <w:spacing w:line="300" w:lineRule="exact"/>
        <w:rPr>
          <w:rFonts w:ascii="Verdana" w:hAnsi="Verdana" w:cs="Arial"/>
        </w:rPr>
      </w:pPr>
      <w:r>
        <w:rPr>
          <w:rFonts w:ascii="Verdana" w:hAnsi="Verdana" w:cs="Arial"/>
        </w:rPr>
        <w:t>O valor de mercado de valores mobiliários de emissão de companhias brasileiras é influenciado, em diferentes graus, pelas condições econômicas e de mercado do Brasil e de outros países, inclusive Estados Unidos, países membros da União Europeia e de economias emergentes. A reação dos investidores aos acontecimentos nesses países pode causar um efeito adverso sobre o valor de mercado dos valores mobiliários de companhias brasileiras, inclusive das Debêntures. Crises no Brasil, nos Estados Unidos, na União Europeia ou em países de economia emergente podem reduzir o interesse dos investidores nos valores mobiliários das companhias brasileiras, inclusive os valores mobiliários da Companhia.</w:t>
      </w:r>
    </w:p>
    <w:p>
      <w:pPr>
        <w:pStyle w:val="HOMEBRBodyText"/>
        <w:keepLines w:val="0"/>
        <w:spacing w:line="300" w:lineRule="exact"/>
        <w:rPr>
          <w:rFonts w:ascii="Verdana" w:hAnsi="Verdana" w:cs="Arial"/>
        </w:rPr>
      </w:pPr>
      <w:r>
        <w:rPr>
          <w:rFonts w:ascii="Verdana" w:hAnsi="Verdana" w:cs="Arial"/>
        </w:rPr>
        <w:t>Adicionalmente, a economia brasileira é afetada pelas condições de mercado e pelas condições econômicas internacionais, especialmente, pelas condições econômicas dos Estados Unidos. Os preços das ações na B3 S.A. – Brasil, Bolsa, Balcão, por exemplo, são altamente afetados pelas flutuações nas taxas de juros dos Estados Unidos e pelo comportamento das principais bolsas norte-americanas. Qualquer aumento nas taxas de juros em outros países, especialmente os Estados Unidos, poderá reduzir a liquidez global e o interesse do investidor em realizar investimentos no mercado de capitais brasileiro.</w:t>
      </w:r>
    </w:p>
    <w:p>
      <w:pPr>
        <w:pStyle w:val="HOMEBRBodyText"/>
        <w:keepLines w:val="0"/>
        <w:spacing w:line="300" w:lineRule="exact"/>
        <w:rPr>
          <w:rFonts w:ascii="Verdana" w:hAnsi="Verdana" w:cs="Arial"/>
        </w:rPr>
      </w:pPr>
      <w:r>
        <w:rPr>
          <w:rFonts w:ascii="Verdana" w:hAnsi="Verdana" w:cs="Arial"/>
        </w:rPr>
        <w:t>Não é possível assegurar que o mercado de capitais brasileiro estará aberto às companhias brasileiras e que os custos de financiamento no mercado sejam favoráveis às companhias brasileiras. Crises políticas ou econômicas no Brasil e em mercados emergentes podem reduzir o interesse do investidor por valores mobiliários de companhias brasileiras, inclusive os valores mobiliários emitidos pela Companhia. Isso poderá afetar a liquidez e o preço de mercado das Debêntures, bem como poderá afetar o seu futuro acesso ao mercado de capitais brasileiros e a financiamentos em termos aceitáveis, o que poderá afetar adversamente o preço de mercado das Debêntures.</w:t>
      </w:r>
    </w:p>
    <w:p>
      <w:pPr>
        <w:pStyle w:val="HOMEBRBodyText"/>
        <w:keepLines w:val="0"/>
        <w:spacing w:line="300" w:lineRule="exact"/>
        <w:rPr>
          <w:rFonts w:ascii="Verdana" w:hAnsi="Verdana" w:cs="Arial"/>
          <w:b/>
          <w:i/>
        </w:rPr>
      </w:pPr>
      <w:r>
        <w:rPr>
          <w:rFonts w:ascii="Verdana" w:hAnsi="Verdana" w:cs="Arial"/>
          <w:b/>
          <w:i/>
        </w:rPr>
        <w:t>A modificação das práticas contábeis utilizadas para cálculo dos Índices Financeiros pode afetar negativamente a percepção de risco dos investidores e gerar efeitos adversos nos preços dos valores mobiliários da Emissora no mercado secundário.</w:t>
      </w:r>
    </w:p>
    <w:p>
      <w:pPr>
        <w:pStyle w:val="HOMEBRBodyText"/>
        <w:keepLines w:val="0"/>
        <w:spacing w:line="300" w:lineRule="exact"/>
        <w:rPr>
          <w:rFonts w:ascii="Verdana" w:hAnsi="Verdana" w:cs="Arial"/>
        </w:rPr>
      </w:pPr>
      <w:r>
        <w:rPr>
          <w:rFonts w:ascii="Verdana" w:hAnsi="Verdana" w:cs="Arial"/>
        </w:rPr>
        <w:t xml:space="preserve">Os Índices Financeiros estabelecidos na Escritura serão calculados em conformidade com as práticas contábeis vigentes quando da publicação pela Emissora de suas informações financeiras, sendo que não há qualquer garantia que as práticas contábeis não serão alteradas ou que não poderá haver divergência em sua interpretação. A percepção de risco dos investidores poderá ser afetada negativamente, uma vez que pode haver divergência entre a forma como os Índices Financeiros serão efetivamente calculados e a forma como os mesmos seriam calculados caso o cálculo fosse feito de acordo com as práticas contábeis modificadas. Adicionalmente, essa prática pode gerar efeitos adversos </w:t>
      </w:r>
      <w:r>
        <w:rPr>
          <w:rFonts w:ascii="Verdana" w:hAnsi="Verdana" w:cs="Arial"/>
        </w:rPr>
        <w:lastRenderedPageBreak/>
        <w:t>nos preços dos valores mobiliários da Emissora no mercado secundário, incluindo, mas a tanto não se limitando, o preço das Debêntures da presente Emissão.</w:t>
      </w:r>
    </w:p>
    <w:p>
      <w:pPr>
        <w:pStyle w:val="HOMEBRBodyText"/>
        <w:keepLines w:val="0"/>
        <w:spacing w:line="300" w:lineRule="exact"/>
        <w:rPr>
          <w:rFonts w:ascii="Verdana" w:hAnsi="Verdana" w:cs="Arial"/>
          <w:b/>
          <w:i/>
        </w:rPr>
      </w:pPr>
      <w:bookmarkStart w:id="334" w:name="eventual_rebaixamento_na_class"/>
      <w:r>
        <w:rPr>
          <w:rFonts w:ascii="Verdana" w:hAnsi="Verdana" w:cs="Arial"/>
          <w:b/>
          <w:i/>
        </w:rPr>
        <w:t>Eventual rebaixamento na classificação de risco atribuída às Debêntures e/ou à Emissora poderá dificultar a captação de recursos pela Emissora, bem como acarretar redução de liquidez das Debêntures para negociação no mercado secundário e impacto negativo relevante na Emissora.</w:t>
      </w:r>
    </w:p>
    <w:bookmarkEnd w:id="334"/>
    <w:p>
      <w:pPr>
        <w:pStyle w:val="HOMEBRBodyText"/>
        <w:keepLines w:val="0"/>
        <w:spacing w:line="300" w:lineRule="exact"/>
        <w:rPr>
          <w:rFonts w:ascii="Verdana" w:hAnsi="Verdana" w:cs="Arial"/>
        </w:rPr>
      </w:pPr>
      <w:r>
        <w:rPr>
          <w:rFonts w:ascii="Verdana" w:hAnsi="Verdana" w:cs="Arial"/>
        </w:rPr>
        <w:t>Para se realizar uma classificação de risco (</w:t>
      </w:r>
      <w:r>
        <w:rPr>
          <w:rFonts w:ascii="Verdana" w:hAnsi="Verdana" w:cs="Arial"/>
          <w:i/>
        </w:rPr>
        <w:t>rating</w:t>
      </w:r>
      <w:r>
        <w:rPr>
          <w:rFonts w:ascii="Verdana" w:hAnsi="Verdana" w:cs="Arial"/>
        </w:rPr>
        <w:t>), certos fatores relativos à Emissora são levados em consideração, tais como sua condição financeira, sua administração e seu desempenho. São analisadas, também, as características das Debêntures, assim como as obrigações assumidas pela Emissora e os fatores político-econômicos que podem afetar a condição financeira da Emissora. Dessa forma, as avaliações representam uma opinião quanto às condições da Emissora de honrar seus compromissos financeiros, tais como pagamento do principal e juros no prazo estipulado. Um eventual rebaixamento em classificações de risco obtidas com relação à Oferta e/ou à Emissora durante a vigência das Debêntures poderá afetar negativamente o preço dessas Debêntures e sua negociação no mercado secundário. Além disso, a Emissora poderá encontrar dificuldades em realizar outras emissões de títulos e valores mobiliários, o que poderá, consequentemente, ter um impacto negativo relevante nos resultados e nas operações da Emissora e na sua capacidade de honrar com as obrigações relativas à Oferta.</w:t>
      </w:r>
    </w:p>
    <w:p>
      <w:pPr>
        <w:pStyle w:val="HOMEBRBodyText"/>
        <w:keepLines w:val="0"/>
        <w:spacing w:line="300" w:lineRule="exact"/>
        <w:rPr>
          <w:rFonts w:ascii="Verdana" w:hAnsi="Verdana" w:cs="Arial"/>
        </w:rPr>
      </w:pPr>
      <w:r>
        <w:rPr>
          <w:rFonts w:ascii="Verdana" w:hAnsi="Verdana" w:cs="Arial"/>
        </w:rPr>
        <w:t>Adicionalmente, alguns dos principais investidores que adquirem valores mobiliários por meio de ofertas públicas no Brasil (tais como entidades de previdência complementar) estão sujeitos a regulamentações específicas que condicionam seus investimentos em valores mobiliários a determinadas classificações de risco. Assim, o rebaixamento de classificações de risco obtidas com relação às Debêntures pode obrigar esses investidores a alienar suas Debêntures no mercado secundário, podendo vir a afetar negativamente o preço dessas Debêntures e sua negociação no mercado secundário.</w:t>
      </w:r>
    </w:p>
    <w:p>
      <w:pPr>
        <w:pStyle w:val="HOMEBRBodyText"/>
        <w:keepLines w:val="0"/>
        <w:spacing w:line="300" w:lineRule="exact"/>
        <w:rPr>
          <w:rFonts w:ascii="Verdana" w:hAnsi="Verdana" w:cs="Arial"/>
          <w:b/>
          <w:i/>
        </w:rPr>
      </w:pPr>
      <w:bookmarkStart w:id="335" w:name="as_obrigações_da_emissora_estao"/>
      <w:r>
        <w:rPr>
          <w:rFonts w:ascii="Verdana" w:hAnsi="Verdana" w:cs="Arial"/>
          <w:b/>
          <w:i/>
        </w:rPr>
        <w:t>As obrigações da Emissora constantes da Escritura estão sujeitas a hipóteses de vencimento antecipado.</w:t>
      </w:r>
    </w:p>
    <w:bookmarkEnd w:id="335"/>
    <w:p>
      <w:pPr>
        <w:pStyle w:val="HOMEBRBodyText"/>
        <w:keepLines w:val="0"/>
        <w:spacing w:line="300" w:lineRule="exact"/>
        <w:rPr>
          <w:rFonts w:ascii="Verdana" w:hAnsi="Verdana" w:cs="Arial"/>
          <w:b/>
        </w:rPr>
      </w:pPr>
      <w:r>
        <w:rPr>
          <w:rFonts w:ascii="Verdana" w:hAnsi="Verdana" w:cs="Arial"/>
        </w:rPr>
        <w:t>A Escritura estabelece hipóteses que ensejam o vencimento antecipado (automático ou não) das obrigações da Emissora com relação às Debêntures, tais como, mas não se limitando ao (i) pedido de recuperação judicial e extrajudicial pela Emissora; (ii) não cumprimento de obrigações previstas na Escritura; (iii) não observância de certos Índices Financeiros; e (iv) vencimento antecipado de outras dívidas da Emissora. Não há garantias de que a Emissora disporá de recursos suficientes em caixa para fazer face ao pagamento das Debêntures na hipótese de ocorrência de vencimento antecipado de suas obrigações, hipótese na qual os Debenturistas poderão sofrer um impacto negativo relevante no recebimento dos pagamentos relativos às Debêntures e a Emissora poderá sofrer um impacto negativo relevante nos seus resultados e operações.</w:t>
      </w:r>
      <w:r>
        <w:rPr>
          <w:rFonts w:ascii="Verdana" w:hAnsi="Verdana" w:cs="Arial"/>
          <w:b/>
        </w:rPr>
        <w:t xml:space="preserve"> Para mais </w:t>
      </w:r>
      <w:r>
        <w:rPr>
          <w:rFonts w:ascii="Verdana" w:hAnsi="Verdana" w:cs="Arial"/>
          <w:b/>
        </w:rPr>
        <w:lastRenderedPageBreak/>
        <w:t>informações, veja a seção “Informações Relativas à Emissão, à Oferta e às Debêntures – Vencimento Antecipado”, na página [</w:t>
      </w:r>
      <w:r>
        <w:rPr>
          <w:rFonts w:ascii="Verdana" w:hAnsi="Verdana" w:cs="Arial"/>
          <w:b/>
        </w:rPr>
        <w:sym w:font="Symbol" w:char="F0B7"/>
      </w:r>
      <w:r>
        <w:rPr>
          <w:rFonts w:ascii="Verdana" w:hAnsi="Verdana" w:cs="Arial"/>
          <w:b/>
        </w:rPr>
        <w:t>] deste Prospecto.</w:t>
      </w:r>
    </w:p>
    <w:p>
      <w:pPr>
        <w:pStyle w:val="HOMEBRBodyText"/>
        <w:keepLines w:val="0"/>
        <w:spacing w:line="300" w:lineRule="exact"/>
        <w:rPr>
          <w:rFonts w:ascii="Verdana" w:hAnsi="Verdana" w:cs="Arial"/>
          <w:b/>
          <w:i/>
        </w:rPr>
      </w:pPr>
      <w:bookmarkStart w:id="336" w:name="fator_de_risco_pessoas_vinculadas"/>
      <w:bookmarkStart w:id="337" w:name="as_debentures_poderao_ser_objeto_de_aqui"/>
      <w:bookmarkEnd w:id="336"/>
      <w:r>
        <w:rPr>
          <w:rFonts w:ascii="Verdana" w:hAnsi="Verdana" w:cs="Arial"/>
          <w:b/>
          <w:i/>
        </w:rPr>
        <w:t>As Debêntures poderão ser objeto de aquisição facultativa, nos termos previstos na Escritura, o que poderá impactar de maneira adversa a liquidez das Debêntures no mercado secundário.</w:t>
      </w:r>
    </w:p>
    <w:bookmarkEnd w:id="337"/>
    <w:p>
      <w:pPr>
        <w:pStyle w:val="HOMEBRBodyText"/>
        <w:keepLines w:val="0"/>
        <w:spacing w:line="300" w:lineRule="exact"/>
        <w:rPr>
          <w:rFonts w:ascii="Verdana" w:hAnsi="Verdana" w:cs="Arial"/>
          <w:lang w:val="x-none"/>
        </w:rPr>
      </w:pPr>
      <w:r>
        <w:rPr>
          <w:rFonts w:ascii="Verdana" w:hAnsi="Verdana" w:cs="Arial"/>
        </w:rPr>
        <w:t>Conforme descrito na Escritura, de acordo com informações descritas na seção “Informações Relativas à Emissão, à Oferta e às Debêntures – Características da Emissão e das Debêntures – Aquisição Facultativa”, na página [</w:t>
      </w:r>
      <w:r>
        <w:rPr>
          <w:rFonts w:ascii="Verdana" w:hAnsi="Verdana" w:cs="Arial"/>
        </w:rPr>
        <w:sym w:font="Symbol" w:char="F0B7"/>
      </w:r>
      <w:r>
        <w:rPr>
          <w:rFonts w:ascii="Verdana" w:hAnsi="Verdana" w:cs="Arial"/>
        </w:rPr>
        <w:t>] deste Prospecto, a Emissora poderá adquirir Debêntures no mercado secundário diretamente de Debenturistas, após transcorridos dois anos a contar da Data de Emissão (</w:t>
      </w:r>
      <w:r>
        <w:rPr>
          <w:rFonts w:ascii="Verdana" w:hAnsi="Verdana" w:cs="Arial"/>
          <w:snapToGrid w:val="0"/>
        </w:rPr>
        <w:t>ou em prazo inferior que venha a ser autorizado pela legislação ou regulamentação aplicável</w:t>
      </w:r>
      <w:r>
        <w:rPr>
          <w:rFonts w:ascii="Verdana" w:hAnsi="Verdana" w:cs="Arial"/>
        </w:rPr>
        <w:t>) e observado disposto no artigo 1º, parágrafo 1º, incisos I e II, da Lei 12.431 e no artigo 55, parágrafo 3º, da Lei das Sociedades por Ações, inclusive por valor superior ao Valor Nominal Unitário, desde que observadas as regras expedidas pela CVM.</w:t>
      </w:r>
    </w:p>
    <w:p>
      <w:pPr>
        <w:pStyle w:val="HOMEBRBodyText"/>
        <w:keepLines w:val="0"/>
        <w:spacing w:line="300" w:lineRule="exact"/>
        <w:rPr>
          <w:rFonts w:ascii="Verdana" w:hAnsi="Verdana" w:cs="Arial"/>
        </w:rPr>
      </w:pPr>
      <w:r>
        <w:rPr>
          <w:rFonts w:ascii="Verdana" w:hAnsi="Verdana" w:cs="Arial"/>
        </w:rPr>
        <w:t>A realização de aquisição facultativa poderá ter impacto adverso na liquidez das Debêntures no mercado secundário, uma vez que parte considerável das Debêntures poderá ser retirada de negociação.</w:t>
      </w:r>
    </w:p>
    <w:p>
      <w:pPr>
        <w:pStyle w:val="HOMEBRBodyText"/>
        <w:keepLines w:val="0"/>
        <w:spacing w:line="300" w:lineRule="exact"/>
        <w:rPr>
          <w:rFonts w:ascii="Verdana" w:hAnsi="Verdana" w:cs="Arial"/>
          <w:b/>
          <w:i/>
        </w:rPr>
      </w:pPr>
      <w:bookmarkStart w:id="338" w:name="fator_de_risco_resgate"/>
      <w:bookmarkEnd w:id="338"/>
      <w:r>
        <w:rPr>
          <w:rFonts w:ascii="Verdana" w:hAnsi="Verdana" w:cs="Arial"/>
          <w:b/>
          <w:i/>
        </w:rPr>
        <w:t>As Debêntures poderão ser objeto de Resgate Obrigatório na hipótese prevista na Escritura.</w:t>
      </w:r>
    </w:p>
    <w:p>
      <w:pPr>
        <w:pStyle w:val="HOMEBRBodyText"/>
        <w:keepLines w:val="0"/>
        <w:spacing w:line="300" w:lineRule="exact"/>
        <w:rPr>
          <w:rFonts w:ascii="Verdana" w:hAnsi="Verdana" w:cs="Arial"/>
        </w:rPr>
      </w:pPr>
      <w:r>
        <w:rPr>
          <w:rFonts w:ascii="Verdana" w:hAnsi="Verdana" w:cs="Arial"/>
        </w:rPr>
        <w:t>Poderá ocorrer o Resgate Obrigatório das Debêntures, observado o disposto na Lei 12.431, na hipótese de</w:t>
      </w:r>
      <w:r>
        <w:rPr>
          <w:rFonts w:ascii="Verdana" w:eastAsia="Arial Unicode MS" w:hAnsi="Verdana" w:cs="Arial"/>
          <w:bCs/>
        </w:rPr>
        <w:t xml:space="preserve"> indisponibilidade por prazo superior a 10 dias consecutivos da data esperada para sua apuração, ou, ainda, no caso de sua </w:t>
      </w:r>
      <w:r>
        <w:rPr>
          <w:rFonts w:ascii="Verdana" w:hAnsi="Verdana" w:cs="Arial"/>
        </w:rPr>
        <w:t>extinção ou impossibilidade legal de aplicação às Debêntures, ou por determinação judicial, do IPCA, do índice que vier a ser utilizado pelo Tesouro Nacional para apuração da remuneração do Tesouro IPCA+ ou título do Tesouro Nacional que venha a substituí-lo ou, na sua falta,</w:t>
      </w:r>
      <w:r>
        <w:rPr>
          <w:rFonts w:ascii="Verdana" w:eastAsia="Arial Unicode MS" w:hAnsi="Verdana" w:cs="Arial"/>
          <w:bCs/>
        </w:rPr>
        <w:t xml:space="preserve"> de seu substituto legal, e caso não haja acordo sobre o novo índice para a Taxa Substitutiva do IPCA entre a Emissora e os Debenturistas, ou caso não seja obtido quórum de instalação em primeira e segunda convocações</w:t>
      </w:r>
      <w:r>
        <w:rPr>
          <w:rFonts w:ascii="Verdana" w:hAnsi="Verdana" w:cs="Arial"/>
        </w:rPr>
        <w:t>.</w:t>
      </w:r>
    </w:p>
    <w:p>
      <w:pPr>
        <w:pStyle w:val="HOMEBRBodyText"/>
        <w:keepLines w:val="0"/>
        <w:spacing w:line="300" w:lineRule="exact"/>
        <w:rPr>
          <w:rFonts w:ascii="Verdana" w:hAnsi="Verdana" w:cs="Arial"/>
          <w:iCs/>
        </w:rPr>
      </w:pPr>
      <w:r>
        <w:rPr>
          <w:rFonts w:ascii="Verdana" w:hAnsi="Verdana" w:cs="Arial"/>
          <w:iCs/>
        </w:rPr>
        <w:t>Os Debenturistas poderão sofrer prejuízos financeiros em decorrência do Resgate Obrigatório, não havendo qualquer garantia de que existirão, no momento do Resgate Obrigatório, outros ativos no mercado de risco e retorno semelhantes às Debêntures.</w:t>
      </w:r>
    </w:p>
    <w:p>
      <w:pPr>
        <w:pStyle w:val="HOMEBRBodyText"/>
        <w:keepLines w:val="0"/>
        <w:spacing w:line="300" w:lineRule="exact"/>
        <w:rPr>
          <w:rFonts w:ascii="Verdana" w:hAnsi="Verdana" w:cs="Arial"/>
          <w:b/>
          <w:iCs/>
        </w:rPr>
      </w:pPr>
      <w:r>
        <w:rPr>
          <w:rFonts w:ascii="Verdana" w:hAnsi="Verdana" w:cs="Arial"/>
          <w:b/>
        </w:rPr>
        <w:t>Para mais informações sobre Indisponibilidade do IPCA e sobre o Resgate Obrigatório, veja as seções</w:t>
      </w:r>
      <w:r>
        <w:rPr>
          <w:rFonts w:ascii="Verdana" w:hAnsi="Verdana" w:cs="Arial"/>
          <w:b/>
          <w:i/>
        </w:rPr>
        <w:t xml:space="preserve"> “Informações Relativas à Emissão, à Oferta e às Debêntures – Características da Emissão e das Debêntures – Indisponibilidade do IPCA” </w:t>
      </w:r>
      <w:r>
        <w:rPr>
          <w:rFonts w:ascii="Verdana" w:hAnsi="Verdana" w:cs="Arial"/>
          <w:b/>
        </w:rPr>
        <w:t xml:space="preserve">e </w:t>
      </w:r>
      <w:r>
        <w:rPr>
          <w:rFonts w:ascii="Verdana" w:hAnsi="Verdana" w:cs="Arial"/>
          <w:b/>
          <w:i/>
        </w:rPr>
        <w:t>“Informações Relativas à Emissão, à Oferta e às Debêntures – Características da Emissão e das Debêntures – Resgate Obrigatório”</w:t>
      </w:r>
      <w:r>
        <w:rPr>
          <w:rFonts w:ascii="Verdana" w:hAnsi="Verdana" w:cs="Arial"/>
          <w:b/>
        </w:rPr>
        <w:t>, nas páginas [</w:t>
      </w:r>
      <w:r>
        <w:rPr>
          <w:rFonts w:ascii="Verdana" w:hAnsi="Verdana" w:cs="Arial"/>
          <w:b/>
        </w:rPr>
        <w:sym w:font="Symbol" w:char="F0B7"/>
      </w:r>
      <w:r>
        <w:rPr>
          <w:rFonts w:ascii="Verdana" w:hAnsi="Verdana" w:cs="Arial"/>
          <w:b/>
        </w:rPr>
        <w:t>] e [</w:t>
      </w:r>
      <w:r>
        <w:rPr>
          <w:rFonts w:ascii="Verdana" w:hAnsi="Verdana" w:cs="Arial"/>
          <w:b/>
        </w:rPr>
        <w:sym w:font="Symbol" w:char="F0B7"/>
      </w:r>
      <w:r>
        <w:rPr>
          <w:rFonts w:ascii="Verdana" w:hAnsi="Verdana" w:cs="Arial"/>
          <w:b/>
        </w:rPr>
        <w:t>], respectivamente deste Prospecto.</w:t>
      </w:r>
    </w:p>
    <w:p>
      <w:pPr>
        <w:pStyle w:val="HOMEBRBodyText"/>
        <w:keepLines w:val="0"/>
        <w:spacing w:line="300" w:lineRule="exact"/>
        <w:rPr>
          <w:rFonts w:ascii="Verdana" w:hAnsi="Verdana" w:cs="Arial"/>
          <w:b/>
          <w:iCs/>
        </w:rPr>
      </w:pPr>
      <w:bookmarkStart w:id="339" w:name="final_fatores_de_risco"/>
      <w:bookmarkEnd w:id="339"/>
      <w:r>
        <w:rPr>
          <w:rFonts w:ascii="Verdana" w:hAnsi="Verdana" w:cs="Arial"/>
          <w:b/>
          <w:iCs/>
        </w:rPr>
        <w:lastRenderedPageBreak/>
        <w:t xml:space="preserve">As informações acerca do futuro da Emissora contidas neste Prospecto Preliminar podem não ser precisas. </w:t>
      </w:r>
    </w:p>
    <w:p>
      <w:pPr>
        <w:pStyle w:val="HOMEBRBodyText"/>
        <w:keepLines w:val="0"/>
        <w:spacing w:line="300" w:lineRule="exact"/>
        <w:rPr>
          <w:rFonts w:ascii="Verdana" w:hAnsi="Verdana" w:cs="Arial"/>
        </w:rPr>
      </w:pPr>
      <w:r>
        <w:rPr>
          <w:rFonts w:ascii="Verdana" w:hAnsi="Verdana" w:cs="Arial"/>
        </w:rPr>
        <w:t>Este Prospecto Preliminar contém informações acerca das perspectivas do futuro da Emissora, as quais refletem as opiniões da Emissora em relação ao desenvolvimento futuro e que, como em qualquer atividade econômica, envolve riscos e incertezas. Não há garantias de que o desempenho futuro da Emissora será consistente com tais informações. Os eventos futuros poderão diferir sensivelmente das tendências aqui indicadas, dependendo de vários fatores discutidos nesta seção “Fatores de Risco relativos à Oferta” e nas seções “Descrição dos Fatores de Risco” e “Descrição dos Principais Riscos de Mercado”, constantes das seções 4.1 e 4.2, respectivamente, do Formulário de Referência, e em outras seções deste Prospecto Preliminar. As expressões “acredita que”, “espera que” e “antecipa que”, bem como outras expressões similares, identificam informações acerca das perspectivas do futuro da Emissora que não representam qualquer garantia quanto a sua ocorrência. Os potenciais investidores são advertidos a examinar com toda a cautela e diligência as informações contidas neste Prospecto Preliminar e a não tomar decisões de investimento unicamente baseados em previsões futuras ou expectativas. Não assumimos qualquer obrigação de atualizar ou revisar quaisquer informações acerca das perspectivas do futuro, exceto pelo disposto na regulamentação aplicável, e a não concretização das perspectivas do futuro da Emissora divulgadas podem gerar um efeito negativo relevante nos resultados e operações da Emissora.</w:t>
      </w:r>
    </w:p>
    <w:p>
      <w:pPr>
        <w:spacing w:before="120" w:line="300" w:lineRule="exact"/>
        <w:ind w:right="20"/>
        <w:rPr>
          <w:rFonts w:ascii="Verdana" w:hAnsi="Verdana" w:cs="Arial"/>
          <w:b/>
          <w:i/>
          <w:lang w:val="pt-BR" w:eastAsia="pt-BR"/>
        </w:rPr>
      </w:pPr>
      <w:bookmarkStart w:id="340" w:name="a_participação_de_investidores_pv_pbook"/>
      <w:bookmarkEnd w:id="340"/>
      <w:r>
        <w:rPr>
          <w:rFonts w:ascii="Verdana" w:hAnsi="Verdana" w:cs="Arial"/>
          <w:b/>
          <w:i/>
          <w:lang w:val="pt-BR" w:eastAsia="pt-BR"/>
        </w:rPr>
        <w:t>O investimento nas Debêntures por Investidores da Oferta que sejam Pessoas Vinculadas poderá ter um impacto adverso na liquidez das Debêntures no mercado secundário.</w:t>
      </w:r>
    </w:p>
    <w:p>
      <w:pPr>
        <w:pStyle w:val="HOMEBRBodyText"/>
        <w:keepLines w:val="0"/>
        <w:spacing w:line="300" w:lineRule="exact"/>
        <w:rPr>
          <w:rFonts w:ascii="Verdana" w:hAnsi="Verdana" w:cs="Arial"/>
        </w:rPr>
      </w:pPr>
      <w:r>
        <w:rPr>
          <w:rFonts w:ascii="Verdana" w:hAnsi="Verdana" w:cs="Arial"/>
          <w:lang w:eastAsia="pt-BR"/>
        </w:rPr>
        <w:t>O investimento nas Debêntures por Investidores da Oferta que sejam Pessoas Vinculadas pode ter um efeito adverso na liquidez das Debêntures no mercado secundário, uma vez que as Pessoas Vinculadas poderiam optar por manter suas Debêntures fora de circulação, influenciando a liquidez. A Emissora e os Coordenadores não têm como garantir que o investimento nas Debêntures por Pessoas Vinculadas não ocorrerá ou que referidas Pessoas Vinculadas não optarão por manter suas Debêntures fora de circulação.</w:t>
      </w:r>
    </w:p>
    <w:p>
      <w:pPr>
        <w:pStyle w:val="Ttulo1"/>
        <w:spacing w:line="300" w:lineRule="exact"/>
        <w:rPr>
          <w:rFonts w:ascii="Verdana" w:hAnsi="Verdana"/>
          <w:sz w:val="24"/>
          <w:lang w:val="pt-BR"/>
        </w:rPr>
      </w:pPr>
      <w:bookmarkStart w:id="341" w:name="_Ref484524546"/>
      <w:bookmarkStart w:id="342" w:name="_Toc484716029"/>
      <w:r>
        <w:rPr>
          <w:rFonts w:ascii="Verdana" w:hAnsi="Verdana"/>
          <w:lang w:val="pt-BR"/>
        </w:rPr>
        <w:lastRenderedPageBreak/>
        <w:t>APRESENTAÇÃO DAS INSTITUIÇÕES PARTICIPANTES DA OFERTA</w:t>
      </w:r>
      <w:bookmarkEnd w:id="341"/>
      <w:bookmarkEnd w:id="342"/>
    </w:p>
    <w:p>
      <w:pPr>
        <w:pStyle w:val="HOMEBRBodyText"/>
        <w:spacing w:line="300" w:lineRule="exact"/>
        <w:rPr>
          <w:rFonts w:ascii="Verdana" w:hAnsi="Verdana" w:cs="Arial"/>
          <w:b/>
        </w:rPr>
      </w:pPr>
      <w:bookmarkStart w:id="343" w:name="_Toc484716030"/>
      <w:r>
        <w:rPr>
          <w:rFonts w:ascii="Verdana" w:hAnsi="Verdana" w:cs="Arial"/>
          <w:b/>
        </w:rPr>
        <w:t xml:space="preserve">Banco Itaú BBA S.A. </w:t>
      </w:r>
      <w:r>
        <w:rPr>
          <w:rFonts w:ascii="Verdana" w:hAnsi="Verdana" w:cs="Arial"/>
        </w:rPr>
        <w:t>[</w:t>
      </w:r>
      <w:r>
        <w:rPr>
          <w:rFonts w:ascii="Verdana" w:hAnsi="Verdana" w:cs="Arial"/>
          <w:b/>
          <w:highlight w:val="yellow"/>
        </w:rPr>
        <w:t>NOTA PNA:</w:t>
      </w:r>
      <w:r>
        <w:rPr>
          <w:rFonts w:ascii="Verdana" w:hAnsi="Verdana" w:cs="Arial"/>
          <w:highlight w:val="yellow"/>
        </w:rPr>
        <w:t xml:space="preserve"> Itaú BBA, Favor confirmar se há atualizações</w:t>
      </w:r>
      <w:r>
        <w:rPr>
          <w:rFonts w:ascii="Verdana" w:hAnsi="Verdana" w:cs="Arial"/>
        </w:rPr>
        <w:t>]</w:t>
      </w:r>
    </w:p>
    <w:p>
      <w:pPr>
        <w:spacing w:line="300" w:lineRule="exact"/>
        <w:rPr>
          <w:rFonts w:ascii="Verdana" w:hAnsi="Verdana" w:cs="Arial"/>
          <w:iCs/>
          <w:lang w:val="pt-BR" w:eastAsia="pt-BR"/>
        </w:rPr>
      </w:pPr>
      <w:r>
        <w:rPr>
          <w:rFonts w:ascii="Verdana" w:hAnsi="Verdana" w:cs="Arial"/>
          <w:iCs/>
          <w:lang w:val="pt-BR" w:eastAsia="pt-BR"/>
        </w:rPr>
        <w:t>O Itaú BBA é uma instituição financeira autorizada a funcionar pelo BACEN, constituída sob a forma de sociedade por ações, com sede na Cidade de São Paulo, Estado de São Paulo, na Avenida Brigadeiro Faria Lima, 3500, 1º, 2º e 3º (parte), 4º e 5º andares, Bairro Itaim Bibi.</w:t>
      </w:r>
    </w:p>
    <w:p>
      <w:pPr>
        <w:spacing w:line="300" w:lineRule="exact"/>
        <w:rPr>
          <w:rFonts w:ascii="Verdana" w:hAnsi="Verdana" w:cs="Arial"/>
          <w:iCs/>
          <w:lang w:val="pt-BR" w:eastAsia="pt-BR"/>
        </w:rPr>
      </w:pPr>
      <w:r>
        <w:rPr>
          <w:rFonts w:ascii="Verdana" w:hAnsi="Verdana" w:cs="Arial"/>
          <w:iCs/>
          <w:lang w:val="pt-BR" w:eastAsia="pt-BR"/>
        </w:rPr>
        <w:t>O Itaú BBA é um banco de atacado brasileiro com ativos na ordem de R$664 bilhões e uma carteira de crédito no Brasil de R$ 178 bilhões em junho de 2019. O banco faz parte do conglomerado Itaú Unibanco, sendo controlado diretamente pelo Itaú Unibanco Holding S.A. O Itaú BBA é responsável por prover serviços financeiros para grandes empresas. O Itaú BBA possui sucursais no Rio de Janeiro, Campinas, Porto Alegre, Belo Horizonte, Curitiba, Salvador, Montevidéu, Buenos Aires, Santiago, Bogotá, Lisboa, além de escritórios de representação em Lima, Nova Iorque, Miami, Frankfurt, Paris, Luxemburgo, Madri, Londres, Lisboa, Dubai, Tóquio, Emirados Árabes e Hong Kong.</w:t>
      </w:r>
    </w:p>
    <w:p>
      <w:pPr>
        <w:spacing w:line="300" w:lineRule="exact"/>
        <w:rPr>
          <w:rFonts w:ascii="Verdana" w:hAnsi="Verdana" w:cs="Arial"/>
          <w:iCs/>
          <w:lang w:val="pt-BR" w:eastAsia="pt-BR"/>
        </w:rPr>
      </w:pPr>
      <w:r>
        <w:rPr>
          <w:rFonts w:ascii="Verdana" w:hAnsi="Verdana" w:cs="Arial"/>
          <w:iCs/>
          <w:lang w:val="pt-BR" w:eastAsia="pt-BR"/>
        </w:rPr>
        <w:t>A área de Investment Banking oferece assessoria a clientes corporativos e investidores na estruturação de produtos de banco de investimento, incluindo renda fixa, renda variável, além de fusões e aquisições.</w:t>
      </w:r>
    </w:p>
    <w:p>
      <w:pPr>
        <w:spacing w:line="300" w:lineRule="exact"/>
        <w:rPr>
          <w:rFonts w:ascii="Verdana" w:hAnsi="Verdana" w:cs="Arial"/>
          <w:iCs/>
          <w:lang w:val="pt-BR" w:eastAsia="pt-BR"/>
        </w:rPr>
      </w:pPr>
      <w:r>
        <w:rPr>
          <w:rFonts w:ascii="Verdana" w:hAnsi="Verdana" w:cs="Arial"/>
          <w:iCs/>
          <w:lang w:val="pt-BR" w:eastAsia="pt-BR"/>
        </w:rPr>
        <w:t xml:space="preserve">De acordo com o Ranking ANBIMA de Renda Fixa e Híbridos, o Itaú BBA tem apresentado posição de destaque no mercado doméstico, tendo ocupado o primeiro lugar nos anos de 2004 a 2014, a segunda colocação em 2015 e em 2016 e o primeiro lugar em 2017 e 2018, com participação de mercado entre 19% e 55%. Até junho de 2019, encontra-se em 1º lugar. Adicionalmente, o Itaú BBA tem sido reconhecido como um dos melhores bancos de investimento do Brasil por instituições como Global Finance, Latin Finance e Euromoney. Em 2019, o Itaú BBA recebeu o prêmio de Structured Bond Deal of the Year Brazil, referente à operação  estruturada em 2018., em 2018 o Itaú BBA foi escolhido como o melhor banco de investimento do Brasil pela </w:t>
      </w:r>
      <w:r>
        <w:rPr>
          <w:rFonts w:ascii="Verdana" w:hAnsi="Verdana" w:cs="Arial"/>
          <w:i/>
          <w:iCs/>
          <w:lang w:val="pt-BR" w:eastAsia="pt-BR"/>
        </w:rPr>
        <w:t>Latin Finance</w:t>
      </w:r>
      <w:r>
        <w:rPr>
          <w:rFonts w:ascii="Verdana" w:hAnsi="Verdana" w:cs="Arial"/>
          <w:iCs/>
          <w:lang w:val="pt-BR" w:eastAsia="pt-BR"/>
        </w:rPr>
        <w:t xml:space="preserve">. Em 2017 o Itaú BBA foi escolhido como o melhor banco de investimento, de </w:t>
      </w:r>
      <w:r>
        <w:rPr>
          <w:rFonts w:ascii="Verdana" w:hAnsi="Verdana" w:cs="Arial"/>
          <w:i/>
          <w:iCs/>
          <w:lang w:val="pt-BR" w:eastAsia="pt-BR"/>
        </w:rPr>
        <w:t xml:space="preserve">equity </w:t>
      </w:r>
      <w:r>
        <w:rPr>
          <w:rFonts w:ascii="Verdana" w:hAnsi="Verdana" w:cs="Arial"/>
          <w:iCs/>
          <w:lang w:val="pt-BR" w:eastAsia="pt-BR"/>
        </w:rPr>
        <w:t xml:space="preserve">e de M&amp;A da LATAM pela Global Finance. Em 2016 o Itaú BBA foi escolhido como o melhor banco de investimento no Brasil pela Latin Finance. Em 2014 o Itaú BBA foi escolhido como o Banco mais inovador da América Latina pela The Banker. Em 2014 o Itaú BBA foi também eleito o melhor banco de investimento do Brasil e da América Latina pela Global Finance, e melhor banco de investimento do Brasil pela Latin Finance. Em 2013, o Itaú BBA foi escolhido como melhor banco de investimento e de títulos de dívida da América Latina pela Global Finance. </w:t>
      </w:r>
    </w:p>
    <w:p>
      <w:pPr>
        <w:spacing w:line="300" w:lineRule="exact"/>
        <w:rPr>
          <w:rFonts w:ascii="Verdana" w:hAnsi="Verdana" w:cs="Arial"/>
          <w:iCs/>
          <w:lang w:val="pt-BR" w:eastAsia="pt-BR"/>
        </w:rPr>
      </w:pPr>
      <w:r>
        <w:rPr>
          <w:rFonts w:ascii="Verdana" w:hAnsi="Verdana" w:cs="Arial"/>
          <w:iCs/>
          <w:lang w:val="pt-BR" w:eastAsia="pt-BR"/>
        </w:rPr>
        <w:t xml:space="preserve">Dentre as emissões de debêntures coordenadas pelo Itaú BBA recentemente, destacam-se as ofertas de debêntures de Quod (R$250 milhões), Engie (R$1,6 bilhões e R$2,5 bilhões), AB Colinas (R$515 milhões), Neoenergia (R$1,3 bilhões), Movida (R$700 milhões), Arteris (R$400 milhões), Equatorial Energia (R$620 milhões), BRK Ambiental (R$450 milhões), CPFL Energia (R$2,5 bilhões), Eneva (R$ 450 milhões), JSL (R$450 </w:t>
      </w:r>
      <w:r>
        <w:rPr>
          <w:rFonts w:ascii="Verdana" w:hAnsi="Verdana" w:cs="Arial"/>
          <w:iCs/>
          <w:lang w:val="pt-BR" w:eastAsia="pt-BR"/>
        </w:rPr>
        <w:lastRenderedPageBreak/>
        <w:t xml:space="preserve">milhões), CPFL Renováveis (R$853 milhões), Smart Fit (R$1,3 bilhões), B3 (R$1,2 bilhões), MRS (R$650 milhões), Kroton (R$800 milhões), Localiza (R$1 bilhão), AES Tietê (R$2,2 bilhões), , entre outras. </w:t>
      </w:r>
    </w:p>
    <w:p>
      <w:pPr>
        <w:spacing w:line="300" w:lineRule="exact"/>
        <w:rPr>
          <w:rFonts w:ascii="Verdana" w:hAnsi="Verdana" w:cs="Arial"/>
          <w:iCs/>
          <w:lang w:val="pt-BR" w:eastAsia="pt-BR"/>
        </w:rPr>
      </w:pPr>
      <w:r>
        <w:rPr>
          <w:rFonts w:ascii="Verdana" w:hAnsi="Verdana" w:cs="Arial"/>
          <w:iCs/>
          <w:lang w:val="pt-BR" w:eastAsia="pt-BR"/>
        </w:rPr>
        <w:t xml:space="preserve">Em operações de notas promissórias recentemente coordenadas pelo Banco Itaú BBA, destacam-se as operações de Enel (R$3 bilhões), Magazine Luiza (R$800 milhões), Cemig (R$1,7 bilhões e 1,4 bilhões), MRV (R$137 milhões), EDP (R$ 300 milhões e R$130 milhões), Lojas Americanas (R$190 milhões), Atacadão (R$750 milhões), Prime (R$260 milhões), Elektro (R$350 milhões), Arteris (R$650 milhões), Localiza (R$650 milhões), Prime (R$300 milhões), Coelce (R$400 milhões), Atacadão (R$2 bilhões), Duratex (R$500 milhões), Energisa (R$280 milhões, R$250 milhões e R$150 milhões), Equatorial (R$310 milhões), Light (R$400 milhões), CER (R$100 milhões), Prime (R$340 milhões), Energisa (R$300 milhões), Rede D’or (R$1,1 bilhões), SmartFit (R$200 milhões), Equatorial (R$310 milhões), Light (R$400 milhões), Rede D’or (R$1,1 bilhões), Bradespar (R$2,4 bilhões), Movida (R$400 milhões), Prime (R$200 milhões), Estácio (R$600 milhões), Porto Seguro (R$100 milhões), Energisa (R$280 milhões e R$140 milhões), entre outras. </w:t>
      </w:r>
    </w:p>
    <w:p>
      <w:pPr>
        <w:spacing w:line="300" w:lineRule="exact"/>
        <w:rPr>
          <w:rFonts w:ascii="Verdana" w:hAnsi="Verdana" w:cs="Arial"/>
          <w:iCs/>
          <w:lang w:val="pt-BR" w:eastAsia="pt-BR"/>
        </w:rPr>
      </w:pPr>
      <w:r>
        <w:rPr>
          <w:rFonts w:ascii="Verdana" w:hAnsi="Verdana" w:cs="Arial"/>
          <w:iCs/>
          <w:lang w:val="pt-BR" w:eastAsia="pt-BR"/>
        </w:rPr>
        <w:t>Destacam-se ainda as operações de FIDC de Ideal Invest (R$ 200 milhões, R$ 150 milhões, R$100 milhões), RCI (R$456 milhões), Chemical (R$588 milhões), Renner (R$420 milhões), Banco Volkswagen (R$1 bilhão), Stone (R$1,6 bilhões, R$700 milhões e R$360 milhões), Light (R$1,400 bilhões), Sabemi (R$318 milhões), Listo (R$400 milhões), entre outros.</w:t>
      </w:r>
    </w:p>
    <w:p>
      <w:pPr>
        <w:spacing w:line="300" w:lineRule="exact"/>
        <w:rPr>
          <w:rFonts w:ascii="Verdana" w:hAnsi="Verdana" w:cs="Arial"/>
          <w:iCs/>
          <w:lang w:val="pt-BR" w:eastAsia="pt-BR"/>
        </w:rPr>
      </w:pPr>
      <w:r>
        <w:rPr>
          <w:rFonts w:ascii="Verdana" w:hAnsi="Verdana" w:cs="Arial"/>
          <w:iCs/>
          <w:lang w:val="pt-BR" w:eastAsia="pt-BR"/>
        </w:rPr>
        <w:t xml:space="preserve">Destacam-se as operações de CRI, o de Cyrella (R$601 milhões), São Carlos (R$150 milhões) Aliansce Shopping Centers (R$180 milhões), Multiplan (R$300 milhões), BR Malls (R$225 e R$403 milhões), Direcional Engenharia (R$101 milhões) e Ambev (R$68 milhões), Multiplan (R$300 milhões), Aliansce (R$180 milhões), Multiplan (R$300 milhões), Iguatemi (R$280 milhões), HSI (R$161 milhões), Rede D’or (R$300 milhões), Sumaúma (R$180 milhões), Localiza (R$370 milhões), Hemisfério Sul (R$161 milhões), Rede D’or (R$300 milhões), Sumaúma (R$180 milhões), Setin (R$62 milhões), RaiaDrogasil (R$250 milhões), entre outros. </w:t>
      </w:r>
    </w:p>
    <w:p>
      <w:pPr>
        <w:spacing w:line="300" w:lineRule="exact"/>
        <w:rPr>
          <w:rFonts w:ascii="Verdana" w:hAnsi="Verdana" w:cs="Arial"/>
          <w:iCs/>
          <w:lang w:val="pt-BR" w:eastAsia="pt-BR"/>
        </w:rPr>
      </w:pPr>
      <w:r>
        <w:rPr>
          <w:rFonts w:ascii="Verdana" w:hAnsi="Verdana" w:cs="Arial"/>
          <w:iCs/>
          <w:lang w:val="pt-BR" w:eastAsia="pt-BR"/>
        </w:rPr>
        <w:t xml:space="preserve">No mercado de CRA destaques recentes incluem o CRA de Raízen (R$ 1 bilhão), Duratex (R$700 milhões), BRF (R$1,5 bilhões), Fibria (R$1,25 bilhões), Duratex (R$675 milhões), Suzano (R$675 milhões), Klabin (R$846 milhões), VLI Multimodal (R$260 milhões), São Martinho (R$506 milhões), Ultra (R$1 bilhão), Guarani (R$313 milhões) e Camil (R$405 milhões), Fibria (R$941 milhões), Solar (R$657 milhões), Minerva Foods (R$350 milhões), Ultra (R$944 milhões), Raízen (R$969 milhões e R$706 milhões), Klabin (R$600 milhões), Santa Helena (R$100 milhões), Brasil Agro (R$142 milhões), Petrobras Distribuidora (R$962 milhões), Brasal (R$100 milhões), Selmi (R$150 milhões), Raízen (R$900 milhões), Camil (R$600 milhões), Klabin (R$1 bilhão), entre outros. </w:t>
      </w:r>
    </w:p>
    <w:p>
      <w:pPr>
        <w:spacing w:line="300" w:lineRule="exact"/>
        <w:rPr>
          <w:rFonts w:ascii="Verdana" w:hAnsi="Verdana" w:cs="Arial"/>
          <w:iCs/>
          <w:lang w:val="pt-BR" w:eastAsia="pt-BR"/>
        </w:rPr>
      </w:pPr>
      <w:r>
        <w:rPr>
          <w:rFonts w:ascii="Verdana" w:hAnsi="Verdana" w:cs="Arial"/>
          <w:iCs/>
          <w:lang w:val="pt-BR" w:eastAsia="pt-BR"/>
        </w:rPr>
        <w:lastRenderedPageBreak/>
        <w:t xml:space="preserve">No segmento de renda fixa internacional, o Itaú BBA em 2016 coordenou 11 ofertas e no ano de 2017 foram 33 ofertas de bonds. De acordo com a Dealogic, o Itaú BBA foi o líder de mercado em 2017 para emissores brasileiros tanto pelo número de operações quanto pelo volume total. No ano de 2018, o Itaú BBA participou de 19 ofertas de bonds, cujo montante total alcançou mais de US$13,41 bilhões. Dentre as operações recentes em que o Itaú BBA atuou como joint-bookrunner até final de junho de 2019, destacam-se as três ofertas da Petrobras (US$4,0 bilhões em duas ofertas em 2017 e US$2,0 bilhões em 2018), Cosan Ltd (US$500 milhões), Banco do Brasil (US$1,00 bilhão em 2017 e US$750 milhões em 2019), Klabin (US$500 milhões em 2017 e US$1,00 bilhão em 2019), Ultrapar (US$500 milhões), Adecoagro (US$500 milhões), Suzano (US$400 milhões em 2017, US$1,5 bilhão em 2018 e US$1,25 bilhão em 2019), Arcor (US$150 milhões), Globo (US$200 milhões), Arcos Dorados (US$265 milhões), Rumo (US$750 milhões), AES Argentina (US$300 milhões), Republica da Colômbia (US$2,5 bilhões), República do Chile (US$1,6 bilhões), Republica do Uruguai (US$1,25 bilhão), Genneia (US$350 milhões), BRF (US$500 milhões), Aegea (US$ 400 milhões), República Federativa do Brasil (US$3,0 bilhões),  Azul (US$400 milhões), Cemig GT (US$1,5 bilhão), Banco Votorantim (US$300 milhões), duas ofertas da Minerva (US$500 milhões e US$350 milhões), entre outras. </w:t>
      </w:r>
    </w:p>
    <w:p>
      <w:pPr>
        <w:spacing w:line="300" w:lineRule="exact"/>
        <w:rPr>
          <w:rFonts w:ascii="Verdana" w:hAnsi="Verdana" w:cs="Arial"/>
          <w:iCs/>
          <w:lang w:val="pt-BR" w:eastAsia="pt-BR"/>
        </w:rPr>
      </w:pPr>
      <w:r>
        <w:rPr>
          <w:rFonts w:ascii="Verdana" w:hAnsi="Verdana" w:cs="Arial"/>
          <w:iCs/>
          <w:lang w:val="pt-BR" w:eastAsia="pt-BR"/>
        </w:rPr>
        <w:t xml:space="preserve"> </w:t>
      </w:r>
    </w:p>
    <w:p>
      <w:pPr>
        <w:spacing w:line="300" w:lineRule="exact"/>
        <w:rPr>
          <w:rFonts w:ascii="Verdana" w:hAnsi="Verdana" w:cs="Arial"/>
          <w:iCs/>
          <w:vanish/>
          <w:lang w:val="pt-BR" w:eastAsia="pt-BR"/>
        </w:rPr>
      </w:pPr>
      <w:r>
        <w:rPr>
          <w:rFonts w:ascii="Verdana" w:hAnsi="Verdana" w:cs="Arial"/>
          <w:iCs/>
          <w:lang w:val="pt-BR" w:eastAsia="pt-BR"/>
        </w:rPr>
        <w:t xml:space="preserve">Em 2017, o Itaú BBA atuou como coordenador e bookrunner de ofertas públicas iniciais e subsequentes de </w:t>
      </w:r>
      <w:r>
        <w:rPr>
          <w:rFonts w:ascii="Verdana" w:hAnsi="Verdana" w:cs="Arial"/>
          <w:i/>
          <w:iCs/>
          <w:lang w:val="pt-BR" w:eastAsia="pt-BR"/>
        </w:rPr>
        <w:t xml:space="preserve">equity </w:t>
      </w:r>
      <w:r>
        <w:rPr>
          <w:rFonts w:ascii="Verdana" w:hAnsi="Verdana" w:cs="Arial"/>
          <w:iCs/>
          <w:lang w:val="pt-BR" w:eastAsia="pt-BR"/>
        </w:rPr>
        <w:t xml:space="preserve">no Brasil e América Latina que totalizaram R$6 bilhões. No ranking da ANBIMA de renda variável, o banco figurou em primeiro lugar até dezembro de 2017. Em 2018, o Itaú BBA atuou como coordenador e </w:t>
      </w:r>
      <w:r>
        <w:rPr>
          <w:rFonts w:ascii="Verdana" w:hAnsi="Verdana" w:cs="Arial"/>
          <w:i/>
          <w:iCs/>
          <w:lang w:val="pt-BR" w:eastAsia="pt-BR"/>
        </w:rPr>
        <w:t>bookrunner</w:t>
      </w:r>
      <w:r>
        <w:rPr>
          <w:rFonts w:ascii="Verdana" w:hAnsi="Verdana" w:cs="Arial"/>
          <w:iCs/>
          <w:lang w:val="pt-BR" w:eastAsia="pt-BR"/>
        </w:rPr>
        <w:t xml:space="preserve"> de 4 ofertas publicas de ação, obtendo a 1ª posição no ranking da ANBIMA. Até junho de 2019 o Itaú BBA atuou como coordenador e </w:t>
      </w:r>
      <w:r>
        <w:rPr>
          <w:rFonts w:ascii="Verdana" w:hAnsi="Verdana" w:cs="Arial"/>
          <w:i/>
          <w:iCs/>
          <w:lang w:val="pt-BR" w:eastAsia="pt-BR"/>
        </w:rPr>
        <w:t>bookrunner</w:t>
      </w:r>
      <w:r>
        <w:rPr>
          <w:rFonts w:ascii="Verdana" w:hAnsi="Verdana" w:cs="Arial"/>
          <w:iCs/>
          <w:lang w:val="pt-BR" w:eastAsia="pt-BR"/>
        </w:rPr>
        <w:t xml:space="preserve"> de 10 ofertas públicas de ação..</w:t>
      </w:r>
    </w:p>
    <w:p>
      <w:pPr>
        <w:spacing w:line="300" w:lineRule="exact"/>
        <w:rPr>
          <w:rFonts w:ascii="Verdana" w:hAnsi="Verdana" w:cs="Arial"/>
          <w:iCs/>
          <w:lang w:val="pt-BR" w:eastAsia="pt-BR"/>
        </w:rPr>
      </w:pPr>
    </w:p>
    <w:p>
      <w:pPr>
        <w:spacing w:line="300" w:lineRule="exact"/>
        <w:rPr>
          <w:rFonts w:ascii="Verdana" w:hAnsi="Verdana" w:cs="Arial"/>
          <w:iCs/>
          <w:lang w:val="pt-BR" w:eastAsia="pt-BR"/>
        </w:rPr>
      </w:pPr>
      <w:r>
        <w:rPr>
          <w:rFonts w:ascii="Verdana" w:hAnsi="Verdana" w:cs="Arial"/>
          <w:iCs/>
          <w:lang w:val="pt-BR" w:eastAsia="pt-BR"/>
        </w:rPr>
        <w:t>No segmento de renda fixa, o Itaú BBA conta com equipe dedicada para prover aos clientes diversos produtos no mercado doméstico e internacional, tais como: notas promissórias, debêntures, comercial papers, fixed e floating rate notes, fundos de investimento em direitos creditórios (FIDC), certificados de recebíveis imobiliários (CRI) e do agronegócio (CRA). O Itaú BBA participou e distribuiu de operações de debêntures, notas promissórias e securitização que totalizaram mais de R$24,9 bilhões em 2017 e R$28,9 bilhões em 2018. De acordo com o ranking da ANBIMA, o Itaú BBA foi classificado em primeiro lugar no ranking de distribuição de operações em renda fixa e securitização em 2018 e sua participação de mercado soma perto de 29% do volume distribuído em 2018. Até junho de 2019, o Itaú BBA participou e distribuiu operações de debêntures, notas promissórias e securitização que totalizaram aproximadamente R$18,2 bilhões e sua participação de mercado soma perto de 25% do volume distribuído.</w:t>
      </w:r>
    </w:p>
    <w:p>
      <w:pPr>
        <w:spacing w:line="300" w:lineRule="exact"/>
        <w:rPr>
          <w:rFonts w:ascii="Verdana" w:hAnsi="Verdana" w:cs="Arial"/>
          <w:iCs/>
          <w:lang w:val="pt-BR" w:eastAsia="pt-BR"/>
        </w:rPr>
      </w:pPr>
      <w:r>
        <w:rPr>
          <w:rFonts w:ascii="Verdana" w:hAnsi="Verdana" w:cs="Arial"/>
          <w:iCs/>
          <w:lang w:val="pt-BR" w:eastAsia="pt-BR"/>
        </w:rPr>
        <w:t xml:space="preserve">Com equipe especializada, a área de fusões e aquisições do Itaú BBA oferece aos clientes estruturas e soluções para assessoria, coordenação, execução e negociação de </w:t>
      </w:r>
      <w:r>
        <w:rPr>
          <w:rFonts w:ascii="Verdana" w:hAnsi="Verdana" w:cs="Arial"/>
          <w:iCs/>
          <w:lang w:val="pt-BR" w:eastAsia="pt-BR"/>
        </w:rPr>
        <w:lastRenderedPageBreak/>
        <w:t>aquisições, desinvestimentos, fusões e reestruturações societárias. A área detém acesso a investidores para assessorar clientes na viabilização de movimentos societários.</w:t>
      </w:r>
    </w:p>
    <w:p>
      <w:pPr>
        <w:spacing w:line="300" w:lineRule="exact"/>
        <w:rPr>
          <w:rFonts w:ascii="Verdana" w:hAnsi="Verdana" w:cs="Arial"/>
          <w:iCs/>
          <w:lang w:val="pt-BR" w:eastAsia="pt-BR"/>
        </w:rPr>
      </w:pPr>
      <w:r>
        <w:rPr>
          <w:rFonts w:ascii="Verdana" w:hAnsi="Verdana" w:cs="Arial"/>
          <w:iCs/>
          <w:lang w:val="pt-BR" w:eastAsia="pt-BR"/>
        </w:rPr>
        <w:t xml:space="preserve">Até março de 2019, o Itaú BBA prestou assessoria em 5 operações de fusões e aquisições, totalizando US$520 milhões. Em 2018, na área de fusões e aquisições, o Itaú BBA prestou assessoria financeira a 49 transações, acumulando um volume total de US$25,7 bilhões, obtendo posição de liderança, segundo a </w:t>
      </w:r>
      <w:r>
        <w:rPr>
          <w:rFonts w:ascii="Verdana" w:hAnsi="Verdana" w:cs="Arial"/>
          <w:i/>
          <w:iCs/>
          <w:lang w:val="pt-BR" w:eastAsia="pt-BR"/>
        </w:rPr>
        <w:t>Dealogic</w:t>
      </w:r>
      <w:r>
        <w:rPr>
          <w:rFonts w:ascii="Verdana" w:hAnsi="Verdana" w:cs="Arial"/>
          <w:iCs/>
          <w:lang w:val="pt-BR" w:eastAsia="pt-BR"/>
        </w:rPr>
        <w:t>. Em 2017, o Itaú BBA ocupou o 1º lugar no ranking Thomson Reuters em número de operações.</w:t>
      </w:r>
    </w:p>
    <w:p>
      <w:pPr>
        <w:pStyle w:val="Ttulo3"/>
        <w:spacing w:line="300" w:lineRule="exact"/>
        <w:rPr>
          <w:rFonts w:ascii="Verdana" w:hAnsi="Verdana"/>
          <w:lang w:val="pt-BR"/>
        </w:rPr>
      </w:pPr>
    </w:p>
    <w:p>
      <w:pPr>
        <w:spacing w:after="0" w:line="300" w:lineRule="exact"/>
        <w:rPr>
          <w:rFonts w:ascii="Verdana" w:hAnsi="Verdana" w:cs="Arial"/>
          <w:b/>
          <w:lang w:val="pt-BR"/>
        </w:rPr>
      </w:pPr>
      <w:bookmarkStart w:id="344" w:name="_Toc428306474"/>
      <w:bookmarkEnd w:id="343"/>
      <w:r>
        <w:rPr>
          <w:rFonts w:ascii="Verdana" w:hAnsi="Verdana" w:cs="Arial"/>
          <w:b/>
          <w:lang w:val="pt-BR"/>
        </w:rPr>
        <w:t xml:space="preserve">Banco Bradesco BBI S.A. </w:t>
      </w:r>
      <w:r>
        <w:rPr>
          <w:rFonts w:ascii="Verdana" w:hAnsi="Verdana" w:cs="Arial"/>
          <w:lang w:val="pt-BR"/>
        </w:rPr>
        <w:t>[</w:t>
      </w:r>
      <w:r>
        <w:rPr>
          <w:rFonts w:ascii="Verdana" w:hAnsi="Verdana" w:cs="Arial"/>
          <w:b/>
          <w:highlight w:val="yellow"/>
          <w:lang w:val="pt-BR"/>
        </w:rPr>
        <w:t>NOTA PNA:</w:t>
      </w:r>
      <w:r>
        <w:rPr>
          <w:rFonts w:ascii="Verdana" w:hAnsi="Verdana" w:cs="Arial"/>
          <w:highlight w:val="yellow"/>
          <w:lang w:val="pt-BR"/>
        </w:rPr>
        <w:t xml:space="preserve"> Bradesco - BBI, Favor confirmar se há atualizações</w:t>
      </w:r>
      <w:r>
        <w:rPr>
          <w:rFonts w:ascii="Verdana" w:hAnsi="Verdana" w:cs="Arial"/>
          <w:lang w:val="pt-BR"/>
        </w:rPr>
        <w:t>]</w:t>
      </w:r>
    </w:p>
    <w:p>
      <w:pPr>
        <w:spacing w:line="300" w:lineRule="exact"/>
        <w:rPr>
          <w:rFonts w:ascii="Verdana" w:hAnsi="Verdana" w:cs="Arial"/>
          <w:iCs/>
          <w:lang w:val="pt-BR" w:eastAsia="pt-BR"/>
        </w:rPr>
      </w:pPr>
      <w:r>
        <w:rPr>
          <w:rFonts w:ascii="Verdana" w:hAnsi="Verdana" w:cs="Arial"/>
          <w:iCs/>
          <w:lang w:val="pt-BR" w:eastAsia="pt-BR"/>
        </w:rPr>
        <w:t>Banco de investimento do Banco Bradesco S.A., o Bradesco BBI, é responsável por (i) originação e execução de operações de financiamento de projetos; (ii) originação e execução de operações de fusões e aquisições; (iii) originação, estruturação, sindicalização e distribuição de operações de valores mobiliários de renda fixa no Brasil e exterior; e (iv) originação, estruturação, sindicalização e distribuição de operações de valores mobiliários de renda variável no Brasil e exterior.</w:t>
      </w:r>
    </w:p>
    <w:p>
      <w:pPr>
        <w:spacing w:line="300" w:lineRule="exact"/>
        <w:rPr>
          <w:rFonts w:ascii="Verdana" w:hAnsi="Verdana" w:cs="Arial"/>
          <w:iCs/>
          <w:spacing w:val="-4"/>
          <w:lang w:eastAsia="pt-BR"/>
        </w:rPr>
      </w:pPr>
      <w:r>
        <w:rPr>
          <w:rFonts w:ascii="Verdana" w:hAnsi="Verdana" w:cs="Arial"/>
          <w:iCs/>
          <w:spacing w:val="-4"/>
          <w:lang w:val="pt-BR" w:eastAsia="pt-BR"/>
        </w:rPr>
        <w:t xml:space="preserve">Bradesco BBI conquistou em 2016 e 2017 os prêmios máximos de todas as categorias a que concorreu. </w:t>
      </w:r>
      <w:r>
        <w:rPr>
          <w:rFonts w:ascii="Verdana" w:hAnsi="Verdana" w:cs="Arial"/>
          <w:iCs/>
          <w:spacing w:val="-4"/>
          <w:lang w:eastAsia="pt-BR"/>
        </w:rPr>
        <w:t xml:space="preserve">São estas a de </w:t>
      </w:r>
      <w:r>
        <w:rPr>
          <w:rFonts w:ascii="Verdana" w:hAnsi="Verdana" w:cs="Arial"/>
          <w:i/>
          <w:iCs/>
          <w:spacing w:val="-4"/>
          <w:lang w:eastAsia="pt-BR"/>
        </w:rPr>
        <w:t>“Best Investment Bank in Brazil</w:t>
      </w:r>
      <w:r>
        <w:rPr>
          <w:rFonts w:ascii="Verdana" w:hAnsi="Verdana" w:cs="Arial"/>
          <w:iCs/>
          <w:spacing w:val="-4"/>
          <w:lang w:eastAsia="pt-BR"/>
        </w:rPr>
        <w:t>” pela Global Finance, “</w:t>
      </w:r>
      <w:r>
        <w:rPr>
          <w:rFonts w:ascii="Verdana" w:hAnsi="Verdana" w:cs="Arial"/>
          <w:i/>
          <w:iCs/>
          <w:spacing w:val="-4"/>
          <w:lang w:eastAsia="pt-BR"/>
        </w:rPr>
        <w:t>Brazil´s Best Investment Bank</w:t>
      </w:r>
      <w:r>
        <w:rPr>
          <w:rFonts w:ascii="Verdana" w:hAnsi="Verdana" w:cs="Arial"/>
          <w:iCs/>
          <w:spacing w:val="-4"/>
          <w:lang w:eastAsia="pt-BR"/>
        </w:rPr>
        <w:t>” pela Euromoney e “</w:t>
      </w:r>
      <w:r>
        <w:rPr>
          <w:rFonts w:ascii="Verdana" w:hAnsi="Verdana" w:cs="Arial"/>
          <w:i/>
          <w:iCs/>
          <w:spacing w:val="-4"/>
          <w:lang w:eastAsia="pt-BR"/>
        </w:rPr>
        <w:t>Most Innovative Investment Bank from Latin America</w:t>
      </w:r>
      <w:r>
        <w:rPr>
          <w:rFonts w:ascii="Verdana" w:hAnsi="Verdana" w:cs="Arial"/>
          <w:iCs/>
          <w:spacing w:val="-4"/>
          <w:lang w:eastAsia="pt-BR"/>
        </w:rPr>
        <w:t>” pela The Banker.</w:t>
      </w:r>
    </w:p>
    <w:p>
      <w:pPr>
        <w:spacing w:line="300" w:lineRule="exact"/>
        <w:rPr>
          <w:rFonts w:ascii="Verdana" w:hAnsi="Verdana" w:cs="Arial"/>
          <w:iCs/>
          <w:lang w:val="pt-BR" w:eastAsia="pt-BR"/>
        </w:rPr>
      </w:pPr>
      <w:r>
        <w:rPr>
          <w:rFonts w:ascii="Verdana" w:hAnsi="Verdana" w:cs="Arial"/>
          <w:iCs/>
          <w:lang w:val="pt-BR" w:eastAsia="pt-BR"/>
        </w:rPr>
        <w:t>No ano de 2017, o Bradesco BBI assessorou seus clientes em 205 operações em todos os segmentos de Investment Banking em um montante total de aproximadamente R$ 233,7 bilhões.</w:t>
      </w:r>
    </w:p>
    <w:p>
      <w:pPr>
        <w:pStyle w:val="Bullet1"/>
        <w:numPr>
          <w:ilvl w:val="0"/>
          <w:numId w:val="26"/>
        </w:numPr>
        <w:spacing w:after="160" w:line="300" w:lineRule="exact"/>
        <w:jc w:val="left"/>
        <w:rPr>
          <w:rFonts w:ascii="Verdana" w:hAnsi="Verdana" w:cs="Arial"/>
          <w:lang w:val="pt-BR" w:eastAsia="pt-BR"/>
        </w:rPr>
      </w:pPr>
      <w:r>
        <w:rPr>
          <w:rFonts w:ascii="Verdana" w:hAnsi="Verdana" w:cs="Arial"/>
          <w:lang w:val="pt-BR" w:eastAsia="pt-BR"/>
        </w:rPr>
        <w:t>Presença constante em operações de renda variável, com presença na maioria dos IPOs (</w:t>
      </w:r>
      <w:r>
        <w:rPr>
          <w:rFonts w:ascii="Verdana" w:hAnsi="Verdana" w:cs="Arial"/>
          <w:i/>
          <w:lang w:val="pt-BR" w:eastAsia="pt-BR"/>
        </w:rPr>
        <w:t>Initial Public Offerings</w:t>
      </w:r>
      <w:r>
        <w:rPr>
          <w:rFonts w:ascii="Verdana" w:hAnsi="Verdana" w:cs="Arial"/>
          <w:lang w:val="pt-BR" w:eastAsia="pt-BR"/>
        </w:rPr>
        <w:t xml:space="preserve">) e Follow-ons que foram a mercado em 2018, no qual podemos destacar: coordenador líder do IPO do Banco Inter, primeiro IPO de uma fintech no Brasil e </w:t>
      </w:r>
      <w:r>
        <w:rPr>
          <w:rFonts w:ascii="Verdana" w:hAnsi="Verdana" w:cs="Arial"/>
          <w:i/>
          <w:lang w:val="pt-BR" w:eastAsia="pt-BR"/>
        </w:rPr>
        <w:t>joint bookrunner</w:t>
      </w:r>
      <w:r>
        <w:rPr>
          <w:rFonts w:ascii="Verdana" w:hAnsi="Verdana" w:cs="Arial"/>
          <w:lang w:val="pt-BR" w:eastAsia="pt-BR"/>
        </w:rPr>
        <w:t xml:space="preserve"> do IPO da Pag Seguro, o maior IPO da NYSE em 2018.</w:t>
      </w:r>
    </w:p>
    <w:p>
      <w:pPr>
        <w:pStyle w:val="Bullet1"/>
        <w:numPr>
          <w:ilvl w:val="0"/>
          <w:numId w:val="26"/>
        </w:numPr>
        <w:spacing w:after="160" w:line="300" w:lineRule="exact"/>
        <w:rPr>
          <w:rFonts w:ascii="Verdana" w:hAnsi="Verdana" w:cs="Arial"/>
          <w:lang w:val="pt-BR" w:eastAsia="pt-BR"/>
        </w:rPr>
      </w:pPr>
      <w:r>
        <w:rPr>
          <w:rFonts w:ascii="Verdana" w:hAnsi="Verdana" w:cs="Arial"/>
          <w:lang w:val="pt-BR" w:eastAsia="pt-BR"/>
        </w:rPr>
        <w:t xml:space="preserve">O Bradesco BBI iniciou o ano de 2018 com uma presença significativa no mercado de capitais brasileiro, tendo participado em 4 das 6 ofertas que foram precificadas no ano. O Bradesco BBI participou como coordenador líder e </w:t>
      </w:r>
      <w:r>
        <w:rPr>
          <w:rFonts w:ascii="Verdana" w:hAnsi="Verdana" w:cs="Arial"/>
          <w:i/>
          <w:lang w:val="pt-BR" w:eastAsia="pt-BR"/>
        </w:rPr>
        <w:t>joint bookrunner</w:t>
      </w:r>
      <w:r>
        <w:rPr>
          <w:rFonts w:ascii="Verdana" w:hAnsi="Verdana" w:cs="Arial"/>
          <w:lang w:val="pt-BR" w:eastAsia="pt-BR"/>
        </w:rPr>
        <w:t xml:space="preserve"> em 3 ofertas no Brasil e 1 no exterior, que somadas, representaram um volume de aproximadamente R$11,6 bilhões. Podemos destacar a participação do Bradesco BBI como coordenador líder no IPO do Banco Inter, no montante de R$672 milhões, além da participação como </w:t>
      </w:r>
      <w:r>
        <w:rPr>
          <w:rFonts w:ascii="Verdana" w:hAnsi="Verdana" w:cs="Arial"/>
          <w:i/>
          <w:lang w:val="pt-BR" w:eastAsia="pt-BR"/>
        </w:rPr>
        <w:t>joint bookrunner</w:t>
      </w:r>
      <w:r>
        <w:rPr>
          <w:rFonts w:ascii="Verdana" w:hAnsi="Verdana" w:cs="Arial"/>
          <w:lang w:val="pt-BR" w:eastAsia="pt-BR"/>
        </w:rPr>
        <w:t xml:space="preserve"> no IPO de Pagseguro, no montante de R$7,3 bilhões, como </w:t>
      </w:r>
      <w:r>
        <w:rPr>
          <w:rFonts w:ascii="Verdana" w:hAnsi="Verdana" w:cs="Arial"/>
          <w:i/>
          <w:lang w:val="pt-BR" w:eastAsia="pt-BR"/>
        </w:rPr>
        <w:t>joint bookrunner</w:t>
      </w:r>
      <w:r>
        <w:rPr>
          <w:rFonts w:ascii="Verdana" w:hAnsi="Verdana" w:cs="Arial"/>
          <w:lang w:val="pt-BR" w:eastAsia="pt-BR"/>
        </w:rPr>
        <w:t xml:space="preserve"> no IPO de NotreDame Intermédica, no montante de R$2,7 bilhões e como </w:t>
      </w:r>
      <w:r>
        <w:rPr>
          <w:rFonts w:ascii="Verdana" w:hAnsi="Verdana" w:cs="Arial"/>
          <w:i/>
          <w:lang w:val="pt-BR" w:eastAsia="pt-BR"/>
        </w:rPr>
        <w:t>joint bookrunner</w:t>
      </w:r>
      <w:r>
        <w:rPr>
          <w:rFonts w:ascii="Verdana" w:hAnsi="Verdana" w:cs="Arial"/>
          <w:lang w:val="pt-BR" w:eastAsia="pt-BR"/>
        </w:rPr>
        <w:t xml:space="preserve"> do Follow-on da Azul Linhas Aéreas, no montante de R$1,2 bilhão.</w:t>
      </w:r>
    </w:p>
    <w:p>
      <w:pPr>
        <w:pStyle w:val="Bullet1"/>
        <w:numPr>
          <w:ilvl w:val="0"/>
          <w:numId w:val="26"/>
        </w:numPr>
        <w:spacing w:after="160" w:line="300" w:lineRule="exact"/>
        <w:rPr>
          <w:rFonts w:ascii="Verdana" w:hAnsi="Verdana" w:cs="Arial"/>
          <w:lang w:val="pt-BR" w:eastAsia="pt-BR"/>
        </w:rPr>
      </w:pPr>
      <w:r>
        <w:rPr>
          <w:rFonts w:ascii="Verdana" w:hAnsi="Verdana" w:cs="Arial"/>
          <w:lang w:val="pt-BR" w:eastAsia="pt-BR"/>
        </w:rPr>
        <w:lastRenderedPageBreak/>
        <w:t>Com importantes transações realizadas, o Bradesco BBI concluiu o segundo trimestre de 2018 com grande destaque em renda fixa. Coordenou 26 operações no mercado doméstico, em ofertas que totalizaram mais de R$15,134 bilhões originados.</w:t>
      </w:r>
    </w:p>
    <w:p>
      <w:pPr>
        <w:pStyle w:val="Bullet1"/>
        <w:numPr>
          <w:ilvl w:val="0"/>
          <w:numId w:val="26"/>
        </w:numPr>
        <w:spacing w:after="160" w:line="300" w:lineRule="exact"/>
        <w:rPr>
          <w:rFonts w:ascii="Verdana" w:hAnsi="Verdana" w:cs="Arial"/>
          <w:lang w:val="pt-BR" w:eastAsia="pt-BR"/>
        </w:rPr>
      </w:pPr>
      <w:r>
        <w:rPr>
          <w:rFonts w:ascii="Verdana" w:hAnsi="Verdana" w:cs="Arial"/>
          <w:lang w:val="pt-BR" w:eastAsia="pt-BR"/>
        </w:rPr>
        <w:t>No segundo trimestre de 2018, o Bradesco BBI teve 3 transações anunciadas com valor de aproximadamente R$9,2 bilhões. As principais transações realizadas foram: assessoria à Marfrig na aquisição de 51% de participação na National Beef por R$3,3 bilhões e à Carlyle e Vinci Partners na alienação de 25% do capital da Uniasselvi para a Neuberger Berman por R$380 milhões.</w:t>
      </w:r>
    </w:p>
    <w:p>
      <w:pPr>
        <w:pStyle w:val="HOMEBRBodyText"/>
        <w:spacing w:line="300" w:lineRule="exact"/>
        <w:rPr>
          <w:rFonts w:ascii="Verdana" w:hAnsi="Verdana" w:cs="Arial"/>
          <w:spacing w:val="-4"/>
          <w:lang w:eastAsia="pt-BR"/>
        </w:rPr>
      </w:pPr>
      <w:r>
        <w:rPr>
          <w:rFonts w:ascii="Verdana" w:hAnsi="Verdana" w:cs="Arial"/>
          <w:spacing w:val="-4"/>
          <w:lang w:eastAsia="pt-BR"/>
        </w:rPr>
        <w:t>Em termos de valor de mercado, o Banco Bradesco S.A. é o segundo maior banco privado da América Latina além de ter a marca mais valiosa entre instituições financeiras de acordo com pesquisa da Brand Finance de 2013. O Banco Bradesco S.A. está presente em todos os municípios brasileiros e em diversas localidades no exterior. Clientes e usuários têm à disposição 74.126 pontos de atendimento, destacando-se 4.702 agências. No segundo trimestre de 2018, o lucro líquido recorrente foi de R$ 5,161 bilhões, enquanto o patrimônio líquido totalizou R$113,039 milhões, segundo o Relatório de Análise Econômica e Financeira da instituição.</w:t>
      </w:r>
    </w:p>
    <w:p>
      <w:pPr>
        <w:pStyle w:val="HOMEBRBodyText"/>
        <w:spacing w:line="300" w:lineRule="exact"/>
        <w:rPr>
          <w:rFonts w:ascii="Verdana" w:hAnsi="Verdana" w:cs="Arial"/>
          <w:b/>
        </w:rPr>
      </w:pPr>
      <w:r>
        <w:rPr>
          <w:rFonts w:ascii="Verdana" w:hAnsi="Verdana" w:cs="Arial"/>
          <w:b/>
        </w:rPr>
        <w:t xml:space="preserve">Banco Santander (Brasil) S.A. </w:t>
      </w:r>
      <w:r>
        <w:rPr>
          <w:rFonts w:ascii="Verdana" w:hAnsi="Verdana" w:cs="Arial"/>
        </w:rPr>
        <w:t>[</w:t>
      </w:r>
      <w:r>
        <w:rPr>
          <w:rFonts w:ascii="Verdana" w:hAnsi="Verdana" w:cs="Arial"/>
          <w:b/>
          <w:highlight w:val="yellow"/>
        </w:rPr>
        <w:t>NOTA PNA:</w:t>
      </w:r>
      <w:r>
        <w:rPr>
          <w:rFonts w:ascii="Verdana" w:hAnsi="Verdana" w:cs="Arial"/>
          <w:highlight w:val="yellow"/>
        </w:rPr>
        <w:t xml:space="preserve"> Santander, Favor confirmar se há atualizações</w:t>
      </w:r>
      <w:r>
        <w:rPr>
          <w:rFonts w:ascii="Verdana" w:hAnsi="Verdana" w:cs="Arial"/>
        </w:rPr>
        <w:t>]</w:t>
      </w:r>
    </w:p>
    <w:p>
      <w:pPr>
        <w:spacing w:line="300" w:lineRule="exact"/>
        <w:rPr>
          <w:rFonts w:ascii="Verdana" w:hAnsi="Verdana" w:cs="Arial"/>
          <w:iCs/>
          <w:lang w:val="pt-BR" w:eastAsia="pt-BR"/>
        </w:rPr>
      </w:pPr>
      <w:r>
        <w:rPr>
          <w:rFonts w:ascii="Verdana" w:hAnsi="Verdana" w:cs="Arial"/>
          <w:iCs/>
          <w:lang w:val="pt-BR" w:eastAsia="pt-BR"/>
        </w:rPr>
        <w:t xml:space="preserve">O Santander é controlado pelo Santander Espanha, instituição com sede na Espanha fundada em 1857. O Grupo Santander possui, atualmente, cerca de €1,4 trilhão em ativos, e possui mais de 18,8 milhões de clientes e, aproximadamente, 13,7 mil agências. O Santander acredita ser um dos principais grupos financeiros da Espanha e da América Latina e desenvolve atividades de negócios na Europa, alcançando, principalmente, uma presença no Reino Unido, por meio do Abbey National Bank Plc, assim como em Portugal. Adicionalmente, acredita ser um dos líderes em financiamento ao consumo na Europa, por meio do Santander Consumer, com presença em 15 países do continente e nos Estados Unidos. </w:t>
      </w:r>
    </w:p>
    <w:p>
      <w:pPr>
        <w:spacing w:line="300" w:lineRule="exact"/>
        <w:rPr>
          <w:rFonts w:ascii="Verdana" w:hAnsi="Verdana" w:cs="Arial"/>
          <w:iCs/>
          <w:lang w:val="pt-BR" w:eastAsia="pt-BR"/>
        </w:rPr>
      </w:pPr>
      <w:r>
        <w:rPr>
          <w:rFonts w:ascii="Verdana" w:hAnsi="Verdana" w:cs="Arial"/>
          <w:iCs/>
          <w:lang w:val="pt-BR" w:eastAsia="pt-BR"/>
        </w:rPr>
        <w:t>Em 2017, o Grupo Santander registrou lucro líquido atribuído de aproximadamente €1,0 bilhão na América Latina, o que representou, no mesmo período, aproximadamente 44% dos resultados das áreas de negócios do Grupo Santander no mundo. Também na América Latina, o Grupo Santander possui cerca de 5,9 mil agências e cerca de 89,0 mil funcionários.</w:t>
      </w:r>
    </w:p>
    <w:p>
      <w:pPr>
        <w:spacing w:line="300" w:lineRule="exact"/>
        <w:rPr>
          <w:rFonts w:ascii="Verdana" w:hAnsi="Verdana" w:cs="Arial"/>
          <w:iCs/>
          <w:lang w:val="pt-BR" w:eastAsia="pt-BR"/>
        </w:rPr>
      </w:pPr>
      <w:r>
        <w:rPr>
          <w:rFonts w:ascii="Verdana" w:hAnsi="Verdana" w:cs="Arial"/>
          <w:iCs/>
          <w:lang w:val="pt-BR" w:eastAsia="pt-BR"/>
        </w:rPr>
        <w:t xml:space="preserve">Em 1957, o Grupo Santander entrou no mercado brasileiro por meio de um contrato operacional celebrado com o Banco Intercontinental do Brasil S.A. Em 1997, adquiriu o Banco Geral do Comércio S.A., em 1998 adquiriu o Banco Noroeste S.A., em 1999 adquiriu o Banco Meridional S.A. (incluindo sua subsidiária, o Banco Bozano, Simonsen S.A.) e em 2000 adquiriu o Banco do Estado de São Paulo S.A.– Banespa. Em 1º de novembro de 2007, o RFS Holdings B.V., um consórcio composto pelo Santander </w:t>
      </w:r>
      <w:r>
        <w:rPr>
          <w:rFonts w:ascii="Verdana" w:hAnsi="Verdana" w:cs="Arial"/>
          <w:iCs/>
          <w:lang w:val="pt-BR" w:eastAsia="pt-BR"/>
        </w:rPr>
        <w:lastRenderedPageBreak/>
        <w:t>Espanha, The Royal Bank of Scotland Group PLC, Fortis SA/NV e Fortis N.V., adquiriu 96,95% do capital do ABN AMRO, então controlador do Banco Real. Na sequência, em 12 de dezembro de 2007, o CADE aprovou sem ressalvas a aquisição das pessoas jurídicas brasileiras do ABN AMRO pelo consórcio. No primeiro trimestre de 2008, o Fortis N.V. e Santander Espanha chegaram a um acordo por meio do qual o Santander Espanha adquiriu direito às atividades de administração de ativos do ABN AMRO no Brasil, que fora anteriormente adquirido pelo Fortis N.V. como parte da aquisição do ABN AMRO realizada pelo RFS Holdings B.V. Em 24 de julho de 2008, o Santander Espanha assumiu o controle acionário indireto do Banco Real. Por fim, em 30 de abril de 2009, o Banco Real foi incorporado pelo Santander e foi extinto como pessoa jurídica independente.</w:t>
      </w:r>
    </w:p>
    <w:p>
      <w:pPr>
        <w:spacing w:line="300" w:lineRule="exact"/>
        <w:rPr>
          <w:rFonts w:ascii="Verdana" w:hAnsi="Verdana" w:cs="Arial"/>
          <w:iCs/>
          <w:lang w:val="pt-BR" w:eastAsia="pt-BR"/>
        </w:rPr>
      </w:pPr>
      <w:r>
        <w:rPr>
          <w:rFonts w:ascii="Verdana" w:hAnsi="Verdana" w:cs="Arial"/>
          <w:iCs/>
          <w:lang w:val="pt-BR" w:eastAsia="pt-BR"/>
        </w:rPr>
        <w:t>Com a incorporação do Banco Real, o Santander tem presença ativa em todos os segmentos do mercado financeiro, com uma completa gama de produtos e serviços em diferentes segmentos de clientes – pessoas físicas, pequenas e médias empresas, corporações, governos e instituições. As atividades do Santander compreendem três segmentos operacionais: banco comercial, banco global de atacado e gestão de recursos de terceiros e seguros. No primeiro trimestre de 2018, o Santander possuía uma carteira de mais de 22,2 milhões de clientes ativos, 3.484 entre agências e pontos de atendimento bancário (PABs) e mais de 13.512 caixas eletrônicos próprios, além de um total de ativos em torno de R$724,3 bilhões e patrimônio líquido de, aproximadamente, R$61,3 bilhões (excluindo o ágio). O Santander Brasil possui uma participação de 27% dos resultados das áreas de negócios do Santander no mundo, além de representar aproximadamente 9% no resultado global do Santander, com 48 mil funcionários.</w:t>
      </w:r>
    </w:p>
    <w:p>
      <w:pPr>
        <w:spacing w:line="300" w:lineRule="exact"/>
        <w:rPr>
          <w:rFonts w:ascii="Verdana" w:hAnsi="Verdana" w:cs="Arial"/>
          <w:iCs/>
          <w:lang w:val="pt-BR" w:eastAsia="pt-BR"/>
        </w:rPr>
      </w:pPr>
      <w:r>
        <w:rPr>
          <w:rFonts w:ascii="Verdana" w:hAnsi="Verdana" w:cs="Arial"/>
          <w:iCs/>
          <w:lang w:val="pt-BR" w:eastAsia="pt-BR"/>
        </w:rPr>
        <w:t>O Santander oferece aos seus clientes diversos produtos e serviços locais e internacionais que são direcionados às necessidades dos clientes. Produtos e serviços são oferecidos nas áreas de transações bancárias globais (Global Transaction Banking), financiamento global via dívida (Global Debt Financing), Banco de Investimento (Investment Banking), Equities, Tesouraria Clientes e Formador de Mercado (Market Making). Dessa forma, os clientes corporativos podem se beneficiar dos serviços globais fornecidos pelo Santander no mundo.</w:t>
      </w:r>
    </w:p>
    <w:p>
      <w:pPr>
        <w:spacing w:line="300" w:lineRule="exact"/>
        <w:rPr>
          <w:rFonts w:ascii="Verdana" w:hAnsi="Verdana" w:cs="Arial"/>
          <w:iCs/>
          <w:lang w:val="pt-BR" w:eastAsia="pt-BR"/>
        </w:rPr>
      </w:pPr>
      <w:r>
        <w:rPr>
          <w:rFonts w:ascii="Verdana" w:hAnsi="Verdana" w:cs="Arial"/>
          <w:iCs/>
          <w:lang w:val="pt-BR" w:eastAsia="pt-BR"/>
        </w:rPr>
        <w:t xml:space="preserve">Na área de </w:t>
      </w:r>
      <w:r>
        <w:rPr>
          <w:rFonts w:ascii="Verdana" w:hAnsi="Verdana" w:cs="Arial"/>
          <w:i/>
          <w:iCs/>
          <w:lang w:val="pt-BR" w:eastAsia="pt-BR"/>
        </w:rPr>
        <w:t>equities</w:t>
      </w:r>
      <w:r>
        <w:rPr>
          <w:rFonts w:ascii="Verdana" w:hAnsi="Verdana" w:cs="Arial"/>
          <w:iCs/>
          <w:lang w:val="pt-BR" w:eastAsia="pt-BR"/>
        </w:rPr>
        <w:t xml:space="preserve">, o Santander atua na estruturação de operações em boa parte da América Latina, contando com equipe de </w:t>
      </w:r>
      <w:r>
        <w:rPr>
          <w:rFonts w:ascii="Verdana" w:hAnsi="Verdana" w:cs="Arial"/>
          <w:i/>
          <w:iCs/>
          <w:lang w:val="pt-BR" w:eastAsia="pt-BR"/>
        </w:rPr>
        <w:t>equity research</w:t>
      </w:r>
      <w:r>
        <w:rPr>
          <w:rFonts w:ascii="Verdana" w:hAnsi="Verdana" w:cs="Arial"/>
          <w:iCs/>
          <w:lang w:val="pt-BR" w:eastAsia="pt-BR"/>
        </w:rPr>
        <w:t xml:space="preserve">, </w:t>
      </w:r>
      <w:r>
        <w:rPr>
          <w:rFonts w:ascii="Verdana" w:hAnsi="Verdana" w:cs="Arial"/>
          <w:i/>
          <w:iCs/>
          <w:lang w:val="pt-BR" w:eastAsia="pt-BR"/>
        </w:rPr>
        <w:t>sales</w:t>
      </w:r>
      <w:r>
        <w:rPr>
          <w:rFonts w:ascii="Verdana" w:hAnsi="Verdana" w:cs="Arial"/>
          <w:iCs/>
          <w:lang w:val="pt-BR" w:eastAsia="pt-BR"/>
        </w:rPr>
        <w:t xml:space="preserve"> e equity </w:t>
      </w:r>
      <w:r>
        <w:rPr>
          <w:rFonts w:ascii="Verdana" w:hAnsi="Verdana" w:cs="Arial"/>
          <w:i/>
          <w:iCs/>
          <w:lang w:val="pt-BR" w:eastAsia="pt-BR"/>
        </w:rPr>
        <w:t>capital markets</w:t>
      </w:r>
      <w:r>
        <w:rPr>
          <w:rFonts w:ascii="Verdana" w:hAnsi="Verdana" w:cs="Arial"/>
          <w:iCs/>
          <w:lang w:val="pt-BR" w:eastAsia="pt-BR"/>
        </w:rPr>
        <w:t xml:space="preserve">. A área de </w:t>
      </w:r>
      <w:r>
        <w:rPr>
          <w:rFonts w:ascii="Verdana" w:hAnsi="Verdana" w:cs="Arial"/>
          <w:i/>
          <w:iCs/>
          <w:lang w:val="pt-BR" w:eastAsia="pt-BR"/>
        </w:rPr>
        <w:t>research</w:t>
      </w:r>
      <w:r>
        <w:rPr>
          <w:rFonts w:ascii="Verdana" w:hAnsi="Verdana" w:cs="Arial"/>
          <w:iCs/>
          <w:lang w:val="pt-BR" w:eastAsia="pt-BR"/>
        </w:rPr>
        <w:t xml:space="preserve"> do Santander é considerada pela publicação “Institutional Investor” como uma das melhores não somente no Brasil, mas também na América Latina. Adicionalmente, o Santander dispõe de uma estrutura de </w:t>
      </w:r>
      <w:r>
        <w:rPr>
          <w:rFonts w:ascii="Verdana" w:hAnsi="Verdana" w:cs="Arial"/>
          <w:i/>
          <w:iCs/>
          <w:lang w:val="pt-BR" w:eastAsia="pt-BR"/>
        </w:rPr>
        <w:t>research</w:t>
      </w:r>
      <w:r>
        <w:rPr>
          <w:rFonts w:ascii="Verdana" w:hAnsi="Verdana" w:cs="Arial"/>
          <w:iCs/>
          <w:lang w:val="pt-BR" w:eastAsia="pt-BR"/>
        </w:rPr>
        <w:t xml:space="preserve"> dedicada exclusivamente ao acompanhamento de ativos latino-americanos.</w:t>
      </w:r>
    </w:p>
    <w:p>
      <w:pPr>
        <w:spacing w:line="300" w:lineRule="exact"/>
        <w:rPr>
          <w:rFonts w:ascii="Verdana" w:hAnsi="Verdana" w:cs="Arial"/>
          <w:iCs/>
          <w:lang w:val="pt-BR" w:eastAsia="pt-BR"/>
        </w:rPr>
      </w:pPr>
      <w:r>
        <w:rPr>
          <w:rFonts w:ascii="Verdana" w:hAnsi="Verdana" w:cs="Arial"/>
          <w:iCs/>
          <w:lang w:val="pt-BR" w:eastAsia="pt-BR"/>
        </w:rPr>
        <w:t xml:space="preserve">Em </w:t>
      </w:r>
      <w:r>
        <w:rPr>
          <w:rFonts w:ascii="Verdana" w:hAnsi="Verdana" w:cs="Arial"/>
          <w:i/>
          <w:iCs/>
          <w:lang w:val="pt-BR" w:eastAsia="pt-BR"/>
        </w:rPr>
        <w:t>sales &amp; trading</w:t>
      </w:r>
      <w:r>
        <w:rPr>
          <w:rFonts w:ascii="Verdana" w:hAnsi="Verdana" w:cs="Arial"/>
          <w:iCs/>
          <w:lang w:val="pt-BR" w:eastAsia="pt-BR"/>
        </w:rPr>
        <w:t xml:space="preserve">, o Grupo Santander possui equipes dedicadas a ativos latino-americanos no mundo. Presente no Brasil, Estados Unidos, Europa e Ásia, a equipe do Grupo Santander figura dentre as melhores da América Latina pela publicação da “Institutional Investor”. Adicionalmente, o Santander também dispõe de uma estrutura </w:t>
      </w:r>
      <w:r>
        <w:rPr>
          <w:rFonts w:ascii="Verdana" w:hAnsi="Verdana" w:cs="Arial"/>
          <w:iCs/>
          <w:lang w:val="pt-BR" w:eastAsia="pt-BR"/>
        </w:rPr>
        <w:lastRenderedPageBreak/>
        <w:t>dedicada ao acesso ao mercado de varejo e pequenos investidores institucionais no Brasil por meio de salas de ações e corretora.</w:t>
      </w:r>
    </w:p>
    <w:p>
      <w:pPr>
        <w:spacing w:line="300" w:lineRule="exact"/>
        <w:rPr>
          <w:rFonts w:ascii="Verdana" w:hAnsi="Verdana" w:cs="Arial"/>
          <w:iCs/>
          <w:lang w:val="pt-BR" w:eastAsia="pt-BR"/>
        </w:rPr>
      </w:pPr>
      <w:r>
        <w:rPr>
          <w:rFonts w:ascii="Verdana" w:hAnsi="Verdana" w:cs="Arial"/>
          <w:iCs/>
          <w:lang w:val="pt-BR" w:eastAsia="pt-BR"/>
        </w:rPr>
        <w:t xml:space="preserve">No mercado de renda fixa local, o Santander tem se posicionado entre os quatro primeiros colocados no último ano, de acordo com o Ranking ANBIMA de Renda Fixa e Híbridos – Originação e com o Ranking ANBIMA de Renda Fixa e Híbridos – Distribuição. </w:t>
      </w:r>
    </w:p>
    <w:p>
      <w:pPr>
        <w:spacing w:line="300" w:lineRule="exact"/>
        <w:rPr>
          <w:rFonts w:ascii="Verdana" w:hAnsi="Verdana" w:cs="Arial"/>
          <w:iCs/>
          <w:lang w:val="pt-BR" w:eastAsia="pt-BR"/>
        </w:rPr>
      </w:pPr>
      <w:r>
        <w:rPr>
          <w:rFonts w:ascii="Verdana" w:hAnsi="Verdana" w:cs="Arial"/>
          <w:iCs/>
          <w:lang w:val="pt-BR" w:eastAsia="pt-BR"/>
        </w:rPr>
        <w:t xml:space="preserve">No ano de 2013, o Santander, (i) atuou como coordenador na distribuição da segunda emissão de debêntures simples da Santo Antônio Energia S.A., no montante de R$ 420,0 milhões; (ii) atuou como coordenador na distribuição da quarta emissão de debêntures simples da Iguatemi Empresa de Shopping Centers S.A., no montante de R$ 450,0 milhões; (iii) foi coordenador da segunda emissão de debêntures da Triângulo do Sol Auto-Estradas S.A., no montante de R$ 691,07 milhões; (iv) atuou como coordenador na distribuição da terceira emissão de debêntures simples da Termopernambuco S.A., no montante de R$ 90,0 milhões; (v) atuou como coordenador na distribuição da quarta emissão de letras financeiras da Companhia de Crédito, Financiamento e Investimento RCI do Brasil, no montante de R$350,0 milhões; (vi) foi coordenador da terceira emissão de debêntures da Colinas S.A., no montante de R$ 950,0 milhões; (vii) atuou como coordenador na distribuição da quarta emissão de debêntures simples da Valid Soluções e Serviços de Segurança em Meios de Pagamento e Identificação S.A., no montante de R$ 250,0 milhões; (viii) atuou como coordenador na distribuição da quarta emissão de debêntures simples da CPFL Energia S.A., no montante de R$ 1.290,0 milhões; (ix) atuou como coordenador na distribuição da primeira emissão de debêntures simples da VCCL Participações S.A., no montante de R$ 140,0 milhões; (x) atuou como coordenador na distribuição da sexta emissão de debêntures simples da JSL S.A., no montante de R$ 400,0 milhões; (xi) atuou como coordenador na distribuição da nona emissão de debêntures simples da OAS S.A., no montante de R$ 100,0 milhões; (xii) atuou como coordenador líder na distribuição quinta emissão de letras financeiras da Companhia de Crédito, Financiamento e Investimento RCI Brasil, no montante de R$ 550,0 milhões; (xiii) atuou como coordenador na distribuição da primeira emissão de debêntures simples da Norte Brasil Transmissora de Energia S.A., no montante de R$ 200,0 milhões; (xiv) atuou como coordenador na distribuição da segunda emissão de debêntures simples da Brasil Pharma S.A., no montante de R$ 287,69 milhões; (xv) atuou como coordenador na distribuição da primeira emissão de debêntures simples da Raízen Combustíveis S.A., no montante de R$ 750,0 milhões; (xvi) atuou como coordenador líder na distribuição da segunda emissão de debêntures simples da BR Towers SPE1 S.A., no montante de R$ 300,0 milhões; (xvii) atuou como coordenador na distribuição da sexta emissão de debêntures simples da MRS Logística S.A., no montante de R$ 300,0 milhões; (xviii) atuou como coordenador líder na distribuição de certificados de recebíveis imobiliários das 302ª, 303ª e 304ª séries da 1ª emissão da Brazilian Securities Companhia de Securitização com lastros Cédulas de Crédito Imobiliário (CCI) advindas do contrato de locação de unidades sob encomenda entre a Petrobrás e a Rio Bravo Investimentos., no montante de R$ 520,0 milhões; (xix) atuou como coordenador na distribuição pública de quotas seniores e quotas subordinadas mezanino do Driver Brasil </w:t>
      </w:r>
      <w:r>
        <w:rPr>
          <w:rFonts w:ascii="Verdana" w:hAnsi="Verdana" w:cs="Arial"/>
          <w:iCs/>
          <w:lang w:val="pt-BR" w:eastAsia="pt-BR"/>
        </w:rPr>
        <w:lastRenderedPageBreak/>
        <w:t>Two Banco Volkswagen fundo de investimento em direitos creditórios financiamento de veículos, no montante de R$ 1,0 bilhão; (xx) atuou como coordenador na distribuição pública de certificados de recebíveis do agronegócio da quarta emissão da Gaia Agro Securitizadora S.A. lastreada em certificados de direitos creditórios do agronegócio emitido pela Nardini Agroindustrial S.A., no montante de R$ 120,0 milhões; (xxi) atuou como coordenador na distribuição da quarta emissão de debêntures simples da Termopernambuco S.A., no montante de R$ 800,0 milhões; (xxi) atuou como coordenador na distribuição da primeira emissão de debêntures simples da Let’s Rent a Car S.A., no montante de R$ 100,0 milhões; e (xxii) atuou como coordenador na distribuição da quarta emissão de debêntures simples da BR Properties S.A., no montante de R$ 400,0 milhões.</w:t>
      </w:r>
    </w:p>
    <w:p>
      <w:pPr>
        <w:spacing w:line="300" w:lineRule="exact"/>
        <w:rPr>
          <w:rFonts w:ascii="Verdana" w:hAnsi="Verdana" w:cs="Arial"/>
          <w:iCs/>
          <w:lang w:val="pt-BR" w:eastAsia="pt-BR"/>
        </w:rPr>
      </w:pPr>
      <w:r>
        <w:rPr>
          <w:rFonts w:ascii="Verdana" w:hAnsi="Verdana" w:cs="Arial"/>
          <w:iCs/>
          <w:lang w:val="pt-BR" w:eastAsia="pt-BR"/>
        </w:rPr>
        <w:t>No ano de 2014, o Santander, (i) atuou como coordenador líder na distribuição quinta emissão de letras financeiras da Companhia de Crédito, Financiamento e Investimento RCI Brasil, no montante de R$ 400,20 milhões; (ii) atuou como coordenador na distribuição pública de quotas seniores do FIDC Lojas Renner II – Financeiro e Comercial, fundo de investimento em direitos creditórios financiamento de veículos, no montante de R$ 420,0 milhões; (iii) atuou como coordenador na distribuição da sexta emissão de debêntures simples da Companhia Paranaense de Energia – COPEL no montante de R$ 1,0 bilhão; (iv) atuou como coordenador na distribuição da oitava emissão de debêntures simples da JSL S.A., no montante de R$ 400,0 milhões; (v) atuou como coordenador na distribuição da quarta emissão de debêntures simples da Restoque Comércio e Confecções de Roupas S.A., no montante de R$ 120,0 milhões; (vi) atuou como coordenador na distribuição da décima nona emissão de debêntures simples da Companhia de Saneamento do Estado de São Paulo – SABESP, no montante de R$ 500,0 milhões; (vii) atuou como coordenador na distribuição da primeira emissão de debêntures simples da Libra Terminal Rio S.A., no montante de R$ 200,0 milhões; (viii) atuou como coordenador na distribuição da terceira emissão de letras financeiras do Banco Pine S.A., no montante de R$ 230,0 milhões; (ix) atuou como coordenador na distribuição da segunda emissão de debêntures da CETIP S.A. Mercados Organizados, no montante de R$ 500,0 milhões; (x) atuou como coordenador na distribuição da terceira emissão de debêntures da Multiplan Empreendimentos Imobiliários S.A., no montante de R$ 400,0 milhões; e (xi) atuou como coordenador na distribuição da Arteris S.A., no montante de R$ 300,0 milhões.</w:t>
      </w:r>
    </w:p>
    <w:p>
      <w:pPr>
        <w:spacing w:line="300" w:lineRule="exact"/>
        <w:rPr>
          <w:rFonts w:ascii="Verdana" w:hAnsi="Verdana" w:cs="Arial"/>
          <w:iCs/>
          <w:lang w:val="pt-BR" w:eastAsia="pt-BR"/>
        </w:rPr>
      </w:pPr>
      <w:r>
        <w:rPr>
          <w:rFonts w:ascii="Verdana" w:hAnsi="Verdana" w:cs="Arial"/>
          <w:iCs/>
          <w:lang w:val="pt-BR" w:eastAsia="pt-BR"/>
        </w:rPr>
        <w:t xml:space="preserve">No ano de 2015, o Santander, (i) atuou como coordenador líder na distribuição da sétima emissão de debêntures da MRS Logística S.A., no montante de R$ 550,7 milhões; (ii) atuou como coordenador na distribuição da quinta emissão de debêntures da Diagnósticos da América S.A., no montante de R$400,0 milhões; (iii) atuou como coordenador na distribuição da nona emissão de debêntures da Localiza S.A., no montante de R$500,0 milhões; (iv) atuou como coordenador líder na distribuição da terceira emissão de debêntures da Enova Foods S.A., no montante de R$15,0 milhões; (v) atuou como coordenador líder na distribuição pública da primeira emissão de quotas seniores do FIDC RCI Brasil I - Financiamento de Veículos, no montante de R$465,7 </w:t>
      </w:r>
      <w:r>
        <w:rPr>
          <w:rFonts w:ascii="Verdana" w:hAnsi="Verdana" w:cs="Arial"/>
          <w:iCs/>
          <w:lang w:val="pt-BR" w:eastAsia="pt-BR"/>
        </w:rPr>
        <w:lastRenderedPageBreak/>
        <w:t>milhões; (vi) atuou como coordenador na distribuição da sexta emissão de debêntures da Alupar Investimentos S.A., no montante de R$250,0 milhões; (vii)atuou como coordenador líder na distribuição da primeira emissão de notas promissórias da NC Energia S.A., no montante de R$50 milhões; (viii) atuou como coordenador líder na distribuição da terceira emissão de debêntures da Empresa Concessionária Rodovias do Norte S.A., no montante de R$246,0 milhões; (ix) atuou como coordenador na distribuição da quarta emissão de letras financeiras do Banco Volkswagen S.A., no montante de R$400,0 milhões; (x)atuou como coordenador líder na distribuição da quinta emissão de debêntures da Valid Soluções e Serviços de Segurança em Meios de Pagamento e Identificação S.A., no montante de R$62,5 milhões; (xi)atuou como coordenador na distribuição da segunda emissão de debêntures da Companhia Paulista de Securitização – CPSEC, no montante de R$600,0 milhões; (xii) atuou como coordenador na distribuição da terceira emissão de debêntures da Arteris S.A., no montante de R$750,0 milhões; (xiii) atuou como coordenador na distribuição da primeira emissão de notas promissórias da Neoenergia S.A., no montante de R$71,0 milhões; (xiv)atuou como coordenador líder na distribuição da primeira emissão de debêntures da Ventos de São Tomé Holding S.A., no montante de R$89,0 milhões; (xv) atuou como coordenador na distribuição da terceira emissão de debêntures da Estácio Participações S.A., no montante de R$187,0 milhões; (xvi) atuou como coordenador líder na distribuição da primeira emissão de debêntures da NC Energia S.A., no montante de 31,6 milhões; (xvii) atuou como coordenador líder na distribuição da primeira emissão de debêntures da Ultrafértil S.A., no montante de R$115,0 milhões; (xviii) atuou como coordenador líder na distribuição da oitava emissão de letras financeiras da Companhia de Crédito, Financiamento e Investimento RCI Brasil, no montante de R$500,1 milhões; (xix) atuou como coordenador na distribuição da primeira emissão de debêntures da Ventos de São Tomé Holding S.A., no montante de R$111,0 milhões; (xx) atuou como coordenador na distribuição pública de quotas seniores e quotas subordinadas mezanino do Driver Brasil Three Banco Volkswagen fundo de investimento em direitos creditórios financiamento de veículos, no montante de R$ 1,0 bilhão; (xxi) atuou como coordenador na distribuição da quarta emissão de debêntures da AES Tietê S.A., no montante de R$594,0 milhões; e atuou como coordenador na distribuição da quarta emissão de debêntures da Companhia de Gás de São Paulo – COMGÁS, no montante de R$ 591,9 milhões.</w:t>
      </w:r>
    </w:p>
    <w:p>
      <w:pPr>
        <w:spacing w:line="300" w:lineRule="exact"/>
        <w:rPr>
          <w:rFonts w:ascii="Verdana" w:hAnsi="Verdana" w:cs="Arial"/>
          <w:iCs/>
          <w:lang w:val="pt-BR" w:eastAsia="pt-BR"/>
        </w:rPr>
      </w:pPr>
      <w:r>
        <w:rPr>
          <w:rFonts w:ascii="Verdana" w:hAnsi="Verdana" w:cs="Arial"/>
          <w:iCs/>
          <w:lang w:val="pt-BR" w:eastAsia="pt-BR"/>
        </w:rPr>
        <w:t xml:space="preserve">No ano de 2016, o Santander, (i) atuou como coordenador líder na distribuição da primeira emissão de debêntures da Chapada do Piauí I Holding S.A., no montante de R$70,63 milhões; (ii) atuou como coordenador líder na distribuição da primeira série da sétima emissão de Certificados de Recebíveis do Agronegócio da Octante Securitizadora S.A. advindos de CDCAs e CPR Financeiras emitidos por Distribuidores e Produtores Clientes da Bayer S.A., no montante de R$107,646 milhões; (iii) atuou como coordenador líder na distribuição da quinta emissão de debêntures da Companhia Energética de Pernambuco, no montante de R$206,89 milhões; (iv) atuou como coordenador líder na distribuição da primeira emissão de Letras Financeiras do Banco </w:t>
      </w:r>
      <w:r>
        <w:rPr>
          <w:rFonts w:ascii="Verdana" w:hAnsi="Verdana" w:cs="Arial"/>
          <w:iCs/>
          <w:lang w:val="pt-BR" w:eastAsia="pt-BR"/>
        </w:rPr>
        <w:lastRenderedPageBreak/>
        <w:t xml:space="preserve">RCI Brasil S.A., no montante de R$698,4 milhões; (v) atuou como coordenador líder na distribuição da primeira série da décima quinta emissão de Certificados de Recebíveis do Agronegócio da Gaia Agro Securitizadora S.A. lastreados em direitos creditórios oriundos da realização de operações de compra e vendas a prazo de defensivos agrícolas, adubos, corretivos, fertilizantes, biofertilizantes e outros insumos agrícolas da CCAB Agro S.A., no montante de R$79,485 milhões; (vi) atuou como coordenador na distribuição da terceira e quarta séries da primeira emissão de Certificados de Recebíveis do Agronegócio da RB Capital Companhia de Securitização advindos da emissão de CPR Financeira da Raízen Tarumã Ltda, (vii) atuou como coordenador líder na distribuição da sexta emissão de debêntures da Valid Soluções e Serviços de Segurança em Meios de Pagamento e Identificação S.A., no montante de R$ 199,613 milhões, (viii) atuou como coordenador na distribuição pública de Certificados de Recebiveis Imobiliários das séries 138, 139 e 140 da 1ª emissão da RB Capital Companhia de Securitização lastreados em cédulas de crédito imobiliários que representam a totalidade dos créditos imobiliários das debêntures emitidas pela BR Malls Participações S.A., no montante de R$ 225 milhões, (ix) atuou como coordenador na distribuição da terceira emissão de Letras Financeiras do Paraná Banco S.A., no montante de R$ 250 milhões, (x) atuou como coordenador líder na distribuição pública de Certificados de Recebíveis do Agronegócio da 1ª série da 11ª Emissão da Octante Securitizadora S.A. lastreados em Certificados de Direitos Creditórios do Agronegócio e Cédulas de Produto Rural Financeiras emitidos por Distribuidores e Produtores Clientes da Nufarm Indústria Química e Farmacêutica S.A., no montante de R$ 141 milhões (xi) atuou como coordenador na distribuição da 1ª Emissão de Debêntures Incentivadas pela lei 12.431 da VLI Operações Portuárias S.A., no montante de R$ 175 milhões, (xii) atuou como coordenador líder na distribuição da quinta emissão de Letras Financeiras do Banco Daycoval, no montante de R$ 400 milhões, (xiii) atuou como coordenador líder na distribuição pública de Certificados de Recebíveis do Agronegócio da 1ª série da 12ª Emissão da Octante Securitizadora S.A. lastreados em Notas Fiscais Eletrônicas emitidas pelo Grupo Monsanto, (xiv) atuou como coordenador da 10ª Emissão de Debêntures da Lojas Americanas S.A., no montante de R$ 300 milhões, (xv) atuou como coordenador na distribuição da 2ª emissão de Notas Promissórias da Lojas Americanas S.A., no montante de R$190 milhões, (xvi) atuou como coordenador na distribuição pública de Certificados de Recebíveis do Agronegócio da 1ª série da 91ª e 92ª Emissão da Eco Securitizadora de Direitos Creditórios do Agronegócio S.A. lastreados em crédito do agronegócio devidos pela Camil Alimentos S.A., no montante de R$ 402,255 milhões, (xvii) atuou como coordenador líder na distribuição da primeira série da 13ª Emissão de Certificados de Recebíveis do Agronegócio da Octante Securitizadora S.A. advindos de CDCA e CPR Financeiras emitidos por Distribuidores e Produtores Clientes da Bayer S.A., no montante de R$ 258,118 milhões, (xviii) atuou como coordenador líder da 4ª Emissão de Debêntures da Sul América S.A., no montante de R$ 500 milhões, (xix) atuou como coordenador na 1ª Emissão de Debêntures da BM&amp;F Bovespa, no montante de R$ 3 bilhões, (xx) atuou como coordenador na distribuição da primeira série da 1ª Emissão de Certificados de Recebíveis do Agronegócio da Ápice Securitizadora S.A. com lastro em Debêntures </w:t>
      </w:r>
      <w:r>
        <w:rPr>
          <w:rFonts w:ascii="Verdana" w:hAnsi="Verdana" w:cs="Arial"/>
          <w:iCs/>
          <w:lang w:val="pt-BR" w:eastAsia="pt-BR"/>
        </w:rPr>
        <w:lastRenderedPageBreak/>
        <w:t>emitidas em favor da Companhia Brasileira de Distribuição, no montante de R$1,0125 bilhão, (xxi) atuou como coordenador da 5ª Emissão de Debêntures 12.431 da Companhia de Gás de São Paulo – COMGÁS, no montante de R$ 500 milhões, (xxii) atuou como coordenador na distribuição pública de Certificados de Recebíveis do Agronegócio da 93ª e 94ª Séries da 1ª Emissão da Eco Securitizadora de Direitos Creditórios do Agronegócio S.A. lastreados em Direitos Creditórios do Agronegócio decorrente de Notas de Crédito à Exportação de emissão da Fibria Celulose S.A., no montante de R$ 1,25 bilhão.</w:t>
      </w:r>
    </w:p>
    <w:p>
      <w:pPr>
        <w:spacing w:line="300" w:lineRule="exact"/>
        <w:rPr>
          <w:rFonts w:ascii="Verdana" w:hAnsi="Verdana" w:cs="Arial"/>
          <w:iCs/>
          <w:lang w:val="pt-BR" w:eastAsia="pt-BR"/>
        </w:rPr>
      </w:pPr>
      <w:r>
        <w:rPr>
          <w:rFonts w:ascii="Verdana" w:hAnsi="Verdana" w:cs="Arial"/>
          <w:iCs/>
          <w:lang w:val="pt-BR" w:eastAsia="pt-BR"/>
        </w:rPr>
        <w:t xml:space="preserve">No ano de 2017, o Santander, (i) atuou como coordenador líder na distribuição da 5ª Emissão de Debêntures da Telefônica Brasil S.A., no montante de R$ 2 bilhões, (ii) atuou como coordenador da 1ª Série da 2ª Emissão de Certificados de Recebíveis do Agronegócio da Vert Companhia de Securitização, com lastro em crédito do agronegócio da Agropecuária Scheffer Ltda., no montante de R$93 milhões, (iii) atuou como coordenador da 1ª Série da 17ª Emissão de Certificados de Recebíveis do Agronegócio da Gaia Agro Securitizadora S.A., com lastro em cedido pela Mosaic Fertilizantes do Brasil Ltda., no montante de R$89 milhões, (iv) atuou como coordenador da 2ª Emissão de Debêntures da Paranaíba Transmissora de Energia S.A., no montante de R$120 milhões, (v) atuou como coordenador da 1ª Emissão de Certificados de Recebíveis do Agronegócio da Eco Securitizadora de Direitos Creditórios do Agronegócio S.A., com lastro em crédito do agronegócio da Klabin S.A., no montante de R$846 milhões, (vi) atuou como coordenador líder da 5ª Emissão de Debêntures da CTEEP – Companhia de Transmissão de Energia Elétrica Paulista, no montante de R$300 milhões, (vii) atuou como coordenador líder da 3ª Emissão de Letras Financeiras do Banco RCI Brasil, no montante de R$600 milhões, (viii) atuou como coordenador líder da 9ª Emissão de Debêntures da Unidas S.A., no montante de R$300 milhões, (ix) atuou como coordenador da 6ª Emissão de Debêntures da Algar Telecom S.A., no montante de R$432 milhões, (x) atuou como coordenador líder da 4ª Emissão de Debêntures da Neoenergia S.A., no montante de R$250 milhões, (xi) atuou como coordenador líder da 1ª Emissão de Debêntures da Extremoz Transmissora do Nordeste S.A., no montante de R$168 milhões, (xii) atuou como coordenador líder da 11ª Emissão de Debêntures da Lojas Americanas S.A., no montante de R$1,5 bilhão, (xiii) atuou como coordenador da 6ª Emissão de Debêntures da AES Tietê Energia S.A., no montante de R$1 bilhão, (xiv) atuou como coordenador líder da 4ª Emissão de Debêntures da Companhia do Metrô da Bahia, no montante de R$250 milhões, (xv) atuou como coordenador líder da 1ª Emissão de Debêntures da Ventos de São Clemente Holding S.A., no montante de R$180 milhões, (xvi) atuou como coordenador da 1ª Emissão da Eco Securitizadora de Direitos Creditórios do Agronegócio S.A., com lastro em créditos da Ipiranga Produtos de Petróleo S.A., (xvii) atuou coordenador líder da 7ª Emissão de Debêntures da Companhia Energética de Pernambuco – CELPE, no montante de R$590 milhões, (xviii) atuou como coordenador da 2ª Emissão de Debêntures da Complexo Morrinhos Energias Renováveis S.A., no montante de R$102,5 milhões, (xix) atuou como coordenador da 288ª série da 2ª emissão de Certificados de Recebíveis Imobiliários da Cibrasec – Companhia Brasileira </w:t>
      </w:r>
      <w:r>
        <w:rPr>
          <w:rFonts w:ascii="Verdana" w:hAnsi="Verdana" w:cs="Arial"/>
          <w:iCs/>
          <w:lang w:val="pt-BR" w:eastAsia="pt-BR"/>
        </w:rPr>
        <w:lastRenderedPageBreak/>
        <w:t xml:space="preserve">de Securitização, com lastro em créditos imobiliários da Multiplan Greenfield XII Empreendimento Imobiliário LTDA, no montante de R$300 milhões, (xx) atuou como coordenador líder da 5ª emissão de Letras Financeiras do Banco Volkswagen S.A., no montante de R$500 milhões, (xxi) atuou como coordenador da 3ª emissão de Debentures da Itarema Geração de Energia S.A., no montante de R$111,76 milhões, (xxii) atuou como coordenador da 116ª Série da 1ª Emissão de Certificados de Recebíveis do Agronegócio da Eco Securitizadora de Direitos Creditórios do Agronegócio S.A. com lastro em CDCAs cedidos pela JSL S.A., no montante de R$270 milhões, (xxiii) atuou como coordenador líder da 1ª Emissão de Notas Comerciais da CPFL Serviços, Equipamentos, Indústria e Comércio S.A., no montante de R$45 milhões, (xxiv) atuou como coordenador da 6ª emissão de Debêntures da Companhia Paranaense de Energia – Copel, no montante de R$520 milhões, (xxv) atuou como coordenador Líder da 3ª emissão de Notas Promissórias da Lojas Americanas S.A., no montante de R$900 milhões, (xxvi) atuou como coordenador Líder da 1ª Emissão de Debêntures da Ventos de São Vicente Energias Renováveis S.A., no montante de R$100 milhões, (xxvii) atuou como coordenador da 117ª e 118ª Séries da 1ª Emissão de Certificados de Recebíveis do Agronegócio da Eco Securitizadora de Direitos Creditórios do Agronegócio S.A., com lastro em debêntures emitidas pela Camil Alimentos S.A., no montante de R$400 milhões, (xxviii) atuou como coordenador cíder da 6ª Emissão de Debêntures da Companhia Energética do Rio Grande do Norte – COSERN, no montante de R$220 milhões, (xxix) atuou como coordenador da 1ª emissão de Debêntures da Somos Educação S.A., no montante de R$800 milhões, (xxx) atuou como coordenador da 4ª Emissão de Letras Financeiras do Banco RCI Brasil S.A., no montante de R$500,1 milhões, (xxxi) atuou como coordenador líder da 159ª Série da 1ª Emissão de Certificados de Recebíveis Imobiliários da RB Capital Companhia de Securitização, com lastro em Debêntures emitidas pela Iguatemi Empresa de Shoppings Centers S.A., no montante de R$279,6 milhões, (xxxii) atuou como coordenador da 1ª emissão de Notas Promissórias da Smartfit Escola de Ginástica S.A., no montante de R$150 milhões, (xxxiii) atuou como coordenador líder da 10ª Emissão de Debêntures da Unidas S.A., no montante de R$500 milhões, (xxxiv) atuou como coordenador líder na Emissão de CDBV do Banco IBM S.A., (xxxv) atuou como coordenador da 4ª Emissão de Debêntures da Transmissora Aliança de Energia Elétrica S.A., no montante de R$542,6 milhões, (xxxvi) atuou como coordenador líder da 8ª Emissão de Debêntures da Companhia Energética do Maranhão – CEMAR, no montante de R$500 milhões, (xxxvii) atuou como coordenador da 105ª Série da 1ª Emissão de Certificado de Recebíveis Imobiliários da Ápice Securitizadora S.A., com lastro em Debêntures emitidas pela BR Malls Participações S.A., no montante de R$400 milhões, (xxxviii) atuou como coordenador na 1ª Emissão de Debêntures da Ventos de Santo Estevão Holding S.A., no montante de R$160 milhões, (xxxix) atuou como coordenador líder na 8ª Emissão de Notas Promissórias da Companhia Energética do Ceará – COELCE, no montante de R$400 milhões, (xl) Atuou como Coordenador Líder na 5ª Emissão de Debêntures da Sul América S.A., no montante de R$500 milhões, (xli) atuou como coordenador na 7ª Emissão de Debêntures da Companhia Energética do Rio Grande do Norte – COSERN, </w:t>
      </w:r>
      <w:r>
        <w:rPr>
          <w:rFonts w:ascii="Verdana" w:hAnsi="Verdana" w:cs="Arial"/>
          <w:iCs/>
          <w:lang w:val="pt-BR" w:eastAsia="pt-BR"/>
        </w:rPr>
        <w:lastRenderedPageBreak/>
        <w:t>no montante de R$370 milhões, (xlii) atuou como coordenador líder na 1ª Série da 15ª Emissão de Certificados de Recebíveis do Agronegócio da Octante Securitizadora S.A., com lastro em CPR Financeiras e CDCS cedidos pela Adama Brasil S.A., no montante de R$86,3 milhões, (xliii) atuou como coordenador na 1ª e 2ª Séries da 14ª Emissão de Certificados de Recebíveis do Agronegócio da Vert Companhia Securitizadora S.A., com lastro em debêntures emitidas pela Ipiranga Produtos de Petróleo S.A., no montante de R$944 milhões, (xliv) atuou como coordenador líder da 1ª Série da 22ª Emissão de Certificados de Recebíveis do Agronegócio da Gaia Agro Securitizadora S.A., com lastro em direitos creditórios do agronegócio emitidos pela Rural Brasil S.A., no montante de R$70 milhões, (xlv) atuou como coordenador da 2ª Emissão de Debêntures da Omega Energia e Implantação 2 S.A., no montante de R$220 milhões, (xlvi) atuou como coordenador da 2ª emissão de Debêntures da CVC Brasil Operadora e Agência de Viagens S.A., no montante de R$600 milhões, (xlvii) atuou como Coordenador Líder da 6ª emissão de Debêntures da Telefônica Brasil S.A., no montante de R$1 bilhão, (xlviii) atuou como coordenador líder da 2ª Emissão de Debêntures da Enerpeixe S.A., no montante de R$320 milhões, (xlix) atuou como coordenador da 2ª Emissão de Debêntures da Belo Monte Transmissora de Energia SPE S.A., no montante de R$580 milhões, (l) atuou como coordenador líder da 1ª emissão de Notas Comerciais da Companhia Energética do Maranhão – CEMAR, no montante de R$500 milhões, (li) atuou como coordenador líder da 1ª Série da 24ª Emissão de Certificados de Recebíveis do Agronegócio da Gaia Agro Securitizadora S.A., com lastro em Créditos do Agronegócio cedidos pela BASF S.A., no montante de R$235,2 milhões (lii) atuou como coordenador da 11ª e da 12ª Séries da 1ª Emissão de Certificados de Recebíveis do Agronegócio da RB Capital Companhia de Securitização, com lastro em debêntures emitidas pela Raízen Combustíveis S.A., no montante de R$945 milhões, (liii) atuou como coordenador líder da 8ª Emissão de Debêntures da MRS Logística S.A., no montante de R$400 milhões, (liv) atuou como coordenador líder da 9ª Emissão de Debêntures da Ampla Energia e Serviços S.A., no montante de R$600 milhões, (lv) atuou como coordenador líder da 1ª Emissão de Debêntures da ETC – Empresa Transmissora Capixaba S.A., no montante de R$ 100 milhões, (lvi) atuou como coordenador líder da 5ª Emissão da Companhia Energética do Ceará – Coelce, no montante de R$ 500 milhões, (lvii) atuou como coordenador líder da 1ª Emissão de Debêntures da Enel Green Power Damascena Eólica S.A., no montante de R$11,25 milhões, (lviii) atuou como coordenador líder da 1ª emissão de Debêntures da Enel Green Power Maniçoba Eólica S.A., no montante de R$10,75 milhões, (lix) atuou como coordenador líder da 3ª emissão de Debêntures da Smartfit Escola de Ginástica S.A., no montante de R$540 milhões, (lx) atuou como coordenador da 5ª emissão de Letras Financeiras do Banco RCI Brasil S.A., no montante de R$300 milhões.</w:t>
      </w:r>
    </w:p>
    <w:p>
      <w:pPr>
        <w:pStyle w:val="HOMEBRBodyText"/>
        <w:spacing w:line="300" w:lineRule="exact"/>
        <w:rPr>
          <w:rFonts w:ascii="Verdana" w:hAnsi="Verdana" w:cs="Arial"/>
          <w:iCs/>
          <w:lang w:eastAsia="pt-BR"/>
        </w:rPr>
      </w:pPr>
      <w:r>
        <w:rPr>
          <w:rFonts w:ascii="Verdana" w:hAnsi="Verdana" w:cs="Arial"/>
          <w:iCs/>
          <w:lang w:eastAsia="pt-BR"/>
        </w:rPr>
        <w:lastRenderedPageBreak/>
        <w:t>No ano de 2018 o Santander, (i) atuou como coordenador na 9ª Emissão de Notas Promissórias da Companhia Energética do Ceará – Coelce, no montante de R$150 milhões, (ii) atuou como coordenador líder na 1ª e 2ª Séries da 25ª Emissão de Certificados de Recebíveis do Agronegócio da Gaia Agro Securitizadora S.A., com lastro em Duplicatas e CPRs cedidas pela CCAB Agro S.A., no montante de R$80 milhões, (iii) atuou como coordenador líder na 4ª Emissão de Debêntures da Unipar Carbocloro S.A., no montante de R$350 milhões, (iv) atuou como coordenador na 8ª Emissão de Debêntures da Iochpe-Maxion S.A., no montante de R$450 milhões, (v) atuou como coordenador líder na 1ª Emissão de Debêntures da Concessionária do Rodoanel Norte S.A. – Ecorodoanel, no montante de R$900 milhões, (vi) atuou como coordenador da 1ª e 2ª Séries da 15ª Emissão de Certificados de Recebíveis do Agronegócio da Vert Companhia Securitizadora S.A., com lastro em Debêntures emitidas pela São Martinho S.A., no montante de R$ 500 milhões, (vii) atuou como coordenador líder na 2ª. Emissão de Debêntures da Xingu Rio Transmissora De Energia S.A., no montante de R$1,25 bilhões, (viii) atuou como coordenador na 2ª Emissão de Debêntures da Somos Educação S.A., no montante de R$800 milhões, (ix) atuou como coordenador na 6ª Emissão de Letras Financeiras do Banco Daycoval S.A., no montante de R$500 milhões, (x) atuou como coordenador da 7ª Emissão de Debêntures da Algar Telecom S.A., no montante de R$600 milhões, (xi) atuou como Coordenador na 6ª Emissão de Letras Financeiras do Banco RCI Brasil, no montante de R$600 milhões, (xii) atuou como coordenador na 7ª emissão de Debêntures da CTEEP – Companhia de Transmissão Energética, no montante de R$621 milhões.</w:t>
      </w:r>
    </w:p>
    <w:p>
      <w:pPr>
        <w:pStyle w:val="HOMEBRBodyText"/>
        <w:spacing w:line="300" w:lineRule="exact"/>
        <w:rPr>
          <w:rFonts w:ascii="Verdana" w:hAnsi="Verdana" w:cs="Arial"/>
          <w:b/>
        </w:rPr>
      </w:pPr>
    </w:p>
    <w:p>
      <w:pPr>
        <w:pStyle w:val="HOMEBRBodyText"/>
        <w:spacing w:line="300" w:lineRule="exact"/>
        <w:rPr>
          <w:rFonts w:ascii="Verdana" w:hAnsi="Verdana" w:cs="Arial"/>
          <w:b/>
        </w:rPr>
      </w:pPr>
      <w:r>
        <w:rPr>
          <w:rFonts w:ascii="Verdana" w:hAnsi="Verdana" w:cs="Arial"/>
          <w:b/>
        </w:rPr>
        <w:t>BB-Banco de Investimento S.A. [</w:t>
      </w:r>
      <w:r>
        <w:rPr>
          <w:rFonts w:ascii="Verdana" w:hAnsi="Verdana" w:cs="Arial"/>
          <w:b/>
          <w:highlight w:val="yellow"/>
        </w:rPr>
        <w:t xml:space="preserve">NOTA PNA: </w:t>
      </w:r>
      <w:r>
        <w:rPr>
          <w:rFonts w:ascii="Verdana" w:hAnsi="Verdana" w:cs="Arial"/>
          <w:highlight w:val="yellow"/>
        </w:rPr>
        <w:t>BB-BI, Favor confirmar se há atualizações</w:t>
      </w:r>
      <w:r>
        <w:rPr>
          <w:rFonts w:ascii="Verdana" w:hAnsi="Verdana" w:cs="Arial"/>
          <w:b/>
        </w:rPr>
        <w:t>]</w:t>
      </w:r>
    </w:p>
    <w:p>
      <w:pPr>
        <w:pStyle w:val="HOMEBRBodyText"/>
        <w:spacing w:line="300" w:lineRule="exact"/>
        <w:rPr>
          <w:rFonts w:ascii="Verdana" w:hAnsi="Verdana" w:cs="Arial"/>
        </w:rPr>
      </w:pPr>
      <w:r>
        <w:rPr>
          <w:rFonts w:ascii="Verdana" w:hAnsi="Verdana" w:cs="Arial"/>
        </w:rPr>
        <w:t xml:space="preserve">O Banco do Brasil, em seus mais de 200 anos de existência, acumulou experiências e pioneirismos, promovendo o desenvolvimento econômico do Brasil e tornando-se parte integrante da cultura e história brasileira. Sua marca é uma das mais conhecidas no país, ocupando pela 28ª vez consecutiva a primeira colocação na categoria “Bancos” do Prêmio </w:t>
      </w:r>
      <w:r>
        <w:rPr>
          <w:rFonts w:ascii="Verdana" w:hAnsi="Verdana" w:cs="Arial"/>
          <w:i/>
        </w:rPr>
        <w:t>Top of Mind 2018,</w:t>
      </w:r>
      <w:r>
        <w:rPr>
          <w:rFonts w:ascii="Verdana" w:hAnsi="Verdana" w:cs="Arial"/>
        </w:rPr>
        <w:t xml:space="preserve"> do Instituto Data Folha.</w:t>
      </w:r>
    </w:p>
    <w:p>
      <w:pPr>
        <w:pStyle w:val="HOMEBRBodyText"/>
        <w:spacing w:line="300" w:lineRule="exact"/>
        <w:rPr>
          <w:rFonts w:ascii="Verdana" w:hAnsi="Verdana" w:cs="Arial"/>
        </w:rPr>
      </w:pPr>
      <w:r>
        <w:rPr>
          <w:rFonts w:ascii="Verdana" w:hAnsi="Verdana" w:cs="Arial"/>
        </w:rPr>
        <w:t>No terceiro trimestre de 2018, o Banco do Brasil apresentou aproximadamente R$ 1,47 trilhão de ativos totais, uma base de 66,9 milhões de clientes e presença em 99,6% dos municípios brasileiros, resultado do envolvimento de 97,2 mil funcionários, distribuídos entre 4.765 agências, 20 países e mais de 14 mil pontos de atendimento.</w:t>
      </w:r>
    </w:p>
    <w:p>
      <w:pPr>
        <w:pStyle w:val="HOMEBRBodyText"/>
        <w:spacing w:line="300" w:lineRule="exact"/>
        <w:rPr>
          <w:rFonts w:ascii="Verdana" w:hAnsi="Verdana" w:cs="Arial"/>
        </w:rPr>
      </w:pPr>
      <w:r>
        <w:rPr>
          <w:rFonts w:ascii="Verdana" w:hAnsi="Verdana" w:cs="Arial"/>
        </w:rPr>
        <w:t>Com objetivo de oferecer soluções diferenciadas e fortalecer o vínculo com as empresas brasileiras, o Banco do Brasil criou o BB Investimentos, subsidiária integral para atuação no mercado de capitais brasileiro. No exterior, o Conglomerado BB atua ainda por meio da Banco do Brasil Securities LLC (Nova Iorque), BB Securities Ltd. (Londres) e BB Securities Asia Pte Ltd. (Cingapura), com foco em investidores institucionais e de varejo.</w:t>
      </w:r>
    </w:p>
    <w:p>
      <w:pPr>
        <w:pStyle w:val="HOMEBRBodyText"/>
        <w:spacing w:line="300" w:lineRule="exact"/>
        <w:rPr>
          <w:rFonts w:ascii="Verdana" w:hAnsi="Verdana" w:cs="Arial"/>
        </w:rPr>
      </w:pPr>
      <w:r>
        <w:rPr>
          <w:rFonts w:ascii="Verdana" w:hAnsi="Verdana" w:cs="Arial"/>
        </w:rPr>
        <w:lastRenderedPageBreak/>
        <w:t xml:space="preserve">O BB Investimentos presta assessoria a seus clientes para a captação de recursos, por meio da coordenação, colocação e distribuição de ativos nos mercados de renda fixa e variável, como ações, debêntures, notas promissórias, Certificados de Potencial Adicional de Construção (CEPAC), Certificados de Recebíveis do Agronegócio (CRA), Certificados de Recebíveis Imobiliários (CRI), Fundos de Investimento em Direitos Creditórios (FIDC), Fundos de Investimento Imobiliários (FII) e </w:t>
      </w:r>
      <w:r>
        <w:rPr>
          <w:rFonts w:ascii="Verdana" w:hAnsi="Verdana" w:cs="Arial"/>
          <w:i/>
        </w:rPr>
        <w:t>bonds</w:t>
      </w:r>
      <w:r>
        <w:rPr>
          <w:rFonts w:ascii="Verdana" w:hAnsi="Verdana" w:cs="Arial"/>
        </w:rPr>
        <w:t xml:space="preserve">. Oferece ainda soluções para financiamento via </w:t>
      </w:r>
      <w:r>
        <w:rPr>
          <w:rFonts w:ascii="Verdana" w:hAnsi="Verdana" w:cs="Arial"/>
          <w:i/>
        </w:rPr>
        <w:t>project finance</w:t>
      </w:r>
      <w:r>
        <w:rPr>
          <w:rFonts w:ascii="Verdana" w:hAnsi="Verdana" w:cs="Arial"/>
        </w:rPr>
        <w:t xml:space="preserve"> e transações estratégicas em fusões, aquisições e </w:t>
      </w:r>
      <w:r>
        <w:rPr>
          <w:rFonts w:ascii="Verdana" w:hAnsi="Verdana" w:cs="Arial"/>
          <w:i/>
        </w:rPr>
        <w:t>private equity</w:t>
      </w:r>
      <w:r>
        <w:rPr>
          <w:rFonts w:ascii="Verdana" w:hAnsi="Verdana" w:cs="Arial"/>
        </w:rPr>
        <w:t xml:space="preserve">. </w:t>
      </w:r>
    </w:p>
    <w:p>
      <w:pPr>
        <w:pStyle w:val="HOMEBRBodyText"/>
        <w:spacing w:line="300" w:lineRule="exact"/>
        <w:rPr>
          <w:rFonts w:ascii="Verdana" w:hAnsi="Verdana" w:cs="Arial"/>
        </w:rPr>
      </w:pPr>
      <w:r>
        <w:rPr>
          <w:rFonts w:ascii="Verdana" w:hAnsi="Verdana" w:cs="Arial"/>
        </w:rPr>
        <w:t xml:space="preserve">No mercado doméstico de renda fixa, o BB Investimentos coordenou 85 emissões, que totalizaram o valor de R$ 27,1 bilhões e 14% de </w:t>
      </w:r>
      <w:r>
        <w:rPr>
          <w:rFonts w:ascii="Verdana" w:hAnsi="Verdana" w:cs="Arial"/>
          <w:i/>
        </w:rPr>
        <w:t>market share</w:t>
      </w:r>
      <w:r>
        <w:rPr>
          <w:rFonts w:ascii="Verdana" w:hAnsi="Verdana" w:cs="Arial"/>
        </w:rPr>
        <w:t>, encerrando o período em 3º lugar no Ranking ANBIMA de Renda Fixa Consolidado de 2018. No mercado externo, o BB Investimentos participou da emissão de US$ 7,45 bilhões, lhe conferindo o 3º lugar no Ranking ANBIMA de Emissões Externas – Totais Público &amp; Privado, até novembro de 2018.</w:t>
      </w:r>
    </w:p>
    <w:p>
      <w:pPr>
        <w:pStyle w:val="HOMEBRBodyText"/>
        <w:spacing w:line="300" w:lineRule="exact"/>
        <w:rPr>
          <w:rFonts w:ascii="Verdana" w:hAnsi="Verdana" w:cs="Arial"/>
        </w:rPr>
      </w:pPr>
      <w:r>
        <w:rPr>
          <w:rFonts w:ascii="Verdana" w:hAnsi="Verdana" w:cs="Arial"/>
        </w:rPr>
        <w:t xml:space="preserve">No mercado de renda variável, o BB Investimentos mantém posição de destaque entre os principais intermediários em ofertas públicas de ações. No ano de 2013, atuou como coordenador dos IPOs de Senior Solution, Bioserv, Smiles, Tupy e CPFL Renováveis, e como coordenador líder no IPO de BB Seguridade, que lhe conferiu o prêmio </w:t>
      </w:r>
      <w:r>
        <w:rPr>
          <w:rFonts w:ascii="Verdana" w:hAnsi="Verdana" w:cs="Arial"/>
          <w:i/>
        </w:rPr>
        <w:t>Latin Finance Deals of the Year 2013</w:t>
      </w:r>
      <w:r>
        <w:rPr>
          <w:rFonts w:ascii="Verdana" w:hAnsi="Verdana" w:cs="Arial"/>
        </w:rPr>
        <w:t xml:space="preserve">, pela realização da maior oferta inicial de ações do mundo daquele ano, no valor de R$ 11.47 bilhões. Em 2014, o BB Investimentos atuou como coordenador do </w:t>
      </w:r>
      <w:r>
        <w:rPr>
          <w:rFonts w:ascii="Verdana" w:hAnsi="Verdana" w:cs="Arial"/>
          <w:i/>
        </w:rPr>
        <w:t>follow-on</w:t>
      </w:r>
      <w:r>
        <w:rPr>
          <w:rFonts w:ascii="Verdana" w:hAnsi="Verdana" w:cs="Arial"/>
        </w:rPr>
        <w:t xml:space="preserve"> de Oi e do IPO da Ourofino Saúde Animal. </w:t>
      </w:r>
    </w:p>
    <w:p>
      <w:pPr>
        <w:pStyle w:val="HOMEBRBodyText"/>
        <w:spacing w:line="300" w:lineRule="exact"/>
        <w:rPr>
          <w:rFonts w:ascii="Verdana" w:hAnsi="Verdana" w:cs="Arial"/>
          <w:i/>
        </w:rPr>
      </w:pPr>
      <w:r>
        <w:rPr>
          <w:rFonts w:ascii="Verdana" w:hAnsi="Verdana" w:cs="Arial"/>
        </w:rPr>
        <w:t xml:space="preserve">No ano de 2015 participou como coordenador do </w:t>
      </w:r>
      <w:r>
        <w:rPr>
          <w:rFonts w:ascii="Verdana" w:hAnsi="Verdana" w:cs="Arial"/>
          <w:i/>
        </w:rPr>
        <w:t>follow-on</w:t>
      </w:r>
      <w:r>
        <w:rPr>
          <w:rFonts w:ascii="Verdana" w:hAnsi="Verdana" w:cs="Arial"/>
        </w:rPr>
        <w:t xml:space="preserve"> da Gerdau e, em 2016, como coordenador do </w:t>
      </w:r>
      <w:r>
        <w:rPr>
          <w:rFonts w:ascii="Verdana" w:hAnsi="Verdana" w:cs="Arial"/>
          <w:i/>
        </w:rPr>
        <w:t>follow-on</w:t>
      </w:r>
      <w:r>
        <w:rPr>
          <w:rFonts w:ascii="Verdana" w:hAnsi="Verdana" w:cs="Arial"/>
        </w:rPr>
        <w:t xml:space="preserve"> da Rumo Logística. Em 2017, atuou como coordenador dos </w:t>
      </w:r>
      <w:r>
        <w:rPr>
          <w:rFonts w:ascii="Verdana" w:hAnsi="Verdana" w:cs="Arial"/>
          <w:i/>
        </w:rPr>
        <w:t>follow-ons</w:t>
      </w:r>
      <w:r>
        <w:rPr>
          <w:rFonts w:ascii="Verdana" w:hAnsi="Verdana" w:cs="Arial"/>
        </w:rPr>
        <w:t xml:space="preserve"> da Azul, CCR, Lojas Americanas e Magazine Luiza, além dos IPOs de Azul, BR Distribuidora, IRB-Brasil, Movida, </w:t>
      </w:r>
      <w:r>
        <w:rPr>
          <w:rFonts w:ascii="Verdana" w:hAnsi="Verdana" w:cs="Arial"/>
          <w:i/>
        </w:rPr>
        <w:t>Nexa Resources</w:t>
      </w:r>
      <w:r>
        <w:rPr>
          <w:rFonts w:ascii="Verdana" w:hAnsi="Verdana" w:cs="Arial"/>
        </w:rPr>
        <w:t xml:space="preserve">. Em 2018, participou do IPO de Banco Inter e </w:t>
      </w:r>
      <w:r>
        <w:rPr>
          <w:rFonts w:ascii="Verdana" w:hAnsi="Verdana" w:cs="Arial"/>
          <w:i/>
        </w:rPr>
        <w:t xml:space="preserve">follow-on </w:t>
      </w:r>
      <w:r>
        <w:rPr>
          <w:rFonts w:ascii="Verdana" w:hAnsi="Verdana" w:cs="Arial"/>
        </w:rPr>
        <w:t>da Unidas</w:t>
      </w:r>
      <w:r>
        <w:rPr>
          <w:rFonts w:ascii="Verdana" w:hAnsi="Verdana" w:cs="Arial"/>
          <w:i/>
        </w:rPr>
        <w:t>.</w:t>
      </w:r>
    </w:p>
    <w:p>
      <w:pPr>
        <w:spacing w:line="300" w:lineRule="exact"/>
        <w:rPr>
          <w:rFonts w:ascii="Verdana" w:hAnsi="Verdana" w:cs="Arial"/>
          <w:lang w:val="pt-BR"/>
        </w:rPr>
      </w:pPr>
    </w:p>
    <w:p>
      <w:pPr>
        <w:spacing w:line="300" w:lineRule="exact"/>
        <w:rPr>
          <w:rFonts w:ascii="Verdana" w:hAnsi="Verdana" w:cs="Arial"/>
          <w:iCs/>
          <w:u w:val="single"/>
          <w:lang w:val="pt-BR" w:eastAsia="pt-BR"/>
        </w:rPr>
      </w:pPr>
      <w:r>
        <w:rPr>
          <w:rFonts w:ascii="Verdana" w:hAnsi="Verdana" w:cs="Arial"/>
          <w:iCs/>
          <w:u w:val="single"/>
          <w:lang w:val="pt-BR" w:eastAsia="pt-BR"/>
        </w:rPr>
        <w:t>Renda Fixa – Mercado Doméstico</w:t>
      </w:r>
    </w:p>
    <w:p>
      <w:pPr>
        <w:spacing w:line="300" w:lineRule="exact"/>
        <w:rPr>
          <w:rFonts w:ascii="Verdana" w:hAnsi="Verdana" w:cs="Arial"/>
          <w:iCs/>
          <w:lang w:val="pt-BR" w:eastAsia="pt-BR"/>
        </w:rPr>
      </w:pPr>
      <w:r>
        <w:rPr>
          <w:rFonts w:ascii="Verdana" w:hAnsi="Verdana" w:cs="Arial"/>
          <w:iCs/>
          <w:lang w:val="pt-BR" w:eastAsia="pt-BR"/>
        </w:rPr>
        <w:t>No 3T18, o BB-BI atuou na coordenação e estruturação de 22 operações no mercado doméstico de renda fixa, com volume originado de R$5,4 bilhões em operações de Debêntures e Notas Promissórias.</w:t>
      </w:r>
    </w:p>
    <w:p>
      <w:pPr>
        <w:spacing w:line="300" w:lineRule="exact"/>
        <w:rPr>
          <w:rFonts w:ascii="Verdana" w:hAnsi="Verdana" w:cs="Arial"/>
          <w:iCs/>
          <w:lang w:val="pt-BR" w:eastAsia="pt-BR"/>
        </w:rPr>
      </w:pPr>
      <w:r>
        <w:rPr>
          <w:rFonts w:ascii="Verdana" w:hAnsi="Verdana" w:cs="Arial"/>
          <w:iCs/>
          <w:lang w:val="pt-BR" w:eastAsia="pt-BR"/>
        </w:rPr>
        <w:t>No Ranking ANBIMA de Originação de Renda Fixa Consolidado de Set/18, o BB-BI continuou como 3º colocado.</w:t>
      </w:r>
    </w:p>
    <w:p>
      <w:pPr>
        <w:spacing w:line="300" w:lineRule="exact"/>
        <w:rPr>
          <w:rFonts w:ascii="Verdana" w:hAnsi="Verdana" w:cs="Arial"/>
          <w:iCs/>
          <w:u w:val="single"/>
          <w:lang w:val="pt-BR" w:eastAsia="pt-BR"/>
        </w:rPr>
      </w:pPr>
      <w:r>
        <w:rPr>
          <w:rFonts w:ascii="Verdana" w:hAnsi="Verdana" w:cs="Arial"/>
          <w:iCs/>
          <w:u w:val="single"/>
          <w:lang w:val="pt-BR" w:eastAsia="pt-BR"/>
        </w:rPr>
        <w:t>Renda Fixa – Mercado Externo</w:t>
      </w:r>
    </w:p>
    <w:p>
      <w:pPr>
        <w:spacing w:line="300" w:lineRule="exact"/>
        <w:rPr>
          <w:rFonts w:ascii="Verdana" w:hAnsi="Verdana" w:cs="Arial"/>
          <w:iCs/>
          <w:lang w:val="pt-BR" w:eastAsia="pt-BR"/>
        </w:rPr>
      </w:pPr>
      <w:r>
        <w:rPr>
          <w:rFonts w:ascii="Verdana" w:hAnsi="Verdana" w:cs="Arial"/>
          <w:iCs/>
          <w:lang w:val="pt-BR" w:eastAsia="pt-BR"/>
        </w:rPr>
        <w:t>O mercado internacional de capitais (</w:t>
      </w:r>
      <w:r>
        <w:rPr>
          <w:rFonts w:ascii="Verdana" w:hAnsi="Verdana" w:cs="Arial"/>
          <w:i/>
          <w:iCs/>
          <w:lang w:val="pt-BR" w:eastAsia="pt-BR"/>
        </w:rPr>
        <w:t>bonds</w:t>
      </w:r>
      <w:r>
        <w:rPr>
          <w:rFonts w:ascii="Verdana" w:hAnsi="Verdana" w:cs="Arial"/>
          <w:iCs/>
          <w:lang w:val="pt-BR" w:eastAsia="pt-BR"/>
        </w:rPr>
        <w:t xml:space="preserve">) foi acessado por 2 emissores brasileiros neste período, emitindo um total de US$ 1,5 bilhão. Dentre estes, uma empresa mandatou o BB para atuar como </w:t>
      </w:r>
      <w:r>
        <w:rPr>
          <w:rFonts w:ascii="Verdana" w:hAnsi="Verdana" w:cs="Arial"/>
          <w:i/>
          <w:iCs/>
          <w:lang w:val="pt-BR" w:eastAsia="pt-BR"/>
        </w:rPr>
        <w:t>lead manager</w:t>
      </w:r>
      <w:r>
        <w:rPr>
          <w:rFonts w:ascii="Verdana" w:hAnsi="Verdana" w:cs="Arial"/>
          <w:iCs/>
          <w:lang w:val="pt-BR" w:eastAsia="pt-BR"/>
        </w:rPr>
        <w:t xml:space="preserve">, em uma transação no valor de US$ 1,0 </w:t>
      </w:r>
      <w:r>
        <w:rPr>
          <w:rFonts w:ascii="Verdana" w:hAnsi="Verdana" w:cs="Arial"/>
          <w:iCs/>
          <w:lang w:val="pt-BR" w:eastAsia="pt-BR"/>
        </w:rPr>
        <w:lastRenderedPageBreak/>
        <w:t>bilhão. Isto representa uma participação de mercado de 66,6% em volume e 50% no total das emissões no período. Segundo o Ranking ANBIMA de Emissões Externas de Set/18, o BB aparece na 2ª colocação em emissões privadas e na 4ª colocação em emissões totais.</w:t>
      </w:r>
    </w:p>
    <w:p>
      <w:pPr>
        <w:spacing w:line="300" w:lineRule="exact"/>
        <w:rPr>
          <w:rFonts w:ascii="Verdana" w:hAnsi="Verdana" w:cs="Arial"/>
          <w:iCs/>
          <w:lang w:val="pt-BR" w:eastAsia="pt-BR"/>
        </w:rPr>
      </w:pPr>
      <w:r>
        <w:rPr>
          <w:rFonts w:ascii="Verdana" w:hAnsi="Verdana" w:cs="Arial"/>
          <w:iCs/>
          <w:lang w:val="pt-BR" w:eastAsia="pt-BR"/>
        </w:rPr>
        <w:t xml:space="preserve">No que se refere a grupos estrangeiros, o BB atuou como </w:t>
      </w:r>
      <w:r>
        <w:rPr>
          <w:rFonts w:ascii="Verdana" w:hAnsi="Verdana" w:cs="Arial"/>
          <w:i/>
          <w:iCs/>
          <w:lang w:val="pt-BR" w:eastAsia="pt-BR"/>
        </w:rPr>
        <w:t>co-manager</w:t>
      </w:r>
      <w:r>
        <w:rPr>
          <w:rFonts w:ascii="Verdana" w:hAnsi="Verdana" w:cs="Arial"/>
          <w:iCs/>
          <w:lang w:val="pt-BR" w:eastAsia="pt-BR"/>
        </w:rPr>
        <w:t xml:space="preserve"> em outras 4 emissões de </w:t>
      </w:r>
      <w:r>
        <w:rPr>
          <w:rFonts w:ascii="Verdana" w:hAnsi="Verdana" w:cs="Arial"/>
          <w:i/>
          <w:iCs/>
          <w:lang w:val="pt-BR" w:eastAsia="pt-BR"/>
        </w:rPr>
        <w:t>bonds</w:t>
      </w:r>
      <w:r>
        <w:rPr>
          <w:rFonts w:ascii="Verdana" w:hAnsi="Verdana" w:cs="Arial"/>
          <w:iCs/>
          <w:lang w:val="pt-BR" w:eastAsia="pt-BR"/>
        </w:rPr>
        <w:t xml:space="preserve"> no montante total de US$ 2,8 bilhões.</w:t>
      </w:r>
    </w:p>
    <w:p>
      <w:pPr>
        <w:spacing w:line="300" w:lineRule="exact"/>
        <w:rPr>
          <w:rFonts w:ascii="Verdana" w:hAnsi="Verdana" w:cs="Arial"/>
          <w:iCs/>
          <w:u w:val="single"/>
          <w:lang w:val="pt-BR" w:eastAsia="pt-BR"/>
        </w:rPr>
      </w:pPr>
      <w:r>
        <w:rPr>
          <w:rFonts w:ascii="Verdana" w:hAnsi="Verdana" w:cs="Arial"/>
          <w:iCs/>
          <w:u w:val="single"/>
          <w:lang w:val="pt-BR" w:eastAsia="pt-BR"/>
        </w:rPr>
        <w:t>Renda Variável Atacado</w:t>
      </w:r>
    </w:p>
    <w:p>
      <w:pPr>
        <w:spacing w:line="300" w:lineRule="exact"/>
        <w:rPr>
          <w:rFonts w:ascii="Verdana" w:hAnsi="Verdana" w:cs="Arial"/>
          <w:iCs/>
          <w:lang w:val="pt-BR" w:eastAsia="pt-BR"/>
        </w:rPr>
      </w:pPr>
      <w:r>
        <w:rPr>
          <w:rFonts w:ascii="Verdana" w:hAnsi="Verdana" w:cs="Arial"/>
          <w:iCs/>
          <w:lang w:val="pt-BR" w:eastAsia="pt-BR"/>
        </w:rPr>
        <w:t>No 3T18, em virtude da grande volatilidade pela qual passou o mercado brasileiro, não houve operações de renda variável concluída neste período e, portanto, sem inclusão no Ranking ANBIMA de Renda Variável.</w:t>
      </w:r>
    </w:p>
    <w:p>
      <w:pPr>
        <w:spacing w:line="300" w:lineRule="exact"/>
        <w:rPr>
          <w:rFonts w:ascii="Verdana" w:hAnsi="Verdana" w:cs="Arial"/>
          <w:iCs/>
          <w:lang w:val="pt-BR" w:eastAsia="pt-BR"/>
        </w:rPr>
      </w:pPr>
      <w:r>
        <w:rPr>
          <w:rFonts w:ascii="Verdana" w:hAnsi="Verdana" w:cs="Arial"/>
          <w:iCs/>
          <w:lang w:val="pt-BR" w:eastAsia="pt-BR"/>
        </w:rPr>
        <w:t>No 2T18, o BB-BI atuou como coordenador na distribuição pública de ações do Banco Inter S.A., cuja captação total foi de R$ 672 milhões. O BB-BI foi o 4º colocado no Ranking ANBIMA de Renda Variável - Número de Operações, com dados atualizados até junho de 2018.</w:t>
      </w:r>
    </w:p>
    <w:p>
      <w:pPr>
        <w:spacing w:line="300" w:lineRule="exact"/>
        <w:rPr>
          <w:rFonts w:ascii="Verdana" w:hAnsi="Verdana" w:cs="Arial"/>
          <w:iCs/>
          <w:u w:val="single"/>
          <w:lang w:val="pt-BR" w:eastAsia="pt-BR"/>
        </w:rPr>
      </w:pPr>
      <w:r>
        <w:rPr>
          <w:rFonts w:ascii="Verdana" w:hAnsi="Verdana" w:cs="Arial"/>
          <w:iCs/>
          <w:u w:val="single"/>
          <w:lang w:val="pt-BR" w:eastAsia="pt-BR"/>
        </w:rPr>
        <w:t>Renda Variável Varejo – Mercado Secundário</w:t>
      </w:r>
    </w:p>
    <w:p>
      <w:pPr>
        <w:spacing w:line="300" w:lineRule="exact"/>
        <w:rPr>
          <w:rFonts w:ascii="Verdana" w:hAnsi="Verdana" w:cs="Arial"/>
          <w:iCs/>
          <w:lang w:val="pt-BR" w:eastAsia="pt-BR"/>
        </w:rPr>
      </w:pPr>
      <w:r>
        <w:rPr>
          <w:rFonts w:ascii="Verdana" w:hAnsi="Verdana" w:cs="Arial"/>
          <w:iCs/>
          <w:lang w:val="pt-BR" w:eastAsia="pt-BR"/>
        </w:rPr>
        <w:t xml:space="preserve">No 3T18, o volume movimentado no BB foi de R$ 10,3 bilhões e, no mesmo período, a B3, movimentou R$ 230,9 bilhões. O </w:t>
      </w:r>
      <w:r>
        <w:rPr>
          <w:rFonts w:ascii="Verdana" w:hAnsi="Verdana" w:cs="Arial"/>
          <w:i/>
          <w:iCs/>
          <w:lang w:val="pt-BR" w:eastAsia="pt-BR"/>
        </w:rPr>
        <w:t>market share</w:t>
      </w:r>
      <w:r>
        <w:rPr>
          <w:rFonts w:ascii="Verdana" w:hAnsi="Verdana" w:cs="Arial"/>
          <w:iCs/>
          <w:lang w:val="pt-BR" w:eastAsia="pt-BR"/>
        </w:rPr>
        <w:t xml:space="preserve"> do BB no período foi de 4,5%. Para os investidores de Varejo, o BB-BI oferece o serviço de compra e venda de ações por meio da rede de ag~encias do BB, internet (</w:t>
      </w:r>
      <w:hyperlink r:id="rId42" w:history="1">
        <w:r>
          <w:rPr>
            <w:rStyle w:val="Hyperlink"/>
            <w:rFonts w:ascii="Verdana" w:hAnsi="Verdana" w:cs="Arial"/>
            <w:iCs/>
            <w:lang w:val="pt-BR" w:eastAsia="pt-BR"/>
          </w:rPr>
          <w:t>https://investimentos.bb.com.br</w:t>
        </w:r>
      </w:hyperlink>
      <w:r>
        <w:rPr>
          <w:rFonts w:ascii="Verdana" w:hAnsi="Verdana" w:cs="Arial"/>
          <w:iCs/>
          <w:lang w:val="pt-BR" w:eastAsia="pt-BR"/>
        </w:rPr>
        <w:t xml:space="preserve">) e </w:t>
      </w:r>
      <w:r>
        <w:rPr>
          <w:rFonts w:ascii="Verdana" w:hAnsi="Verdana" w:cs="Arial"/>
          <w:i/>
          <w:iCs/>
          <w:lang w:val="pt-BR" w:eastAsia="pt-BR"/>
        </w:rPr>
        <w:t>mobile</w:t>
      </w:r>
      <w:r>
        <w:rPr>
          <w:rFonts w:ascii="Verdana" w:hAnsi="Verdana" w:cs="Arial"/>
          <w:iCs/>
          <w:lang w:val="pt-BR" w:eastAsia="pt-BR"/>
        </w:rPr>
        <w:t xml:space="preserve"> (App Investimentos BB).</w:t>
      </w:r>
    </w:p>
    <w:p>
      <w:pPr>
        <w:spacing w:line="300" w:lineRule="exact"/>
        <w:rPr>
          <w:rFonts w:ascii="Verdana" w:hAnsi="Verdana" w:cs="Arial"/>
          <w:iCs/>
          <w:u w:val="single"/>
          <w:lang w:val="pt-BR" w:eastAsia="pt-BR"/>
        </w:rPr>
      </w:pPr>
      <w:r>
        <w:rPr>
          <w:rFonts w:ascii="Verdana" w:hAnsi="Verdana" w:cs="Arial"/>
          <w:iCs/>
          <w:u w:val="single"/>
          <w:lang w:val="pt-BR" w:eastAsia="pt-BR"/>
        </w:rPr>
        <w:t>Securitização</w:t>
      </w:r>
    </w:p>
    <w:p>
      <w:pPr>
        <w:spacing w:line="300" w:lineRule="exact"/>
        <w:rPr>
          <w:rFonts w:ascii="Verdana" w:hAnsi="Verdana" w:cs="Arial"/>
          <w:iCs/>
          <w:spacing w:val="-4"/>
          <w:lang w:val="pt-BR" w:eastAsia="pt-BR"/>
        </w:rPr>
      </w:pPr>
      <w:r>
        <w:rPr>
          <w:rFonts w:ascii="Verdana" w:hAnsi="Verdana" w:cs="Arial"/>
          <w:iCs/>
          <w:spacing w:val="-4"/>
          <w:lang w:val="pt-BR" w:eastAsia="pt-BR"/>
        </w:rPr>
        <w:t xml:space="preserve">No 3T18, o BB-BI atuou na coordenação e estruturação de 3 operações de securitização, sendo 2 CRI e 1 CRA, com volume originado de R$ 467,3 milhões e volume total das operações de R$ 1,6 bilhão. </w:t>
      </w:r>
    </w:p>
    <w:p>
      <w:pPr>
        <w:spacing w:line="300" w:lineRule="exact"/>
        <w:rPr>
          <w:rFonts w:ascii="Verdana" w:hAnsi="Verdana" w:cs="Arial"/>
          <w:i/>
          <w:iCs/>
          <w:u w:val="single"/>
          <w:lang w:val="pt-BR" w:eastAsia="pt-BR"/>
        </w:rPr>
      </w:pPr>
      <w:r>
        <w:rPr>
          <w:rFonts w:ascii="Verdana" w:hAnsi="Verdana" w:cs="Arial"/>
          <w:i/>
          <w:iCs/>
          <w:u w:val="single"/>
          <w:lang w:val="pt-BR" w:eastAsia="pt-BR"/>
        </w:rPr>
        <w:t>Private Equity</w:t>
      </w:r>
    </w:p>
    <w:p>
      <w:pPr>
        <w:pStyle w:val="HOMEBRBodyText"/>
        <w:spacing w:line="300" w:lineRule="exact"/>
        <w:rPr>
          <w:rFonts w:ascii="Verdana" w:hAnsi="Verdana" w:cs="Arial"/>
          <w:iCs/>
          <w:lang w:eastAsia="pt-BR"/>
        </w:rPr>
      </w:pPr>
      <w:r>
        <w:rPr>
          <w:rFonts w:ascii="Verdana" w:hAnsi="Verdana" w:cs="Arial"/>
          <w:iCs/>
          <w:lang w:eastAsia="pt-BR"/>
        </w:rPr>
        <w:t xml:space="preserve">Na indústria de </w:t>
      </w:r>
      <w:r>
        <w:rPr>
          <w:rFonts w:ascii="Verdana" w:hAnsi="Verdana" w:cs="Arial"/>
          <w:i/>
          <w:iCs/>
          <w:lang w:eastAsia="pt-BR"/>
        </w:rPr>
        <w:t>private equity</w:t>
      </w:r>
      <w:r>
        <w:rPr>
          <w:rFonts w:ascii="Verdana" w:hAnsi="Verdana" w:cs="Arial"/>
          <w:iCs/>
          <w:lang w:eastAsia="pt-BR"/>
        </w:rPr>
        <w:t xml:space="preserve">, o BB-BI é cotista de 14 fundos e atua como assessor em 7 deles. Possui 42 participações societárias em empresas localizadas em várias regiões do país. O total de capital comprometido pelo BB-BI na indústria de </w:t>
      </w:r>
      <w:r>
        <w:rPr>
          <w:rFonts w:ascii="Verdana" w:hAnsi="Verdana" w:cs="Arial"/>
          <w:i/>
          <w:iCs/>
          <w:lang w:eastAsia="pt-BR"/>
        </w:rPr>
        <w:t xml:space="preserve">private equity </w:t>
      </w:r>
      <w:r>
        <w:rPr>
          <w:rFonts w:ascii="Verdana" w:hAnsi="Verdana" w:cs="Arial"/>
          <w:iCs/>
          <w:lang w:eastAsia="pt-BR"/>
        </w:rPr>
        <w:t>é de R$ 1,1 bilhão, tendo integralizado R$ 749,74 milhões até o final do 3T18.</w:t>
      </w:r>
    </w:p>
    <w:p>
      <w:pPr>
        <w:pStyle w:val="HOMEBRBodyText"/>
        <w:spacing w:line="300" w:lineRule="exact"/>
        <w:rPr>
          <w:rFonts w:ascii="Verdana" w:hAnsi="Verdana" w:cs="Arial"/>
        </w:rPr>
      </w:pPr>
    </w:p>
    <w:p>
      <w:pPr>
        <w:pStyle w:val="HOMEBRNOTOCH3"/>
        <w:spacing w:line="300" w:lineRule="exact"/>
        <w:outlineLvl w:val="0"/>
        <w:rPr>
          <w:rFonts w:ascii="Verdana" w:hAnsi="Verdana" w:cs="Arial"/>
          <w:lang w:val="pt-BR"/>
        </w:rPr>
      </w:pPr>
      <w:r>
        <w:rPr>
          <w:rFonts w:ascii="Verdana" w:hAnsi="Verdana" w:cs="Arial"/>
          <w:lang w:val="pt-BR"/>
        </w:rPr>
        <w:lastRenderedPageBreak/>
        <w:t>XP Investimentos Corretora de Câmbio, Títulos e Valores Mobiliários S.A. [</w:t>
      </w:r>
      <w:r>
        <w:rPr>
          <w:rFonts w:ascii="Verdana" w:hAnsi="Verdana" w:cs="Arial"/>
          <w:highlight w:val="yellow"/>
          <w:lang w:val="pt-BR"/>
        </w:rPr>
        <w:t xml:space="preserve">NOTA PNA: </w:t>
      </w:r>
      <w:r>
        <w:rPr>
          <w:rFonts w:ascii="Verdana" w:hAnsi="Verdana" w:cs="Arial"/>
          <w:b w:val="0"/>
          <w:highlight w:val="yellow"/>
          <w:lang w:val="pt-BR"/>
        </w:rPr>
        <w:t>XP Investimentos, Favor confirmar se há atualizações</w:t>
      </w:r>
      <w:r>
        <w:rPr>
          <w:rFonts w:ascii="Verdana" w:hAnsi="Verdana" w:cs="Arial"/>
          <w:lang w:val="pt-BR"/>
        </w:rPr>
        <w:t>]</w:t>
      </w:r>
    </w:p>
    <w:p>
      <w:pPr>
        <w:pStyle w:val="HOMEBRNOTOCH3"/>
        <w:spacing w:line="300" w:lineRule="exact"/>
        <w:outlineLvl w:val="0"/>
        <w:rPr>
          <w:rFonts w:ascii="Verdana" w:hAnsi="Verdana" w:cs="Arial"/>
          <w:b w:val="0"/>
          <w:lang w:val="pt-BR"/>
        </w:rPr>
      </w:pPr>
      <w:r>
        <w:rPr>
          <w:rFonts w:ascii="Verdana" w:hAnsi="Verdana" w:cs="Arial"/>
          <w:b w:val="0"/>
          <w:lang w:val="pt-BR"/>
        </w:rPr>
        <w:t xml:space="preserve">A XP Investimentos iniciou suas atividades em Porto Alegre, no ano de 2001, com a proposta de aliar a distribuição de investimentos com educação financeira do investidor. O principal objetivo foi o de proporcionar aos seus clientes o acesso a uma gama de produtos e serviços financeiros em um único provedor, por meio das suas principais divisões de negócio: corretora de valores, gestão de recursos, corretora de seguros, educação financeira e mercado de capitais. </w:t>
      </w:r>
    </w:p>
    <w:p>
      <w:pPr>
        <w:pStyle w:val="HOMEBRNOTOCH3"/>
        <w:spacing w:line="300" w:lineRule="exact"/>
        <w:outlineLvl w:val="0"/>
        <w:rPr>
          <w:rFonts w:ascii="Verdana" w:hAnsi="Verdana" w:cs="Arial"/>
          <w:b w:val="0"/>
          <w:lang w:val="pt-BR"/>
        </w:rPr>
      </w:pPr>
      <w:r>
        <w:rPr>
          <w:rFonts w:ascii="Verdana" w:hAnsi="Verdana" w:cs="Arial"/>
          <w:b w:val="0"/>
          <w:lang w:val="pt-BR"/>
        </w:rPr>
        <w:t xml:space="preserve">Em 2003, houve a constituição da XP Educação como uma empresa independente e responsável por oferecer cursos de investimentos para clientes e para o público em geral. No ano de 2005, a XP Gestão iniciou suas atividades com a criação do fundo XP Investor FIA. Neste mesmo ano, a XP Investimentos atingiu a marca de 10.000 clientes e 25 escritórios de agentes de investimento credenciados. </w:t>
      </w:r>
    </w:p>
    <w:p>
      <w:pPr>
        <w:pStyle w:val="HOMEBRNOTOCH3"/>
        <w:spacing w:line="300" w:lineRule="exact"/>
        <w:outlineLvl w:val="0"/>
        <w:rPr>
          <w:rFonts w:ascii="Verdana" w:hAnsi="Verdana" w:cs="Arial"/>
          <w:b w:val="0"/>
          <w:lang w:val="pt-BR"/>
        </w:rPr>
      </w:pPr>
      <w:r>
        <w:rPr>
          <w:rFonts w:ascii="Verdana" w:hAnsi="Verdana" w:cs="Arial"/>
          <w:b w:val="0"/>
          <w:lang w:val="pt-BR"/>
        </w:rPr>
        <w:t xml:space="preserve">Em 2007, foi realizada a aquisição da AmericaInvest, corretora situada no Rio de Janeiro, que marcou o início da atuação da XP Investimentos como corretora de valores e, consequentemente, o lançamento da área institucional. No ano de 2008, a XP Investimentos foi considerada a primeira corretora independente, não ligada a bancos, a lançar um fundo de capital protegido. Adicionalmente, a XP Educação, por meio de seus cursos de educação financeira, atingiu a marca de 100.000 alunos. </w:t>
      </w:r>
    </w:p>
    <w:p>
      <w:pPr>
        <w:pStyle w:val="HOMEBRNOTOCH3"/>
        <w:spacing w:line="300" w:lineRule="exact"/>
        <w:outlineLvl w:val="0"/>
        <w:rPr>
          <w:rFonts w:ascii="Verdana" w:hAnsi="Verdana" w:cs="Arial"/>
          <w:b w:val="0"/>
          <w:lang w:val="pt-BR"/>
        </w:rPr>
      </w:pPr>
      <w:r>
        <w:rPr>
          <w:rFonts w:ascii="Verdana" w:hAnsi="Verdana" w:cs="Arial"/>
          <w:b w:val="0"/>
          <w:lang w:val="pt-BR"/>
        </w:rPr>
        <w:t xml:space="preserve">Em 2010, criou-se a área de renda fixa e a XPTV, canal de informação em tempo real sobre o mercado financeiro para assessores. No mesmo ano, o Coordenador Líder recebeu investimento do fundo de Private Equity inglês Actis. </w:t>
      </w:r>
    </w:p>
    <w:p>
      <w:pPr>
        <w:pStyle w:val="HOMEBRNOTOCH3"/>
        <w:spacing w:line="300" w:lineRule="exact"/>
        <w:outlineLvl w:val="0"/>
        <w:rPr>
          <w:rFonts w:ascii="Verdana" w:hAnsi="Verdana" w:cs="Arial"/>
          <w:b w:val="0"/>
          <w:lang w:val="pt-BR"/>
        </w:rPr>
      </w:pPr>
      <w:r>
        <w:rPr>
          <w:rFonts w:ascii="Verdana" w:hAnsi="Verdana" w:cs="Arial"/>
          <w:b w:val="0"/>
          <w:lang w:val="pt-BR"/>
        </w:rPr>
        <w:t xml:space="preserve">Em 2011, deu-se o início das atividades do Grupo XP no mercado internacional, por meio da criação da XP Securities, sediada em Nova Iorque (EUA). Em 2012, a XP Investimentos recebeu investimento do fundo de Private Equity norte-americano General Atlantic. </w:t>
      </w:r>
    </w:p>
    <w:p>
      <w:pPr>
        <w:pStyle w:val="HOMEBRNOTOCH3"/>
        <w:spacing w:line="300" w:lineRule="exact"/>
        <w:outlineLvl w:val="0"/>
        <w:rPr>
          <w:rFonts w:ascii="Verdana" w:hAnsi="Verdana" w:cs="Arial"/>
          <w:b w:val="0"/>
          <w:lang w:val="pt-BR"/>
        </w:rPr>
      </w:pPr>
      <w:r>
        <w:rPr>
          <w:rFonts w:ascii="Verdana" w:hAnsi="Verdana" w:cs="Arial"/>
          <w:b w:val="0"/>
          <w:lang w:val="pt-BR"/>
        </w:rPr>
        <w:t xml:space="preserve">Em 2013, a XP Investimentos atingiu 75.000 clientes ativos e R$9.500.000.000,00 sob custódia. A expansão das atividades do Grupo XP no mercado internacional ocorreu em 2014, através da abertura do escritório da XP Securities, em Miami. </w:t>
      </w:r>
    </w:p>
    <w:p>
      <w:pPr>
        <w:pStyle w:val="HOMEBRNOTOCH3"/>
        <w:spacing w:line="300" w:lineRule="exact"/>
        <w:outlineLvl w:val="0"/>
        <w:rPr>
          <w:rFonts w:ascii="Verdana" w:hAnsi="Verdana" w:cs="Arial"/>
          <w:b w:val="0"/>
          <w:lang w:val="pt-BR"/>
        </w:rPr>
      </w:pPr>
      <w:r>
        <w:rPr>
          <w:rFonts w:ascii="Verdana" w:hAnsi="Verdana" w:cs="Arial"/>
          <w:b w:val="0"/>
          <w:lang w:val="pt-BR"/>
        </w:rPr>
        <w:t xml:space="preserve">Em 2014, a XP Investimentos adquiriu a Clear Corretora. Em 2016, anunciou a aquisição de 100% do capital da Rico Corretora. </w:t>
      </w:r>
    </w:p>
    <w:p>
      <w:pPr>
        <w:pStyle w:val="HOMEBRNOTOCH3"/>
        <w:spacing w:line="300" w:lineRule="exact"/>
        <w:outlineLvl w:val="0"/>
        <w:rPr>
          <w:rFonts w:ascii="Verdana" w:hAnsi="Verdana" w:cs="Arial"/>
          <w:b w:val="0"/>
          <w:lang w:val="pt-BR"/>
        </w:rPr>
      </w:pPr>
      <w:r>
        <w:rPr>
          <w:rFonts w:ascii="Verdana" w:hAnsi="Verdana" w:cs="Arial"/>
          <w:b w:val="0"/>
          <w:lang w:val="pt-BR"/>
        </w:rPr>
        <w:t xml:space="preserve">Em renda fixa, a XP Investimentos possui aproximadamente R$35.000.000.000,00 sob custódia, e disponibiliza em sua Plataforma Bancária cerca de 60 emissores. </w:t>
      </w:r>
    </w:p>
    <w:p>
      <w:pPr>
        <w:pStyle w:val="HOMEBRNOTOCH3"/>
        <w:spacing w:line="300" w:lineRule="exact"/>
        <w:outlineLvl w:val="0"/>
        <w:rPr>
          <w:rFonts w:ascii="Verdana" w:hAnsi="Verdana" w:cs="Arial"/>
          <w:b w:val="0"/>
          <w:lang w:val="pt-BR"/>
        </w:rPr>
      </w:pPr>
      <w:r>
        <w:rPr>
          <w:rFonts w:ascii="Verdana" w:hAnsi="Verdana" w:cs="Arial"/>
          <w:b w:val="0"/>
          <w:lang w:val="pt-BR"/>
        </w:rPr>
        <w:lastRenderedPageBreak/>
        <w:t xml:space="preserve">A XP Investimentos, através da área de mercado de capitais, coordenou diversas ofertas públicas de Debêntures, Debêntures de Infraestrutura, Fundo de Investimento em Direitos Creditórios (FIDC), Certificados de Recebíveis do Agronegócio (CRA), Certificados de Recebíveis Imobiliário (CRI) e Fundo de Investimento Imobiliário (FII). Em 2014, a XP Investimentos celebrou o 1º contrato de formador de mercado de CRA. </w:t>
      </w:r>
    </w:p>
    <w:p>
      <w:pPr>
        <w:pStyle w:val="HOMEBRNOTOCH3"/>
        <w:spacing w:line="300" w:lineRule="exact"/>
        <w:outlineLvl w:val="0"/>
        <w:rPr>
          <w:rFonts w:ascii="Verdana" w:hAnsi="Verdana" w:cs="Arial"/>
          <w:b w:val="0"/>
          <w:lang w:val="pt-BR"/>
        </w:rPr>
      </w:pPr>
      <w:r>
        <w:rPr>
          <w:rFonts w:ascii="Verdana" w:hAnsi="Verdana" w:cs="Arial"/>
          <w:b w:val="0"/>
          <w:lang w:val="pt-BR"/>
        </w:rPr>
        <w:t xml:space="preserve">Em 2015, a XP Investimentos atuou como coordenador líder das ofertas de FIDC Angá Sabemi Consignados II (R$ 128 milhões), CRA da 1ª e 2ª Série da 1ª Emissão da RB Capital Securitizadora – Risco Burger King (R$ 102 milhões), CRA da 74ª Série da 1ª Emissão da Eco 117 Securitizadora – Risco Alcoeste (R$ 35 milhões) e Debênture 12.431, em Duas Séries, da Saneatins (R$ 190 milhões). Ainda, atuando como coordenador, a XP Investimentos participou da Debênture 12.431, em Série Única, da VLI Multimodal (R$ 232 milhões), Debênture 12.431, em Série Única, da Ventos de São Tito Holding (R$ 111 milhões), CRA da 72ª Série da 1ª Emissão da Eco Securitizadora – Risco JSL (R$ 150 milhões) e CRA da 1ª Série da 7ª Emissão da Gaia Agro Securitizadora – Risco Jalles Machado (R$ 67 milhões). </w:t>
      </w:r>
    </w:p>
    <w:p>
      <w:pPr>
        <w:pStyle w:val="HOMEBRNOTOCH3"/>
        <w:spacing w:line="300" w:lineRule="exact"/>
        <w:outlineLvl w:val="0"/>
        <w:rPr>
          <w:rFonts w:ascii="Verdana" w:hAnsi="Verdana" w:cs="Arial"/>
          <w:b w:val="0"/>
          <w:lang w:val="pt-BR"/>
        </w:rPr>
      </w:pPr>
      <w:r>
        <w:rPr>
          <w:rFonts w:ascii="Verdana" w:hAnsi="Verdana" w:cs="Arial"/>
          <w:b w:val="0"/>
          <w:lang w:val="pt-BR"/>
        </w:rPr>
        <w:t xml:space="preserve">Em 2016, as principais ofertas nas quais a XP Investimentos atuou como coordenador líder foram: Cotas Seniores e Mezaninos do FIDC Angá Sabemi Consignados V (R$ 194 milhões), CRA da 1ª Série da 1ª Emissão da Ápice Securitizadora – Risco Bartira (R$ 70 milhões), CRA da 79ª Série da 1ª Emissão da Eco Securitizadora – Risco Burger King (R$ 202 milhões), CRA da 3ª Série da 1ª Emissão da Ápice Securitizadora – Risco Jalles Machado (R$ 135 milhões), Cotas Seniores do FIDC Credz (R$ 60 milhões) e Debênture 12.431, em Série Única, da Calango 6 (R$ 43,5 milhões). Ainda, atuando como coordenador, a XP Investimentos participou do CRI da 127ª Série da 1ª Emissão da RB Capital Securitizadora – Risco Atento (R$ 30 milhões), CRI da 135ª Série da 1ª Emissão da RB Capital Securitizadora – Risco Iguatemi (R$ 275 milhões), CRI da 73ª Série da 1ª Emissão da Ápice Securitizadora – Risco Vale (R$ 140 milhões), CRI da 272ª Série da 2ª Emissão da Cibrasec Securitizadora – Risco Multiplan (R$ 300 milhões), CRA da 3ª e 4ª Séries da 1ª Emissão da RB Capital Securitizadora – Risco Raízen (R$675 milhões), CRA da 83ª Série da 1ª Emissão da Eco Securitizadora – Risco JSL (R$ 200 milhões), CRA da 1ª Série da 6ª Emissão da Octante Securitizadora – Risco São Martinho (R$ 350 milhões), CRA da 3ª Série da 1ª Emissão da Ápice Securitizadora – Risco Jalles Machado (R$ 135 milhões), Debênture 12.431, em Duas Séries, da Cemar (R$ 270 milhões), Debênture 12.431, em Duas Séries, da Celpa (R$ 300 milhões), Debênture 12.431, em Três Séries, da TCP (R$ 588 milhões) e Debênture 12.431, da 1ª Série, da Comgás (R$ 675 milhões). </w:t>
      </w:r>
    </w:p>
    <w:p>
      <w:pPr>
        <w:pStyle w:val="HOMEBRNOTOCH3"/>
        <w:keepNext w:val="0"/>
        <w:keepLines w:val="0"/>
        <w:widowControl w:val="0"/>
        <w:spacing w:line="300" w:lineRule="exact"/>
        <w:outlineLvl w:val="0"/>
        <w:rPr>
          <w:rFonts w:ascii="Verdana" w:hAnsi="Verdana" w:cs="Arial"/>
          <w:b w:val="0"/>
          <w:lang w:val="pt-BR"/>
        </w:rPr>
      </w:pPr>
      <w:r>
        <w:rPr>
          <w:rFonts w:ascii="Verdana" w:hAnsi="Verdana" w:cs="Arial"/>
          <w:b w:val="0"/>
          <w:lang w:val="pt-BR"/>
        </w:rPr>
        <w:t xml:space="preserve">Em 2017, a XP participou como coordenadora líder das ofertas do CRA da 104ª Série da 1ª Emissão da Eco Securitizadora - Risco VLI (R$ 260 milhões), CRA da 99ª Série da 1ª Emissão da Eco Securitizadora – Risco Coruripe (R$ 135 milhões), CRI da 1ª Série da 5ª Emissão da Brazil Realty Companhia Securitizadora de Créditos Imobiliários - Risco Cyrela (R$ 150 milhões), CRI da 64ª Série da 1ª Emissão da Ápice Securitizadora S.A. – Risco MRV (R$ 270 milhões), CRI da 145ª Série da 1ª Emissão da RB Capital </w:t>
      </w:r>
      <w:r>
        <w:rPr>
          <w:rFonts w:ascii="Verdana" w:hAnsi="Verdana" w:cs="Arial"/>
          <w:b w:val="0"/>
          <w:lang w:val="pt-BR"/>
        </w:rPr>
        <w:lastRenderedPageBreak/>
        <w:t xml:space="preserve">Companhia de Securitização – Risco Aliansce (R$ 180 milhões), CRI da 82ª Série da 1ª Emissão da Ápice Securitizadora S.A. – Risco MRV (R$ 270 milhões), CRI da 145ª Série da 1ª Emissão da RB Capital Companhia de Securitização – Risco Aliansce (R$ 180 milhões), CRI da 82ª Série da 1ª Emissão da Ápice Securitizadora S.A. – Risco Urbamais (R$ 50 milhões), CRI da 25ª Série da 1ª Emissão da Isec Securitizadora – Risco Direcional Engenharia (R$198 milhões), Debênture, em Três Séries, da 12ª Emissão da Light S.E.S.A (R$398 milhões), Debênture, em Duas Séries, da Movida (R$40 milhões), Debênture 12.431, em Série Única, da 13ª Emissão da Light S.E.S.A (R$458 milhões), CRA da 10ª Série da 1ª Emissão da Ápice Securitizadora S.A. – Risco JF Citrus (R$100 milhões), Debênture 12.431, em Série Única, da 3ª Emissão da Nascentes do Xingu Participações e Administração S.A. (R$155 milhões), CRA da 2ª Série da 1ª Emissão Cibrasec Securitizadora – Risco Minerva (R$350 milhões) e CRI da 156ª Série da 1ª Emissão RB Capital Companhia de Securitização – Risco Aliansce (R$300 milhões). Ainda, atuando como coordenador, a XP Investimentos participou da Debênture 12.431, da 1ª Série, da CCR AutoBAn, Debênture 12.431, em Duas Séries, da 8ª Emissão da Energisa S.A. (R$374 milhões), CRA da 1ª e 2ª Séries da 14ª Emissão da Vert Companhia Securitizadora – Risco Ipiranga (R$944 milhões), CRA das 9ª e 10ª Séries da 1ª Emissão da RB Capital Companhia de Securitização – Risco Fibria (R$941 milhões), Notas Promissórias Comerciais da 4ª Emissão da Arteris S.A. (R$650 118 milhões), Debênture 12.431, em Duas Séries, da 5ª Emissão, da Arteris S.A. (R$1.615 milhões), Debênture 12.431, em Duas Séries, da 7ª Emissão da Cosern (R$370 milhões), Debênture 12.431, em Duas Séries, da 6ª Emissão da RodoNorte (R$390 milhões) Debênture 12.431, em Quatro Séries, da 9ª Emissão da Energisa S.A. (R$850 milhões). </w:t>
      </w:r>
    </w:p>
    <w:p>
      <w:pPr>
        <w:pStyle w:val="HOMEBRNOTOCH3"/>
        <w:spacing w:line="300" w:lineRule="exact"/>
        <w:outlineLvl w:val="0"/>
        <w:rPr>
          <w:rFonts w:ascii="Verdana" w:hAnsi="Verdana" w:cs="Arial"/>
          <w:b w:val="0"/>
          <w:lang w:val="pt-BR"/>
        </w:rPr>
      </w:pPr>
      <w:r>
        <w:rPr>
          <w:rFonts w:ascii="Verdana" w:hAnsi="Verdana" w:cs="Arial"/>
          <w:b w:val="0"/>
          <w:lang w:val="pt-BR"/>
        </w:rPr>
        <w:t>Em dezembro de 2018, a XP Investimentos possui presença no atendimento do investidor pessoa física e institucional, com mais de 892.000 clientes ativos, resultando em aproximadamente R$202.000.000.000,00 de ativos sob custódia e cerca de 3,9 mil agentes autônomos ativos. No ranking ANBIMA de Renda Fixa e Híbridos, a XP Investimentos encerrou o ano de 2017 em 5º lugar em número de operações, volume de originação e distribuição. Quanto ao número de operações e volume distribuído de Fundos de Investimento Imobiliário, encerrou o ano em 1º lugar.</w:t>
      </w:r>
    </w:p>
    <w:bookmarkEnd w:id="344"/>
    <w:p>
      <w:pPr>
        <w:pStyle w:val="Ttulo3"/>
        <w:spacing w:line="300" w:lineRule="exact"/>
        <w:rPr>
          <w:rFonts w:ascii="Verdana" w:hAnsi="Verdana"/>
          <w:lang w:val="pt-BR"/>
        </w:rPr>
      </w:pPr>
      <w:r>
        <w:rPr>
          <w:rFonts w:ascii="Verdana" w:hAnsi="Verdana"/>
          <w:lang w:val="pt-BR"/>
        </w:rPr>
        <w:t>Banco BTG Pactual S.A. [</w:t>
      </w:r>
      <w:r>
        <w:rPr>
          <w:rFonts w:ascii="Verdana" w:hAnsi="Verdana"/>
          <w:highlight w:val="yellow"/>
          <w:lang w:val="pt-BR"/>
        </w:rPr>
        <w:t xml:space="preserve">NOTA PNA: </w:t>
      </w:r>
      <w:r>
        <w:rPr>
          <w:rFonts w:ascii="Verdana" w:hAnsi="Verdana"/>
          <w:b w:val="0"/>
          <w:highlight w:val="yellow"/>
          <w:lang w:val="pt-BR"/>
        </w:rPr>
        <w:t>BTG Pactual, Favor confirmar se há atualizações</w:t>
      </w:r>
      <w:r>
        <w:rPr>
          <w:rFonts w:ascii="Verdana" w:hAnsi="Verdana"/>
          <w:lang w:val="pt-BR"/>
        </w:rPr>
        <w:t>]</w:t>
      </w:r>
    </w:p>
    <w:p>
      <w:pPr>
        <w:spacing w:line="300" w:lineRule="exact"/>
        <w:rPr>
          <w:rFonts w:ascii="Verdana" w:hAnsi="Verdana" w:cs="Arial"/>
          <w:lang w:val="pt-BR"/>
        </w:rPr>
      </w:pPr>
      <w:r>
        <w:rPr>
          <w:rFonts w:ascii="Verdana" w:hAnsi="Verdana" w:cs="Arial"/>
          <w:lang w:val="pt-BR"/>
        </w:rPr>
        <w:t>O BTG Pactual é uma instituição financeira autorizada a funcionar pelo Banco Central do Brasil, constituída sob a forma de sociedade por ações de capital aberto, com escritório na Cidade de São Paulo, Estado de São Paulo, na Avenida Brigadeiro Faria Lima, nº 3.477, 10º a 15º andares, CEP 04538-133, inscrito no CNPJ/ME sob o nº 30.306.294/0002-26.</w:t>
      </w:r>
    </w:p>
    <w:p>
      <w:pPr>
        <w:spacing w:line="300" w:lineRule="exact"/>
        <w:rPr>
          <w:rFonts w:ascii="Verdana" w:hAnsi="Verdana" w:cs="Arial"/>
          <w:lang w:val="pt-BR"/>
        </w:rPr>
      </w:pPr>
      <w:r>
        <w:rPr>
          <w:rFonts w:ascii="Verdana" w:hAnsi="Verdana" w:cs="Arial"/>
          <w:lang w:val="pt-BR"/>
        </w:rPr>
        <w:t xml:space="preserve">O BTG Pactual foi fundado em 1983 como uma distribuidora de títulos e valores mobiliários. Nos 13 anos seguintes, a empresa expandiu-se consideravelmente, tornando-se um banco completo, com foco principal as áreas de pesquisa, finanças </w:t>
      </w:r>
      <w:r>
        <w:rPr>
          <w:rFonts w:ascii="Verdana" w:hAnsi="Verdana" w:cs="Arial"/>
          <w:lang w:val="pt-BR"/>
        </w:rPr>
        <w:lastRenderedPageBreak/>
        <w:t xml:space="preserve">corporativas, mercado de capitais, fusões &amp; aquisições, </w:t>
      </w:r>
      <w:r>
        <w:rPr>
          <w:rFonts w:ascii="Verdana" w:hAnsi="Verdana" w:cs="Arial"/>
          <w:i/>
          <w:lang w:val="pt-BR"/>
        </w:rPr>
        <w:t>wealth management</w:t>
      </w:r>
      <w:r>
        <w:rPr>
          <w:rFonts w:ascii="Verdana" w:hAnsi="Verdana" w:cs="Arial"/>
          <w:lang w:val="pt-BR"/>
        </w:rPr>
        <w:t xml:space="preserve">, </w:t>
      </w:r>
      <w:r>
        <w:rPr>
          <w:rFonts w:ascii="Verdana" w:hAnsi="Verdana" w:cs="Arial"/>
          <w:i/>
          <w:lang w:val="pt-BR"/>
        </w:rPr>
        <w:t>asset management</w:t>
      </w:r>
      <w:r>
        <w:rPr>
          <w:rFonts w:ascii="Verdana" w:hAnsi="Verdana" w:cs="Arial"/>
          <w:lang w:val="pt-BR"/>
        </w:rPr>
        <w:t xml:space="preserve"> e </w:t>
      </w:r>
      <w:r>
        <w:rPr>
          <w:rFonts w:ascii="Verdana" w:hAnsi="Verdana" w:cs="Arial"/>
          <w:i/>
          <w:lang w:val="pt-BR"/>
        </w:rPr>
        <w:t>sales and trading</w:t>
      </w:r>
      <w:r>
        <w:rPr>
          <w:rFonts w:ascii="Verdana" w:hAnsi="Verdana" w:cs="Arial"/>
          <w:lang w:val="pt-BR"/>
        </w:rPr>
        <w:t xml:space="preserve"> (vendas e negociações). </w:t>
      </w:r>
    </w:p>
    <w:p>
      <w:pPr>
        <w:spacing w:line="300" w:lineRule="exact"/>
        <w:rPr>
          <w:rFonts w:ascii="Verdana" w:hAnsi="Verdana" w:cs="Arial"/>
          <w:lang w:val="pt-BR"/>
        </w:rPr>
      </w:pPr>
      <w:r>
        <w:rPr>
          <w:rFonts w:ascii="Verdana" w:hAnsi="Verdana" w:cs="Arial"/>
          <w:lang w:val="pt-BR"/>
        </w:rPr>
        <w:t>Em 2006, o UBS A.G, instituição global de serviços financeiros, e o Banco Pactual S.A., associaram-se para criar o Banco UBS Pactual S.A. Em 2009, o Banco UBS Pactual S.A. foi adquirido pelo grupo BTG Investments, formando o BTG Pactual. Em dezembro de 2010, o Banco emitiu US$1,8 bilhão em capital para um consórcio de respeitados investidores e sócios, representando 18,65% do BTG Pactual.</w:t>
      </w:r>
    </w:p>
    <w:p>
      <w:pPr>
        <w:spacing w:line="300" w:lineRule="exact"/>
        <w:rPr>
          <w:rFonts w:ascii="Verdana" w:hAnsi="Verdana" w:cs="Arial"/>
          <w:lang w:val="pt-BR"/>
        </w:rPr>
      </w:pPr>
      <w:r>
        <w:rPr>
          <w:rFonts w:ascii="Verdana" w:hAnsi="Verdana" w:cs="Arial"/>
          <w:lang w:val="pt-BR"/>
        </w:rPr>
        <w:t>Nos anos 2011 e 2012, o BTG Pactual adquiriu uma participação de 37,64% no Banco Pan Americano, Celfin, corretora de valores no Chile, que também opera no Peru e na Colômbia e a Bolsa y Renta, a maior corretora em volume de transações em ações na Colômbia, de acordo com a Superintendência Financeira.</w:t>
      </w:r>
    </w:p>
    <w:p>
      <w:pPr>
        <w:spacing w:line="300" w:lineRule="exact"/>
        <w:rPr>
          <w:rFonts w:ascii="Verdana" w:hAnsi="Verdana" w:cs="Arial"/>
          <w:lang w:val="pt-BR"/>
        </w:rPr>
      </w:pPr>
      <w:r>
        <w:rPr>
          <w:rFonts w:ascii="Verdana" w:hAnsi="Verdana" w:cs="Arial"/>
          <w:i/>
          <w:lang w:val="pt-BR"/>
        </w:rPr>
        <w:t>Debt Capital Markets</w:t>
      </w:r>
      <w:r>
        <w:rPr>
          <w:rFonts w:ascii="Verdana" w:hAnsi="Verdana" w:cs="Arial"/>
          <w:lang w:val="pt-BR"/>
        </w:rPr>
        <w:t xml:space="preserve"> (DCM) do BTG Pactual é uma área relevante para o banco. Desde 2012, o BTG Pactual também se fez mais presente na América Latina após as aquisições das corretoras Celfin e Bolsa y Renta. Assessorou instituições públicas e privadas nos mercados de capitais de renda fixa, nos diferentes mercados locais onde o BTG Pactual atua, através da emissão de debêntures, notas promissórias, certificados de recebíveis imobiliários, fundos de investimentos imobiliários ou fundos de investimento em direitos creditórios. DCM também atua no mercado internacional, através da emissão de bonds. Além disso, DCM auxilia empresas em processo de renegociação de termos e condições de dívidas em ambos os mercados.</w:t>
      </w:r>
    </w:p>
    <w:p>
      <w:pPr>
        <w:spacing w:line="300" w:lineRule="exact"/>
        <w:rPr>
          <w:rFonts w:ascii="Verdana" w:hAnsi="Verdana" w:cs="Arial"/>
          <w:lang w:val="pt-BR"/>
        </w:rPr>
      </w:pPr>
      <w:r>
        <w:rPr>
          <w:rFonts w:ascii="Verdana" w:hAnsi="Verdana" w:cs="Arial"/>
          <w:lang w:val="pt-BR"/>
        </w:rPr>
        <w:t xml:space="preserve">Em julho de 2014, destacamos também a aquisição do banco suíço BSI, pertencente ao grupo italiano Assicurazioni Generali S.p.A, a aquisição acrescenta ao BTG Pactual 140 anos de história na indústria de private banking, aproximadamente US$100,0 bilhões em ativos sob gestão e uma presença global com cerca de 2.000 funcionários em mais de 10 países. A combinação do BTG Pactual e do BSI cria uma plataforma internacional de </w:t>
      </w:r>
      <w:r>
        <w:rPr>
          <w:rFonts w:ascii="Verdana" w:hAnsi="Verdana" w:cs="Arial"/>
          <w:i/>
          <w:lang w:val="pt-BR"/>
        </w:rPr>
        <w:t>wealth</w:t>
      </w:r>
      <w:r>
        <w:rPr>
          <w:rFonts w:ascii="Verdana" w:hAnsi="Verdana" w:cs="Arial"/>
          <w:lang w:val="pt-BR"/>
        </w:rPr>
        <w:t xml:space="preserve"> e </w:t>
      </w:r>
      <w:r>
        <w:rPr>
          <w:rFonts w:ascii="Verdana" w:hAnsi="Verdana" w:cs="Arial"/>
          <w:i/>
          <w:lang w:val="pt-BR"/>
        </w:rPr>
        <w:t>asset management</w:t>
      </w:r>
      <w:r>
        <w:rPr>
          <w:rFonts w:ascii="Verdana" w:hAnsi="Verdana" w:cs="Arial"/>
          <w:lang w:val="pt-BR"/>
        </w:rPr>
        <w:t xml:space="preserve"> com mais de US$200,0 bilhões em ativos sob gestão e presente em todos os principais centros financeiros internacionais. Com a transação, além da robusta base de capital, o BTG Pactual passa a oferecer aos seus clientes soluções de investimento inovadoras e customizadas, com uma abrangência global e serviços diferenciados.</w:t>
      </w:r>
    </w:p>
    <w:p>
      <w:pPr>
        <w:spacing w:line="300" w:lineRule="exact"/>
        <w:rPr>
          <w:rFonts w:ascii="Verdana" w:hAnsi="Verdana" w:cs="Arial"/>
          <w:lang w:val="pt-BR"/>
        </w:rPr>
      </w:pPr>
      <w:r>
        <w:rPr>
          <w:rFonts w:ascii="Verdana" w:hAnsi="Verdana" w:cs="Arial"/>
          <w:lang w:val="pt-BR"/>
        </w:rPr>
        <w:t xml:space="preserve">O DCM do BTG Pactual possui um modelo de negócios diferenciado, com plataforma integrada com outras áreas do banco. Cobre desde o processo de estruturação e </w:t>
      </w:r>
      <w:r>
        <w:rPr>
          <w:rFonts w:ascii="Verdana" w:hAnsi="Verdana" w:cs="Arial"/>
          <w:i/>
          <w:lang w:val="pt-BR"/>
        </w:rPr>
        <w:t>investor education</w:t>
      </w:r>
      <w:r>
        <w:rPr>
          <w:rFonts w:ascii="Verdana" w:hAnsi="Verdana" w:cs="Arial"/>
          <w:lang w:val="pt-BR"/>
        </w:rPr>
        <w:t xml:space="preserve">, até o comprometimento do BTG Pactual em atuar como formador de mercado no mercado secundário das transações. Serviços estes com forte suporte das áreas de </w:t>
      </w:r>
      <w:r>
        <w:rPr>
          <w:rFonts w:ascii="Verdana" w:hAnsi="Verdana" w:cs="Arial"/>
          <w:i/>
          <w:lang w:val="pt-BR"/>
        </w:rPr>
        <w:t>Research</w:t>
      </w:r>
      <w:r>
        <w:rPr>
          <w:rFonts w:ascii="Verdana" w:hAnsi="Verdana" w:cs="Arial"/>
          <w:lang w:val="pt-BR"/>
        </w:rPr>
        <w:t xml:space="preserve"> de Renda Fixa (líder segundo a revista Institutional Investor) e de Sales &amp; Trading localizadas em Nova Iorque, Londres, Hong Kong, Santiago e São Paulo.</w:t>
      </w:r>
    </w:p>
    <w:p>
      <w:pPr>
        <w:spacing w:line="300" w:lineRule="exact"/>
        <w:rPr>
          <w:rFonts w:ascii="Verdana" w:hAnsi="Verdana" w:cs="Arial"/>
          <w:lang w:val="pt-BR"/>
        </w:rPr>
      </w:pPr>
      <w:r>
        <w:rPr>
          <w:rFonts w:ascii="Verdana" w:hAnsi="Verdana" w:cs="Arial"/>
          <w:lang w:val="pt-BR"/>
        </w:rPr>
        <w:t>Em 2012, o BTG Pactual participou de 36 operações locais de DCM, com mais de R$15,0 bilhões em captações no mercado, refletindo em uma participação de mercado (</w:t>
      </w:r>
      <w:r>
        <w:rPr>
          <w:rFonts w:ascii="Verdana" w:hAnsi="Verdana" w:cs="Arial"/>
          <w:i/>
          <w:lang w:val="pt-BR"/>
        </w:rPr>
        <w:t>market share</w:t>
      </w:r>
      <w:r>
        <w:rPr>
          <w:rFonts w:ascii="Verdana" w:hAnsi="Verdana" w:cs="Arial"/>
          <w:lang w:val="pt-BR"/>
        </w:rPr>
        <w:t xml:space="preserve">) de aproximadamente 20%, destacam-se nesse período as ofertas da SABESP </w:t>
      </w:r>
      <w:r>
        <w:rPr>
          <w:rFonts w:ascii="Verdana" w:hAnsi="Verdana" w:cs="Arial"/>
          <w:lang w:val="pt-BR"/>
        </w:rPr>
        <w:lastRenderedPageBreak/>
        <w:t>(R$770,0 Milhões), BR Malls (R$405,0 milhões), CCR Viaoeste (R$750,0 milhões) e TPI (R$472,0 milhões) em que atuou como coordenador líder e as ofertas de CEMIG (R$1,4 bilhão), BNDES (R$2,0 bilhões), Ecorodovias (R$800,0 milhões) e BR Properties (R$600,0 milhões) em que atuou como coordenador. Em 2013, o BTG Pactual participou como coordenador líder das ofertas da Triângulo do Sol (R$691,0 milhões), Colinas (R$950,0 milhões), Tegma (R$200,0 milhões), Valid (R$250,0 milhões), AES Sul (R$290,0 milhões), JSL (R$400,0 milhões), Norte Brasil Transmissora de Energia (R$200,0 milhões), Intervias (R$600,0 milhões) e CCR (R$200,0 milhões). Destaca-se neste período também a operação de Rodovias do Tietê em que atuou como coordenador líder e assessor de Project Finance, no volume de R$1,065 bilhão. Como coordenador, o BTG Pactual participou da 4ª emissão de Iguatemi (R$450,0 milhões), Ecovias (R$881,0 milhões), Comgás (R$540,0 milhões), Brasil Pharma (R$287,690 milhões), da Companhia de Saneamento do Paraná – Sanepar (R$300,0 milhões) e da Andrade Gutierrez Participações S.A. (R$180,0 milhões).</w:t>
      </w:r>
    </w:p>
    <w:p>
      <w:pPr>
        <w:spacing w:line="300" w:lineRule="exact"/>
        <w:rPr>
          <w:rFonts w:ascii="Verdana" w:hAnsi="Verdana" w:cs="Arial"/>
          <w:lang w:val="pt-BR"/>
        </w:rPr>
      </w:pPr>
      <w:r>
        <w:rPr>
          <w:rFonts w:ascii="Verdana" w:hAnsi="Verdana" w:cs="Arial"/>
          <w:lang w:val="pt-BR"/>
        </w:rPr>
        <w:t>Em 2014, o BTG Pactual participou de 33 operações, totalizando um volume de R$5,69 bilhões distribuídos no mercado local. Destacamos a participação como coordenador líder das ofertas de debêntures de infraestrutura da Santo Antonio Energia (R$700,0 milhões), Ferreira Gomes (R$210,0 milhões), Santa Vitória do Palmar (R$90,0 milhões), e como coordenador nas ofertas da Centrovias (R$400,0 milhões), Intervias (R$275,0 milhões, da ViaNorte (R$150,0 milhões), Localiza (R$500,0 milhões) e Estácio (R$300,0 milhões).</w:t>
      </w:r>
    </w:p>
    <w:p>
      <w:pPr>
        <w:spacing w:line="300" w:lineRule="exact"/>
        <w:rPr>
          <w:rFonts w:ascii="Verdana" w:hAnsi="Verdana" w:cs="Arial"/>
          <w:lang w:val="pt-BR"/>
        </w:rPr>
      </w:pPr>
      <w:r>
        <w:rPr>
          <w:rFonts w:ascii="Verdana" w:hAnsi="Verdana" w:cs="Arial"/>
          <w:lang w:val="pt-BR"/>
        </w:rPr>
        <w:t>No ranking ANBIMA de distribuição de renda fixa, de janeiro a junho de 2015, o BTG Pactual classificou-se na 2ª posição em volume tanto no ranking consolidado como de renda fixa de longo prazo, com um total de R$2,8bi distribuídos, representando 18,5% de participação de mercado. Neste ano, destacamos as operações de Cielo (R$4,6bi), Ecorodovias Infraestrutura (R$600,0 milhões) e DASA (R$400,0 milhões).</w:t>
      </w:r>
    </w:p>
    <w:p>
      <w:pPr>
        <w:spacing w:line="300" w:lineRule="exact"/>
        <w:rPr>
          <w:rFonts w:ascii="Verdana" w:hAnsi="Verdana" w:cs="Arial"/>
          <w:lang w:val="pt-BR"/>
        </w:rPr>
      </w:pPr>
      <w:r>
        <w:rPr>
          <w:rFonts w:ascii="Verdana" w:hAnsi="Verdana" w:cs="Arial"/>
          <w:lang w:val="pt-BR"/>
        </w:rPr>
        <w:t xml:space="preserve">Em 2015, o BTG Pactual participou de 36 operações, totalizando um volume de R$3,9 bilhões distribuídos no mercado local, ocupando a 3ª posição no ranking de distribuição consolidado da ANBIMA e 2º lugar no ranking de distribuição de longo prazo com 12,8% e 16,5% do market share, respectivamente. Neste ano, destacamos as operações de Cielo (R$ 4,6 bilhões), Ecorodovias Infraestrutura (R$ 600 milhões), DASA (R$400 milhões), EDP (R$ 892 milhões), AES Tietê (R$ 594 milhões) e o CRI da 108ª Emissão da RB Capital lastreado em créditos imobiliários devidos por e garantidos por empresas do grupo Iguatemi. </w:t>
      </w:r>
    </w:p>
    <w:p>
      <w:pPr>
        <w:spacing w:line="300" w:lineRule="exact"/>
        <w:rPr>
          <w:rFonts w:ascii="Verdana" w:hAnsi="Verdana" w:cs="Arial"/>
          <w:lang w:val="pt-BR"/>
        </w:rPr>
      </w:pPr>
      <w:r>
        <w:rPr>
          <w:rFonts w:ascii="Verdana" w:hAnsi="Verdana" w:cs="Arial"/>
          <w:lang w:val="pt-BR"/>
        </w:rPr>
        <w:t xml:space="preserve">Em 2016, o BTG Pactual distribuiu o volume de R$ 1,9 bilhões em 28 operações. Destacam-se nesse período a emissão de debêntures de infraestrutura da TCP-Terminal de Contêiners de Paranaguá, no volume de R$590 milhões, da EDP, no volume de R$250 milhões, e da CTEEP, no volume de R$148 milhões, as Notas Promissórias de Eletrosul e Energia dos Ventos, no montante de R$250 milhões e R$100 milhões, </w:t>
      </w:r>
      <w:r>
        <w:rPr>
          <w:rFonts w:ascii="Verdana" w:hAnsi="Verdana" w:cs="Arial"/>
          <w:lang w:val="pt-BR"/>
        </w:rPr>
        <w:lastRenderedPageBreak/>
        <w:t>respectivamente, e o CRI lastreado em créditos imobiliários da Iguatemi, no volume de R$275 milhões.</w:t>
      </w:r>
    </w:p>
    <w:p>
      <w:pPr>
        <w:spacing w:line="300" w:lineRule="exact"/>
        <w:rPr>
          <w:rFonts w:ascii="Verdana" w:hAnsi="Verdana" w:cs="Arial"/>
          <w:lang w:val="pt-BR"/>
        </w:rPr>
      </w:pPr>
      <w:r>
        <w:rPr>
          <w:rFonts w:ascii="Verdana" w:hAnsi="Verdana" w:cs="Arial"/>
          <w:lang w:val="pt-BR"/>
        </w:rPr>
        <w:t xml:space="preserve">Em 2017, o BTG Pactual classificou-se na 4ª posição em volume no ranking de renda fixa de longo prazo, com R$ 4,5 bilhões distribuídos em 23 operações. Destacamos a participação como coordenador único na Oferta de FIDC da Eletrosul no volume de R$690milhões, das Debêntures de Triangulo do Sol, no volume de R$110milhões, das Debêntures de Infraestrutura de Energia dos Ventos e Transmissora Sul Litorânea no volume de R$100 milhões e R$150 milhões, respectivamente. </w:t>
      </w:r>
    </w:p>
    <w:p>
      <w:pPr>
        <w:pStyle w:val="HOMEBRBodyText"/>
        <w:spacing w:line="300" w:lineRule="exact"/>
        <w:rPr>
          <w:rFonts w:ascii="Verdana" w:hAnsi="Verdana" w:cs="Arial"/>
        </w:rPr>
      </w:pPr>
      <w:r>
        <w:rPr>
          <w:rFonts w:ascii="Verdana" w:hAnsi="Verdana" w:cs="Arial"/>
        </w:rPr>
        <w:t xml:space="preserve">Em 2018, o BTG Pactual classificou-se na 3ª posição em volume de renda fixa de longo prazo, com R$ 7,2 bilhões distribuídos em 30 operações. Destacam-se, nesse período, a emissão de debêntures de infraestrutura da Pirapora Solar Holding no volume de R$ 220 milhões, a emissão de duas debêntures da Lojas Americanas, como coordenador líder, no volume de R$ 1 bilhão cada, a Oferta de FIDC da Lojas Quero-Quero, também como coordenador único, no volume de R$ 300 milhões, a emissão de Debêntures da Intervias, no volume de R$ 800 milhões, a emissão de Debêntures da Iguatemi, como coordenador único, no volume de R$ 395 milhões, a emissão de Debêntures da Celeo Redes Transmissão, como coordenador líder, no volume de R$ 565 milhões e a emissão de Debêntures da Movida, como coordenador único, no volume de R$ 600 milhões. </w:t>
      </w:r>
    </w:p>
    <w:p>
      <w:pPr>
        <w:pStyle w:val="HOMEBRNOTOCH3"/>
        <w:tabs>
          <w:tab w:val="left" w:pos="2989"/>
        </w:tabs>
        <w:spacing w:line="300" w:lineRule="exact"/>
        <w:rPr>
          <w:rFonts w:ascii="Verdana" w:hAnsi="Verdana" w:cs="Arial"/>
          <w:lang w:val="pt-BR"/>
        </w:rPr>
      </w:pPr>
    </w:p>
    <w:p>
      <w:pPr>
        <w:pStyle w:val="Ttulo1"/>
        <w:spacing w:line="300" w:lineRule="exact"/>
        <w:rPr>
          <w:rFonts w:ascii="Verdana" w:hAnsi="Verdana"/>
          <w:sz w:val="24"/>
          <w:lang w:val="pt-BR"/>
        </w:rPr>
      </w:pPr>
      <w:bookmarkStart w:id="345" w:name="_DV_M913"/>
      <w:bookmarkStart w:id="346" w:name="_DV_M914"/>
      <w:bookmarkStart w:id="347" w:name="_DV_M915"/>
      <w:bookmarkStart w:id="348" w:name="_DV_M916"/>
      <w:bookmarkStart w:id="349" w:name="_DV_M917"/>
      <w:bookmarkStart w:id="350" w:name="_DV_M918"/>
      <w:bookmarkStart w:id="351" w:name="_DV_M919"/>
      <w:bookmarkStart w:id="352" w:name="_DV_M920"/>
      <w:bookmarkStart w:id="353" w:name="_DV_M921"/>
      <w:bookmarkStart w:id="354" w:name="_DV_M922"/>
      <w:bookmarkStart w:id="355" w:name="_Toc428306477"/>
      <w:bookmarkStart w:id="356" w:name="_Toc484716031"/>
      <w:bookmarkStart w:id="357" w:name="_Toc340093028"/>
      <w:bookmarkEnd w:id="345"/>
      <w:bookmarkEnd w:id="346"/>
      <w:bookmarkEnd w:id="347"/>
      <w:bookmarkEnd w:id="348"/>
      <w:bookmarkEnd w:id="349"/>
      <w:bookmarkEnd w:id="350"/>
      <w:bookmarkEnd w:id="351"/>
      <w:bookmarkEnd w:id="352"/>
      <w:bookmarkEnd w:id="353"/>
      <w:bookmarkEnd w:id="354"/>
      <w:r>
        <w:rPr>
          <w:rFonts w:ascii="Verdana" w:hAnsi="Verdana"/>
          <w:lang w:val="pt-BR"/>
        </w:rPr>
        <w:lastRenderedPageBreak/>
        <w:t>RELACIONAMENTO ENTRE A EMISSORA E OS COORDENADORES</w:t>
      </w:r>
      <w:bookmarkEnd w:id="355"/>
      <w:bookmarkEnd w:id="356"/>
    </w:p>
    <w:p>
      <w:pPr>
        <w:pStyle w:val="HOMEBRBodyText"/>
        <w:spacing w:line="300" w:lineRule="exact"/>
        <w:rPr>
          <w:rFonts w:ascii="Verdana" w:hAnsi="Verdana" w:cs="Arial"/>
        </w:rPr>
      </w:pPr>
      <w:r>
        <w:rPr>
          <w:rFonts w:ascii="Verdana" w:hAnsi="Verdana" w:cs="Arial"/>
        </w:rPr>
        <w:t>Para fins do disposto no Item 3.3.2 do Anexo III da Instrução CVM 400, são descritos abaixo as relações da Emissora com os Coordenadores, incluindo as empresas dos respectivos grupos econômicos destes, além do relacionamento referente à presente Oferta.</w:t>
      </w:r>
    </w:p>
    <w:p>
      <w:pPr>
        <w:pStyle w:val="HOMEBRBodyText"/>
        <w:spacing w:line="300" w:lineRule="exact"/>
        <w:rPr>
          <w:rFonts w:ascii="Verdana" w:hAnsi="Verdana" w:cs="Arial"/>
        </w:rPr>
      </w:pPr>
      <w:r>
        <w:rPr>
          <w:rFonts w:ascii="Verdana" w:hAnsi="Verdana" w:cs="Arial"/>
        </w:rPr>
        <w:t xml:space="preserve">Nenhuma das operações descritas abaixo são vinculadas à Oferta e/ou à Emissão e não há, na data deste Prospecto, quaisquer operações celebradas entre a Emissora e os Coordenadores e/ou outras sociedades pertencentes aos seus respectivos grupos econômicos que estejam vinculadas à Oferta e/ou à Emissão. </w:t>
      </w:r>
    </w:p>
    <w:p>
      <w:pPr>
        <w:pStyle w:val="HOMEBRBodyText"/>
        <w:spacing w:after="0" w:line="300" w:lineRule="exact"/>
        <w:rPr>
          <w:rFonts w:ascii="Verdana" w:hAnsi="Verdana" w:cs="Arial"/>
          <w:b/>
          <w:i/>
        </w:rPr>
      </w:pPr>
      <w:bookmarkStart w:id="358" w:name="_Toc428306478"/>
      <w:bookmarkStart w:id="359" w:name="_Toc484716032"/>
      <w:r>
        <w:rPr>
          <w:rFonts w:ascii="Verdana" w:hAnsi="Verdana" w:cs="Arial"/>
          <w:b/>
          <w:i/>
        </w:rPr>
        <w:t xml:space="preserve">Relacionamento entre a Emissora e o Coordenador Líder </w:t>
      </w:r>
      <w:r>
        <w:rPr>
          <w:rFonts w:ascii="Verdana" w:hAnsi="Verdana" w:cs="Arial"/>
        </w:rPr>
        <w:t>[</w:t>
      </w:r>
      <w:r>
        <w:rPr>
          <w:rFonts w:ascii="Verdana" w:hAnsi="Verdana" w:cs="Arial"/>
          <w:b/>
          <w:highlight w:val="yellow"/>
        </w:rPr>
        <w:t>NOTA PNA:</w:t>
      </w:r>
      <w:r>
        <w:rPr>
          <w:rFonts w:ascii="Verdana" w:hAnsi="Verdana" w:cs="Arial"/>
          <w:highlight w:val="yellow"/>
        </w:rPr>
        <w:t xml:space="preserve"> Itaú BBA, Favor confirmar se há atualizações</w:t>
      </w:r>
      <w:r>
        <w:rPr>
          <w:rFonts w:ascii="Verdana" w:hAnsi="Verdana" w:cs="Arial"/>
        </w:rPr>
        <w:t>]</w:t>
      </w:r>
    </w:p>
    <w:p>
      <w:pPr>
        <w:pStyle w:val="HOMEBRBodyText"/>
        <w:spacing w:after="0" w:line="300" w:lineRule="exact"/>
        <w:rPr>
          <w:rFonts w:ascii="Verdana" w:hAnsi="Verdana" w:cs="Arial"/>
        </w:rPr>
      </w:pPr>
    </w:p>
    <w:p>
      <w:pPr>
        <w:spacing w:after="240" w:line="300" w:lineRule="exact"/>
        <w:rPr>
          <w:rFonts w:ascii="Verdana" w:hAnsi="Verdana" w:cs="Arial"/>
          <w:lang w:val="pt-BR"/>
        </w:rPr>
      </w:pPr>
      <w:r>
        <w:rPr>
          <w:rFonts w:ascii="Verdana" w:hAnsi="Verdana" w:cs="Arial"/>
          <w:lang w:val="pt-BR"/>
        </w:rPr>
        <w:t xml:space="preserve">Na data deste Prospecto, além do relacionamento referente à Oferta, a Emissora mantém relacionamento comercial com o grupo econômico do Itaú BBA, que consiste principalmente nas seguintes transações relacionadas à prestação de serviços bancários em geral: </w:t>
      </w:r>
    </w:p>
    <w:p>
      <w:pPr>
        <w:numPr>
          <w:ilvl w:val="0"/>
          <w:numId w:val="29"/>
        </w:numPr>
        <w:spacing w:after="240" w:line="300" w:lineRule="exact"/>
        <w:ind w:hanging="720"/>
        <w:rPr>
          <w:rFonts w:ascii="Verdana" w:hAnsi="Verdana" w:cs="Arial"/>
          <w:lang w:val="pt-BR"/>
        </w:rPr>
      </w:pPr>
      <w:r>
        <w:rPr>
          <w:rFonts w:ascii="Verdana" w:hAnsi="Verdana" w:cs="Arial"/>
          <w:lang w:val="pt-BR"/>
        </w:rPr>
        <w:t>Fianças prestadas à Rumo S/A ou com seu aval (às empresas controladas Portofer Transporte Ferroviário LTDA, Rumo Malha Oeste S/A, Rumo Malha Sul S/A, Rumo Malha Paulista S/A), no valor de, aproximadamente, R$ 10.000.000,00 (dez milhões de reais) e com prazo médio de 6 (seis) anos. O último vencimento é janeiro de 2024. As operações mais recentes fechadas tinham taxa média de 2,60% a.a, Trimestral, Postecipada;</w:t>
      </w:r>
    </w:p>
    <w:p>
      <w:pPr>
        <w:numPr>
          <w:ilvl w:val="0"/>
          <w:numId w:val="29"/>
        </w:numPr>
        <w:spacing w:after="240" w:line="300" w:lineRule="exact"/>
        <w:ind w:hanging="720"/>
        <w:rPr>
          <w:rFonts w:ascii="Verdana" w:hAnsi="Verdana" w:cs="Arial"/>
          <w:lang w:val="pt-BR"/>
        </w:rPr>
      </w:pPr>
      <w:r>
        <w:rPr>
          <w:rFonts w:ascii="Verdana" w:hAnsi="Verdana" w:cs="Arial"/>
          <w:lang w:val="pt-BR"/>
        </w:rPr>
        <w:t>Operações de Repasse RES2921 em USD concedidas à Rumo Malha Norte S.A. no valor de, aproximadamente, R$ 5.000.000.000,00 (cinco bilhões de reais) às taxas pré-fixadas de 5,9% a 7,4% a.a. Prazo médio de 7 (sete) anos e último vencimento em janeiro 2025;</w:t>
      </w:r>
    </w:p>
    <w:p>
      <w:pPr>
        <w:numPr>
          <w:ilvl w:val="0"/>
          <w:numId w:val="29"/>
        </w:numPr>
        <w:spacing w:after="240" w:line="300" w:lineRule="exact"/>
        <w:ind w:hanging="720"/>
        <w:rPr>
          <w:rFonts w:ascii="Verdana" w:hAnsi="Verdana" w:cs="Arial"/>
          <w:lang w:val="pt-BR"/>
        </w:rPr>
      </w:pPr>
      <w:r>
        <w:rPr>
          <w:rFonts w:ascii="Verdana" w:hAnsi="Verdana" w:cs="Arial"/>
          <w:lang w:val="pt-BR"/>
        </w:rPr>
        <w:t>Debêntures emitida pela Rumo Malha Norte S.A. no volume de R$ 500.000.000,00 (quinhentos milhões de reais) em dezembro de 2017 e detida hoje na carteira comercial. Vencimento em dezembro de 2025 e taxa de 128% do DI;</w:t>
      </w:r>
    </w:p>
    <w:p>
      <w:pPr>
        <w:numPr>
          <w:ilvl w:val="0"/>
          <w:numId w:val="29"/>
        </w:numPr>
        <w:spacing w:after="240" w:line="300" w:lineRule="exact"/>
        <w:ind w:hanging="720"/>
        <w:rPr>
          <w:rFonts w:ascii="Verdana" w:hAnsi="Verdana" w:cs="Arial"/>
          <w:lang w:val="pt-BR"/>
        </w:rPr>
      </w:pPr>
      <w:r>
        <w:rPr>
          <w:rFonts w:ascii="Verdana" w:hAnsi="Verdana" w:cs="Arial"/>
          <w:lang w:val="pt-BR"/>
        </w:rPr>
        <w:t>Empréstimos concedidos no âmbito de FINAME à Brado Logística S/A e a Rumo Malha Norte S/A. 138 (cento e trinta e oito) operações com a volumetria de, aproximadamente, R$ 171.000.000,00 (cento e setenta e um milhões de reais), prazo médio de 9 (nove) anos e último vencimento dezembro de 2024;</w:t>
      </w:r>
    </w:p>
    <w:p>
      <w:pPr>
        <w:numPr>
          <w:ilvl w:val="0"/>
          <w:numId w:val="29"/>
        </w:numPr>
        <w:spacing w:after="240" w:line="300" w:lineRule="exact"/>
        <w:ind w:hanging="720"/>
        <w:rPr>
          <w:rFonts w:ascii="Verdana" w:hAnsi="Verdana" w:cs="Arial"/>
          <w:lang w:val="pt-BR"/>
        </w:rPr>
      </w:pPr>
      <w:r>
        <w:rPr>
          <w:rFonts w:ascii="Verdana" w:hAnsi="Verdana" w:cs="Arial"/>
          <w:lang w:val="pt-BR"/>
        </w:rPr>
        <w:t xml:space="preserve">O Grupo Rumo possui contrato de Sispag que atingiu volumetria de, aproximadamente, R$ 35.000.000,00 (trinta e cinco milhões de reais) em dezembro de 2018; possui também Depósitos a Vista que atingiram volumetria </w:t>
      </w:r>
      <w:r>
        <w:rPr>
          <w:rFonts w:ascii="Verdana" w:hAnsi="Verdana" w:cs="Arial"/>
          <w:lang w:val="pt-BR"/>
        </w:rPr>
        <w:lastRenderedPageBreak/>
        <w:t>média de, aproximadamente, R$ 110.000,00 (cento e dez mil reais) em dezembro de 2018.</w:t>
      </w:r>
    </w:p>
    <w:p>
      <w:pPr>
        <w:pStyle w:val="PargrafodaLista"/>
        <w:numPr>
          <w:ilvl w:val="0"/>
          <w:numId w:val="29"/>
        </w:numPr>
        <w:spacing w:after="240" w:line="300" w:lineRule="exact"/>
        <w:ind w:hanging="720"/>
        <w:rPr>
          <w:rFonts w:ascii="Verdana" w:hAnsi="Verdana" w:cs="Arial"/>
        </w:rPr>
      </w:pPr>
      <w:r>
        <w:rPr>
          <w:rFonts w:ascii="Verdana" w:hAnsi="Verdana" w:cs="Arial"/>
        </w:rPr>
        <w:t>Detém limite para operação de Cartão de Crédito com a Brado Logistica S.A., com valor nocional de R$380.000,00</w:t>
      </w:r>
      <w:r>
        <w:rPr>
          <w:rFonts w:ascii="Verdana" w:hAnsi="Verdana" w:cs="Arial"/>
          <w:lang w:val="pt-BR"/>
        </w:rPr>
        <w:t xml:space="preserve"> (trezentos e oitenta mil reais)</w:t>
      </w:r>
      <w:r>
        <w:rPr>
          <w:rFonts w:ascii="Verdana" w:hAnsi="Verdana" w:cs="Arial"/>
        </w:rPr>
        <w:t>, em janeiro</w:t>
      </w:r>
      <w:r>
        <w:rPr>
          <w:rFonts w:ascii="Verdana" w:hAnsi="Verdana" w:cs="Arial"/>
          <w:lang w:val="pt-BR"/>
        </w:rPr>
        <w:t xml:space="preserve"> de </w:t>
      </w:r>
      <w:r>
        <w:rPr>
          <w:rFonts w:ascii="Verdana" w:hAnsi="Verdana" w:cs="Arial"/>
        </w:rPr>
        <w:t>2019, e data limite de 20</w:t>
      </w:r>
      <w:r>
        <w:rPr>
          <w:rFonts w:ascii="Verdana" w:hAnsi="Verdana" w:cs="Arial"/>
          <w:lang w:val="pt-BR"/>
        </w:rPr>
        <w:t xml:space="preserve"> de fevereiro </w:t>
      </w:r>
      <w:r>
        <w:rPr>
          <w:rFonts w:ascii="Verdana" w:hAnsi="Verdana" w:cs="Arial"/>
        </w:rPr>
        <w:t xml:space="preserve">2019, sem garantias. </w:t>
      </w:r>
    </w:p>
    <w:p>
      <w:pPr>
        <w:spacing w:after="240" w:line="300" w:lineRule="exact"/>
        <w:rPr>
          <w:rFonts w:ascii="Verdana" w:hAnsi="Verdana" w:cs="Arial"/>
          <w:lang w:val="pt-BR"/>
        </w:rPr>
      </w:pPr>
      <w:r>
        <w:rPr>
          <w:rFonts w:ascii="Verdana" w:hAnsi="Verdana" w:cs="Arial"/>
          <w:lang w:val="pt-BR"/>
        </w:rPr>
        <w:t xml:space="preserve">Não obstante, o Itaú BBA poderá no futuro manter relacionamento comercial com a Emissora, oferecendo seus produtos e/ou serviços no assessoramento para realização de investimentos, fusões e aquisições, financiamento e/ou em quaisquer outras operações de banco de investimento, podendo a Emissora vir a contratar com o Itaú BBA ou qualquer outra sociedade de seu conglomerado econômico tais produtos e/ou serviços de banco de investimento necessárias à condução das atividades da Emissora, observados os requisitos legais e regulamentares aplicáveis no que concerne a contratação da Emissora. </w:t>
      </w:r>
    </w:p>
    <w:p>
      <w:pPr>
        <w:spacing w:after="240" w:line="300" w:lineRule="exact"/>
        <w:rPr>
          <w:rFonts w:ascii="Verdana" w:hAnsi="Verdana" w:cs="Arial"/>
          <w:lang w:val="pt-BR"/>
        </w:rPr>
      </w:pPr>
      <w:r>
        <w:rPr>
          <w:rFonts w:ascii="Verdana" w:hAnsi="Verdana" w:cs="Arial"/>
          <w:lang w:val="pt-BR"/>
        </w:rPr>
        <w:t>O Itaú BBA e/ou sociedades do seu grupo econômico podem possuir outros títulos e valores mobiliários de emissão da Emissora, diretamente ou em fundos de investimento administrados e/ou geridos por tais sociedades, adquiridos ou subscritos e integralizados em operações regulares a preços e condições de mercado. Todavia, a participação do Itaú BBA e/ou das sociedades integrantes do seu grupo econômico em valores mobiliários da Emissora não atinge, e não atingiu nos últimos 12 meses 5% do capital social da Emissora</w:t>
      </w:r>
    </w:p>
    <w:p>
      <w:pPr>
        <w:pStyle w:val="HOMEBRBodyText"/>
        <w:spacing w:line="300" w:lineRule="exact"/>
        <w:rPr>
          <w:rFonts w:ascii="Verdana" w:hAnsi="Verdana" w:cs="Arial"/>
        </w:rPr>
      </w:pPr>
      <w:r>
        <w:rPr>
          <w:rFonts w:ascii="Verdana" w:hAnsi="Verdana" w:cs="Arial"/>
        </w:rPr>
        <w:t xml:space="preserve">Exceto pela remuneração a ser paga em decorrência da Oferta, conforme previsto na seção "Informações relativas a Oferta — Custos Estimados de Distribuição – Comissionamento dos Coordenadores", na página 77 deste Prospecto, não há qualquer remuneração a ser paga pela Companhia ao Itaú BBA. </w:t>
      </w:r>
    </w:p>
    <w:p>
      <w:pPr>
        <w:spacing w:after="240" w:line="300" w:lineRule="exact"/>
        <w:rPr>
          <w:rFonts w:ascii="Verdana" w:hAnsi="Verdana" w:cs="Arial"/>
          <w:lang w:val="pt-BR"/>
        </w:rPr>
      </w:pPr>
      <w:r>
        <w:rPr>
          <w:rFonts w:ascii="Verdana" w:hAnsi="Verdana" w:cs="Arial"/>
          <w:lang w:val="pt-BR"/>
        </w:rPr>
        <w:t xml:space="preserve">A Companhia declara que não há qualquer conflito de interesse referente à atuação do Itaú BBA como instituição intermediária da Oferta. Ainda, a Companhia declara que, além das informações prestadas acima, não há qualquer outro relacionamento relevante entre a Companhia e o Itaú BBA e/ou qualquer sociedade de seu grupo econômico. </w:t>
      </w:r>
    </w:p>
    <w:bookmarkEnd w:id="358"/>
    <w:bookmarkEnd w:id="359"/>
    <w:p>
      <w:pPr>
        <w:pStyle w:val="HOMEBRNOTOCH3"/>
        <w:spacing w:after="120" w:line="300" w:lineRule="exact"/>
        <w:outlineLvl w:val="0"/>
        <w:rPr>
          <w:rFonts w:ascii="Verdana" w:hAnsi="Verdana" w:cs="Arial"/>
          <w:lang w:val="pt-BR"/>
        </w:rPr>
      </w:pPr>
      <w:r>
        <w:rPr>
          <w:rFonts w:ascii="Verdana" w:hAnsi="Verdana" w:cs="Arial"/>
          <w:lang w:val="pt-BR"/>
        </w:rPr>
        <w:t>Relacionamento entre a Emissora e o Bradesco BBI [</w:t>
      </w:r>
      <w:r>
        <w:rPr>
          <w:rFonts w:ascii="Verdana" w:hAnsi="Verdana" w:cs="Arial"/>
          <w:highlight w:val="yellow"/>
          <w:lang w:val="pt-BR"/>
        </w:rPr>
        <w:t xml:space="preserve">NOTA PNA: </w:t>
      </w:r>
      <w:r>
        <w:rPr>
          <w:rFonts w:ascii="Verdana" w:hAnsi="Verdana" w:cs="Arial"/>
          <w:b w:val="0"/>
          <w:highlight w:val="yellow"/>
          <w:lang w:val="pt-BR"/>
        </w:rPr>
        <w:t>Bradesco BBI, Favor confirmar se há atualizações</w:t>
      </w:r>
      <w:r>
        <w:rPr>
          <w:rFonts w:ascii="Verdana" w:hAnsi="Verdana" w:cs="Arial"/>
          <w:lang w:val="pt-BR"/>
        </w:rPr>
        <w:t>]</w:t>
      </w:r>
    </w:p>
    <w:p>
      <w:pPr>
        <w:pStyle w:val="HOMEBRBodyText"/>
        <w:spacing w:line="300" w:lineRule="exact"/>
        <w:rPr>
          <w:rFonts w:ascii="Verdana" w:hAnsi="Verdana" w:cs="Arial"/>
        </w:rPr>
      </w:pPr>
      <w:r>
        <w:rPr>
          <w:rFonts w:ascii="Verdana" w:hAnsi="Verdana" w:cs="Arial"/>
        </w:rPr>
        <w:t>Na presente data, não há qualquer relacionamento comercial entre o Bradesco BBI e a Emissora que possa configurar conflito de interesses ou que seja relevante no âmbito da Oferta.</w:t>
      </w:r>
    </w:p>
    <w:p>
      <w:pPr>
        <w:pStyle w:val="HOMEBRBodyText"/>
        <w:spacing w:line="300" w:lineRule="exact"/>
        <w:rPr>
          <w:rFonts w:ascii="Verdana" w:hAnsi="Verdana" w:cs="Arial"/>
        </w:rPr>
      </w:pPr>
      <w:r>
        <w:rPr>
          <w:rFonts w:ascii="Verdana" w:hAnsi="Verdana" w:cs="Arial"/>
        </w:rPr>
        <w:lastRenderedPageBreak/>
        <w:t xml:space="preserve">O Bradesco BBI e/ou sociedades do seu grupo econômico podem possuir outros títulos e valores mobiliários de emissão da Companhia, diretamente ou em fundos de investimento administrados e/ou geridos por tais sociedades, adquiridos ou subscritos e integralizados em operações regulares a preços e condições de mercado. Todavia, a participação do Bradesco BBI e/ou das sociedades integrantes do seu grupo econômico em valores mobiliários da Companhia não atinge, e não atingiu nos últimos 12 meses, 5% do capital social da Companhia. </w:t>
      </w:r>
    </w:p>
    <w:p>
      <w:pPr>
        <w:pStyle w:val="HOMEBRBodyText"/>
        <w:spacing w:after="120" w:line="300" w:lineRule="exact"/>
        <w:rPr>
          <w:rFonts w:ascii="Verdana" w:hAnsi="Verdana" w:cs="Arial"/>
        </w:rPr>
      </w:pPr>
      <w:r>
        <w:rPr>
          <w:rFonts w:ascii="Verdana" w:hAnsi="Verdana" w:cs="Arial"/>
        </w:rPr>
        <w:t xml:space="preserve">Na data deste Prospecto, o Bradesco BBI e seu respectivo conglomerado econômico são credores da Companhia e de suas controladas nas seguintes operações financeiras: </w:t>
      </w:r>
    </w:p>
    <w:p>
      <w:pPr>
        <w:spacing w:after="240" w:line="300" w:lineRule="exact"/>
        <w:rPr>
          <w:rFonts w:ascii="Verdana" w:hAnsi="Verdana" w:cs="Arial"/>
          <w:b/>
          <w:lang w:val="pt-BR"/>
        </w:rPr>
      </w:pPr>
      <w:r>
        <w:rPr>
          <w:rFonts w:ascii="Verdana" w:hAnsi="Verdana" w:cs="Arial"/>
          <w:b/>
          <w:lang w:val="pt-BR"/>
        </w:rPr>
        <w:t>RUMO S.A</w:t>
      </w:r>
    </w:p>
    <w:p>
      <w:pPr>
        <w:pStyle w:val="HOMEBRBodyText"/>
        <w:spacing w:after="240" w:line="300" w:lineRule="exact"/>
        <w:rPr>
          <w:rFonts w:ascii="Verdana" w:hAnsi="Verdana" w:cs="Arial"/>
          <w:b/>
        </w:rPr>
      </w:pPr>
      <w:r>
        <w:rPr>
          <w:rFonts w:ascii="Verdana" w:hAnsi="Verdana" w:cs="Arial"/>
          <w:b/>
        </w:rPr>
        <w:t>Fiança por prazo indeterminado:</w:t>
      </w:r>
    </w:p>
    <w:p>
      <w:pPr>
        <w:pStyle w:val="HOMEBRBodyText"/>
        <w:spacing w:after="240" w:line="300" w:lineRule="exact"/>
        <w:ind w:left="284"/>
        <w:rPr>
          <w:rFonts w:ascii="Verdana" w:hAnsi="Verdana" w:cs="Arial"/>
        </w:rPr>
      </w:pPr>
      <w:r>
        <w:rPr>
          <w:rFonts w:ascii="Verdana" w:hAnsi="Verdana" w:cs="Arial"/>
        </w:rPr>
        <w:t xml:space="preserve">•    Data de Início: 25 de março de 2014 </w:t>
      </w:r>
    </w:p>
    <w:p>
      <w:pPr>
        <w:pStyle w:val="HOMEBRBodyText"/>
        <w:spacing w:after="240" w:line="300" w:lineRule="exact"/>
        <w:ind w:left="284"/>
        <w:rPr>
          <w:rFonts w:ascii="Verdana" w:hAnsi="Verdana" w:cs="Arial"/>
        </w:rPr>
      </w:pPr>
      <w:r>
        <w:rPr>
          <w:rFonts w:ascii="Verdana" w:hAnsi="Verdana" w:cs="Arial"/>
        </w:rPr>
        <w:t>•    Prazo dos contratos: Indeterminado</w:t>
      </w:r>
    </w:p>
    <w:p>
      <w:pPr>
        <w:pStyle w:val="HOMEBRBodyText"/>
        <w:spacing w:after="240" w:line="300" w:lineRule="exact"/>
        <w:ind w:left="284"/>
        <w:rPr>
          <w:rFonts w:ascii="Verdana" w:hAnsi="Verdana" w:cs="Arial"/>
        </w:rPr>
      </w:pPr>
      <w:r>
        <w:rPr>
          <w:rFonts w:ascii="Verdana" w:hAnsi="Verdana" w:cs="Arial"/>
        </w:rPr>
        <w:t>•    Saldo total em aberto em 30 de janeiro de 2019: R$ 1.112.967,00</w:t>
      </w:r>
    </w:p>
    <w:p>
      <w:pPr>
        <w:pStyle w:val="HOMEBRBodyText"/>
        <w:spacing w:after="240" w:line="300" w:lineRule="exact"/>
        <w:ind w:left="284"/>
        <w:rPr>
          <w:rFonts w:ascii="Verdana" w:hAnsi="Verdana" w:cs="Arial"/>
        </w:rPr>
      </w:pPr>
      <w:r>
        <w:rPr>
          <w:rFonts w:ascii="Verdana" w:hAnsi="Verdana" w:cs="Arial"/>
        </w:rPr>
        <w:t>•    Garantia: nota promissória</w:t>
      </w:r>
    </w:p>
    <w:p>
      <w:pPr>
        <w:pStyle w:val="HOMEBRBodyText"/>
        <w:spacing w:after="240" w:line="300" w:lineRule="exact"/>
        <w:rPr>
          <w:rFonts w:ascii="Verdana" w:hAnsi="Verdana" w:cs="Arial"/>
          <w:b/>
        </w:rPr>
      </w:pPr>
      <w:r>
        <w:rPr>
          <w:rFonts w:ascii="Verdana" w:hAnsi="Verdana" w:cs="Arial"/>
          <w:b/>
        </w:rPr>
        <w:t>Fianças por prazos determinados:</w:t>
      </w:r>
    </w:p>
    <w:p>
      <w:pPr>
        <w:pStyle w:val="HOMEBRBodyText"/>
        <w:spacing w:after="240" w:line="300" w:lineRule="exact"/>
        <w:ind w:left="142"/>
        <w:rPr>
          <w:rFonts w:ascii="Verdana" w:hAnsi="Verdana" w:cs="Arial"/>
        </w:rPr>
      </w:pPr>
      <w:r>
        <w:rPr>
          <w:rFonts w:ascii="Verdana" w:hAnsi="Verdana" w:cs="Arial"/>
        </w:rPr>
        <w:t>•    Data de Início: 1º de outubro de 2014 a 7 de fevereiro de 2018</w:t>
      </w:r>
    </w:p>
    <w:p>
      <w:pPr>
        <w:pStyle w:val="HOMEBRBodyText"/>
        <w:spacing w:after="240" w:line="300" w:lineRule="exact"/>
        <w:ind w:left="142"/>
        <w:rPr>
          <w:rFonts w:ascii="Verdana" w:hAnsi="Verdana" w:cs="Arial"/>
        </w:rPr>
      </w:pPr>
      <w:r>
        <w:rPr>
          <w:rFonts w:ascii="Verdana" w:hAnsi="Verdana" w:cs="Arial"/>
        </w:rPr>
        <w:t>•    Data de Vencimento: 6 de janeiro de 2019 a 2 de maio de 2020</w:t>
      </w:r>
    </w:p>
    <w:p>
      <w:pPr>
        <w:pStyle w:val="HOMEBRBodyText"/>
        <w:spacing w:after="240" w:line="300" w:lineRule="exact"/>
        <w:ind w:left="142"/>
        <w:rPr>
          <w:rFonts w:ascii="Verdana" w:hAnsi="Verdana" w:cs="Arial"/>
        </w:rPr>
      </w:pPr>
      <w:r>
        <w:rPr>
          <w:rFonts w:ascii="Verdana" w:hAnsi="Verdana" w:cs="Arial"/>
        </w:rPr>
        <w:t>•    Saldo Total em aberto em 30 de janeiro de 2019: R$ 472.732.841,00</w:t>
      </w:r>
    </w:p>
    <w:p>
      <w:pPr>
        <w:pStyle w:val="HOMEBRBodyText"/>
        <w:spacing w:after="240" w:line="300" w:lineRule="exact"/>
        <w:ind w:left="142"/>
        <w:rPr>
          <w:rFonts w:ascii="Verdana" w:hAnsi="Verdana" w:cs="Arial"/>
        </w:rPr>
      </w:pPr>
      <w:r>
        <w:rPr>
          <w:rFonts w:ascii="Verdana" w:hAnsi="Verdana" w:cs="Arial"/>
        </w:rPr>
        <w:t>•    Garantia: nota promissória</w:t>
      </w:r>
    </w:p>
    <w:p>
      <w:pPr>
        <w:tabs>
          <w:tab w:val="left" w:pos="1134"/>
        </w:tabs>
        <w:spacing w:after="240" w:line="300" w:lineRule="exact"/>
        <w:rPr>
          <w:rFonts w:ascii="Verdana" w:eastAsia="Calibri" w:hAnsi="Verdana" w:cs="Arial"/>
          <w:b/>
          <w:i/>
          <w:lang w:val="pt-BR"/>
        </w:rPr>
      </w:pPr>
      <w:r>
        <w:rPr>
          <w:rFonts w:ascii="Verdana" w:eastAsia="Calibri" w:hAnsi="Verdana" w:cs="Arial"/>
          <w:b/>
          <w:i/>
          <w:lang w:val="pt-BR"/>
        </w:rPr>
        <w:t xml:space="preserve">Rumo Malha Norte </w:t>
      </w:r>
    </w:p>
    <w:p>
      <w:pPr>
        <w:spacing w:after="240" w:line="300" w:lineRule="exact"/>
        <w:rPr>
          <w:rFonts w:ascii="Verdana" w:hAnsi="Verdana" w:cs="Arial"/>
          <w:b/>
          <w:lang w:val="pt-BR"/>
        </w:rPr>
      </w:pPr>
      <w:r>
        <w:rPr>
          <w:rFonts w:ascii="Verdana" w:hAnsi="Verdana" w:cs="Arial"/>
          <w:b/>
          <w:lang w:val="pt-BR"/>
        </w:rPr>
        <w:t>Fiança prazo indeterminado</w:t>
      </w:r>
    </w:p>
    <w:p>
      <w:pPr>
        <w:tabs>
          <w:tab w:val="left" w:pos="567"/>
        </w:tabs>
        <w:spacing w:after="240" w:line="300" w:lineRule="exact"/>
        <w:ind w:left="567" w:hanging="567"/>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 xml:space="preserve">Data de Início: 05/07/2018 </w:t>
      </w:r>
    </w:p>
    <w:p>
      <w:pPr>
        <w:tabs>
          <w:tab w:val="left" w:pos="567"/>
        </w:tabs>
        <w:spacing w:after="240" w:line="300" w:lineRule="exact"/>
        <w:ind w:left="567" w:hanging="567"/>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Prazo dos contratos: Indeterminado</w:t>
      </w:r>
    </w:p>
    <w:p>
      <w:pPr>
        <w:tabs>
          <w:tab w:val="left" w:pos="567"/>
        </w:tabs>
        <w:spacing w:after="240" w:line="300" w:lineRule="exact"/>
        <w:ind w:left="567" w:hanging="567"/>
        <w:rPr>
          <w:rFonts w:ascii="Verdana" w:hAnsi="Verdana" w:cs="Arial"/>
          <w:lang w:val="pt-BR"/>
        </w:rPr>
      </w:pPr>
      <w:r>
        <w:rPr>
          <w:rFonts w:ascii="Verdana" w:eastAsia="Calibri" w:hAnsi="Verdana" w:cs="Arial"/>
          <w:lang w:val="pt-BR"/>
        </w:rPr>
        <w:t>•</w:t>
      </w:r>
      <w:r>
        <w:rPr>
          <w:rFonts w:ascii="Verdana" w:eastAsia="Calibri" w:hAnsi="Verdana" w:cs="Arial"/>
          <w:lang w:val="pt-BR"/>
        </w:rPr>
        <w:tab/>
        <w:t>Saldo Total em aberto em 30/01/2019</w:t>
      </w:r>
      <w:r>
        <w:rPr>
          <w:rFonts w:ascii="Verdana" w:hAnsi="Verdana" w:cs="Arial"/>
          <w:lang w:val="pt-BR"/>
        </w:rPr>
        <w:t>: R$ 5.271.274,42</w:t>
      </w:r>
    </w:p>
    <w:p>
      <w:pPr>
        <w:tabs>
          <w:tab w:val="left" w:pos="567"/>
        </w:tabs>
        <w:spacing w:after="240" w:line="300" w:lineRule="exact"/>
        <w:ind w:left="567" w:hanging="567"/>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 xml:space="preserve">Garantia: Nota Promissória com aval da Rumo S.A </w:t>
      </w:r>
    </w:p>
    <w:p>
      <w:pPr>
        <w:spacing w:after="240" w:line="300" w:lineRule="exact"/>
        <w:rPr>
          <w:rFonts w:ascii="Verdana" w:hAnsi="Verdana" w:cs="Arial"/>
          <w:b/>
          <w:lang w:val="pt-BR"/>
        </w:rPr>
      </w:pPr>
      <w:r>
        <w:rPr>
          <w:rFonts w:ascii="Verdana" w:hAnsi="Verdana" w:cs="Arial"/>
          <w:b/>
          <w:lang w:val="pt-BR"/>
        </w:rPr>
        <w:t>Fiança prazos determinado</w:t>
      </w:r>
    </w:p>
    <w:p>
      <w:pPr>
        <w:tabs>
          <w:tab w:val="left" w:pos="993"/>
        </w:tabs>
        <w:spacing w:after="240" w:line="300" w:lineRule="exact"/>
        <w:ind w:left="567" w:hanging="567"/>
        <w:rPr>
          <w:rFonts w:ascii="Verdana" w:eastAsia="Calibri" w:hAnsi="Verdana" w:cs="Arial"/>
          <w:lang w:val="pt-BR"/>
        </w:rPr>
      </w:pPr>
      <w:r>
        <w:rPr>
          <w:rFonts w:ascii="Verdana" w:eastAsia="Calibri" w:hAnsi="Verdana" w:cs="Arial"/>
          <w:lang w:val="pt-BR"/>
        </w:rPr>
        <w:lastRenderedPageBreak/>
        <w:t>•</w:t>
      </w:r>
      <w:r>
        <w:rPr>
          <w:rFonts w:ascii="Verdana" w:eastAsia="Calibri" w:hAnsi="Verdana" w:cs="Arial"/>
          <w:lang w:val="pt-BR"/>
        </w:rPr>
        <w:tab/>
        <w:t>Data de Início: 23/03/2018</w:t>
      </w:r>
    </w:p>
    <w:p>
      <w:pPr>
        <w:tabs>
          <w:tab w:val="left" w:pos="993"/>
        </w:tabs>
        <w:spacing w:after="240" w:line="300" w:lineRule="exact"/>
        <w:ind w:left="567" w:hanging="567"/>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Data de Vencimento: 29/07/2020</w:t>
      </w:r>
    </w:p>
    <w:p>
      <w:pPr>
        <w:tabs>
          <w:tab w:val="left" w:pos="993"/>
        </w:tabs>
        <w:spacing w:after="240" w:line="300" w:lineRule="exact"/>
        <w:ind w:left="567" w:hanging="567"/>
        <w:rPr>
          <w:rFonts w:ascii="Verdana" w:hAnsi="Verdana" w:cs="Arial"/>
          <w:color w:val="000000"/>
          <w:lang w:val="pt-BR"/>
        </w:rPr>
      </w:pPr>
      <w:r>
        <w:rPr>
          <w:rFonts w:ascii="Verdana" w:eastAsia="Calibri" w:hAnsi="Verdana" w:cs="Arial"/>
          <w:lang w:val="pt-BR"/>
        </w:rPr>
        <w:t>•</w:t>
      </w:r>
      <w:r>
        <w:rPr>
          <w:rFonts w:ascii="Verdana" w:eastAsia="Calibri" w:hAnsi="Verdana" w:cs="Arial"/>
          <w:lang w:val="pt-BR"/>
        </w:rPr>
        <w:tab/>
        <w:t>Saldo Total em aberto em 30/01/2019</w:t>
      </w:r>
      <w:r>
        <w:rPr>
          <w:rFonts w:ascii="Verdana" w:hAnsi="Verdana" w:cs="Arial"/>
          <w:lang w:val="pt-BR"/>
        </w:rPr>
        <w:t>: R$ 127.800.695,08</w:t>
      </w:r>
    </w:p>
    <w:p>
      <w:pPr>
        <w:tabs>
          <w:tab w:val="left" w:pos="993"/>
        </w:tabs>
        <w:spacing w:after="240" w:line="300" w:lineRule="exact"/>
        <w:ind w:left="567" w:hanging="567"/>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Garantia: Nota Promissória com aval da Rumo S.A</w:t>
      </w:r>
    </w:p>
    <w:p>
      <w:pPr>
        <w:tabs>
          <w:tab w:val="left" w:pos="567"/>
        </w:tabs>
        <w:spacing w:after="240" w:line="300" w:lineRule="exact"/>
        <w:ind w:left="567" w:hanging="567"/>
        <w:rPr>
          <w:rFonts w:ascii="Verdana" w:eastAsia="Calibri" w:hAnsi="Verdana" w:cs="Arial"/>
          <w:b/>
          <w:lang w:val="pt-BR"/>
        </w:rPr>
      </w:pPr>
      <w:r>
        <w:rPr>
          <w:rFonts w:ascii="Verdana" w:eastAsia="Calibri" w:hAnsi="Verdana" w:cs="Arial"/>
          <w:b/>
          <w:lang w:val="pt-BR"/>
        </w:rPr>
        <w:t xml:space="preserve">Nota de Crédito de Exportação  </w:t>
      </w:r>
    </w:p>
    <w:p>
      <w:pPr>
        <w:tabs>
          <w:tab w:val="left" w:pos="567"/>
        </w:tabs>
        <w:spacing w:after="240" w:line="300" w:lineRule="exact"/>
        <w:ind w:left="567" w:hanging="567"/>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Data de Início: 26/01/2018</w:t>
      </w:r>
    </w:p>
    <w:p>
      <w:pPr>
        <w:tabs>
          <w:tab w:val="left" w:pos="567"/>
        </w:tabs>
        <w:spacing w:after="240" w:line="300" w:lineRule="exact"/>
        <w:ind w:left="567" w:hanging="567"/>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Data de Vencimento: 26/12/2023</w:t>
      </w:r>
    </w:p>
    <w:p>
      <w:pPr>
        <w:tabs>
          <w:tab w:val="left" w:pos="567"/>
        </w:tabs>
        <w:spacing w:after="240" w:line="300" w:lineRule="exact"/>
        <w:ind w:left="567" w:hanging="567"/>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Saldo Total em aberto em 30/01/2019: R$ 500.000.000,00</w:t>
      </w:r>
    </w:p>
    <w:p>
      <w:pPr>
        <w:tabs>
          <w:tab w:val="left" w:pos="567"/>
        </w:tabs>
        <w:spacing w:after="240" w:line="300" w:lineRule="exact"/>
        <w:ind w:left="567" w:hanging="567"/>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Garantia: Aval da Rumo S.A</w:t>
      </w:r>
    </w:p>
    <w:p>
      <w:pPr>
        <w:tabs>
          <w:tab w:val="left" w:pos="567"/>
        </w:tabs>
        <w:spacing w:after="240" w:line="300" w:lineRule="exact"/>
        <w:ind w:left="567" w:hanging="567"/>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Taxa: 126% CDI</w:t>
      </w:r>
    </w:p>
    <w:p>
      <w:pPr>
        <w:spacing w:after="240" w:line="300" w:lineRule="exact"/>
        <w:contextualSpacing/>
        <w:rPr>
          <w:rFonts w:ascii="Verdana" w:hAnsi="Verdana" w:cs="Arial"/>
          <w:lang w:val="pt-BR"/>
        </w:rPr>
      </w:pPr>
      <w:r>
        <w:rPr>
          <w:rFonts w:ascii="Verdana" w:hAnsi="Verdana" w:cs="Arial"/>
          <w:b/>
          <w:lang w:val="pt-BR"/>
        </w:rPr>
        <w:t>Operação BNDES-FINAME</w:t>
      </w:r>
    </w:p>
    <w:p>
      <w:pPr>
        <w:pStyle w:val="PargrafodaLista"/>
        <w:numPr>
          <w:ilvl w:val="0"/>
          <w:numId w:val="30"/>
        </w:numPr>
        <w:spacing w:after="240" w:line="300" w:lineRule="exact"/>
        <w:ind w:left="567" w:hanging="567"/>
        <w:contextualSpacing w:val="0"/>
        <w:jc w:val="left"/>
        <w:rPr>
          <w:rFonts w:ascii="Verdana" w:hAnsi="Verdana" w:cs="Arial"/>
        </w:rPr>
      </w:pPr>
      <w:r>
        <w:rPr>
          <w:rFonts w:ascii="Verdana" w:hAnsi="Verdana" w:cs="Arial"/>
        </w:rPr>
        <w:t>Data de Início: entre 10/07/2013 à 14/10/2014</w:t>
      </w:r>
    </w:p>
    <w:p>
      <w:pPr>
        <w:pStyle w:val="PargrafodaLista"/>
        <w:numPr>
          <w:ilvl w:val="0"/>
          <w:numId w:val="30"/>
        </w:numPr>
        <w:spacing w:after="240" w:line="300" w:lineRule="exact"/>
        <w:ind w:left="567" w:hanging="567"/>
        <w:contextualSpacing w:val="0"/>
        <w:jc w:val="left"/>
        <w:rPr>
          <w:rFonts w:ascii="Verdana" w:hAnsi="Verdana" w:cs="Arial"/>
        </w:rPr>
      </w:pPr>
      <w:r>
        <w:rPr>
          <w:rFonts w:ascii="Verdana" w:hAnsi="Verdana" w:cs="Arial"/>
        </w:rPr>
        <w:t>Data de Vencimento: 15/01/2023</w:t>
      </w:r>
    </w:p>
    <w:p>
      <w:pPr>
        <w:pStyle w:val="PargrafodaLista"/>
        <w:numPr>
          <w:ilvl w:val="0"/>
          <w:numId w:val="30"/>
        </w:numPr>
        <w:spacing w:after="240" w:line="300" w:lineRule="exact"/>
        <w:ind w:left="567" w:hanging="567"/>
        <w:contextualSpacing w:val="0"/>
        <w:jc w:val="left"/>
        <w:rPr>
          <w:rFonts w:ascii="Verdana" w:hAnsi="Verdana" w:cs="Arial"/>
          <w:color w:val="000000"/>
        </w:rPr>
      </w:pPr>
      <w:r>
        <w:rPr>
          <w:rFonts w:ascii="Verdana" w:hAnsi="Verdana" w:cs="Arial"/>
        </w:rPr>
        <w:t>Saldo Total em aberto em 30/01/2019:  R$ 21.757.559,00</w:t>
      </w:r>
    </w:p>
    <w:p>
      <w:pPr>
        <w:pStyle w:val="PargrafodaLista"/>
        <w:numPr>
          <w:ilvl w:val="0"/>
          <w:numId w:val="30"/>
        </w:numPr>
        <w:spacing w:after="240" w:line="300" w:lineRule="exact"/>
        <w:ind w:left="567" w:hanging="567"/>
        <w:contextualSpacing w:val="0"/>
        <w:jc w:val="left"/>
        <w:rPr>
          <w:rFonts w:ascii="Verdana" w:hAnsi="Verdana" w:cs="Arial"/>
          <w:color w:val="000000"/>
        </w:rPr>
      </w:pPr>
      <w:r>
        <w:rPr>
          <w:rFonts w:ascii="Verdana" w:hAnsi="Verdana" w:cs="Arial"/>
        </w:rPr>
        <w:t xml:space="preserve">Garantia: Real – próprio bem financiado. </w:t>
      </w:r>
    </w:p>
    <w:p>
      <w:pPr>
        <w:spacing w:after="240" w:line="300" w:lineRule="exact"/>
        <w:rPr>
          <w:rFonts w:ascii="Verdana" w:hAnsi="Verdana" w:cs="Arial"/>
          <w:b/>
          <w:highlight w:val="yellow"/>
        </w:rPr>
      </w:pPr>
      <w:r>
        <w:rPr>
          <w:rFonts w:ascii="Verdana" w:hAnsi="Verdana" w:cs="Arial"/>
          <w:b/>
        </w:rPr>
        <w:t>Derivativos</w:t>
      </w:r>
    </w:p>
    <w:p>
      <w:pPr>
        <w:pStyle w:val="PargrafodaLista"/>
        <w:numPr>
          <w:ilvl w:val="0"/>
          <w:numId w:val="30"/>
        </w:numPr>
        <w:spacing w:after="240" w:line="300" w:lineRule="exact"/>
        <w:ind w:left="567" w:hanging="567"/>
        <w:contextualSpacing w:val="0"/>
        <w:jc w:val="left"/>
        <w:rPr>
          <w:rFonts w:ascii="Verdana" w:hAnsi="Verdana" w:cs="Arial"/>
        </w:rPr>
      </w:pPr>
      <w:r>
        <w:rPr>
          <w:rFonts w:ascii="Verdana" w:hAnsi="Verdana" w:cs="Arial"/>
        </w:rPr>
        <w:t>Data de Início: entre 01/06/2017</w:t>
      </w:r>
    </w:p>
    <w:p>
      <w:pPr>
        <w:pStyle w:val="PargrafodaLista"/>
        <w:numPr>
          <w:ilvl w:val="0"/>
          <w:numId w:val="30"/>
        </w:numPr>
        <w:spacing w:after="240" w:line="300" w:lineRule="exact"/>
        <w:ind w:left="567" w:hanging="567"/>
        <w:contextualSpacing w:val="0"/>
        <w:jc w:val="left"/>
        <w:rPr>
          <w:rFonts w:ascii="Verdana" w:hAnsi="Verdana" w:cs="Arial"/>
        </w:rPr>
      </w:pPr>
      <w:r>
        <w:rPr>
          <w:rFonts w:ascii="Verdana" w:hAnsi="Verdana" w:cs="Arial"/>
        </w:rPr>
        <w:t>Data de Vencimento: 08/02/2024</w:t>
      </w:r>
    </w:p>
    <w:p>
      <w:pPr>
        <w:pStyle w:val="PargrafodaLista"/>
        <w:numPr>
          <w:ilvl w:val="0"/>
          <w:numId w:val="30"/>
        </w:numPr>
        <w:spacing w:after="240" w:line="300" w:lineRule="exact"/>
        <w:ind w:left="567" w:hanging="567"/>
        <w:contextualSpacing w:val="0"/>
        <w:jc w:val="left"/>
        <w:rPr>
          <w:rFonts w:ascii="Verdana" w:hAnsi="Verdana" w:cs="Arial"/>
          <w:color w:val="000000"/>
        </w:rPr>
      </w:pPr>
      <w:r>
        <w:rPr>
          <w:rFonts w:ascii="Verdana" w:hAnsi="Verdana" w:cs="Arial"/>
        </w:rPr>
        <w:t>Saldo Total em aberto em 07/02/2019:  US$ 100.116.071,16</w:t>
      </w:r>
    </w:p>
    <w:p>
      <w:pPr>
        <w:pStyle w:val="PargrafodaLista"/>
        <w:numPr>
          <w:ilvl w:val="0"/>
          <w:numId w:val="30"/>
        </w:numPr>
        <w:spacing w:after="240" w:line="300" w:lineRule="exact"/>
        <w:ind w:left="567" w:hanging="567"/>
        <w:contextualSpacing w:val="0"/>
        <w:jc w:val="left"/>
        <w:rPr>
          <w:rFonts w:ascii="Verdana" w:hAnsi="Verdana" w:cs="Arial"/>
          <w:color w:val="000000"/>
        </w:rPr>
      </w:pPr>
      <w:r>
        <w:rPr>
          <w:rFonts w:ascii="Verdana" w:hAnsi="Verdana" w:cs="Arial"/>
        </w:rPr>
        <w:t>Garantia: sem garantia</w:t>
      </w:r>
    </w:p>
    <w:p>
      <w:pPr>
        <w:spacing w:after="0" w:line="300" w:lineRule="exact"/>
        <w:jc w:val="left"/>
        <w:rPr>
          <w:rFonts w:ascii="Verdana" w:hAnsi="Verdana" w:cs="Arial"/>
          <w:b/>
        </w:rPr>
      </w:pPr>
    </w:p>
    <w:p>
      <w:pPr>
        <w:spacing w:after="240" w:line="300" w:lineRule="exact"/>
        <w:ind w:left="567" w:hanging="567"/>
        <w:rPr>
          <w:rFonts w:ascii="Verdana" w:hAnsi="Verdana" w:cs="Arial"/>
          <w:b/>
          <w:lang w:val="pt-BR"/>
        </w:rPr>
      </w:pPr>
      <w:r>
        <w:rPr>
          <w:rFonts w:ascii="Verdana" w:hAnsi="Verdana" w:cs="Arial"/>
          <w:b/>
          <w:lang w:val="pt-BR"/>
        </w:rPr>
        <w:t xml:space="preserve">Antecipação Fornecedores  </w:t>
      </w:r>
    </w:p>
    <w:p>
      <w:pPr>
        <w:spacing w:after="240" w:line="300" w:lineRule="exact"/>
        <w:ind w:left="567" w:hanging="567"/>
        <w:rPr>
          <w:rFonts w:ascii="Verdana" w:hAnsi="Verdana" w:cs="Arial"/>
          <w:lang w:val="pt-BR"/>
        </w:rPr>
      </w:pPr>
      <w:r>
        <w:rPr>
          <w:rFonts w:ascii="Verdana" w:hAnsi="Verdana" w:cs="Arial"/>
          <w:lang w:val="pt-BR"/>
        </w:rPr>
        <w:t>•</w:t>
      </w:r>
      <w:r>
        <w:rPr>
          <w:rFonts w:ascii="Verdana" w:hAnsi="Verdana" w:cs="Arial"/>
          <w:lang w:val="pt-BR"/>
        </w:rPr>
        <w:tab/>
        <w:t>Início dos contratos: 16/11/2018 à 15/01/2019</w:t>
      </w:r>
    </w:p>
    <w:p>
      <w:pPr>
        <w:spacing w:after="240" w:line="300" w:lineRule="exact"/>
        <w:ind w:left="567" w:hanging="567"/>
        <w:rPr>
          <w:rFonts w:ascii="Verdana" w:hAnsi="Verdana" w:cs="Arial"/>
          <w:lang w:val="pt-BR"/>
        </w:rPr>
      </w:pPr>
      <w:r>
        <w:rPr>
          <w:rFonts w:ascii="Verdana" w:hAnsi="Verdana" w:cs="Arial"/>
          <w:lang w:val="pt-BR"/>
        </w:rPr>
        <w:t>•</w:t>
      </w:r>
      <w:r>
        <w:rPr>
          <w:rFonts w:ascii="Verdana" w:hAnsi="Verdana" w:cs="Arial"/>
          <w:lang w:val="pt-BR"/>
        </w:rPr>
        <w:tab/>
        <w:t>Data de Vencimento: 15/02/2019 à 15/04/2019</w:t>
      </w:r>
    </w:p>
    <w:p>
      <w:pPr>
        <w:spacing w:after="240" w:line="300" w:lineRule="exact"/>
        <w:ind w:left="567" w:hanging="567"/>
        <w:rPr>
          <w:rFonts w:ascii="Verdana" w:hAnsi="Verdana" w:cs="Arial"/>
          <w:b/>
          <w:lang w:val="pt-BR"/>
        </w:rPr>
      </w:pPr>
      <w:r>
        <w:rPr>
          <w:rFonts w:ascii="Verdana" w:hAnsi="Verdana" w:cs="Arial"/>
          <w:lang w:val="pt-BR"/>
        </w:rPr>
        <w:lastRenderedPageBreak/>
        <w:t>•</w:t>
      </w:r>
      <w:r>
        <w:rPr>
          <w:rFonts w:ascii="Verdana" w:hAnsi="Verdana" w:cs="Arial"/>
          <w:lang w:val="pt-BR"/>
        </w:rPr>
        <w:tab/>
        <w:t>Saldo Total em aberto em 07/02/2019: R$ 25.257.747,83</w:t>
      </w:r>
    </w:p>
    <w:p>
      <w:pPr>
        <w:spacing w:after="240" w:line="300" w:lineRule="exact"/>
        <w:ind w:left="567" w:hanging="567"/>
        <w:rPr>
          <w:rFonts w:ascii="Verdana" w:hAnsi="Verdana" w:cs="Arial"/>
          <w:lang w:val="pt-BR"/>
        </w:rPr>
      </w:pPr>
      <w:r>
        <w:rPr>
          <w:rFonts w:ascii="Verdana" w:hAnsi="Verdana" w:cs="Arial"/>
          <w:lang w:val="pt-BR"/>
        </w:rPr>
        <w:t>•</w:t>
      </w:r>
      <w:r>
        <w:rPr>
          <w:rFonts w:ascii="Verdana" w:hAnsi="Verdana" w:cs="Arial"/>
          <w:lang w:val="pt-BR"/>
        </w:rPr>
        <w:tab/>
        <w:t xml:space="preserve">Garantia: </w:t>
      </w:r>
      <w:r>
        <w:rPr>
          <w:rFonts w:ascii="Verdana" w:eastAsia="Calibri" w:hAnsi="Verdana" w:cs="Arial"/>
          <w:lang w:val="pt-BR"/>
        </w:rPr>
        <w:t>Nota Promissória</w:t>
      </w:r>
    </w:p>
    <w:p>
      <w:pPr>
        <w:tabs>
          <w:tab w:val="left" w:pos="1134"/>
        </w:tabs>
        <w:spacing w:after="240" w:line="300" w:lineRule="exact"/>
        <w:ind w:left="567" w:hanging="567"/>
        <w:rPr>
          <w:rFonts w:ascii="Verdana" w:eastAsia="Calibri" w:hAnsi="Verdana" w:cs="Arial"/>
          <w:b/>
          <w:lang w:val="pt-BR"/>
        </w:rPr>
      </w:pPr>
    </w:p>
    <w:p>
      <w:pPr>
        <w:tabs>
          <w:tab w:val="left" w:pos="1134"/>
        </w:tabs>
        <w:spacing w:after="240" w:line="300" w:lineRule="exact"/>
        <w:ind w:left="567" w:hanging="567"/>
        <w:rPr>
          <w:rFonts w:ascii="Verdana" w:eastAsia="Calibri" w:hAnsi="Verdana" w:cs="Arial"/>
          <w:b/>
          <w:i/>
          <w:lang w:val="pt-BR"/>
        </w:rPr>
      </w:pPr>
      <w:r>
        <w:rPr>
          <w:rFonts w:ascii="Verdana" w:eastAsia="Calibri" w:hAnsi="Verdana" w:cs="Arial"/>
          <w:b/>
          <w:i/>
          <w:lang w:val="pt-BR"/>
        </w:rPr>
        <w:t>Rumo Malha Sul</w:t>
      </w:r>
    </w:p>
    <w:p>
      <w:pPr>
        <w:spacing w:after="240" w:line="300" w:lineRule="exact"/>
        <w:ind w:left="567" w:hanging="567"/>
        <w:rPr>
          <w:rFonts w:ascii="Verdana" w:hAnsi="Verdana" w:cs="Arial"/>
          <w:b/>
          <w:lang w:val="pt-BR"/>
        </w:rPr>
      </w:pPr>
      <w:r>
        <w:rPr>
          <w:rFonts w:ascii="Verdana" w:hAnsi="Verdana" w:cs="Arial"/>
          <w:b/>
          <w:lang w:val="pt-BR"/>
        </w:rPr>
        <w:t>Fiança prazo indeterminado</w:t>
      </w:r>
    </w:p>
    <w:p>
      <w:pPr>
        <w:tabs>
          <w:tab w:val="left" w:pos="1134"/>
        </w:tabs>
        <w:spacing w:after="240" w:line="300" w:lineRule="exact"/>
        <w:ind w:left="567" w:hanging="567"/>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Data de Início: 19/07/1999 à 03/03/2015</w:t>
      </w:r>
    </w:p>
    <w:p>
      <w:pPr>
        <w:tabs>
          <w:tab w:val="left" w:pos="1134"/>
        </w:tabs>
        <w:spacing w:after="240" w:line="300" w:lineRule="exact"/>
        <w:ind w:left="567" w:hanging="567"/>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Prazo dos contratos: Indeterminado</w:t>
      </w:r>
    </w:p>
    <w:p>
      <w:pPr>
        <w:tabs>
          <w:tab w:val="left" w:pos="1134"/>
        </w:tabs>
        <w:spacing w:after="240" w:line="300" w:lineRule="exact"/>
        <w:ind w:left="567" w:hanging="567"/>
        <w:rPr>
          <w:rFonts w:ascii="Verdana" w:hAnsi="Verdana" w:cs="Arial"/>
          <w:lang w:val="pt-BR"/>
        </w:rPr>
      </w:pPr>
      <w:r>
        <w:rPr>
          <w:rFonts w:ascii="Verdana" w:eastAsia="Calibri" w:hAnsi="Verdana" w:cs="Arial"/>
          <w:lang w:val="pt-BR"/>
        </w:rPr>
        <w:t>•</w:t>
      </w:r>
      <w:r>
        <w:rPr>
          <w:rFonts w:ascii="Verdana" w:eastAsia="Calibri" w:hAnsi="Verdana" w:cs="Arial"/>
          <w:lang w:val="pt-BR"/>
        </w:rPr>
        <w:tab/>
        <w:t>Saldo Total em aberto em 07/02/2019</w:t>
      </w:r>
      <w:r>
        <w:rPr>
          <w:rFonts w:ascii="Verdana" w:hAnsi="Verdana" w:cs="Arial"/>
          <w:lang w:val="pt-BR"/>
        </w:rPr>
        <w:t>: R$ 29.976.890,00</w:t>
      </w:r>
    </w:p>
    <w:p>
      <w:pPr>
        <w:tabs>
          <w:tab w:val="left" w:pos="1134"/>
        </w:tabs>
        <w:spacing w:after="240" w:line="300" w:lineRule="exact"/>
        <w:ind w:left="567" w:hanging="567"/>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 xml:space="preserve">Garantia: Nota Promissória com aval da Rumo S.A </w:t>
      </w:r>
    </w:p>
    <w:p>
      <w:pPr>
        <w:spacing w:after="240" w:line="300" w:lineRule="exact"/>
        <w:ind w:left="567" w:hanging="567"/>
        <w:rPr>
          <w:rFonts w:ascii="Verdana" w:hAnsi="Verdana" w:cs="Arial"/>
          <w:b/>
          <w:lang w:val="pt-BR"/>
        </w:rPr>
      </w:pPr>
      <w:r>
        <w:rPr>
          <w:rFonts w:ascii="Verdana" w:hAnsi="Verdana" w:cs="Arial"/>
          <w:b/>
          <w:lang w:val="pt-BR"/>
        </w:rPr>
        <w:t>Fiança prazos determinado</w:t>
      </w:r>
    </w:p>
    <w:p>
      <w:pPr>
        <w:tabs>
          <w:tab w:val="left" w:pos="1134"/>
        </w:tabs>
        <w:spacing w:after="240" w:line="300" w:lineRule="exact"/>
        <w:ind w:left="567" w:hanging="567"/>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Data de Início: 23/03/2018 à 18/12/2018</w:t>
      </w:r>
    </w:p>
    <w:p>
      <w:pPr>
        <w:tabs>
          <w:tab w:val="left" w:pos="1134"/>
        </w:tabs>
        <w:spacing w:after="240" w:line="300" w:lineRule="exact"/>
        <w:ind w:left="567" w:hanging="567"/>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Data de Vencimento: 29/07/2020 à 18/12/2022</w:t>
      </w:r>
    </w:p>
    <w:p>
      <w:pPr>
        <w:tabs>
          <w:tab w:val="left" w:pos="1134"/>
        </w:tabs>
        <w:spacing w:after="240" w:line="300" w:lineRule="exact"/>
        <w:ind w:left="567" w:hanging="567"/>
        <w:rPr>
          <w:rFonts w:ascii="Verdana" w:hAnsi="Verdana" w:cs="Arial"/>
          <w:color w:val="000000"/>
          <w:lang w:val="pt-BR"/>
        </w:rPr>
      </w:pPr>
      <w:r>
        <w:rPr>
          <w:rFonts w:ascii="Verdana" w:eastAsia="Calibri" w:hAnsi="Verdana" w:cs="Arial"/>
          <w:lang w:val="pt-BR"/>
        </w:rPr>
        <w:t>•</w:t>
      </w:r>
      <w:r>
        <w:rPr>
          <w:rFonts w:ascii="Verdana" w:eastAsia="Calibri" w:hAnsi="Verdana" w:cs="Arial"/>
          <w:lang w:val="pt-BR"/>
        </w:rPr>
        <w:tab/>
        <w:t>Saldo Total em aberto em 07/02/2019</w:t>
      </w:r>
      <w:r>
        <w:rPr>
          <w:rFonts w:ascii="Verdana" w:hAnsi="Verdana" w:cs="Arial"/>
          <w:lang w:val="pt-BR"/>
        </w:rPr>
        <w:t>: R$ 538.211.107,00</w:t>
      </w:r>
    </w:p>
    <w:p>
      <w:pPr>
        <w:tabs>
          <w:tab w:val="left" w:pos="1134"/>
        </w:tabs>
        <w:spacing w:after="240" w:line="300" w:lineRule="exact"/>
        <w:ind w:left="567" w:hanging="567"/>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Garantia: Nota Promissória com aval da Rumo S.A</w:t>
      </w:r>
    </w:p>
    <w:p>
      <w:pPr>
        <w:tabs>
          <w:tab w:val="left" w:pos="1134"/>
        </w:tabs>
        <w:spacing w:after="240" w:line="300" w:lineRule="exact"/>
        <w:ind w:left="567" w:hanging="567"/>
        <w:rPr>
          <w:rFonts w:ascii="Verdana" w:eastAsia="Calibri" w:hAnsi="Verdana" w:cs="Arial"/>
          <w:b/>
          <w:lang w:val="pt-BR"/>
        </w:rPr>
      </w:pPr>
    </w:p>
    <w:p>
      <w:pPr>
        <w:tabs>
          <w:tab w:val="left" w:pos="1134"/>
        </w:tabs>
        <w:spacing w:after="240" w:line="300" w:lineRule="exact"/>
        <w:ind w:left="567" w:hanging="567"/>
        <w:rPr>
          <w:rFonts w:ascii="Verdana" w:eastAsia="Calibri" w:hAnsi="Verdana" w:cs="Arial"/>
          <w:b/>
          <w:lang w:val="pt-BR"/>
        </w:rPr>
      </w:pPr>
      <w:r>
        <w:rPr>
          <w:rFonts w:ascii="Verdana" w:eastAsia="Calibri" w:hAnsi="Verdana" w:cs="Arial"/>
          <w:b/>
          <w:i/>
          <w:lang w:val="pt-BR"/>
        </w:rPr>
        <w:t>Rumo Malha Paulista</w:t>
      </w:r>
      <w:r>
        <w:rPr>
          <w:rFonts w:ascii="Verdana" w:eastAsia="Calibri" w:hAnsi="Verdana" w:cs="Arial"/>
          <w:b/>
          <w:lang w:val="pt-BR"/>
        </w:rPr>
        <w:tab/>
      </w:r>
    </w:p>
    <w:p>
      <w:pPr>
        <w:spacing w:after="240" w:line="300" w:lineRule="exact"/>
        <w:ind w:left="567" w:hanging="567"/>
        <w:rPr>
          <w:rFonts w:ascii="Verdana" w:hAnsi="Verdana" w:cs="Arial"/>
          <w:b/>
          <w:lang w:val="pt-BR"/>
        </w:rPr>
      </w:pPr>
      <w:r>
        <w:rPr>
          <w:rFonts w:ascii="Verdana" w:hAnsi="Verdana" w:cs="Arial"/>
          <w:b/>
          <w:lang w:val="pt-BR"/>
        </w:rPr>
        <w:t>Fiança prazo indeterminado</w:t>
      </w:r>
    </w:p>
    <w:p>
      <w:pPr>
        <w:tabs>
          <w:tab w:val="left" w:pos="1134"/>
        </w:tabs>
        <w:spacing w:after="240" w:line="300" w:lineRule="exact"/>
        <w:ind w:left="567" w:hanging="567"/>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Data de Início: 07/01/2014 à 06/04/2015</w:t>
      </w:r>
    </w:p>
    <w:p>
      <w:pPr>
        <w:tabs>
          <w:tab w:val="left" w:pos="1134"/>
        </w:tabs>
        <w:spacing w:after="240" w:line="300" w:lineRule="exact"/>
        <w:ind w:left="567" w:hanging="567"/>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Prazo dos contratos: Indeterminado</w:t>
      </w:r>
    </w:p>
    <w:p>
      <w:pPr>
        <w:tabs>
          <w:tab w:val="left" w:pos="1134"/>
        </w:tabs>
        <w:spacing w:after="240" w:line="300" w:lineRule="exact"/>
        <w:ind w:left="567" w:hanging="567"/>
        <w:rPr>
          <w:rFonts w:ascii="Verdana" w:hAnsi="Verdana" w:cs="Arial"/>
          <w:lang w:val="pt-BR"/>
        </w:rPr>
      </w:pPr>
      <w:r>
        <w:rPr>
          <w:rFonts w:ascii="Verdana" w:eastAsia="Calibri" w:hAnsi="Verdana" w:cs="Arial"/>
          <w:lang w:val="pt-BR"/>
        </w:rPr>
        <w:t>•</w:t>
      </w:r>
      <w:r>
        <w:rPr>
          <w:rFonts w:ascii="Verdana" w:eastAsia="Calibri" w:hAnsi="Verdana" w:cs="Arial"/>
          <w:lang w:val="pt-BR"/>
        </w:rPr>
        <w:tab/>
        <w:t>Saldo Total em aberto em 07/02/2019</w:t>
      </w:r>
      <w:r>
        <w:rPr>
          <w:rFonts w:ascii="Verdana" w:hAnsi="Verdana" w:cs="Arial"/>
          <w:lang w:val="pt-BR"/>
        </w:rPr>
        <w:t>: R$ 3.349.163,00</w:t>
      </w:r>
    </w:p>
    <w:p>
      <w:pPr>
        <w:tabs>
          <w:tab w:val="left" w:pos="1134"/>
        </w:tabs>
        <w:spacing w:after="240" w:line="300" w:lineRule="exact"/>
        <w:ind w:left="567" w:hanging="567"/>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 xml:space="preserve">Garantia: Nota Promissória com aval da Rumo S.A </w:t>
      </w:r>
    </w:p>
    <w:p>
      <w:pPr>
        <w:spacing w:after="240" w:line="300" w:lineRule="exact"/>
        <w:ind w:left="567" w:hanging="567"/>
        <w:rPr>
          <w:rFonts w:ascii="Verdana" w:hAnsi="Verdana" w:cs="Arial"/>
          <w:b/>
          <w:lang w:val="pt-BR"/>
        </w:rPr>
      </w:pPr>
      <w:r>
        <w:rPr>
          <w:rFonts w:ascii="Verdana" w:hAnsi="Verdana" w:cs="Arial"/>
          <w:b/>
          <w:lang w:val="pt-BR"/>
        </w:rPr>
        <w:t>Fiança prazos determinado</w:t>
      </w:r>
    </w:p>
    <w:p>
      <w:pPr>
        <w:tabs>
          <w:tab w:val="left" w:pos="1134"/>
        </w:tabs>
        <w:spacing w:after="240" w:line="300" w:lineRule="exact"/>
        <w:ind w:left="567" w:hanging="567"/>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Data de Início: 23/03/2018</w:t>
      </w:r>
    </w:p>
    <w:p>
      <w:pPr>
        <w:tabs>
          <w:tab w:val="left" w:pos="1134"/>
        </w:tabs>
        <w:spacing w:after="240" w:line="300" w:lineRule="exact"/>
        <w:ind w:left="567" w:hanging="567"/>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Data de Vencimento: 29/07/2020</w:t>
      </w:r>
    </w:p>
    <w:p>
      <w:pPr>
        <w:tabs>
          <w:tab w:val="left" w:pos="1134"/>
        </w:tabs>
        <w:spacing w:after="240" w:line="300" w:lineRule="exact"/>
        <w:ind w:left="567" w:hanging="567"/>
        <w:rPr>
          <w:rFonts w:ascii="Verdana" w:hAnsi="Verdana" w:cs="Arial"/>
          <w:color w:val="000000"/>
          <w:lang w:val="pt-BR"/>
        </w:rPr>
      </w:pPr>
      <w:r>
        <w:rPr>
          <w:rFonts w:ascii="Verdana" w:eastAsia="Calibri" w:hAnsi="Verdana" w:cs="Arial"/>
          <w:lang w:val="pt-BR"/>
        </w:rPr>
        <w:lastRenderedPageBreak/>
        <w:t>•</w:t>
      </w:r>
      <w:r>
        <w:rPr>
          <w:rFonts w:ascii="Verdana" w:eastAsia="Calibri" w:hAnsi="Verdana" w:cs="Arial"/>
          <w:lang w:val="pt-BR"/>
        </w:rPr>
        <w:tab/>
        <w:t>Saldo Total em aberto em 07/02/2019</w:t>
      </w:r>
      <w:r>
        <w:rPr>
          <w:rFonts w:ascii="Verdana" w:hAnsi="Verdana" w:cs="Arial"/>
          <w:lang w:val="pt-BR"/>
        </w:rPr>
        <w:t>: R$ 131.631.078,00</w:t>
      </w:r>
    </w:p>
    <w:p>
      <w:pPr>
        <w:tabs>
          <w:tab w:val="left" w:pos="1134"/>
        </w:tabs>
        <w:spacing w:after="240" w:line="300" w:lineRule="exact"/>
        <w:ind w:left="567" w:hanging="567"/>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Garantia: Nota Promissória com aval da Rumo S.A</w:t>
      </w:r>
    </w:p>
    <w:p>
      <w:pPr>
        <w:spacing w:after="0" w:line="300" w:lineRule="exact"/>
        <w:jc w:val="left"/>
        <w:rPr>
          <w:rFonts w:ascii="Verdana" w:hAnsi="Verdana" w:cs="Arial"/>
          <w:b/>
          <w:lang w:val="pt-BR"/>
        </w:rPr>
      </w:pPr>
    </w:p>
    <w:p>
      <w:pPr>
        <w:spacing w:after="240" w:line="300" w:lineRule="exact"/>
        <w:ind w:left="567" w:hanging="567"/>
        <w:rPr>
          <w:rFonts w:ascii="Verdana" w:hAnsi="Verdana" w:cs="Arial"/>
          <w:b/>
          <w:lang w:val="pt-BR"/>
        </w:rPr>
      </w:pPr>
      <w:r>
        <w:rPr>
          <w:rFonts w:ascii="Verdana" w:hAnsi="Verdana" w:cs="Arial"/>
          <w:b/>
          <w:lang w:val="pt-BR"/>
        </w:rPr>
        <w:t xml:space="preserve">Antecipação Fornecedores  </w:t>
      </w:r>
    </w:p>
    <w:p>
      <w:pPr>
        <w:spacing w:after="240" w:line="300" w:lineRule="exact"/>
        <w:ind w:left="567" w:hanging="567"/>
        <w:rPr>
          <w:rFonts w:ascii="Verdana" w:hAnsi="Verdana" w:cs="Arial"/>
          <w:lang w:val="pt-BR"/>
        </w:rPr>
      </w:pPr>
      <w:r>
        <w:rPr>
          <w:rFonts w:ascii="Verdana" w:hAnsi="Verdana" w:cs="Arial"/>
          <w:lang w:val="pt-BR"/>
        </w:rPr>
        <w:t>•</w:t>
      </w:r>
      <w:r>
        <w:rPr>
          <w:rFonts w:ascii="Verdana" w:hAnsi="Verdana" w:cs="Arial"/>
          <w:lang w:val="pt-BR"/>
        </w:rPr>
        <w:tab/>
        <w:t>Início dos contratos: 16/11/2018 à 15/01/2019</w:t>
      </w:r>
    </w:p>
    <w:p>
      <w:pPr>
        <w:spacing w:after="240" w:line="300" w:lineRule="exact"/>
        <w:ind w:left="567" w:hanging="567"/>
        <w:rPr>
          <w:rFonts w:ascii="Verdana" w:hAnsi="Verdana" w:cs="Arial"/>
          <w:lang w:val="pt-BR"/>
        </w:rPr>
      </w:pPr>
      <w:r>
        <w:rPr>
          <w:rFonts w:ascii="Verdana" w:hAnsi="Verdana" w:cs="Arial"/>
          <w:lang w:val="pt-BR"/>
        </w:rPr>
        <w:t>•</w:t>
      </w:r>
      <w:r>
        <w:rPr>
          <w:rFonts w:ascii="Verdana" w:hAnsi="Verdana" w:cs="Arial"/>
          <w:lang w:val="pt-BR"/>
        </w:rPr>
        <w:tab/>
        <w:t>Data de Vencimento: 15/02/2019 à 15/04/2019</w:t>
      </w:r>
    </w:p>
    <w:p>
      <w:pPr>
        <w:spacing w:after="240" w:line="300" w:lineRule="exact"/>
        <w:ind w:left="567" w:hanging="567"/>
        <w:rPr>
          <w:rFonts w:ascii="Verdana" w:hAnsi="Verdana" w:cs="Arial"/>
          <w:b/>
          <w:lang w:val="pt-BR"/>
        </w:rPr>
      </w:pPr>
      <w:r>
        <w:rPr>
          <w:rFonts w:ascii="Verdana" w:hAnsi="Verdana" w:cs="Arial"/>
          <w:lang w:val="pt-BR"/>
        </w:rPr>
        <w:t>•</w:t>
      </w:r>
      <w:r>
        <w:rPr>
          <w:rFonts w:ascii="Verdana" w:hAnsi="Verdana" w:cs="Arial"/>
          <w:lang w:val="pt-BR"/>
        </w:rPr>
        <w:tab/>
        <w:t>Saldo Total em aberto em 07/02/2019: R$ 191.163.980,91</w:t>
      </w:r>
    </w:p>
    <w:p>
      <w:pPr>
        <w:spacing w:after="240" w:line="300" w:lineRule="exact"/>
        <w:ind w:left="567" w:hanging="567"/>
        <w:rPr>
          <w:rFonts w:ascii="Verdana" w:hAnsi="Verdana" w:cs="Arial"/>
          <w:lang w:val="pt-BR"/>
        </w:rPr>
      </w:pPr>
      <w:r>
        <w:rPr>
          <w:rFonts w:ascii="Verdana" w:hAnsi="Verdana" w:cs="Arial"/>
          <w:lang w:val="pt-BR"/>
        </w:rPr>
        <w:t>•</w:t>
      </w:r>
      <w:r>
        <w:rPr>
          <w:rFonts w:ascii="Verdana" w:hAnsi="Verdana" w:cs="Arial"/>
          <w:lang w:val="pt-BR"/>
        </w:rPr>
        <w:tab/>
        <w:t xml:space="preserve">Garantia: </w:t>
      </w:r>
      <w:r>
        <w:rPr>
          <w:rFonts w:ascii="Verdana" w:eastAsia="Calibri" w:hAnsi="Verdana" w:cs="Arial"/>
          <w:lang w:val="pt-BR"/>
        </w:rPr>
        <w:t>Nota Promissória</w:t>
      </w:r>
    </w:p>
    <w:p>
      <w:pPr>
        <w:spacing w:after="240" w:line="300" w:lineRule="exact"/>
        <w:ind w:left="567" w:hanging="567"/>
        <w:rPr>
          <w:rFonts w:ascii="Verdana" w:eastAsia="Calibri" w:hAnsi="Verdana" w:cs="Arial"/>
          <w:b/>
          <w:lang w:val="pt-BR"/>
        </w:rPr>
      </w:pPr>
    </w:p>
    <w:p>
      <w:pPr>
        <w:spacing w:after="240" w:line="300" w:lineRule="exact"/>
        <w:ind w:left="567" w:hanging="567"/>
        <w:rPr>
          <w:rFonts w:ascii="Verdana" w:eastAsia="Calibri" w:hAnsi="Verdana" w:cs="Arial"/>
          <w:b/>
          <w:i/>
          <w:lang w:val="pt-BR"/>
        </w:rPr>
      </w:pPr>
      <w:r>
        <w:rPr>
          <w:rFonts w:ascii="Verdana" w:eastAsia="Calibri" w:hAnsi="Verdana" w:cs="Arial"/>
          <w:b/>
          <w:i/>
          <w:lang w:val="pt-BR"/>
        </w:rPr>
        <w:t>Rumo Malha Oeste</w:t>
      </w:r>
    </w:p>
    <w:p>
      <w:pPr>
        <w:spacing w:after="240" w:line="300" w:lineRule="exact"/>
        <w:ind w:left="567" w:hanging="567"/>
        <w:rPr>
          <w:rFonts w:ascii="Verdana" w:hAnsi="Verdana" w:cs="Arial"/>
          <w:b/>
          <w:lang w:val="pt-BR"/>
        </w:rPr>
      </w:pPr>
      <w:r>
        <w:rPr>
          <w:rFonts w:ascii="Verdana" w:hAnsi="Verdana" w:cs="Arial"/>
          <w:b/>
          <w:lang w:val="pt-BR"/>
        </w:rPr>
        <w:t>Fiança prazo indeterminado</w:t>
      </w:r>
    </w:p>
    <w:p>
      <w:pPr>
        <w:tabs>
          <w:tab w:val="left" w:pos="1134"/>
        </w:tabs>
        <w:spacing w:after="240" w:line="300" w:lineRule="exact"/>
        <w:ind w:left="567" w:hanging="567"/>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Data de Início: 07/02/2014 à 05/02/2015</w:t>
      </w:r>
    </w:p>
    <w:p>
      <w:pPr>
        <w:tabs>
          <w:tab w:val="left" w:pos="1134"/>
        </w:tabs>
        <w:spacing w:after="240" w:line="300" w:lineRule="exact"/>
        <w:ind w:left="567" w:hanging="567"/>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Prazo dos contratos: Indeterminado</w:t>
      </w:r>
    </w:p>
    <w:p>
      <w:pPr>
        <w:tabs>
          <w:tab w:val="left" w:pos="1134"/>
        </w:tabs>
        <w:spacing w:after="240" w:line="300" w:lineRule="exact"/>
        <w:ind w:left="567" w:hanging="567"/>
        <w:rPr>
          <w:rFonts w:ascii="Verdana" w:hAnsi="Verdana" w:cs="Arial"/>
          <w:lang w:val="pt-BR"/>
        </w:rPr>
      </w:pPr>
      <w:r>
        <w:rPr>
          <w:rFonts w:ascii="Verdana" w:eastAsia="Calibri" w:hAnsi="Verdana" w:cs="Arial"/>
          <w:lang w:val="pt-BR"/>
        </w:rPr>
        <w:t>•</w:t>
      </w:r>
      <w:r>
        <w:rPr>
          <w:rFonts w:ascii="Verdana" w:eastAsia="Calibri" w:hAnsi="Verdana" w:cs="Arial"/>
          <w:lang w:val="pt-BR"/>
        </w:rPr>
        <w:tab/>
        <w:t>Saldo Total em aberto em 07/02/2019</w:t>
      </w:r>
      <w:r>
        <w:rPr>
          <w:rFonts w:ascii="Verdana" w:hAnsi="Verdana" w:cs="Arial"/>
          <w:lang w:val="pt-BR"/>
        </w:rPr>
        <w:t>: R$ 5.309.378,00</w:t>
      </w:r>
    </w:p>
    <w:p>
      <w:pPr>
        <w:tabs>
          <w:tab w:val="left" w:pos="1134"/>
        </w:tabs>
        <w:spacing w:after="240" w:line="300" w:lineRule="exact"/>
        <w:ind w:left="567" w:hanging="567"/>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 xml:space="preserve">Garantia: Nota Promissória com aval da Rumo S.A </w:t>
      </w:r>
    </w:p>
    <w:p>
      <w:pPr>
        <w:spacing w:after="240" w:line="300" w:lineRule="exact"/>
        <w:ind w:left="567" w:hanging="567"/>
        <w:rPr>
          <w:rFonts w:ascii="Verdana" w:hAnsi="Verdana" w:cs="Arial"/>
          <w:b/>
          <w:lang w:val="pt-BR"/>
        </w:rPr>
      </w:pPr>
      <w:r>
        <w:rPr>
          <w:rFonts w:ascii="Verdana" w:hAnsi="Verdana" w:cs="Arial"/>
          <w:b/>
          <w:lang w:val="pt-BR"/>
        </w:rPr>
        <w:t xml:space="preserve">Antecipação Fornecedores  </w:t>
      </w:r>
    </w:p>
    <w:p>
      <w:pPr>
        <w:spacing w:after="240" w:line="300" w:lineRule="exact"/>
        <w:ind w:left="567" w:hanging="567"/>
        <w:rPr>
          <w:rFonts w:ascii="Verdana" w:hAnsi="Verdana" w:cs="Arial"/>
          <w:lang w:val="pt-BR"/>
        </w:rPr>
      </w:pPr>
      <w:r>
        <w:rPr>
          <w:rFonts w:ascii="Verdana" w:hAnsi="Verdana" w:cs="Arial"/>
          <w:lang w:val="pt-BR"/>
        </w:rPr>
        <w:t>•</w:t>
      </w:r>
      <w:r>
        <w:rPr>
          <w:rFonts w:ascii="Verdana" w:hAnsi="Verdana" w:cs="Arial"/>
          <w:lang w:val="pt-BR"/>
        </w:rPr>
        <w:tab/>
        <w:t>Início dos contratos: 16/11/2018 à 15/01/2019</w:t>
      </w:r>
    </w:p>
    <w:p>
      <w:pPr>
        <w:spacing w:after="240" w:line="300" w:lineRule="exact"/>
        <w:ind w:left="567" w:hanging="567"/>
        <w:rPr>
          <w:rFonts w:ascii="Verdana" w:hAnsi="Verdana" w:cs="Arial"/>
          <w:lang w:val="pt-BR"/>
        </w:rPr>
      </w:pPr>
      <w:r>
        <w:rPr>
          <w:rFonts w:ascii="Verdana" w:hAnsi="Verdana" w:cs="Arial"/>
          <w:lang w:val="pt-BR"/>
        </w:rPr>
        <w:t>•</w:t>
      </w:r>
      <w:r>
        <w:rPr>
          <w:rFonts w:ascii="Verdana" w:hAnsi="Verdana" w:cs="Arial"/>
          <w:lang w:val="pt-BR"/>
        </w:rPr>
        <w:tab/>
        <w:t>Data de Vencimento: 15/02/2019 à 15/04/2019</w:t>
      </w:r>
    </w:p>
    <w:p>
      <w:pPr>
        <w:spacing w:after="240" w:line="300" w:lineRule="exact"/>
        <w:ind w:left="567" w:hanging="567"/>
        <w:rPr>
          <w:rFonts w:ascii="Verdana" w:hAnsi="Verdana" w:cs="Arial"/>
          <w:b/>
          <w:lang w:val="pt-BR"/>
        </w:rPr>
      </w:pPr>
      <w:r>
        <w:rPr>
          <w:rFonts w:ascii="Verdana" w:hAnsi="Verdana" w:cs="Arial"/>
          <w:lang w:val="pt-BR"/>
        </w:rPr>
        <w:t>•</w:t>
      </w:r>
      <w:r>
        <w:rPr>
          <w:rFonts w:ascii="Verdana" w:hAnsi="Verdana" w:cs="Arial"/>
          <w:lang w:val="pt-BR"/>
        </w:rPr>
        <w:tab/>
        <w:t>Saldo Total em aberto em 07/02/2019: R$ 2.145.190,92</w:t>
      </w:r>
    </w:p>
    <w:p>
      <w:pPr>
        <w:spacing w:after="240" w:line="300" w:lineRule="exact"/>
        <w:ind w:left="567" w:hanging="567"/>
        <w:rPr>
          <w:rFonts w:ascii="Verdana" w:hAnsi="Verdana" w:cs="Arial"/>
          <w:lang w:val="pt-BR"/>
        </w:rPr>
      </w:pPr>
      <w:r>
        <w:rPr>
          <w:rFonts w:ascii="Verdana" w:hAnsi="Verdana" w:cs="Arial"/>
          <w:lang w:val="pt-BR"/>
        </w:rPr>
        <w:t>•</w:t>
      </w:r>
      <w:r>
        <w:rPr>
          <w:rFonts w:ascii="Verdana" w:hAnsi="Verdana" w:cs="Arial"/>
          <w:lang w:val="pt-BR"/>
        </w:rPr>
        <w:tab/>
        <w:t xml:space="preserve">Garantia: </w:t>
      </w:r>
      <w:r>
        <w:rPr>
          <w:rFonts w:ascii="Verdana" w:eastAsia="Calibri" w:hAnsi="Verdana" w:cs="Arial"/>
          <w:lang w:val="pt-BR"/>
        </w:rPr>
        <w:t>Nota Promissória</w:t>
      </w:r>
    </w:p>
    <w:p>
      <w:pPr>
        <w:tabs>
          <w:tab w:val="left" w:pos="1134"/>
        </w:tabs>
        <w:spacing w:after="240" w:line="300" w:lineRule="exact"/>
        <w:ind w:left="567" w:hanging="567"/>
        <w:rPr>
          <w:rFonts w:ascii="Verdana" w:eastAsia="Calibri" w:hAnsi="Verdana" w:cs="Arial"/>
          <w:lang w:val="pt-BR"/>
        </w:rPr>
      </w:pPr>
    </w:p>
    <w:p>
      <w:pPr>
        <w:keepNext/>
        <w:spacing w:after="240" w:line="300" w:lineRule="exact"/>
        <w:ind w:left="567" w:hanging="567"/>
        <w:rPr>
          <w:rFonts w:ascii="Verdana" w:eastAsia="Calibri" w:hAnsi="Verdana" w:cs="Arial"/>
          <w:b/>
          <w:i/>
          <w:lang w:val="pt-BR"/>
        </w:rPr>
      </w:pPr>
      <w:r>
        <w:rPr>
          <w:rFonts w:ascii="Verdana" w:eastAsia="Calibri" w:hAnsi="Verdana" w:cs="Arial"/>
          <w:b/>
          <w:i/>
          <w:lang w:val="pt-BR"/>
        </w:rPr>
        <w:lastRenderedPageBreak/>
        <w:t>Portofer Transporte Ferroviário</w:t>
      </w:r>
    </w:p>
    <w:p>
      <w:pPr>
        <w:keepNext/>
        <w:spacing w:after="240" w:line="300" w:lineRule="exact"/>
        <w:ind w:left="567" w:hanging="567"/>
        <w:rPr>
          <w:rFonts w:ascii="Verdana" w:hAnsi="Verdana" w:cs="Arial"/>
          <w:b/>
          <w:lang w:val="pt-BR"/>
        </w:rPr>
      </w:pPr>
      <w:r>
        <w:rPr>
          <w:rFonts w:ascii="Verdana" w:hAnsi="Verdana" w:cs="Arial"/>
          <w:b/>
          <w:lang w:val="pt-BR"/>
        </w:rPr>
        <w:t>Fiança prazo indeterminado</w:t>
      </w:r>
    </w:p>
    <w:p>
      <w:pPr>
        <w:keepNext/>
        <w:tabs>
          <w:tab w:val="left" w:pos="1134"/>
        </w:tabs>
        <w:spacing w:after="240" w:line="300" w:lineRule="exact"/>
        <w:ind w:left="567" w:hanging="567"/>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Data de Início: 02/07/2013 à 23/08/2013</w:t>
      </w:r>
    </w:p>
    <w:p>
      <w:pPr>
        <w:keepNext/>
        <w:tabs>
          <w:tab w:val="left" w:pos="1134"/>
        </w:tabs>
        <w:spacing w:after="240" w:line="300" w:lineRule="exact"/>
        <w:ind w:left="567" w:hanging="567"/>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Prazo dos contratos: Indeterminado</w:t>
      </w:r>
    </w:p>
    <w:p>
      <w:pPr>
        <w:keepNext/>
        <w:tabs>
          <w:tab w:val="left" w:pos="1134"/>
        </w:tabs>
        <w:spacing w:after="240" w:line="300" w:lineRule="exact"/>
        <w:ind w:left="567" w:hanging="567"/>
        <w:rPr>
          <w:rFonts w:ascii="Verdana" w:hAnsi="Verdana" w:cs="Arial"/>
          <w:lang w:val="pt-BR"/>
        </w:rPr>
      </w:pPr>
      <w:r>
        <w:rPr>
          <w:rFonts w:ascii="Verdana" w:eastAsia="Calibri" w:hAnsi="Verdana" w:cs="Arial"/>
          <w:lang w:val="pt-BR"/>
        </w:rPr>
        <w:t>•</w:t>
      </w:r>
      <w:r>
        <w:rPr>
          <w:rFonts w:ascii="Verdana" w:eastAsia="Calibri" w:hAnsi="Verdana" w:cs="Arial"/>
          <w:lang w:val="pt-BR"/>
        </w:rPr>
        <w:tab/>
        <w:t>Saldo Total em aberto em 07/02/2019</w:t>
      </w:r>
      <w:r>
        <w:rPr>
          <w:rFonts w:ascii="Verdana" w:hAnsi="Verdana" w:cs="Arial"/>
          <w:lang w:val="pt-BR"/>
        </w:rPr>
        <w:t>: R$ 3.387.528,00</w:t>
      </w:r>
    </w:p>
    <w:p>
      <w:pPr>
        <w:tabs>
          <w:tab w:val="left" w:pos="1134"/>
        </w:tabs>
        <w:spacing w:after="240" w:line="300" w:lineRule="exact"/>
        <w:ind w:left="567" w:hanging="567"/>
        <w:rPr>
          <w:rFonts w:ascii="Verdana" w:eastAsia="Calibri" w:hAnsi="Verdana" w:cs="Arial"/>
          <w:lang w:val="pt-BR"/>
        </w:rPr>
      </w:pPr>
      <w:r>
        <w:rPr>
          <w:rFonts w:ascii="Verdana" w:eastAsia="Calibri" w:hAnsi="Verdana" w:cs="Arial"/>
          <w:lang w:val="pt-BR"/>
        </w:rPr>
        <w:t>•</w:t>
      </w:r>
      <w:r>
        <w:rPr>
          <w:rFonts w:ascii="Verdana" w:eastAsia="Calibri" w:hAnsi="Verdana" w:cs="Arial"/>
          <w:lang w:val="pt-BR"/>
        </w:rPr>
        <w:tab/>
        <w:t xml:space="preserve">Garantia: Nota Promissória com aval da Rumo S.A </w:t>
      </w:r>
    </w:p>
    <w:p>
      <w:pPr>
        <w:pStyle w:val="HOMEBRBodyText"/>
        <w:spacing w:line="300" w:lineRule="exact"/>
        <w:rPr>
          <w:rFonts w:ascii="Verdana" w:hAnsi="Verdana" w:cs="Arial"/>
        </w:rPr>
      </w:pPr>
      <w:r>
        <w:rPr>
          <w:rFonts w:ascii="Verdana" w:hAnsi="Verdana" w:cs="Arial"/>
        </w:rPr>
        <w:t>Exceto pela remuneração a ser paga em decorrência da Oferta, conforme previsto na seção "Informações relativas a Oferta — Custos Estimados de Distribuição – Comissionamento dos Coordenadores", na página [</w:t>
      </w:r>
      <w:r>
        <w:rPr>
          <w:rFonts w:ascii="Verdana" w:hAnsi="Verdana" w:cs="Arial"/>
        </w:rPr>
        <w:sym w:font="Symbol" w:char="F0B7"/>
      </w:r>
      <w:r>
        <w:rPr>
          <w:rFonts w:ascii="Verdana" w:hAnsi="Verdana" w:cs="Arial"/>
        </w:rPr>
        <w:t xml:space="preserve">] deste Prospecto, não há qualquer remuneração a ser paga pela Companhia ao Bradesco BBI. </w:t>
      </w:r>
    </w:p>
    <w:p>
      <w:pPr>
        <w:pStyle w:val="HOMEBRBodyText"/>
        <w:spacing w:after="120" w:line="300" w:lineRule="exact"/>
        <w:rPr>
          <w:rFonts w:ascii="Verdana" w:hAnsi="Verdana" w:cs="Arial"/>
        </w:rPr>
      </w:pPr>
      <w:r>
        <w:rPr>
          <w:rFonts w:ascii="Verdana" w:hAnsi="Verdana" w:cs="Arial"/>
        </w:rPr>
        <w:t>A Companhia declara que não há qualquer conflito de interesse referente à atuação do Bradesco BBI como instituição intermediária da Oferta. Ainda, a Companhia declara que, além das informações prestadas acima, não há qualquer outro relacionamento relevante entre a Companhia e o Bradesco BBI e/ou qualquer sociedade de seu grupo econômico.</w:t>
      </w:r>
    </w:p>
    <w:p>
      <w:pPr>
        <w:spacing w:after="0" w:line="300" w:lineRule="exact"/>
        <w:jc w:val="left"/>
        <w:rPr>
          <w:rFonts w:ascii="Verdana" w:hAnsi="Verdana" w:cs="Arial"/>
          <w:b/>
          <w:lang w:val="pt-BR"/>
        </w:rPr>
      </w:pPr>
    </w:p>
    <w:p>
      <w:pPr>
        <w:pStyle w:val="HOMEBRNOTOCH3"/>
        <w:keepNext w:val="0"/>
        <w:keepLines w:val="0"/>
        <w:spacing w:after="120" w:line="300" w:lineRule="exact"/>
        <w:outlineLvl w:val="0"/>
        <w:rPr>
          <w:rFonts w:ascii="Verdana" w:hAnsi="Verdana" w:cs="Arial"/>
          <w:lang w:val="pt-BR"/>
        </w:rPr>
      </w:pPr>
      <w:r>
        <w:rPr>
          <w:rFonts w:ascii="Verdana" w:hAnsi="Verdana" w:cs="Arial"/>
          <w:lang w:val="pt-BR"/>
        </w:rPr>
        <w:t>Relacionamento entre a Emissora e o Santander [</w:t>
      </w:r>
      <w:r>
        <w:rPr>
          <w:rFonts w:ascii="Verdana" w:hAnsi="Verdana" w:cs="Arial"/>
          <w:highlight w:val="yellow"/>
          <w:lang w:val="pt-BR"/>
        </w:rPr>
        <w:t xml:space="preserve">NOTA PNA: </w:t>
      </w:r>
      <w:r>
        <w:rPr>
          <w:rFonts w:ascii="Verdana" w:hAnsi="Verdana" w:cs="Arial"/>
          <w:b w:val="0"/>
          <w:highlight w:val="yellow"/>
          <w:lang w:val="pt-BR"/>
        </w:rPr>
        <w:t>Santander, Favor confirmar se há atualizações</w:t>
      </w:r>
      <w:r>
        <w:rPr>
          <w:rFonts w:ascii="Verdana" w:hAnsi="Verdana" w:cs="Arial"/>
          <w:lang w:val="pt-BR"/>
        </w:rPr>
        <w:t>]</w:t>
      </w:r>
    </w:p>
    <w:p>
      <w:pPr>
        <w:pStyle w:val="HOMEBRBodyText"/>
        <w:keepLines w:val="0"/>
        <w:spacing w:after="240" w:line="300" w:lineRule="exact"/>
        <w:rPr>
          <w:rFonts w:ascii="Verdana" w:hAnsi="Verdana" w:cs="Arial"/>
        </w:rPr>
      </w:pPr>
      <w:r>
        <w:rPr>
          <w:rFonts w:ascii="Verdana" w:hAnsi="Verdana" w:cs="Arial"/>
        </w:rPr>
        <w:t>Na data deste Prospecto, além do relacionamento relativo à Oferta, o Santander e/ou sociedades de seu conglomerado econômico mantêm relacionamento comercial com a Emissora, incluindo operações financeiras dentre as quais se destacam as seguintes:</w:t>
      </w:r>
    </w:p>
    <w:p>
      <w:pPr>
        <w:pStyle w:val="Default"/>
        <w:spacing w:after="240" w:line="300" w:lineRule="exact"/>
        <w:jc w:val="both"/>
        <w:rPr>
          <w:rFonts w:ascii="Verdana" w:hAnsi="Verdana"/>
          <w:b/>
          <w:bCs/>
          <w:i/>
          <w:sz w:val="20"/>
          <w:szCs w:val="20"/>
          <w:lang w:eastAsia="en-US"/>
        </w:rPr>
      </w:pPr>
      <w:r>
        <w:rPr>
          <w:rFonts w:ascii="Verdana" w:hAnsi="Verdana"/>
          <w:b/>
          <w:bCs/>
          <w:i/>
          <w:sz w:val="20"/>
          <w:szCs w:val="20"/>
        </w:rPr>
        <w:t>Rumo Malha Norte S.A.</w:t>
      </w:r>
    </w:p>
    <w:p>
      <w:pPr>
        <w:pStyle w:val="Default"/>
        <w:spacing w:after="240" w:line="300" w:lineRule="exact"/>
        <w:jc w:val="both"/>
        <w:rPr>
          <w:rFonts w:ascii="Verdana" w:hAnsi="Verdana"/>
          <w:sz w:val="20"/>
          <w:szCs w:val="20"/>
        </w:rPr>
      </w:pPr>
      <w:r>
        <w:rPr>
          <w:rFonts w:ascii="Verdana" w:hAnsi="Verdana"/>
          <w:sz w:val="20"/>
          <w:szCs w:val="20"/>
        </w:rPr>
        <w:t>- Operação de Cross Currency Swap, no valor de USD 50.000.000,00 (cinquenta milhões de dólares norte-americanos), com vencimento em 08 de fevereiro de 2024, a taxa correspondente de 146,38% CDI, com garantia da Rumo S.A.</w:t>
      </w:r>
    </w:p>
    <w:p>
      <w:pPr>
        <w:pStyle w:val="Default"/>
        <w:spacing w:after="240" w:line="300" w:lineRule="exact"/>
        <w:jc w:val="both"/>
        <w:rPr>
          <w:rFonts w:ascii="Verdana" w:hAnsi="Verdana"/>
          <w:sz w:val="20"/>
          <w:szCs w:val="20"/>
        </w:rPr>
      </w:pPr>
      <w:r>
        <w:rPr>
          <w:rFonts w:ascii="Verdana" w:hAnsi="Verdana"/>
          <w:sz w:val="20"/>
          <w:szCs w:val="20"/>
        </w:rPr>
        <w:t>- Operaçoes de BNDES Finame (4 operações), com valor original somado de R$ 43.105.352,00 (quarenta e três milhões, cento e cinco mil, trezentos e cinquenta e dois reais) e saldo atual de R$ 26.191.448,00 (vinte e seis milhões, cento e noventa e um mil, quatrocentos e quarenta e oito reais), a taxas de juros entre 3,5% a 6%, com garantia da Rumo S.A. e dos equipamentos financiados.</w:t>
      </w:r>
    </w:p>
    <w:p>
      <w:pPr>
        <w:pStyle w:val="Default"/>
        <w:spacing w:after="240" w:line="300" w:lineRule="exact"/>
        <w:jc w:val="both"/>
        <w:rPr>
          <w:rFonts w:ascii="Verdana" w:hAnsi="Verdana"/>
          <w:b/>
          <w:bCs/>
          <w:i/>
          <w:sz w:val="20"/>
          <w:szCs w:val="20"/>
        </w:rPr>
      </w:pPr>
      <w:r>
        <w:rPr>
          <w:rFonts w:ascii="Verdana" w:hAnsi="Verdana"/>
          <w:b/>
          <w:bCs/>
          <w:i/>
          <w:sz w:val="20"/>
          <w:szCs w:val="20"/>
        </w:rPr>
        <w:t>Rumo Malha Sul S.A.</w:t>
      </w:r>
    </w:p>
    <w:p>
      <w:pPr>
        <w:pStyle w:val="Default"/>
        <w:spacing w:after="240" w:line="300" w:lineRule="exact"/>
        <w:jc w:val="both"/>
        <w:rPr>
          <w:rFonts w:ascii="Verdana" w:hAnsi="Verdana"/>
          <w:sz w:val="20"/>
          <w:szCs w:val="20"/>
        </w:rPr>
      </w:pPr>
      <w:r>
        <w:rPr>
          <w:rFonts w:ascii="Verdana" w:hAnsi="Verdana"/>
          <w:sz w:val="20"/>
          <w:szCs w:val="20"/>
        </w:rPr>
        <w:t xml:space="preserve">- Fiança prestada pelo Santander, visando garantir linhas de BNDES Finem, no valor de R$ 216.738.339,00 (duzentos e dezesseis milhões, setecentos e trinta e oito mil, </w:t>
      </w:r>
      <w:r>
        <w:rPr>
          <w:rFonts w:ascii="Verdana" w:hAnsi="Verdana"/>
          <w:sz w:val="20"/>
          <w:szCs w:val="20"/>
        </w:rPr>
        <w:lastRenderedPageBreak/>
        <w:t>trezentos e trinta e nove reais), com taxa entre 1,3% e 2,3%, com garantia da Rumo S.A.</w:t>
      </w:r>
    </w:p>
    <w:p>
      <w:pPr>
        <w:pStyle w:val="Default"/>
        <w:spacing w:after="240" w:line="300" w:lineRule="exact"/>
        <w:jc w:val="both"/>
        <w:rPr>
          <w:rFonts w:ascii="Verdana" w:hAnsi="Verdana"/>
          <w:sz w:val="20"/>
          <w:szCs w:val="20"/>
        </w:rPr>
      </w:pPr>
      <w:r>
        <w:rPr>
          <w:rFonts w:ascii="Verdana" w:hAnsi="Verdana"/>
          <w:sz w:val="20"/>
          <w:szCs w:val="20"/>
        </w:rPr>
        <w:t xml:space="preserve">- Fiança prestada pelo Santander, visando </w:t>
      </w:r>
      <w:r>
        <w:rPr>
          <w:rFonts w:ascii="Verdana" w:hAnsi="Verdana"/>
          <w:color w:val="auto"/>
          <w:sz w:val="20"/>
          <w:szCs w:val="20"/>
        </w:rPr>
        <w:t xml:space="preserve">garantir ação judicial, cujo beneficiário é a 2ª Vara da Justiça Federal do Estado do Pará, no valor </w:t>
      </w:r>
      <w:r>
        <w:rPr>
          <w:rFonts w:ascii="Verdana" w:hAnsi="Verdana"/>
          <w:sz w:val="20"/>
          <w:szCs w:val="20"/>
        </w:rPr>
        <w:t>de R$ 1.779.221,00 (um milhão, setecentos e setenta e nove mil, duzentos e vinte e um reais), com vencimento em 08 de maio de 2019 e comissão correspondente a 2,5%, com garantia da Rumo S.A.</w:t>
      </w:r>
    </w:p>
    <w:p>
      <w:pPr>
        <w:pStyle w:val="Default"/>
        <w:spacing w:after="240" w:line="300" w:lineRule="exact"/>
        <w:jc w:val="both"/>
        <w:rPr>
          <w:rFonts w:ascii="Verdana" w:hAnsi="Verdana"/>
          <w:b/>
          <w:bCs/>
          <w:i/>
          <w:sz w:val="20"/>
          <w:szCs w:val="20"/>
        </w:rPr>
      </w:pPr>
      <w:r>
        <w:rPr>
          <w:rFonts w:ascii="Verdana" w:hAnsi="Verdana"/>
          <w:b/>
          <w:bCs/>
          <w:i/>
          <w:sz w:val="20"/>
          <w:szCs w:val="20"/>
        </w:rPr>
        <w:t>Brado Logística S.A.</w:t>
      </w:r>
    </w:p>
    <w:p>
      <w:pPr>
        <w:pStyle w:val="Default"/>
        <w:spacing w:after="240" w:line="300" w:lineRule="exact"/>
        <w:jc w:val="both"/>
        <w:rPr>
          <w:rFonts w:ascii="Verdana" w:hAnsi="Verdana"/>
          <w:sz w:val="20"/>
          <w:szCs w:val="20"/>
        </w:rPr>
      </w:pPr>
      <w:r>
        <w:rPr>
          <w:rFonts w:ascii="Verdana" w:hAnsi="Verdana"/>
          <w:sz w:val="20"/>
          <w:szCs w:val="20"/>
        </w:rPr>
        <w:t>- Fiança prestada pelo Santander, visando garantir aluguel, no valor de R$ 8.861.091,59 (oito milhões, oitocentos e sessenta e um mil, noventa e um reais e cinquenta e nove centavos), com vencimento em 26 de agosto de 2019 e comissão correspondente a 1,45%.</w:t>
      </w:r>
    </w:p>
    <w:p>
      <w:pPr>
        <w:pStyle w:val="Default"/>
        <w:spacing w:after="240" w:line="300" w:lineRule="exact"/>
        <w:jc w:val="both"/>
        <w:rPr>
          <w:rFonts w:ascii="Verdana" w:hAnsi="Verdana"/>
          <w:sz w:val="20"/>
          <w:szCs w:val="20"/>
        </w:rPr>
      </w:pPr>
      <w:r>
        <w:rPr>
          <w:rFonts w:ascii="Verdana" w:hAnsi="Verdana"/>
          <w:sz w:val="20"/>
          <w:szCs w:val="20"/>
        </w:rPr>
        <w:t>- Operações de BNDES Finame (22 operações), com valor original somado de R$ 78.701.361 e saldo atual de R$ 45.188.241,00 (quarenta e cinco milhões, cento e oitenta e oito mil, duzentos e quarenta e um reais), a taxas de juros entre 2,5% e 6%, com garantia de alienação fiduciária dos equipamentos financiados.</w:t>
      </w:r>
    </w:p>
    <w:p>
      <w:pPr>
        <w:pStyle w:val="Default"/>
        <w:spacing w:after="240" w:line="300" w:lineRule="exact"/>
        <w:jc w:val="both"/>
        <w:rPr>
          <w:rFonts w:ascii="Verdana" w:hAnsi="Verdana"/>
          <w:color w:val="auto"/>
          <w:sz w:val="20"/>
          <w:szCs w:val="20"/>
        </w:rPr>
      </w:pPr>
      <w:r>
        <w:rPr>
          <w:rFonts w:ascii="Verdana" w:hAnsi="Verdana"/>
          <w:color w:val="auto"/>
          <w:sz w:val="20"/>
          <w:szCs w:val="20"/>
        </w:rPr>
        <w:t xml:space="preserve">Exceto pelo disposto acima, a Emissora não possui qualquer outro relacionamento relevante com o Santander ou sociedades de seu conglomerado econômico. </w:t>
      </w:r>
    </w:p>
    <w:p>
      <w:pPr>
        <w:pStyle w:val="Default"/>
        <w:spacing w:after="240" w:line="300" w:lineRule="exact"/>
        <w:jc w:val="both"/>
        <w:rPr>
          <w:rFonts w:ascii="Verdana" w:hAnsi="Verdana"/>
          <w:color w:val="auto"/>
          <w:sz w:val="20"/>
          <w:szCs w:val="20"/>
        </w:rPr>
      </w:pPr>
      <w:r>
        <w:rPr>
          <w:rFonts w:ascii="Verdana" w:hAnsi="Verdana"/>
          <w:color w:val="auto"/>
          <w:sz w:val="20"/>
          <w:szCs w:val="20"/>
        </w:rPr>
        <w:t>O Santander e sociedades de seu conglomerado econômico poderão no futuro manter relacionamento comercial com a Emissora, oferecendo seus produtos e/ou serviços no assessoramento para realização de investimentos, emissões de valores mobiliários, fusões e aquisições, financiamento, consultoria financeira e/ou em quaisquer outras operações financeiras necessárias à condução das atividades da Emissora e de sociedades controladas pela Emissora, podendo vir a contratar com o Santander ou qualquer outra sociedade de seu conglomerado econômico tais produtos e/ou serviços de banco de investimento necessárias à condução das atividades da Emissora.  </w:t>
      </w:r>
    </w:p>
    <w:p>
      <w:pPr>
        <w:pStyle w:val="Default"/>
        <w:spacing w:after="240" w:line="300" w:lineRule="exact"/>
        <w:jc w:val="both"/>
        <w:rPr>
          <w:rFonts w:ascii="Verdana" w:hAnsi="Verdana"/>
          <w:color w:val="auto"/>
          <w:sz w:val="20"/>
          <w:szCs w:val="20"/>
        </w:rPr>
      </w:pPr>
      <w:r>
        <w:rPr>
          <w:rFonts w:ascii="Verdana" w:hAnsi="Verdana"/>
          <w:sz w:val="20"/>
          <w:szCs w:val="20"/>
        </w:rPr>
        <w:t>Exceto pela remuneração a ser paga em decorrência da Oferta e em decorrência da prestação de serviços de Formador de Mercado, conforme previsto nas seções "Informações relativas a Oferta — Custos Estimados de Distribuição – Comissionamento dos Coordenadores" e “Informações Relativas à Emissão, à Oferta e às Debêntures – Características da Emissão e das Debêntures – Formador de Mercado”, nas páginas [</w:t>
      </w:r>
      <w:r>
        <w:rPr>
          <w:rFonts w:ascii="Verdana" w:hAnsi="Verdana"/>
          <w:sz w:val="20"/>
          <w:szCs w:val="20"/>
        </w:rPr>
        <w:sym w:font="Symbol" w:char="F0B7"/>
      </w:r>
      <w:r>
        <w:rPr>
          <w:rFonts w:ascii="Verdana" w:hAnsi="Verdana"/>
          <w:sz w:val="20"/>
          <w:szCs w:val="20"/>
        </w:rPr>
        <w:t>] e [</w:t>
      </w:r>
      <w:r>
        <w:rPr>
          <w:rFonts w:ascii="Verdana" w:hAnsi="Verdana"/>
          <w:sz w:val="20"/>
          <w:szCs w:val="20"/>
        </w:rPr>
        <w:sym w:font="Symbol" w:char="F0B7"/>
      </w:r>
      <w:r>
        <w:rPr>
          <w:rFonts w:ascii="Verdana" w:hAnsi="Verdana"/>
          <w:sz w:val="20"/>
          <w:szCs w:val="20"/>
        </w:rPr>
        <w:t>] deste Prospecto, não há qualquer remuneração a ser paga pela Companhia ao Santander.</w:t>
      </w:r>
      <w:r>
        <w:rPr>
          <w:rFonts w:ascii="Verdana" w:hAnsi="Verdana"/>
          <w:color w:val="auto"/>
          <w:sz w:val="20"/>
          <w:szCs w:val="20"/>
        </w:rPr>
        <w:t xml:space="preserve"> </w:t>
      </w:r>
    </w:p>
    <w:p>
      <w:pPr>
        <w:spacing w:after="240" w:line="300" w:lineRule="exact"/>
        <w:rPr>
          <w:rFonts w:ascii="Verdana" w:hAnsi="Verdana" w:cs="Arial"/>
          <w:lang w:val="pt-BR"/>
        </w:rPr>
      </w:pPr>
      <w:r>
        <w:rPr>
          <w:rFonts w:ascii="Verdana" w:hAnsi="Verdana" w:cs="Arial"/>
          <w:lang w:val="pt-BR"/>
        </w:rPr>
        <w:t>A Emissora, na data deste Prospecto, declara que, no seu entendimento, não há qualquer conflito de interesse referente à atuação do Santander como instituição intermediária da Oferta.</w:t>
      </w:r>
    </w:p>
    <w:p>
      <w:pPr>
        <w:pStyle w:val="HOMEBRBodyText"/>
        <w:spacing w:after="0" w:line="300" w:lineRule="exact"/>
        <w:rPr>
          <w:rFonts w:ascii="Verdana" w:hAnsi="Verdana" w:cs="Arial"/>
          <w:b/>
        </w:rPr>
      </w:pPr>
      <w:r>
        <w:rPr>
          <w:rFonts w:ascii="Verdana" w:hAnsi="Verdana" w:cs="Arial"/>
          <w:b/>
        </w:rPr>
        <w:lastRenderedPageBreak/>
        <w:t xml:space="preserve">Relacionamento entre a Emissora e o BB-BI </w:t>
      </w:r>
      <w:r>
        <w:rPr>
          <w:rFonts w:ascii="Verdana" w:hAnsi="Verdana" w:cs="Arial"/>
        </w:rPr>
        <w:t>[</w:t>
      </w:r>
      <w:r>
        <w:rPr>
          <w:rFonts w:ascii="Verdana" w:hAnsi="Verdana" w:cs="Arial"/>
          <w:b/>
          <w:highlight w:val="yellow"/>
        </w:rPr>
        <w:t>NOTA PNA:</w:t>
      </w:r>
      <w:r>
        <w:rPr>
          <w:rFonts w:ascii="Verdana" w:hAnsi="Verdana" w:cs="Arial"/>
          <w:highlight w:val="yellow"/>
        </w:rPr>
        <w:t xml:space="preserve"> BB-BI, Favor confirmar se há atualizações</w:t>
      </w:r>
      <w:r>
        <w:rPr>
          <w:rFonts w:ascii="Verdana" w:hAnsi="Verdana" w:cs="Arial"/>
        </w:rPr>
        <w:t>]</w:t>
      </w:r>
    </w:p>
    <w:p>
      <w:pPr>
        <w:pStyle w:val="HOMEBRBodyText"/>
        <w:spacing w:after="0" w:line="300" w:lineRule="exact"/>
        <w:rPr>
          <w:rFonts w:ascii="Verdana" w:hAnsi="Verdana" w:cs="Arial"/>
          <w:b/>
        </w:rPr>
      </w:pPr>
    </w:p>
    <w:p>
      <w:pPr>
        <w:pStyle w:val="HOMEBRBodyText"/>
        <w:spacing w:line="300" w:lineRule="exact"/>
        <w:rPr>
          <w:rFonts w:ascii="Verdana" w:hAnsi="Verdana" w:cs="Arial"/>
        </w:rPr>
      </w:pPr>
      <w:r>
        <w:rPr>
          <w:rFonts w:ascii="Verdana" w:hAnsi="Verdana" w:cs="Arial"/>
        </w:rPr>
        <w:t>Na presente data, não há qualquer relacionamento comercial entre o BB-BI e a Emissora que possa configurar conflito de interesses ou que seja relevante no âmbito da Oferta.</w:t>
      </w:r>
    </w:p>
    <w:p>
      <w:pPr>
        <w:pStyle w:val="HOMEBRBodyText"/>
        <w:spacing w:after="0" w:line="300" w:lineRule="exact"/>
        <w:rPr>
          <w:rFonts w:ascii="Verdana" w:hAnsi="Verdana" w:cs="Arial"/>
          <w:highlight w:val="yellow"/>
        </w:rPr>
      </w:pPr>
      <w:r>
        <w:rPr>
          <w:rFonts w:ascii="Verdana" w:hAnsi="Verdana" w:cs="Arial"/>
        </w:rPr>
        <w:t xml:space="preserve">Na data deste Prospecto, o BB-BI e seu respectivo conglomerado econômico são credores da Companhia e de suas controladas nas seguintes operações financeiras: </w:t>
      </w:r>
    </w:p>
    <w:p>
      <w:pPr>
        <w:pStyle w:val="HOMEBRBodyText"/>
        <w:spacing w:after="0" w:line="300" w:lineRule="exact"/>
        <w:rPr>
          <w:rFonts w:ascii="Verdana" w:hAnsi="Verdana" w:cs="Arial"/>
          <w:highlight w:val="yellow"/>
        </w:rPr>
      </w:pPr>
    </w:p>
    <w:p>
      <w:pPr>
        <w:pStyle w:val="HOMEBRBodyText"/>
        <w:numPr>
          <w:ilvl w:val="0"/>
          <w:numId w:val="27"/>
        </w:numPr>
        <w:tabs>
          <w:tab w:val="left" w:pos="709"/>
        </w:tabs>
        <w:spacing w:after="0" w:line="300" w:lineRule="exact"/>
        <w:ind w:left="709" w:hanging="709"/>
        <w:rPr>
          <w:rFonts w:ascii="Verdana" w:hAnsi="Verdana" w:cs="Arial"/>
        </w:rPr>
      </w:pPr>
      <w:r>
        <w:rPr>
          <w:rFonts w:ascii="Verdana" w:hAnsi="Verdana" w:cs="Arial"/>
        </w:rPr>
        <w:t>Operação de Conta Garantida, no valor de R$ 200.000,00, contratada em janeiro de 2004, sem saldo utilizado;</w:t>
      </w:r>
    </w:p>
    <w:p>
      <w:pPr>
        <w:pStyle w:val="HOMEBRBodyText"/>
        <w:tabs>
          <w:tab w:val="left" w:pos="709"/>
        </w:tabs>
        <w:spacing w:after="0" w:line="300" w:lineRule="exact"/>
        <w:ind w:left="709" w:hanging="709"/>
        <w:rPr>
          <w:rFonts w:ascii="Verdana" w:hAnsi="Verdana" w:cs="Arial"/>
        </w:rPr>
      </w:pPr>
    </w:p>
    <w:p>
      <w:pPr>
        <w:pStyle w:val="HOMEBRBodyText"/>
        <w:numPr>
          <w:ilvl w:val="0"/>
          <w:numId w:val="27"/>
        </w:numPr>
        <w:tabs>
          <w:tab w:val="left" w:pos="709"/>
        </w:tabs>
        <w:spacing w:after="0" w:line="300" w:lineRule="exact"/>
        <w:ind w:left="709" w:hanging="709"/>
        <w:rPr>
          <w:rFonts w:ascii="Verdana" w:hAnsi="Verdana" w:cs="Arial"/>
        </w:rPr>
      </w:pPr>
      <w:r>
        <w:rPr>
          <w:rFonts w:ascii="Verdana" w:hAnsi="Verdana" w:cs="Arial"/>
        </w:rPr>
        <w:t>Operação de Fiança Bancária, no valor de R$ 216.673.330,50, contratada em dezembro de 2018.</w:t>
      </w:r>
    </w:p>
    <w:p>
      <w:pPr>
        <w:pStyle w:val="HOMEBRBodyText"/>
        <w:spacing w:after="0" w:line="300" w:lineRule="exact"/>
        <w:rPr>
          <w:rFonts w:ascii="Verdana" w:hAnsi="Verdana" w:cs="Arial"/>
        </w:rPr>
      </w:pPr>
    </w:p>
    <w:p>
      <w:pPr>
        <w:pStyle w:val="HOMEBRBodyText"/>
        <w:spacing w:after="0" w:line="300" w:lineRule="exact"/>
        <w:rPr>
          <w:rFonts w:ascii="Verdana" w:hAnsi="Verdana" w:cs="Arial"/>
        </w:rPr>
      </w:pPr>
      <w:r>
        <w:rPr>
          <w:rFonts w:ascii="Verdana" w:hAnsi="Verdana" w:cs="Arial"/>
        </w:rPr>
        <w:t>Ademais, Banco do Brasil S.A., controlador do BB-BI, e/ou o BB-BI prestam serviços de folha de pagamentos, pagamentos a fornecedores e fechamentos de câmbio para a Companhia.</w:t>
      </w:r>
    </w:p>
    <w:p>
      <w:pPr>
        <w:pStyle w:val="HOMEBRBodyText"/>
        <w:spacing w:after="0" w:line="300" w:lineRule="exact"/>
        <w:ind w:firstLine="60"/>
        <w:rPr>
          <w:rFonts w:ascii="Verdana" w:hAnsi="Verdana" w:cs="Arial"/>
        </w:rPr>
      </w:pPr>
    </w:p>
    <w:p>
      <w:pPr>
        <w:pStyle w:val="HOMEBRBodyText"/>
        <w:spacing w:after="0" w:line="300" w:lineRule="exact"/>
        <w:rPr>
          <w:rFonts w:ascii="Verdana" w:hAnsi="Verdana" w:cs="Arial"/>
        </w:rPr>
      </w:pPr>
      <w:r>
        <w:rPr>
          <w:rFonts w:ascii="Verdana" w:hAnsi="Verdana" w:cs="Arial"/>
        </w:rPr>
        <w:t xml:space="preserve">O BB-BI e/ou sociedades do seu grupo econômico podem possuir outros títulos e valores mobiliários de emissão da Companhia, diretamente ou em fundos de investimento administrados e/ou geridos por tais sociedades, adquiridos ou subscritos e integralizados em operações regulares a preços e condições de mercado. Todavia, a participação do BB-BI e/ou das sociedades integrantes do seu grupo econômico em valores mobiliários da Companhia não atinge, e não atingiu nos últimos 12 meses, 5% do capital social da Companhia. </w:t>
      </w:r>
    </w:p>
    <w:p>
      <w:pPr>
        <w:pStyle w:val="HOMEBRBodyText"/>
        <w:spacing w:after="0" w:line="300" w:lineRule="exact"/>
        <w:rPr>
          <w:rFonts w:ascii="Verdana" w:hAnsi="Verdana" w:cs="Arial"/>
        </w:rPr>
      </w:pPr>
    </w:p>
    <w:p>
      <w:pPr>
        <w:pStyle w:val="HOMEBRBodyText"/>
        <w:spacing w:line="300" w:lineRule="exact"/>
        <w:rPr>
          <w:rFonts w:ascii="Verdana" w:hAnsi="Verdana" w:cs="Arial"/>
        </w:rPr>
      </w:pPr>
      <w:r>
        <w:rPr>
          <w:rFonts w:ascii="Verdana" w:hAnsi="Verdana" w:cs="Arial"/>
        </w:rPr>
        <w:t>Exceto pela remuneração a ser paga em decorrência da Oferta, conforme previsto na seção "Informações relativas a Oferta — Custos Estimados de Distribuição – Comissionamento dos Coordenadores", na página [</w:t>
      </w:r>
      <w:r>
        <w:rPr>
          <w:rFonts w:ascii="Verdana" w:hAnsi="Verdana" w:cs="Arial"/>
        </w:rPr>
        <w:sym w:font="Symbol" w:char="F0B7"/>
      </w:r>
      <w:r>
        <w:rPr>
          <w:rFonts w:ascii="Verdana" w:hAnsi="Verdana" w:cs="Arial"/>
        </w:rPr>
        <w:t xml:space="preserve">] deste Prospecto, não há qualquer remuneração a ser paga pela Companhia ao BB-BI. </w:t>
      </w:r>
    </w:p>
    <w:p>
      <w:pPr>
        <w:pStyle w:val="HOMEBRBodyText"/>
        <w:spacing w:after="0" w:line="300" w:lineRule="exact"/>
        <w:rPr>
          <w:rFonts w:ascii="Verdana" w:hAnsi="Verdana" w:cs="Arial"/>
        </w:rPr>
      </w:pPr>
      <w:r>
        <w:rPr>
          <w:rFonts w:ascii="Verdana" w:hAnsi="Verdana" w:cs="Arial"/>
        </w:rPr>
        <w:t>A Companhia declara que não há qualquer conflito de interesse referente à atuação do BB-BI como instituição intermediária da Oferta. Ainda, a Companhia declara que, além das informações prestadas acima, não há qualquer outro relacionamento relevante entre a Companhia e o BB-BI e/ou qualquer sociedade de seu grupo econômico.</w:t>
      </w:r>
    </w:p>
    <w:p>
      <w:pPr>
        <w:pStyle w:val="HOMEBRBodyText"/>
        <w:spacing w:after="0" w:line="300" w:lineRule="exact"/>
        <w:rPr>
          <w:rFonts w:ascii="Verdana" w:hAnsi="Verdana" w:cs="Arial"/>
          <w:b/>
        </w:rPr>
      </w:pPr>
    </w:p>
    <w:p>
      <w:pPr>
        <w:pStyle w:val="HOMEBRBodyText"/>
        <w:spacing w:after="0" w:line="300" w:lineRule="exact"/>
        <w:rPr>
          <w:rFonts w:ascii="Verdana" w:hAnsi="Verdana" w:cs="Arial"/>
          <w:b/>
        </w:rPr>
      </w:pPr>
      <w:r>
        <w:rPr>
          <w:rFonts w:ascii="Verdana" w:hAnsi="Verdana" w:cs="Arial"/>
          <w:b/>
        </w:rPr>
        <w:t xml:space="preserve">Relacionamento entre a Emissora e a XP Investimentos </w:t>
      </w:r>
      <w:r>
        <w:rPr>
          <w:rFonts w:ascii="Verdana" w:hAnsi="Verdana" w:cs="Arial"/>
        </w:rPr>
        <w:t>[</w:t>
      </w:r>
      <w:r>
        <w:rPr>
          <w:rFonts w:ascii="Verdana" w:hAnsi="Verdana" w:cs="Arial"/>
          <w:b/>
          <w:highlight w:val="yellow"/>
        </w:rPr>
        <w:t>NOTA PNA:</w:t>
      </w:r>
      <w:r>
        <w:rPr>
          <w:rFonts w:ascii="Verdana" w:hAnsi="Verdana" w:cs="Arial"/>
          <w:highlight w:val="yellow"/>
        </w:rPr>
        <w:t xml:space="preserve"> XP Investimentos, Favor confirmar se há atualizações</w:t>
      </w:r>
      <w:r>
        <w:rPr>
          <w:rFonts w:ascii="Verdana" w:hAnsi="Verdana" w:cs="Arial"/>
        </w:rPr>
        <w:t>]</w:t>
      </w:r>
    </w:p>
    <w:p>
      <w:pPr>
        <w:pStyle w:val="HOMEBRBodyText"/>
        <w:spacing w:after="0" w:line="300" w:lineRule="exact"/>
        <w:rPr>
          <w:rFonts w:ascii="Verdana" w:hAnsi="Verdana" w:cs="Arial"/>
          <w:b/>
        </w:rPr>
      </w:pPr>
    </w:p>
    <w:p>
      <w:pPr>
        <w:pStyle w:val="HOMEBRBodyText"/>
        <w:keepLines w:val="0"/>
        <w:spacing w:line="300" w:lineRule="exact"/>
        <w:rPr>
          <w:rFonts w:ascii="Verdana" w:hAnsi="Verdana" w:cs="Arial"/>
        </w:rPr>
      </w:pPr>
      <w:r>
        <w:rPr>
          <w:rFonts w:ascii="Verdana" w:hAnsi="Verdana" w:cs="Arial"/>
        </w:rPr>
        <w:t xml:space="preserve">Para atendimento ao disposto no item 3.3.2 do Anexo III da Instrução CVM 400, além do relacionamento relativo à Oferta, considerando que a Emissora é companhia aberta com valores mobiliários negociados em bolsa e mercado de balcão organizado, a XP Investimentos e as empresas de seu grupo econômico, em razão do desenvolvimento </w:t>
      </w:r>
      <w:r>
        <w:rPr>
          <w:rFonts w:ascii="Verdana" w:hAnsi="Verdana" w:cs="Arial"/>
        </w:rPr>
        <w:lastRenderedPageBreak/>
        <w:t>normal de seus negócios, pode vir a adquirir direta ou indiretamente valores mobiliários de emissão da Emissora em nome próprio de seus clientes, ou por meio de fundos de investimento por ele geridos.</w:t>
      </w:r>
    </w:p>
    <w:p>
      <w:pPr>
        <w:pStyle w:val="HOMEBRBodyText"/>
        <w:keepLines w:val="0"/>
        <w:spacing w:line="300" w:lineRule="exact"/>
        <w:rPr>
          <w:rFonts w:ascii="Verdana" w:hAnsi="Verdana" w:cs="Arial"/>
        </w:rPr>
      </w:pPr>
      <w:r>
        <w:rPr>
          <w:rFonts w:ascii="Verdana" w:hAnsi="Verdana" w:cs="Arial"/>
        </w:rPr>
        <w:t xml:space="preserve">Exceto pelo disposto acima, a Emissora e/ou as controladas não possuem qualquer outro relacionamento relevante com a XP Investimentos ou seu conglomerado econômico. A XP investimentos poderá no futuro manter relacionamento comercial com a Emissora e/ou suas controladas, oferecendo seus produtos e/ou serviços no assessoramento para realização de investimentos, fusões e aquisições, financiamento e/ou em quaisquer outras operações similares de assessoria financeira, podendo vir a contratar com a XP Investimentos ou qualquer outra sociedade de seu conglomerado econômico tais produtos e/ou serviços de assessoria financeira necessárias à condução das atividades da Emissora. </w:t>
      </w:r>
    </w:p>
    <w:p>
      <w:pPr>
        <w:pStyle w:val="HOMEBRBodyText"/>
        <w:keepLines w:val="0"/>
        <w:spacing w:line="300" w:lineRule="exact"/>
        <w:rPr>
          <w:rFonts w:ascii="Verdana" w:hAnsi="Verdana" w:cs="Arial"/>
        </w:rPr>
      </w:pPr>
      <w:r>
        <w:rPr>
          <w:rFonts w:ascii="Verdana" w:hAnsi="Verdana" w:cs="Arial"/>
        </w:rPr>
        <w:t>Exceto pela remuneração a ser paga em decorrência da Oferta, conforme previsto em “Informações Sobre a Oferta – Custos Estimados de Distribuição” deste Prospecto Preliminar, não há qualquer outra remuneração a ser paga, pela Emissora à XP Investimentos ou a sociedades do seu conglomerado econômico no contexto da Oferta, não havendo qualquer conflito de interesses envolvendo a XP Investimentos ou qualquer outra sociedade de seu conglomerado econômico com a Emissora ou qualquer outra sociedade do seu grupo econômico referente à atuação deste como instituição intermediária da Oferta.</w:t>
      </w:r>
    </w:p>
    <w:p>
      <w:pPr>
        <w:pStyle w:val="HOMEBRBodyText"/>
        <w:keepLines w:val="0"/>
        <w:spacing w:after="0" w:line="300" w:lineRule="exact"/>
        <w:rPr>
          <w:rFonts w:ascii="Verdana" w:hAnsi="Verdana" w:cs="Arial"/>
        </w:rPr>
      </w:pPr>
      <w:r>
        <w:rPr>
          <w:rFonts w:ascii="Verdana" w:hAnsi="Verdana" w:cs="Arial"/>
        </w:rPr>
        <w:t xml:space="preserve">A Companhia declara que não há qualquer conflito de interesse referente à atuação da XP Investimentos como instituição intermediária da Oferta. Ainda, a Companhia declara que, além das informações prestadas acima, não há qualquer outro relacionamento relevante entre a Companhia e a XP Investimentos e/ou qualquer sociedade de seu grupo econômico. </w:t>
      </w:r>
    </w:p>
    <w:p>
      <w:pPr>
        <w:pStyle w:val="HOMEBRBodyText"/>
        <w:keepLines w:val="0"/>
        <w:spacing w:after="0" w:line="300" w:lineRule="exact"/>
        <w:rPr>
          <w:rFonts w:ascii="Verdana" w:hAnsi="Verdana" w:cs="Arial"/>
        </w:rPr>
      </w:pPr>
    </w:p>
    <w:p>
      <w:pPr>
        <w:pStyle w:val="HOMEBRBodyText"/>
        <w:spacing w:line="300" w:lineRule="exact"/>
        <w:rPr>
          <w:rFonts w:ascii="Verdana" w:hAnsi="Verdana" w:cs="Arial"/>
        </w:rPr>
      </w:pPr>
      <w:r>
        <w:rPr>
          <w:rFonts w:ascii="Verdana" w:hAnsi="Verdana"/>
          <w:lang w:eastAsia="pt-BR"/>
        </w:rPr>
        <w:t xml:space="preserve">Relacionamento entre a Emissora e o BTG </w:t>
      </w:r>
      <w:r>
        <w:rPr>
          <w:rFonts w:ascii="Verdana" w:hAnsi="Verdana" w:cs="Arial"/>
        </w:rPr>
        <w:t>[</w:t>
      </w:r>
      <w:r>
        <w:rPr>
          <w:rFonts w:ascii="Verdana" w:hAnsi="Verdana" w:cs="Arial"/>
          <w:b/>
          <w:highlight w:val="yellow"/>
        </w:rPr>
        <w:t>NOTA PNA:</w:t>
      </w:r>
      <w:r>
        <w:rPr>
          <w:rFonts w:ascii="Verdana" w:hAnsi="Verdana" w:cs="Arial"/>
          <w:highlight w:val="yellow"/>
        </w:rPr>
        <w:t xml:space="preserve"> BTG Pactual, Favor confirmar se há atualizações</w:t>
      </w:r>
      <w:r>
        <w:rPr>
          <w:rFonts w:ascii="Verdana" w:hAnsi="Verdana" w:cs="Arial"/>
        </w:rPr>
        <w:t>]</w:t>
      </w:r>
    </w:p>
    <w:p>
      <w:pPr>
        <w:pStyle w:val="Ttulo3"/>
        <w:keepNext w:val="0"/>
        <w:keepLines w:val="0"/>
        <w:spacing w:line="300" w:lineRule="exact"/>
        <w:rPr>
          <w:rFonts w:ascii="Verdana" w:hAnsi="Verdana"/>
          <w:lang w:val="pt-BR" w:eastAsia="pt-BR"/>
        </w:rPr>
      </w:pPr>
    </w:p>
    <w:p>
      <w:pPr>
        <w:pStyle w:val="HOMEBRBodyText"/>
        <w:keepLines w:val="0"/>
        <w:spacing w:line="300" w:lineRule="exact"/>
        <w:rPr>
          <w:rFonts w:ascii="Verdana" w:hAnsi="Verdana" w:cs="Arial"/>
        </w:rPr>
      </w:pPr>
      <w:r>
        <w:rPr>
          <w:rFonts w:ascii="Verdana" w:hAnsi="Verdana" w:cs="Arial"/>
        </w:rPr>
        <w:t>Na data deste Prospecto, além do relacionamento referente à Oferta, a Companhia e/ou suas controladas possuem os seguintes relacionamentos comerciais com o BTG e/ou as sociedades do seu grupo econômico:</w:t>
      </w:r>
    </w:p>
    <w:p>
      <w:pPr>
        <w:pStyle w:val="HOMEBRIdentBullet"/>
        <w:keepLines w:val="0"/>
        <w:numPr>
          <w:ilvl w:val="0"/>
          <w:numId w:val="45"/>
        </w:numPr>
        <w:spacing w:line="300" w:lineRule="exact"/>
        <w:rPr>
          <w:rFonts w:ascii="Verdana" w:hAnsi="Verdana" w:cs="Arial"/>
          <w:lang w:val="pt-BR"/>
        </w:rPr>
      </w:pPr>
      <w:r>
        <w:rPr>
          <w:rFonts w:ascii="Verdana" w:hAnsi="Verdana" w:cs="Arial"/>
          <w:lang w:val="pt-BR"/>
        </w:rPr>
        <w:t xml:space="preserve">4 (quatro) operações de fiança bancária, celebradas entre o </w:t>
      </w:r>
      <w:r>
        <w:rPr>
          <w:lang w:val="pt-BR"/>
        </w:rPr>
        <w:t>BTG</w:t>
      </w:r>
      <w:r>
        <w:rPr>
          <w:rFonts w:ascii="Verdana" w:hAnsi="Verdana" w:cs="Arial"/>
          <w:lang w:val="pt-BR"/>
        </w:rPr>
        <w:t xml:space="preserve"> e as seguintes controladas da Emissora:</w:t>
      </w:r>
    </w:p>
    <w:p>
      <w:pPr>
        <w:pStyle w:val="HOMEBRIdentBullet"/>
        <w:keepLines w:val="0"/>
        <w:numPr>
          <w:ilvl w:val="1"/>
          <w:numId w:val="45"/>
        </w:numPr>
        <w:spacing w:line="300" w:lineRule="exact"/>
        <w:rPr>
          <w:rFonts w:ascii="Verdana" w:hAnsi="Verdana" w:cs="Arial"/>
          <w:lang w:val="pt-BR"/>
        </w:rPr>
      </w:pPr>
      <w:r>
        <w:rPr>
          <w:rFonts w:ascii="Verdana" w:hAnsi="Verdana" w:cs="Arial"/>
          <w:lang w:val="pt-BR"/>
        </w:rPr>
        <w:t>Rumo Malha Oeste S.A., com início em 11 de dezembro de 2014 e ainda vigente, pois se trata de garantia de processo judicial, com volume atual afiançado de R$ 341.013,94, sob taxa de 2,75% a.a. Tal operação conta com garantia por parte da Companhia;</w:t>
      </w:r>
    </w:p>
    <w:p>
      <w:pPr>
        <w:pStyle w:val="HOMEBRIdentBullet"/>
        <w:keepLines w:val="0"/>
        <w:numPr>
          <w:ilvl w:val="1"/>
          <w:numId w:val="45"/>
        </w:numPr>
        <w:spacing w:line="300" w:lineRule="exact"/>
        <w:rPr>
          <w:rFonts w:ascii="Verdana" w:hAnsi="Verdana" w:cs="Arial"/>
          <w:lang w:val="pt-BR"/>
        </w:rPr>
      </w:pPr>
      <w:r>
        <w:rPr>
          <w:rFonts w:ascii="Verdana" w:hAnsi="Verdana" w:cs="Arial"/>
          <w:lang w:val="pt-BR"/>
        </w:rPr>
        <w:lastRenderedPageBreak/>
        <w:t>Rumo Malha Paulista S.A., com início em 10 de novembro de 2014 e ainda vigente, pois se trata de garantia de processo judicial, com volume atual afiançado de R$ 277.467,28, sob taxa de 2,75% a.a. Tal operação conta com garantia por parte da Companhia;</w:t>
      </w:r>
    </w:p>
    <w:p>
      <w:pPr>
        <w:pStyle w:val="HOMEBRIdentBullet"/>
        <w:keepLines w:val="0"/>
        <w:numPr>
          <w:ilvl w:val="1"/>
          <w:numId w:val="45"/>
        </w:numPr>
        <w:spacing w:line="300" w:lineRule="exact"/>
        <w:rPr>
          <w:rFonts w:ascii="Verdana" w:hAnsi="Verdana" w:cs="Arial"/>
          <w:lang w:val="pt-BR"/>
        </w:rPr>
      </w:pPr>
      <w:r>
        <w:rPr>
          <w:rFonts w:ascii="Verdana" w:hAnsi="Verdana" w:cs="Arial"/>
          <w:lang w:val="pt-BR"/>
        </w:rPr>
        <w:t>Rumo Malha Paulista S.A., com início em 10 de novembro de 2014 e ainda vigente, pois se trata de garantia de processo judicial, com volume atual afiançado de R$ 380.845,55, sob taxa de 2,75% a.a. Tal operação conta com garantia por parte da Companhia; e</w:t>
      </w:r>
    </w:p>
    <w:p>
      <w:pPr>
        <w:pStyle w:val="HOMEBRIdentBullet"/>
        <w:keepLines w:val="0"/>
        <w:numPr>
          <w:ilvl w:val="1"/>
          <w:numId w:val="45"/>
        </w:numPr>
        <w:spacing w:line="300" w:lineRule="exact"/>
        <w:rPr>
          <w:rFonts w:ascii="Verdana" w:hAnsi="Verdana" w:cs="Arial"/>
          <w:lang w:val="pt-BR"/>
        </w:rPr>
      </w:pPr>
      <w:r>
        <w:rPr>
          <w:rFonts w:ascii="Verdana" w:hAnsi="Verdana" w:cs="Arial"/>
          <w:lang w:val="pt-BR"/>
        </w:rPr>
        <w:t>Vetria Mineração S.A., com início em 06 de janeiro de 2017 e com vencimento em 03 de janeiro de 2020, com volume atual afiançado de R$ 53.388.935,98, sob taxa de 2,5% a.a. Tal operação conta com garantia por parte da Companhia.</w:t>
      </w:r>
    </w:p>
    <w:p>
      <w:pPr>
        <w:pStyle w:val="HOMEBRIdentBullet"/>
        <w:keepLines w:val="0"/>
        <w:numPr>
          <w:ilvl w:val="0"/>
          <w:numId w:val="45"/>
        </w:numPr>
        <w:spacing w:line="300" w:lineRule="exact"/>
        <w:rPr>
          <w:rFonts w:ascii="Verdana" w:hAnsi="Verdana" w:cs="Arial"/>
          <w:lang w:val="pt-BR"/>
        </w:rPr>
      </w:pPr>
      <w:r>
        <w:rPr>
          <w:rFonts w:ascii="Verdana" w:hAnsi="Verdana" w:cs="Arial"/>
          <w:lang w:val="pt-BR"/>
        </w:rPr>
        <w:t xml:space="preserve">6 (seis) operações de cessões de créditos celebradas entre o </w:t>
      </w:r>
      <w:r>
        <w:rPr>
          <w:lang w:val="pt-BR"/>
        </w:rPr>
        <w:t>BTG</w:t>
      </w:r>
      <w:r>
        <w:rPr>
          <w:rFonts w:ascii="Verdana" w:hAnsi="Verdana" w:cs="Arial"/>
          <w:lang w:val="pt-BR"/>
        </w:rPr>
        <w:t xml:space="preserve"> e as seguintes controladas da Emissora:</w:t>
      </w:r>
    </w:p>
    <w:p>
      <w:pPr>
        <w:pStyle w:val="HOMEBRIdentBullet"/>
        <w:keepLines w:val="0"/>
        <w:numPr>
          <w:ilvl w:val="1"/>
          <w:numId w:val="45"/>
        </w:numPr>
        <w:spacing w:line="300" w:lineRule="exact"/>
        <w:rPr>
          <w:rFonts w:ascii="Verdana" w:hAnsi="Verdana" w:cs="Arial"/>
          <w:lang w:val="pt-BR"/>
        </w:rPr>
      </w:pPr>
      <w:r>
        <w:rPr>
          <w:rFonts w:ascii="Verdana" w:hAnsi="Verdana" w:cs="Arial"/>
          <w:lang w:val="pt-BR"/>
        </w:rPr>
        <w:t xml:space="preserve">Rumo Malha Norte S.A., realizada em março de 2013, no valor de R$ 150.000.000,00, sendo que todos os recebíveis adquiridos foram recebidos pelo </w:t>
      </w:r>
      <w:r>
        <w:rPr>
          <w:lang w:val="pt-BR"/>
        </w:rPr>
        <w:t>BTG</w:t>
      </w:r>
      <w:r>
        <w:rPr>
          <w:rFonts w:ascii="Verdana" w:hAnsi="Verdana" w:cs="Arial"/>
          <w:lang w:val="pt-BR"/>
        </w:rPr>
        <w:t xml:space="preserve"> (parte final recebida em fevereiro de 2019). Não há saldo devedor na presente data;</w:t>
      </w:r>
    </w:p>
    <w:p>
      <w:pPr>
        <w:pStyle w:val="HOMEBRIdentBullet"/>
        <w:keepLines w:val="0"/>
        <w:numPr>
          <w:ilvl w:val="1"/>
          <w:numId w:val="45"/>
        </w:numPr>
        <w:spacing w:line="300" w:lineRule="exact"/>
        <w:rPr>
          <w:rFonts w:ascii="Verdana" w:hAnsi="Verdana" w:cs="Arial"/>
          <w:lang w:val="pt-BR"/>
        </w:rPr>
      </w:pPr>
      <w:r>
        <w:rPr>
          <w:rFonts w:ascii="Verdana" w:hAnsi="Verdana" w:cs="Arial"/>
          <w:lang w:val="pt-BR"/>
        </w:rPr>
        <w:t xml:space="preserve">Rumo Malha Norte S.A., realizada em junho de 2013, no valor de R$ 90.000.000,00, sendo que todos os recebíveis adquiridos foram recebidos pelo </w:t>
      </w:r>
      <w:r>
        <w:rPr>
          <w:lang w:val="pt-BR"/>
        </w:rPr>
        <w:t>BTG</w:t>
      </w:r>
      <w:r>
        <w:rPr>
          <w:rFonts w:ascii="Verdana" w:hAnsi="Verdana" w:cs="Arial"/>
          <w:lang w:val="pt-BR"/>
        </w:rPr>
        <w:t xml:space="preserve"> (parte final recebida em fevereiro de 2019). Não há saldo devedor na presente data;</w:t>
      </w:r>
    </w:p>
    <w:p>
      <w:pPr>
        <w:pStyle w:val="HOMEBRIdentBullet"/>
        <w:keepLines w:val="0"/>
        <w:numPr>
          <w:ilvl w:val="1"/>
          <w:numId w:val="45"/>
        </w:numPr>
        <w:spacing w:line="300" w:lineRule="exact"/>
        <w:rPr>
          <w:rFonts w:ascii="Verdana" w:hAnsi="Verdana" w:cs="Arial"/>
          <w:lang w:val="pt-BR"/>
        </w:rPr>
      </w:pPr>
      <w:r>
        <w:rPr>
          <w:rFonts w:ascii="Verdana" w:hAnsi="Verdana" w:cs="Arial"/>
          <w:lang w:val="pt-BR"/>
        </w:rPr>
        <w:t xml:space="preserve">Rumo Malha Norte S.A., realizada em setembro de 2013, no valor de R$ 18.800.000,00, sendo que todos os recebíveis adquiridos pelo </w:t>
      </w:r>
      <w:r>
        <w:rPr>
          <w:lang w:val="pt-BR"/>
        </w:rPr>
        <w:t>BTG</w:t>
      </w:r>
      <w:r>
        <w:rPr>
          <w:rFonts w:ascii="Verdana" w:hAnsi="Verdana" w:cs="Arial"/>
          <w:lang w:val="pt-BR"/>
        </w:rPr>
        <w:t xml:space="preserve"> foram recebidos pelo </w:t>
      </w:r>
      <w:r>
        <w:rPr>
          <w:lang w:val="pt-BR"/>
        </w:rPr>
        <w:t>BTG</w:t>
      </w:r>
      <w:r>
        <w:rPr>
          <w:rFonts w:ascii="Verdana" w:hAnsi="Verdana" w:cs="Arial"/>
          <w:lang w:val="pt-BR"/>
        </w:rPr>
        <w:t xml:space="preserve"> (parte final recebida em fevereiro de 2019). Não há saldo devedor na presente data;</w:t>
      </w:r>
    </w:p>
    <w:p>
      <w:pPr>
        <w:pStyle w:val="HOMEBRIdentBullet"/>
        <w:keepLines w:val="0"/>
        <w:numPr>
          <w:ilvl w:val="1"/>
          <w:numId w:val="45"/>
        </w:numPr>
        <w:spacing w:line="300" w:lineRule="exact"/>
        <w:rPr>
          <w:rFonts w:ascii="Verdana" w:hAnsi="Verdana" w:cs="Arial"/>
          <w:lang w:val="pt-BR"/>
        </w:rPr>
      </w:pPr>
      <w:r>
        <w:rPr>
          <w:rFonts w:ascii="Verdana" w:hAnsi="Verdana" w:cs="Arial"/>
          <w:lang w:val="pt-BR"/>
        </w:rPr>
        <w:t xml:space="preserve">Rumo Malha Norte S.A., realizada em setembro de 2013, no valor de R$ 30.200.000,00, sendo que todos os recebíveis adquiridos pelo </w:t>
      </w:r>
      <w:r>
        <w:rPr>
          <w:lang w:val="pt-BR"/>
        </w:rPr>
        <w:t>BTG</w:t>
      </w:r>
      <w:r>
        <w:rPr>
          <w:rFonts w:ascii="Verdana" w:hAnsi="Verdana" w:cs="Arial"/>
          <w:lang w:val="pt-BR"/>
        </w:rPr>
        <w:t xml:space="preserve"> foram recebidos pelo </w:t>
      </w:r>
      <w:r>
        <w:rPr>
          <w:lang w:val="pt-BR"/>
        </w:rPr>
        <w:t>BTG</w:t>
      </w:r>
      <w:r>
        <w:rPr>
          <w:rFonts w:ascii="Verdana" w:hAnsi="Verdana" w:cs="Arial"/>
          <w:lang w:val="pt-BR"/>
        </w:rPr>
        <w:t xml:space="preserve"> (parte final recebida em fevereiro de 2019). Não há saldo devedor na presente data;</w:t>
      </w:r>
    </w:p>
    <w:p>
      <w:pPr>
        <w:pStyle w:val="HOMEBRIdentBullet"/>
        <w:keepLines w:val="0"/>
        <w:numPr>
          <w:ilvl w:val="1"/>
          <w:numId w:val="45"/>
        </w:numPr>
        <w:spacing w:line="300" w:lineRule="exact"/>
        <w:rPr>
          <w:rFonts w:ascii="Verdana" w:hAnsi="Verdana" w:cs="Arial"/>
          <w:lang w:val="pt-BR"/>
        </w:rPr>
      </w:pPr>
      <w:r>
        <w:rPr>
          <w:rFonts w:ascii="Verdana" w:hAnsi="Verdana" w:cs="Arial"/>
          <w:lang w:val="pt-BR"/>
        </w:rPr>
        <w:t xml:space="preserve">Rumo Malha Paulista S.A., realizada em março de 2015, no valor de R$ 11.129.107,55, sendo que todos os recebíveis adquiridos pelo </w:t>
      </w:r>
      <w:r>
        <w:rPr>
          <w:lang w:val="pt-BR"/>
        </w:rPr>
        <w:t>BTG</w:t>
      </w:r>
      <w:r>
        <w:rPr>
          <w:rFonts w:ascii="Verdana" w:hAnsi="Verdana" w:cs="Arial"/>
          <w:lang w:val="pt-BR"/>
        </w:rPr>
        <w:t xml:space="preserve"> foram recebidos pelo </w:t>
      </w:r>
      <w:r>
        <w:rPr>
          <w:lang w:val="pt-BR"/>
        </w:rPr>
        <w:t>BTG</w:t>
      </w:r>
      <w:r>
        <w:rPr>
          <w:rFonts w:ascii="Verdana" w:hAnsi="Verdana" w:cs="Arial"/>
          <w:lang w:val="pt-BR"/>
        </w:rPr>
        <w:t xml:space="preserve"> (parte final recebida em fevereiro de 2019). Não há saldo devedor na presente data;</w:t>
      </w:r>
    </w:p>
    <w:p>
      <w:pPr>
        <w:pStyle w:val="HOMEBRIdentBullet"/>
        <w:keepLines w:val="0"/>
        <w:numPr>
          <w:ilvl w:val="1"/>
          <w:numId w:val="45"/>
        </w:numPr>
        <w:spacing w:line="300" w:lineRule="exact"/>
        <w:rPr>
          <w:rFonts w:ascii="Verdana" w:hAnsi="Verdana" w:cs="Arial"/>
          <w:lang w:val="pt-BR"/>
        </w:rPr>
      </w:pPr>
      <w:r>
        <w:rPr>
          <w:rFonts w:ascii="Verdana" w:hAnsi="Verdana" w:cs="Arial"/>
          <w:lang w:val="pt-BR"/>
        </w:rPr>
        <w:t xml:space="preserve">Rumo Malha Paulista S.A., realizada em março de 2015, no valor de R$ 4.738.251,95, sendo que todos os recebíveis adquiridos pelo </w:t>
      </w:r>
      <w:r>
        <w:rPr>
          <w:lang w:val="pt-BR"/>
        </w:rPr>
        <w:t>BTG</w:t>
      </w:r>
      <w:r>
        <w:rPr>
          <w:rFonts w:ascii="Verdana" w:hAnsi="Verdana" w:cs="Arial"/>
          <w:lang w:val="pt-BR"/>
        </w:rPr>
        <w:t xml:space="preserve"> foram </w:t>
      </w:r>
      <w:r>
        <w:rPr>
          <w:rFonts w:ascii="Verdana" w:hAnsi="Verdana" w:cs="Arial"/>
          <w:lang w:val="pt-BR"/>
        </w:rPr>
        <w:lastRenderedPageBreak/>
        <w:t xml:space="preserve">recebidos pelo </w:t>
      </w:r>
      <w:r>
        <w:rPr>
          <w:lang w:val="pt-BR"/>
        </w:rPr>
        <w:t>BTG</w:t>
      </w:r>
      <w:r>
        <w:rPr>
          <w:rFonts w:ascii="Verdana" w:hAnsi="Verdana" w:cs="Arial"/>
          <w:lang w:val="pt-BR"/>
        </w:rPr>
        <w:t xml:space="preserve"> (parte final recebida em fevereiro de 2019). Não há saldo devedor na presente data.</w:t>
      </w:r>
    </w:p>
    <w:p>
      <w:pPr>
        <w:pStyle w:val="HOMEBRIdentBullet"/>
        <w:keepLines w:val="0"/>
        <w:numPr>
          <w:ilvl w:val="0"/>
          <w:numId w:val="45"/>
        </w:numPr>
        <w:spacing w:line="300" w:lineRule="exact"/>
        <w:rPr>
          <w:rFonts w:ascii="Verdana" w:hAnsi="Verdana" w:cs="Arial"/>
          <w:lang w:val="pt-BR"/>
        </w:rPr>
      </w:pPr>
      <w:r>
        <w:rPr>
          <w:rFonts w:ascii="Verdana" w:hAnsi="Verdana" w:cs="Arial"/>
          <w:lang w:val="pt-BR"/>
        </w:rPr>
        <w:t xml:space="preserve">contrato de resseguro celebrado por empresa do conglomerado o </w:t>
      </w:r>
      <w:r>
        <w:rPr>
          <w:lang w:val="pt-BR"/>
        </w:rPr>
        <w:t>BTG</w:t>
      </w:r>
      <w:r>
        <w:rPr>
          <w:rFonts w:ascii="Verdana" w:hAnsi="Verdana" w:cs="Arial"/>
          <w:lang w:val="pt-BR"/>
        </w:rPr>
        <w:t xml:space="preserve"> para garantia as seguintes 3 (três) apólices de seguro vigentes emitidas em favor da Rumo Malha Paulista S.A.:</w:t>
      </w:r>
    </w:p>
    <w:p>
      <w:pPr>
        <w:pStyle w:val="HOMEBRIdentBullet"/>
        <w:keepLines w:val="0"/>
        <w:numPr>
          <w:ilvl w:val="1"/>
          <w:numId w:val="45"/>
        </w:numPr>
        <w:spacing w:line="300" w:lineRule="exact"/>
        <w:rPr>
          <w:rFonts w:ascii="Verdana" w:hAnsi="Verdana" w:cs="Arial"/>
          <w:lang w:val="pt-BR"/>
        </w:rPr>
      </w:pPr>
      <w:r>
        <w:rPr>
          <w:rFonts w:ascii="Verdana" w:hAnsi="Verdana" w:cs="Arial"/>
          <w:lang w:val="pt-BR"/>
        </w:rPr>
        <w:t>uma apólice de seguro emitida em 15 de janeiro de 2018, com vencimento em 15 de dezembro de 2020, garantindo lide judicial no volume de R$18.903.375,74, com prêmio de R$93.158,41;</w:t>
      </w:r>
    </w:p>
    <w:p>
      <w:pPr>
        <w:pStyle w:val="HOMEBRIdentBullet"/>
        <w:keepLines w:val="0"/>
        <w:numPr>
          <w:ilvl w:val="1"/>
          <w:numId w:val="45"/>
        </w:numPr>
        <w:spacing w:line="300" w:lineRule="exact"/>
        <w:rPr>
          <w:rFonts w:ascii="Verdana" w:hAnsi="Verdana" w:cs="Arial"/>
          <w:lang w:val="pt-BR"/>
        </w:rPr>
      </w:pPr>
      <w:r>
        <w:rPr>
          <w:rFonts w:ascii="Verdana" w:hAnsi="Verdana" w:cs="Arial"/>
          <w:lang w:val="pt-BR"/>
        </w:rPr>
        <w:t>uma apólice de seguro emitida em 01 de fevereiro de 2018, com vencimento em 01 de fevereiro de 2022, garantindo lide judicial no volume de R$1.303.603.446,64, com prêmio de R$6.496.878,53; e</w:t>
      </w:r>
    </w:p>
    <w:p>
      <w:pPr>
        <w:pStyle w:val="HOMEBRIdentBullet"/>
        <w:keepLines w:val="0"/>
        <w:numPr>
          <w:ilvl w:val="1"/>
          <w:numId w:val="45"/>
        </w:numPr>
        <w:spacing w:line="300" w:lineRule="exact"/>
        <w:rPr>
          <w:rFonts w:ascii="Verdana" w:hAnsi="Verdana" w:cs="Arial"/>
          <w:lang w:val="pt-BR"/>
        </w:rPr>
      </w:pPr>
      <w:r>
        <w:rPr>
          <w:rFonts w:ascii="Verdana" w:hAnsi="Verdana" w:cs="Arial"/>
          <w:lang w:val="pt-BR"/>
        </w:rPr>
        <w:t>uma apólice de seguro emitida em 04 de janeiro de 2018, com vencimento em 15 de fevereiro de 2021, garantindo lide judicial no volume de R$17.526.775,91, com prêmio de R$80.533,47.</w:t>
      </w:r>
    </w:p>
    <w:p>
      <w:pPr>
        <w:pStyle w:val="HOMEBRBodyText"/>
        <w:keepLines w:val="0"/>
        <w:spacing w:line="300" w:lineRule="exact"/>
        <w:rPr>
          <w:rFonts w:ascii="Verdana" w:hAnsi="Verdana" w:cs="Arial"/>
        </w:rPr>
      </w:pPr>
      <w:r>
        <w:rPr>
          <w:rFonts w:ascii="Verdana" w:hAnsi="Verdana" w:cs="Arial"/>
        </w:rPr>
        <w:t xml:space="preserve">Além do relacionamento relativo à Oferta e ao descrito acima, a Companhia e/ou suas controladas não possuem qualquer outro relacionamento relevante com o </w:t>
      </w:r>
      <w:r>
        <w:t>BTG</w:t>
      </w:r>
      <w:r>
        <w:rPr>
          <w:rFonts w:ascii="Verdana" w:hAnsi="Verdana" w:cs="Arial"/>
        </w:rPr>
        <w:t xml:space="preserve"> e/ou as sociedades do seu grupo econômico. Além disso, salvo pelo acima descrito, nos últimos 12 meses que antecederam o lançamento da presente Oferta, o </w:t>
      </w:r>
      <w:r>
        <w:t xml:space="preserve">BTG </w:t>
      </w:r>
      <w:r>
        <w:rPr>
          <w:rFonts w:ascii="Verdana" w:hAnsi="Verdana" w:cs="Arial"/>
        </w:rPr>
        <w:t>e/ou suas controladas não participaram de qualquer outra oferta pública de títulos e valores mobiliários de emissão da Companhia ou de operações de financiamento ou reestruturações societárias da Companhia e/ou sociedades do seu grupo econômico.</w:t>
      </w:r>
    </w:p>
    <w:p>
      <w:pPr>
        <w:pStyle w:val="HOMEBRBodyText"/>
        <w:keepLines w:val="0"/>
        <w:spacing w:line="300" w:lineRule="exact"/>
        <w:rPr>
          <w:rFonts w:ascii="Verdana" w:hAnsi="Verdana" w:cs="Arial"/>
          <w:b/>
          <w:bCs/>
        </w:rPr>
      </w:pPr>
      <w:r>
        <w:rPr>
          <w:rFonts w:ascii="Verdana" w:hAnsi="Verdana" w:cs="Arial"/>
        </w:rPr>
        <w:t xml:space="preserve">Sociedades integrantes do grupo econômico do </w:t>
      </w:r>
      <w:r>
        <w:t>BTG</w:t>
      </w:r>
      <w:r>
        <w:rPr>
          <w:rFonts w:ascii="Verdana" w:hAnsi="Verdana" w:cs="Arial"/>
        </w:rPr>
        <w:t xml:space="preserve"> e fundos de investimento administrados e/ou geridos por sociedades integrantes de seu grupo eventualmente realizaram negociações de valores mobiliários de emissão da Companhia e/ou possuem títulos e valores mobiliários de emissão da Companhia, diretamente ou em fundos de investimento administrados e/ou geridos por tais sociedades, sendo que, (i) em nenhum caso tais negociações envolveram ações representativas de participações que atingiram nos últimos 12 meses, 5% do capital social da Companhia, e (ii) em todos os casos, consistiram em operações em bolsa de valores a preços e condições de mercado. </w:t>
      </w:r>
    </w:p>
    <w:p>
      <w:pPr>
        <w:pStyle w:val="HOMEBRBodyText"/>
        <w:keepLines w:val="0"/>
        <w:spacing w:line="300" w:lineRule="exact"/>
        <w:rPr>
          <w:rFonts w:ascii="Verdana" w:hAnsi="Verdana" w:cs="Arial"/>
          <w:b/>
          <w:bCs/>
        </w:rPr>
      </w:pPr>
      <w:r>
        <w:rPr>
          <w:rFonts w:ascii="Verdana" w:hAnsi="Verdana" w:cs="Arial"/>
        </w:rPr>
        <w:t xml:space="preserve">A Companhia e/ou suas controladas poderão vir a contratar, no futuro, o </w:t>
      </w:r>
      <w:r>
        <w:t>BTG</w:t>
      </w:r>
      <w:r>
        <w:rPr>
          <w:rFonts w:ascii="Verdana" w:hAnsi="Verdana" w:cs="Arial"/>
        </w:rPr>
        <w:t xml:space="preserve"> e/ou sociedades de seu grupo econômico para a realização de operações financeiras, em condições a serem acordadas oportunamente entre as partes, incluindo, entre outras, assessoria financeira em operações de fusões e aquisições, investimentos, emissões de valores mobiliários, prestação de serviços de banco de investimento, formador de mercado, crédito, consultoria financeira ou quaisquer outras operações financeiras necessárias à condução de suas atividades.</w:t>
      </w:r>
    </w:p>
    <w:p>
      <w:pPr>
        <w:pStyle w:val="HOMEBRBodyText"/>
        <w:keepLines w:val="0"/>
        <w:spacing w:line="300" w:lineRule="exact"/>
        <w:rPr>
          <w:rFonts w:ascii="Verdana" w:hAnsi="Verdana" w:cs="Arial"/>
          <w:b/>
          <w:bCs/>
          <w:spacing w:val="-2"/>
        </w:rPr>
      </w:pPr>
      <w:r>
        <w:rPr>
          <w:rFonts w:ascii="Verdana" w:hAnsi="Verdana" w:cs="Arial"/>
          <w:spacing w:val="-2"/>
        </w:rPr>
        <w:t xml:space="preserve">O </w:t>
      </w:r>
      <w:r>
        <w:t>BTG</w:t>
      </w:r>
      <w:r>
        <w:rPr>
          <w:rFonts w:ascii="Verdana" w:hAnsi="Verdana" w:cs="Arial"/>
          <w:spacing w:val="-2"/>
        </w:rPr>
        <w:t xml:space="preserve"> e/ou qualquer sociedade do seu grupo econômico poderão negociar outros valores mobiliários de emissão da Companhia. Adicionalmente, nos termos da regulamentação </w:t>
      </w:r>
      <w:r>
        <w:rPr>
          <w:rFonts w:ascii="Verdana" w:hAnsi="Verdana" w:cs="Arial"/>
          <w:spacing w:val="-2"/>
        </w:rPr>
        <w:lastRenderedPageBreak/>
        <w:t xml:space="preserve">aplicável, o </w:t>
      </w:r>
      <w:r>
        <w:t xml:space="preserve">BTG </w:t>
      </w:r>
      <w:r>
        <w:rPr>
          <w:rFonts w:ascii="Verdana" w:hAnsi="Verdana" w:cs="Arial"/>
          <w:spacing w:val="-2"/>
        </w:rPr>
        <w:t xml:space="preserve">e/ou qualquer sociedade do seu grupo econômico poderão (i) mediante a solicitação de seus clientes, adquirir ou alienar quaisquer valores mobiliários de emissão da Companhia, com o fim de prover liquidez; (ii) negociar valores mobiliários de emissão da Companhia com o fim de realizar arbitragem entre valores mobiliários e seus certificados de depósito e/ou arbitragem entre índice de mercado e contrato futuro referenciado em ações ordinárias de emissão da Companhia; e (iii) realizar operações destinadas a cumprir obrigações assumidas antes da contratação do </w:t>
      </w:r>
      <w:r>
        <w:t xml:space="preserve">BTG </w:t>
      </w:r>
      <w:r>
        <w:rPr>
          <w:rFonts w:ascii="Verdana" w:hAnsi="Verdana" w:cs="Arial"/>
          <w:spacing w:val="-2"/>
        </w:rPr>
        <w:t>no âmbito da Oferta decorrentes de empréstimos de valores mobiliários, exercício de opções de compra ou venda por terceiros e/ou contratos de compra e venda a termo.</w:t>
      </w:r>
    </w:p>
    <w:p>
      <w:pPr>
        <w:pStyle w:val="HOMEBRBodyText"/>
        <w:keepLines w:val="0"/>
        <w:spacing w:line="300" w:lineRule="exact"/>
        <w:rPr>
          <w:rFonts w:ascii="Verdana" w:hAnsi="Verdana" w:cs="Arial"/>
        </w:rPr>
      </w:pPr>
      <w:r>
        <w:rPr>
          <w:rFonts w:ascii="Verdana" w:hAnsi="Verdana" w:cs="Arial"/>
        </w:rPr>
        <w:t xml:space="preserve">Exceto pela remuneração a ser paga em decorrência da Oferta, conforme previsto na seção "Informações relativas a Oferta — Custos Estimados de Distribuição – Comissionamento dos Coordenadores", na página 77 deste Prospecto, não há qualquer remuneração a ser paga pela Companhia ao </w:t>
      </w:r>
      <w:r>
        <w:t>BTG</w:t>
      </w:r>
      <w:r>
        <w:rPr>
          <w:rFonts w:ascii="Verdana" w:hAnsi="Verdana" w:cs="Arial"/>
        </w:rPr>
        <w:t xml:space="preserve">. </w:t>
      </w:r>
    </w:p>
    <w:p>
      <w:pPr>
        <w:pStyle w:val="HOMEBRBodyText"/>
        <w:keepLines w:val="0"/>
        <w:spacing w:line="300" w:lineRule="exact"/>
        <w:rPr>
          <w:rFonts w:ascii="Verdana" w:hAnsi="Verdana" w:cs="Arial"/>
        </w:rPr>
      </w:pPr>
      <w:r>
        <w:rPr>
          <w:rFonts w:ascii="Verdana" w:hAnsi="Verdana" w:cs="Arial"/>
        </w:rPr>
        <w:t xml:space="preserve">A Companhia declara que não há qualquer conflito de interesse referente à atuação do </w:t>
      </w:r>
      <w:r>
        <w:t>BTG</w:t>
      </w:r>
      <w:r>
        <w:rPr>
          <w:rFonts w:ascii="Verdana" w:hAnsi="Verdana" w:cs="Arial"/>
        </w:rPr>
        <w:t xml:space="preserve"> como instituição intermediária da Oferta. Ainda, a Companhia declara que, além das informações prestadas acima, não há qualquer outro relacionamento relevante entre a Companhia e o </w:t>
      </w:r>
      <w:r>
        <w:t xml:space="preserve">BTG </w:t>
      </w:r>
      <w:r>
        <w:rPr>
          <w:rFonts w:ascii="Verdana" w:hAnsi="Verdana" w:cs="Arial"/>
        </w:rPr>
        <w:t>e/ou qualquer sociedade de seu grupo econômico.</w:t>
      </w:r>
    </w:p>
    <w:p>
      <w:pPr>
        <w:pStyle w:val="HOMEBRBodyText"/>
        <w:keepLines w:val="0"/>
        <w:spacing w:after="0" w:line="300" w:lineRule="exact"/>
        <w:rPr>
          <w:rFonts w:ascii="Verdana" w:hAnsi="Verdana" w:cs="Arial"/>
        </w:rPr>
      </w:pPr>
    </w:p>
    <w:p>
      <w:pPr>
        <w:pStyle w:val="Ttulo1"/>
        <w:spacing w:line="300" w:lineRule="exact"/>
        <w:rPr>
          <w:rFonts w:ascii="Verdana" w:hAnsi="Verdana"/>
          <w:lang w:val="pt-BR"/>
        </w:rPr>
      </w:pPr>
      <w:bookmarkStart w:id="360" w:name="_Toc428306482"/>
      <w:bookmarkStart w:id="361" w:name="_Ref434935466"/>
      <w:bookmarkStart w:id="362" w:name="_Ref434935922"/>
      <w:bookmarkStart w:id="363" w:name="_Ref434936783"/>
      <w:bookmarkStart w:id="364" w:name="_Toc484716033"/>
      <w:r>
        <w:rPr>
          <w:rFonts w:ascii="Verdana" w:hAnsi="Verdana"/>
          <w:lang w:val="pt-BR"/>
        </w:rPr>
        <w:lastRenderedPageBreak/>
        <w:t>INFORMAÇÕES SOBRE A eMISSORA, OS COORDENADORES, OS CONSULTORES, O AGENTE FIDUCIÁRIO, o Banco LIQUIDANTE, O Escriturador E OS AUDITORES</w:t>
      </w:r>
      <w:bookmarkEnd w:id="357"/>
      <w:bookmarkEnd w:id="360"/>
      <w:r>
        <w:rPr>
          <w:rFonts w:ascii="Verdana" w:hAnsi="Verdana"/>
          <w:lang w:val="pt-BR"/>
        </w:rPr>
        <w:t xml:space="preserve"> INDEPENDENTES</w:t>
      </w:r>
      <w:bookmarkEnd w:id="361"/>
      <w:bookmarkEnd w:id="362"/>
      <w:bookmarkEnd w:id="363"/>
      <w:bookmarkEnd w:id="364"/>
    </w:p>
    <w:p>
      <w:pPr>
        <w:pStyle w:val="HOMEBRBodyText"/>
        <w:spacing w:line="300" w:lineRule="exact"/>
        <w:rPr>
          <w:rFonts w:ascii="Verdana" w:hAnsi="Verdana" w:cs="Arial"/>
        </w:rPr>
      </w:pPr>
      <w:r>
        <w:rPr>
          <w:rFonts w:ascii="Verdana" w:hAnsi="Verdana" w:cs="Arial"/>
        </w:rPr>
        <w:t>Para fins do disposto no Item 2 do Anexo III da Instrução CVM 400, esclarecimentos sobre a Emissora e a Oferta, bem como este Prospecto, poderão ser obtidos nos seguintes endereços:</w:t>
      </w:r>
    </w:p>
    <w:tbl>
      <w:tblPr>
        <w:tblW w:w="0" w:type="auto"/>
        <w:jc w:val="center"/>
        <w:tblLook w:val="04A0" w:firstRow="1" w:lastRow="0" w:firstColumn="1" w:lastColumn="0" w:noHBand="0" w:noVBand="1"/>
      </w:tblPr>
      <w:tblGrid>
        <w:gridCol w:w="3903"/>
        <w:gridCol w:w="870"/>
        <w:gridCol w:w="4065"/>
      </w:tblGrid>
      <w:tr>
        <w:trPr>
          <w:jc w:val="center"/>
        </w:trPr>
        <w:tc>
          <w:tcPr>
            <w:tcW w:w="8838" w:type="dxa"/>
            <w:gridSpan w:val="3"/>
            <w:shd w:val="clear" w:color="auto" w:fill="auto"/>
          </w:tcPr>
          <w:p>
            <w:pPr>
              <w:pBdr>
                <w:bottom w:val="single" w:sz="4" w:space="1" w:color="auto"/>
              </w:pBdr>
              <w:spacing w:after="0" w:line="300" w:lineRule="exact"/>
              <w:jc w:val="center"/>
              <w:rPr>
                <w:rFonts w:ascii="Verdana" w:hAnsi="Verdana" w:cs="Arial"/>
                <w:b/>
              </w:rPr>
            </w:pPr>
            <w:r>
              <w:rPr>
                <w:rFonts w:ascii="Verdana" w:hAnsi="Verdana" w:cs="Arial"/>
                <w:b/>
              </w:rPr>
              <w:t>Emissora</w:t>
            </w:r>
          </w:p>
        </w:tc>
      </w:tr>
      <w:tr>
        <w:trPr>
          <w:jc w:val="center"/>
        </w:trPr>
        <w:tc>
          <w:tcPr>
            <w:tcW w:w="8838" w:type="dxa"/>
            <w:gridSpan w:val="3"/>
            <w:shd w:val="clear" w:color="auto" w:fill="auto"/>
          </w:tcPr>
          <w:p>
            <w:pPr>
              <w:spacing w:before="60" w:after="0" w:line="300" w:lineRule="exact"/>
              <w:jc w:val="left"/>
              <w:rPr>
                <w:rFonts w:ascii="Verdana" w:hAnsi="Verdana" w:cs="Arial"/>
                <w:b/>
                <w:lang w:val="pt-BR"/>
              </w:rPr>
            </w:pPr>
            <w:r>
              <w:rPr>
                <w:rFonts w:ascii="Verdana" w:hAnsi="Verdana" w:cs="Arial"/>
                <w:b/>
                <w:lang w:val="pt-BR"/>
              </w:rPr>
              <w:t>RUMO S.A.</w:t>
            </w:r>
          </w:p>
          <w:p>
            <w:pPr>
              <w:spacing w:after="0" w:line="300" w:lineRule="exact"/>
              <w:jc w:val="left"/>
              <w:rPr>
                <w:rFonts w:ascii="Verdana" w:hAnsi="Verdana" w:cs="Arial"/>
                <w:lang w:val="pt-BR"/>
              </w:rPr>
            </w:pPr>
            <w:r>
              <w:rPr>
                <w:rFonts w:ascii="Verdana" w:hAnsi="Verdana" w:cs="Arial"/>
                <w:lang w:val="pt-BR"/>
              </w:rPr>
              <w:t xml:space="preserve">At.: Diretor Financeiro – Alexandre Palhares </w:t>
            </w:r>
          </w:p>
          <w:p>
            <w:pPr>
              <w:spacing w:after="0" w:line="300" w:lineRule="exact"/>
              <w:jc w:val="left"/>
              <w:rPr>
                <w:rFonts w:ascii="Verdana" w:hAnsi="Verdana" w:cs="Arial"/>
                <w:lang w:val="pt-BR"/>
              </w:rPr>
            </w:pPr>
            <w:r>
              <w:rPr>
                <w:rFonts w:ascii="Verdana" w:hAnsi="Verdana" w:cs="Arial"/>
                <w:lang w:val="pt-BR"/>
              </w:rPr>
              <w:t>Rua Emilio Bertolini, nº 100 - Cajuru</w:t>
            </w:r>
          </w:p>
          <w:p>
            <w:pPr>
              <w:spacing w:after="0" w:line="300" w:lineRule="exact"/>
              <w:jc w:val="left"/>
              <w:rPr>
                <w:rFonts w:ascii="Verdana" w:hAnsi="Verdana" w:cs="Arial"/>
                <w:lang w:val="pt-BR"/>
              </w:rPr>
            </w:pPr>
            <w:r>
              <w:rPr>
                <w:rFonts w:ascii="Verdana" w:hAnsi="Verdana" w:cs="Arial"/>
                <w:lang w:val="pt-BR"/>
              </w:rPr>
              <w:t>Curitiba, Paraná, CEP 82920-030</w:t>
            </w:r>
          </w:p>
          <w:p>
            <w:pPr>
              <w:spacing w:after="0" w:line="300" w:lineRule="exact"/>
              <w:jc w:val="left"/>
              <w:rPr>
                <w:rFonts w:ascii="Verdana" w:hAnsi="Verdana" w:cs="Arial"/>
                <w:lang w:val="de-DE"/>
              </w:rPr>
            </w:pPr>
            <w:r>
              <w:rPr>
                <w:rFonts w:ascii="Verdana" w:hAnsi="Verdana" w:cs="Arial"/>
                <w:lang w:val="de-DE"/>
              </w:rPr>
              <w:t>Tel.: (41) 2141-7520</w:t>
            </w:r>
          </w:p>
          <w:p>
            <w:pPr>
              <w:spacing w:after="0" w:line="300" w:lineRule="exact"/>
              <w:jc w:val="left"/>
              <w:rPr>
                <w:rFonts w:ascii="Verdana" w:hAnsi="Verdana" w:cs="Arial"/>
                <w:lang w:val="de-DE"/>
              </w:rPr>
            </w:pPr>
            <w:r>
              <w:rPr>
                <w:rFonts w:ascii="Verdana" w:hAnsi="Verdana" w:cs="Arial"/>
                <w:lang w:val="de-DE"/>
              </w:rPr>
              <w:t>www.ri.rumolog.com.br</w:t>
            </w:r>
          </w:p>
          <w:p>
            <w:pPr>
              <w:spacing w:after="0" w:line="300" w:lineRule="exact"/>
              <w:jc w:val="left"/>
              <w:rPr>
                <w:rFonts w:ascii="Verdana" w:hAnsi="Verdana" w:cs="Arial"/>
                <w:lang w:val="de-DE"/>
              </w:rPr>
            </w:pPr>
          </w:p>
        </w:tc>
      </w:tr>
      <w:tr>
        <w:trPr>
          <w:jc w:val="center"/>
        </w:trPr>
        <w:tc>
          <w:tcPr>
            <w:tcW w:w="8838" w:type="dxa"/>
            <w:gridSpan w:val="3"/>
            <w:shd w:val="clear" w:color="auto" w:fill="auto"/>
          </w:tcPr>
          <w:p>
            <w:pPr>
              <w:pBdr>
                <w:bottom w:val="single" w:sz="4" w:space="1" w:color="auto"/>
              </w:pBdr>
              <w:spacing w:after="0" w:line="300" w:lineRule="exact"/>
              <w:jc w:val="center"/>
              <w:rPr>
                <w:rFonts w:ascii="Verdana" w:hAnsi="Verdana" w:cs="Arial"/>
                <w:b/>
                <w:lang w:val="pt-BR"/>
              </w:rPr>
            </w:pPr>
            <w:r>
              <w:rPr>
                <w:rFonts w:ascii="Verdana" w:hAnsi="Verdana" w:cs="Arial"/>
                <w:b/>
                <w:lang w:val="pt-BR"/>
              </w:rPr>
              <w:t xml:space="preserve">Coordenadores </w:t>
            </w:r>
          </w:p>
        </w:tc>
      </w:tr>
      <w:tr>
        <w:trPr>
          <w:jc w:val="center"/>
        </w:trPr>
        <w:tc>
          <w:tcPr>
            <w:tcW w:w="4406" w:type="dxa"/>
            <w:shd w:val="clear" w:color="auto" w:fill="auto"/>
          </w:tcPr>
          <w:p>
            <w:pPr>
              <w:spacing w:before="60" w:after="0" w:line="300" w:lineRule="exact"/>
              <w:rPr>
                <w:rFonts w:ascii="Verdana" w:hAnsi="Verdana" w:cs="Arial"/>
                <w:b/>
                <w:lang w:val="pt-BR"/>
              </w:rPr>
            </w:pPr>
            <w:r>
              <w:rPr>
                <w:rFonts w:ascii="Verdana" w:hAnsi="Verdana" w:cs="Arial"/>
                <w:b/>
                <w:lang w:val="pt-BR"/>
              </w:rPr>
              <w:t>Coordenador Líder</w:t>
            </w:r>
          </w:p>
        </w:tc>
        <w:tc>
          <w:tcPr>
            <w:tcW w:w="4432" w:type="dxa"/>
            <w:gridSpan w:val="2"/>
            <w:shd w:val="clear" w:color="auto" w:fill="auto"/>
          </w:tcPr>
          <w:p>
            <w:pPr>
              <w:spacing w:before="60" w:after="0" w:line="300" w:lineRule="exact"/>
              <w:rPr>
                <w:rFonts w:ascii="Verdana" w:hAnsi="Verdana" w:cs="Arial"/>
                <w:b/>
                <w:lang w:val="pt-BR"/>
              </w:rPr>
            </w:pPr>
            <w:r>
              <w:rPr>
                <w:rFonts w:ascii="Verdana" w:hAnsi="Verdana" w:cs="Arial"/>
                <w:b/>
                <w:lang w:val="pt-BR"/>
              </w:rPr>
              <w:t>Coordenador</w:t>
            </w:r>
          </w:p>
        </w:tc>
      </w:tr>
      <w:tr>
        <w:trPr>
          <w:jc w:val="center"/>
        </w:trPr>
        <w:tc>
          <w:tcPr>
            <w:tcW w:w="4406" w:type="dxa"/>
            <w:shd w:val="clear" w:color="auto" w:fill="auto"/>
          </w:tcPr>
          <w:p>
            <w:pPr>
              <w:spacing w:before="60" w:after="0" w:line="300" w:lineRule="exact"/>
              <w:jc w:val="left"/>
              <w:rPr>
                <w:rFonts w:ascii="Verdana" w:hAnsi="Verdana" w:cs="Arial"/>
                <w:b/>
                <w:lang w:val="pt-BR"/>
              </w:rPr>
            </w:pPr>
            <w:r>
              <w:rPr>
                <w:rFonts w:ascii="Verdana" w:hAnsi="Verdana" w:cs="Arial"/>
                <w:b/>
                <w:lang w:val="pt-BR"/>
              </w:rPr>
              <w:t>Banco Itaú BBA S.A.</w:t>
            </w:r>
          </w:p>
          <w:p>
            <w:pPr>
              <w:spacing w:after="0" w:line="300" w:lineRule="exact"/>
              <w:jc w:val="left"/>
              <w:rPr>
                <w:rFonts w:ascii="Verdana" w:hAnsi="Verdana" w:cs="Arial"/>
                <w:lang w:val="pt-BR"/>
              </w:rPr>
            </w:pPr>
            <w:r>
              <w:rPr>
                <w:rFonts w:ascii="Verdana" w:hAnsi="Verdana" w:cs="Arial"/>
                <w:lang w:val="pt-BR"/>
              </w:rPr>
              <w:t xml:space="preserve">At.: Eduardo Prado Santos </w:t>
            </w:r>
          </w:p>
          <w:p>
            <w:pPr>
              <w:spacing w:after="0" w:line="300" w:lineRule="exact"/>
              <w:jc w:val="left"/>
              <w:rPr>
                <w:rFonts w:ascii="Verdana" w:hAnsi="Verdana" w:cs="Arial"/>
                <w:lang w:val="pt-BR"/>
              </w:rPr>
            </w:pPr>
            <w:r>
              <w:rPr>
                <w:rFonts w:ascii="Verdana" w:hAnsi="Verdana" w:cs="Arial"/>
                <w:lang w:val="pt-BR"/>
              </w:rPr>
              <w:t xml:space="preserve">Av. Brigadeiro Faria Lima, 3.500, 2º andar </w:t>
            </w:r>
          </w:p>
          <w:p>
            <w:pPr>
              <w:spacing w:after="0" w:line="300" w:lineRule="exact"/>
              <w:jc w:val="left"/>
              <w:rPr>
                <w:rFonts w:ascii="Verdana" w:hAnsi="Verdana" w:cs="Arial"/>
                <w:lang w:val="pt-BR"/>
              </w:rPr>
            </w:pPr>
            <w:r>
              <w:rPr>
                <w:rFonts w:ascii="Verdana" w:hAnsi="Verdana" w:cs="Arial"/>
                <w:lang w:val="pt-BR"/>
              </w:rPr>
              <w:t xml:space="preserve">CEP 04538-132, São Paulo, SP </w:t>
            </w:r>
          </w:p>
          <w:p>
            <w:pPr>
              <w:spacing w:after="0" w:line="300" w:lineRule="exact"/>
              <w:jc w:val="left"/>
              <w:rPr>
                <w:rFonts w:ascii="Verdana" w:hAnsi="Verdana" w:cs="Arial"/>
                <w:lang w:val="pt-BR"/>
              </w:rPr>
            </w:pPr>
            <w:r>
              <w:rPr>
                <w:rFonts w:ascii="Verdana" w:hAnsi="Verdana" w:cs="Arial"/>
                <w:lang w:val="pt-BR"/>
              </w:rPr>
              <w:t>Tel.: 11 3708-8717</w:t>
            </w:r>
          </w:p>
          <w:p>
            <w:pPr>
              <w:spacing w:line="300" w:lineRule="exact"/>
              <w:jc w:val="left"/>
              <w:rPr>
                <w:rFonts w:ascii="Verdana" w:hAnsi="Verdana" w:cs="Arial"/>
                <w:lang w:val="pt-BR"/>
              </w:rPr>
            </w:pPr>
            <w:r>
              <w:rPr>
                <w:rFonts w:ascii="Verdana" w:hAnsi="Verdana" w:cs="Arial"/>
                <w:lang w:val="pt-BR"/>
              </w:rPr>
              <w:t>http://www.itau.com.br/itaubba-pt/nossos-negocios/ofertas-publicas/</w:t>
            </w:r>
          </w:p>
        </w:tc>
        <w:tc>
          <w:tcPr>
            <w:tcW w:w="4432" w:type="dxa"/>
            <w:gridSpan w:val="2"/>
            <w:shd w:val="clear" w:color="auto" w:fill="auto"/>
          </w:tcPr>
          <w:p>
            <w:pPr>
              <w:spacing w:after="0" w:line="300" w:lineRule="exact"/>
              <w:jc w:val="left"/>
              <w:rPr>
                <w:rFonts w:ascii="Verdana" w:hAnsi="Verdana" w:cs="Arial"/>
                <w:b/>
                <w:lang w:val="pt-BR"/>
              </w:rPr>
            </w:pPr>
            <w:r>
              <w:rPr>
                <w:rFonts w:ascii="Verdana" w:hAnsi="Verdana" w:cs="Arial"/>
                <w:b/>
                <w:lang w:val="pt-BR"/>
              </w:rPr>
              <w:t>Banco Santander (Brasil) S.A.</w:t>
            </w:r>
          </w:p>
          <w:p>
            <w:pPr>
              <w:spacing w:after="0" w:line="300" w:lineRule="exact"/>
              <w:jc w:val="left"/>
              <w:rPr>
                <w:rFonts w:ascii="Verdana" w:hAnsi="Verdana" w:cs="Arial"/>
              </w:rPr>
            </w:pPr>
            <w:r>
              <w:rPr>
                <w:rFonts w:ascii="Verdana" w:hAnsi="Verdana" w:cs="Arial"/>
              </w:rPr>
              <w:t xml:space="preserve">At.: Alishan Khan </w:t>
            </w:r>
          </w:p>
          <w:p>
            <w:pPr>
              <w:spacing w:after="0" w:line="300" w:lineRule="exact"/>
              <w:jc w:val="left"/>
              <w:rPr>
                <w:rFonts w:ascii="Verdana" w:hAnsi="Verdana" w:cs="Arial"/>
              </w:rPr>
            </w:pPr>
            <w:r>
              <w:rPr>
                <w:rFonts w:ascii="Verdana" w:hAnsi="Verdana" w:cs="Arial"/>
              </w:rPr>
              <w:t>Av. Jucelino Kubitschek, 2235, 24º andar</w:t>
            </w:r>
          </w:p>
          <w:p>
            <w:pPr>
              <w:spacing w:after="0" w:line="300" w:lineRule="exact"/>
              <w:jc w:val="left"/>
              <w:rPr>
                <w:rFonts w:ascii="Verdana" w:hAnsi="Verdana" w:cs="Arial"/>
                <w:lang w:val="pt-BR"/>
              </w:rPr>
            </w:pPr>
            <w:r>
              <w:rPr>
                <w:rFonts w:ascii="Verdana" w:hAnsi="Verdana" w:cs="Arial"/>
                <w:lang w:val="pt-BR"/>
              </w:rPr>
              <w:t>CEP 04543-011, São Paulo, SP</w:t>
            </w:r>
          </w:p>
          <w:p>
            <w:pPr>
              <w:spacing w:after="0" w:line="300" w:lineRule="exact"/>
              <w:jc w:val="left"/>
              <w:rPr>
                <w:rFonts w:ascii="Verdana" w:hAnsi="Verdana" w:cs="Arial"/>
                <w:lang w:val="pt-BR"/>
              </w:rPr>
            </w:pPr>
            <w:r>
              <w:rPr>
                <w:rFonts w:ascii="Verdana" w:hAnsi="Verdana" w:cs="Arial"/>
                <w:lang w:val="pt-BR"/>
              </w:rPr>
              <w:t>Tel.: 11 3553-6518</w:t>
            </w:r>
          </w:p>
          <w:p>
            <w:pPr>
              <w:spacing w:after="0" w:line="300" w:lineRule="exact"/>
              <w:jc w:val="left"/>
              <w:rPr>
                <w:rFonts w:ascii="Verdana" w:hAnsi="Verdana" w:cs="Arial"/>
                <w:lang w:val="pt-BR"/>
              </w:rPr>
            </w:pPr>
            <w:r>
              <w:rPr>
                <w:rFonts w:ascii="Verdana" w:hAnsi="Verdana" w:cs="Arial"/>
              </w:rPr>
              <w:t xml:space="preserve">Fax: </w:t>
            </w:r>
            <w:r>
              <w:rPr>
                <w:rFonts w:ascii="Verdana" w:hAnsi="Verdana" w:cs="Arial"/>
                <w:lang w:val="pt-BR"/>
              </w:rPr>
              <w:t>11 3553-6518</w:t>
            </w:r>
          </w:p>
          <w:p>
            <w:pPr>
              <w:spacing w:after="0" w:line="300" w:lineRule="exact"/>
              <w:jc w:val="left"/>
              <w:rPr>
                <w:rFonts w:ascii="Verdana" w:hAnsi="Verdana" w:cs="Arial"/>
                <w:lang w:val="pt-BR"/>
              </w:rPr>
            </w:pPr>
            <w:r>
              <w:rPr>
                <w:rStyle w:val="Hyperlink"/>
                <w:rFonts w:ascii="Verdana" w:hAnsi="Verdana" w:cs="Arial"/>
              </w:rPr>
              <w:t>www.santander.com.br</w:t>
            </w:r>
            <w:r>
              <w:rPr>
                <w:rFonts w:ascii="Verdana" w:hAnsi="Verdana" w:cs="Arial"/>
                <w:b/>
                <w:lang w:val="pt-BR"/>
              </w:rPr>
              <w:t xml:space="preserve"> </w:t>
            </w:r>
          </w:p>
        </w:tc>
      </w:tr>
      <w:tr>
        <w:trPr>
          <w:jc w:val="center"/>
        </w:trPr>
        <w:tc>
          <w:tcPr>
            <w:tcW w:w="4406" w:type="dxa"/>
            <w:shd w:val="clear" w:color="auto" w:fill="auto"/>
          </w:tcPr>
          <w:p>
            <w:pPr>
              <w:spacing w:after="0" w:line="300" w:lineRule="exact"/>
              <w:jc w:val="left"/>
              <w:rPr>
                <w:rFonts w:ascii="Verdana" w:hAnsi="Verdana" w:cs="Arial"/>
                <w:b/>
                <w:lang w:val="pt-BR"/>
              </w:rPr>
            </w:pPr>
            <w:r>
              <w:rPr>
                <w:rFonts w:ascii="Verdana" w:hAnsi="Verdana" w:cs="Arial"/>
                <w:b/>
                <w:lang w:val="pt-BR"/>
              </w:rPr>
              <w:t>Coordenador</w:t>
            </w:r>
          </w:p>
        </w:tc>
        <w:tc>
          <w:tcPr>
            <w:tcW w:w="4432" w:type="dxa"/>
            <w:gridSpan w:val="2"/>
            <w:shd w:val="clear" w:color="auto" w:fill="auto"/>
          </w:tcPr>
          <w:p>
            <w:pPr>
              <w:spacing w:after="0" w:line="300" w:lineRule="exact"/>
              <w:jc w:val="left"/>
              <w:rPr>
                <w:rFonts w:ascii="Verdana" w:hAnsi="Verdana" w:cs="Arial"/>
                <w:lang w:val="pt-BR"/>
              </w:rPr>
            </w:pPr>
            <w:r>
              <w:rPr>
                <w:rFonts w:ascii="Verdana" w:hAnsi="Verdana" w:cs="Arial"/>
                <w:b/>
              </w:rPr>
              <w:t>Coordenador</w:t>
            </w:r>
          </w:p>
        </w:tc>
      </w:tr>
      <w:tr>
        <w:trPr>
          <w:jc w:val="center"/>
        </w:trPr>
        <w:tc>
          <w:tcPr>
            <w:tcW w:w="4406" w:type="dxa"/>
            <w:shd w:val="clear" w:color="auto" w:fill="auto"/>
          </w:tcPr>
          <w:p>
            <w:pPr>
              <w:spacing w:before="60" w:after="0" w:line="300" w:lineRule="exact"/>
              <w:jc w:val="left"/>
              <w:rPr>
                <w:rFonts w:ascii="Verdana" w:hAnsi="Verdana" w:cs="Arial"/>
                <w:b/>
                <w:lang w:val="pt-BR"/>
              </w:rPr>
            </w:pPr>
            <w:r>
              <w:rPr>
                <w:rFonts w:ascii="Verdana" w:hAnsi="Verdana" w:cs="Arial"/>
                <w:b/>
                <w:lang w:val="pt-BR"/>
              </w:rPr>
              <w:t>Banco Bradesco BBI S.A.</w:t>
            </w:r>
          </w:p>
          <w:p>
            <w:pPr>
              <w:spacing w:after="0" w:line="300" w:lineRule="exact"/>
              <w:jc w:val="left"/>
              <w:rPr>
                <w:rFonts w:ascii="Verdana" w:hAnsi="Verdana" w:cs="Arial"/>
                <w:lang w:val="pt-BR"/>
              </w:rPr>
            </w:pPr>
            <w:r>
              <w:rPr>
                <w:rFonts w:ascii="Verdana" w:hAnsi="Verdana" w:cs="Arial"/>
                <w:lang w:val="pt-BR"/>
              </w:rPr>
              <w:t>At.: Mauro Tukiyama</w:t>
            </w:r>
          </w:p>
          <w:p>
            <w:pPr>
              <w:spacing w:after="0" w:line="300" w:lineRule="exact"/>
              <w:jc w:val="left"/>
              <w:rPr>
                <w:rFonts w:ascii="Verdana" w:hAnsi="Verdana" w:cs="Arial"/>
                <w:lang w:val="pt-BR"/>
              </w:rPr>
            </w:pPr>
            <w:r>
              <w:rPr>
                <w:rFonts w:ascii="Verdana" w:hAnsi="Verdana" w:cs="Arial"/>
                <w:lang w:val="pt-BR"/>
              </w:rPr>
              <w:t xml:space="preserve">Av. Brigadeiro Faria Lima, 3.064, 10º andar </w:t>
            </w:r>
          </w:p>
          <w:p>
            <w:pPr>
              <w:spacing w:after="0" w:line="300" w:lineRule="exact"/>
              <w:jc w:val="left"/>
              <w:rPr>
                <w:rFonts w:ascii="Verdana" w:hAnsi="Verdana" w:cs="Arial"/>
                <w:lang w:val="pt-BR"/>
              </w:rPr>
            </w:pPr>
            <w:r>
              <w:rPr>
                <w:rFonts w:ascii="Verdana" w:hAnsi="Verdana" w:cs="Arial"/>
                <w:lang w:val="pt-BR"/>
              </w:rPr>
              <w:t>CEP 01451-000, São Paulo, SP</w:t>
            </w:r>
          </w:p>
          <w:p>
            <w:pPr>
              <w:spacing w:after="0" w:line="300" w:lineRule="exact"/>
              <w:jc w:val="left"/>
              <w:rPr>
                <w:rFonts w:ascii="Verdana" w:hAnsi="Verdana" w:cs="Arial"/>
                <w:lang w:val="pt-BR"/>
              </w:rPr>
            </w:pPr>
            <w:r>
              <w:rPr>
                <w:rFonts w:ascii="Verdana" w:hAnsi="Verdana" w:cs="Arial"/>
                <w:lang w:val="pt-BR"/>
              </w:rPr>
              <w:t>Tel.: +55 11 2169-4662</w:t>
            </w:r>
          </w:p>
          <w:p>
            <w:pPr>
              <w:spacing w:line="300" w:lineRule="exact"/>
              <w:jc w:val="left"/>
              <w:rPr>
                <w:rFonts w:ascii="Verdana" w:hAnsi="Verdana" w:cs="Arial"/>
                <w:lang w:val="pt-BR"/>
              </w:rPr>
            </w:pPr>
            <w:hyperlink r:id="rId43" w:history="1">
              <w:r>
                <w:rPr>
                  <w:rStyle w:val="Hyperlink"/>
                  <w:rFonts w:ascii="Verdana" w:hAnsi="Verdana" w:cs="Arial"/>
                  <w:lang w:val="pt-BR"/>
                </w:rPr>
                <w:t>www.bradescobbi.com.br</w:t>
              </w:r>
            </w:hyperlink>
          </w:p>
        </w:tc>
        <w:tc>
          <w:tcPr>
            <w:tcW w:w="4432" w:type="dxa"/>
            <w:gridSpan w:val="2"/>
            <w:shd w:val="clear" w:color="auto" w:fill="auto"/>
          </w:tcPr>
          <w:p>
            <w:pPr>
              <w:spacing w:after="0" w:line="300" w:lineRule="exact"/>
              <w:jc w:val="left"/>
              <w:rPr>
                <w:rFonts w:ascii="Verdana" w:hAnsi="Verdana" w:cs="Arial"/>
                <w:b/>
                <w:lang w:val="pt-BR"/>
              </w:rPr>
            </w:pPr>
            <w:r>
              <w:rPr>
                <w:rFonts w:ascii="Verdana" w:hAnsi="Verdana" w:cs="Arial"/>
                <w:b/>
                <w:lang w:val="pt-BR"/>
              </w:rPr>
              <w:t>BB – Banco de Investimento S.A.</w:t>
            </w:r>
          </w:p>
          <w:p>
            <w:pPr>
              <w:spacing w:after="0" w:line="300" w:lineRule="exact"/>
              <w:jc w:val="left"/>
              <w:rPr>
                <w:rFonts w:ascii="Verdana" w:hAnsi="Verdana" w:cs="Arial"/>
                <w:lang w:val="pt-BR"/>
              </w:rPr>
            </w:pPr>
            <w:r>
              <w:rPr>
                <w:rFonts w:ascii="Verdana" w:hAnsi="Verdana" w:cs="Arial"/>
                <w:lang w:val="pt-BR"/>
              </w:rPr>
              <w:t>At.: Cleber Oliveira de Aguiar</w:t>
            </w:r>
          </w:p>
          <w:p>
            <w:pPr>
              <w:spacing w:after="0" w:line="300" w:lineRule="exact"/>
              <w:rPr>
                <w:rFonts w:ascii="Verdana" w:hAnsi="Verdana" w:cs="Arial"/>
                <w:lang w:val="pt-BR"/>
              </w:rPr>
            </w:pPr>
            <w:r>
              <w:rPr>
                <w:rFonts w:ascii="Verdana" w:hAnsi="Verdana" w:cs="Arial"/>
                <w:lang w:val="pt-BR"/>
              </w:rPr>
              <w:t>Rua Senador Dantas, nº 105, 37º andar, Centro</w:t>
            </w:r>
          </w:p>
          <w:p>
            <w:pPr>
              <w:spacing w:after="0" w:line="300" w:lineRule="exact"/>
              <w:rPr>
                <w:rFonts w:ascii="Verdana" w:hAnsi="Verdana" w:cs="Arial"/>
                <w:lang w:val="pt-BR"/>
              </w:rPr>
            </w:pPr>
            <w:r>
              <w:rPr>
                <w:rFonts w:ascii="Verdana" w:hAnsi="Verdana" w:cs="Arial"/>
                <w:lang w:val="pt-BR"/>
              </w:rPr>
              <w:t>CEP 20031-923 - Rio de Janeiro/RJ</w:t>
            </w:r>
          </w:p>
          <w:p>
            <w:pPr>
              <w:spacing w:after="0" w:line="300" w:lineRule="exact"/>
              <w:jc w:val="left"/>
              <w:rPr>
                <w:rFonts w:ascii="Verdana" w:hAnsi="Verdana" w:cs="Arial"/>
                <w:lang w:val="pt-BR"/>
              </w:rPr>
            </w:pPr>
            <w:r>
              <w:rPr>
                <w:rFonts w:ascii="Verdana" w:hAnsi="Verdana" w:cs="Arial"/>
                <w:lang w:val="pt-BR"/>
              </w:rPr>
              <w:t>Tel.: (11) 4298-7033</w:t>
            </w:r>
          </w:p>
          <w:p>
            <w:pPr>
              <w:spacing w:after="0" w:line="300" w:lineRule="exact"/>
              <w:rPr>
                <w:rFonts w:ascii="Verdana" w:hAnsi="Verdana" w:cs="Arial"/>
                <w:lang w:val="pt-BR"/>
              </w:rPr>
            </w:pPr>
            <w:r>
              <w:rPr>
                <w:rFonts w:ascii="Verdana" w:hAnsi="Verdana" w:cs="Arial"/>
                <w:lang w:val="pt-BR"/>
              </w:rPr>
              <w:t>E-mail: rendafixa@bb.com.br/cleberaguiar@bb.com.br</w:t>
            </w:r>
            <w:r>
              <w:rPr>
                <w:rFonts w:ascii="Verdana" w:hAnsi="Verdana" w:cs="Arial"/>
                <w:bCs/>
                <w:sz w:val="18"/>
                <w:szCs w:val="18"/>
                <w:lang w:val="pt-BR" w:eastAsia="pt-BR"/>
              </w:rPr>
              <w:t xml:space="preserve"> </w:t>
            </w:r>
          </w:p>
          <w:p>
            <w:pPr>
              <w:spacing w:line="300" w:lineRule="exact"/>
              <w:jc w:val="left"/>
              <w:rPr>
                <w:rFonts w:ascii="Verdana" w:hAnsi="Verdana" w:cs="Arial"/>
                <w:lang w:val="de-DE"/>
              </w:rPr>
            </w:pPr>
            <w:r>
              <w:rPr>
                <w:rFonts w:ascii="Verdana" w:hAnsi="Verdana" w:cs="Arial"/>
              </w:rPr>
              <w:t>www.bb.com.br</w:t>
            </w:r>
          </w:p>
        </w:tc>
      </w:tr>
      <w:tr>
        <w:trPr>
          <w:jc w:val="center"/>
        </w:trPr>
        <w:tc>
          <w:tcPr>
            <w:tcW w:w="4406" w:type="dxa"/>
            <w:shd w:val="clear" w:color="auto" w:fill="auto"/>
          </w:tcPr>
          <w:p>
            <w:pPr>
              <w:spacing w:after="0" w:line="300" w:lineRule="exact"/>
              <w:jc w:val="left"/>
              <w:rPr>
                <w:rFonts w:ascii="Verdana" w:hAnsi="Verdana" w:cs="Arial"/>
                <w:b/>
                <w:lang w:val="pt-BR"/>
              </w:rPr>
            </w:pPr>
            <w:r>
              <w:rPr>
                <w:rFonts w:ascii="Verdana" w:hAnsi="Verdana" w:cs="Arial"/>
                <w:b/>
              </w:rPr>
              <w:t>Coordenador</w:t>
            </w:r>
          </w:p>
        </w:tc>
        <w:tc>
          <w:tcPr>
            <w:tcW w:w="4432" w:type="dxa"/>
            <w:gridSpan w:val="2"/>
            <w:shd w:val="clear" w:color="auto" w:fill="auto"/>
          </w:tcPr>
          <w:p>
            <w:pPr>
              <w:spacing w:after="0" w:line="300" w:lineRule="exact"/>
              <w:jc w:val="left"/>
              <w:rPr>
                <w:rFonts w:ascii="Verdana" w:hAnsi="Verdana" w:cs="Arial"/>
                <w:b/>
                <w:lang w:val="pt-BR"/>
              </w:rPr>
            </w:pPr>
            <w:r>
              <w:rPr>
                <w:rFonts w:ascii="Verdana" w:hAnsi="Verdana" w:cs="Arial"/>
                <w:b/>
              </w:rPr>
              <w:t>Coordenador</w:t>
            </w:r>
          </w:p>
        </w:tc>
      </w:tr>
      <w:tr>
        <w:trPr>
          <w:jc w:val="center"/>
        </w:trPr>
        <w:tc>
          <w:tcPr>
            <w:tcW w:w="4406" w:type="dxa"/>
            <w:shd w:val="clear" w:color="auto" w:fill="auto"/>
          </w:tcPr>
          <w:p>
            <w:pPr>
              <w:spacing w:after="0" w:line="300" w:lineRule="exact"/>
              <w:jc w:val="left"/>
              <w:rPr>
                <w:rFonts w:ascii="Verdana" w:hAnsi="Verdana" w:cs="Arial"/>
                <w:b/>
                <w:lang w:val="pt-BR"/>
              </w:rPr>
            </w:pPr>
            <w:r>
              <w:rPr>
                <w:rFonts w:ascii="Verdana" w:hAnsi="Verdana" w:cs="Arial"/>
                <w:b/>
                <w:lang w:val="pt-BR"/>
              </w:rPr>
              <w:t>XP Investimentos Corretora De Câmbio, Títulos E Valores Mobiliários</w:t>
            </w:r>
          </w:p>
          <w:p>
            <w:pPr>
              <w:spacing w:after="0" w:line="300" w:lineRule="exact"/>
              <w:jc w:val="left"/>
              <w:rPr>
                <w:rFonts w:ascii="Verdana" w:hAnsi="Verdana" w:cs="Arial"/>
                <w:lang w:val="pt-BR"/>
              </w:rPr>
            </w:pPr>
            <w:r>
              <w:rPr>
                <w:rFonts w:ascii="Verdana" w:hAnsi="Verdana" w:cs="Arial"/>
                <w:lang w:val="pt-BR"/>
              </w:rPr>
              <w:lastRenderedPageBreak/>
              <w:t>At.: Sr. Fábio Fukuda</w:t>
            </w:r>
          </w:p>
          <w:p>
            <w:pPr>
              <w:spacing w:after="0" w:line="300" w:lineRule="exact"/>
              <w:jc w:val="left"/>
              <w:rPr>
                <w:rFonts w:ascii="Verdana" w:hAnsi="Verdana" w:cs="Arial"/>
                <w:lang w:val="pt-BR"/>
              </w:rPr>
            </w:pPr>
            <w:r>
              <w:rPr>
                <w:rFonts w:ascii="Verdana" w:hAnsi="Verdana" w:cs="Arial"/>
                <w:lang w:val="pt-BR"/>
              </w:rPr>
              <w:t>Av. Juscelino Kubitschek 1909, Torre Sul, 25º ao 30º andares</w:t>
            </w:r>
          </w:p>
          <w:p>
            <w:pPr>
              <w:spacing w:after="0" w:line="300" w:lineRule="exact"/>
              <w:jc w:val="left"/>
              <w:rPr>
                <w:rFonts w:ascii="Verdana" w:hAnsi="Verdana" w:cs="Arial"/>
                <w:lang w:val="pt-BR"/>
              </w:rPr>
            </w:pPr>
            <w:r>
              <w:rPr>
                <w:rFonts w:ascii="Verdana" w:hAnsi="Verdana" w:cs="Arial"/>
                <w:lang w:val="pt-BR"/>
              </w:rPr>
              <w:t>CEP 04543-010, São Paulo, SP</w:t>
            </w:r>
          </w:p>
          <w:p>
            <w:pPr>
              <w:spacing w:after="0" w:line="300" w:lineRule="exact"/>
              <w:jc w:val="left"/>
              <w:rPr>
                <w:rFonts w:ascii="Verdana" w:hAnsi="Verdana" w:cs="Arial"/>
                <w:lang w:val="pt-BR"/>
              </w:rPr>
            </w:pPr>
            <w:r>
              <w:rPr>
                <w:rFonts w:ascii="Verdana" w:hAnsi="Verdana" w:cs="Arial"/>
                <w:lang w:val="pt-BR"/>
              </w:rPr>
              <w:t>Tel.: (11) 3027-2237</w:t>
            </w:r>
          </w:p>
          <w:p>
            <w:pPr>
              <w:spacing w:after="0" w:line="300" w:lineRule="exact"/>
              <w:jc w:val="left"/>
              <w:rPr>
                <w:rFonts w:ascii="Verdana" w:hAnsi="Verdana" w:cs="Arial"/>
                <w:b/>
                <w:lang w:val="pt-BR"/>
              </w:rPr>
            </w:pPr>
            <w:r>
              <w:rPr>
                <w:rFonts w:ascii="Verdana" w:hAnsi="Verdana" w:cs="Arial"/>
                <w:lang w:val="pt-BR"/>
              </w:rPr>
              <w:t>www.xpi.com.br</w:t>
            </w:r>
          </w:p>
        </w:tc>
        <w:tc>
          <w:tcPr>
            <w:tcW w:w="4432" w:type="dxa"/>
            <w:gridSpan w:val="2"/>
            <w:shd w:val="clear" w:color="auto" w:fill="auto"/>
          </w:tcPr>
          <w:p>
            <w:pPr>
              <w:spacing w:before="60" w:after="0" w:line="300" w:lineRule="exact"/>
              <w:jc w:val="left"/>
              <w:rPr>
                <w:rFonts w:ascii="Verdana" w:hAnsi="Verdana" w:cs="Arial"/>
                <w:b/>
                <w:lang w:val="pt-BR"/>
              </w:rPr>
            </w:pPr>
            <w:r>
              <w:rPr>
                <w:rFonts w:ascii="Verdana" w:hAnsi="Verdana" w:cs="Arial"/>
                <w:b/>
                <w:lang w:val="pt-BR"/>
              </w:rPr>
              <w:lastRenderedPageBreak/>
              <w:t>Banco BTG Pactual S.A.</w:t>
            </w:r>
          </w:p>
          <w:p>
            <w:pPr>
              <w:spacing w:after="0" w:line="300" w:lineRule="exact"/>
              <w:jc w:val="left"/>
              <w:rPr>
                <w:rFonts w:ascii="Verdana" w:hAnsi="Verdana" w:cs="Arial"/>
                <w:lang w:val="pt-BR"/>
              </w:rPr>
            </w:pPr>
            <w:r>
              <w:rPr>
                <w:rFonts w:ascii="Verdana" w:hAnsi="Verdana" w:cs="Arial"/>
                <w:lang w:val="pt-BR"/>
              </w:rPr>
              <w:t>At.: Daniel Vaz / Departamento Jurídico</w:t>
            </w:r>
            <w:r>
              <w:rPr>
                <w:rFonts w:ascii="Verdana" w:hAnsi="Verdana" w:cs="Arial"/>
                <w:b/>
                <w:lang w:val="pt-BR"/>
              </w:rPr>
              <w:t xml:space="preserve"> </w:t>
            </w:r>
          </w:p>
          <w:p>
            <w:pPr>
              <w:spacing w:after="0" w:line="300" w:lineRule="exact"/>
              <w:jc w:val="left"/>
              <w:rPr>
                <w:rFonts w:ascii="Verdana" w:hAnsi="Verdana" w:cs="Arial"/>
                <w:lang w:val="pt-BR"/>
              </w:rPr>
            </w:pPr>
            <w:r>
              <w:rPr>
                <w:rFonts w:ascii="Verdana" w:hAnsi="Verdana" w:cs="Arial"/>
                <w:lang w:val="pt-BR"/>
              </w:rPr>
              <w:t xml:space="preserve">Av. Brigadeiro Faria Lima, 3.477, 12º andares </w:t>
            </w:r>
          </w:p>
          <w:p>
            <w:pPr>
              <w:spacing w:after="0" w:line="300" w:lineRule="exact"/>
              <w:jc w:val="left"/>
              <w:rPr>
                <w:rFonts w:ascii="Verdana" w:hAnsi="Verdana" w:cs="Arial"/>
                <w:lang w:val="pt-BR"/>
              </w:rPr>
            </w:pPr>
            <w:r>
              <w:rPr>
                <w:rFonts w:ascii="Verdana" w:hAnsi="Verdana" w:cs="Arial"/>
                <w:lang w:val="pt-BR"/>
              </w:rPr>
              <w:lastRenderedPageBreak/>
              <w:t xml:space="preserve">CEP 04538-133, São Paulo, SP </w:t>
            </w:r>
          </w:p>
          <w:p>
            <w:pPr>
              <w:spacing w:after="0" w:line="300" w:lineRule="exact"/>
              <w:jc w:val="left"/>
              <w:rPr>
                <w:rFonts w:ascii="Verdana" w:hAnsi="Verdana" w:cs="Arial"/>
                <w:lang w:val="pt-BR"/>
              </w:rPr>
            </w:pPr>
            <w:r>
              <w:rPr>
                <w:rFonts w:ascii="Verdana" w:hAnsi="Verdana" w:cs="Arial"/>
                <w:lang w:val="pt-BR"/>
              </w:rPr>
              <w:t xml:space="preserve">Tel.: (11) 3383-2000 </w:t>
            </w:r>
          </w:p>
          <w:p>
            <w:pPr>
              <w:spacing w:after="0" w:line="300" w:lineRule="exact"/>
              <w:jc w:val="left"/>
              <w:rPr>
                <w:rFonts w:ascii="Verdana" w:hAnsi="Verdana" w:cs="Arial"/>
                <w:b/>
                <w:lang w:val="pt-BR"/>
              </w:rPr>
            </w:pPr>
            <w:hyperlink r:id="rId44" w:history="1">
              <w:r>
                <w:rPr>
                  <w:rStyle w:val="Hyperlink"/>
                  <w:rFonts w:ascii="Verdana" w:hAnsi="Verdana" w:cs="Arial"/>
                  <w:lang w:val="de-DE"/>
                </w:rPr>
                <w:t>www.btgpactual.com.br</w:t>
              </w:r>
            </w:hyperlink>
          </w:p>
        </w:tc>
      </w:tr>
      <w:tr>
        <w:trPr>
          <w:jc w:val="center"/>
        </w:trPr>
        <w:tc>
          <w:tcPr>
            <w:tcW w:w="4406" w:type="dxa"/>
            <w:shd w:val="clear" w:color="auto" w:fill="auto"/>
          </w:tcPr>
          <w:p>
            <w:pPr>
              <w:spacing w:after="0" w:line="300" w:lineRule="exact"/>
              <w:jc w:val="left"/>
              <w:rPr>
                <w:rFonts w:ascii="Verdana" w:hAnsi="Verdana" w:cs="Arial"/>
                <w:b/>
                <w:lang w:val="pt-BR"/>
              </w:rPr>
            </w:pPr>
          </w:p>
        </w:tc>
        <w:tc>
          <w:tcPr>
            <w:tcW w:w="4432" w:type="dxa"/>
            <w:gridSpan w:val="2"/>
            <w:shd w:val="clear" w:color="auto" w:fill="auto"/>
          </w:tcPr>
          <w:p>
            <w:pPr>
              <w:spacing w:after="0" w:line="300" w:lineRule="exact"/>
              <w:jc w:val="left"/>
              <w:rPr>
                <w:rFonts w:ascii="Verdana" w:hAnsi="Verdana" w:cs="Arial"/>
                <w:b/>
                <w:lang w:val="pt-BR"/>
              </w:rPr>
            </w:pPr>
          </w:p>
        </w:tc>
      </w:tr>
      <w:tr>
        <w:trPr>
          <w:jc w:val="center"/>
        </w:trPr>
        <w:tc>
          <w:tcPr>
            <w:tcW w:w="4406" w:type="dxa"/>
            <w:shd w:val="clear" w:color="auto" w:fill="auto"/>
          </w:tcPr>
          <w:p>
            <w:pPr>
              <w:spacing w:after="0" w:line="300" w:lineRule="exact"/>
              <w:jc w:val="left"/>
              <w:rPr>
                <w:rFonts w:ascii="Verdana" w:hAnsi="Verdana" w:cs="Arial"/>
                <w:b/>
                <w:lang w:val="pt-BR"/>
              </w:rPr>
            </w:pPr>
          </w:p>
        </w:tc>
        <w:tc>
          <w:tcPr>
            <w:tcW w:w="4432" w:type="dxa"/>
            <w:gridSpan w:val="2"/>
            <w:shd w:val="clear" w:color="auto" w:fill="auto"/>
          </w:tcPr>
          <w:p>
            <w:pPr>
              <w:spacing w:after="0" w:line="300" w:lineRule="exact"/>
              <w:jc w:val="left"/>
              <w:rPr>
                <w:rFonts w:ascii="Verdana" w:hAnsi="Verdana" w:cs="Arial"/>
                <w:b/>
                <w:lang w:val="pt-BR"/>
              </w:rPr>
            </w:pPr>
          </w:p>
        </w:tc>
      </w:tr>
      <w:tr>
        <w:trPr>
          <w:jc w:val="center"/>
        </w:trPr>
        <w:tc>
          <w:tcPr>
            <w:tcW w:w="4406" w:type="dxa"/>
            <w:shd w:val="clear" w:color="auto" w:fill="auto"/>
          </w:tcPr>
          <w:p>
            <w:pPr>
              <w:pBdr>
                <w:bottom w:val="single" w:sz="4" w:space="1" w:color="auto"/>
              </w:pBdr>
              <w:spacing w:after="0" w:line="300" w:lineRule="exact"/>
              <w:jc w:val="center"/>
              <w:rPr>
                <w:rFonts w:ascii="Verdana" w:hAnsi="Verdana" w:cs="Arial"/>
                <w:b/>
                <w:lang w:val="pt-BR"/>
              </w:rPr>
            </w:pPr>
            <w:r>
              <w:rPr>
                <w:rFonts w:ascii="Verdana" w:hAnsi="Verdana" w:cs="Arial"/>
                <w:b/>
                <w:lang w:val="pt-BR"/>
              </w:rPr>
              <w:t>Consultores Legais dos Coordenadores</w:t>
            </w:r>
          </w:p>
        </w:tc>
        <w:tc>
          <w:tcPr>
            <w:tcW w:w="4432" w:type="dxa"/>
            <w:gridSpan w:val="2"/>
            <w:shd w:val="clear" w:color="auto" w:fill="auto"/>
          </w:tcPr>
          <w:p>
            <w:pPr>
              <w:pBdr>
                <w:bottom w:val="single" w:sz="4" w:space="1" w:color="auto"/>
              </w:pBdr>
              <w:spacing w:after="0" w:line="300" w:lineRule="exact"/>
              <w:jc w:val="center"/>
              <w:rPr>
                <w:rFonts w:ascii="Verdana" w:hAnsi="Verdana" w:cs="Arial"/>
                <w:b/>
                <w:lang w:val="pt-BR"/>
              </w:rPr>
            </w:pPr>
            <w:r>
              <w:rPr>
                <w:rFonts w:ascii="Verdana" w:hAnsi="Verdana" w:cs="Arial"/>
                <w:b/>
                <w:lang w:val="pt-BR"/>
              </w:rPr>
              <w:t>Consultores Legais da Emissora</w:t>
            </w:r>
          </w:p>
        </w:tc>
      </w:tr>
      <w:tr>
        <w:trPr>
          <w:jc w:val="center"/>
        </w:trPr>
        <w:tc>
          <w:tcPr>
            <w:tcW w:w="4406" w:type="dxa"/>
            <w:shd w:val="clear" w:color="auto" w:fill="auto"/>
          </w:tcPr>
          <w:p>
            <w:pPr>
              <w:spacing w:before="60" w:after="0" w:line="300" w:lineRule="exact"/>
              <w:jc w:val="left"/>
              <w:rPr>
                <w:rFonts w:ascii="Verdana" w:hAnsi="Verdana" w:cs="Arial"/>
                <w:b/>
                <w:lang w:val="pt-BR"/>
              </w:rPr>
            </w:pPr>
            <w:r>
              <w:rPr>
                <w:rFonts w:ascii="Verdana" w:hAnsi="Verdana" w:cs="Arial"/>
                <w:b/>
                <w:lang w:val="pt-BR"/>
              </w:rPr>
              <w:t>Pinheiro Neto Advogados</w:t>
            </w:r>
          </w:p>
          <w:p>
            <w:pPr>
              <w:spacing w:after="0" w:line="300" w:lineRule="exact"/>
              <w:jc w:val="left"/>
              <w:rPr>
                <w:rFonts w:ascii="Verdana" w:hAnsi="Verdana" w:cs="Arial"/>
                <w:lang w:val="pt-BR"/>
              </w:rPr>
            </w:pPr>
            <w:r>
              <w:rPr>
                <w:rFonts w:ascii="Verdana" w:hAnsi="Verdana" w:cs="Arial"/>
                <w:lang w:val="pt-BR"/>
              </w:rPr>
              <w:t>At.: Sr. Ricardo Simões Russo</w:t>
            </w:r>
          </w:p>
          <w:p>
            <w:pPr>
              <w:spacing w:after="0" w:line="300" w:lineRule="exact"/>
              <w:jc w:val="left"/>
              <w:rPr>
                <w:rFonts w:ascii="Verdana" w:hAnsi="Verdana" w:cs="Arial"/>
                <w:lang w:val="pt-BR"/>
              </w:rPr>
            </w:pPr>
            <w:r>
              <w:rPr>
                <w:rFonts w:ascii="Verdana" w:hAnsi="Verdana" w:cs="Arial"/>
                <w:lang w:val="pt-BR"/>
              </w:rPr>
              <w:t>Rua Hungria n.º 1.100</w:t>
            </w:r>
          </w:p>
          <w:p>
            <w:pPr>
              <w:spacing w:after="0" w:line="300" w:lineRule="exact"/>
              <w:jc w:val="left"/>
              <w:rPr>
                <w:rFonts w:ascii="Verdana" w:hAnsi="Verdana" w:cs="Arial"/>
                <w:lang w:val="pt-BR"/>
              </w:rPr>
            </w:pPr>
            <w:r>
              <w:rPr>
                <w:rFonts w:ascii="Verdana" w:hAnsi="Verdana" w:cs="Arial"/>
                <w:lang w:val="pt-BR"/>
              </w:rPr>
              <w:t>CEP 01455-906, São Paulo, SP</w:t>
            </w:r>
          </w:p>
          <w:p>
            <w:pPr>
              <w:spacing w:after="0" w:line="300" w:lineRule="exact"/>
              <w:jc w:val="left"/>
              <w:rPr>
                <w:rFonts w:ascii="Verdana" w:hAnsi="Verdana" w:cs="Arial"/>
                <w:lang w:val="pt-BR"/>
              </w:rPr>
            </w:pPr>
            <w:r>
              <w:rPr>
                <w:rFonts w:ascii="Verdana" w:hAnsi="Verdana" w:cs="Arial"/>
                <w:lang w:val="pt-BR"/>
              </w:rPr>
              <w:t>Tel.: +55 (11) 3247-8400</w:t>
            </w:r>
          </w:p>
          <w:p>
            <w:pPr>
              <w:spacing w:after="0" w:line="300" w:lineRule="exact"/>
              <w:jc w:val="left"/>
              <w:rPr>
                <w:rFonts w:ascii="Verdana" w:hAnsi="Verdana" w:cs="Arial"/>
              </w:rPr>
            </w:pPr>
            <w:r>
              <w:rPr>
                <w:rFonts w:ascii="Verdana" w:hAnsi="Verdana" w:cs="Arial"/>
              </w:rPr>
              <w:t>Fax: +55 (11) 3247-8600</w:t>
            </w:r>
          </w:p>
          <w:p>
            <w:pPr>
              <w:spacing w:after="0" w:line="300" w:lineRule="exact"/>
              <w:jc w:val="left"/>
              <w:rPr>
                <w:rFonts w:ascii="Verdana" w:hAnsi="Verdana" w:cs="Arial"/>
              </w:rPr>
            </w:pPr>
            <w:hyperlink r:id="rId45" w:history="1">
              <w:r>
                <w:rPr>
                  <w:rStyle w:val="Hyperlink"/>
                  <w:rFonts w:ascii="Verdana" w:hAnsi="Verdana" w:cs="Arial"/>
                </w:rPr>
                <w:t>www.pinheironeto.com.br</w:t>
              </w:r>
            </w:hyperlink>
          </w:p>
          <w:p>
            <w:pPr>
              <w:spacing w:after="0" w:line="300" w:lineRule="exact"/>
              <w:jc w:val="left"/>
              <w:rPr>
                <w:rFonts w:ascii="Verdana" w:hAnsi="Verdana" w:cs="Arial"/>
              </w:rPr>
            </w:pPr>
          </w:p>
        </w:tc>
        <w:tc>
          <w:tcPr>
            <w:tcW w:w="4432" w:type="dxa"/>
            <w:gridSpan w:val="2"/>
            <w:shd w:val="clear" w:color="auto" w:fill="auto"/>
          </w:tcPr>
          <w:p>
            <w:pPr>
              <w:spacing w:after="0" w:line="300" w:lineRule="exact"/>
              <w:jc w:val="left"/>
              <w:rPr>
                <w:rFonts w:ascii="Verdana" w:hAnsi="Verdana" w:cs="Arial"/>
                <w:b/>
                <w:lang w:val="pt-BR"/>
              </w:rPr>
            </w:pPr>
            <w:r>
              <w:rPr>
                <w:rFonts w:ascii="Verdana" w:hAnsi="Verdana" w:cs="Arial"/>
                <w:b/>
                <w:lang w:val="pt-BR"/>
              </w:rPr>
              <w:t>Lefosse Advogados</w:t>
            </w:r>
          </w:p>
          <w:p>
            <w:pPr>
              <w:spacing w:after="0" w:line="300" w:lineRule="exact"/>
              <w:jc w:val="left"/>
              <w:rPr>
                <w:rFonts w:ascii="Verdana" w:hAnsi="Verdana" w:cs="Arial"/>
                <w:lang w:val="pt-BR"/>
              </w:rPr>
            </w:pPr>
            <w:r>
              <w:rPr>
                <w:rFonts w:ascii="Verdana" w:hAnsi="Verdana" w:cs="Arial"/>
                <w:lang w:val="pt-BR"/>
              </w:rPr>
              <w:t>At.: Sr. Ricardo Prado</w:t>
            </w:r>
          </w:p>
          <w:p>
            <w:pPr>
              <w:spacing w:after="0" w:line="300" w:lineRule="exact"/>
              <w:jc w:val="left"/>
              <w:rPr>
                <w:rFonts w:ascii="Verdana" w:hAnsi="Verdana" w:cs="Arial"/>
                <w:lang w:val="pt-BR"/>
              </w:rPr>
            </w:pPr>
            <w:r>
              <w:rPr>
                <w:rFonts w:ascii="Verdana" w:hAnsi="Verdana" w:cs="Arial"/>
                <w:lang w:val="pt-BR"/>
              </w:rPr>
              <w:t>Rua Tabapuã, nº 1227, 4º andar</w:t>
            </w:r>
          </w:p>
          <w:p>
            <w:pPr>
              <w:spacing w:after="0" w:line="300" w:lineRule="exact"/>
              <w:jc w:val="left"/>
              <w:rPr>
                <w:rFonts w:ascii="Verdana" w:hAnsi="Verdana" w:cs="Arial"/>
                <w:lang w:val="pt-BR"/>
              </w:rPr>
            </w:pPr>
            <w:r>
              <w:rPr>
                <w:rFonts w:ascii="Verdana" w:hAnsi="Verdana" w:cs="Arial"/>
                <w:lang w:val="pt-BR"/>
              </w:rPr>
              <w:t>CEP 04533-014, São Paulo, SP</w:t>
            </w:r>
          </w:p>
          <w:p>
            <w:pPr>
              <w:spacing w:after="0" w:line="300" w:lineRule="exact"/>
              <w:jc w:val="left"/>
              <w:rPr>
                <w:rFonts w:ascii="Verdana" w:hAnsi="Verdana" w:cs="Arial"/>
                <w:lang w:val="pt-BR"/>
              </w:rPr>
            </w:pPr>
            <w:r>
              <w:rPr>
                <w:rFonts w:ascii="Verdana" w:hAnsi="Verdana" w:cs="Arial"/>
                <w:lang w:val="pt-BR"/>
              </w:rPr>
              <w:t>Tel.: +55 (11) 3024-6180</w:t>
            </w:r>
          </w:p>
          <w:p>
            <w:pPr>
              <w:spacing w:after="0" w:line="300" w:lineRule="exact"/>
              <w:jc w:val="left"/>
              <w:rPr>
                <w:rFonts w:ascii="Verdana" w:hAnsi="Verdana" w:cs="Arial"/>
              </w:rPr>
            </w:pPr>
            <w:r>
              <w:rPr>
                <w:rFonts w:ascii="Verdana" w:hAnsi="Verdana" w:cs="Arial"/>
              </w:rPr>
              <w:t xml:space="preserve">Fax: </w:t>
            </w:r>
            <w:r>
              <w:rPr>
                <w:rFonts w:ascii="Verdana" w:hAnsi="Verdana" w:cs="Arial"/>
                <w:lang w:val="pt-BR"/>
              </w:rPr>
              <w:t>+55 (11) 3024-6180</w:t>
            </w:r>
          </w:p>
          <w:p>
            <w:pPr>
              <w:spacing w:after="0" w:line="300" w:lineRule="exact"/>
              <w:jc w:val="left"/>
              <w:rPr>
                <w:rFonts w:ascii="Verdana" w:hAnsi="Verdana" w:cs="Arial"/>
              </w:rPr>
            </w:pPr>
            <w:hyperlink r:id="rId46" w:history="1">
              <w:r>
                <w:rPr>
                  <w:rStyle w:val="Hyperlink"/>
                  <w:rFonts w:ascii="Verdana" w:hAnsi="Verdana" w:cs="Arial"/>
                </w:rPr>
                <w:t>www.lefosse.com.br</w:t>
              </w:r>
            </w:hyperlink>
          </w:p>
          <w:p>
            <w:pPr>
              <w:spacing w:after="0" w:line="300" w:lineRule="exact"/>
              <w:jc w:val="left"/>
              <w:rPr>
                <w:rFonts w:ascii="Verdana" w:hAnsi="Verdana" w:cs="Arial"/>
              </w:rPr>
            </w:pPr>
          </w:p>
        </w:tc>
      </w:tr>
      <w:tr>
        <w:trPr>
          <w:jc w:val="center"/>
        </w:trPr>
        <w:tc>
          <w:tcPr>
            <w:tcW w:w="8838" w:type="dxa"/>
            <w:gridSpan w:val="3"/>
            <w:shd w:val="clear" w:color="auto" w:fill="auto"/>
          </w:tcPr>
          <w:p>
            <w:pPr>
              <w:pBdr>
                <w:bottom w:val="single" w:sz="4" w:space="1" w:color="auto"/>
              </w:pBdr>
              <w:spacing w:after="0" w:line="300" w:lineRule="exact"/>
              <w:jc w:val="center"/>
              <w:rPr>
                <w:rFonts w:ascii="Verdana" w:hAnsi="Verdana" w:cs="Arial"/>
                <w:b/>
              </w:rPr>
            </w:pPr>
            <w:r>
              <w:rPr>
                <w:rFonts w:ascii="Verdana" w:hAnsi="Verdana" w:cs="Arial"/>
                <w:b/>
              </w:rPr>
              <w:t>Agente Fiduciário</w:t>
            </w:r>
          </w:p>
        </w:tc>
      </w:tr>
      <w:tr>
        <w:trPr>
          <w:jc w:val="center"/>
        </w:trPr>
        <w:tc>
          <w:tcPr>
            <w:tcW w:w="8838" w:type="dxa"/>
            <w:gridSpan w:val="3"/>
            <w:shd w:val="clear" w:color="auto" w:fill="auto"/>
          </w:tcPr>
          <w:p>
            <w:pPr>
              <w:spacing w:after="0" w:line="300" w:lineRule="exact"/>
              <w:jc w:val="left"/>
              <w:rPr>
                <w:rFonts w:ascii="Verdana" w:hAnsi="Verdana" w:cs="Arial"/>
                <w:b/>
                <w:lang w:val="pt-BR"/>
              </w:rPr>
            </w:pPr>
            <w:r>
              <w:rPr>
                <w:rFonts w:ascii="Verdana" w:hAnsi="Verdana" w:cs="Arial"/>
                <w:b/>
                <w:lang w:val="pt-BR"/>
              </w:rPr>
              <w:t>Simplific Pavarini Distribuidora de Títulos e Valores Mobiliários Ltda.</w:t>
            </w:r>
          </w:p>
          <w:p>
            <w:pPr>
              <w:spacing w:after="0" w:line="300" w:lineRule="exact"/>
              <w:jc w:val="left"/>
              <w:rPr>
                <w:rFonts w:ascii="Verdana" w:hAnsi="Verdana" w:cs="Arial"/>
                <w:lang w:val="pt-BR"/>
              </w:rPr>
            </w:pPr>
            <w:r>
              <w:rPr>
                <w:rFonts w:ascii="Verdana" w:hAnsi="Verdana" w:cs="Arial"/>
                <w:lang w:val="pt-BR"/>
              </w:rPr>
              <w:t>CNPJ/ME: 15.227.994/0004-01</w:t>
            </w:r>
          </w:p>
          <w:p>
            <w:pPr>
              <w:spacing w:after="0" w:line="300" w:lineRule="exact"/>
              <w:jc w:val="left"/>
              <w:rPr>
                <w:rFonts w:ascii="Verdana" w:hAnsi="Verdana" w:cs="Arial"/>
                <w:lang w:val="pt-BR"/>
              </w:rPr>
            </w:pPr>
            <w:r>
              <w:rPr>
                <w:rFonts w:ascii="Verdana" w:hAnsi="Verdana" w:cs="Arial"/>
                <w:lang w:val="pt-BR"/>
              </w:rPr>
              <w:t>At: Carlos Alberto Bacha / Matheus Gomes Faria/Rinaldo Rabello Ferreira</w:t>
            </w:r>
          </w:p>
          <w:p>
            <w:pPr>
              <w:spacing w:after="0" w:line="300" w:lineRule="exact"/>
              <w:jc w:val="left"/>
              <w:rPr>
                <w:rFonts w:ascii="Verdana" w:hAnsi="Verdana" w:cs="Arial"/>
                <w:lang w:val="pt-BR"/>
              </w:rPr>
            </w:pPr>
            <w:r>
              <w:rPr>
                <w:rFonts w:ascii="Verdana" w:hAnsi="Verdana" w:cs="Arial"/>
                <w:lang w:val="pt-BR"/>
              </w:rPr>
              <w:t>Rua Joaquim Floriano, 466, Bloco B, Sala 1.401</w:t>
            </w:r>
            <w:r>
              <w:rPr>
                <w:rFonts w:ascii="Verdana" w:hAnsi="Verdana" w:cs="Arial"/>
                <w:lang w:val="pt-BR"/>
              </w:rPr>
              <w:tab/>
            </w:r>
          </w:p>
          <w:p>
            <w:pPr>
              <w:spacing w:after="0" w:line="300" w:lineRule="exact"/>
              <w:jc w:val="left"/>
              <w:rPr>
                <w:rFonts w:ascii="Verdana" w:hAnsi="Verdana" w:cs="Arial"/>
                <w:lang w:val="pt-BR"/>
              </w:rPr>
            </w:pPr>
            <w:r>
              <w:rPr>
                <w:rFonts w:ascii="Verdana" w:hAnsi="Verdana" w:cs="Arial"/>
                <w:lang w:val="pt-BR"/>
              </w:rPr>
              <w:t>CEP 04534-002, São Paulo, SP</w:t>
            </w:r>
          </w:p>
          <w:p>
            <w:pPr>
              <w:spacing w:after="0" w:line="300" w:lineRule="exact"/>
              <w:jc w:val="left"/>
              <w:rPr>
                <w:rFonts w:ascii="Verdana" w:hAnsi="Verdana" w:cs="Arial"/>
                <w:lang w:val="pt-BR"/>
              </w:rPr>
            </w:pPr>
            <w:r>
              <w:rPr>
                <w:rFonts w:ascii="Verdana" w:hAnsi="Verdana" w:cs="Arial"/>
                <w:lang w:val="pt-BR"/>
              </w:rPr>
              <w:t>Telefone: (11) 3090-0447 / (21) 2507-1949</w:t>
            </w:r>
          </w:p>
          <w:p>
            <w:pPr>
              <w:spacing w:after="0" w:line="300" w:lineRule="exact"/>
              <w:jc w:val="left"/>
              <w:rPr>
                <w:rFonts w:ascii="Verdana" w:hAnsi="Verdana" w:cs="Arial"/>
                <w:lang w:val="pt-BR"/>
              </w:rPr>
            </w:pPr>
            <w:r>
              <w:rPr>
                <w:rFonts w:ascii="Verdana" w:hAnsi="Verdana" w:cs="Arial"/>
                <w:lang w:val="pt-BR"/>
              </w:rPr>
              <w:t xml:space="preserve">E-mail: </w:t>
            </w:r>
            <w:hyperlink r:id="rId47" w:history="1">
              <w:r>
                <w:rPr>
                  <w:rStyle w:val="Hyperlink"/>
                  <w:rFonts w:ascii="Verdana" w:hAnsi="Verdana" w:cs="Arial"/>
                  <w:lang w:val="pt-BR"/>
                </w:rPr>
                <w:t>fiduciario@simplificpavarini.com.br</w:t>
              </w:r>
            </w:hyperlink>
          </w:p>
          <w:p>
            <w:pPr>
              <w:spacing w:after="0" w:line="300" w:lineRule="exact"/>
              <w:jc w:val="left"/>
              <w:rPr>
                <w:rFonts w:ascii="Verdana" w:hAnsi="Verdana" w:cs="Arial"/>
                <w:lang w:val="pt-BR"/>
              </w:rPr>
            </w:pPr>
            <w:r>
              <w:rPr>
                <w:rFonts w:ascii="Verdana" w:hAnsi="Verdana" w:cs="Arial"/>
                <w:lang w:val="pt-BR"/>
              </w:rPr>
              <w:t>www.simplificpavarini.com.br</w:t>
            </w:r>
          </w:p>
          <w:p>
            <w:pPr>
              <w:spacing w:after="0" w:line="300" w:lineRule="exact"/>
              <w:jc w:val="left"/>
              <w:rPr>
                <w:rFonts w:ascii="Verdana" w:hAnsi="Verdana" w:cs="Arial"/>
                <w:lang w:val="pt-BR"/>
              </w:rPr>
            </w:pPr>
          </w:p>
          <w:p>
            <w:pPr>
              <w:spacing w:after="0" w:line="300" w:lineRule="exact"/>
              <w:rPr>
                <w:rFonts w:ascii="Verdana" w:hAnsi="Verdana" w:cs="Arial"/>
                <w:lang w:val="pt-BR"/>
              </w:rPr>
            </w:pPr>
            <w:r>
              <w:rPr>
                <w:rFonts w:ascii="Verdana" w:hAnsi="Verdana" w:cs="Arial"/>
                <w:lang w:val="pt-BR"/>
              </w:rPr>
              <w:t xml:space="preserve">Para os fins do artigo 6º, §2º da Instrução CVM 583 e com base no organograma da Emissora, o Agente Fiduciário declara que presta serviços de agente fiduciário e/ou agente de notas nas seguintes emissões: </w:t>
            </w:r>
            <w:r>
              <w:rPr>
                <w:rFonts w:ascii="Verdana" w:eastAsia="Calibri" w:hAnsi="Verdana" w:cs="Arial"/>
                <w:iCs/>
                <w:lang w:val="pt-BR"/>
              </w:rPr>
              <w:t xml:space="preserve">(i) quarta emissão de debêntures não conversíveis em ações, da espécie quirografária, da COMGÁS5, no valor de R$ 591.894.000,00 (quinhentos e noventa e um milhões, oitocentos e noventa e quatro mil reais), na data de emissão, qual seja, 15 de dezembro de 2015, em três séries, sendo (1) 269.620 (duzentos e sessenta e nove mil, seiscentas e vinte) debêntures da primeira série; (2) 242.374 (duzentos e quarenta e dois mil, trezentas e setenta e quatro) debêntures da segunda série; e (3) 79.900 (setenta e nove mil e novecentas) debêntures da terceira série, e data de vencimento em 15 de dezembro de 2020, 15 de dezembro de 2022 e 15 de dezembro de 2025, e valor nominal de R$ 1.000,00 (mil reais), e taxas de juros de IPCA + 7,1432%, IPCA + 7,4820% e IPCA + 7,3570, respectivamente. Até a presente data não ocorreram eventos de inadimplemento; (ii) quinta emissão de debêntures simples, da espécie quirografária, da COMGÁS, em série </w:t>
            </w:r>
            <w:r>
              <w:rPr>
                <w:rFonts w:ascii="Verdana" w:eastAsia="Calibri" w:hAnsi="Verdana" w:cs="Arial"/>
                <w:iCs/>
                <w:lang w:val="pt-BR"/>
              </w:rPr>
              <w:lastRenderedPageBreak/>
              <w:t>única, no valor de R$675.000.000,00 (seiscentos e setenta e cinco milhões de reais), na data de emissão, qual seja, 15 de dezembro de 2016, representada por 675.000 (seiscentas e setenta e cinco mil) debêntures, com vencimento em 15 de dezembro de 2023, sendo o valor nominal unitário de debênture de R$1.000,00 (mil reais) e taxa de IPCA + 5,8680% a.a.. Até a presente data não ocorreram quaisquer eventos de inadimplemento; (iii) sexta emissão de debêntures simples, da espécie quirografária, da COMGÁS, em série única, no valor de R$ 400.000.000,00 (quatrocentos milhões de reais), na data de emissão, qual seja, 15 de outubro de 2017, representada por 400.000 (quatrocentas mil) debêntures, sendo o valor nominal unitário de debênture de R$1.000,00 (mil reais) e taxa de IPCA + 4,3338% a.a. Até a presente data não ocorreram quaisquer eventos de inadimplemento; (iv) sétima emissão de debêntures simples, da espécie quirografária, da COMGÁS, em série única, no valor de R$ 215.000.000,00 (duzentos e quinze milhões de reais), na data de emissão, qual seja, 15 de maio de 2018, representada por 215.000 (duzentas e quinze mil) debêntures, com vencimento em 15 de maio de 2028, sendo o valor nominal unitário de debênture de R$1.000,00 (mil reais) e taxa de IGPM + 6,10% a.a. Até a presente data não ocorreram quaisquer eventos de inadimplemento; e (v) décima primeira emissão de debêntures simples, da espécie quirografária com garantia adicional fidejussória prestada pela Emissora, da Rumo Malha Norte S.A., em série única, no valor de R$ 500.000.000,00 (quinhentos milhões de reais), na data de emissão, qual seja, 15 de fevereiro de 2019, representada por 500.000 (quinhentas mil) debêntures, com vencimento em 15 de fevereiro de 2026, sendo o valor nominal unitário de R$ 1.000,00 (mil reais) e taxa de IPCA + 4,6750%. Até a presente data não ocorreram quaisquer eventos de inadimplemento</w:t>
            </w:r>
          </w:p>
        </w:tc>
      </w:tr>
      <w:tr>
        <w:trPr>
          <w:jc w:val="center"/>
        </w:trPr>
        <w:tc>
          <w:tcPr>
            <w:tcW w:w="8838" w:type="dxa"/>
            <w:gridSpan w:val="3"/>
            <w:shd w:val="clear" w:color="auto" w:fill="auto"/>
          </w:tcPr>
          <w:p>
            <w:pPr>
              <w:spacing w:after="0" w:line="300" w:lineRule="exact"/>
              <w:jc w:val="left"/>
              <w:rPr>
                <w:rFonts w:ascii="Verdana" w:hAnsi="Verdana" w:cs="Arial"/>
                <w:b/>
                <w:lang w:val="pt-BR"/>
              </w:rPr>
            </w:pPr>
          </w:p>
        </w:tc>
      </w:tr>
      <w:tr>
        <w:trPr>
          <w:jc w:val="center"/>
        </w:trPr>
        <w:tc>
          <w:tcPr>
            <w:tcW w:w="8838" w:type="dxa"/>
            <w:gridSpan w:val="3"/>
            <w:shd w:val="clear" w:color="auto" w:fill="auto"/>
          </w:tcPr>
          <w:p>
            <w:pPr>
              <w:keepNext/>
              <w:pBdr>
                <w:bottom w:val="single" w:sz="4" w:space="1" w:color="auto"/>
              </w:pBdr>
              <w:spacing w:after="0" w:line="300" w:lineRule="exact"/>
              <w:jc w:val="center"/>
              <w:rPr>
                <w:rFonts w:ascii="Verdana" w:hAnsi="Verdana" w:cs="Arial"/>
                <w:b/>
              </w:rPr>
            </w:pPr>
            <w:r>
              <w:rPr>
                <w:rFonts w:ascii="Verdana" w:hAnsi="Verdana" w:cs="Arial"/>
                <w:b/>
              </w:rPr>
              <w:t>Banco Liquidante e Escriturador</w:t>
            </w:r>
          </w:p>
        </w:tc>
      </w:tr>
      <w:tr>
        <w:trPr>
          <w:jc w:val="center"/>
        </w:trPr>
        <w:tc>
          <w:tcPr>
            <w:tcW w:w="8838" w:type="dxa"/>
            <w:gridSpan w:val="3"/>
            <w:shd w:val="clear" w:color="auto" w:fill="auto"/>
          </w:tcPr>
          <w:p>
            <w:pPr>
              <w:spacing w:after="0" w:line="300" w:lineRule="exact"/>
              <w:jc w:val="left"/>
              <w:rPr>
                <w:rFonts w:ascii="Verdana" w:hAnsi="Verdana" w:cs="Arial"/>
                <w:b/>
                <w:lang w:val="pt-BR"/>
              </w:rPr>
            </w:pPr>
            <w:r>
              <w:rPr>
                <w:rFonts w:ascii="Verdana" w:hAnsi="Verdana" w:cs="Arial"/>
                <w:b/>
                <w:lang w:val="pt-BR"/>
              </w:rPr>
              <w:t>BANCO BRADESCO S.A.</w:t>
            </w:r>
          </w:p>
          <w:p>
            <w:pPr>
              <w:spacing w:after="0" w:line="300" w:lineRule="exact"/>
              <w:jc w:val="left"/>
              <w:rPr>
                <w:rFonts w:ascii="Verdana" w:hAnsi="Verdana" w:cs="Arial"/>
                <w:lang w:val="pt-BR"/>
              </w:rPr>
            </w:pPr>
            <w:r>
              <w:rPr>
                <w:rFonts w:ascii="Verdana" w:hAnsi="Verdana" w:cs="Arial"/>
                <w:lang w:val="pt-BR"/>
              </w:rPr>
              <w:t>Núcleo Cidade de Deus, s/n, Prédio Amarelo, 2º andar, Vila Yara</w:t>
            </w:r>
          </w:p>
          <w:p>
            <w:pPr>
              <w:spacing w:after="0" w:line="300" w:lineRule="exact"/>
              <w:jc w:val="left"/>
              <w:rPr>
                <w:rFonts w:ascii="Verdana" w:hAnsi="Verdana" w:cs="Arial"/>
                <w:lang w:val="pt-BR"/>
              </w:rPr>
            </w:pPr>
            <w:r>
              <w:rPr>
                <w:rFonts w:ascii="Verdana" w:hAnsi="Verdana" w:cs="Arial"/>
                <w:lang w:val="pt-BR"/>
              </w:rPr>
              <w:t xml:space="preserve">Osasco, São Paulo, CEP 06029-900 </w:t>
            </w:r>
          </w:p>
          <w:p>
            <w:pPr>
              <w:spacing w:after="0" w:line="300" w:lineRule="exact"/>
              <w:jc w:val="left"/>
              <w:rPr>
                <w:rFonts w:ascii="Verdana" w:hAnsi="Verdana" w:cs="Arial"/>
                <w:lang w:val="pt-BR"/>
              </w:rPr>
            </w:pPr>
            <w:r>
              <w:rPr>
                <w:rFonts w:ascii="Verdana" w:hAnsi="Verdana" w:cs="Arial"/>
                <w:lang w:val="pt-BR"/>
              </w:rPr>
              <w:t xml:space="preserve">At.: Rosinaldo Batista Gomes e Marcelo Ronaldo Poli </w:t>
            </w:r>
          </w:p>
          <w:p>
            <w:pPr>
              <w:spacing w:after="0" w:line="300" w:lineRule="exact"/>
              <w:jc w:val="left"/>
              <w:rPr>
                <w:rFonts w:ascii="Verdana" w:hAnsi="Verdana" w:cs="Arial"/>
                <w:lang w:val="pt-BR"/>
              </w:rPr>
            </w:pPr>
            <w:r>
              <w:rPr>
                <w:rFonts w:ascii="Verdana" w:hAnsi="Verdana" w:cs="Arial"/>
                <w:lang w:val="pt-BR"/>
              </w:rPr>
              <w:t>Telefone: (11) 3684-9444</w:t>
            </w:r>
          </w:p>
          <w:p>
            <w:pPr>
              <w:spacing w:after="0" w:line="300" w:lineRule="exact"/>
              <w:jc w:val="left"/>
              <w:rPr>
                <w:rFonts w:ascii="Verdana" w:hAnsi="Verdana" w:cs="Arial"/>
                <w:lang w:val="pt-BR"/>
              </w:rPr>
            </w:pPr>
            <w:r>
              <w:rPr>
                <w:rFonts w:ascii="Verdana" w:hAnsi="Verdana" w:cs="Arial"/>
                <w:lang w:val="pt-BR"/>
              </w:rPr>
              <w:t xml:space="preserve">E-mail: 4010.rosinaldo@bradesco.com.br e </w:t>
            </w:r>
            <w:hyperlink r:id="rId48" w:history="1">
              <w:r>
                <w:rPr>
                  <w:rStyle w:val="Hyperlink"/>
                  <w:rFonts w:ascii="Verdana" w:hAnsi="Verdana" w:cs="Arial"/>
                  <w:lang w:val="pt-BR"/>
                </w:rPr>
                <w:t>4010.mpoli@bradesco.com.br</w:t>
              </w:r>
            </w:hyperlink>
          </w:p>
          <w:p>
            <w:pPr>
              <w:spacing w:after="0" w:line="300" w:lineRule="exact"/>
              <w:jc w:val="left"/>
              <w:rPr>
                <w:rFonts w:ascii="Verdana" w:hAnsi="Verdana" w:cs="Arial"/>
                <w:lang w:val="pt-BR"/>
              </w:rPr>
            </w:pPr>
            <w:r>
              <w:rPr>
                <w:rFonts w:ascii="Verdana" w:hAnsi="Verdana" w:cs="Arial"/>
                <w:lang w:val="pt-BR"/>
              </w:rPr>
              <w:t>www.bradesco.com.br</w:t>
            </w:r>
          </w:p>
        </w:tc>
      </w:tr>
      <w:tr>
        <w:trPr>
          <w:jc w:val="center"/>
        </w:trPr>
        <w:tc>
          <w:tcPr>
            <w:tcW w:w="8838" w:type="dxa"/>
            <w:gridSpan w:val="3"/>
            <w:shd w:val="clear" w:color="auto" w:fill="auto"/>
          </w:tcPr>
          <w:p>
            <w:pPr>
              <w:pBdr>
                <w:bottom w:val="single" w:sz="4" w:space="1" w:color="auto"/>
              </w:pBdr>
              <w:spacing w:after="0" w:line="300" w:lineRule="exact"/>
              <w:jc w:val="center"/>
              <w:rPr>
                <w:rFonts w:ascii="Verdana" w:hAnsi="Verdana" w:cs="Arial"/>
                <w:b/>
              </w:rPr>
            </w:pPr>
            <w:r>
              <w:rPr>
                <w:rFonts w:ascii="Verdana" w:hAnsi="Verdana" w:cs="Arial"/>
                <w:b/>
              </w:rPr>
              <w:t>Auditores Independentes</w:t>
            </w:r>
          </w:p>
        </w:tc>
      </w:tr>
      <w:tr>
        <w:trPr>
          <w:jc w:val="center"/>
        </w:trPr>
        <w:tc>
          <w:tcPr>
            <w:tcW w:w="5110" w:type="dxa"/>
            <w:gridSpan w:val="2"/>
            <w:shd w:val="clear" w:color="auto" w:fill="auto"/>
          </w:tcPr>
          <w:p>
            <w:pPr>
              <w:spacing w:after="0" w:line="300" w:lineRule="exact"/>
              <w:jc w:val="left"/>
              <w:rPr>
                <w:rFonts w:ascii="Verdana" w:hAnsi="Verdana" w:cs="Arial"/>
                <w:b/>
                <w:lang w:val="pt-BR"/>
              </w:rPr>
            </w:pPr>
            <w:r>
              <w:rPr>
                <w:rFonts w:ascii="Verdana" w:hAnsi="Verdana" w:cs="Arial"/>
                <w:b/>
                <w:lang w:val="pt-BR"/>
              </w:rPr>
              <w:t>KPMG Auditores Independentes</w:t>
            </w:r>
          </w:p>
          <w:p>
            <w:pPr>
              <w:spacing w:after="0" w:line="300" w:lineRule="exact"/>
              <w:jc w:val="left"/>
              <w:rPr>
                <w:rFonts w:ascii="Verdana" w:hAnsi="Verdana" w:cs="Arial"/>
                <w:lang w:val="pt-BR"/>
              </w:rPr>
            </w:pPr>
            <w:r>
              <w:rPr>
                <w:rFonts w:ascii="Verdana" w:hAnsi="Verdana" w:cs="Arial"/>
                <w:lang w:val="pt-BR"/>
              </w:rPr>
              <w:t>At.: Sr. Rogério Hernandez Garcia</w:t>
            </w:r>
          </w:p>
          <w:p>
            <w:pPr>
              <w:spacing w:after="0" w:line="300" w:lineRule="exact"/>
              <w:jc w:val="left"/>
              <w:rPr>
                <w:rFonts w:ascii="Verdana" w:hAnsi="Verdana" w:cs="Arial"/>
                <w:lang w:val="pt-BR"/>
              </w:rPr>
            </w:pPr>
            <w:r>
              <w:rPr>
                <w:rFonts w:ascii="Verdana" w:hAnsi="Verdana" w:cs="Arial"/>
                <w:lang w:val="pt-BR"/>
              </w:rPr>
              <w:t>Rua Arq. Olavo Redig de Campos, 105, 8º andar</w:t>
            </w:r>
          </w:p>
          <w:p>
            <w:pPr>
              <w:spacing w:after="0" w:line="300" w:lineRule="exact"/>
              <w:jc w:val="left"/>
              <w:rPr>
                <w:rFonts w:ascii="Verdana" w:hAnsi="Verdana" w:cs="Arial"/>
                <w:lang w:val="pt-BR"/>
              </w:rPr>
            </w:pPr>
            <w:r>
              <w:rPr>
                <w:rFonts w:ascii="Verdana" w:hAnsi="Verdana" w:cs="Arial"/>
                <w:lang w:val="pt-BR"/>
              </w:rPr>
              <w:t>São Paulo, SP</w:t>
            </w:r>
          </w:p>
          <w:p>
            <w:pPr>
              <w:spacing w:after="0" w:line="300" w:lineRule="exact"/>
              <w:jc w:val="left"/>
              <w:rPr>
                <w:rFonts w:ascii="Verdana" w:hAnsi="Verdana" w:cs="Arial"/>
                <w:lang w:val="pt-BR"/>
              </w:rPr>
            </w:pPr>
            <w:r>
              <w:rPr>
                <w:rFonts w:ascii="Verdana" w:hAnsi="Verdana" w:cs="Arial"/>
                <w:lang w:val="pt-BR"/>
              </w:rPr>
              <w:t>Tel.: +55 (11) 3940-8242</w:t>
            </w:r>
          </w:p>
          <w:p>
            <w:pPr>
              <w:spacing w:after="0" w:line="300" w:lineRule="exact"/>
              <w:jc w:val="left"/>
              <w:rPr>
                <w:rFonts w:ascii="Verdana" w:hAnsi="Verdana" w:cs="Arial"/>
                <w:lang w:val="pt-BR"/>
              </w:rPr>
            </w:pPr>
            <w:r>
              <w:rPr>
                <w:rFonts w:ascii="Verdana" w:hAnsi="Verdana" w:cs="Arial"/>
                <w:lang w:val="pt-BR"/>
              </w:rPr>
              <w:t>Fax: +55 (11) 3940-1501</w:t>
            </w:r>
          </w:p>
          <w:p>
            <w:pPr>
              <w:spacing w:after="0" w:line="300" w:lineRule="exact"/>
              <w:jc w:val="left"/>
              <w:rPr>
                <w:rFonts w:ascii="Verdana" w:hAnsi="Verdana" w:cs="Arial"/>
              </w:rPr>
            </w:pPr>
            <w:r>
              <w:rPr>
                <w:rFonts w:ascii="Verdana" w:hAnsi="Verdana" w:cs="Arial"/>
                <w:bCs/>
                <w:lang w:eastAsia="pt-BR"/>
              </w:rPr>
              <w:t>www.kpmg.com.br</w:t>
            </w:r>
          </w:p>
        </w:tc>
        <w:tc>
          <w:tcPr>
            <w:tcW w:w="3728" w:type="dxa"/>
            <w:shd w:val="clear" w:color="auto" w:fill="auto"/>
          </w:tcPr>
          <w:p>
            <w:pPr>
              <w:spacing w:after="0" w:line="300" w:lineRule="exact"/>
              <w:jc w:val="left"/>
              <w:rPr>
                <w:rFonts w:ascii="Verdana" w:hAnsi="Verdana" w:cs="Arial"/>
              </w:rPr>
            </w:pPr>
          </w:p>
        </w:tc>
      </w:tr>
    </w:tbl>
    <w:p>
      <w:pPr>
        <w:pStyle w:val="HOMEBRNOTOCH3"/>
        <w:keepNext w:val="0"/>
        <w:keepLines w:val="0"/>
        <w:spacing w:before="200" w:line="300" w:lineRule="exact"/>
        <w:rPr>
          <w:rFonts w:ascii="Verdana" w:hAnsi="Verdana" w:cs="Arial"/>
          <w:lang w:val="pt-BR"/>
        </w:rPr>
      </w:pPr>
      <w:r>
        <w:rPr>
          <w:rFonts w:ascii="Verdana" w:hAnsi="Verdana" w:cs="Arial"/>
          <w:lang w:val="pt-BR"/>
        </w:rPr>
        <w:lastRenderedPageBreak/>
        <w:t>Declarações de Veracidade das Informações</w:t>
      </w:r>
    </w:p>
    <w:p>
      <w:pPr>
        <w:pStyle w:val="HOMEBRBodyText"/>
        <w:keepLines w:val="0"/>
        <w:spacing w:line="300" w:lineRule="exact"/>
        <w:rPr>
          <w:rFonts w:ascii="Verdana" w:hAnsi="Verdana" w:cs="Arial"/>
        </w:rPr>
      </w:pPr>
      <w:r>
        <w:rPr>
          <w:rFonts w:ascii="Verdana" w:hAnsi="Verdana" w:cs="Arial"/>
        </w:rPr>
        <w:t>A Emissora e o Coordenador Líder prestaram declarações de veracidade das informações, nos termos do artigo 56 da Instrução CVM 400. Estas declarações de veracidade estão anexas a este Prospecto nos Anexos E e F, respectivamente.</w:t>
      </w:r>
    </w:p>
    <w:p>
      <w:pPr>
        <w:spacing w:after="0" w:line="300" w:lineRule="exact"/>
        <w:jc w:val="left"/>
        <w:rPr>
          <w:rFonts w:ascii="Verdana" w:hAnsi="Verdana" w:cs="Arial"/>
          <w:b/>
          <w:bCs/>
          <w:caps/>
          <w:kern w:val="32"/>
          <w:szCs w:val="32"/>
          <w:lang w:val="pt-BR"/>
        </w:rPr>
      </w:pPr>
      <w:bookmarkStart w:id="365" w:name="_Toc428306483"/>
      <w:bookmarkStart w:id="366" w:name="_Ref434934534"/>
      <w:bookmarkStart w:id="367" w:name="_Ref434935326"/>
      <w:bookmarkStart w:id="368" w:name="_Ref434935786"/>
      <w:bookmarkStart w:id="369" w:name="_Ref434935809"/>
      <w:bookmarkStart w:id="370" w:name="_Ref434936426"/>
      <w:bookmarkStart w:id="371" w:name="_Ref434936794"/>
      <w:bookmarkStart w:id="372" w:name="_Ref434936822"/>
      <w:bookmarkStart w:id="373" w:name="_Ref459515381"/>
      <w:bookmarkStart w:id="374" w:name="_Ref460322739"/>
      <w:bookmarkStart w:id="375" w:name="_Ref483329501"/>
      <w:bookmarkStart w:id="376" w:name="_Ref483330064"/>
      <w:bookmarkStart w:id="377" w:name="_Ref483330078"/>
      <w:bookmarkStart w:id="378" w:name="_Ref483330858"/>
      <w:bookmarkStart w:id="379" w:name="_Ref483330873"/>
      <w:bookmarkStart w:id="380" w:name="_Ref483330882"/>
      <w:bookmarkStart w:id="381" w:name="_Ref483331098"/>
      <w:bookmarkStart w:id="382" w:name="_Ref483331661"/>
      <w:bookmarkStart w:id="383" w:name="_Ref483331701"/>
      <w:bookmarkStart w:id="384" w:name="_Ref484524762"/>
      <w:bookmarkStart w:id="385" w:name="_Ref484524773"/>
      <w:bookmarkStart w:id="386" w:name="_Toc484716034"/>
      <w:r>
        <w:rPr>
          <w:rFonts w:ascii="Verdana" w:hAnsi="Verdana" w:cs="Arial"/>
          <w:lang w:val="pt-BR"/>
        </w:rPr>
        <w:br w:type="page"/>
      </w:r>
    </w:p>
    <w:p>
      <w:pPr>
        <w:pStyle w:val="Ttulo1"/>
        <w:pageBreakBefore w:val="0"/>
        <w:spacing w:line="300" w:lineRule="exact"/>
        <w:rPr>
          <w:rFonts w:ascii="Verdana" w:hAnsi="Verdana"/>
          <w:lang w:val="pt-BR"/>
        </w:rPr>
      </w:pPr>
      <w:r>
        <w:rPr>
          <w:rFonts w:ascii="Verdana" w:hAnsi="Verdana"/>
          <w:lang w:val="pt-BR"/>
        </w:rPr>
        <w:lastRenderedPageBreak/>
        <w:t>DESTINAÇÃO DOS RECURSOS</w:t>
      </w:r>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p>
      <w:pPr>
        <w:pStyle w:val="HOMEBRBodyText"/>
        <w:spacing w:line="300" w:lineRule="exact"/>
        <w:rPr>
          <w:rFonts w:ascii="Verdana" w:hAnsi="Verdana" w:cs="Arial"/>
        </w:rPr>
      </w:pPr>
      <w:bookmarkStart w:id="387" w:name="_Ref312400114"/>
      <w:bookmarkStart w:id="388" w:name="_Toc484716035"/>
      <w:r>
        <w:rPr>
          <w:rFonts w:ascii="Verdana" w:hAnsi="Verdana" w:cs="Arial"/>
        </w:rPr>
        <w:t>[</w:t>
      </w:r>
      <w:r>
        <w:rPr>
          <w:rFonts w:ascii="Verdana" w:hAnsi="Verdana" w:cs="Arial"/>
        </w:rPr>
        <w:sym w:font="Symbol" w:char="F0B7"/>
      </w:r>
      <w:r>
        <w:rPr>
          <w:rFonts w:ascii="Verdana" w:hAnsi="Verdana" w:cs="Arial"/>
        </w:rPr>
        <w:t>] [</w:t>
      </w:r>
      <w:r>
        <w:rPr>
          <w:rFonts w:ascii="Verdana" w:hAnsi="Verdana" w:cs="Arial"/>
          <w:b/>
          <w:highlight w:val="yellow"/>
        </w:rPr>
        <w:t>NOTA PNA:</w:t>
      </w:r>
      <w:r>
        <w:rPr>
          <w:rFonts w:ascii="Verdana" w:hAnsi="Verdana" w:cs="Arial"/>
          <w:highlight w:val="yellow"/>
        </w:rPr>
        <w:t xml:space="preserve"> A ser inserido pela Companhia</w:t>
      </w:r>
      <w:r>
        <w:rPr>
          <w:rFonts w:ascii="Verdana" w:hAnsi="Verdana" w:cs="Arial"/>
        </w:rPr>
        <w:t>]</w:t>
      </w:r>
    </w:p>
    <w:bookmarkEnd w:id="387"/>
    <w:p>
      <w:pPr>
        <w:pStyle w:val="Ttulo1"/>
        <w:spacing w:line="300" w:lineRule="exact"/>
        <w:rPr>
          <w:rFonts w:ascii="Verdana" w:hAnsi="Verdana"/>
          <w:lang w:val="pt-BR"/>
        </w:rPr>
      </w:pPr>
      <w:r>
        <w:rPr>
          <w:rFonts w:ascii="Verdana" w:hAnsi="Verdana"/>
          <w:lang w:val="pt-BR"/>
        </w:rPr>
        <w:lastRenderedPageBreak/>
        <w:t>CAPITALIZAÇÃO</w:t>
      </w:r>
      <w:bookmarkEnd w:id="388"/>
    </w:p>
    <w:p>
      <w:pPr>
        <w:pStyle w:val="HOMEBRBodyText"/>
        <w:spacing w:line="300" w:lineRule="exact"/>
        <w:rPr>
          <w:rFonts w:ascii="Verdana" w:hAnsi="Verdana" w:cs="Arial"/>
        </w:rPr>
      </w:pPr>
      <w:r>
        <w:rPr>
          <w:rFonts w:ascii="Verdana" w:hAnsi="Verdana" w:cs="Arial"/>
        </w:rPr>
        <w:t>[</w:t>
      </w:r>
      <w:r>
        <w:rPr>
          <w:rFonts w:ascii="Verdana" w:hAnsi="Verdana" w:cs="Arial"/>
        </w:rPr>
        <w:sym w:font="Symbol" w:char="F0B7"/>
      </w:r>
      <w:r>
        <w:rPr>
          <w:rFonts w:ascii="Verdana" w:hAnsi="Verdana" w:cs="Arial"/>
        </w:rPr>
        <w:t>] [</w:t>
      </w:r>
      <w:r>
        <w:rPr>
          <w:rFonts w:ascii="Verdana" w:hAnsi="Verdana" w:cs="Arial"/>
          <w:b/>
          <w:highlight w:val="yellow"/>
        </w:rPr>
        <w:t>NOTA PNA:</w:t>
      </w:r>
      <w:r>
        <w:rPr>
          <w:rFonts w:ascii="Verdana" w:hAnsi="Verdana" w:cs="Arial"/>
          <w:highlight w:val="yellow"/>
        </w:rPr>
        <w:t xml:space="preserve"> A ser inserido pela Companhia</w:t>
      </w:r>
      <w:r>
        <w:rPr>
          <w:rFonts w:ascii="Verdana" w:hAnsi="Verdana" w:cs="Arial"/>
        </w:rPr>
        <w:t>]</w:t>
      </w:r>
    </w:p>
    <w:p>
      <w:pPr>
        <w:pStyle w:val="Ttulo1"/>
        <w:spacing w:line="300" w:lineRule="exact"/>
        <w:rPr>
          <w:rFonts w:ascii="Verdana" w:hAnsi="Verdana"/>
          <w:lang w:val="pt-BR"/>
        </w:rPr>
      </w:pPr>
      <w:bookmarkStart w:id="389" w:name="_Toc428306485"/>
      <w:bookmarkStart w:id="390" w:name="_Toc484716036"/>
      <w:r>
        <w:rPr>
          <w:rFonts w:ascii="Verdana" w:hAnsi="Verdana"/>
          <w:lang w:val="pt-BR"/>
        </w:rPr>
        <w:lastRenderedPageBreak/>
        <w:t>CAPACIDADE DE PAGAMENTO DA EMISSORA</w:t>
      </w:r>
      <w:bookmarkEnd w:id="389"/>
      <w:bookmarkEnd w:id="390"/>
    </w:p>
    <w:p>
      <w:pPr>
        <w:pStyle w:val="HOMEBRBodyText"/>
        <w:spacing w:line="300" w:lineRule="exact"/>
        <w:rPr>
          <w:rFonts w:ascii="Verdana" w:hAnsi="Verdana" w:cs="Arial"/>
        </w:rPr>
      </w:pPr>
      <w:r>
        <w:rPr>
          <w:rFonts w:ascii="Verdana" w:hAnsi="Verdana" w:cs="Arial"/>
        </w:rPr>
        <w:t>[</w:t>
      </w:r>
      <w:r>
        <w:rPr>
          <w:rFonts w:ascii="Verdana" w:hAnsi="Verdana" w:cs="Arial"/>
        </w:rPr>
        <w:sym w:font="Symbol" w:char="F0B7"/>
      </w:r>
      <w:r>
        <w:rPr>
          <w:rFonts w:ascii="Verdana" w:hAnsi="Verdana" w:cs="Arial"/>
        </w:rPr>
        <w:t>] [</w:t>
      </w:r>
      <w:r>
        <w:rPr>
          <w:rFonts w:ascii="Verdana" w:hAnsi="Verdana" w:cs="Arial"/>
          <w:b/>
          <w:highlight w:val="yellow"/>
        </w:rPr>
        <w:t>NOTA PNA:</w:t>
      </w:r>
      <w:r>
        <w:rPr>
          <w:rFonts w:ascii="Verdana" w:hAnsi="Verdana" w:cs="Arial"/>
          <w:highlight w:val="yellow"/>
        </w:rPr>
        <w:t xml:space="preserve"> A ser inserido pela Companhia</w:t>
      </w:r>
      <w:r>
        <w:rPr>
          <w:rFonts w:ascii="Verdana" w:hAnsi="Verdana" w:cs="Arial"/>
        </w:rPr>
        <w:t>]</w:t>
      </w:r>
    </w:p>
    <w:p>
      <w:pPr>
        <w:spacing w:after="0" w:line="300" w:lineRule="exact"/>
        <w:jc w:val="left"/>
        <w:rPr>
          <w:rFonts w:ascii="Verdana" w:hAnsi="Verdana" w:cs="Arial"/>
          <w:lang w:val="pt-BR"/>
        </w:rPr>
      </w:pPr>
      <w:r>
        <w:rPr>
          <w:rFonts w:ascii="Verdana" w:hAnsi="Verdana" w:cs="Arial"/>
          <w:lang w:val="pt-BR"/>
        </w:rPr>
        <w:br w:type="page"/>
      </w:r>
    </w:p>
    <w:p>
      <w:pPr>
        <w:pStyle w:val="HOMEBRBodyText"/>
        <w:spacing w:line="300" w:lineRule="exact"/>
        <w:jc w:val="center"/>
        <w:rPr>
          <w:rFonts w:ascii="Verdana" w:hAnsi="Verdana" w:cs="Arial"/>
        </w:rPr>
      </w:pPr>
    </w:p>
    <w:p>
      <w:pPr>
        <w:spacing w:line="300" w:lineRule="exact"/>
        <w:jc w:val="center"/>
        <w:rPr>
          <w:rFonts w:ascii="Verdana" w:hAnsi="Verdana" w:cs="Arial"/>
          <w:lang w:val="pt-BR"/>
        </w:rPr>
      </w:pPr>
    </w:p>
    <w:p>
      <w:pPr>
        <w:spacing w:line="300" w:lineRule="exact"/>
        <w:jc w:val="center"/>
        <w:rPr>
          <w:rFonts w:ascii="Verdana" w:hAnsi="Verdana" w:cs="Arial"/>
          <w:lang w:val="pt-BR"/>
        </w:rPr>
      </w:pPr>
    </w:p>
    <w:p>
      <w:pPr>
        <w:spacing w:line="300" w:lineRule="exact"/>
        <w:jc w:val="center"/>
        <w:rPr>
          <w:rFonts w:ascii="Verdana" w:hAnsi="Verdana" w:cs="Arial"/>
          <w:lang w:val="pt-BR"/>
        </w:rPr>
      </w:pPr>
    </w:p>
    <w:p>
      <w:pPr>
        <w:spacing w:line="300" w:lineRule="exact"/>
        <w:jc w:val="center"/>
        <w:rPr>
          <w:rFonts w:ascii="Verdana" w:hAnsi="Verdana" w:cs="Arial"/>
          <w:lang w:val="pt-BR"/>
        </w:rPr>
      </w:pPr>
    </w:p>
    <w:p>
      <w:pPr>
        <w:spacing w:line="300" w:lineRule="exact"/>
        <w:jc w:val="center"/>
        <w:rPr>
          <w:rFonts w:ascii="Verdana" w:hAnsi="Verdana" w:cs="Arial"/>
          <w:lang w:val="pt-BR"/>
        </w:rPr>
      </w:pPr>
    </w:p>
    <w:p>
      <w:pPr>
        <w:spacing w:line="300" w:lineRule="exact"/>
        <w:jc w:val="center"/>
        <w:rPr>
          <w:rFonts w:ascii="Verdana" w:hAnsi="Verdana" w:cs="Arial"/>
          <w:lang w:val="pt-BR"/>
        </w:rPr>
      </w:pPr>
    </w:p>
    <w:p>
      <w:pPr>
        <w:spacing w:line="300" w:lineRule="exact"/>
        <w:jc w:val="center"/>
        <w:rPr>
          <w:rFonts w:ascii="Verdana" w:hAnsi="Verdana" w:cs="Arial"/>
          <w:lang w:val="pt-BR"/>
        </w:rPr>
      </w:pPr>
    </w:p>
    <w:p>
      <w:pPr>
        <w:spacing w:line="300" w:lineRule="exact"/>
        <w:jc w:val="center"/>
        <w:rPr>
          <w:rFonts w:ascii="Verdana" w:hAnsi="Verdana" w:cs="Arial"/>
          <w:lang w:val="pt-BR"/>
        </w:rPr>
      </w:pPr>
    </w:p>
    <w:p>
      <w:pPr>
        <w:spacing w:line="300" w:lineRule="exact"/>
        <w:jc w:val="center"/>
        <w:rPr>
          <w:rFonts w:ascii="Verdana" w:hAnsi="Verdana" w:cs="Arial"/>
          <w:lang w:val="pt-BR"/>
        </w:rPr>
      </w:pPr>
    </w:p>
    <w:p>
      <w:pPr>
        <w:spacing w:line="300" w:lineRule="exact"/>
        <w:jc w:val="center"/>
        <w:rPr>
          <w:rFonts w:ascii="Verdana" w:hAnsi="Verdana" w:cs="Arial"/>
          <w:lang w:val="pt-BR"/>
        </w:rPr>
      </w:pPr>
    </w:p>
    <w:p>
      <w:pPr>
        <w:spacing w:line="300" w:lineRule="exact"/>
        <w:jc w:val="center"/>
        <w:rPr>
          <w:rFonts w:ascii="Verdana" w:hAnsi="Verdana" w:cs="Arial"/>
          <w:lang w:val="pt-BR"/>
        </w:rPr>
      </w:pPr>
    </w:p>
    <w:p>
      <w:pPr>
        <w:spacing w:line="300" w:lineRule="exact"/>
        <w:jc w:val="center"/>
        <w:rPr>
          <w:rFonts w:ascii="Verdana" w:hAnsi="Verdana" w:cs="Arial"/>
          <w:lang w:val="pt-BR"/>
        </w:rPr>
      </w:pPr>
    </w:p>
    <w:p>
      <w:pPr>
        <w:spacing w:line="300" w:lineRule="exact"/>
        <w:jc w:val="center"/>
        <w:rPr>
          <w:rFonts w:ascii="Verdana" w:hAnsi="Verdana" w:cs="Arial"/>
          <w:lang w:val="pt-BR"/>
        </w:rPr>
      </w:pPr>
    </w:p>
    <w:p>
      <w:pPr>
        <w:spacing w:line="300" w:lineRule="exact"/>
        <w:jc w:val="center"/>
        <w:rPr>
          <w:rFonts w:ascii="Verdana" w:hAnsi="Verdana" w:cs="Arial"/>
          <w:lang w:val="pt-BR"/>
        </w:rPr>
      </w:pPr>
    </w:p>
    <w:p>
      <w:pPr>
        <w:spacing w:line="300" w:lineRule="exact"/>
        <w:jc w:val="center"/>
        <w:rPr>
          <w:rFonts w:ascii="Verdana" w:hAnsi="Verdana" w:cs="Arial"/>
          <w:sz w:val="14"/>
          <w:szCs w:val="14"/>
          <w:lang w:val="pt-BR"/>
        </w:rPr>
      </w:pPr>
      <w:r>
        <w:rPr>
          <w:rFonts w:ascii="Verdana" w:hAnsi="Verdana" w:cs="Arial"/>
          <w:lang w:val="pt-BR"/>
        </w:rPr>
        <w:t>(Esta página foi intencionalmente deixada em branco)</w:t>
      </w:r>
    </w:p>
    <w:sectPr>
      <w:footerReference w:type="default" r:id="rId49"/>
      <w:pgSz w:w="12240" w:h="15840" w:code="153"/>
      <w:pgMar w:top="1418" w:right="1701" w:bottom="1418" w:left="1701" w:header="720" w:footer="482"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3064E44" w16cid:durableId="200DAD56"/>
  <w16cid:commentId w16cid:paraId="6FD07007" w16cid:durableId="200DAC4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pPr>
      <w:r>
        <w:separator/>
      </w:r>
    </w:p>
  </w:endnote>
  <w:endnote w:type="continuationSeparator" w:id="0">
    <w:p>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PMingLiU">
    <w:altName w:val="新細明體"/>
    <w:panose1 w:val="02010601000101010101"/>
    <w:charset w:val="88"/>
    <w:family w:val="auto"/>
    <w:notTrueType/>
    <w:pitch w:val="variable"/>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T108t00">
    <w:altName w:val="MS Gothic"/>
    <w:panose1 w:val="00000000000000000000"/>
    <w:charset w:val="80"/>
    <w:family w:val="swiss"/>
    <w:notTrueType/>
    <w:pitch w:val="default"/>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ヒラギノ角ゴ Pro W3">
    <w:altName w:val="MS Gothic"/>
    <w:panose1 w:val="00000000000000000000"/>
    <w:charset w:val="80"/>
    <w:family w:val="auto"/>
    <w:notTrueType/>
    <w:pitch w:val="variable"/>
    <w:sig w:usb0="00000000" w:usb1="08070000" w:usb2="00000010" w:usb3="00000000" w:csb0="00020000" w:csb1="00000000"/>
  </w:font>
  <w:font w:name="MinionPro-Regular">
    <w:altName w:val="Cambria"/>
    <w:panose1 w:val="00000000000000000000"/>
    <w:charset w:val="4D"/>
    <w:family w:val="auto"/>
    <w:notTrueType/>
    <w:pitch w:val="default"/>
    <w:sig w:usb0="00000003" w:usb1="00000000" w:usb2="00000000" w:usb3="00000000" w:csb0="00000001" w:csb1="00000000"/>
  </w:font>
  <w:font w:name="TrebuchetMS">
    <w:altName w:val="Trebuchet MS"/>
    <w:panose1 w:val="00000000000000000000"/>
    <w:charset w:val="4D"/>
    <w:family w:val="auto"/>
    <w:notTrueType/>
    <w:pitch w:val="default"/>
    <w:sig w:usb0="00000003" w:usb1="00000000" w:usb2="00000000" w:usb3="00000000" w:csb0="00000001" w:csb1="00000000"/>
  </w:font>
  <w:font w:name="TimesNewRomanPS-BoldMT">
    <w:altName w:val="Times New Roman"/>
    <w:charset w:val="00"/>
    <w:family w:val="auto"/>
    <w:pitch w:val="variable"/>
    <w:sig w:usb0="00000000" w:usb1="C0007841" w:usb2="00000009" w:usb3="00000000" w:csb0="000001FF" w:csb1="00000000"/>
  </w:font>
  <w:font w:name="TimesNewRomanPSMT">
    <w:panose1 w:val="00000000000000000000"/>
    <w:charset w:val="00"/>
    <w:family w:val="auto"/>
    <w:notTrueType/>
    <w:pitch w:val="default"/>
    <w:sig w:usb0="00000003" w:usb1="00000000" w:usb2="00000000" w:usb3="00000000" w:csb0="00000001" w:csb1="00000000"/>
  </w:font>
  <w:font w:name="Arial-BoldMT">
    <w:panose1 w:val="00000000000000000000"/>
    <w:charset w:val="4D"/>
    <w:family w:val="auto"/>
    <w:notTrueType/>
    <w:pitch w:val="default"/>
    <w:sig w:usb0="00000003" w:usb1="00000000" w:usb2="00000000" w:usb3="00000000" w:csb0="00000001" w:csb1="00000000"/>
  </w:font>
  <w:font w:name="TimesNewRomanPS-BoldItalicMT">
    <w:altName w:val="Times New Roman"/>
    <w:panose1 w:val="00000000000000000000"/>
    <w:charset w:val="00"/>
    <w:family w:val="auto"/>
    <w:notTrueType/>
    <w:pitch w:val="variable"/>
    <w:sig w:usb0="00000003" w:usb1="00000000" w:usb2="00000000" w:usb3="00000000" w:csb0="00000001" w:csb1="00000000"/>
  </w:font>
  <w:font w:name="Arial-BoldItalicMT">
    <w:altName w:val="Arial"/>
    <w:panose1 w:val="00000000000000000000"/>
    <w:charset w:val="4D"/>
    <w:family w:val="auto"/>
    <w:notTrueType/>
    <w:pitch w:val="default"/>
    <w:sig w:usb0="00000003" w:usb1="00000000" w:usb2="00000000" w:usb3="00000000" w:csb0="00000001" w:csb1="00000000"/>
  </w:font>
  <w:font w:name="Arial-ItalicMT">
    <w:panose1 w:val="00000000000000000000"/>
    <w:charset w:val="4D"/>
    <w:family w:val="auto"/>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Nmerodepgina"/>
      </w:rPr>
      <w:id w:val="-1338311469"/>
      <w:docPartObj>
        <w:docPartGallery w:val="Page Numbers (Bottom of Page)"/>
        <w:docPartUnique/>
      </w:docPartObj>
    </w:sdtPr>
    <w:sdtContent>
      <w:p>
        <w:pPr>
          <w:pStyle w:val="Rodap"/>
          <w:framePr w:wrap="none" w:vAnchor="text" w:hAnchor="margin" w:xAlign="center"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Rodap"/>
      <w:ind w:right="360"/>
      <w:jc w:val="center"/>
    </w:pPr>
    <w:r>
      <w:fldChar w:fldCharType="begin"/>
    </w:r>
    <w:r>
      <w:instrText xml:space="preserve"> DOCPROPERTY iManageFooter \* MERGEFORMAT </w:instrText>
    </w:r>
    <w:r>
      <w:fldChar w:fldCharType="separate"/>
    </w:r>
    <w:r>
      <w:t>JUR_SP - 34459962v5 - 599032.447248</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Rodap"/>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Rodap"/>
      <w:jc w:val="center"/>
      <w:rPr>
        <w:lang w:val="pt-BR"/>
      </w:rPr>
    </w:pPr>
    <w:r>
      <w:rPr>
        <w:noProof/>
      </w:rPr>
      <w:fldChar w:fldCharType="begin"/>
    </w:r>
    <w:r>
      <w:rPr>
        <w:noProof/>
        <w:lang w:val="pt-BR"/>
      </w:rPr>
      <w:instrText xml:space="preserve"> DOCPROPERTY iManageFooter \* MERGEFORMAT </w:instrText>
    </w:r>
    <w:r>
      <w:rPr>
        <w:noProof/>
      </w:rPr>
      <w:fldChar w:fldCharType="separate"/>
    </w:r>
    <w:r>
      <w:rPr>
        <w:noProof/>
        <w:lang w:val="pt-BR"/>
      </w:rPr>
      <w:t>JUR_SP - 34459962v3 - 599032.447248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pPr>
      <w:r>
        <w:separator/>
      </w:r>
    </w:p>
  </w:footnote>
  <w:footnote w:type="continuationSeparator" w:id="0">
    <w:p>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CC6C0926"/>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EFD4095"/>
    <w:multiLevelType w:val="multilevel"/>
    <w:tmpl w:val="FE7EE634"/>
    <w:lvl w:ilvl="0">
      <w:start w:val="4"/>
      <w:numFmt w:val="decimal"/>
      <w:lvlText w:val="%1."/>
      <w:lvlJc w:val="left"/>
      <w:pPr>
        <w:tabs>
          <w:tab w:val="num" w:pos="709"/>
        </w:tabs>
        <w:ind w:left="709" w:hanging="709"/>
      </w:pPr>
      <w:rPr>
        <w:rFonts w:ascii="Times New Roman" w:hAnsi="Times New Roman" w:hint="default"/>
        <w:b w:val="0"/>
        <w:i w:val="0"/>
        <w:sz w:val="26"/>
      </w:rPr>
    </w:lvl>
    <w:lvl w:ilvl="1">
      <w:start w:val="1"/>
      <w:numFmt w:val="decimal"/>
      <w:lvlText w:val="5.%2"/>
      <w:lvlJc w:val="left"/>
      <w:pPr>
        <w:tabs>
          <w:tab w:val="num" w:pos="709"/>
        </w:tabs>
        <w:ind w:left="709" w:hanging="709"/>
      </w:pPr>
      <w:rPr>
        <w:rFonts w:ascii="Garamond" w:hAnsi="Garamond" w:cs="Times New Roman" w:hint="default"/>
        <w:b w:val="0"/>
        <w:i w:val="0"/>
        <w:sz w:val="24"/>
        <w:szCs w:val="24"/>
      </w:rPr>
    </w:lvl>
    <w:lvl w:ilvl="2">
      <w:start w:val="1"/>
      <w:numFmt w:val="upperRoman"/>
      <w:lvlText w:val="%3."/>
      <w:lvlJc w:val="left"/>
      <w:pPr>
        <w:tabs>
          <w:tab w:val="num" w:pos="1418"/>
        </w:tabs>
        <w:ind w:left="1418" w:hanging="709"/>
      </w:pPr>
      <w:rPr>
        <w:rFonts w:ascii="Verdana" w:hAnsi="Verdana" w:cs="Arial" w:hint="default"/>
        <w:b w:val="0"/>
        <w:i w:val="0"/>
        <w:sz w:val="20"/>
        <w:szCs w:val="20"/>
      </w:rPr>
    </w:lvl>
    <w:lvl w:ilvl="3">
      <w:start w:val="1"/>
      <w:numFmt w:val="lowerLetter"/>
      <w:lvlText w:val="(%4)"/>
      <w:lvlJc w:val="left"/>
      <w:pPr>
        <w:tabs>
          <w:tab w:val="num" w:pos="2126"/>
        </w:tabs>
        <w:ind w:left="2126" w:hanging="708"/>
      </w:pPr>
      <w:rPr>
        <w:rFonts w:ascii="Verdana" w:hAnsi="Verdana" w:hint="default"/>
        <w:b w:val="0"/>
        <w:i w:val="0"/>
        <w:sz w:val="22"/>
        <w:szCs w:val="24"/>
      </w:rPr>
    </w:lvl>
    <w:lvl w:ilvl="4">
      <w:start w:val="1"/>
      <w:numFmt w:val="decimal"/>
      <w:lvlText w:val="5.%2.%5"/>
      <w:lvlJc w:val="left"/>
      <w:pPr>
        <w:tabs>
          <w:tab w:val="num" w:pos="709"/>
        </w:tabs>
        <w:ind w:left="709" w:hanging="709"/>
      </w:pPr>
      <w:rPr>
        <w:rFonts w:ascii="Garamond" w:hAnsi="Garamond" w:cs="Times New Roman" w:hint="default"/>
        <w:b w:val="0"/>
        <w:i w:val="0"/>
        <w:sz w:val="24"/>
        <w:szCs w:val="24"/>
      </w:rPr>
    </w:lvl>
    <w:lvl w:ilvl="5">
      <w:start w:val="1"/>
      <w:numFmt w:val="upperRoman"/>
      <w:lvlText w:val="%6."/>
      <w:lvlJc w:val="left"/>
      <w:pPr>
        <w:tabs>
          <w:tab w:val="num" w:pos="1418"/>
        </w:tabs>
        <w:ind w:left="1418" w:hanging="709"/>
      </w:pPr>
      <w:rPr>
        <w:rFonts w:ascii="Times New Roman" w:hAnsi="Times New Roman" w:hint="default"/>
        <w:b w:val="0"/>
        <w:i w:val="0"/>
        <w:sz w:val="26"/>
      </w:rPr>
    </w:lvl>
    <w:lvl w:ilvl="6">
      <w:start w:val="1"/>
      <w:numFmt w:val="lowerLetter"/>
      <w:lvlText w:val="(%7)"/>
      <w:lvlJc w:val="left"/>
      <w:pPr>
        <w:tabs>
          <w:tab w:val="num" w:pos="2126"/>
        </w:tabs>
        <w:ind w:left="2126" w:hanging="708"/>
      </w:pPr>
      <w:rPr>
        <w:rFonts w:ascii="Times New Roman" w:hAnsi="Times New Roman" w:hint="default"/>
        <w:b w:val="0"/>
        <w:i w:val="0"/>
        <w:sz w:val="26"/>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F3F1625"/>
    <w:multiLevelType w:val="multilevel"/>
    <w:tmpl w:val="FEC452B2"/>
    <w:lvl w:ilvl="0">
      <w:start w:val="1"/>
      <w:numFmt w:val="upperLetter"/>
      <w:pStyle w:val="MarcadorA1"/>
      <w:lvlText w:val="(%1)"/>
      <w:lvlJc w:val="left"/>
      <w:pPr>
        <w:tabs>
          <w:tab w:val="num" w:pos="680"/>
        </w:tabs>
        <w:ind w:left="680" w:hanging="68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16B7A43"/>
    <w:multiLevelType w:val="multilevel"/>
    <w:tmpl w:val="C67AD2E8"/>
    <w:lvl w:ilvl="0">
      <w:start w:val="1"/>
      <w:numFmt w:val="decimal"/>
      <w:pStyle w:val="Table1"/>
      <w:lvlText w:val="%1"/>
      <w:lvlJc w:val="left"/>
      <w:pPr>
        <w:tabs>
          <w:tab w:val="num" w:pos="680"/>
        </w:tabs>
        <w:ind w:left="680" w:hanging="680"/>
      </w:pPr>
      <w:rPr>
        <w:rFonts w:hint="default"/>
        <w:b/>
        <w:i w:val="0"/>
        <w:sz w:val="16"/>
        <w:szCs w:val="16"/>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4" w15:restartNumberingAfterBreak="0">
    <w:nsid w:val="157142FA"/>
    <w:multiLevelType w:val="multilevel"/>
    <w:tmpl w:val="1D00F376"/>
    <w:styleLink w:val="Estilo3"/>
    <w:lvl w:ilvl="0">
      <w:start w:val="6"/>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96B516C"/>
    <w:multiLevelType w:val="multilevel"/>
    <w:tmpl w:val="A614EB74"/>
    <w:styleLink w:val="Estilo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A057181"/>
    <w:multiLevelType w:val="hybridMultilevel"/>
    <w:tmpl w:val="5A02586E"/>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22E1466E"/>
    <w:multiLevelType w:val="multilevel"/>
    <w:tmpl w:val="DC22AF4C"/>
    <w:lvl w:ilvl="0">
      <w:start w:val="1"/>
      <w:numFmt w:val="decimal"/>
      <w:pStyle w:val="Nivel1"/>
      <w:lvlText w:val="%1."/>
      <w:lvlJc w:val="left"/>
      <w:pPr>
        <w:tabs>
          <w:tab w:val="num" w:pos="851"/>
        </w:tabs>
        <w:ind w:left="851" w:hanging="851"/>
      </w:pPr>
      <w:rPr>
        <w:rFonts w:ascii="Times New Roman" w:hAnsi="Times New Roman" w:hint="default"/>
        <w:b/>
        <w:i w:val="0"/>
        <w:sz w:val="22"/>
      </w:rPr>
    </w:lvl>
    <w:lvl w:ilvl="1">
      <w:start w:val="1"/>
      <w:numFmt w:val="decimal"/>
      <w:pStyle w:val="Nivel2"/>
      <w:lvlText w:val="%1.%2"/>
      <w:lvlJc w:val="left"/>
      <w:pPr>
        <w:tabs>
          <w:tab w:val="num" w:pos="851"/>
        </w:tabs>
        <w:ind w:left="0" w:firstLine="0"/>
      </w:pPr>
      <w:rPr>
        <w:rFonts w:hint="default"/>
      </w:rPr>
    </w:lvl>
    <w:lvl w:ilvl="2">
      <w:start w:val="1"/>
      <w:numFmt w:val="decimal"/>
      <w:pStyle w:val="Nivel3"/>
      <w:lvlText w:val="%1.%2.%3"/>
      <w:lvlJc w:val="left"/>
      <w:pPr>
        <w:tabs>
          <w:tab w:val="num" w:pos="851"/>
        </w:tabs>
        <w:ind w:left="0" w:firstLine="0"/>
      </w:pPr>
      <w:rPr>
        <w:rFonts w:ascii="Times New Roman" w:hAnsi="Times New Roman" w:hint="default"/>
        <w:b w:val="0"/>
        <w:i w:val="0"/>
        <w:sz w:val="22"/>
      </w:rPr>
    </w:lvl>
    <w:lvl w:ilvl="3">
      <w:start w:val="1"/>
      <w:numFmt w:val="decimal"/>
      <w:pStyle w:val="Nivel4"/>
      <w:lvlText w:val="%1.%2.%3.%4"/>
      <w:lvlJc w:val="left"/>
      <w:pPr>
        <w:tabs>
          <w:tab w:val="num" w:pos="1843"/>
        </w:tabs>
        <w:ind w:left="142" w:firstLine="851"/>
      </w:pPr>
      <w:rPr>
        <w:rFonts w:hint="default"/>
      </w:rPr>
    </w:lvl>
    <w:lvl w:ilvl="4">
      <w:start w:val="1"/>
      <w:numFmt w:val="lowerRoman"/>
      <w:pStyle w:val="Nivel5"/>
      <w:lvlText w:val="(%5)"/>
      <w:lvlJc w:val="left"/>
      <w:pPr>
        <w:tabs>
          <w:tab w:val="num" w:pos="1418"/>
        </w:tabs>
        <w:ind w:left="1418" w:hanging="567"/>
      </w:pPr>
      <w:rPr>
        <w:rFonts w:ascii="Times New Roman" w:hAnsi="Times New Roman" w:hint="default"/>
        <w:b w:val="0"/>
        <w:i w:val="0"/>
        <w:sz w:val="22"/>
      </w:rPr>
    </w:lvl>
    <w:lvl w:ilvl="5">
      <w:start w:val="1"/>
      <w:numFmt w:val="lowerLetter"/>
      <w:pStyle w:val="Nivel6"/>
      <w:lvlText w:val="(%6)"/>
      <w:lvlJc w:val="left"/>
      <w:pPr>
        <w:tabs>
          <w:tab w:val="num" w:pos="1985"/>
        </w:tabs>
        <w:ind w:left="1985" w:hanging="567"/>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4D958FD"/>
    <w:multiLevelType w:val="multilevel"/>
    <w:tmpl w:val="32BEEFDA"/>
    <w:lvl w:ilvl="0">
      <w:start w:val="1"/>
      <w:numFmt w:val="bullet"/>
      <w:pStyle w:val="bullet3"/>
      <w:lvlText w:val=""/>
      <w:lvlJc w:val="left"/>
      <w:pPr>
        <w:tabs>
          <w:tab w:val="num" w:pos="2041"/>
        </w:tabs>
        <w:ind w:left="2041" w:hanging="68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E26698"/>
    <w:multiLevelType w:val="hybridMultilevel"/>
    <w:tmpl w:val="9F3A2302"/>
    <w:lvl w:ilvl="0" w:tplc="645A6B18">
      <w:start w:val="1"/>
      <w:numFmt w:val="lowerRoman"/>
      <w:lvlText w:val="(%1)"/>
      <w:lvlJc w:val="left"/>
      <w:pPr>
        <w:ind w:left="720" w:hanging="360"/>
      </w:pPr>
      <w:rPr>
        <w:rFonts w:cs="Times New Roman" w:hint="default"/>
        <w:b w:val="0"/>
        <w:sz w:val="20"/>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27826227"/>
    <w:multiLevelType w:val="hybridMultilevel"/>
    <w:tmpl w:val="81BEE2FC"/>
    <w:lvl w:ilvl="0" w:tplc="7CFC6C9C">
      <w:start w:val="1"/>
      <w:numFmt w:val="lowerRoman"/>
      <w:lvlText w:val="(%1)"/>
      <w:lvlJc w:val="left"/>
      <w:pPr>
        <w:ind w:left="2614" w:hanging="360"/>
      </w:pPr>
      <w:rPr>
        <w:rFonts w:cs="Times New Roman" w:hint="default"/>
        <w:b w:val="0"/>
        <w:sz w:val="24"/>
        <w:szCs w:val="24"/>
      </w:rPr>
    </w:lvl>
    <w:lvl w:ilvl="1" w:tplc="04090003" w:tentative="1">
      <w:start w:val="1"/>
      <w:numFmt w:val="bullet"/>
      <w:lvlText w:val="o"/>
      <w:lvlJc w:val="left"/>
      <w:pPr>
        <w:ind w:left="3334" w:hanging="360"/>
      </w:pPr>
      <w:rPr>
        <w:rFonts w:ascii="Courier New" w:hAnsi="Courier New" w:cs="Courier New" w:hint="default"/>
      </w:rPr>
    </w:lvl>
    <w:lvl w:ilvl="2" w:tplc="04090005" w:tentative="1">
      <w:start w:val="1"/>
      <w:numFmt w:val="bullet"/>
      <w:lvlText w:val=""/>
      <w:lvlJc w:val="left"/>
      <w:pPr>
        <w:ind w:left="4054" w:hanging="360"/>
      </w:pPr>
      <w:rPr>
        <w:rFonts w:ascii="Wingdings" w:hAnsi="Wingdings" w:hint="default"/>
      </w:rPr>
    </w:lvl>
    <w:lvl w:ilvl="3" w:tplc="04090001" w:tentative="1">
      <w:start w:val="1"/>
      <w:numFmt w:val="bullet"/>
      <w:lvlText w:val=""/>
      <w:lvlJc w:val="left"/>
      <w:pPr>
        <w:ind w:left="4774" w:hanging="360"/>
      </w:pPr>
      <w:rPr>
        <w:rFonts w:ascii="Symbol" w:hAnsi="Symbol" w:hint="default"/>
      </w:rPr>
    </w:lvl>
    <w:lvl w:ilvl="4" w:tplc="04090003" w:tentative="1">
      <w:start w:val="1"/>
      <w:numFmt w:val="bullet"/>
      <w:lvlText w:val="o"/>
      <w:lvlJc w:val="left"/>
      <w:pPr>
        <w:ind w:left="5494" w:hanging="360"/>
      </w:pPr>
      <w:rPr>
        <w:rFonts w:ascii="Courier New" w:hAnsi="Courier New" w:cs="Courier New" w:hint="default"/>
      </w:rPr>
    </w:lvl>
    <w:lvl w:ilvl="5" w:tplc="04090005" w:tentative="1">
      <w:start w:val="1"/>
      <w:numFmt w:val="bullet"/>
      <w:lvlText w:val=""/>
      <w:lvlJc w:val="left"/>
      <w:pPr>
        <w:ind w:left="6214" w:hanging="360"/>
      </w:pPr>
      <w:rPr>
        <w:rFonts w:ascii="Wingdings" w:hAnsi="Wingdings" w:hint="default"/>
      </w:rPr>
    </w:lvl>
    <w:lvl w:ilvl="6" w:tplc="04090001" w:tentative="1">
      <w:start w:val="1"/>
      <w:numFmt w:val="bullet"/>
      <w:lvlText w:val=""/>
      <w:lvlJc w:val="left"/>
      <w:pPr>
        <w:ind w:left="6934" w:hanging="360"/>
      </w:pPr>
      <w:rPr>
        <w:rFonts w:ascii="Symbol" w:hAnsi="Symbol" w:hint="default"/>
      </w:rPr>
    </w:lvl>
    <w:lvl w:ilvl="7" w:tplc="04090003" w:tentative="1">
      <w:start w:val="1"/>
      <w:numFmt w:val="bullet"/>
      <w:lvlText w:val="o"/>
      <w:lvlJc w:val="left"/>
      <w:pPr>
        <w:ind w:left="7654" w:hanging="360"/>
      </w:pPr>
      <w:rPr>
        <w:rFonts w:ascii="Courier New" w:hAnsi="Courier New" w:cs="Courier New" w:hint="default"/>
      </w:rPr>
    </w:lvl>
    <w:lvl w:ilvl="8" w:tplc="04090005" w:tentative="1">
      <w:start w:val="1"/>
      <w:numFmt w:val="bullet"/>
      <w:lvlText w:val=""/>
      <w:lvlJc w:val="left"/>
      <w:pPr>
        <w:ind w:left="8374" w:hanging="360"/>
      </w:pPr>
      <w:rPr>
        <w:rFonts w:ascii="Wingdings" w:hAnsi="Wingdings" w:hint="default"/>
      </w:rPr>
    </w:lvl>
  </w:abstractNum>
  <w:abstractNum w:abstractNumId="11" w15:restartNumberingAfterBreak="0">
    <w:nsid w:val="299B6A07"/>
    <w:multiLevelType w:val="hybridMultilevel"/>
    <w:tmpl w:val="713C88E8"/>
    <w:lvl w:ilvl="0" w:tplc="3606FDF6">
      <w:start w:val="1"/>
      <w:numFmt w:val="lowerRoman"/>
      <w:pStyle w:val="TabList1"/>
      <w:lvlText w:val="(%1)"/>
      <w:lvlJc w:val="left"/>
      <w:pPr>
        <w:tabs>
          <w:tab w:val="num" w:pos="397"/>
        </w:tabs>
        <w:ind w:left="397" w:hanging="397"/>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C835611"/>
    <w:multiLevelType w:val="multilevel"/>
    <w:tmpl w:val="5A9ED206"/>
    <w:lvl w:ilvl="0">
      <w:start w:val="1"/>
      <w:numFmt w:val="upperRoman"/>
      <w:pStyle w:val="TtuloB1"/>
      <w:lvlText w:val="%1."/>
      <w:lvlJc w:val="left"/>
      <w:pPr>
        <w:tabs>
          <w:tab w:val="num" w:pos="2722"/>
        </w:tabs>
        <w:ind w:left="2041" w:firstLine="0"/>
      </w:pPr>
      <w:rPr>
        <w:rFonts w:ascii="Arial Bold" w:hAnsi="Arial Bold" w:hint="default"/>
        <w:b/>
        <w:i w:val="0"/>
        <w:caps/>
        <w:sz w:val="24"/>
      </w:rPr>
    </w:lvl>
    <w:lvl w:ilvl="1">
      <w:start w:val="1"/>
      <w:numFmt w:val="decimal"/>
      <w:pStyle w:val="TtuloB2"/>
      <w:lvlText w:val="%1.%2."/>
      <w:lvlJc w:val="left"/>
      <w:pPr>
        <w:tabs>
          <w:tab w:val="num" w:pos="2722"/>
        </w:tabs>
        <w:ind w:left="2041" w:firstLine="0"/>
      </w:pPr>
      <w:rPr>
        <w:rFonts w:ascii="Arial" w:hAnsi="Arial" w:hint="default"/>
        <w:b w:val="0"/>
        <w:i w:val="0"/>
        <w:caps/>
        <w:sz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2DF1388E"/>
    <w:multiLevelType w:val="hybridMultilevel"/>
    <w:tmpl w:val="A756F68E"/>
    <w:lvl w:ilvl="0" w:tplc="57F025F2">
      <w:start w:val="1"/>
      <w:numFmt w:val="upperRoman"/>
      <w:lvlText w:val="%1."/>
      <w:lvlJc w:val="left"/>
      <w:pPr>
        <w:tabs>
          <w:tab w:val="num" w:pos="1418"/>
        </w:tabs>
        <w:ind w:left="1418" w:hanging="709"/>
      </w:pPr>
      <w:rPr>
        <w:rFonts w:ascii="Arial" w:hAnsi="Arial" w:cs="Arial" w:hint="default"/>
        <w:sz w:val="20"/>
        <w:szCs w:val="20"/>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15:restartNumberingAfterBreak="0">
    <w:nsid w:val="31F84773"/>
    <w:multiLevelType w:val="singleLevel"/>
    <w:tmpl w:val="D3D04E22"/>
    <w:name w:val="ltBullet022232222222222222222222222222222222"/>
    <w:lvl w:ilvl="0">
      <w:start w:val="1"/>
      <w:numFmt w:val="bullet"/>
      <w:lvlText w:val=""/>
      <w:lvlJc w:val="left"/>
      <w:pPr>
        <w:tabs>
          <w:tab w:val="num" w:pos="245"/>
        </w:tabs>
        <w:ind w:left="245" w:hanging="245"/>
      </w:pPr>
      <w:rPr>
        <w:rFonts w:ascii="Wingdings" w:hAnsi="Wingdings" w:hint="default"/>
        <w:b w:val="0"/>
        <w:color w:val="7397BC"/>
      </w:rPr>
    </w:lvl>
  </w:abstractNum>
  <w:abstractNum w:abstractNumId="15" w15:restartNumberingAfterBreak="0">
    <w:nsid w:val="33910D47"/>
    <w:multiLevelType w:val="multilevel"/>
    <w:tmpl w:val="AF8E612E"/>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6FD582F"/>
    <w:multiLevelType w:val="hybridMultilevel"/>
    <w:tmpl w:val="9F3A2302"/>
    <w:lvl w:ilvl="0" w:tplc="645A6B18">
      <w:start w:val="1"/>
      <w:numFmt w:val="lowerRoman"/>
      <w:lvlText w:val="(%1)"/>
      <w:lvlJc w:val="left"/>
      <w:pPr>
        <w:ind w:left="720" w:hanging="360"/>
      </w:pPr>
      <w:rPr>
        <w:rFonts w:cs="Times New Roman" w:hint="default"/>
        <w:b w:val="0"/>
        <w:sz w:val="20"/>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3B5B6215"/>
    <w:multiLevelType w:val="multilevel"/>
    <w:tmpl w:val="8D50A41C"/>
    <w:lvl w:ilvl="0">
      <w:start w:val="1"/>
      <w:numFmt w:val="bullet"/>
      <w:pStyle w:val="Bullet1"/>
      <w:lvlText w:val=""/>
      <w:lvlJc w:val="left"/>
      <w:pPr>
        <w:tabs>
          <w:tab w:val="num" w:pos="680"/>
        </w:tabs>
        <w:ind w:left="680" w:hanging="68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E2F5F0F"/>
    <w:multiLevelType w:val="hybridMultilevel"/>
    <w:tmpl w:val="1CC0369C"/>
    <w:lvl w:ilvl="0" w:tplc="5C54716E">
      <w:start w:val="1"/>
      <w:numFmt w:val="bullet"/>
      <w:pStyle w:val="TabBullet1"/>
      <w:lvlText w:val=""/>
      <w:lvlJc w:val="left"/>
      <w:pPr>
        <w:tabs>
          <w:tab w:val="num" w:pos="397"/>
        </w:tabs>
        <w:ind w:left="397" w:hanging="397"/>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45AF13BC"/>
    <w:multiLevelType w:val="multilevel"/>
    <w:tmpl w:val="26BE94CC"/>
    <w:lvl w:ilvl="0">
      <w:start w:val="1"/>
      <w:numFmt w:val="decimal"/>
      <w:lvlRestart w:val="0"/>
      <w:lvlText w:val="%1"/>
      <w:lvlJc w:val="left"/>
      <w:pPr>
        <w:tabs>
          <w:tab w:val="num" w:pos="680"/>
        </w:tabs>
        <w:ind w:left="680" w:hanging="680"/>
      </w:pPr>
      <w:rPr>
        <w:rFonts w:ascii="Tahoma" w:hAnsi="Tahoma" w:cs="Tahoma" w:hint="default"/>
        <w:b/>
        <w:i w:val="0"/>
        <w:caps w:val="0"/>
        <w:strike w:val="0"/>
        <w:dstrike w:val="0"/>
        <w:vanish w:val="0"/>
        <w:color w:val="FFFFFF" w:themeColor="background1"/>
        <w:sz w:val="22"/>
        <w:szCs w:val="22"/>
        <w:vertAlign w:val="baseline"/>
      </w:rPr>
    </w:lvl>
    <w:lvl w:ilvl="1">
      <w:start w:val="1"/>
      <w:numFmt w:val="decimal"/>
      <w:lvlText w:val="%1.%2"/>
      <w:lvlJc w:val="left"/>
      <w:pPr>
        <w:tabs>
          <w:tab w:val="num" w:pos="680"/>
        </w:tabs>
        <w:ind w:left="680" w:hanging="680"/>
      </w:pPr>
      <w:rPr>
        <w:rFonts w:ascii="Tahoma" w:hAnsi="Tahoma" w:cs="Tahoma" w:hint="default"/>
        <w:b/>
        <w:i w:val="0"/>
        <w:caps w:val="0"/>
        <w:strike w:val="0"/>
        <w:dstrike w:val="0"/>
        <w:vanish w:val="0"/>
        <w:color w:val="000000"/>
        <w:sz w:val="22"/>
        <w:szCs w:val="22"/>
        <w:vertAlign w:val="baseline"/>
      </w:rPr>
    </w:lvl>
    <w:lvl w:ilvl="2">
      <w:start w:val="1"/>
      <w:numFmt w:val="decimal"/>
      <w:lvlText w:val="%1.%2.%3"/>
      <w:lvlJc w:val="left"/>
      <w:pPr>
        <w:tabs>
          <w:tab w:val="num" w:pos="1361"/>
        </w:tabs>
        <w:ind w:left="1361" w:hanging="681"/>
      </w:pPr>
      <w:rPr>
        <w:rFonts w:ascii="Tahoma" w:hAnsi="Tahoma" w:cs="Tahoma" w:hint="default"/>
        <w:b/>
        <w:i w:val="0"/>
        <w:caps w:val="0"/>
        <w:strike w:val="0"/>
        <w:dstrike w:val="0"/>
        <w:vanish w:val="0"/>
        <w:color w:val="000000"/>
        <w:sz w:val="22"/>
        <w:szCs w:val="22"/>
        <w:vertAlign w:val="baseline"/>
      </w:rPr>
    </w:lvl>
    <w:lvl w:ilvl="3">
      <w:start w:val="1"/>
      <w:numFmt w:val="lowerRoman"/>
      <w:lvlText w:val="(%4)"/>
      <w:lvlJc w:val="left"/>
      <w:pPr>
        <w:tabs>
          <w:tab w:val="num" w:pos="1957"/>
        </w:tabs>
        <w:ind w:left="1957" w:hanging="680"/>
      </w:pPr>
      <w:rPr>
        <w:rFonts w:ascii="Tahoma" w:hAnsi="Tahoma" w:cs="Tahoma" w:hint="default"/>
        <w:b/>
        <w:i w:val="0"/>
        <w:caps w:val="0"/>
        <w:strike w:val="0"/>
        <w:dstrike w:val="0"/>
        <w:vanish w:val="0"/>
        <w:color w:val="auto"/>
        <w:sz w:val="22"/>
        <w:szCs w:val="22"/>
        <w:u w:val="none"/>
        <w:vertAlign w:val="baseline"/>
      </w:rPr>
    </w:lvl>
    <w:lvl w:ilvl="4">
      <w:start w:val="1"/>
      <w:numFmt w:val="lowerLetter"/>
      <w:lvlText w:val="(%5)"/>
      <w:lvlJc w:val="left"/>
      <w:pPr>
        <w:tabs>
          <w:tab w:val="num" w:pos="2721"/>
        </w:tabs>
        <w:ind w:left="2721" w:hanging="680"/>
      </w:pPr>
      <w:rPr>
        <w:rFonts w:ascii="Arial" w:hAnsi="Arial" w:cs="Arial" w:hint="default"/>
        <w:b w:val="0"/>
        <w:i w:val="0"/>
        <w:caps w:val="0"/>
        <w:strike w:val="0"/>
        <w:dstrike w:val="0"/>
        <w:vanish w:val="0"/>
        <w:color w:val="000000"/>
        <w:sz w:val="20"/>
        <w:szCs w:val="20"/>
        <w:vertAlign w:val="baseline"/>
      </w:rPr>
    </w:lvl>
    <w:lvl w:ilvl="5">
      <w:start w:val="1"/>
      <w:numFmt w:val="upperRoman"/>
      <w:lvlText w:val="(%6)"/>
      <w:lvlJc w:val="left"/>
      <w:pPr>
        <w:tabs>
          <w:tab w:val="num" w:pos="3402"/>
        </w:tabs>
        <w:ind w:left="3402" w:hanging="681"/>
      </w:pPr>
      <w:rPr>
        <w:rFonts w:ascii="Arial" w:hAnsi="Arial" w:cs="Arial" w:hint="default"/>
        <w:b w:val="0"/>
        <w:i w:val="0"/>
        <w:caps w:val="0"/>
        <w:strike w:val="0"/>
        <w:dstrike w:val="0"/>
        <w:vanish w:val="0"/>
        <w:color w:val="000000"/>
        <w:sz w:val="20"/>
        <w:szCs w:val="22"/>
        <w:vertAlign w:val="baseline"/>
      </w:rPr>
    </w:lvl>
    <w:lvl w:ilvl="6">
      <w:start w:val="1"/>
      <w:numFmt w:val="decimal"/>
      <w:lvlText w:val="%7."/>
      <w:lvlJc w:val="left"/>
      <w:pPr>
        <w:ind w:left="2520" w:hanging="360"/>
      </w:pPr>
      <w:rPr>
        <w:rFonts w:hint="default"/>
        <w:b w:val="0"/>
        <w:i w:val="0"/>
        <w:color w:val="FFFFFF" w:themeColor="background1"/>
        <w:sz w:val="22"/>
        <w:szCs w:val="22"/>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8BF09C9"/>
    <w:multiLevelType w:val="multilevel"/>
    <w:tmpl w:val="20AA5A3E"/>
    <w:lvl w:ilvl="0">
      <w:start w:val="5"/>
      <w:numFmt w:val="decimal"/>
      <w:pStyle w:val="Raia-ESTILO2"/>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1" w15:restartNumberingAfterBreak="0">
    <w:nsid w:val="49423497"/>
    <w:multiLevelType w:val="multilevel"/>
    <w:tmpl w:val="169A556A"/>
    <w:styleLink w:val="Estilo15"/>
    <w:lvl w:ilvl="0">
      <w:start w:val="18"/>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D4E7ED9"/>
    <w:multiLevelType w:val="multilevel"/>
    <w:tmpl w:val="C94059A0"/>
    <w:lvl w:ilvl="0">
      <w:start w:val="1"/>
      <w:numFmt w:val="upperLetter"/>
      <w:pStyle w:val="MarcadorA"/>
      <w:lvlText w:val="(%1)"/>
      <w:lvlJc w:val="left"/>
      <w:pPr>
        <w:tabs>
          <w:tab w:val="num" w:pos="680"/>
        </w:tabs>
        <w:ind w:left="680" w:hanging="680"/>
      </w:pPr>
      <w:rPr>
        <w:rFonts w:ascii="Arial" w:hAnsi="Arial" w:hint="default"/>
        <w:b w:val="0"/>
        <w:i w:val="0"/>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549344AC"/>
    <w:multiLevelType w:val="multilevel"/>
    <w:tmpl w:val="E048C096"/>
    <w:lvl w:ilvl="0">
      <w:start w:val="1"/>
      <w:numFmt w:val="decimal"/>
      <w:lvlText w:val="%1"/>
      <w:lvlJc w:val="left"/>
      <w:pPr>
        <w:tabs>
          <w:tab w:val="num" w:pos="680"/>
        </w:tabs>
        <w:ind w:left="680" w:hanging="680"/>
      </w:pPr>
      <w:rPr>
        <w:rFonts w:ascii="Arial" w:hAnsi="Arial" w:cs="Arial"/>
        <w:b/>
        <w:i w:val="0"/>
        <w:caps w:val="0"/>
        <w:strike w:val="0"/>
        <w:dstrike w:val="0"/>
        <w:vanish w:val="0"/>
        <w:webHidden w:val="0"/>
        <w:sz w:val="22"/>
        <w:u w:val="none"/>
        <w:effect w:val="none"/>
        <w:vertAlign w:val="baseline"/>
        <w:specVanish w:val="0"/>
      </w:rPr>
    </w:lvl>
    <w:lvl w:ilvl="1">
      <w:start w:val="1"/>
      <w:numFmt w:val="decimal"/>
      <w:lvlText w:val="%1.%2"/>
      <w:lvlJc w:val="left"/>
      <w:pPr>
        <w:tabs>
          <w:tab w:val="num" w:pos="680"/>
        </w:tabs>
        <w:ind w:left="680" w:hanging="680"/>
      </w:pPr>
      <w:rPr>
        <w:rFonts w:ascii="Arial" w:hAnsi="Arial" w:cs="Arial"/>
        <w:b/>
        <w:i w:val="0"/>
        <w:sz w:val="21"/>
      </w:rPr>
    </w:lvl>
    <w:lvl w:ilvl="2">
      <w:start w:val="1"/>
      <w:numFmt w:val="decimal"/>
      <w:lvlText w:val="%1.%2.%3"/>
      <w:lvlJc w:val="left"/>
      <w:pPr>
        <w:tabs>
          <w:tab w:val="num" w:pos="1361"/>
        </w:tabs>
        <w:ind w:left="1361" w:hanging="681"/>
      </w:pPr>
      <w:rPr>
        <w:rFonts w:ascii="Arial" w:hAnsi="Arial" w:cs="Arial"/>
        <w:b/>
        <w:i w:val="0"/>
        <w:sz w:val="17"/>
      </w:rPr>
    </w:lvl>
    <w:lvl w:ilvl="3">
      <w:start w:val="1"/>
      <w:numFmt w:val="lowerRoman"/>
      <w:lvlText w:val="(%4)"/>
      <w:lvlJc w:val="left"/>
      <w:pPr>
        <w:tabs>
          <w:tab w:val="num" w:pos="2041"/>
        </w:tabs>
        <w:ind w:left="2041" w:hanging="680"/>
      </w:pPr>
      <w:rPr>
        <w:rFonts w:ascii="Arial" w:hAnsi="Arial" w:cs="Arial"/>
        <w:b w:val="0"/>
        <w:i w:val="0"/>
        <w:sz w:val="20"/>
      </w:rPr>
    </w:lvl>
    <w:lvl w:ilvl="4">
      <w:start w:val="1"/>
      <w:numFmt w:val="lowerLetter"/>
      <w:lvlText w:val="(%5)"/>
      <w:lvlJc w:val="left"/>
      <w:pPr>
        <w:tabs>
          <w:tab w:val="num" w:pos="2721"/>
        </w:tabs>
        <w:ind w:left="2721" w:hanging="680"/>
      </w:pPr>
      <w:rPr>
        <w:rFonts w:ascii="Arial" w:hAnsi="Arial" w:cs="Arial"/>
        <w:b w:val="0"/>
        <w:i w:val="0"/>
        <w:sz w:val="20"/>
      </w:rPr>
    </w:lvl>
    <w:lvl w:ilvl="5">
      <w:start w:val="1"/>
      <w:numFmt w:val="upperRoman"/>
      <w:pStyle w:val="citcar"/>
      <w:lvlText w:val="(%6)"/>
      <w:lvlJc w:val="left"/>
      <w:pPr>
        <w:tabs>
          <w:tab w:val="num" w:pos="3402"/>
        </w:tabs>
        <w:ind w:left="3402" w:hanging="681"/>
      </w:pPr>
      <w:rPr>
        <w:rFonts w:ascii="Arial" w:hAnsi="Arial" w:cs="Arial"/>
        <w:b w:val="0"/>
        <w:i w:val="0"/>
        <w:sz w:val="20"/>
      </w:rPr>
    </w:lvl>
    <w:lvl w:ilvl="6">
      <w:start w:val="1"/>
      <w:numFmt w:val="none"/>
      <w:lvlText w:val=""/>
      <w:lvlJc w:val="left"/>
      <w:pPr>
        <w:ind w:left="2517" w:hanging="357"/>
      </w:pPr>
    </w:lvl>
    <w:lvl w:ilvl="7">
      <w:start w:val="1"/>
      <w:numFmt w:val="none"/>
      <w:lvlText w:val=""/>
      <w:lvlJc w:val="left"/>
      <w:pPr>
        <w:ind w:left="2880" w:hanging="363"/>
      </w:pPr>
    </w:lvl>
    <w:lvl w:ilvl="8">
      <w:start w:val="1"/>
      <w:numFmt w:val="none"/>
      <w:lvlText w:val=""/>
      <w:lvlJc w:val="left"/>
      <w:pPr>
        <w:ind w:left="3237" w:hanging="357"/>
      </w:pPr>
    </w:lvl>
  </w:abstractNum>
  <w:abstractNum w:abstractNumId="24" w15:restartNumberingAfterBreak="0">
    <w:nsid w:val="56C51794"/>
    <w:multiLevelType w:val="multilevel"/>
    <w:tmpl w:val="16D68B42"/>
    <w:lvl w:ilvl="0">
      <w:start w:val="1"/>
      <w:numFmt w:val="decimal"/>
      <w:pStyle w:val="Petio1"/>
      <w:lvlText w:val="%1"/>
      <w:lvlJc w:val="left"/>
      <w:pPr>
        <w:tabs>
          <w:tab w:val="num" w:pos="2722"/>
        </w:tabs>
        <w:ind w:left="0" w:firstLine="2041"/>
      </w:pPr>
      <w:rPr>
        <w:rFonts w:ascii="Arial" w:hAnsi="Arial" w:hint="default"/>
        <w:b/>
        <w:i w:val="0"/>
        <w:sz w:val="24"/>
      </w:rPr>
    </w:lvl>
    <w:lvl w:ilvl="1">
      <w:start w:val="1"/>
      <w:numFmt w:val="decimal"/>
      <w:pStyle w:val="Petio2"/>
      <w:lvlText w:val="%1.%2"/>
      <w:lvlJc w:val="left"/>
      <w:pPr>
        <w:tabs>
          <w:tab w:val="num" w:pos="3402"/>
        </w:tabs>
        <w:ind w:left="0" w:firstLine="2722"/>
      </w:pPr>
      <w:rPr>
        <w:rFonts w:ascii="Arial" w:hAnsi="Arial" w:hint="default"/>
        <w:b/>
        <w:i w:val="0"/>
        <w:sz w:val="23"/>
      </w:rPr>
    </w:lvl>
    <w:lvl w:ilvl="2">
      <w:start w:val="1"/>
      <w:numFmt w:val="decimal"/>
      <w:pStyle w:val="Petio3"/>
      <w:lvlText w:val="%1.%2.%3"/>
      <w:lvlJc w:val="left"/>
      <w:pPr>
        <w:tabs>
          <w:tab w:val="num" w:pos="4082"/>
        </w:tabs>
        <w:ind w:left="0" w:firstLine="3402"/>
      </w:pPr>
      <w:rPr>
        <w:rFonts w:ascii="Arial" w:hAnsi="Arial" w:hint="default"/>
        <w:b/>
        <w:i w:val="0"/>
        <w:sz w:val="22"/>
      </w:rPr>
    </w:lvl>
    <w:lvl w:ilvl="3">
      <w:start w:val="1"/>
      <w:numFmt w:val="lowerLetter"/>
      <w:pStyle w:val="Petio4"/>
      <w:lvlText w:val="(%4)"/>
      <w:lvlJc w:val="left"/>
      <w:pPr>
        <w:tabs>
          <w:tab w:val="num" w:pos="4763"/>
        </w:tabs>
        <w:ind w:left="0" w:firstLine="4082"/>
      </w:pPr>
      <w:rPr>
        <w:rFonts w:ascii="Arial" w:hAnsi="Arial" w:hint="default"/>
        <w:b/>
        <w:i w:val="0"/>
        <w:sz w:val="22"/>
      </w:rPr>
    </w:lvl>
    <w:lvl w:ilvl="4">
      <w:start w:val="1"/>
      <w:numFmt w:val="decimal"/>
      <w:lvlText w:val="%1.%2.%3.%4.%5"/>
      <w:lvlJc w:val="left"/>
      <w:pPr>
        <w:tabs>
          <w:tab w:val="num" w:pos="3049"/>
        </w:tabs>
        <w:ind w:left="3049" w:hanging="1008"/>
      </w:pPr>
      <w:rPr>
        <w:rFonts w:hint="default"/>
      </w:rPr>
    </w:lvl>
    <w:lvl w:ilvl="5">
      <w:start w:val="1"/>
      <w:numFmt w:val="decimal"/>
      <w:lvlText w:val="%1.%2.%3.%4.%5.%6"/>
      <w:lvlJc w:val="left"/>
      <w:pPr>
        <w:tabs>
          <w:tab w:val="num" w:pos="3193"/>
        </w:tabs>
        <w:ind w:left="3193" w:hanging="1152"/>
      </w:pPr>
      <w:rPr>
        <w:rFonts w:hint="default"/>
      </w:rPr>
    </w:lvl>
    <w:lvl w:ilvl="6">
      <w:start w:val="1"/>
      <w:numFmt w:val="decimal"/>
      <w:lvlText w:val="%1.%2.%3.%4.%5.%6.%7"/>
      <w:lvlJc w:val="left"/>
      <w:pPr>
        <w:tabs>
          <w:tab w:val="num" w:pos="3337"/>
        </w:tabs>
        <w:ind w:left="3337" w:hanging="1296"/>
      </w:pPr>
      <w:rPr>
        <w:rFonts w:hint="default"/>
      </w:rPr>
    </w:lvl>
    <w:lvl w:ilvl="7">
      <w:start w:val="1"/>
      <w:numFmt w:val="decimal"/>
      <w:lvlText w:val="%1.%2.%3.%4.%5.%6.%7.%8"/>
      <w:lvlJc w:val="left"/>
      <w:pPr>
        <w:tabs>
          <w:tab w:val="num" w:pos="3481"/>
        </w:tabs>
        <w:ind w:left="3481" w:hanging="1440"/>
      </w:pPr>
      <w:rPr>
        <w:rFonts w:hint="default"/>
      </w:rPr>
    </w:lvl>
    <w:lvl w:ilvl="8">
      <w:start w:val="1"/>
      <w:numFmt w:val="decimal"/>
      <w:lvlText w:val="%1.%2.%3.%4.%5.%6.%7.%8.%9"/>
      <w:lvlJc w:val="left"/>
      <w:pPr>
        <w:tabs>
          <w:tab w:val="num" w:pos="3625"/>
        </w:tabs>
        <w:ind w:left="3625" w:hanging="1584"/>
      </w:pPr>
      <w:rPr>
        <w:rFonts w:hint="default"/>
      </w:rPr>
    </w:lvl>
  </w:abstractNum>
  <w:abstractNum w:abstractNumId="25" w15:restartNumberingAfterBreak="0">
    <w:nsid w:val="58E759FE"/>
    <w:multiLevelType w:val="hybridMultilevel"/>
    <w:tmpl w:val="5C826EFA"/>
    <w:lvl w:ilvl="0" w:tplc="29FC06C0">
      <w:numFmt w:val="bullet"/>
      <w:lvlText w:val=""/>
      <w:lvlJc w:val="left"/>
      <w:pPr>
        <w:ind w:left="2770" w:hanging="360"/>
      </w:pPr>
      <w:rPr>
        <w:rFonts w:ascii="Symbol" w:eastAsia="Calibri" w:hAnsi="Symbol" w:cs="Times New Roman" w:hint="default"/>
      </w:rPr>
    </w:lvl>
    <w:lvl w:ilvl="1" w:tplc="04160003">
      <w:start w:val="1"/>
      <w:numFmt w:val="bullet"/>
      <w:lvlText w:val="o"/>
      <w:lvlJc w:val="left"/>
      <w:pPr>
        <w:ind w:left="1785" w:hanging="360"/>
      </w:pPr>
      <w:rPr>
        <w:rFonts w:ascii="Courier New" w:hAnsi="Courier New" w:cs="Courier New" w:hint="default"/>
      </w:rPr>
    </w:lvl>
    <w:lvl w:ilvl="2" w:tplc="04160005">
      <w:start w:val="1"/>
      <w:numFmt w:val="bullet"/>
      <w:lvlText w:val=""/>
      <w:lvlJc w:val="left"/>
      <w:pPr>
        <w:ind w:left="2505" w:hanging="360"/>
      </w:pPr>
      <w:rPr>
        <w:rFonts w:ascii="Wingdings" w:hAnsi="Wingdings" w:hint="default"/>
      </w:rPr>
    </w:lvl>
    <w:lvl w:ilvl="3" w:tplc="04160001">
      <w:start w:val="1"/>
      <w:numFmt w:val="bullet"/>
      <w:lvlText w:val=""/>
      <w:lvlJc w:val="left"/>
      <w:pPr>
        <w:ind w:left="3225" w:hanging="360"/>
      </w:pPr>
      <w:rPr>
        <w:rFonts w:ascii="Symbol" w:hAnsi="Symbol" w:hint="default"/>
      </w:rPr>
    </w:lvl>
    <w:lvl w:ilvl="4" w:tplc="04160003">
      <w:start w:val="1"/>
      <w:numFmt w:val="bullet"/>
      <w:lvlText w:val="o"/>
      <w:lvlJc w:val="left"/>
      <w:pPr>
        <w:ind w:left="3945" w:hanging="360"/>
      </w:pPr>
      <w:rPr>
        <w:rFonts w:ascii="Courier New" w:hAnsi="Courier New" w:cs="Courier New" w:hint="default"/>
      </w:rPr>
    </w:lvl>
    <w:lvl w:ilvl="5" w:tplc="04160005">
      <w:start w:val="1"/>
      <w:numFmt w:val="bullet"/>
      <w:lvlText w:val=""/>
      <w:lvlJc w:val="left"/>
      <w:pPr>
        <w:ind w:left="4665" w:hanging="360"/>
      </w:pPr>
      <w:rPr>
        <w:rFonts w:ascii="Wingdings" w:hAnsi="Wingdings" w:hint="default"/>
      </w:rPr>
    </w:lvl>
    <w:lvl w:ilvl="6" w:tplc="04160001">
      <w:start w:val="1"/>
      <w:numFmt w:val="bullet"/>
      <w:lvlText w:val=""/>
      <w:lvlJc w:val="left"/>
      <w:pPr>
        <w:ind w:left="5385" w:hanging="360"/>
      </w:pPr>
      <w:rPr>
        <w:rFonts w:ascii="Symbol" w:hAnsi="Symbol" w:hint="default"/>
      </w:rPr>
    </w:lvl>
    <w:lvl w:ilvl="7" w:tplc="04160003">
      <w:start w:val="1"/>
      <w:numFmt w:val="bullet"/>
      <w:lvlText w:val="o"/>
      <w:lvlJc w:val="left"/>
      <w:pPr>
        <w:ind w:left="6105" w:hanging="360"/>
      </w:pPr>
      <w:rPr>
        <w:rFonts w:ascii="Courier New" w:hAnsi="Courier New" w:cs="Courier New" w:hint="default"/>
      </w:rPr>
    </w:lvl>
    <w:lvl w:ilvl="8" w:tplc="04160005">
      <w:start w:val="1"/>
      <w:numFmt w:val="bullet"/>
      <w:lvlText w:val=""/>
      <w:lvlJc w:val="left"/>
      <w:pPr>
        <w:ind w:left="6825" w:hanging="360"/>
      </w:pPr>
      <w:rPr>
        <w:rFonts w:ascii="Wingdings" w:hAnsi="Wingdings" w:hint="default"/>
      </w:rPr>
    </w:lvl>
  </w:abstractNum>
  <w:abstractNum w:abstractNumId="26" w15:restartNumberingAfterBreak="0">
    <w:nsid w:val="59AB3363"/>
    <w:multiLevelType w:val="multilevel"/>
    <w:tmpl w:val="75829246"/>
    <w:name w:val="Bullets_House_Style"/>
    <w:lvl w:ilvl="0">
      <w:start w:val="1"/>
      <w:numFmt w:val="bullet"/>
      <w:lvlRestart w:val="0"/>
      <w:lvlText w:val=""/>
      <w:lvlJc w:val="left"/>
      <w:pPr>
        <w:tabs>
          <w:tab w:val="num" w:pos="680"/>
        </w:tabs>
        <w:ind w:left="680" w:hanging="680"/>
      </w:pPr>
      <w:rPr>
        <w:rFonts w:ascii="Symbol" w:hAnsi="Symbol" w:hint="default"/>
        <w:b w:val="0"/>
        <w:caps w:val="0"/>
        <w:strike w:val="0"/>
        <w:dstrike w:val="0"/>
        <w:vanish w:val="0"/>
        <w:color w:val="000000"/>
        <w:sz w:val="20"/>
        <w:vertAlign w:val="baseline"/>
      </w:rPr>
    </w:lvl>
    <w:lvl w:ilvl="1">
      <w:start w:val="1"/>
      <w:numFmt w:val="bullet"/>
      <w:lvlRestart w:val="0"/>
      <w:lvlText w:val=""/>
      <w:lvlJc w:val="left"/>
      <w:pPr>
        <w:tabs>
          <w:tab w:val="num" w:pos="680"/>
        </w:tabs>
        <w:ind w:left="680" w:hanging="680"/>
      </w:pPr>
      <w:rPr>
        <w:rFonts w:ascii="Symbol" w:hAnsi="Symbol" w:hint="default"/>
        <w:b w:val="0"/>
        <w:caps w:val="0"/>
        <w:strike w:val="0"/>
        <w:dstrike w:val="0"/>
        <w:vanish w:val="0"/>
        <w:color w:val="000000"/>
        <w:sz w:val="20"/>
        <w:vertAlign w:val="baseline"/>
      </w:rPr>
    </w:lvl>
    <w:lvl w:ilvl="2">
      <w:start w:val="1"/>
      <w:numFmt w:val="bullet"/>
      <w:lvlRestart w:val="0"/>
      <w:lvlText w:val="o"/>
      <w:lvlJc w:val="left"/>
      <w:pPr>
        <w:tabs>
          <w:tab w:val="num" w:pos="680"/>
        </w:tabs>
        <w:ind w:left="680" w:hanging="680"/>
      </w:pPr>
      <w:rPr>
        <w:rFonts w:ascii="Symbol" w:hAnsi="Symbol" w:hint="default"/>
        <w:b w:val="0"/>
        <w:caps w:val="0"/>
        <w:strike w:val="0"/>
        <w:dstrike w:val="0"/>
        <w:vanish w:val="0"/>
        <w:color w:val="000000"/>
        <w:sz w:val="20"/>
        <w:vertAlign w:val="baseline"/>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7" w15:restartNumberingAfterBreak="0">
    <w:nsid w:val="5A000618"/>
    <w:multiLevelType w:val="multilevel"/>
    <w:tmpl w:val="7CECD996"/>
    <w:lvl w:ilvl="0">
      <w:start w:val="1"/>
      <w:numFmt w:val="decimal"/>
      <w:pStyle w:val="Marcador11"/>
      <w:lvlText w:val="(%1)"/>
      <w:lvlJc w:val="left"/>
      <w:pPr>
        <w:tabs>
          <w:tab w:val="num" w:pos="680"/>
        </w:tabs>
        <w:ind w:left="680" w:hanging="68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5D8B6EE9"/>
    <w:multiLevelType w:val="multilevel"/>
    <w:tmpl w:val="1C9E23CE"/>
    <w:lvl w:ilvl="0">
      <w:start w:val="1"/>
      <w:numFmt w:val="decimal"/>
      <w:lvlRestart w:val="0"/>
      <w:lvlText w:val="%1"/>
      <w:lvlJc w:val="left"/>
      <w:pPr>
        <w:tabs>
          <w:tab w:val="num" w:pos="680"/>
        </w:tabs>
        <w:ind w:left="680" w:hanging="680"/>
      </w:pPr>
      <w:rPr>
        <w:rFonts w:ascii="Garamond" w:hAnsi="Garamond" w:cs="Arial" w:hint="default"/>
        <w:b/>
        <w:caps w:val="0"/>
        <w:strike w:val="0"/>
        <w:dstrike w:val="0"/>
        <w:vanish w:val="0"/>
        <w:color w:val="000000"/>
        <w:sz w:val="22"/>
        <w:vertAlign w:val="baseline"/>
      </w:rPr>
    </w:lvl>
    <w:lvl w:ilvl="1">
      <w:start w:val="1"/>
      <w:numFmt w:val="decimal"/>
      <w:lvlText w:val="%1.%2"/>
      <w:lvlJc w:val="left"/>
      <w:pPr>
        <w:tabs>
          <w:tab w:val="num" w:pos="680"/>
        </w:tabs>
        <w:ind w:left="680" w:hanging="680"/>
      </w:pPr>
      <w:rPr>
        <w:rFonts w:ascii="Garamond" w:hAnsi="Garamond" w:cs="Arial" w:hint="default"/>
        <w:b w:val="0"/>
        <w:i w:val="0"/>
        <w:caps w:val="0"/>
        <w:strike w:val="0"/>
        <w:dstrike w:val="0"/>
        <w:vanish w:val="0"/>
        <w:color w:val="000000"/>
        <w:sz w:val="24"/>
        <w:szCs w:val="24"/>
        <w:vertAlign w:val="baseline"/>
      </w:rPr>
    </w:lvl>
    <w:lvl w:ilvl="2">
      <w:start w:val="1"/>
      <w:numFmt w:val="decimal"/>
      <w:lvlText w:val="%1.%2.%3"/>
      <w:lvlJc w:val="left"/>
      <w:pPr>
        <w:tabs>
          <w:tab w:val="num" w:pos="1532"/>
        </w:tabs>
        <w:ind w:left="1532" w:hanging="681"/>
      </w:pPr>
      <w:rPr>
        <w:rFonts w:ascii="Garamond" w:hAnsi="Garamond" w:cs="Arial" w:hint="default"/>
        <w:b w:val="0"/>
        <w:i w:val="0"/>
        <w:caps w:val="0"/>
        <w:strike w:val="0"/>
        <w:dstrike w:val="0"/>
        <w:vanish w:val="0"/>
        <w:color w:val="000000"/>
        <w:sz w:val="24"/>
        <w:szCs w:val="24"/>
        <w:vertAlign w:val="baseline"/>
      </w:rPr>
    </w:lvl>
    <w:lvl w:ilvl="3">
      <w:start w:val="1"/>
      <w:numFmt w:val="lowerRoman"/>
      <w:lvlText w:val="(%4)"/>
      <w:lvlJc w:val="left"/>
      <w:pPr>
        <w:tabs>
          <w:tab w:val="num" w:pos="2041"/>
        </w:tabs>
        <w:ind w:left="2041" w:hanging="680"/>
      </w:pPr>
      <w:rPr>
        <w:rFonts w:ascii="Arial" w:hAnsi="Arial" w:cs="Arial" w:hint="default"/>
        <w:b w:val="0"/>
        <w:caps w:val="0"/>
        <w:strike w:val="0"/>
        <w:dstrike w:val="0"/>
        <w:vanish w:val="0"/>
        <w:color w:val="000000"/>
        <w:sz w:val="20"/>
        <w:szCs w:val="20"/>
        <w:vertAlign w:val="baseline"/>
      </w:rPr>
    </w:lvl>
    <w:lvl w:ilvl="4">
      <w:start w:val="1"/>
      <w:numFmt w:val="lowerLetter"/>
      <w:lvlText w:val="(%5)"/>
      <w:lvlJc w:val="left"/>
      <w:pPr>
        <w:tabs>
          <w:tab w:val="num" w:pos="2721"/>
        </w:tabs>
        <w:ind w:left="2721" w:hanging="680"/>
      </w:pPr>
      <w:rPr>
        <w:rFonts w:ascii="Arial" w:hAnsi="Arial" w:cs="Arial" w:hint="default"/>
        <w:b w:val="0"/>
        <w:caps w:val="0"/>
        <w:strike w:val="0"/>
        <w:dstrike w:val="0"/>
        <w:vanish w:val="0"/>
        <w:color w:val="000000"/>
        <w:sz w:val="20"/>
        <w:szCs w:val="20"/>
        <w:vertAlign w:val="baseline"/>
      </w:rPr>
    </w:lvl>
    <w:lvl w:ilvl="5">
      <w:start w:val="1"/>
      <w:numFmt w:val="upperRoman"/>
      <w:lvlText w:val="(%6)"/>
      <w:lvlJc w:val="left"/>
      <w:pPr>
        <w:tabs>
          <w:tab w:val="num" w:pos="3402"/>
        </w:tabs>
        <w:ind w:left="3402" w:hanging="681"/>
      </w:pPr>
      <w:rPr>
        <w:rFonts w:ascii="Arial" w:hAnsi="Arial" w:cs="Arial" w:hint="default"/>
        <w:b w:val="0"/>
        <w:caps w:val="0"/>
        <w:strike w:val="0"/>
        <w:dstrike w:val="0"/>
        <w:vanish w:val="0"/>
        <w:color w:val="000000"/>
        <w:sz w:val="20"/>
        <w:szCs w:val="20"/>
        <w:vertAlign w:val="baseline"/>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0560C5F"/>
    <w:multiLevelType w:val="multilevel"/>
    <w:tmpl w:val="9A1CCA8A"/>
    <w:lvl w:ilvl="0">
      <w:start w:val="1"/>
      <w:numFmt w:val="decimal"/>
      <w:pStyle w:val="Level1coluna1"/>
      <w:lvlText w:val="%1"/>
      <w:lvlJc w:val="left"/>
      <w:pPr>
        <w:tabs>
          <w:tab w:val="num" w:pos="680"/>
        </w:tabs>
        <w:ind w:left="680" w:hanging="680"/>
      </w:pPr>
      <w:rPr>
        <w:rFonts w:hint="default"/>
        <w:b/>
        <w:i w:val="0"/>
        <w:sz w:val="22"/>
      </w:rPr>
    </w:lvl>
    <w:lvl w:ilvl="1">
      <w:start w:val="1"/>
      <w:numFmt w:val="decimal"/>
      <w:pStyle w:val="Level2coluna1"/>
      <w:lvlText w:val="%1.%2"/>
      <w:lvlJc w:val="left"/>
      <w:pPr>
        <w:tabs>
          <w:tab w:val="num" w:pos="680"/>
        </w:tabs>
        <w:ind w:left="680" w:hanging="680"/>
      </w:pPr>
      <w:rPr>
        <w:rFonts w:hint="default"/>
        <w:b/>
        <w:i w:val="0"/>
        <w:sz w:val="21"/>
      </w:rPr>
    </w:lvl>
    <w:lvl w:ilvl="2">
      <w:start w:val="1"/>
      <w:numFmt w:val="decimal"/>
      <w:pStyle w:val="Level3coluna1"/>
      <w:lvlText w:val="%1.%2.%3"/>
      <w:lvlJc w:val="left"/>
      <w:pPr>
        <w:tabs>
          <w:tab w:val="num" w:pos="680"/>
        </w:tabs>
        <w:ind w:left="680" w:hanging="680"/>
      </w:pPr>
      <w:rPr>
        <w:rFonts w:hint="default"/>
        <w:b/>
        <w:i w:val="0"/>
        <w:sz w:val="17"/>
      </w:rPr>
    </w:lvl>
    <w:lvl w:ilvl="3">
      <w:start w:val="1"/>
      <w:numFmt w:val="lowerRoman"/>
      <w:pStyle w:val="Level4coluna1"/>
      <w:lvlText w:val="(%4)"/>
      <w:lvlJc w:val="left"/>
      <w:pPr>
        <w:tabs>
          <w:tab w:val="num" w:pos="1361"/>
        </w:tabs>
        <w:ind w:left="1361" w:hanging="681"/>
      </w:pPr>
      <w:rPr>
        <w:rFonts w:hint="default"/>
      </w:rPr>
    </w:lvl>
    <w:lvl w:ilvl="4">
      <w:start w:val="1"/>
      <w:numFmt w:val="lowerLetter"/>
      <w:pStyle w:val="Level5coluna1"/>
      <w:lvlText w:val="(%5)"/>
      <w:lvlJc w:val="left"/>
      <w:pPr>
        <w:tabs>
          <w:tab w:val="num" w:pos="2041"/>
        </w:tabs>
        <w:ind w:left="2041" w:hanging="680"/>
      </w:pPr>
      <w:rPr>
        <w:rFonts w:hint="default"/>
      </w:rPr>
    </w:lvl>
    <w:lvl w:ilvl="5">
      <w:start w:val="1"/>
      <w:numFmt w:val="upperRoman"/>
      <w:pStyle w:val="Level6coluna1"/>
      <w:lvlText w:val="(%6)"/>
      <w:lvlJc w:val="left"/>
      <w:pPr>
        <w:tabs>
          <w:tab w:val="num" w:pos="2722"/>
        </w:tabs>
        <w:ind w:left="2722" w:hanging="681"/>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61136687"/>
    <w:multiLevelType w:val="multilevel"/>
    <w:tmpl w:val="2B20CF5A"/>
    <w:styleLink w:val="Estilo4"/>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32B246C"/>
    <w:multiLevelType w:val="multilevel"/>
    <w:tmpl w:val="C40475B2"/>
    <w:lvl w:ilvl="0">
      <w:numFmt w:val="bullet"/>
      <w:pStyle w:val="Bullet2"/>
      <w:lvlText w:val="-"/>
      <w:lvlJc w:val="left"/>
      <w:pPr>
        <w:tabs>
          <w:tab w:val="num" w:pos="1361"/>
        </w:tabs>
        <w:ind w:left="1361" w:hanging="681"/>
      </w:pPr>
      <w:rPr>
        <w:rFonts w:ascii="Arial" w:hAnsi="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65A363C5"/>
    <w:multiLevelType w:val="hybridMultilevel"/>
    <w:tmpl w:val="81BEE2FC"/>
    <w:lvl w:ilvl="0" w:tplc="7CFC6C9C">
      <w:start w:val="1"/>
      <w:numFmt w:val="lowerRoman"/>
      <w:lvlText w:val="(%1)"/>
      <w:lvlJc w:val="left"/>
      <w:pPr>
        <w:ind w:left="2614" w:hanging="360"/>
      </w:pPr>
      <w:rPr>
        <w:rFonts w:cs="Times New Roman" w:hint="default"/>
        <w:b w:val="0"/>
        <w:sz w:val="24"/>
        <w:szCs w:val="24"/>
      </w:rPr>
    </w:lvl>
    <w:lvl w:ilvl="1" w:tplc="04090003" w:tentative="1">
      <w:start w:val="1"/>
      <w:numFmt w:val="bullet"/>
      <w:lvlText w:val="o"/>
      <w:lvlJc w:val="left"/>
      <w:pPr>
        <w:ind w:left="3334" w:hanging="360"/>
      </w:pPr>
      <w:rPr>
        <w:rFonts w:ascii="Courier New" w:hAnsi="Courier New" w:cs="Courier New" w:hint="default"/>
      </w:rPr>
    </w:lvl>
    <w:lvl w:ilvl="2" w:tplc="04090005" w:tentative="1">
      <w:start w:val="1"/>
      <w:numFmt w:val="bullet"/>
      <w:lvlText w:val=""/>
      <w:lvlJc w:val="left"/>
      <w:pPr>
        <w:ind w:left="4054" w:hanging="360"/>
      </w:pPr>
      <w:rPr>
        <w:rFonts w:ascii="Wingdings" w:hAnsi="Wingdings" w:hint="default"/>
      </w:rPr>
    </w:lvl>
    <w:lvl w:ilvl="3" w:tplc="04090001" w:tentative="1">
      <w:start w:val="1"/>
      <w:numFmt w:val="bullet"/>
      <w:lvlText w:val=""/>
      <w:lvlJc w:val="left"/>
      <w:pPr>
        <w:ind w:left="4774" w:hanging="360"/>
      </w:pPr>
      <w:rPr>
        <w:rFonts w:ascii="Symbol" w:hAnsi="Symbol" w:hint="default"/>
      </w:rPr>
    </w:lvl>
    <w:lvl w:ilvl="4" w:tplc="04090003" w:tentative="1">
      <w:start w:val="1"/>
      <w:numFmt w:val="bullet"/>
      <w:lvlText w:val="o"/>
      <w:lvlJc w:val="left"/>
      <w:pPr>
        <w:ind w:left="5494" w:hanging="360"/>
      </w:pPr>
      <w:rPr>
        <w:rFonts w:ascii="Courier New" w:hAnsi="Courier New" w:cs="Courier New" w:hint="default"/>
      </w:rPr>
    </w:lvl>
    <w:lvl w:ilvl="5" w:tplc="04090005" w:tentative="1">
      <w:start w:val="1"/>
      <w:numFmt w:val="bullet"/>
      <w:lvlText w:val=""/>
      <w:lvlJc w:val="left"/>
      <w:pPr>
        <w:ind w:left="6214" w:hanging="360"/>
      </w:pPr>
      <w:rPr>
        <w:rFonts w:ascii="Wingdings" w:hAnsi="Wingdings" w:hint="default"/>
      </w:rPr>
    </w:lvl>
    <w:lvl w:ilvl="6" w:tplc="04090001" w:tentative="1">
      <w:start w:val="1"/>
      <w:numFmt w:val="bullet"/>
      <w:lvlText w:val=""/>
      <w:lvlJc w:val="left"/>
      <w:pPr>
        <w:ind w:left="6934" w:hanging="360"/>
      </w:pPr>
      <w:rPr>
        <w:rFonts w:ascii="Symbol" w:hAnsi="Symbol" w:hint="default"/>
      </w:rPr>
    </w:lvl>
    <w:lvl w:ilvl="7" w:tplc="04090003" w:tentative="1">
      <w:start w:val="1"/>
      <w:numFmt w:val="bullet"/>
      <w:lvlText w:val="o"/>
      <w:lvlJc w:val="left"/>
      <w:pPr>
        <w:ind w:left="7654" w:hanging="360"/>
      </w:pPr>
      <w:rPr>
        <w:rFonts w:ascii="Courier New" w:hAnsi="Courier New" w:cs="Courier New" w:hint="default"/>
      </w:rPr>
    </w:lvl>
    <w:lvl w:ilvl="8" w:tplc="04090005" w:tentative="1">
      <w:start w:val="1"/>
      <w:numFmt w:val="bullet"/>
      <w:lvlText w:val=""/>
      <w:lvlJc w:val="left"/>
      <w:pPr>
        <w:ind w:left="8374" w:hanging="360"/>
      </w:pPr>
      <w:rPr>
        <w:rFonts w:ascii="Wingdings" w:hAnsi="Wingdings" w:hint="default"/>
      </w:rPr>
    </w:lvl>
  </w:abstractNum>
  <w:abstractNum w:abstractNumId="33" w15:restartNumberingAfterBreak="0">
    <w:nsid w:val="65EB327B"/>
    <w:multiLevelType w:val="multilevel"/>
    <w:tmpl w:val="F2762512"/>
    <w:lvl w:ilvl="0">
      <w:start w:val="1"/>
      <w:numFmt w:val="decimal"/>
      <w:pStyle w:val="Marcador1"/>
      <w:lvlText w:val="(%1)"/>
      <w:lvlJc w:val="left"/>
      <w:pPr>
        <w:tabs>
          <w:tab w:val="num" w:pos="680"/>
        </w:tabs>
        <w:ind w:left="680" w:hanging="680"/>
      </w:pPr>
      <w:rPr>
        <w:rFonts w:ascii="Arial" w:hAnsi="Arial" w:cs="Arial" w:hint="default"/>
        <w:b/>
        <w:i w:val="0"/>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685842C2"/>
    <w:multiLevelType w:val="hybridMultilevel"/>
    <w:tmpl w:val="93E06BEA"/>
    <w:lvl w:ilvl="0" w:tplc="E65A8B4A">
      <w:start w:val="1"/>
      <w:numFmt w:val="upperRoman"/>
      <w:lvlText w:val="%1."/>
      <w:lvlJc w:val="left"/>
      <w:pPr>
        <w:tabs>
          <w:tab w:val="num" w:pos="1418"/>
        </w:tabs>
        <w:ind w:left="1418" w:hanging="709"/>
      </w:pPr>
      <w:rPr>
        <w:rFonts w:hint="default"/>
      </w:rPr>
    </w:lvl>
    <w:lvl w:ilvl="1" w:tplc="0616C84A">
      <w:start w:val="1"/>
      <w:numFmt w:val="lowerLetter"/>
      <w:lvlText w:val="(%2)"/>
      <w:lvlJc w:val="left"/>
      <w:pPr>
        <w:tabs>
          <w:tab w:val="num" w:pos="2126"/>
        </w:tabs>
        <w:ind w:left="2126" w:hanging="708"/>
      </w:pPr>
      <w:rPr>
        <w:rFonts w:hint="default"/>
      </w:r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5" w15:restartNumberingAfterBreak="0">
    <w:nsid w:val="6B1D1232"/>
    <w:multiLevelType w:val="multilevel"/>
    <w:tmpl w:val="3F702110"/>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680"/>
        </w:tabs>
        <w:ind w:left="680" w:hanging="680"/>
      </w:pPr>
      <w:rPr>
        <w:rFonts w:hint="default"/>
        <w:b/>
        <w:i w:val="0"/>
        <w:sz w:val="21"/>
      </w:rPr>
    </w:lvl>
    <w:lvl w:ilvl="2">
      <w:start w:val="1"/>
      <w:numFmt w:val="decimal"/>
      <w:pStyle w:val="Level3"/>
      <w:lvlText w:val="%1.%2.%3"/>
      <w:lvlJc w:val="left"/>
      <w:pPr>
        <w:tabs>
          <w:tab w:val="num" w:pos="1361"/>
        </w:tabs>
        <w:ind w:left="1361" w:hanging="681"/>
      </w:pPr>
      <w:rPr>
        <w:rFonts w:hint="default"/>
        <w:b/>
        <w:i w:val="0"/>
        <w:sz w:val="17"/>
      </w:rPr>
    </w:lvl>
    <w:lvl w:ilvl="3">
      <w:start w:val="1"/>
      <w:numFmt w:val="lowerRoman"/>
      <w:pStyle w:val="Level4"/>
      <w:lvlText w:val="(%4)"/>
      <w:lvlJc w:val="left"/>
      <w:pPr>
        <w:tabs>
          <w:tab w:val="num" w:pos="2041"/>
        </w:tabs>
        <w:ind w:left="2041" w:hanging="680"/>
      </w:pPr>
      <w:rPr>
        <w:rFonts w:hint="default"/>
      </w:rPr>
    </w:lvl>
    <w:lvl w:ilvl="4">
      <w:start w:val="1"/>
      <w:numFmt w:val="lowerLetter"/>
      <w:pStyle w:val="Level5"/>
      <w:lvlText w:val="(%5)"/>
      <w:lvlJc w:val="left"/>
      <w:pPr>
        <w:tabs>
          <w:tab w:val="num" w:pos="2722"/>
        </w:tabs>
        <w:ind w:left="2722" w:hanging="681"/>
      </w:pPr>
      <w:rPr>
        <w:rFonts w:hint="default"/>
      </w:rPr>
    </w:lvl>
    <w:lvl w:ilvl="5">
      <w:start w:val="1"/>
      <w:numFmt w:val="upperRoman"/>
      <w:pStyle w:val="Level6"/>
      <w:lvlText w:val="(%6)"/>
      <w:lvlJc w:val="left"/>
      <w:pPr>
        <w:tabs>
          <w:tab w:val="num" w:pos="3402"/>
        </w:tabs>
        <w:ind w:left="3402" w:hanging="680"/>
      </w:pPr>
      <w:rPr>
        <w:rFonts w:hint="default"/>
      </w:rPr>
    </w:lvl>
    <w:lvl w:ilvl="6">
      <w:start w:val="1"/>
      <w:numFmt w:val="none"/>
      <w:lvlText w:val=""/>
      <w:lvlJc w:val="left"/>
      <w:pPr>
        <w:tabs>
          <w:tab w:val="num" w:pos="3288"/>
        </w:tabs>
        <w:ind w:left="3288" w:hanging="680"/>
      </w:pPr>
      <w:rPr>
        <w:rFonts w:hint="default"/>
      </w:rPr>
    </w:lvl>
    <w:lvl w:ilvl="7">
      <w:start w:val="1"/>
      <w:numFmt w:val="none"/>
      <w:lvlText w:val=""/>
      <w:lvlJc w:val="left"/>
      <w:pPr>
        <w:tabs>
          <w:tab w:val="num" w:pos="3288"/>
        </w:tabs>
        <w:ind w:left="3288" w:hanging="680"/>
      </w:pPr>
      <w:rPr>
        <w:rFonts w:hint="default"/>
      </w:rPr>
    </w:lvl>
    <w:lvl w:ilvl="8">
      <w:start w:val="1"/>
      <w:numFmt w:val="none"/>
      <w:lvlText w:val=""/>
      <w:lvlJc w:val="left"/>
      <w:pPr>
        <w:tabs>
          <w:tab w:val="num" w:pos="3288"/>
        </w:tabs>
        <w:ind w:left="3288" w:hanging="680"/>
      </w:pPr>
      <w:rPr>
        <w:rFonts w:hint="default"/>
      </w:rPr>
    </w:lvl>
  </w:abstractNum>
  <w:abstractNum w:abstractNumId="36" w15:restartNumberingAfterBreak="0">
    <w:nsid w:val="6E080181"/>
    <w:multiLevelType w:val="hybridMultilevel"/>
    <w:tmpl w:val="F1A265DC"/>
    <w:lvl w:ilvl="0" w:tplc="41E8DC3E">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71E959CD"/>
    <w:multiLevelType w:val="hybridMultilevel"/>
    <w:tmpl w:val="E2AA5784"/>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3CD4D25"/>
    <w:multiLevelType w:val="hybridMultilevel"/>
    <w:tmpl w:val="B4A46AFE"/>
    <w:lvl w:ilvl="0" w:tplc="DF1CD29A">
      <w:start w:val="5"/>
      <w:numFmt w:val="upperRoman"/>
      <w:lvlText w:val="%1."/>
      <w:lvlJc w:val="left"/>
      <w:pPr>
        <w:tabs>
          <w:tab w:val="num" w:pos="2136"/>
        </w:tabs>
        <w:ind w:left="2136" w:hanging="720"/>
      </w:pPr>
      <w:rPr>
        <w:rFonts w:hint="default"/>
      </w:rPr>
    </w:lvl>
    <w:lvl w:ilvl="1" w:tplc="E8B4F604">
      <w:start w:val="1"/>
      <w:numFmt w:val="lowerRoman"/>
      <w:lvlText w:val="(%2)"/>
      <w:lvlJc w:val="left"/>
      <w:pPr>
        <w:tabs>
          <w:tab w:val="num" w:pos="2856"/>
        </w:tabs>
        <w:ind w:left="2856" w:hanging="720"/>
      </w:pPr>
      <w:rPr>
        <w:rFonts w:hint="default"/>
      </w:rPr>
    </w:lvl>
    <w:lvl w:ilvl="2" w:tplc="0416001B" w:tentative="1">
      <w:start w:val="1"/>
      <w:numFmt w:val="lowerRoman"/>
      <w:lvlText w:val="%3."/>
      <w:lvlJc w:val="right"/>
      <w:pPr>
        <w:tabs>
          <w:tab w:val="num" w:pos="3216"/>
        </w:tabs>
        <w:ind w:left="3216" w:hanging="180"/>
      </w:pPr>
    </w:lvl>
    <w:lvl w:ilvl="3" w:tplc="0416000F" w:tentative="1">
      <w:start w:val="1"/>
      <w:numFmt w:val="decimal"/>
      <w:lvlText w:val="%4."/>
      <w:lvlJc w:val="left"/>
      <w:pPr>
        <w:tabs>
          <w:tab w:val="num" w:pos="3936"/>
        </w:tabs>
        <w:ind w:left="3936" w:hanging="360"/>
      </w:pPr>
    </w:lvl>
    <w:lvl w:ilvl="4" w:tplc="04160019" w:tentative="1">
      <w:start w:val="1"/>
      <w:numFmt w:val="lowerLetter"/>
      <w:lvlText w:val="%5."/>
      <w:lvlJc w:val="left"/>
      <w:pPr>
        <w:tabs>
          <w:tab w:val="num" w:pos="4656"/>
        </w:tabs>
        <w:ind w:left="4656" w:hanging="360"/>
      </w:pPr>
    </w:lvl>
    <w:lvl w:ilvl="5" w:tplc="0416001B" w:tentative="1">
      <w:start w:val="1"/>
      <w:numFmt w:val="lowerRoman"/>
      <w:lvlText w:val="%6."/>
      <w:lvlJc w:val="right"/>
      <w:pPr>
        <w:tabs>
          <w:tab w:val="num" w:pos="5376"/>
        </w:tabs>
        <w:ind w:left="5376" w:hanging="180"/>
      </w:pPr>
    </w:lvl>
    <w:lvl w:ilvl="6" w:tplc="0416000F" w:tentative="1">
      <w:start w:val="1"/>
      <w:numFmt w:val="decimal"/>
      <w:lvlText w:val="%7."/>
      <w:lvlJc w:val="left"/>
      <w:pPr>
        <w:tabs>
          <w:tab w:val="num" w:pos="6096"/>
        </w:tabs>
        <w:ind w:left="6096" w:hanging="360"/>
      </w:pPr>
    </w:lvl>
    <w:lvl w:ilvl="7" w:tplc="04160019" w:tentative="1">
      <w:start w:val="1"/>
      <w:numFmt w:val="lowerLetter"/>
      <w:lvlText w:val="%8."/>
      <w:lvlJc w:val="left"/>
      <w:pPr>
        <w:tabs>
          <w:tab w:val="num" w:pos="6816"/>
        </w:tabs>
        <w:ind w:left="6816" w:hanging="360"/>
      </w:pPr>
    </w:lvl>
    <w:lvl w:ilvl="8" w:tplc="0416001B" w:tentative="1">
      <w:start w:val="1"/>
      <w:numFmt w:val="lowerRoman"/>
      <w:lvlText w:val="%9."/>
      <w:lvlJc w:val="right"/>
      <w:pPr>
        <w:tabs>
          <w:tab w:val="num" w:pos="7536"/>
        </w:tabs>
        <w:ind w:left="7536" w:hanging="180"/>
      </w:pPr>
    </w:lvl>
  </w:abstractNum>
  <w:abstractNum w:abstractNumId="39" w15:restartNumberingAfterBreak="0">
    <w:nsid w:val="742622E9"/>
    <w:multiLevelType w:val="multilevel"/>
    <w:tmpl w:val="4E44EBE0"/>
    <w:lvl w:ilvl="0">
      <w:start w:val="1"/>
      <w:numFmt w:val="decimal"/>
      <w:pStyle w:val="Contratos1ClausulasArtigos"/>
      <w:suff w:val="nothing"/>
      <w:lvlText w:val="Artigo %1"/>
      <w:lvlJc w:val="left"/>
      <w:pPr>
        <w:ind w:left="0" w:firstLine="0"/>
      </w:pPr>
      <w:rPr>
        <w:rFonts w:ascii="Arial" w:hAnsi="Arial" w:cs="Arial" w:hint="default"/>
        <w:b/>
        <w:i w:val="0"/>
        <w:sz w:val="20"/>
      </w:rPr>
    </w:lvl>
    <w:lvl w:ilvl="1">
      <w:start w:val="1"/>
      <w:numFmt w:val="decimal"/>
      <w:pStyle w:val="Contratos2pargrafos"/>
      <w:suff w:val="nothing"/>
      <w:lvlText w:val="Parágrafo %2º. "/>
      <w:lvlJc w:val="left"/>
      <w:pPr>
        <w:ind w:left="680" w:firstLine="0"/>
      </w:pPr>
      <w:rPr>
        <w:rFonts w:ascii="Arial" w:hAnsi="Arial" w:cs="Arial" w:hint="default"/>
        <w:b/>
        <w:i w:val="0"/>
        <w:sz w:val="20"/>
      </w:rPr>
    </w:lvl>
    <w:lvl w:ilvl="2">
      <w:start w:val="1"/>
      <w:numFmt w:val="lowerRoman"/>
      <w:pStyle w:val="Contratos3i"/>
      <w:lvlText w:val="(%3)"/>
      <w:lvlJc w:val="left"/>
      <w:pPr>
        <w:tabs>
          <w:tab w:val="num" w:pos="1361"/>
        </w:tabs>
        <w:ind w:left="1361" w:hanging="681"/>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15:restartNumberingAfterBreak="0">
    <w:nsid w:val="773B68CC"/>
    <w:multiLevelType w:val="hybridMultilevel"/>
    <w:tmpl w:val="63E0ED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1" w15:restartNumberingAfterBreak="0">
    <w:nsid w:val="78355D7B"/>
    <w:multiLevelType w:val="multilevel"/>
    <w:tmpl w:val="310C1612"/>
    <w:lvl w:ilvl="0">
      <w:start w:val="1"/>
      <w:numFmt w:val="decimal"/>
      <w:lvlRestart w:val="0"/>
      <w:lvlText w:val="%1"/>
      <w:lvlJc w:val="left"/>
      <w:pPr>
        <w:tabs>
          <w:tab w:val="num" w:pos="680"/>
        </w:tabs>
        <w:ind w:left="680" w:hanging="680"/>
      </w:pPr>
      <w:rPr>
        <w:rFonts w:ascii="Garamond" w:hAnsi="Garamond" w:cs="Arial" w:hint="default"/>
        <w:b/>
        <w:caps w:val="0"/>
        <w:strike w:val="0"/>
        <w:dstrike w:val="0"/>
        <w:vanish w:val="0"/>
        <w:color w:val="000000"/>
        <w:sz w:val="22"/>
        <w:vertAlign w:val="baseline"/>
      </w:rPr>
    </w:lvl>
    <w:lvl w:ilvl="1">
      <w:start w:val="1"/>
      <w:numFmt w:val="decimal"/>
      <w:lvlText w:val="%1.%2"/>
      <w:lvlJc w:val="left"/>
      <w:pPr>
        <w:tabs>
          <w:tab w:val="num" w:pos="680"/>
        </w:tabs>
        <w:ind w:left="680" w:hanging="680"/>
      </w:pPr>
      <w:rPr>
        <w:rFonts w:ascii="Garamond" w:hAnsi="Garamond" w:cs="Arial" w:hint="default"/>
        <w:b w:val="0"/>
        <w:i w:val="0"/>
        <w:caps w:val="0"/>
        <w:strike w:val="0"/>
        <w:dstrike w:val="0"/>
        <w:vanish w:val="0"/>
        <w:color w:val="000000"/>
        <w:sz w:val="24"/>
        <w:szCs w:val="24"/>
        <w:vertAlign w:val="baseline"/>
      </w:rPr>
    </w:lvl>
    <w:lvl w:ilvl="2">
      <w:start w:val="1"/>
      <w:numFmt w:val="decimal"/>
      <w:lvlText w:val="%1.%2.%3"/>
      <w:lvlJc w:val="left"/>
      <w:pPr>
        <w:tabs>
          <w:tab w:val="num" w:pos="1532"/>
        </w:tabs>
        <w:ind w:left="1532" w:hanging="681"/>
      </w:pPr>
      <w:rPr>
        <w:rFonts w:ascii="Garamond" w:hAnsi="Garamond" w:cs="Arial" w:hint="default"/>
        <w:b w:val="0"/>
        <w:i w:val="0"/>
        <w:caps w:val="0"/>
        <w:strike w:val="0"/>
        <w:dstrike w:val="0"/>
        <w:vanish w:val="0"/>
        <w:color w:val="000000"/>
        <w:sz w:val="24"/>
        <w:szCs w:val="24"/>
        <w:vertAlign w:val="baseline"/>
      </w:rPr>
    </w:lvl>
    <w:lvl w:ilvl="3">
      <w:start w:val="1"/>
      <w:numFmt w:val="lowerRoman"/>
      <w:lvlText w:val="(%4)"/>
      <w:lvlJc w:val="left"/>
      <w:pPr>
        <w:tabs>
          <w:tab w:val="num" w:pos="2041"/>
        </w:tabs>
        <w:ind w:left="2041" w:hanging="680"/>
      </w:pPr>
      <w:rPr>
        <w:rFonts w:ascii="Arial" w:hAnsi="Arial" w:cs="Arial" w:hint="default"/>
        <w:b w:val="0"/>
        <w:caps w:val="0"/>
        <w:strike w:val="0"/>
        <w:dstrike w:val="0"/>
        <w:vanish w:val="0"/>
        <w:color w:val="000000"/>
        <w:sz w:val="20"/>
        <w:szCs w:val="20"/>
        <w:vertAlign w:val="baseline"/>
      </w:rPr>
    </w:lvl>
    <w:lvl w:ilvl="4">
      <w:start w:val="1"/>
      <w:numFmt w:val="lowerLetter"/>
      <w:lvlText w:val="(%5)"/>
      <w:lvlJc w:val="left"/>
      <w:pPr>
        <w:tabs>
          <w:tab w:val="num" w:pos="2721"/>
        </w:tabs>
        <w:ind w:left="2721" w:hanging="680"/>
      </w:pPr>
      <w:rPr>
        <w:rFonts w:ascii="Arial" w:hAnsi="Arial" w:cs="Arial" w:hint="default"/>
        <w:b w:val="0"/>
        <w:caps w:val="0"/>
        <w:strike w:val="0"/>
        <w:dstrike w:val="0"/>
        <w:vanish w:val="0"/>
        <w:color w:val="000000"/>
        <w:sz w:val="20"/>
        <w:szCs w:val="20"/>
        <w:vertAlign w:val="baseline"/>
      </w:rPr>
    </w:lvl>
    <w:lvl w:ilvl="5">
      <w:start w:val="1"/>
      <w:numFmt w:val="upperRoman"/>
      <w:lvlText w:val="(%6)"/>
      <w:lvlJc w:val="left"/>
      <w:pPr>
        <w:tabs>
          <w:tab w:val="num" w:pos="3402"/>
        </w:tabs>
        <w:ind w:left="3402" w:hanging="681"/>
      </w:pPr>
      <w:rPr>
        <w:rFonts w:ascii="Arial" w:hAnsi="Arial" w:cs="Arial" w:hint="default"/>
        <w:b w:val="0"/>
        <w:caps w:val="0"/>
        <w:strike w:val="0"/>
        <w:dstrike w:val="0"/>
        <w:vanish w:val="0"/>
        <w:color w:val="000000"/>
        <w:sz w:val="20"/>
        <w:szCs w:val="20"/>
        <w:vertAlign w:val="baseline"/>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9C2605B"/>
    <w:multiLevelType w:val="hybridMultilevel"/>
    <w:tmpl w:val="5770C860"/>
    <w:lvl w:ilvl="0" w:tplc="8CD8D3FE">
      <w:start w:val="1"/>
      <w:numFmt w:val="bullet"/>
      <w:pStyle w:val="HOMEBR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B705354"/>
    <w:multiLevelType w:val="multilevel"/>
    <w:tmpl w:val="065C4498"/>
    <w:lvl w:ilvl="0">
      <w:start w:val="1"/>
      <w:numFmt w:val="bullet"/>
      <w:pStyle w:val="Bullet30"/>
      <w:lvlText w:val="o"/>
      <w:lvlJc w:val="left"/>
      <w:pPr>
        <w:tabs>
          <w:tab w:val="num" w:pos="2041"/>
        </w:tabs>
        <w:ind w:left="2041" w:hanging="68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4" w15:restartNumberingAfterBreak="0">
    <w:nsid w:val="7B9F55D6"/>
    <w:multiLevelType w:val="multilevel"/>
    <w:tmpl w:val="6E38F75A"/>
    <w:lvl w:ilvl="0">
      <w:start w:val="1"/>
      <w:numFmt w:val="decimal"/>
      <w:pStyle w:val="Level1coluna2"/>
      <w:lvlText w:val="%1"/>
      <w:lvlJc w:val="left"/>
      <w:pPr>
        <w:tabs>
          <w:tab w:val="num" w:pos="680"/>
        </w:tabs>
        <w:ind w:left="680" w:hanging="680"/>
      </w:pPr>
      <w:rPr>
        <w:rFonts w:ascii="Arial" w:hAnsi="Arial" w:cs="Arial" w:hint="default"/>
        <w:b/>
        <w:i w:val="0"/>
        <w:sz w:val="22"/>
      </w:rPr>
    </w:lvl>
    <w:lvl w:ilvl="1">
      <w:start w:val="1"/>
      <w:numFmt w:val="decimal"/>
      <w:pStyle w:val="Level2coluna2"/>
      <w:lvlText w:val="%1.%2"/>
      <w:lvlJc w:val="left"/>
      <w:pPr>
        <w:tabs>
          <w:tab w:val="num" w:pos="680"/>
        </w:tabs>
        <w:ind w:left="680" w:hanging="680"/>
      </w:pPr>
      <w:rPr>
        <w:rFonts w:hint="default"/>
        <w:b/>
        <w:i w:val="0"/>
        <w:sz w:val="21"/>
      </w:rPr>
    </w:lvl>
    <w:lvl w:ilvl="2">
      <w:start w:val="1"/>
      <w:numFmt w:val="decimal"/>
      <w:pStyle w:val="Level3coluna2"/>
      <w:lvlText w:val="%1.%2.%3"/>
      <w:lvlJc w:val="left"/>
      <w:pPr>
        <w:tabs>
          <w:tab w:val="num" w:pos="680"/>
        </w:tabs>
        <w:ind w:left="680" w:hanging="680"/>
      </w:pPr>
      <w:rPr>
        <w:rFonts w:hint="default"/>
        <w:b/>
        <w:i w:val="0"/>
        <w:sz w:val="17"/>
      </w:rPr>
    </w:lvl>
    <w:lvl w:ilvl="3">
      <w:start w:val="1"/>
      <w:numFmt w:val="lowerRoman"/>
      <w:pStyle w:val="Level4coluna2"/>
      <w:lvlText w:val="(%4)"/>
      <w:lvlJc w:val="left"/>
      <w:pPr>
        <w:tabs>
          <w:tab w:val="num" w:pos="1361"/>
        </w:tabs>
        <w:ind w:left="1361" w:hanging="681"/>
      </w:pPr>
      <w:rPr>
        <w:rFonts w:hint="default"/>
      </w:rPr>
    </w:lvl>
    <w:lvl w:ilvl="4">
      <w:start w:val="1"/>
      <w:numFmt w:val="lowerLetter"/>
      <w:pStyle w:val="Level5coluna2"/>
      <w:lvlText w:val="(%5)"/>
      <w:lvlJc w:val="left"/>
      <w:pPr>
        <w:tabs>
          <w:tab w:val="num" w:pos="2041"/>
        </w:tabs>
        <w:ind w:left="2041" w:hanging="680"/>
      </w:pPr>
      <w:rPr>
        <w:rFonts w:hint="default"/>
      </w:rPr>
    </w:lvl>
    <w:lvl w:ilvl="5">
      <w:start w:val="1"/>
      <w:numFmt w:val="upperRoman"/>
      <w:pStyle w:val="Level6coluna2"/>
      <w:lvlText w:val="(%6)"/>
      <w:lvlJc w:val="left"/>
      <w:pPr>
        <w:tabs>
          <w:tab w:val="num" w:pos="2722"/>
        </w:tabs>
        <w:ind w:left="2722" w:hanging="681"/>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45" w15:restartNumberingAfterBreak="0">
    <w:nsid w:val="7ED04878"/>
    <w:multiLevelType w:val="multilevel"/>
    <w:tmpl w:val="BEE2940C"/>
    <w:lvl w:ilvl="0">
      <w:start w:val="1"/>
      <w:numFmt w:val="decimal"/>
      <w:lvlRestart w:val="0"/>
      <w:pStyle w:val="ListNumbers"/>
      <w:lvlText w:val="%1."/>
      <w:lvlJc w:val="left"/>
      <w:pPr>
        <w:tabs>
          <w:tab w:val="num" w:pos="680"/>
        </w:tabs>
        <w:ind w:left="680" w:hanging="680"/>
      </w:pPr>
      <w:rPr>
        <w:rFonts w:ascii="Arial" w:hAnsi="Arial" w:hint="default"/>
        <w:b/>
        <w:i w:val="0"/>
        <w:sz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6" w15:restartNumberingAfterBreak="0">
    <w:nsid w:val="7F37454C"/>
    <w:multiLevelType w:val="hybridMultilevel"/>
    <w:tmpl w:val="6A4424FA"/>
    <w:lvl w:ilvl="0" w:tplc="95320ABA">
      <w:start w:val="1"/>
      <w:numFmt w:val="bullet"/>
      <w:pStyle w:val="HOMEBRBulletFolhaRosto"/>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2"/>
  </w:num>
  <w:num w:numId="2">
    <w:abstractNumId w:val="46"/>
  </w:num>
  <w:num w:numId="3">
    <w:abstractNumId w:val="35"/>
  </w:num>
  <w:num w:numId="4">
    <w:abstractNumId w:val="20"/>
  </w:num>
  <w:num w:numId="5">
    <w:abstractNumId w:val="23"/>
  </w:num>
  <w:num w:numId="6">
    <w:abstractNumId w:val="7"/>
  </w:num>
  <w:num w:numId="7">
    <w:abstractNumId w:val="45"/>
  </w:num>
  <w:num w:numId="8">
    <w:abstractNumId w:val="3"/>
  </w:num>
  <w:num w:numId="9">
    <w:abstractNumId w:val="40"/>
  </w:num>
  <w:num w:numId="10">
    <w:abstractNumId w:val="8"/>
  </w:num>
  <w:num w:numId="11">
    <w:abstractNumId w:val="17"/>
  </w:num>
  <w:num w:numId="12">
    <w:abstractNumId w:val="31"/>
  </w:num>
  <w:num w:numId="13">
    <w:abstractNumId w:val="43"/>
  </w:num>
  <w:num w:numId="14">
    <w:abstractNumId w:val="24"/>
  </w:num>
  <w:num w:numId="15">
    <w:abstractNumId w:val="12"/>
  </w:num>
  <w:num w:numId="16">
    <w:abstractNumId w:val="29"/>
  </w:num>
  <w:num w:numId="17">
    <w:abstractNumId w:val="44"/>
  </w:num>
  <w:num w:numId="18">
    <w:abstractNumId w:val="33"/>
  </w:num>
  <w:num w:numId="19">
    <w:abstractNumId w:val="22"/>
  </w:num>
  <w:num w:numId="20">
    <w:abstractNumId w:val="27"/>
  </w:num>
  <w:num w:numId="21">
    <w:abstractNumId w:val="2"/>
  </w:num>
  <w:num w:numId="22">
    <w:abstractNumId w:val="39"/>
  </w:num>
  <w:num w:numId="23">
    <w:abstractNumId w:val="18"/>
  </w:num>
  <w:num w:numId="24">
    <w:abstractNumId w:val="11"/>
  </w:num>
  <w:num w:numId="25">
    <w:abstractNumId w:val="0"/>
  </w:num>
  <w:num w:numId="26">
    <w:abstractNumId w:val="26"/>
  </w:num>
  <w:num w:numId="27">
    <w:abstractNumId w:val="6"/>
  </w:num>
  <w:num w:numId="28">
    <w:abstractNumId w:val="36"/>
  </w:num>
  <w:num w:numId="29">
    <w:abstractNumId w:val="15"/>
  </w:num>
  <w:num w:numId="30">
    <w:abstractNumId w:val="25"/>
  </w:num>
  <w:num w:numId="31">
    <w:abstractNumId w:val="41"/>
  </w:num>
  <w:num w:numId="32">
    <w:abstractNumId w:val="38"/>
  </w:num>
  <w:num w:numId="33">
    <w:abstractNumId w:val="19"/>
  </w:num>
  <w:num w:numId="34">
    <w:abstractNumId w:val="28"/>
  </w:num>
  <w:num w:numId="3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34"/>
  </w:num>
  <w:num w:numId="38">
    <w:abstractNumId w:val="5"/>
  </w:num>
  <w:num w:numId="39">
    <w:abstractNumId w:val="13"/>
  </w:num>
  <w:num w:numId="40">
    <w:abstractNumId w:val="30"/>
  </w:num>
  <w:num w:numId="41">
    <w:abstractNumId w:val="10"/>
  </w:num>
  <w:num w:numId="42">
    <w:abstractNumId w:val="21"/>
  </w:num>
  <w:num w:numId="43">
    <w:abstractNumId w:val="16"/>
  </w:num>
  <w:num w:numId="44">
    <w:abstractNumId w:val="9"/>
  </w:num>
  <w:num w:numId="45">
    <w:abstractNumId w:val="37"/>
  </w:num>
  <w:num w:numId="46">
    <w:abstractNumId w:val="1"/>
  </w:num>
  <w:num w:numId="47">
    <w:abstractNumId w:val="4"/>
  </w:num>
  <w:num w:numId="48">
    <w:abstractNumId w:val="3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removeDateAndTime/>
  <w:activeWritingStyle w:appName="MSWord" w:lang="pt-BR" w:vendorID="64" w:dllVersion="6" w:nlCheck="1" w:checkStyle="0"/>
  <w:activeWritingStyle w:appName="MSWord" w:lang="en-US" w:vendorID="64" w:dllVersion="6" w:nlCheck="1" w:checkStyle="1"/>
  <w:activeWritingStyle w:appName="MSWord" w:lang="es-ES" w:vendorID="64" w:dllVersion="6" w:nlCheck="1" w:checkStyle="1"/>
  <w:activeWritingStyle w:appName="MSWord" w:lang="pt-BR" w:vendorID="64" w:dllVersion="4096" w:nlCheck="1" w:checkStyle="0"/>
  <w:activeWritingStyle w:appName="MSWord" w:lang="es-ES" w:vendorID="64" w:dllVersion="4096" w:nlCheck="1" w:checkStyle="0"/>
  <w:activeWritingStyle w:appName="MSWord" w:lang="en-US" w:vendorID="64" w:dllVersion="4096" w:nlCheck="1" w:checkStyle="0"/>
  <w:activeWritingStyle w:appName="MSWord" w:lang="en-GB" w:vendorID="64" w:dllVersion="6" w:nlCheck="1" w:checkStyle="1"/>
  <w:activeWritingStyle w:appName="MSWord" w:lang="pt-PT" w:vendorID="64" w:dllVersion="4096" w:nlCheck="1" w:checkStyle="0"/>
  <w:activeWritingStyle w:appName="MSWord" w:lang="en-GB" w:vendorID="64" w:dllVersion="4096" w:nlCheck="1" w:checkStyle="0"/>
  <w:activeWritingStyle w:appName="MSWord" w:lang="pt-BR" w:vendorID="64" w:dllVersion="131078" w:nlCheck="1" w:checkStyle="0"/>
  <w:activeWritingStyle w:appName="MSWord" w:lang="en-US" w:vendorID="64" w:dllVersion="131078" w:nlCheck="1" w:checkStyle="1"/>
  <w:activeWritingStyle w:appName="MSWord" w:lang="es-ES" w:vendorID="64" w:dllVersion="131078" w:nlCheck="1" w:checkStyle="1"/>
  <w:activeWritingStyle w:appName="MSWord" w:lang="en-GB" w:vendorID="64" w:dllVersion="131078" w:nlCheck="1" w:checkStyle="1"/>
  <w:activeWritingStyle w:appName="MSWord" w:lang="pt-BR" w:vendorID="1" w:dllVersion="513" w:checkStyle="1"/>
  <w:activeWritingStyle w:appName="MSWord" w:lang="pt-PT" w:vendorID="1" w:dllVersion="513"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2041"/>
  <w:hyphenationZone w:val="425"/>
  <w:drawingGridHorizontalSpacing w:val="110"/>
  <w:displayHorizontalDrawingGridEvery w:val="2"/>
  <w:noPunctuationKerning/>
  <w:characterSpacingControl w:val="doNotCompress"/>
  <w:hdrShapeDefaults>
    <o:shapedefaults v:ext="edit" spidmax="3276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TMS_BusinessUnitID" w:val="Lefosse"/>
    <w:docVar w:name="TMS_CultureID" w:val="Portuguese-Brazil"/>
    <w:docVar w:name="TMS_OfficeID" w:val="SaoPaulo"/>
  </w:docVar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5:docId w15:val="{6BB60E24-5B93-421C-8030-2B5F375AA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iPriority="99"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uiPriority="21"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jc w:val="both"/>
    </w:pPr>
    <w:rPr>
      <w:rFonts w:ascii="Arial" w:eastAsia="Times New Roman" w:hAnsi="Arial"/>
      <w:lang w:val="en-US" w:eastAsia="en-US"/>
    </w:rPr>
  </w:style>
  <w:style w:type="paragraph" w:styleId="Ttulo1">
    <w:name w:val="heading 1"/>
    <w:aliases w:val="HOME BR"/>
    <w:basedOn w:val="Normal"/>
    <w:next w:val="Normal"/>
    <w:link w:val="Ttulo1Char"/>
    <w:qFormat/>
    <w:pPr>
      <w:keepNext/>
      <w:pageBreakBefore/>
      <w:jc w:val="center"/>
      <w:outlineLvl w:val="0"/>
    </w:pPr>
    <w:rPr>
      <w:rFonts w:cs="Arial"/>
      <w:b/>
      <w:bCs/>
      <w:caps/>
      <w:kern w:val="32"/>
      <w:szCs w:val="32"/>
    </w:rPr>
  </w:style>
  <w:style w:type="paragraph" w:styleId="Ttulo2">
    <w:name w:val="heading 2"/>
    <w:aliases w:val="N2 Normal HOME BR"/>
    <w:basedOn w:val="Normal"/>
    <w:next w:val="Normal"/>
    <w:link w:val="Ttulo2Char"/>
    <w:qFormat/>
    <w:pPr>
      <w:keepNext/>
      <w:keepLines/>
      <w:outlineLvl w:val="1"/>
    </w:pPr>
    <w:rPr>
      <w:rFonts w:cs="Arial"/>
      <w:bCs/>
      <w:iCs/>
      <w:szCs w:val="28"/>
      <w:lang w:val="pt-BR"/>
    </w:rPr>
  </w:style>
  <w:style w:type="paragraph" w:styleId="Ttulo3">
    <w:name w:val="heading 3"/>
    <w:aliases w:val="N2 Bold HOME BR,Agmt Head 2 Body/Title,h3,DPW Head Left Bold,ot"/>
    <w:basedOn w:val="Normal"/>
    <w:next w:val="Normal"/>
    <w:link w:val="Ttulo3Char"/>
    <w:qFormat/>
    <w:pPr>
      <w:keepNext/>
      <w:keepLines/>
      <w:outlineLvl w:val="2"/>
    </w:pPr>
    <w:rPr>
      <w:rFonts w:cs="Arial"/>
      <w:b/>
      <w:bCs/>
      <w:szCs w:val="26"/>
    </w:rPr>
  </w:style>
  <w:style w:type="paragraph" w:styleId="Ttulo4">
    <w:name w:val="heading 4"/>
    <w:aliases w:val="N2  Bold Italic HOME BR"/>
    <w:basedOn w:val="Normal"/>
    <w:next w:val="Normal"/>
    <w:link w:val="Ttulo4Char"/>
    <w:qFormat/>
    <w:pPr>
      <w:keepNext/>
      <w:keepLines/>
      <w:outlineLvl w:val="3"/>
    </w:pPr>
    <w:rPr>
      <w:b/>
      <w:bCs/>
      <w:i/>
      <w:szCs w:val="28"/>
    </w:rPr>
  </w:style>
  <w:style w:type="paragraph" w:styleId="Ttulo5">
    <w:name w:val="heading 5"/>
    <w:aliases w:val="N2 Italic HOME BR"/>
    <w:basedOn w:val="Normal"/>
    <w:next w:val="Normal"/>
    <w:link w:val="Ttulo5Char"/>
    <w:qFormat/>
    <w:pPr>
      <w:keepNext/>
      <w:keepLines/>
      <w:outlineLvl w:val="4"/>
    </w:pPr>
    <w:rPr>
      <w:bCs/>
      <w:i/>
      <w:iCs/>
      <w:szCs w:val="26"/>
    </w:rPr>
  </w:style>
  <w:style w:type="paragraph" w:styleId="Ttulo6">
    <w:name w:val="heading 6"/>
    <w:aliases w:val="N3 Normal HOME BR"/>
    <w:basedOn w:val="Normal"/>
    <w:next w:val="Normal"/>
    <w:link w:val="Ttulo6Char"/>
    <w:qFormat/>
    <w:pPr>
      <w:keepNext/>
      <w:keepLines/>
      <w:outlineLvl w:val="5"/>
    </w:pPr>
    <w:rPr>
      <w:bCs/>
      <w:szCs w:val="22"/>
    </w:rPr>
  </w:style>
  <w:style w:type="paragraph" w:styleId="Ttulo7">
    <w:name w:val="heading 7"/>
    <w:aliases w:val="N3 Bold HOME BR"/>
    <w:basedOn w:val="Normal"/>
    <w:next w:val="Normal"/>
    <w:link w:val="Ttulo7Char"/>
    <w:qFormat/>
    <w:pPr>
      <w:keepNext/>
      <w:keepLines/>
      <w:outlineLvl w:val="6"/>
    </w:pPr>
    <w:rPr>
      <w:b/>
    </w:rPr>
  </w:style>
  <w:style w:type="paragraph" w:styleId="Ttulo8">
    <w:name w:val="heading 8"/>
    <w:aliases w:val="N3 Bold Italic HOME BR"/>
    <w:basedOn w:val="Normal"/>
    <w:next w:val="Normal"/>
    <w:link w:val="Ttulo8Char"/>
    <w:qFormat/>
    <w:pPr>
      <w:keepNext/>
      <w:keepLines/>
      <w:outlineLvl w:val="7"/>
    </w:pPr>
    <w:rPr>
      <w:b/>
      <w:i/>
      <w:iCs/>
    </w:rPr>
  </w:style>
  <w:style w:type="paragraph" w:styleId="Ttulo9">
    <w:name w:val="heading 9"/>
    <w:aliases w:val="N3 Italic HOME BR"/>
    <w:basedOn w:val="Normal"/>
    <w:next w:val="Normal"/>
    <w:link w:val="Ttulo9Char"/>
    <w:qFormat/>
    <w:pPr>
      <w:keepNext/>
      <w:keepLines/>
      <w:outlineLvl w:val="8"/>
    </w:pPr>
    <w:rPr>
      <w:rFonts w:cs="Arial"/>
      <w:i/>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HOME BR Char"/>
    <w:link w:val="Ttulo1"/>
    <w:locked/>
    <w:rPr>
      <w:rFonts w:ascii="Arial" w:eastAsia="Times New Roman" w:hAnsi="Arial" w:cs="Arial"/>
      <w:b/>
      <w:bCs/>
      <w:caps/>
      <w:kern w:val="32"/>
      <w:szCs w:val="32"/>
      <w:lang w:val="en-US" w:eastAsia="en-US"/>
    </w:rPr>
  </w:style>
  <w:style w:type="character" w:customStyle="1" w:styleId="Ttulo2Char">
    <w:name w:val="Título 2 Char"/>
    <w:aliases w:val="N2 Normal HOME BR Char"/>
    <w:link w:val="Ttulo2"/>
    <w:locked/>
    <w:rPr>
      <w:rFonts w:ascii="Arial" w:eastAsia="Times New Roman" w:hAnsi="Arial" w:cs="Arial"/>
      <w:bCs/>
      <w:iCs/>
      <w:szCs w:val="28"/>
      <w:lang w:eastAsia="en-US"/>
    </w:rPr>
  </w:style>
  <w:style w:type="character" w:customStyle="1" w:styleId="Ttulo3Char">
    <w:name w:val="Título 3 Char"/>
    <w:aliases w:val="N2 Bold HOME BR Char,Agmt Head 2 Body/Title Char,h3 Char,DPW Head Left Bold Char,ot Char"/>
    <w:link w:val="Ttulo3"/>
    <w:locked/>
    <w:rPr>
      <w:rFonts w:ascii="Arial" w:eastAsia="Times New Roman" w:hAnsi="Arial" w:cs="Arial"/>
      <w:b/>
      <w:bCs/>
      <w:szCs w:val="26"/>
      <w:lang w:val="en-US" w:eastAsia="en-US"/>
    </w:rPr>
  </w:style>
  <w:style w:type="character" w:customStyle="1" w:styleId="Ttulo4Char">
    <w:name w:val="Título 4 Char"/>
    <w:aliases w:val="N2  Bold Italic HOME BR Char"/>
    <w:link w:val="Ttulo4"/>
    <w:locked/>
    <w:rPr>
      <w:rFonts w:ascii="Arial" w:eastAsia="Times New Roman" w:hAnsi="Arial"/>
      <w:b/>
      <w:bCs/>
      <w:i/>
      <w:szCs w:val="28"/>
      <w:lang w:val="en-US" w:eastAsia="en-US"/>
    </w:rPr>
  </w:style>
  <w:style w:type="character" w:customStyle="1" w:styleId="Ttulo5Char">
    <w:name w:val="Título 5 Char"/>
    <w:aliases w:val="N2 Italic HOME BR Char"/>
    <w:link w:val="Ttulo5"/>
    <w:locked/>
    <w:rPr>
      <w:rFonts w:ascii="Arial" w:eastAsia="Times New Roman" w:hAnsi="Arial"/>
      <w:bCs/>
      <w:i/>
      <w:iCs/>
      <w:szCs w:val="26"/>
      <w:lang w:val="en-US" w:eastAsia="en-US"/>
    </w:rPr>
  </w:style>
  <w:style w:type="character" w:customStyle="1" w:styleId="Ttulo6Char">
    <w:name w:val="Título 6 Char"/>
    <w:aliases w:val="N3 Normal HOME BR Char"/>
    <w:link w:val="Ttulo6"/>
    <w:locked/>
    <w:rPr>
      <w:rFonts w:ascii="Arial" w:eastAsia="Times New Roman" w:hAnsi="Arial"/>
      <w:bCs/>
      <w:szCs w:val="22"/>
      <w:lang w:val="en-US" w:eastAsia="en-US"/>
    </w:rPr>
  </w:style>
  <w:style w:type="character" w:customStyle="1" w:styleId="Ttulo7Char">
    <w:name w:val="Título 7 Char"/>
    <w:aliases w:val="N3 Bold HOME BR Char"/>
    <w:link w:val="Ttulo7"/>
    <w:locked/>
    <w:rPr>
      <w:rFonts w:ascii="Arial" w:eastAsia="Times New Roman" w:hAnsi="Arial"/>
      <w:b/>
      <w:lang w:val="en-US" w:eastAsia="en-US"/>
    </w:rPr>
  </w:style>
  <w:style w:type="character" w:customStyle="1" w:styleId="Ttulo8Char">
    <w:name w:val="Título 8 Char"/>
    <w:aliases w:val="N3 Bold Italic HOME BR Char"/>
    <w:link w:val="Ttulo8"/>
    <w:locked/>
    <w:rPr>
      <w:rFonts w:ascii="Arial" w:eastAsia="Times New Roman" w:hAnsi="Arial"/>
      <w:b/>
      <w:i/>
      <w:iCs/>
      <w:lang w:val="en-US" w:eastAsia="en-US"/>
    </w:rPr>
  </w:style>
  <w:style w:type="character" w:customStyle="1" w:styleId="Ttulo9Char">
    <w:name w:val="Título 9 Char"/>
    <w:aliases w:val="N3 Italic HOME BR Char"/>
    <w:link w:val="Ttulo9"/>
    <w:locked/>
    <w:rPr>
      <w:rFonts w:ascii="Arial" w:eastAsia="Times New Roman" w:hAnsi="Arial" w:cs="Arial"/>
      <w:i/>
      <w:szCs w:val="22"/>
      <w:lang w:val="en-US" w:eastAsia="en-US"/>
    </w:rPr>
  </w:style>
  <w:style w:type="paragraph" w:customStyle="1" w:styleId="HOMEBRBodyText">
    <w:name w:val="HOME BR Body Text"/>
    <w:basedOn w:val="Normal"/>
    <w:link w:val="HOMEBRBodyTextChar"/>
    <w:pPr>
      <w:keepLines/>
    </w:pPr>
    <w:rPr>
      <w:lang w:val="pt-BR"/>
    </w:rPr>
  </w:style>
  <w:style w:type="paragraph" w:customStyle="1" w:styleId="HOMEBRBullet">
    <w:name w:val="HOME BR Bullet"/>
    <w:basedOn w:val="Normal"/>
    <w:next w:val="HOMEBRBodyText"/>
    <w:pPr>
      <w:keepLines/>
      <w:numPr>
        <w:numId w:val="1"/>
      </w:numPr>
      <w:tabs>
        <w:tab w:val="clear" w:pos="720"/>
      </w:tabs>
      <w:ind w:left="360"/>
    </w:pPr>
    <w:rPr>
      <w:lang w:val="pt-BR"/>
    </w:rPr>
  </w:style>
  <w:style w:type="paragraph" w:customStyle="1" w:styleId="HOMEBRBulletFolhaRosto">
    <w:name w:val="HOME BR Bullet Folha Rosto"/>
    <w:basedOn w:val="HOMEBRBullet"/>
    <w:pPr>
      <w:numPr>
        <w:numId w:val="2"/>
      </w:numPr>
      <w:spacing w:after="100"/>
      <w:ind w:left="360"/>
    </w:pPr>
  </w:style>
  <w:style w:type="paragraph" w:customStyle="1" w:styleId="HOMEBRNOTOCH2">
    <w:name w:val="HOME BR NO TOC H2"/>
    <w:basedOn w:val="Normal"/>
    <w:pPr>
      <w:keepNext/>
      <w:keepLines/>
    </w:pPr>
  </w:style>
  <w:style w:type="paragraph" w:customStyle="1" w:styleId="HOMEBRNOTOCH3">
    <w:name w:val="HOME BR NO TOC H3"/>
    <w:basedOn w:val="Normal"/>
    <w:pPr>
      <w:keepNext/>
      <w:keepLines/>
    </w:pPr>
    <w:rPr>
      <w:b/>
    </w:rPr>
  </w:style>
  <w:style w:type="paragraph" w:customStyle="1" w:styleId="HOMEBRNOTOCH4">
    <w:name w:val="HOME BR NO TOC H4"/>
    <w:basedOn w:val="Normal"/>
    <w:pPr>
      <w:keepNext/>
      <w:keepLines/>
    </w:pPr>
    <w:rPr>
      <w:b/>
      <w:i/>
      <w:lang w:val="pt-BR"/>
    </w:rPr>
  </w:style>
  <w:style w:type="paragraph" w:customStyle="1" w:styleId="HOMEBRNOTOCH5">
    <w:name w:val="HOME BR NO TOC H5"/>
    <w:basedOn w:val="Normal"/>
    <w:pPr>
      <w:keepNext/>
      <w:keepLines/>
    </w:pPr>
    <w:rPr>
      <w:i/>
      <w:lang w:val="pt-BR"/>
    </w:rPr>
  </w:style>
  <w:style w:type="paragraph" w:customStyle="1" w:styleId="HOMEBRTitleFolhaRosto">
    <w:name w:val="HOME BR Title Folha Rosto"/>
    <w:basedOn w:val="Normal"/>
    <w:pPr>
      <w:pBdr>
        <w:bottom w:val="single" w:sz="4" w:space="1" w:color="auto"/>
      </w:pBdr>
      <w:ind w:left="360" w:hanging="360"/>
    </w:pPr>
    <w:rPr>
      <w:b/>
      <w:caps/>
      <w:lang w:val="pt-BR"/>
    </w:rPr>
  </w:style>
  <w:style w:type="character" w:styleId="Hyperlink">
    <w:name w:val="Hyperlink"/>
    <w:uiPriority w:val="99"/>
    <w:rPr>
      <w:rFonts w:ascii="Arial" w:hAnsi="Arial"/>
      <w:b w:val="0"/>
      <w:i w:val="0"/>
      <w:color w:val="auto"/>
      <w:sz w:val="20"/>
      <w:u w:val="none"/>
    </w:rPr>
  </w:style>
  <w:style w:type="paragraph" w:styleId="Sumrio1">
    <w:name w:val="toc 1"/>
    <w:aliases w:val="N1 HOME BR"/>
    <w:basedOn w:val="Normal"/>
    <w:next w:val="Normal"/>
    <w:autoRedefine/>
    <w:uiPriority w:val="39"/>
    <w:pPr>
      <w:tabs>
        <w:tab w:val="right" w:leader="dot" w:pos="8789"/>
      </w:tabs>
      <w:spacing w:after="20"/>
      <w:ind w:left="144" w:right="-89" w:firstLine="10"/>
      <w:jc w:val="center"/>
    </w:pPr>
    <w:rPr>
      <w:b/>
      <w:caps/>
    </w:rPr>
  </w:style>
  <w:style w:type="paragraph" w:styleId="Sumrio2">
    <w:name w:val="toc 2"/>
    <w:aliases w:val="N2 Home BR"/>
    <w:basedOn w:val="Normal"/>
    <w:next w:val="Normal"/>
    <w:autoRedefine/>
    <w:uiPriority w:val="39"/>
    <w:pPr>
      <w:keepLines/>
      <w:tabs>
        <w:tab w:val="right" w:leader="dot" w:pos="8842"/>
      </w:tabs>
      <w:spacing w:after="20"/>
      <w:ind w:left="432" w:right="288" w:hanging="144"/>
    </w:pPr>
    <w:rPr>
      <w:b/>
    </w:rPr>
  </w:style>
  <w:style w:type="paragraph" w:styleId="Sumrio3">
    <w:name w:val="toc 3"/>
    <w:aliases w:val="N3 HOME BR"/>
    <w:basedOn w:val="Normal"/>
    <w:next w:val="Normal"/>
    <w:autoRedefine/>
    <w:uiPriority w:val="39"/>
    <w:pPr>
      <w:keepLines/>
      <w:tabs>
        <w:tab w:val="right" w:leader="dot" w:pos="8842"/>
      </w:tabs>
      <w:spacing w:after="20"/>
      <w:ind w:left="720" w:right="288" w:hanging="144"/>
    </w:pPr>
  </w:style>
  <w:style w:type="paragraph" w:styleId="Sumrio4">
    <w:name w:val="toc 4"/>
    <w:aliases w:val="Folha Rosto HOME BR"/>
    <w:basedOn w:val="Normal"/>
    <w:next w:val="Normal"/>
    <w:autoRedefine/>
    <w:pPr>
      <w:keepLines/>
      <w:tabs>
        <w:tab w:val="right" w:leader="dot" w:pos="8842"/>
      </w:tabs>
      <w:spacing w:after="20"/>
      <w:ind w:left="864" w:right="288" w:hanging="144"/>
    </w:pPr>
    <w:rPr>
      <w:i/>
    </w:rPr>
  </w:style>
  <w:style w:type="paragraph" w:customStyle="1" w:styleId="HOMEBRIdentBullet">
    <w:name w:val="HOME BR Ident Bullet"/>
    <w:basedOn w:val="Normal"/>
    <w:next w:val="HOMEBRBodyText"/>
    <w:qFormat/>
    <w:pPr>
      <w:keepLines/>
      <w:ind w:left="360" w:hanging="360"/>
    </w:pPr>
  </w:style>
  <w:style w:type="paragraph" w:customStyle="1" w:styleId="EstiloHOMEBRBulletNegrito">
    <w:name w:val="Estilo HOME BR Bullet + Negrito"/>
    <w:basedOn w:val="HOMEBRBullet"/>
    <w:rPr>
      <w:b/>
      <w:bCs/>
    </w:rPr>
  </w:style>
  <w:style w:type="paragraph" w:styleId="Cabealho">
    <w:name w:val="header"/>
    <w:aliases w:val="Guideline,encabezado,Heade,hd,Header@,Project Name,Heading 1a,Appendix"/>
    <w:basedOn w:val="Normal"/>
    <w:link w:val="CabealhoChar"/>
    <w:uiPriority w:val="99"/>
    <w:unhideWhenUsed/>
    <w:pPr>
      <w:tabs>
        <w:tab w:val="center" w:pos="4252"/>
        <w:tab w:val="right" w:pos="8504"/>
      </w:tabs>
      <w:spacing w:after="0"/>
    </w:pPr>
  </w:style>
  <w:style w:type="character" w:customStyle="1" w:styleId="CabealhoChar">
    <w:name w:val="Cabeçalho Char"/>
    <w:aliases w:val="Guideline Char,encabezado Char,Heade Char,hd Char,Header@ Char,Project Name Char,Heading 1a Char,Appendix Char"/>
    <w:link w:val="Cabealho"/>
    <w:uiPriority w:val="99"/>
    <w:rPr>
      <w:rFonts w:ascii="Arial" w:eastAsia="Calibri" w:hAnsi="Arial"/>
      <w:lang w:val="en-GB" w:eastAsia="en-GB"/>
    </w:rPr>
  </w:style>
  <w:style w:type="paragraph" w:styleId="Rodap">
    <w:name w:val="footer"/>
    <w:basedOn w:val="Normal"/>
    <w:link w:val="RodapChar"/>
    <w:uiPriority w:val="99"/>
    <w:unhideWhenUsed/>
    <w:pPr>
      <w:tabs>
        <w:tab w:val="center" w:pos="4252"/>
        <w:tab w:val="right" w:pos="8504"/>
      </w:tabs>
      <w:spacing w:after="0"/>
    </w:pPr>
  </w:style>
  <w:style w:type="character" w:customStyle="1" w:styleId="RodapChar">
    <w:name w:val="Rodapé Char"/>
    <w:link w:val="Rodap"/>
    <w:uiPriority w:val="99"/>
    <w:rPr>
      <w:rFonts w:ascii="Arial" w:eastAsia="Calibri" w:hAnsi="Arial"/>
      <w:lang w:val="en-GB" w:eastAsia="en-GB"/>
    </w:rPr>
  </w:style>
  <w:style w:type="paragraph" w:customStyle="1" w:styleId="z-TopofForm1">
    <w:name w:val="z-Top of Form1"/>
    <w:next w:val="Normal"/>
    <w:hidden/>
    <w:pPr>
      <w:pBdr>
        <w:bottom w:val="double" w:sz="2" w:space="0" w:color="000000"/>
      </w:pBdr>
      <w:jc w:val="center"/>
    </w:pPr>
    <w:rPr>
      <w:rFonts w:ascii="Arial" w:eastAsia="Calibri" w:hAnsi="Arial"/>
      <w:vanish/>
      <w:sz w:val="16"/>
      <w:lang w:eastAsia="en-US"/>
    </w:rPr>
  </w:style>
  <w:style w:type="paragraph" w:styleId="Reviso">
    <w:name w:val="Revision"/>
    <w:hidden/>
    <w:uiPriority w:val="99"/>
    <w:rPr>
      <w:rFonts w:ascii="Calibri" w:hAnsi="Calibri"/>
      <w:sz w:val="22"/>
      <w:szCs w:val="22"/>
      <w:lang w:val="en-US" w:eastAsia="en-US"/>
    </w:rPr>
  </w:style>
  <w:style w:type="paragraph" w:customStyle="1" w:styleId="Reviso1">
    <w:name w:val="Revisão1"/>
    <w:hidden/>
    <w:semiHidden/>
    <w:rPr>
      <w:sz w:val="24"/>
      <w:szCs w:val="24"/>
      <w:lang w:val="en-US" w:eastAsia="en-US"/>
    </w:rPr>
  </w:style>
  <w:style w:type="paragraph" w:styleId="Textodebalo">
    <w:name w:val="Balloon Text"/>
    <w:basedOn w:val="Normal"/>
    <w:link w:val="TextodebaloChar"/>
    <w:uiPriority w:val="99"/>
    <w:unhideWhenUsed/>
    <w:pPr>
      <w:spacing w:after="0"/>
    </w:pPr>
    <w:rPr>
      <w:rFonts w:ascii="Tahoma" w:eastAsia="MS Mincho" w:hAnsi="Tahoma"/>
      <w:sz w:val="16"/>
      <w:szCs w:val="16"/>
    </w:rPr>
  </w:style>
  <w:style w:type="character" w:customStyle="1" w:styleId="TextodebaloChar">
    <w:name w:val="Texto de balão Char"/>
    <w:link w:val="Textodebalo"/>
    <w:uiPriority w:val="99"/>
    <w:rPr>
      <w:rFonts w:ascii="Tahoma" w:hAnsi="Tahoma" w:cs="Tahoma"/>
      <w:sz w:val="16"/>
      <w:szCs w:val="16"/>
      <w:lang w:val="en-US" w:eastAsia="en-US"/>
    </w:rPr>
  </w:style>
  <w:style w:type="table" w:styleId="Tabelacomgrade">
    <w:name w:val="Table Grid"/>
    <w:basedOn w:val="Tabelanormal"/>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mrio5">
    <w:name w:val="toc 5"/>
    <w:basedOn w:val="Normal"/>
    <w:next w:val="Normal"/>
    <w:autoRedefine/>
    <w:uiPriority w:val="39"/>
    <w:unhideWhenUsed/>
    <w:pPr>
      <w:spacing w:after="100"/>
      <w:ind w:left="880"/>
    </w:pPr>
    <w:rPr>
      <w:lang w:eastAsia="pt-BR"/>
    </w:rPr>
  </w:style>
  <w:style w:type="paragraph" w:styleId="Sumrio6">
    <w:name w:val="toc 6"/>
    <w:basedOn w:val="Normal"/>
    <w:next w:val="Body"/>
    <w:uiPriority w:val="39"/>
    <w:pPr>
      <w:tabs>
        <w:tab w:val="left" w:pos="1985"/>
      </w:tabs>
      <w:spacing w:after="240"/>
    </w:pPr>
    <w:rPr>
      <w:rFonts w:eastAsia="PMingLiU"/>
      <w:szCs w:val="24"/>
    </w:rPr>
  </w:style>
  <w:style w:type="paragraph" w:styleId="Sumrio7">
    <w:name w:val="toc 7"/>
    <w:basedOn w:val="Normal"/>
    <w:next w:val="Normal"/>
    <w:autoRedefine/>
    <w:uiPriority w:val="39"/>
    <w:unhideWhenUsed/>
    <w:pPr>
      <w:spacing w:after="100"/>
      <w:ind w:left="1320"/>
    </w:pPr>
    <w:rPr>
      <w:lang w:eastAsia="pt-BR"/>
    </w:rPr>
  </w:style>
  <w:style w:type="paragraph" w:styleId="Sumrio8">
    <w:name w:val="toc 8"/>
    <w:basedOn w:val="Normal"/>
    <w:next w:val="Normal"/>
    <w:autoRedefine/>
    <w:uiPriority w:val="39"/>
    <w:unhideWhenUsed/>
    <w:pPr>
      <w:spacing w:after="100"/>
      <w:ind w:left="1540"/>
    </w:pPr>
    <w:rPr>
      <w:lang w:eastAsia="pt-BR"/>
    </w:rPr>
  </w:style>
  <w:style w:type="paragraph" w:styleId="Sumrio9">
    <w:name w:val="toc 9"/>
    <w:basedOn w:val="Normal"/>
    <w:next w:val="Normal"/>
    <w:autoRedefine/>
    <w:uiPriority w:val="39"/>
    <w:unhideWhenUsed/>
    <w:pPr>
      <w:spacing w:after="100"/>
      <w:ind w:left="1760"/>
    </w:pPr>
    <w:rPr>
      <w:lang w:eastAsia="pt-BR"/>
    </w:rPr>
  </w:style>
  <w:style w:type="character" w:customStyle="1" w:styleId="HOMEBRBodyTextChar">
    <w:name w:val="HOME BR Body Text Char"/>
    <w:link w:val="HOMEBRBodyText"/>
    <w:locked/>
    <w:rPr>
      <w:rFonts w:ascii="Arial" w:eastAsia="Times New Roman" w:hAnsi="Arial"/>
      <w:lang w:eastAsia="en-US"/>
    </w:rPr>
  </w:style>
  <w:style w:type="character" w:customStyle="1" w:styleId="DeltaViewInsertion">
    <w:name w:val="DeltaView Insertion"/>
    <w:uiPriority w:val="99"/>
    <w:rPr>
      <w:color w:val="0000FF"/>
      <w:u w:val="double"/>
    </w:rPr>
  </w:style>
  <w:style w:type="paragraph" w:customStyle="1" w:styleId="Body">
    <w:name w:val="Body"/>
    <w:basedOn w:val="Normal"/>
    <w:link w:val="BodyChar"/>
    <w:rPr>
      <w:rFonts w:cs="Arial"/>
    </w:rPr>
  </w:style>
  <w:style w:type="paragraph" w:customStyle="1" w:styleId="CellBody">
    <w:name w:val="CellBody"/>
    <w:basedOn w:val="Normal"/>
    <w:pPr>
      <w:spacing w:before="60" w:after="60"/>
    </w:pPr>
    <w:rPr>
      <w:kern w:val="20"/>
    </w:rPr>
  </w:style>
  <w:style w:type="character" w:customStyle="1" w:styleId="BodyChar">
    <w:name w:val="Body Char"/>
    <w:link w:val="Body"/>
    <w:rPr>
      <w:rFonts w:ascii="Arial" w:eastAsia="Calibri" w:hAnsi="Arial" w:cs="Arial"/>
      <w:lang w:val="pt-BR" w:eastAsia="en-GB"/>
    </w:rPr>
  </w:style>
  <w:style w:type="paragraph" w:customStyle="1" w:styleId="Header2">
    <w:name w:val="Header2"/>
    <w:basedOn w:val="Normal"/>
    <w:next w:val="Normal"/>
    <w:pPr>
      <w:widowControl w:val="0"/>
      <w:tabs>
        <w:tab w:val="center" w:pos="4419"/>
        <w:tab w:val="right" w:pos="8838"/>
      </w:tabs>
      <w:autoSpaceDE w:val="0"/>
      <w:autoSpaceDN w:val="0"/>
      <w:adjustRightInd w:val="0"/>
      <w:spacing w:after="0"/>
    </w:pPr>
    <w:rPr>
      <w:rFonts w:ascii="Times New Roman" w:hAnsi="Times New Roman"/>
      <w:sz w:val="24"/>
      <w:szCs w:val="24"/>
      <w:lang w:eastAsia="pt-BR"/>
    </w:rPr>
  </w:style>
  <w:style w:type="paragraph" w:customStyle="1" w:styleId="Level1">
    <w:name w:val="Level 1"/>
    <w:basedOn w:val="Normal"/>
    <w:next w:val="Normal"/>
    <w:pPr>
      <w:keepNext/>
      <w:numPr>
        <w:numId w:val="3"/>
      </w:numPr>
      <w:spacing w:before="280"/>
      <w:outlineLvl w:val="0"/>
    </w:pPr>
    <w:rPr>
      <w:b/>
      <w:bCs/>
      <w:kern w:val="20"/>
      <w:szCs w:val="32"/>
    </w:rPr>
  </w:style>
  <w:style w:type="paragraph" w:customStyle="1" w:styleId="Level2">
    <w:name w:val="Level 2"/>
    <w:basedOn w:val="Normal"/>
    <w:link w:val="Level2Char"/>
    <w:qFormat/>
    <w:pPr>
      <w:numPr>
        <w:ilvl w:val="1"/>
        <w:numId w:val="3"/>
      </w:numPr>
    </w:pPr>
    <w:rPr>
      <w:kern w:val="20"/>
      <w:szCs w:val="28"/>
    </w:rPr>
  </w:style>
  <w:style w:type="paragraph" w:customStyle="1" w:styleId="Level3">
    <w:name w:val="Level 3"/>
    <w:basedOn w:val="Normal"/>
    <w:link w:val="Level3Char"/>
    <w:pPr>
      <w:numPr>
        <w:ilvl w:val="2"/>
        <w:numId w:val="3"/>
      </w:numPr>
    </w:pPr>
    <w:rPr>
      <w:kern w:val="20"/>
      <w:szCs w:val="28"/>
    </w:rPr>
  </w:style>
  <w:style w:type="paragraph" w:customStyle="1" w:styleId="Level4">
    <w:name w:val="Level 4"/>
    <w:basedOn w:val="Normal"/>
    <w:pPr>
      <w:numPr>
        <w:ilvl w:val="3"/>
        <w:numId w:val="3"/>
      </w:numPr>
    </w:pPr>
    <w:rPr>
      <w:kern w:val="20"/>
    </w:rPr>
  </w:style>
  <w:style w:type="paragraph" w:customStyle="1" w:styleId="Level5">
    <w:name w:val="Level 5"/>
    <w:basedOn w:val="Normal"/>
    <w:pPr>
      <w:numPr>
        <w:ilvl w:val="4"/>
        <w:numId w:val="3"/>
      </w:numPr>
    </w:pPr>
    <w:rPr>
      <w:kern w:val="20"/>
    </w:rPr>
  </w:style>
  <w:style w:type="paragraph" w:customStyle="1" w:styleId="Level6">
    <w:name w:val="Level 6"/>
    <w:basedOn w:val="Normal"/>
    <w:pPr>
      <w:numPr>
        <w:ilvl w:val="5"/>
        <w:numId w:val="3"/>
      </w:numPr>
    </w:pPr>
    <w:rPr>
      <w:kern w:val="20"/>
    </w:rPr>
  </w:style>
  <w:style w:type="paragraph" w:customStyle="1" w:styleId="Level7">
    <w:name w:val="Level 7"/>
    <w:basedOn w:val="Normal"/>
    <w:pPr>
      <w:outlineLvl w:val="6"/>
    </w:pPr>
    <w:rPr>
      <w:kern w:val="20"/>
      <w:szCs w:val="24"/>
    </w:rPr>
  </w:style>
  <w:style w:type="paragraph" w:customStyle="1" w:styleId="Level8">
    <w:name w:val="Level 8"/>
    <w:basedOn w:val="Normal"/>
    <w:pPr>
      <w:outlineLvl w:val="7"/>
    </w:pPr>
    <w:rPr>
      <w:kern w:val="20"/>
      <w:szCs w:val="24"/>
    </w:rPr>
  </w:style>
  <w:style w:type="paragraph" w:customStyle="1" w:styleId="Level9">
    <w:name w:val="Level 9"/>
    <w:basedOn w:val="Normal"/>
    <w:pPr>
      <w:outlineLvl w:val="8"/>
    </w:pPr>
    <w:rPr>
      <w:kern w:val="20"/>
      <w:szCs w:val="24"/>
    </w:rPr>
  </w:style>
  <w:style w:type="character" w:styleId="HiperlinkVisitado">
    <w:name w:val="FollowedHyperlink"/>
    <w:uiPriority w:val="99"/>
    <w:rPr>
      <w:color w:val="800080"/>
      <w:u w:val="single"/>
    </w:rPr>
  </w:style>
  <w:style w:type="paragraph" w:styleId="PargrafodaLista">
    <w:name w:val="List Paragraph"/>
    <w:basedOn w:val="Normal"/>
    <w:link w:val="PargrafodaListaChar"/>
    <w:uiPriority w:val="34"/>
    <w:qFormat/>
    <w:pPr>
      <w:ind w:left="720"/>
      <w:contextualSpacing/>
    </w:pPr>
    <w:rPr>
      <w:lang w:val="x-none"/>
    </w:rPr>
  </w:style>
  <w:style w:type="paragraph" w:customStyle="1" w:styleId="Default">
    <w:name w:val="Default"/>
    <w:pPr>
      <w:autoSpaceDE w:val="0"/>
      <w:autoSpaceDN w:val="0"/>
      <w:adjustRightInd w:val="0"/>
    </w:pPr>
    <w:rPr>
      <w:rFonts w:ascii="Arial" w:hAnsi="Arial" w:cs="Arial"/>
      <w:color w:val="000000"/>
      <w:sz w:val="24"/>
      <w:szCs w:val="24"/>
    </w:rPr>
  </w:style>
  <w:style w:type="character" w:customStyle="1" w:styleId="DeltaViewDeletion">
    <w:name w:val="DeltaView Deletion"/>
    <w:uiPriority w:val="99"/>
    <w:rPr>
      <w:strike/>
      <w:color w:val="FF0000"/>
    </w:rPr>
  </w:style>
  <w:style w:type="paragraph" w:styleId="Textodenotaderodap">
    <w:name w:val="footnote text"/>
    <w:aliases w:val="Nota de rodapé"/>
    <w:basedOn w:val="Normal"/>
    <w:next w:val="Normal"/>
    <w:link w:val="TextodenotaderodapChar"/>
    <w:uiPriority w:val="99"/>
    <w:unhideWhenUsed/>
    <w:pPr>
      <w:tabs>
        <w:tab w:val="left" w:pos="227"/>
      </w:tabs>
      <w:spacing w:after="0"/>
      <w:ind w:left="227" w:hanging="227"/>
    </w:pPr>
    <w:rPr>
      <w:sz w:val="16"/>
    </w:rPr>
  </w:style>
  <w:style w:type="character" w:customStyle="1" w:styleId="TextodenotaderodapChar">
    <w:name w:val="Texto de nota de rodapé Char"/>
    <w:aliases w:val="Nota de rodapé Char"/>
    <w:link w:val="Textodenotaderodap"/>
    <w:uiPriority w:val="99"/>
    <w:rPr>
      <w:rFonts w:ascii="Arial" w:eastAsia="Calibri" w:hAnsi="Arial"/>
      <w:sz w:val="16"/>
      <w:lang w:val="en-GB" w:eastAsia="en-GB"/>
    </w:rPr>
  </w:style>
  <w:style w:type="character" w:styleId="Refdenotaderodap">
    <w:name w:val="footnote reference"/>
    <w:rPr>
      <w:u w:val="none"/>
      <w:vertAlign w:val="superscript"/>
    </w:rPr>
  </w:style>
  <w:style w:type="paragraph" w:customStyle="1" w:styleId="Raia-CorpodeTexto">
    <w:name w:val="(Raia - Corpo de Texto)"/>
    <w:basedOn w:val="Normal"/>
    <w:uiPriority w:val="99"/>
    <w:qFormat/>
    <w:pPr>
      <w:spacing w:before="100" w:beforeAutospacing="1" w:afterAutospacing="1" w:line="300" w:lineRule="exact"/>
      <w:jc w:val="center"/>
    </w:pPr>
    <w:rPr>
      <w:rFonts w:ascii="Tahoma" w:eastAsia="MS Mincho" w:hAnsi="Tahoma" w:cs="Tahoma"/>
      <w:b/>
      <w:color w:val="000000"/>
      <w:spacing w:val="2"/>
      <w:lang w:eastAsia="pt-BR"/>
    </w:rPr>
  </w:style>
  <w:style w:type="paragraph" w:customStyle="1" w:styleId="INBRANDS-2">
    <w:name w:val="(INBRANDS - 2)"/>
    <w:basedOn w:val="Ttulo2"/>
    <w:qFormat/>
    <w:pPr>
      <w:keepLines w:val="0"/>
      <w:spacing w:before="400" w:line="300" w:lineRule="exact"/>
    </w:pPr>
    <w:rPr>
      <w:rFonts w:ascii="Calibri" w:hAnsi="Calibri"/>
      <w:b/>
      <w:bCs w:val="0"/>
      <w:smallCaps/>
      <w:szCs w:val="20"/>
      <w:lang w:eastAsia="pt-BR"/>
    </w:rPr>
  </w:style>
  <w:style w:type="paragraph" w:customStyle="1" w:styleId="TextocomMarcador">
    <w:name w:val="Texto com Marcador"/>
    <w:basedOn w:val="Normal"/>
    <w:pPr>
      <w:tabs>
        <w:tab w:val="num" w:pos="720"/>
      </w:tabs>
      <w:spacing w:before="200"/>
      <w:ind w:left="720" w:hanging="360"/>
    </w:pPr>
    <w:rPr>
      <w:rFonts w:ascii="Times New Roman" w:eastAsia="MS Mincho" w:hAnsi="Times New Roman"/>
      <w:color w:val="000000"/>
      <w:lang w:eastAsia="pt-BR"/>
    </w:rPr>
  </w:style>
  <w:style w:type="paragraph" w:customStyle="1" w:styleId="Raia-ESTILO2">
    <w:name w:val="(Raia - ESTILO 2)"/>
    <w:basedOn w:val="Normal"/>
    <w:qFormat/>
    <w:pPr>
      <w:numPr>
        <w:numId w:val="4"/>
      </w:numPr>
      <w:tabs>
        <w:tab w:val="clear" w:pos="360"/>
      </w:tabs>
      <w:spacing w:before="300"/>
      <w:ind w:left="0" w:firstLine="0"/>
    </w:pPr>
    <w:rPr>
      <w:rFonts w:ascii="Tahoma" w:eastAsia="SimSun" w:hAnsi="Tahoma" w:cs="Tahoma"/>
      <w:b/>
      <w:bCs/>
      <w:smallCaps/>
      <w:lang w:eastAsia="pt-BR"/>
    </w:rPr>
  </w:style>
  <w:style w:type="character" w:customStyle="1" w:styleId="PargrafodaListaChar">
    <w:name w:val="Parágrafo da Lista Char"/>
    <w:link w:val="PargrafodaLista"/>
    <w:uiPriority w:val="34"/>
    <w:rPr>
      <w:rFonts w:ascii="Calibri" w:eastAsia="Calibri" w:hAnsi="Calibri"/>
      <w:sz w:val="22"/>
      <w:szCs w:val="22"/>
      <w:lang w:eastAsia="en-US"/>
    </w:rPr>
  </w:style>
  <w:style w:type="paragraph" w:customStyle="1" w:styleId="DeltaViewTableBody">
    <w:name w:val="DeltaView Table Body"/>
    <w:basedOn w:val="Normal"/>
    <w:uiPriority w:val="99"/>
    <w:pPr>
      <w:autoSpaceDE w:val="0"/>
      <w:autoSpaceDN w:val="0"/>
      <w:adjustRightInd w:val="0"/>
      <w:spacing w:after="0"/>
    </w:pPr>
    <w:rPr>
      <w:sz w:val="24"/>
      <w:szCs w:val="24"/>
      <w:lang w:eastAsia="pt-BR"/>
    </w:rPr>
  </w:style>
  <w:style w:type="paragraph" w:customStyle="1" w:styleId="BodyBlock">
    <w:name w:val="BodyBlock"/>
    <w:basedOn w:val="Normal"/>
    <w:link w:val="BodyBlockChar"/>
    <w:pPr>
      <w:tabs>
        <w:tab w:val="left" w:pos="432"/>
      </w:tabs>
      <w:autoSpaceDE w:val="0"/>
      <w:autoSpaceDN w:val="0"/>
      <w:adjustRightInd w:val="0"/>
      <w:spacing w:after="120" w:line="240" w:lineRule="exact"/>
    </w:pPr>
    <w:rPr>
      <w:rFonts w:ascii="Times New Roman" w:hAnsi="Times New Roman"/>
      <w:sz w:val="21"/>
      <w:lang w:eastAsia="pt-BR"/>
    </w:rPr>
  </w:style>
  <w:style w:type="paragraph" w:styleId="Recuodecorpodetexto">
    <w:name w:val="Body Text Indent"/>
    <w:basedOn w:val="Normal"/>
    <w:link w:val="RecuodecorpodetextoChar"/>
    <w:uiPriority w:val="99"/>
    <w:pPr>
      <w:shd w:val="clear" w:color="auto" w:fill="FFFFFF"/>
      <w:tabs>
        <w:tab w:val="left" w:pos="360"/>
        <w:tab w:val="left" w:pos="900"/>
        <w:tab w:val="left" w:pos="1418"/>
        <w:tab w:val="left" w:pos="2700"/>
        <w:tab w:val="left" w:pos="3600"/>
        <w:tab w:val="left" w:pos="4500"/>
        <w:tab w:val="left" w:pos="5400"/>
        <w:tab w:val="left" w:pos="6300"/>
        <w:tab w:val="left" w:pos="7200"/>
        <w:tab w:val="left" w:pos="8100"/>
        <w:tab w:val="left" w:pos="9000"/>
      </w:tabs>
      <w:autoSpaceDE w:val="0"/>
      <w:autoSpaceDN w:val="0"/>
      <w:adjustRightInd w:val="0"/>
      <w:spacing w:after="120" w:line="360" w:lineRule="auto"/>
      <w:ind w:left="900" w:hanging="900"/>
    </w:pPr>
    <w:rPr>
      <w:rFonts w:ascii="Arial Narrow" w:eastAsia="Arial Unicode MS" w:hAnsi="Arial Narrow"/>
      <w:color w:val="000000"/>
      <w:szCs w:val="24"/>
      <w:lang w:val="x-none" w:eastAsia="x-none"/>
    </w:rPr>
  </w:style>
  <w:style w:type="character" w:customStyle="1" w:styleId="RecuodecorpodetextoChar">
    <w:name w:val="Recuo de corpo de texto Char"/>
    <w:link w:val="Recuodecorpodetexto"/>
    <w:uiPriority w:val="99"/>
    <w:rPr>
      <w:rFonts w:ascii="Arial Narrow" w:eastAsia="Arial Unicode MS" w:hAnsi="Arial Narrow"/>
      <w:color w:val="000000"/>
      <w:sz w:val="22"/>
      <w:szCs w:val="24"/>
      <w:shd w:val="clear" w:color="auto" w:fill="FFFFFF"/>
    </w:rPr>
  </w:style>
  <w:style w:type="paragraph" w:customStyle="1" w:styleId="Body2">
    <w:name w:val="Body 2"/>
    <w:basedOn w:val="Normal"/>
    <w:next w:val="Body"/>
    <w:rPr>
      <w:rFonts w:cs="Arial"/>
    </w:rPr>
  </w:style>
  <w:style w:type="paragraph" w:customStyle="1" w:styleId="citcar">
    <w:name w:val="citcar"/>
    <w:basedOn w:val="Normal"/>
    <w:next w:val="Normal"/>
    <w:uiPriority w:val="99"/>
    <w:pPr>
      <w:widowControl w:val="0"/>
      <w:numPr>
        <w:ilvl w:val="5"/>
        <w:numId w:val="5"/>
      </w:numPr>
      <w:autoSpaceDE w:val="0"/>
      <w:autoSpaceDN w:val="0"/>
      <w:adjustRightInd w:val="0"/>
      <w:spacing w:after="0" w:line="240" w:lineRule="exact"/>
      <w:ind w:right="1134"/>
    </w:pPr>
    <w:rPr>
      <w:rFonts w:ascii="Times New Roman" w:hAnsi="Times New Roman"/>
      <w:sz w:val="26"/>
      <w:szCs w:val="26"/>
    </w:rPr>
  </w:style>
  <w:style w:type="character" w:customStyle="1" w:styleId="Level3Char">
    <w:name w:val="Level 3 Char"/>
    <w:link w:val="Level3"/>
    <w:rPr>
      <w:rFonts w:ascii="Arial" w:eastAsia="Times New Roman" w:hAnsi="Arial"/>
      <w:kern w:val="20"/>
      <w:szCs w:val="28"/>
      <w:lang w:val="en-US" w:eastAsia="en-US"/>
    </w:rPr>
  </w:style>
  <w:style w:type="paragraph" w:customStyle="1" w:styleId="Nivel1">
    <w:name w:val="Nivel 1"/>
    <w:basedOn w:val="Normal"/>
    <w:qFormat/>
    <w:pPr>
      <w:widowControl w:val="0"/>
      <w:numPr>
        <w:numId w:val="6"/>
      </w:numPr>
      <w:autoSpaceDE w:val="0"/>
      <w:autoSpaceDN w:val="0"/>
      <w:adjustRightInd w:val="0"/>
      <w:spacing w:after="0" w:line="300" w:lineRule="atLeast"/>
    </w:pPr>
    <w:rPr>
      <w:rFonts w:ascii="Times New Roman" w:hAnsi="Times New Roman"/>
      <w:b/>
      <w:bCs/>
      <w:color w:val="000000"/>
      <w:lang w:eastAsia="pt-BR"/>
    </w:rPr>
  </w:style>
  <w:style w:type="paragraph" w:customStyle="1" w:styleId="Nivel2">
    <w:name w:val="Nivel 2"/>
    <w:basedOn w:val="Normal"/>
    <w:qFormat/>
    <w:pPr>
      <w:widowControl w:val="0"/>
      <w:numPr>
        <w:ilvl w:val="1"/>
        <w:numId w:val="6"/>
      </w:numPr>
      <w:autoSpaceDE w:val="0"/>
      <w:autoSpaceDN w:val="0"/>
      <w:adjustRightInd w:val="0"/>
      <w:spacing w:after="0" w:line="300" w:lineRule="atLeast"/>
    </w:pPr>
    <w:rPr>
      <w:rFonts w:ascii="Times New Roman" w:hAnsi="Times New Roman"/>
      <w:bCs/>
      <w:color w:val="000000"/>
      <w:lang w:eastAsia="pt-BR"/>
    </w:rPr>
  </w:style>
  <w:style w:type="paragraph" w:customStyle="1" w:styleId="Nivel3">
    <w:name w:val="Nivel 3"/>
    <w:basedOn w:val="Corpodetexto"/>
    <w:qFormat/>
    <w:pPr>
      <w:numPr>
        <w:ilvl w:val="2"/>
        <w:numId w:val="6"/>
      </w:numPr>
      <w:tabs>
        <w:tab w:val="clear" w:pos="851"/>
      </w:tabs>
      <w:spacing w:after="0" w:line="320" w:lineRule="exact"/>
      <w:ind w:left="2160" w:hanging="360"/>
    </w:pPr>
    <w:rPr>
      <w:rFonts w:ascii="Times New Roman" w:eastAsia="MS Mincho" w:hAnsi="Times New Roman"/>
      <w:color w:val="000000"/>
      <w:lang w:eastAsia="pt-BR"/>
    </w:rPr>
  </w:style>
  <w:style w:type="paragraph" w:customStyle="1" w:styleId="Nivel4">
    <w:name w:val="Nivel 4"/>
    <w:basedOn w:val="Default"/>
    <w:qFormat/>
    <w:pPr>
      <w:widowControl w:val="0"/>
      <w:numPr>
        <w:ilvl w:val="3"/>
        <w:numId w:val="6"/>
      </w:numPr>
      <w:tabs>
        <w:tab w:val="left" w:pos="1701"/>
      </w:tabs>
      <w:spacing w:line="300" w:lineRule="atLeast"/>
      <w:jc w:val="both"/>
    </w:pPr>
    <w:rPr>
      <w:rFonts w:ascii="Times New Roman" w:eastAsia="Times New Roman" w:hAnsi="Times New Roman" w:cs="Times New Roman"/>
      <w:sz w:val="22"/>
      <w:szCs w:val="22"/>
    </w:rPr>
  </w:style>
  <w:style w:type="paragraph" w:customStyle="1" w:styleId="Nivel5">
    <w:name w:val="Nivel 5"/>
    <w:basedOn w:val="Default"/>
    <w:qFormat/>
    <w:pPr>
      <w:widowControl w:val="0"/>
      <w:numPr>
        <w:ilvl w:val="4"/>
        <w:numId w:val="6"/>
      </w:numPr>
      <w:spacing w:line="300" w:lineRule="atLeast"/>
      <w:jc w:val="both"/>
    </w:pPr>
    <w:rPr>
      <w:rFonts w:ascii="Times New Roman" w:eastAsia="Times New Roman" w:hAnsi="Times New Roman" w:cs="Times New Roman"/>
      <w:sz w:val="22"/>
      <w:szCs w:val="22"/>
    </w:rPr>
  </w:style>
  <w:style w:type="paragraph" w:customStyle="1" w:styleId="Nivel6">
    <w:name w:val="Nivel 6"/>
    <w:basedOn w:val="Normal"/>
    <w:qFormat/>
    <w:pPr>
      <w:widowControl w:val="0"/>
      <w:numPr>
        <w:ilvl w:val="5"/>
        <w:numId w:val="6"/>
      </w:numPr>
      <w:autoSpaceDE w:val="0"/>
      <w:autoSpaceDN w:val="0"/>
      <w:adjustRightInd w:val="0"/>
      <w:spacing w:after="0" w:line="300" w:lineRule="atLeast"/>
    </w:pPr>
    <w:rPr>
      <w:rFonts w:ascii="Times New Roman" w:eastAsia="TT108t00" w:hAnsi="Times New Roman"/>
      <w:lang w:eastAsia="pt-BR"/>
    </w:rPr>
  </w:style>
  <w:style w:type="paragraph" w:styleId="Corpodetexto">
    <w:name w:val="Body Text"/>
    <w:basedOn w:val="Normal"/>
    <w:link w:val="CorpodetextoChar"/>
    <w:pPr>
      <w:spacing w:after="120"/>
    </w:pPr>
  </w:style>
  <w:style w:type="character" w:customStyle="1" w:styleId="CorpodetextoChar">
    <w:name w:val="Corpo de texto Char"/>
    <w:link w:val="Corpodetexto"/>
    <w:rPr>
      <w:rFonts w:ascii="Calibri" w:eastAsia="Calibri" w:hAnsi="Calibri"/>
      <w:sz w:val="22"/>
      <w:szCs w:val="22"/>
      <w:lang w:eastAsia="en-US"/>
    </w:rPr>
  </w:style>
  <w:style w:type="paragraph" w:customStyle="1" w:styleId="EDP-corpodetexto">
    <w:name w:val="(EDP - corpo de texto)"/>
    <w:qFormat/>
    <w:pPr>
      <w:spacing w:after="200" w:line="300" w:lineRule="exact"/>
      <w:jc w:val="both"/>
    </w:pPr>
    <w:rPr>
      <w:rFonts w:ascii="Calibri" w:eastAsia="Times New Roman" w:hAnsi="Calibri"/>
      <w:lang w:eastAsia="en-US"/>
    </w:rPr>
  </w:style>
  <w:style w:type="paragraph" w:customStyle="1" w:styleId="CellHead">
    <w:name w:val="CellHead"/>
    <w:basedOn w:val="Normal"/>
    <w:pPr>
      <w:keepNext/>
      <w:spacing w:before="60" w:after="60"/>
    </w:pPr>
    <w:rPr>
      <w:b/>
      <w:kern w:val="20"/>
      <w:szCs w:val="24"/>
    </w:rPr>
  </w:style>
  <w:style w:type="paragraph" w:customStyle="1" w:styleId="Table1">
    <w:name w:val="Table 1"/>
    <w:basedOn w:val="Normal"/>
    <w:pPr>
      <w:numPr>
        <w:numId w:val="8"/>
      </w:numPr>
      <w:spacing w:before="60" w:after="60"/>
      <w:outlineLvl w:val="0"/>
    </w:pPr>
    <w:rPr>
      <w:kern w:val="20"/>
      <w:szCs w:val="24"/>
    </w:rPr>
  </w:style>
  <w:style w:type="paragraph" w:customStyle="1" w:styleId="Table2">
    <w:name w:val="Table 2"/>
    <w:basedOn w:val="Normal"/>
    <w:pPr>
      <w:numPr>
        <w:ilvl w:val="1"/>
        <w:numId w:val="8"/>
      </w:numPr>
      <w:spacing w:before="60" w:after="60"/>
      <w:outlineLvl w:val="1"/>
    </w:pPr>
    <w:rPr>
      <w:kern w:val="20"/>
      <w:szCs w:val="24"/>
    </w:rPr>
  </w:style>
  <w:style w:type="paragraph" w:customStyle="1" w:styleId="Table3">
    <w:name w:val="Table 3"/>
    <w:basedOn w:val="Normal"/>
    <w:pPr>
      <w:numPr>
        <w:ilvl w:val="2"/>
        <w:numId w:val="8"/>
      </w:numPr>
      <w:spacing w:before="60" w:after="60"/>
      <w:outlineLvl w:val="2"/>
    </w:pPr>
    <w:rPr>
      <w:kern w:val="20"/>
      <w:szCs w:val="24"/>
    </w:rPr>
  </w:style>
  <w:style w:type="paragraph" w:customStyle="1" w:styleId="Table4">
    <w:name w:val="Table 4"/>
    <w:basedOn w:val="Normal"/>
    <w:pPr>
      <w:numPr>
        <w:ilvl w:val="3"/>
        <w:numId w:val="8"/>
      </w:numPr>
      <w:spacing w:before="60" w:after="60"/>
      <w:outlineLvl w:val="3"/>
    </w:pPr>
    <w:rPr>
      <w:kern w:val="20"/>
      <w:szCs w:val="24"/>
    </w:rPr>
  </w:style>
  <w:style w:type="paragraph" w:customStyle="1" w:styleId="Table5">
    <w:name w:val="Table 5"/>
    <w:basedOn w:val="Normal"/>
    <w:pPr>
      <w:numPr>
        <w:ilvl w:val="4"/>
        <w:numId w:val="8"/>
      </w:numPr>
      <w:spacing w:before="60" w:after="60"/>
      <w:outlineLvl w:val="4"/>
    </w:pPr>
    <w:rPr>
      <w:kern w:val="20"/>
      <w:szCs w:val="24"/>
    </w:rPr>
  </w:style>
  <w:style w:type="paragraph" w:customStyle="1" w:styleId="Table6">
    <w:name w:val="Table 6"/>
    <w:basedOn w:val="Normal"/>
    <w:pPr>
      <w:numPr>
        <w:ilvl w:val="5"/>
        <w:numId w:val="8"/>
      </w:numPr>
      <w:spacing w:before="60" w:after="60"/>
      <w:outlineLvl w:val="5"/>
    </w:pPr>
    <w:rPr>
      <w:kern w:val="20"/>
      <w:szCs w:val="24"/>
    </w:rPr>
  </w:style>
  <w:style w:type="paragraph" w:customStyle="1" w:styleId="ListNumbers">
    <w:name w:val="List Numbers"/>
    <w:basedOn w:val="Normal"/>
    <w:pPr>
      <w:numPr>
        <w:numId w:val="7"/>
      </w:numPr>
      <w:outlineLvl w:val="0"/>
    </w:pPr>
    <w:rPr>
      <w:kern w:val="20"/>
      <w:szCs w:val="24"/>
    </w:rPr>
  </w:style>
  <w:style w:type="table" w:styleId="ListaClara-nfase4">
    <w:name w:val="Light List Accent 4"/>
    <w:basedOn w:val="Tabelanormal"/>
    <w:rPr>
      <w:rFonts w:eastAsia="Times New Roman"/>
      <w:lang w:val="en-GB" w:eastAsia="en-GB"/>
    </w:rPr>
    <w:tblPr>
      <w:tblStyleRowBandSize w:val="1"/>
      <w:tblStyleColBandSize w:val="1"/>
      <w:tblBorders>
        <w:top w:val="single" w:sz="8" w:space="0" w:color="808080"/>
        <w:left w:val="single" w:sz="8" w:space="0" w:color="808080"/>
        <w:bottom w:val="single" w:sz="8" w:space="0" w:color="808080"/>
        <w:right w:val="single" w:sz="8" w:space="0" w:color="808080"/>
      </w:tblBorders>
    </w:tblPr>
    <w:tblStylePr w:type="firstRow">
      <w:pPr>
        <w:spacing w:before="0" w:after="0" w:line="240" w:lineRule="auto"/>
      </w:pPr>
      <w:rPr>
        <w:b/>
        <w:bCs/>
        <w:color w:val="FFFFFF"/>
      </w:rPr>
      <w:tblPr/>
      <w:tcPr>
        <w:shd w:val="clear" w:color="auto" w:fill="808080"/>
      </w:tcPr>
    </w:tblStylePr>
    <w:tblStylePr w:type="lastRow">
      <w:pPr>
        <w:spacing w:before="0" w:after="0" w:line="240" w:lineRule="auto"/>
      </w:pPr>
      <w:rPr>
        <w:b/>
        <w:bCs/>
      </w:rPr>
      <w:tblPr/>
      <w:tcPr>
        <w:tcBorders>
          <w:top w:val="double" w:sz="6" w:space="0" w:color="808080"/>
          <w:left w:val="single" w:sz="8" w:space="0" w:color="808080"/>
          <w:bottom w:val="single" w:sz="8" w:space="0" w:color="808080"/>
          <w:right w:val="single" w:sz="8" w:space="0" w:color="808080"/>
        </w:tcBorders>
      </w:tcPr>
    </w:tblStylePr>
    <w:tblStylePr w:type="firstCol">
      <w:rPr>
        <w:b/>
        <w:bCs/>
      </w:rPr>
    </w:tblStylePr>
    <w:tblStylePr w:type="lastCol">
      <w:rPr>
        <w:b/>
        <w:bCs/>
      </w:rPr>
    </w:tblStylePr>
    <w:tblStylePr w:type="band1Vert">
      <w:tblPr/>
      <w:tcPr>
        <w:tcBorders>
          <w:top w:val="single" w:sz="8" w:space="0" w:color="808080"/>
          <w:left w:val="single" w:sz="8" w:space="0" w:color="808080"/>
          <w:bottom w:val="single" w:sz="8" w:space="0" w:color="808080"/>
          <w:right w:val="single" w:sz="8" w:space="0" w:color="808080"/>
        </w:tcBorders>
      </w:tcPr>
    </w:tblStylePr>
    <w:tblStylePr w:type="band1Horz">
      <w:tblPr/>
      <w:tcPr>
        <w:tcBorders>
          <w:top w:val="single" w:sz="8" w:space="0" w:color="808080"/>
          <w:left w:val="single" w:sz="8" w:space="0" w:color="808080"/>
          <w:bottom w:val="single" w:sz="8" w:space="0" w:color="808080"/>
          <w:right w:val="single" w:sz="8" w:space="0" w:color="808080"/>
        </w:tcBorders>
      </w:tcPr>
    </w:tblStylePr>
  </w:style>
  <w:style w:type="paragraph" w:customStyle="1" w:styleId="p0">
    <w:name w:val="p0"/>
    <w:basedOn w:val="Normal"/>
    <w:link w:val="p0Char"/>
    <w:pPr>
      <w:widowControl w:val="0"/>
      <w:tabs>
        <w:tab w:val="left" w:pos="720"/>
      </w:tabs>
      <w:autoSpaceDE w:val="0"/>
      <w:autoSpaceDN w:val="0"/>
      <w:adjustRightInd w:val="0"/>
      <w:spacing w:after="0" w:line="240" w:lineRule="atLeast"/>
    </w:pPr>
    <w:rPr>
      <w:rFonts w:ascii="Times" w:hAnsi="Times" w:cs="Times"/>
      <w:sz w:val="24"/>
      <w:szCs w:val="24"/>
    </w:rPr>
  </w:style>
  <w:style w:type="character" w:customStyle="1" w:styleId="Level2Char">
    <w:name w:val="Level 2 Char"/>
    <w:link w:val="Level2"/>
    <w:rPr>
      <w:rFonts w:ascii="Arial" w:eastAsia="Times New Roman" w:hAnsi="Arial"/>
      <w:kern w:val="20"/>
      <w:szCs w:val="28"/>
      <w:lang w:val="en-US" w:eastAsia="en-US"/>
    </w:rPr>
  </w:style>
  <w:style w:type="character" w:customStyle="1" w:styleId="p0Char">
    <w:name w:val="p0 Char"/>
    <w:link w:val="p0"/>
    <w:locked/>
    <w:rPr>
      <w:rFonts w:ascii="Times" w:eastAsia="Times New Roman" w:hAnsi="Times" w:cs="Times"/>
      <w:sz w:val="24"/>
      <w:szCs w:val="24"/>
      <w:lang w:eastAsia="en-US"/>
    </w:rPr>
  </w:style>
  <w:style w:type="paragraph" w:customStyle="1" w:styleId="EDP-Titulo1">
    <w:name w:val="(EDP - Titulo 1)"/>
    <w:qFormat/>
    <w:pPr>
      <w:spacing w:after="400" w:line="300" w:lineRule="exact"/>
      <w:jc w:val="center"/>
    </w:pPr>
    <w:rPr>
      <w:rFonts w:ascii="Calibri" w:eastAsia="Times New Roman" w:hAnsi="Calibri" w:cs="Tahoma"/>
      <w:b/>
      <w:bCs/>
      <w:caps/>
    </w:rPr>
  </w:style>
  <w:style w:type="paragraph" w:styleId="CabealhodoSumrio">
    <w:name w:val="TOC Heading"/>
    <w:basedOn w:val="Ttulo1"/>
    <w:next w:val="Normal"/>
    <w:uiPriority w:val="39"/>
    <w:unhideWhenUsed/>
    <w:qFormat/>
    <w:pPr>
      <w:keepLines/>
      <w:pageBreakBefore w:val="0"/>
      <w:spacing w:before="480" w:after="0"/>
      <w:jc w:val="left"/>
      <w:outlineLvl w:val="9"/>
    </w:pPr>
    <w:rPr>
      <w:rFonts w:ascii="Cambria" w:eastAsia="MS Gothic" w:hAnsi="Cambria"/>
      <w:caps w:val="0"/>
      <w:color w:val="365F91"/>
      <w:kern w:val="0"/>
      <w:sz w:val="28"/>
      <w:szCs w:val="28"/>
      <w:lang w:eastAsia="ja-JP"/>
    </w:rPr>
  </w:style>
  <w:style w:type="character" w:styleId="Refdecomentrio">
    <w:name w:val="annotation reference"/>
    <w:rPr>
      <w:sz w:val="16"/>
      <w:szCs w:val="16"/>
    </w:rPr>
  </w:style>
  <w:style w:type="paragraph" w:styleId="Textodecomentrio">
    <w:name w:val="annotation text"/>
    <w:basedOn w:val="Normal"/>
    <w:link w:val="TextodecomentrioChar"/>
  </w:style>
  <w:style w:type="character" w:customStyle="1" w:styleId="TextodecomentrioChar">
    <w:name w:val="Texto de comentário Char"/>
    <w:link w:val="Textodecomentrio"/>
    <w:rPr>
      <w:rFonts w:ascii="Calibri" w:eastAsia="Calibri" w:hAnsi="Calibri"/>
      <w:lang w:val="en-US" w:eastAsia="en-US"/>
    </w:rPr>
  </w:style>
  <w:style w:type="paragraph" w:customStyle="1" w:styleId="Switzerland">
    <w:name w:val="Switzerland"/>
    <w:basedOn w:val="Corpodetexto"/>
    <w:pPr>
      <w:spacing w:after="0"/>
    </w:pPr>
    <w:rPr>
      <w:rFonts w:ascii="Times New Roman" w:eastAsia="MS Mincho" w:hAnsi="Times New Roman"/>
    </w:rPr>
  </w:style>
  <w:style w:type="character" w:customStyle="1" w:styleId="BodyBlockChar">
    <w:name w:val="BodyBlock Char"/>
    <w:link w:val="BodyBlock"/>
    <w:rPr>
      <w:rFonts w:eastAsia="Times New Roman"/>
      <w:sz w:val="21"/>
      <w:lang w:val="en-GB"/>
    </w:rPr>
  </w:style>
  <w:style w:type="paragraph" w:customStyle="1" w:styleId="bullet3">
    <w:name w:val="bullet 3"/>
    <w:basedOn w:val="Normal"/>
    <w:pPr>
      <w:numPr>
        <w:numId w:val="10"/>
      </w:numPr>
    </w:pPr>
    <w:rPr>
      <w:kern w:val="20"/>
      <w:szCs w:val="24"/>
    </w:rPr>
  </w:style>
  <w:style w:type="paragraph" w:customStyle="1" w:styleId="Bullet1">
    <w:name w:val="Bullet 1"/>
    <w:basedOn w:val="Normal"/>
    <w:qFormat/>
    <w:pPr>
      <w:numPr>
        <w:numId w:val="11"/>
      </w:numPr>
    </w:pPr>
  </w:style>
  <w:style w:type="paragraph" w:customStyle="1" w:styleId="Bullet2">
    <w:name w:val="Bullet 2"/>
    <w:basedOn w:val="Normal"/>
    <w:qFormat/>
    <w:pPr>
      <w:numPr>
        <w:numId w:val="12"/>
      </w:numPr>
    </w:pPr>
  </w:style>
  <w:style w:type="paragraph" w:customStyle="1" w:styleId="Bullet30">
    <w:name w:val="Bullet 3"/>
    <w:basedOn w:val="Normal"/>
    <w:qFormat/>
    <w:pPr>
      <w:numPr>
        <w:numId w:val="13"/>
      </w:numPr>
    </w:pPr>
  </w:style>
  <w:style w:type="character" w:styleId="Refdenotadefim">
    <w:name w:val="endnote reference"/>
    <w:rPr>
      <w:rFonts w:ascii="Arial" w:hAnsi="Arial"/>
      <w:sz w:val="16"/>
      <w:vertAlign w:val="superscript"/>
    </w:rPr>
  </w:style>
  <w:style w:type="paragraph" w:customStyle="1" w:styleId="Citao10pt">
    <w:name w:val="Citação 10pt"/>
    <w:basedOn w:val="Normal"/>
    <w:qFormat/>
    <w:pPr>
      <w:ind w:left="2041"/>
    </w:pPr>
    <w:rPr>
      <w:i/>
    </w:rPr>
  </w:style>
  <w:style w:type="paragraph" w:customStyle="1" w:styleId="Citao9pt">
    <w:name w:val="Citação 9pt"/>
    <w:basedOn w:val="Normal"/>
    <w:qFormat/>
    <w:pPr>
      <w:ind w:left="680"/>
    </w:pPr>
    <w:rPr>
      <w:i/>
      <w:sz w:val="18"/>
    </w:rPr>
  </w:style>
  <w:style w:type="paragraph" w:customStyle="1" w:styleId="Subttulo8pt">
    <w:name w:val="Subtítulo 8pt"/>
    <w:basedOn w:val="Normal"/>
    <w:qFormat/>
    <w:pPr>
      <w:tabs>
        <w:tab w:val="left" w:pos="0"/>
      </w:tabs>
      <w:spacing w:after="0" w:line="240" w:lineRule="exact"/>
    </w:pPr>
    <w:rPr>
      <w:rFonts w:cs="Arial"/>
      <w:kern w:val="20"/>
      <w:sz w:val="16"/>
    </w:rPr>
  </w:style>
  <w:style w:type="paragraph" w:customStyle="1" w:styleId="Ttulo14pt">
    <w:name w:val="Título 14pt"/>
    <w:basedOn w:val="Normal"/>
    <w:qFormat/>
    <w:pPr>
      <w:tabs>
        <w:tab w:val="right" w:pos="9071"/>
      </w:tabs>
      <w:spacing w:before="720" w:after="240"/>
    </w:pPr>
    <w:rPr>
      <w:rFonts w:cs="Arial"/>
      <w:kern w:val="20"/>
      <w:sz w:val="28"/>
    </w:rPr>
  </w:style>
  <w:style w:type="paragraph" w:customStyle="1" w:styleId="Citao1">
    <w:name w:val="Citação1"/>
    <w:basedOn w:val="Normal"/>
    <w:qFormat/>
    <w:pPr>
      <w:spacing w:after="240"/>
      <w:ind w:left="2041"/>
    </w:pPr>
    <w:rPr>
      <w:i/>
    </w:rPr>
  </w:style>
  <w:style w:type="paragraph" w:customStyle="1" w:styleId="Petio1">
    <w:name w:val="Petição 1"/>
    <w:basedOn w:val="Normal"/>
    <w:pPr>
      <w:numPr>
        <w:numId w:val="14"/>
      </w:numPr>
      <w:spacing w:after="240"/>
      <w:outlineLvl w:val="0"/>
    </w:pPr>
    <w:rPr>
      <w:kern w:val="20"/>
      <w:sz w:val="24"/>
    </w:rPr>
  </w:style>
  <w:style w:type="paragraph" w:customStyle="1" w:styleId="Petio2">
    <w:name w:val="Petição 2"/>
    <w:basedOn w:val="Normal"/>
    <w:pPr>
      <w:numPr>
        <w:ilvl w:val="1"/>
        <w:numId w:val="14"/>
      </w:numPr>
      <w:spacing w:after="240"/>
      <w:outlineLvl w:val="1"/>
    </w:pPr>
    <w:rPr>
      <w:kern w:val="20"/>
      <w:sz w:val="24"/>
    </w:rPr>
  </w:style>
  <w:style w:type="paragraph" w:customStyle="1" w:styleId="Petio3">
    <w:name w:val="Petição 3"/>
    <w:basedOn w:val="Normal"/>
    <w:pPr>
      <w:numPr>
        <w:ilvl w:val="2"/>
        <w:numId w:val="14"/>
      </w:numPr>
      <w:spacing w:after="240"/>
      <w:outlineLvl w:val="2"/>
    </w:pPr>
    <w:rPr>
      <w:kern w:val="20"/>
      <w:sz w:val="24"/>
    </w:rPr>
  </w:style>
  <w:style w:type="paragraph" w:customStyle="1" w:styleId="Petio4">
    <w:name w:val="Petição 4"/>
    <w:basedOn w:val="Normal"/>
    <w:pPr>
      <w:numPr>
        <w:ilvl w:val="3"/>
        <w:numId w:val="14"/>
      </w:numPr>
      <w:spacing w:after="240"/>
      <w:outlineLvl w:val="3"/>
    </w:pPr>
    <w:rPr>
      <w:kern w:val="20"/>
      <w:sz w:val="24"/>
    </w:rPr>
  </w:style>
  <w:style w:type="paragraph" w:customStyle="1" w:styleId="Texto">
    <w:name w:val="Texto"/>
    <w:basedOn w:val="Normal"/>
    <w:qFormat/>
    <w:pPr>
      <w:spacing w:after="240"/>
      <w:ind w:left="2041"/>
    </w:pPr>
    <w:rPr>
      <w:sz w:val="24"/>
    </w:rPr>
  </w:style>
  <w:style w:type="paragraph" w:customStyle="1" w:styleId="TtuloB1">
    <w:name w:val="Título B1"/>
    <w:basedOn w:val="Normal"/>
    <w:qFormat/>
    <w:pPr>
      <w:numPr>
        <w:numId w:val="15"/>
      </w:numPr>
      <w:spacing w:after="240"/>
    </w:pPr>
    <w:rPr>
      <w:rFonts w:ascii="Arial Bold" w:hAnsi="Arial Bold"/>
      <w:b/>
      <w:caps/>
      <w:sz w:val="24"/>
    </w:rPr>
  </w:style>
  <w:style w:type="paragraph" w:customStyle="1" w:styleId="TtuloB2">
    <w:name w:val="Título B2"/>
    <w:basedOn w:val="Normal"/>
    <w:qFormat/>
    <w:pPr>
      <w:numPr>
        <w:ilvl w:val="1"/>
        <w:numId w:val="15"/>
      </w:numPr>
      <w:spacing w:after="240"/>
    </w:pPr>
    <w:rPr>
      <w:caps/>
      <w:sz w:val="24"/>
    </w:rPr>
  </w:style>
  <w:style w:type="paragraph" w:customStyle="1" w:styleId="Level1coluna1">
    <w:name w:val="Level 1 coluna1"/>
    <w:basedOn w:val="Normal"/>
    <w:pPr>
      <w:keepNext/>
      <w:numPr>
        <w:numId w:val="16"/>
      </w:numPr>
    </w:pPr>
    <w:rPr>
      <w:b/>
    </w:rPr>
  </w:style>
  <w:style w:type="paragraph" w:customStyle="1" w:styleId="Level1coluna2">
    <w:name w:val="Level 1 coluna2"/>
    <w:basedOn w:val="Normal"/>
    <w:pPr>
      <w:keepNext/>
      <w:numPr>
        <w:numId w:val="17"/>
      </w:numPr>
    </w:pPr>
    <w:rPr>
      <w:b/>
    </w:rPr>
  </w:style>
  <w:style w:type="paragraph" w:customStyle="1" w:styleId="Level2coluna1">
    <w:name w:val="Level 2 coluna1"/>
    <w:basedOn w:val="Normal"/>
    <w:pPr>
      <w:numPr>
        <w:ilvl w:val="1"/>
        <w:numId w:val="16"/>
      </w:numPr>
    </w:pPr>
  </w:style>
  <w:style w:type="paragraph" w:customStyle="1" w:styleId="Level2coluna2">
    <w:name w:val="Level 2 coluna2"/>
    <w:basedOn w:val="Normal"/>
    <w:pPr>
      <w:numPr>
        <w:ilvl w:val="1"/>
        <w:numId w:val="17"/>
      </w:numPr>
    </w:pPr>
  </w:style>
  <w:style w:type="paragraph" w:customStyle="1" w:styleId="Level3coluna1">
    <w:name w:val="Level 3 coluna1"/>
    <w:basedOn w:val="Normal"/>
    <w:pPr>
      <w:numPr>
        <w:ilvl w:val="2"/>
        <w:numId w:val="16"/>
      </w:numPr>
    </w:pPr>
  </w:style>
  <w:style w:type="paragraph" w:customStyle="1" w:styleId="Level3coluna2">
    <w:name w:val="Level 3 coluna2"/>
    <w:basedOn w:val="Normal"/>
    <w:pPr>
      <w:numPr>
        <w:ilvl w:val="2"/>
        <w:numId w:val="17"/>
      </w:numPr>
    </w:pPr>
  </w:style>
  <w:style w:type="paragraph" w:customStyle="1" w:styleId="Level4coluna1">
    <w:name w:val="Level 4 coluna1"/>
    <w:basedOn w:val="Normal"/>
    <w:pPr>
      <w:numPr>
        <w:ilvl w:val="3"/>
        <w:numId w:val="16"/>
      </w:numPr>
    </w:pPr>
  </w:style>
  <w:style w:type="paragraph" w:customStyle="1" w:styleId="Level4coluna2">
    <w:name w:val="Level 4 coluna2"/>
    <w:basedOn w:val="Normal"/>
    <w:pPr>
      <w:numPr>
        <w:ilvl w:val="3"/>
        <w:numId w:val="17"/>
      </w:numPr>
    </w:pPr>
  </w:style>
  <w:style w:type="paragraph" w:customStyle="1" w:styleId="Level5coluna1">
    <w:name w:val="Level 5 coluna1"/>
    <w:basedOn w:val="Normal"/>
    <w:pPr>
      <w:numPr>
        <w:ilvl w:val="4"/>
        <w:numId w:val="16"/>
      </w:numPr>
    </w:pPr>
  </w:style>
  <w:style w:type="paragraph" w:customStyle="1" w:styleId="Level5coluna2">
    <w:name w:val="Level 5 coluna2"/>
    <w:basedOn w:val="Normal"/>
    <w:pPr>
      <w:numPr>
        <w:ilvl w:val="4"/>
        <w:numId w:val="17"/>
      </w:numPr>
    </w:pPr>
  </w:style>
  <w:style w:type="paragraph" w:customStyle="1" w:styleId="Level6coluna1">
    <w:name w:val="Level 6 coluna1"/>
    <w:basedOn w:val="Normal"/>
    <w:pPr>
      <w:numPr>
        <w:ilvl w:val="5"/>
        <w:numId w:val="16"/>
      </w:numPr>
    </w:pPr>
  </w:style>
  <w:style w:type="paragraph" w:customStyle="1" w:styleId="Level6coluna2">
    <w:name w:val="Level 6 coluna2"/>
    <w:basedOn w:val="Normal"/>
    <w:pPr>
      <w:numPr>
        <w:ilvl w:val="5"/>
        <w:numId w:val="17"/>
      </w:numPr>
    </w:pPr>
  </w:style>
  <w:style w:type="paragraph" w:customStyle="1" w:styleId="Marcador1">
    <w:name w:val="Marcador(1)"/>
    <w:basedOn w:val="Normal"/>
    <w:qFormat/>
    <w:pPr>
      <w:numPr>
        <w:numId w:val="18"/>
      </w:numPr>
    </w:pPr>
  </w:style>
  <w:style w:type="paragraph" w:customStyle="1" w:styleId="MarcadorA">
    <w:name w:val="Marcador(A)"/>
    <w:basedOn w:val="Normal"/>
    <w:qFormat/>
    <w:pPr>
      <w:numPr>
        <w:numId w:val="19"/>
      </w:numPr>
    </w:pPr>
  </w:style>
  <w:style w:type="paragraph" w:customStyle="1" w:styleId="Marcador11">
    <w:name w:val="Marcador(1)1"/>
    <w:basedOn w:val="Normal"/>
    <w:qFormat/>
    <w:pPr>
      <w:numPr>
        <w:numId w:val="20"/>
      </w:numPr>
    </w:pPr>
  </w:style>
  <w:style w:type="paragraph" w:customStyle="1" w:styleId="MarcadorA1">
    <w:name w:val="Marcador(A)1"/>
    <w:basedOn w:val="Normal"/>
    <w:qFormat/>
    <w:pPr>
      <w:numPr>
        <w:numId w:val="21"/>
      </w:numPr>
    </w:pPr>
  </w:style>
  <w:style w:type="paragraph" w:customStyle="1" w:styleId="Contratos1ClausulasArtigos">
    <w:name w:val="Contratos 1_ClausulasArtigos"/>
    <w:basedOn w:val="Normal"/>
    <w:qFormat/>
    <w:pPr>
      <w:numPr>
        <w:numId w:val="22"/>
      </w:numPr>
    </w:pPr>
    <w:rPr>
      <w:szCs w:val="24"/>
    </w:rPr>
  </w:style>
  <w:style w:type="paragraph" w:customStyle="1" w:styleId="Contratos2pargrafos">
    <w:name w:val="Contratos 2_parágrafos"/>
    <w:basedOn w:val="Normal"/>
    <w:qFormat/>
    <w:pPr>
      <w:numPr>
        <w:ilvl w:val="1"/>
        <w:numId w:val="22"/>
      </w:numPr>
    </w:pPr>
    <w:rPr>
      <w:szCs w:val="24"/>
    </w:rPr>
  </w:style>
  <w:style w:type="paragraph" w:customStyle="1" w:styleId="Contratos3i">
    <w:name w:val="Contratos 3_(i)"/>
    <w:basedOn w:val="Normal"/>
    <w:qFormat/>
    <w:pPr>
      <w:numPr>
        <w:ilvl w:val="2"/>
        <w:numId w:val="22"/>
      </w:numPr>
    </w:pPr>
    <w:rPr>
      <w:szCs w:val="24"/>
    </w:rPr>
  </w:style>
  <w:style w:type="paragraph" w:customStyle="1" w:styleId="Contratospargrafonico">
    <w:name w:val="Contratos_parágrafo único"/>
    <w:basedOn w:val="Normal"/>
    <w:link w:val="ContratospargrafonicoChar"/>
    <w:qFormat/>
    <w:pPr>
      <w:ind w:left="680"/>
    </w:pPr>
    <w:rPr>
      <w:kern w:val="20"/>
      <w:szCs w:val="24"/>
    </w:rPr>
  </w:style>
  <w:style w:type="character" w:customStyle="1" w:styleId="ContratospargrafonicoChar">
    <w:name w:val="Contratos_parágrafo único Char"/>
    <w:link w:val="Contratospargrafonico"/>
    <w:rPr>
      <w:rFonts w:ascii="Arial" w:eastAsia="Times New Roman" w:hAnsi="Arial"/>
      <w:kern w:val="20"/>
      <w:szCs w:val="24"/>
      <w:lang w:val="pt-BR"/>
    </w:rPr>
  </w:style>
  <w:style w:type="paragraph" w:customStyle="1" w:styleId="BRMALLS-NORMAL">
    <w:name w:val="(BR MALLS - NORMAL)"/>
    <w:basedOn w:val="Normal"/>
    <w:qFormat/>
    <w:pPr>
      <w:suppressAutoHyphens/>
      <w:autoSpaceDE w:val="0"/>
      <w:adjustRightInd w:val="0"/>
      <w:spacing w:line="300" w:lineRule="exact"/>
    </w:pPr>
    <w:rPr>
      <w:rFonts w:eastAsia="MS Mincho" w:cs="Arial"/>
      <w:lang w:eastAsia="ar-SA"/>
    </w:rPr>
  </w:style>
  <w:style w:type="paragraph" w:customStyle="1" w:styleId="Parties">
    <w:name w:val="Parties"/>
    <w:basedOn w:val="Normal"/>
    <w:qFormat/>
    <w:pPr>
      <w:tabs>
        <w:tab w:val="num" w:pos="680"/>
      </w:tabs>
      <w:ind w:left="680" w:hanging="680"/>
    </w:pPr>
  </w:style>
  <w:style w:type="paragraph" w:customStyle="1" w:styleId="Recitals">
    <w:name w:val="Recitals"/>
    <w:basedOn w:val="Normal"/>
    <w:qFormat/>
    <w:pPr>
      <w:tabs>
        <w:tab w:val="num" w:pos="680"/>
      </w:tabs>
      <w:ind w:left="680" w:hanging="680"/>
    </w:pPr>
  </w:style>
  <w:style w:type="paragraph" w:customStyle="1" w:styleId="Partiesrplica">
    <w:name w:val="Parties (réplica)"/>
    <w:basedOn w:val="Normal"/>
    <w:qFormat/>
    <w:pPr>
      <w:tabs>
        <w:tab w:val="num" w:pos="680"/>
      </w:tabs>
      <w:ind w:left="680" w:hanging="680"/>
    </w:pPr>
  </w:style>
  <w:style w:type="paragraph" w:customStyle="1" w:styleId="Recitalsrplica">
    <w:name w:val="Recitals (réplica)"/>
    <w:basedOn w:val="Normal"/>
    <w:qFormat/>
    <w:pPr>
      <w:tabs>
        <w:tab w:val="num" w:pos="680"/>
      </w:tabs>
      <w:ind w:left="680" w:hanging="680"/>
    </w:pPr>
  </w:style>
  <w:style w:type="character" w:styleId="nfase">
    <w:name w:val="Emphasis"/>
    <w:qFormat/>
    <w:rPr>
      <w:i/>
      <w:iCs/>
    </w:rPr>
  </w:style>
  <w:style w:type="character" w:styleId="nfaseIntensa">
    <w:name w:val="Intense Emphasis"/>
    <w:uiPriority w:val="21"/>
    <w:qFormat/>
    <w:rPr>
      <w:b/>
      <w:bCs/>
      <w:i/>
      <w:iCs/>
      <w:color w:val="4F81BD"/>
    </w:rPr>
  </w:style>
  <w:style w:type="paragraph" w:customStyle="1" w:styleId="Body1">
    <w:name w:val="Body 1"/>
    <w:basedOn w:val="Normal"/>
    <w:next w:val="Body"/>
    <w:rPr>
      <w:rFonts w:cs="Arial"/>
    </w:rPr>
  </w:style>
  <w:style w:type="paragraph" w:customStyle="1" w:styleId="Body3">
    <w:name w:val="Body 3"/>
    <w:basedOn w:val="Normal"/>
    <w:next w:val="Body"/>
    <w:rPr>
      <w:rFonts w:cs="Arial"/>
    </w:rPr>
  </w:style>
  <w:style w:type="paragraph" w:customStyle="1" w:styleId="Body4">
    <w:name w:val="Body 4"/>
    <w:basedOn w:val="Normal"/>
    <w:next w:val="Body"/>
    <w:rPr>
      <w:rFonts w:cs="Arial"/>
    </w:rPr>
  </w:style>
  <w:style w:type="paragraph" w:customStyle="1" w:styleId="Body5">
    <w:name w:val="Body 5"/>
    <w:basedOn w:val="Normal"/>
    <w:next w:val="Body"/>
    <w:rPr>
      <w:rFonts w:cs="Arial"/>
    </w:rPr>
  </w:style>
  <w:style w:type="paragraph" w:customStyle="1" w:styleId="TabBody">
    <w:name w:val="TabBody"/>
    <w:basedOn w:val="Normal"/>
    <w:qFormat/>
    <w:pPr>
      <w:spacing w:before="60" w:after="60" w:line="240" w:lineRule="exact"/>
    </w:pPr>
    <w:rPr>
      <w:rFonts w:cs="Arial"/>
      <w:sz w:val="18"/>
      <w:szCs w:val="18"/>
    </w:rPr>
  </w:style>
  <w:style w:type="paragraph" w:customStyle="1" w:styleId="TabBullet1">
    <w:name w:val="TabBullet1"/>
    <w:basedOn w:val="Normal"/>
    <w:qFormat/>
    <w:pPr>
      <w:numPr>
        <w:numId w:val="23"/>
      </w:numPr>
      <w:spacing w:before="60" w:after="60" w:line="240" w:lineRule="exact"/>
    </w:pPr>
    <w:rPr>
      <w:sz w:val="18"/>
      <w:szCs w:val="18"/>
    </w:rPr>
  </w:style>
  <w:style w:type="paragraph" w:customStyle="1" w:styleId="TabHeading">
    <w:name w:val="TabHeading"/>
    <w:basedOn w:val="Normal"/>
    <w:qFormat/>
    <w:pPr>
      <w:spacing w:before="60" w:after="60" w:line="240" w:lineRule="exact"/>
    </w:pPr>
    <w:rPr>
      <w:b/>
      <w:sz w:val="18"/>
    </w:rPr>
  </w:style>
  <w:style w:type="paragraph" w:customStyle="1" w:styleId="TabList1">
    <w:name w:val="TabList1"/>
    <w:basedOn w:val="Normal"/>
    <w:qFormat/>
    <w:pPr>
      <w:numPr>
        <w:numId w:val="24"/>
      </w:numPr>
      <w:tabs>
        <w:tab w:val="left" w:pos="397"/>
      </w:tabs>
      <w:spacing w:before="60" w:after="60" w:line="240" w:lineRule="exact"/>
    </w:pPr>
    <w:rPr>
      <w:sz w:val="18"/>
    </w:rPr>
  </w:style>
  <w:style w:type="paragraph" w:customStyle="1" w:styleId="FootnoteTextcont">
    <w:name w:val="Footnote Text cont"/>
    <w:basedOn w:val="Normal"/>
    <w:pPr>
      <w:spacing w:after="0"/>
      <w:ind w:left="227"/>
    </w:pPr>
    <w:rPr>
      <w:sz w:val="16"/>
    </w:rPr>
  </w:style>
  <w:style w:type="paragraph" w:customStyle="1" w:styleId="Estilo1">
    <w:name w:val="Estilo1"/>
    <w:basedOn w:val="Normal"/>
    <w:pPr>
      <w:widowControl w:val="0"/>
      <w:autoSpaceDE w:val="0"/>
      <w:autoSpaceDN w:val="0"/>
      <w:adjustRightInd w:val="0"/>
      <w:jc w:val="center"/>
    </w:pPr>
    <w:rPr>
      <w:rFonts w:ascii="Tahoma" w:hAnsi="Tahoma" w:cs="Tahoma"/>
      <w:b/>
      <w:bCs/>
    </w:rPr>
  </w:style>
  <w:style w:type="paragraph" w:styleId="Corpodetexto2">
    <w:name w:val="Body Text 2"/>
    <w:basedOn w:val="Normal"/>
    <w:link w:val="Corpodetexto2Char"/>
    <w:pPr>
      <w:spacing w:after="120" w:line="480" w:lineRule="auto"/>
    </w:pPr>
  </w:style>
  <w:style w:type="character" w:customStyle="1" w:styleId="Corpodetexto2Char">
    <w:name w:val="Corpo de texto 2 Char"/>
    <w:link w:val="Corpodetexto2"/>
    <w:rPr>
      <w:rFonts w:ascii="Arial" w:eastAsia="Calibri" w:hAnsi="Arial"/>
      <w:lang w:val="en-GB" w:eastAsia="en-GB"/>
    </w:rPr>
  </w:style>
  <w:style w:type="paragraph" w:customStyle="1" w:styleId="GAFISA-NORMAL">
    <w:name w:val="GAFISA - NORMAL"/>
    <w:basedOn w:val="Normal"/>
    <w:pPr>
      <w:widowControl w:val="0"/>
      <w:autoSpaceDE w:val="0"/>
      <w:autoSpaceDN w:val="0"/>
      <w:adjustRightInd w:val="0"/>
      <w:spacing w:line="300" w:lineRule="exact"/>
    </w:pPr>
    <w:rPr>
      <w:rFonts w:ascii="Calibri" w:hAnsi="Calibri" w:cs="Calibri"/>
      <w:color w:val="000000"/>
    </w:rPr>
  </w:style>
  <w:style w:type="paragraph" w:customStyle="1" w:styleId="GAFISA-2">
    <w:name w:val="GAFISA - 2"/>
    <w:basedOn w:val="Normal"/>
    <w:pPr>
      <w:keepNext/>
      <w:widowControl w:val="0"/>
      <w:autoSpaceDE w:val="0"/>
      <w:autoSpaceDN w:val="0"/>
      <w:adjustRightInd w:val="0"/>
      <w:spacing w:before="400" w:line="300" w:lineRule="exact"/>
      <w:outlineLvl w:val="1"/>
    </w:pPr>
    <w:rPr>
      <w:rFonts w:ascii="Calibri" w:hAnsi="Calibri" w:cs="Calibri"/>
      <w:b/>
      <w:bCs/>
      <w:smallCaps/>
    </w:rPr>
  </w:style>
  <w:style w:type="paragraph" w:customStyle="1" w:styleId="GAFISA-3">
    <w:name w:val="GAFISA - 3"/>
    <w:basedOn w:val="Normal"/>
    <w:pPr>
      <w:keepNext/>
      <w:widowControl w:val="0"/>
      <w:autoSpaceDE w:val="0"/>
      <w:autoSpaceDN w:val="0"/>
      <w:adjustRightInd w:val="0"/>
      <w:spacing w:line="300" w:lineRule="exact"/>
      <w:outlineLvl w:val="1"/>
    </w:pPr>
    <w:rPr>
      <w:rFonts w:ascii="Calibri" w:hAnsi="Calibri" w:cs="Calibri"/>
      <w:b/>
      <w:bCs/>
      <w:i/>
      <w:iCs/>
    </w:rPr>
  </w:style>
  <w:style w:type="paragraph" w:customStyle="1" w:styleId="FootnoteText2">
    <w:name w:val="Footnote Text 2"/>
    <w:basedOn w:val="Textodenotaderodap"/>
    <w:link w:val="FootnoteText2Char"/>
    <w:qFormat/>
    <w:pPr>
      <w:ind w:firstLine="0"/>
    </w:pPr>
    <w:rPr>
      <w:rFonts w:cs="Arial"/>
    </w:rPr>
  </w:style>
  <w:style w:type="character" w:customStyle="1" w:styleId="FootnoteText2Char">
    <w:name w:val="Footnote Text 2 Char"/>
    <w:link w:val="FootnoteText2"/>
    <w:rPr>
      <w:rFonts w:ascii="Arial" w:eastAsia="Calibri" w:hAnsi="Arial" w:cs="Arial"/>
      <w:sz w:val="16"/>
      <w:lang w:val="en-GB" w:eastAsia="en-GB"/>
    </w:rPr>
  </w:style>
  <w:style w:type="paragraph" w:styleId="Commarcadores">
    <w:name w:val="List Bullet"/>
    <w:basedOn w:val="Normal"/>
    <w:unhideWhenUsed/>
    <w:pPr>
      <w:numPr>
        <w:numId w:val="25"/>
      </w:numPr>
      <w:contextualSpacing/>
    </w:pPr>
  </w:style>
  <w:style w:type="character" w:customStyle="1" w:styleId="label">
    <w:name w:val="label"/>
    <w:basedOn w:val="Fontepargpadro"/>
  </w:style>
  <w:style w:type="character" w:customStyle="1" w:styleId="sembordaesquerda">
    <w:name w:val="sembordaesquerda"/>
    <w:basedOn w:val="Fontepargpadro"/>
  </w:style>
  <w:style w:type="character" w:customStyle="1" w:styleId="innerwrap">
    <w:name w:val="innerwrap"/>
    <w:basedOn w:val="Fontepargpadro"/>
  </w:style>
  <w:style w:type="paragraph" w:customStyle="1" w:styleId="ENERGISA-CORPODETEXTO">
    <w:name w:val="ENERGISA - CORPO DE TEXTO"/>
    <w:basedOn w:val="Ttulo"/>
    <w:qFormat/>
    <w:pPr>
      <w:spacing w:after="200" w:line="240" w:lineRule="exact"/>
      <w:contextualSpacing w:val="0"/>
      <w:outlineLvl w:val="0"/>
    </w:pPr>
    <w:rPr>
      <w:rFonts w:ascii="Arial" w:eastAsia="Times New Roman" w:hAnsi="Arial" w:cs="Arial"/>
      <w:bCs/>
      <w:spacing w:val="0"/>
      <w:sz w:val="20"/>
      <w:szCs w:val="24"/>
      <w:lang w:val="pt-BR" w:eastAsia="en-GB"/>
    </w:rPr>
  </w:style>
  <w:style w:type="paragraph" w:styleId="Ttulo">
    <w:name w:val="Title"/>
    <w:basedOn w:val="Normal"/>
    <w:next w:val="Normal"/>
    <w:link w:val="TtuloChar"/>
    <w:qFormat/>
    <w:pPr>
      <w:spacing w:after="0"/>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rPr>
      <w:rFonts w:asciiTheme="majorHAnsi" w:eastAsiaTheme="majorEastAsia" w:hAnsiTheme="majorHAnsi" w:cstheme="majorBidi"/>
      <w:spacing w:val="-10"/>
      <w:kern w:val="28"/>
      <w:sz w:val="56"/>
      <w:szCs w:val="56"/>
      <w:lang w:val="en-US" w:eastAsia="en-US"/>
    </w:rPr>
  </w:style>
  <w:style w:type="paragraph" w:customStyle="1" w:styleId="BodyLeft">
    <w:name w:val="Body Left"/>
    <w:aliases w:val="BL"/>
    <w:pPr>
      <w:keepNext/>
      <w:spacing w:before="240"/>
      <w:jc w:val="both"/>
    </w:pPr>
    <w:rPr>
      <w:rFonts w:ascii="Arial" w:eastAsia="ヒラギノ角ゴ Pro W3" w:hAnsi="Arial"/>
      <w:color w:val="000000"/>
      <w:sz w:val="16"/>
      <w:lang w:val="en-US"/>
    </w:rPr>
  </w:style>
  <w:style w:type="paragraph" w:customStyle="1" w:styleId="ListaColorida-nfase11">
    <w:name w:val="Lista Colorida - Ênfase 11"/>
    <w:basedOn w:val="Normal"/>
    <w:uiPriority w:val="34"/>
    <w:qFormat/>
    <w:pPr>
      <w:spacing w:line="276" w:lineRule="auto"/>
      <w:ind w:left="720"/>
      <w:contextualSpacing/>
      <w:jc w:val="left"/>
    </w:pPr>
    <w:rPr>
      <w:rFonts w:ascii="Calibri" w:eastAsia="Calibri" w:hAnsi="Calibri"/>
      <w:sz w:val="22"/>
      <w:szCs w:val="22"/>
    </w:rPr>
  </w:style>
  <w:style w:type="paragraph" w:customStyle="1" w:styleId="BasicParagraph">
    <w:name w:val="[Basic Paragraph]"/>
    <w:basedOn w:val="Normal"/>
    <w:uiPriority w:val="99"/>
    <w:pPr>
      <w:widowControl w:val="0"/>
      <w:suppressAutoHyphens/>
      <w:autoSpaceDE w:val="0"/>
      <w:autoSpaceDN w:val="0"/>
      <w:adjustRightInd w:val="0"/>
      <w:spacing w:line="288" w:lineRule="auto"/>
      <w:jc w:val="left"/>
      <w:textAlignment w:val="center"/>
    </w:pPr>
    <w:rPr>
      <w:rFonts w:ascii="MinionPro-Regular" w:eastAsiaTheme="minorEastAsia" w:hAnsi="MinionPro-Regular" w:cs="MinionPro-Regular"/>
      <w:color w:val="000000"/>
      <w:lang w:eastAsia="pt-BR"/>
    </w:rPr>
  </w:style>
  <w:style w:type="character" w:customStyle="1" w:styleId="MenoPendente1">
    <w:name w:val="Menção Pendente1"/>
    <w:basedOn w:val="Fontepargpadro"/>
    <w:uiPriority w:val="99"/>
    <w:semiHidden/>
    <w:unhideWhenUsed/>
    <w:rPr>
      <w:color w:val="605E5C"/>
      <w:shd w:val="clear" w:color="auto" w:fill="E1DFDD"/>
    </w:rPr>
  </w:style>
  <w:style w:type="character" w:customStyle="1" w:styleId="HOMEBRBodyTextChar1">
    <w:name w:val="HOME BR Body Text Char1"/>
    <w:locked/>
    <w:rPr>
      <w:rFonts w:ascii="Arial" w:eastAsia="Times New Roman" w:hAnsi="Arial" w:cs="Times New Roman"/>
      <w:sz w:val="20"/>
      <w:szCs w:val="20"/>
      <w:lang w:val="pt-BR"/>
    </w:rPr>
  </w:style>
  <w:style w:type="paragraph" w:customStyle="1" w:styleId="NoParagraphStyle">
    <w:name w:val="[No Paragraph Style]"/>
    <w:pPr>
      <w:autoSpaceDE w:val="0"/>
      <w:autoSpaceDN w:val="0"/>
      <w:adjustRightInd w:val="0"/>
      <w:spacing w:line="288" w:lineRule="auto"/>
      <w:textAlignment w:val="center"/>
    </w:pPr>
    <w:rPr>
      <w:rFonts w:ascii="MinionPro-Regular" w:eastAsiaTheme="minorHAnsi" w:hAnsi="MinionPro-Regular" w:cs="MinionPro-Regular"/>
      <w:color w:val="000000"/>
      <w:sz w:val="24"/>
      <w:szCs w:val="24"/>
      <w:lang w:val="en-GB" w:eastAsia="en-US"/>
    </w:rPr>
  </w:style>
  <w:style w:type="paragraph" w:styleId="Saudao">
    <w:name w:val="Salutation"/>
    <w:basedOn w:val="Normal"/>
    <w:next w:val="Normal"/>
    <w:link w:val="SaudaoChar"/>
    <w:uiPriority w:val="99"/>
    <w:pPr>
      <w:autoSpaceDE w:val="0"/>
      <w:autoSpaceDN w:val="0"/>
      <w:adjustRightInd w:val="0"/>
      <w:spacing w:after="0"/>
      <w:ind w:firstLine="1440"/>
    </w:pPr>
    <w:rPr>
      <w:rFonts w:ascii="Times New Roman" w:eastAsia="MS Mincho" w:hAnsi="Times New Roman"/>
      <w:sz w:val="24"/>
      <w:szCs w:val="24"/>
      <w:lang w:val="x-none" w:eastAsia="x-none"/>
    </w:rPr>
  </w:style>
  <w:style w:type="character" w:customStyle="1" w:styleId="SaudaoChar">
    <w:name w:val="Saudação Char"/>
    <w:basedOn w:val="Fontepargpadro"/>
    <w:link w:val="Saudao"/>
    <w:uiPriority w:val="99"/>
    <w:rPr>
      <w:sz w:val="24"/>
      <w:szCs w:val="24"/>
      <w:lang w:val="x-none" w:eastAsia="x-none"/>
    </w:rPr>
  </w:style>
  <w:style w:type="paragraph" w:customStyle="1" w:styleId="STDTextoDois-Quatro">
    <w:name w:val="STD Texto Dois-Quatro"/>
    <w:basedOn w:val="Normal"/>
    <w:link w:val="STDTextoDois-QuatroChar"/>
    <w:pPr>
      <w:spacing w:before="240" w:after="0" w:line="240" w:lineRule="exact"/>
      <w:ind w:left="471"/>
    </w:pPr>
    <w:rPr>
      <w:szCs w:val="24"/>
      <w:lang w:val="x-none" w:eastAsia="x-none"/>
    </w:rPr>
  </w:style>
  <w:style w:type="character" w:customStyle="1" w:styleId="STDTextoDois-QuatroChar">
    <w:name w:val="STD Texto Dois-Quatro Char"/>
    <w:link w:val="STDTextoDois-Quatro"/>
    <w:rPr>
      <w:rFonts w:ascii="Arial" w:eastAsia="Times New Roman" w:hAnsi="Arial"/>
      <w:szCs w:val="24"/>
      <w:lang w:val="x-none" w:eastAsia="x-none"/>
    </w:rPr>
  </w:style>
  <w:style w:type="numbering" w:customStyle="1" w:styleId="Estilo2">
    <w:name w:val="Estilo2"/>
    <w:pPr>
      <w:numPr>
        <w:numId w:val="38"/>
      </w:numPr>
    </w:pPr>
  </w:style>
  <w:style w:type="numbering" w:customStyle="1" w:styleId="Estilo4">
    <w:name w:val="Estilo4"/>
    <w:pPr>
      <w:numPr>
        <w:numId w:val="40"/>
      </w:numPr>
    </w:pPr>
  </w:style>
  <w:style w:type="paragraph" w:customStyle="1" w:styleId="TITULO">
    <w:name w:val="TITULO"/>
    <w:basedOn w:val="Normal"/>
    <w:uiPriority w:val="99"/>
    <w:pPr>
      <w:pBdr>
        <w:bottom w:val="single" w:sz="8" w:space="4" w:color="000000"/>
      </w:pBdr>
      <w:suppressAutoHyphens/>
      <w:autoSpaceDE w:val="0"/>
      <w:autoSpaceDN w:val="0"/>
      <w:adjustRightInd w:val="0"/>
      <w:spacing w:after="113" w:line="240" w:lineRule="atLeast"/>
      <w:jc w:val="left"/>
      <w:textAlignment w:val="center"/>
    </w:pPr>
    <w:rPr>
      <w:rFonts w:ascii="TrebuchetMS" w:eastAsia="MS Mincho" w:hAnsi="TrebuchetMS" w:cs="TrebuchetMS"/>
      <w:b/>
      <w:bCs/>
      <w:color w:val="000000"/>
      <w:lang w:val="pt-BR" w:eastAsia="pt-BR"/>
    </w:rPr>
  </w:style>
  <w:style w:type="character" w:styleId="Nmerodepgina">
    <w:name w:val="page number"/>
    <w:basedOn w:val="Fontepargpadro"/>
    <w:semiHidden/>
    <w:unhideWhenUsed/>
  </w:style>
  <w:style w:type="paragraph" w:styleId="Assuntodocomentrio">
    <w:name w:val="annotation subject"/>
    <w:basedOn w:val="Textodecomentrio"/>
    <w:next w:val="Textodecomentrio"/>
    <w:link w:val="AssuntodocomentrioChar"/>
    <w:semiHidden/>
    <w:unhideWhenUsed/>
    <w:rPr>
      <w:b/>
      <w:bCs/>
    </w:rPr>
  </w:style>
  <w:style w:type="character" w:customStyle="1" w:styleId="AssuntodocomentrioChar">
    <w:name w:val="Assunto do comentário Char"/>
    <w:basedOn w:val="TextodecomentrioChar"/>
    <w:link w:val="Assuntodocomentrio"/>
    <w:semiHidden/>
    <w:rPr>
      <w:rFonts w:ascii="Arial" w:eastAsia="Times New Roman" w:hAnsi="Arial"/>
      <w:b/>
      <w:bCs/>
      <w:lang w:val="en-US" w:eastAsia="en-US"/>
    </w:rPr>
  </w:style>
  <w:style w:type="numbering" w:customStyle="1" w:styleId="Estilo15">
    <w:name w:val="Estilo15"/>
    <w:pPr>
      <w:numPr>
        <w:numId w:val="42"/>
      </w:numPr>
    </w:pPr>
  </w:style>
  <w:style w:type="numbering" w:customStyle="1" w:styleId="Estilo3">
    <w:name w:val="Estilo3"/>
    <w:pPr>
      <w:numPr>
        <w:numId w:val="4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350696">
      <w:bodyDiv w:val="1"/>
      <w:marLeft w:val="0"/>
      <w:marRight w:val="0"/>
      <w:marTop w:val="0"/>
      <w:marBottom w:val="0"/>
      <w:divBdr>
        <w:top w:val="none" w:sz="0" w:space="0" w:color="auto"/>
        <w:left w:val="none" w:sz="0" w:space="0" w:color="auto"/>
        <w:bottom w:val="none" w:sz="0" w:space="0" w:color="auto"/>
        <w:right w:val="none" w:sz="0" w:space="0" w:color="auto"/>
      </w:divBdr>
    </w:div>
    <w:div w:id="122508466">
      <w:bodyDiv w:val="1"/>
      <w:marLeft w:val="0"/>
      <w:marRight w:val="0"/>
      <w:marTop w:val="0"/>
      <w:marBottom w:val="0"/>
      <w:divBdr>
        <w:top w:val="none" w:sz="0" w:space="0" w:color="auto"/>
        <w:left w:val="none" w:sz="0" w:space="0" w:color="auto"/>
        <w:bottom w:val="none" w:sz="0" w:space="0" w:color="auto"/>
        <w:right w:val="none" w:sz="0" w:space="0" w:color="auto"/>
      </w:divBdr>
    </w:div>
    <w:div w:id="417334228">
      <w:bodyDiv w:val="1"/>
      <w:marLeft w:val="0"/>
      <w:marRight w:val="0"/>
      <w:marTop w:val="0"/>
      <w:marBottom w:val="0"/>
      <w:divBdr>
        <w:top w:val="none" w:sz="0" w:space="0" w:color="auto"/>
        <w:left w:val="none" w:sz="0" w:space="0" w:color="auto"/>
        <w:bottom w:val="none" w:sz="0" w:space="0" w:color="auto"/>
        <w:right w:val="none" w:sz="0" w:space="0" w:color="auto"/>
      </w:divBdr>
    </w:div>
    <w:div w:id="675888704">
      <w:bodyDiv w:val="1"/>
      <w:marLeft w:val="0"/>
      <w:marRight w:val="0"/>
      <w:marTop w:val="0"/>
      <w:marBottom w:val="0"/>
      <w:divBdr>
        <w:top w:val="none" w:sz="0" w:space="0" w:color="auto"/>
        <w:left w:val="none" w:sz="0" w:space="0" w:color="auto"/>
        <w:bottom w:val="none" w:sz="0" w:space="0" w:color="auto"/>
        <w:right w:val="none" w:sz="0" w:space="0" w:color="auto"/>
      </w:divBdr>
    </w:div>
    <w:div w:id="784933670">
      <w:bodyDiv w:val="1"/>
      <w:marLeft w:val="0"/>
      <w:marRight w:val="0"/>
      <w:marTop w:val="0"/>
      <w:marBottom w:val="0"/>
      <w:divBdr>
        <w:top w:val="none" w:sz="0" w:space="0" w:color="auto"/>
        <w:left w:val="none" w:sz="0" w:space="0" w:color="auto"/>
        <w:bottom w:val="none" w:sz="0" w:space="0" w:color="auto"/>
        <w:right w:val="none" w:sz="0" w:space="0" w:color="auto"/>
      </w:divBdr>
    </w:div>
    <w:div w:id="845948390">
      <w:bodyDiv w:val="1"/>
      <w:marLeft w:val="0"/>
      <w:marRight w:val="0"/>
      <w:marTop w:val="0"/>
      <w:marBottom w:val="0"/>
      <w:divBdr>
        <w:top w:val="none" w:sz="0" w:space="0" w:color="auto"/>
        <w:left w:val="none" w:sz="0" w:space="0" w:color="auto"/>
        <w:bottom w:val="none" w:sz="0" w:space="0" w:color="auto"/>
        <w:right w:val="none" w:sz="0" w:space="0" w:color="auto"/>
      </w:divBdr>
    </w:div>
    <w:div w:id="1159883420">
      <w:bodyDiv w:val="1"/>
      <w:marLeft w:val="0"/>
      <w:marRight w:val="0"/>
      <w:marTop w:val="0"/>
      <w:marBottom w:val="0"/>
      <w:divBdr>
        <w:top w:val="none" w:sz="0" w:space="0" w:color="auto"/>
        <w:left w:val="none" w:sz="0" w:space="0" w:color="auto"/>
        <w:bottom w:val="none" w:sz="0" w:space="0" w:color="auto"/>
        <w:right w:val="none" w:sz="0" w:space="0" w:color="auto"/>
      </w:divBdr>
    </w:div>
    <w:div w:id="1267084110">
      <w:bodyDiv w:val="1"/>
      <w:marLeft w:val="0"/>
      <w:marRight w:val="0"/>
      <w:marTop w:val="0"/>
      <w:marBottom w:val="0"/>
      <w:divBdr>
        <w:top w:val="none" w:sz="0" w:space="0" w:color="auto"/>
        <w:left w:val="none" w:sz="0" w:space="0" w:color="auto"/>
        <w:bottom w:val="none" w:sz="0" w:space="0" w:color="auto"/>
        <w:right w:val="none" w:sz="0" w:space="0" w:color="auto"/>
      </w:divBdr>
    </w:div>
    <w:div w:id="1398280113">
      <w:bodyDiv w:val="1"/>
      <w:marLeft w:val="0"/>
      <w:marRight w:val="0"/>
      <w:marTop w:val="0"/>
      <w:marBottom w:val="0"/>
      <w:divBdr>
        <w:top w:val="none" w:sz="0" w:space="0" w:color="auto"/>
        <w:left w:val="none" w:sz="0" w:space="0" w:color="auto"/>
        <w:bottom w:val="none" w:sz="0" w:space="0" w:color="auto"/>
        <w:right w:val="none" w:sz="0" w:space="0" w:color="auto"/>
      </w:divBdr>
    </w:div>
    <w:div w:id="1557205415">
      <w:bodyDiv w:val="1"/>
      <w:marLeft w:val="0"/>
      <w:marRight w:val="0"/>
      <w:marTop w:val="0"/>
      <w:marBottom w:val="0"/>
      <w:divBdr>
        <w:top w:val="none" w:sz="0" w:space="0" w:color="auto"/>
        <w:left w:val="none" w:sz="0" w:space="0" w:color="auto"/>
        <w:bottom w:val="none" w:sz="0" w:space="0" w:color="auto"/>
        <w:right w:val="none" w:sz="0" w:space="0" w:color="auto"/>
      </w:divBdr>
    </w:div>
    <w:div w:id="1909077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eader" Target="header3.xml"/><Relationship Id="rId26" Type="http://schemas.openxmlformats.org/officeDocument/2006/relationships/hyperlink" Target="http://ri.rumolog.com/" TargetMode="External"/><Relationship Id="rId39" Type="http://schemas.openxmlformats.org/officeDocument/2006/relationships/hyperlink" Target="https://www.bradescobbi.com.br/Site/Ofertas_Publicas/Default.aspx" TargetMode="External"/><Relationship Id="rId3" Type="http://schemas.openxmlformats.org/officeDocument/2006/relationships/customXml" Target="../customXml/item3.xml"/><Relationship Id="rId21" Type="http://schemas.openxmlformats.org/officeDocument/2006/relationships/hyperlink" Target="http://ri.rumolog.com" TargetMode="External"/><Relationship Id="rId34" Type="http://schemas.openxmlformats.org/officeDocument/2006/relationships/hyperlink" Target="https://www.btgpactual.com/home/investment-bank" TargetMode="External"/><Relationship Id="rId42" Type="http://schemas.openxmlformats.org/officeDocument/2006/relationships/hyperlink" Target="https://investimentos.bb.com.br" TargetMode="External"/><Relationship Id="rId47" Type="http://schemas.openxmlformats.org/officeDocument/2006/relationships/hyperlink" Target="mailto:fiduciario@simplificpavarini.com.br" TargetMode="External"/><Relationship Id="rId50"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hyperlink" Target="http://www.cvm.gov.br" TargetMode="External"/><Relationship Id="rId33" Type="http://schemas.openxmlformats.org/officeDocument/2006/relationships/hyperlink" Target="https://www.bradescobbi.com.br/Site/Ofertas_Publicas/Default.aspx" TargetMode="External"/><Relationship Id="rId38" Type="http://schemas.openxmlformats.org/officeDocument/2006/relationships/hyperlink" Target="http://rumo.infoinvest.com.br/ptb/ofertas-publicas" TargetMode="External"/><Relationship Id="rId46" Type="http://schemas.openxmlformats.org/officeDocument/2006/relationships/hyperlink" Target="http://www.lefosse.com.br"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ri.rumolog.com" TargetMode="External"/><Relationship Id="rId29" Type="http://schemas.openxmlformats.org/officeDocument/2006/relationships/hyperlink" Target="http://rumo.infoinvest.com.br/ptb/ofertas-publicas" TargetMode="External"/><Relationship Id="rId41" Type="http://schemas.openxmlformats.org/officeDocument/2006/relationships/hyperlink" Target="http://www.cvm.gov.br/" TargetMode="External"/><Relationship Id="rId54"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ri.rumolog.com/" TargetMode="External"/><Relationship Id="rId32" Type="http://schemas.openxmlformats.org/officeDocument/2006/relationships/hyperlink" Target="http://rumo.infoinvest.com.br/ptb/ofertas-publicas" TargetMode="External"/><Relationship Id="rId37" Type="http://schemas.openxmlformats.org/officeDocument/2006/relationships/image" Target="media/image4.png"/><Relationship Id="rId40" Type="http://schemas.openxmlformats.org/officeDocument/2006/relationships/hyperlink" Target="https://www.btgpactual.com/home/investment-bank" TargetMode="External"/><Relationship Id="rId45" Type="http://schemas.openxmlformats.org/officeDocument/2006/relationships/hyperlink" Target="http://www.pinheironeto.com.br" TargetMode="Externa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www.cvm.gov.br" TargetMode="External"/><Relationship Id="rId28" Type="http://schemas.openxmlformats.org/officeDocument/2006/relationships/hyperlink" Target="https://www.btgpactual.com/home/investment-bank" TargetMode="External"/><Relationship Id="rId36" Type="http://schemas.openxmlformats.org/officeDocument/2006/relationships/image" Target="media/image3.emf"/><Relationship Id="rId49" Type="http://schemas.openxmlformats.org/officeDocument/2006/relationships/footer" Target="footer4.xml"/><Relationship Id="rId10" Type="http://schemas.openxmlformats.org/officeDocument/2006/relationships/webSettings" Target="webSettings.xml"/><Relationship Id="rId19" Type="http://schemas.openxmlformats.org/officeDocument/2006/relationships/footer" Target="footer3.xml"/><Relationship Id="rId31" Type="http://schemas.openxmlformats.org/officeDocument/2006/relationships/hyperlink" Target="https://www.btgpactual.com/home/investment-bank" TargetMode="External"/><Relationship Id="rId44" Type="http://schemas.openxmlformats.org/officeDocument/2006/relationships/hyperlink" Target="http://www.btgpactual.com.br"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yperlink" Target="http://ri.rumolog.com/" TargetMode="External"/><Relationship Id="rId27" Type="http://schemas.openxmlformats.org/officeDocument/2006/relationships/hyperlink" Target="https://www.bradescobbi.com.br/Site/Ofertas_Publicas/Default.aspx" TargetMode="External"/><Relationship Id="rId30" Type="http://schemas.openxmlformats.org/officeDocument/2006/relationships/hyperlink" Target="https://www.bradescobbi.com.br/Site/Ofertas_Publicas/Default.aspx" TargetMode="External"/><Relationship Id="rId35" Type="http://schemas.openxmlformats.org/officeDocument/2006/relationships/image" Target="media/image2.wmf"/><Relationship Id="rId43" Type="http://schemas.openxmlformats.org/officeDocument/2006/relationships/hyperlink" Target="http://www.bradescobbi.com.br" TargetMode="External"/><Relationship Id="rId48" Type="http://schemas.openxmlformats.org/officeDocument/2006/relationships/hyperlink" Target="mailto:4010.mpoli@bradesco.com.br" TargetMode="External"/><Relationship Id="rId8" Type="http://schemas.openxmlformats.org/officeDocument/2006/relationships/styles" Target="styles.xml"/><Relationship Id="rId51"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P:\2017\FP-01953%20Energisa%20%20Deb&#234;ntures\Template\Home%20BR%20-%20Arial.dotm"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Receiver>
    <Name>Policy Label Generator</Name>
    <Synchronization>Synchronous</Synchronization>
    <Type>10001</Type>
    <SequenceNumber>1000</SequenceNumber>
    <Url/>
    <Assembly>Microsoft.Office.Policy, Version=15.0.0.0, Culture=neutral, PublicKeyToken=71e9bce111e9429c</Assembly>
    <Class>Microsoft.Office.RecordsManagement.Internal.LabelHandler</Class>
    <Data/>
    <Filter/>
  </Receiver>
  <Receiver>
    <Name>Policy Label Generator</Name>
    <Synchronization>Synchronous</Synchronization>
    <Type>10002</Type>
    <SequenceNumber>1001</SequenceNumber>
    <Url/>
    <Assembly>Microsoft.Office.Policy, Version=15.0.0.0, Culture=neutral, PublicKeyToken=71e9bce111e9429c</Assembly>
    <Class>Microsoft.Office.RecordsManagement.Internal.LabelHandler</Class>
    <Data/>
    <Filter/>
  </Receiver>
  <Receiver>
    <Name>Policy Label Generator</Name>
    <Synchronization>Synchronous</Synchronization>
    <Type>10004</Type>
    <SequenceNumber>1002</SequenceNumber>
    <Url/>
    <Assembly>Microsoft.Office.Policy, Version=15.0.0.0, Culture=neutral, PublicKeyToken=71e9bce111e9429c</Assembly>
    <Class>Microsoft.Office.RecordsManagement.Internal.LabelHandler</Class>
    <Data/>
    <Filter/>
  </Receiver>
  <Receiver>
    <Name>Policy Label Generator</Name>
    <Synchronization>Synchronous</Synchronization>
    <Type>10006</Type>
    <SequenceNumber>1003</SequenceNumber>
    <Url/>
    <Assembly>Microsoft.Office.Policy, Version=15.0.0.0, Culture=neutral, PublicKeyToken=71e9bce111e9429c</Assembly>
    <Class>Microsoft.Office.RecordsManagement.Internal.LabelHandler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CodigoSegmento xmlns="e63af235-6539-4873-9a74-7e32b5cc1aee" xsi:nil="true"/>
    <Area xmlns="e63af235-6539-4873-9a74-7e32b5cc1aee" xsi:nil="true"/>
    <LikesCount xmlns="http://schemas.microsoft.com/sharepoint/v3" xsi:nil="true"/>
    <TaxCatchAll xmlns="e63af235-6539-4873-9a74-7e32b5cc1aee"/>
    <dbf937180b994812b3835ec56ddaea5f xmlns="e63af235-6539-4873-9a74-7e32b5cc1aee">
      <Terms xmlns="http://schemas.microsoft.com/office/infopath/2007/PartnerControls"/>
    </dbf937180b994812b3835ec56ddaea5f>
    <o47f90c374aa42598c104dd08549f2b5 xmlns="e63af235-6539-4873-9a74-7e32b5cc1aee">
      <Terms xmlns="http://schemas.microsoft.com/office/infopath/2007/PartnerControls"/>
    </o47f90c374aa42598c104dd08549f2b5>
    <TipoDocumento xmlns="e63af235-6539-4873-9a74-7e32b5cc1aee" xsi:nil="true"/>
    <IDUnico xmlns="e63af235-6539-4873-9a74-7e32b5cc1aee">LDOC-3-228572</IDUnico>
    <Ratings xmlns="http://schemas.microsoft.com/sharepoint/v3" xsi:nil="true"/>
    <DLCPolicyLabelClientValue xmlns="e63af235-6539-4873-9a74-7e32b5cc1aee">LDOC-3-228572/0.1</DLCPolicyLabelClientValue>
    <d47f3fc68dc1429b8573eb2634792044 xmlns="e63af235-6539-4873-9a74-7e32b5cc1aee">
      <Terms xmlns="http://schemas.microsoft.com/office/infopath/2007/PartnerControls"/>
    </d47f3fc68dc1429b8573eb2634792044>
    <MatterAtivo xmlns="e63af235-6539-4873-9a74-7e32b5cc1aee">true</MatterAtivo>
    <LikedBy xmlns="http://schemas.microsoft.com/sharepoint/v3">
      <UserInfo>
        <DisplayName/>
        <AccountId xsi:nil="true"/>
        <AccountType/>
      </UserInfo>
    </LikedBy>
    <IdiomaDocumento xmlns="e63af235-6539-4873-9a74-7e32b5cc1aee">Português</IdiomaDocumento>
    <Observacao xmlns="e63af235-6539-4873-9a74-7e32b5cc1aee" xsi:nil="true"/>
    <MatterManager xmlns="e63af235-6539-4873-9a74-7e32b5cc1aee">
      <UserInfo>
        <DisplayName/>
        <AccountId xsi:nil="true"/>
        <AccountType/>
      </UserInfo>
    </MatterManager>
    <StatusDocumento xmlns="e63af235-6539-4873-9a74-7e32b5cc1aee">Não Iniciada</StatusDocumento>
    <BillingPartner xmlns="e63af235-6539-4873-9a74-7e32b5cc1aee">
      <UserInfo>
        <DisplayName/>
        <AccountId xsi:nil="true"/>
        <AccountType/>
      </UserInfo>
    </BillingPartner>
    <DLCPolicyLabelLock xmlns="e63af235-6539-4873-9a74-7e32b5cc1aee" xsi:nil="true"/>
    <VersaoDocumento xmlns="e63af235-6539-4873-9a74-7e32b5cc1aee">0.1</VersaoDocumento>
    <Setor xmlns="e63af235-6539-4873-9a74-7e32b5cc1aee" xsi:nil="true"/>
    <Codigo xmlns="e63af235-6539-4873-9a74-7e32b5cc1aee" xsi:nil="true"/>
    <Knowhow xmlns="e63af235-6539-4873-9a74-7e32b5cc1aee">false</Knowhow>
    <NumeroDocExplorer xmlns="e63af235-6539-4873-9a74-7e32b5cc1aee" xsi:nil="true"/>
    <RatedBy xmlns="http://schemas.microsoft.com/sharepoint/v3">
      <UserInfo>
        <DisplayName/>
        <AccountId xsi:nil="true"/>
        <AccountType/>
      </UserInfo>
    </RatedBy>
  </documentManagement>
</p:properties>
</file>

<file path=customXml/item3.xml><?xml version="1.0" encoding="utf-8"?>
<ct:contentTypeSchema xmlns:ct="http://schemas.microsoft.com/office/2006/metadata/contentType" xmlns:ma="http://schemas.microsoft.com/office/2006/metadata/properties/metaAttributes" ct:_="" ma:_="" ma:contentTypeName="Documento Lefosse" ma:contentTypeID="0x0101006EF17356CF70944FBC2751F899F610F400F0B6EB119FFDF04E826FAC6AE872118A" ma:contentTypeVersion="33" ma:contentTypeDescription="" ma:contentTypeScope="" ma:versionID="8ebf9fd9ff4ea5aeb46b541978bfed89">
  <xsd:schema xmlns:xsd="http://www.w3.org/2001/XMLSchema" xmlns:xs="http://www.w3.org/2001/XMLSchema" xmlns:p="http://schemas.microsoft.com/office/2006/metadata/properties" xmlns:ns1="http://schemas.microsoft.com/sharepoint/v3" xmlns:ns2="e63af235-6539-4873-9a74-7e32b5cc1aee" targetNamespace="http://schemas.microsoft.com/office/2006/metadata/properties" ma:root="true" ma:fieldsID="cc2d8a8717d20b9f1f27da17c35b551a" ns1:_="" ns2:_="">
    <xsd:import namespace="http://schemas.microsoft.com/sharepoint/v3"/>
    <xsd:import namespace="e63af235-6539-4873-9a74-7e32b5cc1aee"/>
    <xsd:element name="properties">
      <xsd:complexType>
        <xsd:sequence>
          <xsd:element name="documentManagement">
            <xsd:complexType>
              <xsd:all>
                <xsd:element ref="ns2:_dlc_DocId" minOccurs="0"/>
                <xsd:element ref="ns2:_dlc_DocIdUrl" minOccurs="0"/>
                <xsd:element ref="ns2:_dlc_DocIdPersistId" minOccurs="0"/>
                <xsd:element ref="ns2:Area" minOccurs="0"/>
                <xsd:element ref="ns2:o47f90c374aa42598c104dd08549f2b5" minOccurs="0"/>
                <xsd:element ref="ns2:TaxCatchAll" minOccurs="0"/>
                <xsd:element ref="ns2:TaxCatchAllLabel" minOccurs="0"/>
                <xsd:element ref="ns2:IDUnico" minOccurs="0"/>
                <xsd:element ref="ns2:IdiomaDocumento" minOccurs="0"/>
                <xsd:element ref="ns2:dbf937180b994812b3835ec56ddaea5f" minOccurs="0"/>
                <xsd:element ref="ns2:Knowhow" minOccurs="0"/>
                <xsd:element ref="ns2:NumeroDocExplorer" minOccurs="0"/>
                <xsd:element ref="ns2:Observacao" minOccurs="0"/>
                <xsd:element ref="ns2:Setor" minOccurs="0"/>
                <xsd:element ref="ns2:StatusDocumento" minOccurs="0"/>
                <xsd:element ref="ns2:TipoDocumento" minOccurs="0"/>
                <xsd:element ref="ns2:VersaoDocumento" minOccurs="0"/>
                <xsd:element ref="ns1:_dlc_Exempt" minOccurs="0"/>
                <xsd:element ref="ns2:DLCPolicyLabelValue" minOccurs="0"/>
                <xsd:element ref="ns2:DLCPolicyLabelClientValue" minOccurs="0"/>
                <xsd:element ref="ns2:DLCPolicyLabelLock" minOccurs="0"/>
                <xsd:element ref="ns2:CodigoSegmento" minOccurs="0"/>
                <xsd:element ref="ns2:MatterManager" minOccurs="0"/>
                <xsd:element ref="ns2:d47f3fc68dc1429b8573eb2634792044" minOccurs="0"/>
                <xsd:element ref="ns2:MatterAtivo" minOccurs="0"/>
                <xsd:element ref="ns2:BillingPartner" minOccurs="0"/>
                <xsd:element ref="ns2:Codigo" minOccurs="0"/>
                <xsd:element ref="ns1:AverageRating" minOccurs="0"/>
                <xsd:element ref="ns1:RatingCount" minOccurs="0"/>
                <xsd:element ref="ns1:RatedBy" minOccurs="0"/>
                <xsd:element ref="ns1:Ratings" minOccurs="0"/>
                <xsd:element ref="ns1:LikesCount" minOccurs="0"/>
                <xsd:element ref="ns1:Liked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7" nillable="true" ma:displayName="Isentar de Política" ma:hidden="true" ma:internalName="_dlc_Exempt" ma:readOnly="true">
      <xsd:simpleType>
        <xsd:restriction base="dms:Unknown"/>
      </xsd:simpleType>
    </xsd:element>
    <xsd:element name="AverageRating" ma:index="40" nillable="true" ma:displayName="Classificação (0-5)" ma:decimals="2" ma:description="Valor médio de todas as classificações enviadas" ma:internalName="AverageRating" ma:readOnly="true">
      <xsd:simpleType>
        <xsd:restriction base="dms:Number"/>
      </xsd:simpleType>
    </xsd:element>
    <xsd:element name="RatingCount" ma:index="41" nillable="true" ma:displayName="Número de Classificações" ma:decimals="0" ma:description="Número de classificações enviadas" ma:internalName="RatingCount" ma:readOnly="true">
      <xsd:simpleType>
        <xsd:restriction base="dms:Number"/>
      </xsd:simpleType>
    </xsd:element>
    <xsd:element name="RatedBy" ma:index="42" nillable="true" ma:displayName="Classificado por" ma:description="Usuários classificaram o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43" nillable="true" ma:displayName="Classificações de usuários" ma:description="Classificações de usuários para o item" ma:hidden="true" ma:internalName="Ratings">
      <xsd:simpleType>
        <xsd:restriction base="dms:Note"/>
      </xsd:simpleType>
    </xsd:element>
    <xsd:element name="LikesCount" ma:index="44" nillable="true" ma:displayName="Número de Ocorrências de Curtir" ma:internalName="LikesCount">
      <xsd:simpleType>
        <xsd:restriction base="dms:Unknown"/>
      </xsd:simpleType>
    </xsd:element>
    <xsd:element name="LikedBy" ma:index="45" nillable="true" ma:displayName="Curtido por"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63af235-6539-4873-9a74-7e32b5cc1aee" elementFormDefault="qualified">
    <xsd:import namespace="http://schemas.microsoft.com/office/2006/documentManagement/types"/>
    <xsd:import namespace="http://schemas.microsoft.com/office/infopath/2007/PartnerControls"/>
    <xsd:element name="_dlc_DocId" ma:index="8" nillable="true" ma:displayName="Valor da ID do Documento" ma:description="O valor da ID do documento atribuída a este item." ma:indexed="true" ma:internalName="_dlc_DocId" ma:readOnly="true">
      <xsd:simpleType>
        <xsd:restriction base="dms:Text"/>
      </xsd:simpleType>
    </xsd:element>
    <xsd:element name="_dlc_DocIdUrl" ma:index="9" nillable="true" ma:displayName="ID do Documento" ma:description="Link permanente par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Area" ma:index="11" nillable="true" ma:displayName="Área" ma:format="Dropdown" ma:internalName="Area" ma:readOnly="false">
      <xsd:simpleType>
        <xsd:restriction base="dms:Choice">
          <xsd:enumeration value="Ambiental"/>
          <xsd:enumeration value="Arquivo BS"/>
          <xsd:enumeration value="Bancário e Financeiro"/>
          <xsd:enumeration value="Concorrencial"/>
          <xsd:enumeration value="Contencioso &amp; Arbitragem"/>
          <xsd:enumeration value="Controladoria BS"/>
          <xsd:enumeration value="DPT BS"/>
          <xsd:enumeration value="Faturamento"/>
          <xsd:enumeration value="Financeiro &amp; Projetos"/>
          <xsd:enumeration value="Fiscal BS"/>
          <xsd:enumeration value="Imobiliário"/>
          <xsd:enumeration value="Informática BS"/>
          <xsd:enumeration value="Jurídico Interno BS"/>
          <xsd:enumeration value="Knowhow &amp; Learning BS"/>
          <xsd:enumeration value="Management BS"/>
          <xsd:enumeration value="Marketing BS"/>
          <xsd:enumeration value="Mercado de Capitais"/>
          <xsd:enumeration value="Operações BS"/>
          <xsd:enumeration value="Private Equity"/>
          <xsd:enumeration value="Projetos Greenfield"/>
          <xsd:enumeration value="Recursos Humanos BS"/>
          <xsd:enumeration value="Reestruturação &amp; Insolvência"/>
          <xsd:enumeration value="Regulatório"/>
          <xsd:enumeration value="Risk &amp; Complice BS"/>
          <xsd:enumeration value="Secretárias BS"/>
          <xsd:enumeration value="Societário e Fusões &amp; Aquisições"/>
          <xsd:enumeration value="Tesouraria"/>
          <xsd:enumeration value="Trabalhista"/>
          <xsd:enumeration value="Tributário"/>
        </xsd:restriction>
      </xsd:simpleType>
    </xsd:element>
    <xsd:element name="o47f90c374aa42598c104dd08549f2b5" ma:index="12" nillable="true" ma:taxonomy="true" ma:internalName="o47f90c374aa42598c104dd08549f2b5" ma:taxonomyFieldName="AutorDocumento" ma:displayName="Autor do Documento" ma:default="" ma:fieldId="{847f90c3-74aa-4259-8c10-4dd08549f2b5}" ma:taxonomyMulti="true" ma:sspId="6357f6dc-1278-47f8-bcba-6ddb309c14e8" ma:termSetId="b169f3f3-29dd-4717-9e57-bad95ccd76fd" ma:anchorId="00000000-0000-0000-0000-000000000000" ma:open="true" ma:isKeyword="false">
      <xsd:complexType>
        <xsd:sequence>
          <xsd:element ref="pc:Terms" minOccurs="0" maxOccurs="1"/>
        </xsd:sequence>
      </xsd:complexType>
    </xsd:element>
    <xsd:element name="TaxCatchAll" ma:index="13" nillable="true" ma:displayName="Taxonomy Catch All Column" ma:hidden="true" ma:list="{f9db36a8-46bf-4d33-9cd6-5839d5a62011}" ma:internalName="TaxCatchAll" ma:showField="CatchAllData" ma:web="e63af235-6539-4873-9a74-7e32b5cc1ae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f9db36a8-46bf-4d33-9cd6-5839d5a62011}" ma:internalName="TaxCatchAllLabel" ma:readOnly="true" ma:showField="CatchAllDataLabel" ma:web="e63af235-6539-4873-9a74-7e32b5cc1aee">
      <xsd:complexType>
        <xsd:complexContent>
          <xsd:extension base="dms:MultiChoiceLookup">
            <xsd:sequence>
              <xsd:element name="Value" type="dms:Lookup" maxOccurs="unbounded" minOccurs="0" nillable="true"/>
            </xsd:sequence>
          </xsd:extension>
        </xsd:complexContent>
      </xsd:complexType>
    </xsd:element>
    <xsd:element name="IDUnico" ma:index="16" nillable="true" ma:displayName="Identificador Único" ma:hidden="true" ma:internalName="IDUnico" ma:readOnly="false">
      <xsd:simpleType>
        <xsd:restriction base="dms:Text">
          <xsd:maxLength value="255"/>
        </xsd:restriction>
      </xsd:simpleType>
    </xsd:element>
    <xsd:element name="IdiomaDocumento" ma:index="17" nillable="true" ma:displayName="Idioma do Documento" ma:default="Português" ma:format="Dropdown" ma:internalName="IdiomaDocumento">
      <xsd:simpleType>
        <xsd:restriction base="dms:Choice">
          <xsd:enumeration value="Português"/>
          <xsd:enumeration value="Inglês"/>
          <xsd:enumeration value="Português/Inglês - Colunado"/>
          <xsd:enumeration value="Francês"/>
          <xsd:enumeration value="Alemão"/>
          <xsd:enumeration value="Italiano"/>
        </xsd:restriction>
      </xsd:simpleType>
    </xsd:element>
    <xsd:element name="dbf937180b994812b3835ec56ddaea5f" ma:index="18" nillable="true" ma:taxonomy="true" ma:internalName="dbf937180b994812b3835ec56ddaea5f" ma:taxonomyFieldName="Keywords1" ma:displayName="Keywords" ma:default="" ma:fieldId="{dbf93718-0b99-4812-b383-5ec56ddaea5f}" ma:sspId="6357f6dc-1278-47f8-bcba-6ddb309c14e8" ma:termSetId="26270041-781a-454c-8977-718788c58855" ma:anchorId="00000000-0000-0000-0000-000000000000" ma:open="true" ma:isKeyword="false">
      <xsd:complexType>
        <xsd:sequence>
          <xsd:element ref="pc:Terms" minOccurs="0" maxOccurs="1"/>
        </xsd:sequence>
      </xsd:complexType>
    </xsd:element>
    <xsd:element name="Knowhow" ma:index="20" nillable="true" ma:displayName="Knowhow" ma:default="0" ma:internalName="Knowhow">
      <xsd:simpleType>
        <xsd:restriction base="dms:Boolean"/>
      </xsd:simpleType>
    </xsd:element>
    <xsd:element name="NumeroDocExplorer" ma:index="21" nillable="true" ma:displayName="Número do Doc-Explorer" ma:internalName="NumeroDocExplorer">
      <xsd:simpleType>
        <xsd:restriction base="dms:Text">
          <xsd:maxLength value="255"/>
        </xsd:restriction>
      </xsd:simpleType>
    </xsd:element>
    <xsd:element name="Observacao" ma:index="22" nillable="true" ma:displayName="Observação" ma:internalName="Observacao">
      <xsd:simpleType>
        <xsd:restriction base="dms:Note">
          <xsd:maxLength value="255"/>
        </xsd:restriction>
      </xsd:simpleType>
    </xsd:element>
    <xsd:element name="Setor" ma:index="23" nillable="true" ma:displayName="Setor" ma:format="Dropdown" ma:internalName="Setor">
      <xsd:simpleType>
        <xsd:restriction base="dms:Choice">
          <xsd:enumeration value="Agronegócio"/>
          <xsd:enumeration value="Alimentação e Bebidas"/>
          <xsd:enumeration value="Ambiental"/>
          <xsd:enumeration value="Comércio"/>
          <xsd:enumeration value="Educação"/>
          <xsd:enumeration value="Energia &amp; Utilidades"/>
          <xsd:enumeration value="Água"/>
          <xsd:enumeration value="Bioenergia"/>
          <xsd:enumeration value="Energia"/>
          <xsd:enumeration value="Energia Térmica"/>
          <xsd:enumeration value="Petróleo e gás"/>
          <xsd:enumeration value="Renováveis"/>
          <xsd:enumeration value="Resíduo"/>
          <xsd:enumeration value="Governamental"/>
          <xsd:enumeration value="Holding"/>
          <xsd:enumeration value="Hospitalidade"/>
          <xsd:enumeration value="Imobiliário"/>
          <xsd:enumeration value="Industriais"/>
          <xsd:enumeration value="Aeroespacial &amp; Defesa"/>
          <xsd:enumeration value="Automotivo"/>
          <xsd:enumeration value="Eletrônico"/>
          <xsd:enumeration value="Florestal, Papel e Embalagem"/>
          <xsd:enumeration value="Infraestrutura  Construção"/>
          <xsd:enumeration value="Aeroportos"/>
          <xsd:enumeration value="Construção / Materiais de Construção"/>
          <xsd:enumeration value="Engenharia"/>
          <xsd:enumeration value="Ferrovia"/>
          <xsd:enumeration value="Portos, Estradas, Pontes e Túneis"/>
          <xsd:enumeration value="Instituição Financeira"/>
          <xsd:enumeration value="Bancos"/>
          <xsd:enumeration value="Cartões de Crédito"/>
          <xsd:enumeration value="Fundos Soberanos"/>
          <xsd:enumeration value="Gestores de Investimento"/>
          <xsd:enumeration value="Private Equity"/>
          <xsd:enumeration value="Seguro"/>
          <xsd:enumeration value="Lazer"/>
          <xsd:enumeration value="Metais"/>
          <xsd:enumeration value="Mídia"/>
          <xsd:enumeration value="Mineração"/>
          <xsd:enumeration value="Organizações sem Fins Lucrativos"/>
          <xsd:enumeration value="Pessoa Física"/>
          <xsd:enumeration value="Químico"/>
          <xsd:enumeration value="Fertilizantes &amp; Produtos Químicos Agrícolas"/>
          <xsd:enumeration value="Gases Industriais"/>
          <xsd:enumeration value="Saúde"/>
          <xsd:enumeration value="Serviços"/>
          <xsd:enumeration value="Serviços Legais"/>
          <xsd:enumeration value="Tecnologia"/>
          <xsd:enumeration value="Telecomunicações"/>
          <xsd:enumeration value="Trasnporte e Logística"/>
          <xsd:enumeration value="Varejo"/>
        </xsd:restriction>
      </xsd:simpleType>
    </xsd:element>
    <xsd:element name="StatusDocumento" ma:index="24" nillable="true" ma:displayName="Status do Documento" ma:default="Não Iniciada" ma:format="Dropdown" ma:internalName="StatusDocumento">
      <xsd:simpleType>
        <xsd:restriction base="dms:Choice">
          <xsd:enumeration value="Não Iniciada"/>
          <xsd:enumeration value="Rascunho"/>
          <xsd:enumeration value="Revisada"/>
          <xsd:enumeration value="Agendado para"/>
          <xsd:enumeration value="Publicado em"/>
          <xsd:enumeration value="Final"/>
          <xsd:enumeration value="In Progress"/>
          <xsd:enumeration value="Final Version"/>
          <xsd:enumeration value="Agreed Form"/>
          <xsd:enumeration value="Execution Version"/>
          <xsd:enumeration value="Executed"/>
          <xsd:enumeration value="Draft"/>
          <xsd:enumeration value="Working Copy"/>
        </xsd:restriction>
      </xsd:simpleType>
    </xsd:element>
    <xsd:element name="TipoDocumento" ma:index="25" nillable="true" ma:displayName="Tipo do Documento" ma:format="Dropdown" ma:internalName="TipoDocumento" ma:readOnly="false">
      <xsd:simpleType>
        <xsd:restriction base="dms:Choice">
          <xsd:enumeration value="Acompanhamentos"/>
          <xsd:enumeration value="Agendas"/>
          <xsd:enumeration value="Anúncios"/>
          <xsd:enumeration value="Apresentações"/>
          <xsd:enumeration value="Artigos de Periódicos"/>
          <xsd:enumeration value="Atas"/>
          <xsd:enumeration value="Avisos"/>
          <xsd:enumeration value="Bibles"/>
          <xsd:enumeration value="Brochuras"/>
          <xsd:enumeration value="Boletins"/>
          <xsd:enumeration value="Capítulos de Livros"/>
          <xsd:enumeration value="Cartas"/>
          <xsd:enumeration value="Cartas Conforto/Comfort Letters"/>
          <xsd:enumeration value="Certidões"/>
          <xsd:enumeration value="Certificados"/>
          <xsd:enumeration value="Check-lists"/>
          <xsd:enumeration value="Cláusulas e Argumentos"/>
          <xsd:enumeration value="Comunicados"/>
          <xsd:enumeration value="Consultas"/>
          <xsd:enumeration value="Contratos"/>
          <xsd:enumeration value="Contratos Sociais"/>
          <xsd:enumeration value="Controles"/>
          <xsd:enumeration value="Convênios"/>
          <xsd:enumeration value="Credenciais"/>
          <xsd:enumeration value="Cronogramas"/>
          <xsd:enumeration value="CVs"/>
          <xsd:enumeration value="Data Rooms"/>
          <xsd:enumeration value="Declarações"/>
          <xsd:enumeration value="Defesas"/>
          <xsd:enumeration value="Diários Oficiais"/>
          <xsd:enumeration value="Emails"/>
          <xsd:enumeration value="Estatutos Sociais"/>
          <xsd:enumeration value="Etiquetas"/>
          <xsd:enumeration value="Fact Sheets"/>
          <xsd:enumeration value="Fatos Relevantes"/>
          <xsd:enumeration value="Faturas"/>
          <xsd:enumeration value="Fluxogramas"/>
          <xsd:enumeration value="Formulários de Referência"/>
          <xsd:enumeration value="Fotos"/>
          <xsd:enumeration value="Históricos"/>
          <xsd:enumeration value="Índices"/>
          <xsd:enumeration value="Jurisprudências"/>
          <xsd:enumeration value="Legal Opinions"/>
          <xsd:enumeration value="Legislações"/>
          <xsd:enumeration value="Listas"/>
          <xsd:enumeration value="Livretos/Booklets"/>
          <xsd:enumeration value="Manuais"/>
          <xsd:enumeration value="Mapeamentos"/>
          <xsd:enumeration value="Memorandos"/>
          <xsd:enumeration value="Newsletters"/>
          <xsd:enumeration value="Notas Fiscais"/>
          <xsd:enumeration value="Offering Circulars"/>
          <xsd:enumeration value="Ofícios"/>
          <xsd:enumeration value="Orçamentos/Budgets"/>
          <xsd:enumeration value="Organogramas"/>
          <xsd:enumeration value="Pareceres"/>
          <xsd:enumeration value="Pedidos"/>
          <xsd:enumeration value="Pesquisas"/>
          <xsd:enumeration value="Petições"/>
          <xsd:enumeration value="Pitches"/>
          <xsd:enumeration value="Planilhas"/>
          <xsd:enumeration value="Políticas"/>
          <xsd:enumeration value="Precedentes"/>
          <xsd:enumeration value="Procurações"/>
          <xsd:enumeration value="Propostas de Honorários"/>
          <xsd:enumeration value="Prospectos"/>
          <xsd:enumeration value="Protocolos"/>
          <xsd:enumeration value="Quadros Comparativos"/>
          <xsd:enumeration value="Questionários"/>
          <xsd:enumeration value="Rateios"/>
          <xsd:enumeration value="Relatórios"/>
          <xsd:enumeration value="Requerimentos"/>
          <xsd:enumeration value="Rescisões"/>
          <xsd:enumeration value="Resoluções"/>
          <xsd:enumeration value="Respostas"/>
          <xsd:enumeration value="Revisões"/>
          <xsd:enumeration value="Solicitações de Pagamento"/>
          <xsd:enumeration value="Submissões"/>
          <xsd:enumeration value="Substabelecimentos"/>
          <xsd:enumeration value="Templates"/>
          <xsd:enumeration value="Vídeos"/>
          <xsd:enumeration value="W.O"/>
          <xsd:enumeration value="Item"/>
          <xsd:enumeration value="Formulários de Procedimento Sumário"/>
          <xsd:enumeration value="W.O."/>
          <xsd:enumeration value="Tabelas"/>
          <xsd:enumeration value="Estatuto Social"/>
          <xsd:enumeration value="Contrato Social"/>
          <xsd:enumeration value="Offering Circular"/>
        </xsd:restriction>
      </xsd:simpleType>
    </xsd:element>
    <xsd:element name="VersaoDocumento" ma:index="26" nillable="true" ma:displayName="Versão do Documento" ma:hidden="true" ma:internalName="VersaoDocumento" ma:readOnly="false">
      <xsd:simpleType>
        <xsd:restriction base="dms:Text">
          <xsd:maxLength value="10"/>
        </xsd:restriction>
      </xsd:simpleType>
    </xsd:element>
    <xsd:element name="DLCPolicyLabelValue" ma:index="28" nillable="true" ma:displayName="Rótulo" ma:description="Armazena o valor atual do rótulo." ma:internalName="DLCPolicyLabelValue" ma:readOnly="true">
      <xsd:simpleType>
        <xsd:restriction base="dms:Note">
          <xsd:maxLength value="255"/>
        </xsd:restriction>
      </xsd:simpleType>
    </xsd:element>
    <xsd:element name="DLCPolicyLabelClientValue" ma:index="29" nillable="true" ma:displayName="Valor do Rótulo do Cliente" ma:description="Armazena o último valor de rótulo computado no cliente." ma:hidden="true" ma:internalName="DLCPolicyLabelClientValue" ma:readOnly="false">
      <xsd:simpleType>
        <xsd:restriction base="dms:Note"/>
      </xsd:simpleType>
    </xsd:element>
    <xsd:element name="DLCPolicyLabelLock" ma:index="30" nillable="true" ma:displayName="Rótulo Bloqueado" ma:description="Indica se o rótulo deve ser atualizado quando as propriedades do item forem modificadas." ma:hidden="true" ma:internalName="DLCPolicyLabelLock" ma:readOnly="false">
      <xsd:simpleType>
        <xsd:restriction base="dms:Text"/>
      </xsd:simpleType>
    </xsd:element>
    <xsd:element name="CodigoSegmento" ma:index="31" nillable="true" ma:displayName="Código do Segmento" ma:indexed="true" ma:internalName="CodigoSegmento">
      <xsd:simpleType>
        <xsd:restriction base="dms:Text">
          <xsd:maxLength value="10"/>
        </xsd:restriction>
      </xsd:simpleType>
    </xsd:element>
    <xsd:element name="MatterManager" ma:index="32" nillable="true" ma:displayName="Matter Manager" ma:indexed="true" ma:list="UserInfo" ma:SearchPeopleOnly="false" ma:SharePointGroup="0" ma:internalName="MatterManag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47f3fc68dc1429b8573eb2634792044" ma:index="33" nillable="true" ma:taxonomy="true" ma:internalName="d47f3fc68dc1429b8573eb2634792044" ma:taxonomyFieldName="Cliente" ma:displayName="Cliente" ma:indexed="true" ma:readOnly="false" ma:default="" ma:fieldId="{d47f3fc6-8dc1-429b-8573-eb2634792044}" ma:sspId="6357f6dc-1278-47f8-bcba-6ddb309c14e8" ma:termSetId="0334bf9d-63d9-4dc7-adc1-34b84a1a9715" ma:anchorId="00000000-0000-0000-0000-000000000000" ma:open="true" ma:isKeyword="false">
      <xsd:complexType>
        <xsd:sequence>
          <xsd:element ref="pc:Terms" minOccurs="0" maxOccurs="1"/>
        </xsd:sequence>
      </xsd:complexType>
    </xsd:element>
    <xsd:element name="MatterAtivo" ma:index="35" nillable="true" ma:displayName="Matter Ativo" ma:default="1" ma:indexed="true" ma:internalName="MatterAtivo">
      <xsd:simpleType>
        <xsd:restriction base="dms:Boolean"/>
      </xsd:simpleType>
    </xsd:element>
    <xsd:element name="BillingPartner" ma:index="36" nillable="true" ma:displayName="Billing Partner" ma:indexed="true" ma:list="UserInfo" ma:SearchPeopleOnly="false" ma:SharePointGroup="0" ma:internalName="BillingPart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digo" ma:index="37" nillable="true" ma:displayName="Código" ma:indexed="true" ma:internalName="Codigo" ma:readOnly="false">
      <xsd:simpleType>
        <xsd:restriction base="dms:Text">
          <xsd:maxLength value="7"/>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9" ma:displayName="Tipo de Conteúdo"/>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p:Policy xmlns:p="office.server.policy" id="" local="true">
  <p:Name>DocumentoLefosse</p:Name>
  <p:Description/>
  <p:Statement/>
  <p:PolicyItems>
    <p:PolicyItem featureId="Microsoft.Office.RecordsManagement.PolicyFeatures.PolicyLabel" staticId="0x0101006EF17356CF70944FBC2751F899F610F4|1550359124" UniqueId="6a21ba6f-a9a8-43e2-9f70-79dda324e4de">
      <p:Name>Rótulos</p:Name>
      <p:Description>Gera rótulos que podem ser inseridos em documentos do Microsoft Office para assegurar que as propriedades do documento ou outras informações importantes sejam incluídas nas cópias impressas. Os rótulos também podem ser usados para procurar documentos.</p:Description>
      <p:CustomData>
        <label>
          <segment type="metadata">IDUnico</segment>
          <segment type="literal">/</segment>
          <segment type="metadata">VersaoDocumento</segment>
        </label>
      </p:CustomData>
    </p:PolicyItem>
  </p:PolicyItems>
</p:Policy>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3BFB8-4029-49F9-AE19-0FED448022FF}">
  <ds:schemaRefs>
    <ds:schemaRef ds:uri="http://schemas.microsoft.com/sharepoint/events"/>
  </ds:schemaRefs>
</ds:datastoreItem>
</file>

<file path=customXml/itemProps2.xml><?xml version="1.0" encoding="utf-8"?>
<ds:datastoreItem xmlns:ds="http://schemas.openxmlformats.org/officeDocument/2006/customXml" ds:itemID="{6F16D243-9BD8-4B7E-956B-F09881638F7B}">
  <ds:schemaRefs>
    <ds:schemaRef ds:uri="http://purl.org/dc/term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microsoft.com/sharepoint/v3"/>
    <ds:schemaRef ds:uri="e63af235-6539-4873-9a74-7e32b5cc1aee"/>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FAA01427-4D60-4308-890F-FC2AF43D49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63af235-6539-4873-9a74-7e32b5cc1a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90EAFB-12C2-40D0-B6C3-A8387B3402F2}">
  <ds:schemaRefs>
    <ds:schemaRef ds:uri="office.server.policy"/>
  </ds:schemaRefs>
</ds:datastoreItem>
</file>

<file path=customXml/itemProps5.xml><?xml version="1.0" encoding="utf-8"?>
<ds:datastoreItem xmlns:ds="http://schemas.openxmlformats.org/officeDocument/2006/customXml" ds:itemID="{D5A08A4F-E466-488A-9BA5-955EF887FA5C}">
  <ds:schemaRefs>
    <ds:schemaRef ds:uri="http://schemas.microsoft.com/sharepoint/v3/contenttype/forms"/>
  </ds:schemaRefs>
</ds:datastoreItem>
</file>

<file path=customXml/itemProps6.xml><?xml version="1.0" encoding="utf-8"?>
<ds:datastoreItem xmlns:ds="http://schemas.openxmlformats.org/officeDocument/2006/customXml" ds:itemID="{DE18E411-CECB-4D0E-94AE-0FBC5E1AA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Home BR - Arial.dotm</Template>
  <TotalTime>22</TotalTime>
  <Pages>173</Pages>
  <Words>57716</Words>
  <Characters>329668</Characters>
  <Application>Microsoft Office Word</Application>
  <DocSecurity>0</DocSecurity>
  <Lines>2747</Lines>
  <Paragraphs>773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386611</CharactersWithSpaces>
  <SharedDoc>false</SharedDoc>
  <HLinks>
    <vt:vector size="654" baseType="variant">
      <vt:variant>
        <vt:i4>5439557</vt:i4>
      </vt:variant>
      <vt:variant>
        <vt:i4>837</vt:i4>
      </vt:variant>
      <vt:variant>
        <vt:i4>0</vt:i4>
      </vt:variant>
      <vt:variant>
        <vt:i4>5</vt:i4>
      </vt:variant>
      <vt:variant>
        <vt:lpwstr>http://www.ey.com.br/</vt:lpwstr>
      </vt:variant>
      <vt:variant>
        <vt:lpwstr/>
      </vt:variant>
      <vt:variant>
        <vt:i4>7602228</vt:i4>
      </vt:variant>
      <vt:variant>
        <vt:i4>834</vt:i4>
      </vt:variant>
      <vt:variant>
        <vt:i4>0</vt:i4>
      </vt:variant>
      <vt:variant>
        <vt:i4>5</vt:i4>
      </vt:variant>
      <vt:variant>
        <vt:lpwstr>http://www.lefosse.com.br/</vt:lpwstr>
      </vt:variant>
      <vt:variant>
        <vt:lpwstr/>
      </vt:variant>
      <vt:variant>
        <vt:i4>1835102</vt:i4>
      </vt:variant>
      <vt:variant>
        <vt:i4>831</vt:i4>
      </vt:variant>
      <vt:variant>
        <vt:i4>0</vt:i4>
      </vt:variant>
      <vt:variant>
        <vt:i4>5</vt:i4>
      </vt:variant>
      <vt:variant>
        <vt:lpwstr>http://www.safra.com.br/</vt:lpwstr>
      </vt:variant>
      <vt:variant>
        <vt:lpwstr/>
      </vt:variant>
      <vt:variant>
        <vt:i4>6488110</vt:i4>
      </vt:variant>
      <vt:variant>
        <vt:i4>828</vt:i4>
      </vt:variant>
      <vt:variant>
        <vt:i4>0</vt:i4>
      </vt:variant>
      <vt:variant>
        <vt:i4>5</vt:i4>
      </vt:variant>
      <vt:variant>
        <vt:lpwstr>http://www.itaubba.com.br/</vt:lpwstr>
      </vt:variant>
      <vt:variant>
        <vt:lpwstr/>
      </vt:variant>
      <vt:variant>
        <vt:i4>983105</vt:i4>
      </vt:variant>
      <vt:variant>
        <vt:i4>801</vt:i4>
      </vt:variant>
      <vt:variant>
        <vt:i4>0</vt:i4>
      </vt:variant>
      <vt:variant>
        <vt:i4>5</vt:i4>
      </vt:variant>
      <vt:variant>
        <vt:lpwstr>http://www.cetip.com.br/</vt:lpwstr>
      </vt:variant>
      <vt:variant>
        <vt:lpwstr/>
      </vt:variant>
      <vt:variant>
        <vt:i4>4980856</vt:i4>
      </vt:variant>
      <vt:variant>
        <vt:i4>798</vt:i4>
      </vt:variant>
      <vt:variant>
        <vt:i4>0</vt:i4>
      </vt:variant>
      <vt:variant>
        <vt:i4>5</vt:i4>
      </vt:variant>
      <vt:variant>
        <vt:lpwstr>http://www.bmfbovespa.com.br/pt_br/produtos/listados-a-vista-e-derivativos/renda-variavel/empresas-listadas.htm</vt:lpwstr>
      </vt:variant>
      <vt:variant>
        <vt:lpwstr/>
      </vt:variant>
      <vt:variant>
        <vt:i4>7929915</vt:i4>
      </vt:variant>
      <vt:variant>
        <vt:i4>795</vt:i4>
      </vt:variant>
      <vt:variant>
        <vt:i4>0</vt:i4>
      </vt:variant>
      <vt:variant>
        <vt:i4>5</vt:i4>
      </vt:variant>
      <vt:variant>
        <vt:lpwstr>http://www.cvm.gov.br/</vt:lpwstr>
      </vt:variant>
      <vt:variant>
        <vt:lpwstr/>
      </vt:variant>
      <vt:variant>
        <vt:i4>4915266</vt:i4>
      </vt:variant>
      <vt:variant>
        <vt:i4>606</vt:i4>
      </vt:variant>
      <vt:variant>
        <vt:i4>0</vt:i4>
      </vt:variant>
      <vt:variant>
        <vt:i4>5</vt:i4>
      </vt:variant>
      <vt:variant>
        <vt:lpwstr>http://cop.anbima.com.br/</vt:lpwstr>
      </vt:variant>
      <vt:variant>
        <vt:lpwstr/>
      </vt:variant>
      <vt:variant>
        <vt:i4>6881296</vt:i4>
      </vt:variant>
      <vt:variant>
        <vt:i4>603</vt:i4>
      </vt:variant>
      <vt:variant>
        <vt:i4>0</vt:i4>
      </vt:variant>
      <vt:variant>
        <vt:i4>5</vt:i4>
      </vt:variant>
      <vt:variant>
        <vt:lpwstr>http://www.bmfbovespa.com.br/pt_br/produtos/listados-a-vista-e-derivativos/ renda-variavel/empresas-listadas.htm</vt:lpwstr>
      </vt:variant>
      <vt:variant>
        <vt:lpwstr/>
      </vt:variant>
      <vt:variant>
        <vt:i4>7929915</vt:i4>
      </vt:variant>
      <vt:variant>
        <vt:i4>600</vt:i4>
      </vt:variant>
      <vt:variant>
        <vt:i4>0</vt:i4>
      </vt:variant>
      <vt:variant>
        <vt:i4>5</vt:i4>
      </vt:variant>
      <vt:variant>
        <vt:lpwstr>http://www.cvm.gov.br/</vt:lpwstr>
      </vt:variant>
      <vt:variant>
        <vt:lpwstr/>
      </vt:variant>
      <vt:variant>
        <vt:i4>1048644</vt:i4>
      </vt:variant>
      <vt:variant>
        <vt:i4>594</vt:i4>
      </vt:variant>
      <vt:variant>
        <vt:i4>0</vt:i4>
      </vt:variant>
      <vt:variant>
        <vt:i4>5</vt:i4>
      </vt:variant>
      <vt:variant>
        <vt:lpwstr>http://www.energisa/</vt:lpwstr>
      </vt:variant>
      <vt:variant>
        <vt:lpwstr/>
      </vt:variant>
      <vt:variant>
        <vt:i4>5242887</vt:i4>
      </vt:variant>
      <vt:variant>
        <vt:i4>591</vt:i4>
      </vt:variant>
      <vt:variant>
        <vt:i4>0</vt:i4>
      </vt:variant>
      <vt:variant>
        <vt:i4>5</vt:i4>
      </vt:variant>
      <vt:variant>
        <vt:lpwstr>http://www.energisa.com.br/ri</vt:lpwstr>
      </vt:variant>
      <vt:variant>
        <vt:lpwstr/>
      </vt:variant>
      <vt:variant>
        <vt:i4>720915</vt:i4>
      </vt:variant>
      <vt:variant>
        <vt:i4>588</vt:i4>
      </vt:variant>
      <vt:variant>
        <vt:i4>0</vt:i4>
      </vt:variant>
      <vt:variant>
        <vt:i4>5</vt:i4>
      </vt:variant>
      <vt:variant>
        <vt:lpwstr>http://investidores/</vt:lpwstr>
      </vt:variant>
      <vt:variant>
        <vt:lpwstr/>
      </vt:variant>
      <vt:variant>
        <vt:i4>5242887</vt:i4>
      </vt:variant>
      <vt:variant>
        <vt:i4>585</vt:i4>
      </vt:variant>
      <vt:variant>
        <vt:i4>0</vt:i4>
      </vt:variant>
      <vt:variant>
        <vt:i4>5</vt:i4>
      </vt:variant>
      <vt:variant>
        <vt:lpwstr>http://www.energisa.com.br/ri</vt:lpwstr>
      </vt:variant>
      <vt:variant>
        <vt:lpwstr/>
      </vt:variant>
      <vt:variant>
        <vt:i4>720915</vt:i4>
      </vt:variant>
      <vt:variant>
        <vt:i4>582</vt:i4>
      </vt:variant>
      <vt:variant>
        <vt:i4>0</vt:i4>
      </vt:variant>
      <vt:variant>
        <vt:i4>5</vt:i4>
      </vt:variant>
      <vt:variant>
        <vt:lpwstr>http://investidores/</vt:lpwstr>
      </vt:variant>
      <vt:variant>
        <vt:lpwstr/>
      </vt:variant>
      <vt:variant>
        <vt:i4>2228264</vt:i4>
      </vt:variant>
      <vt:variant>
        <vt:i4>564</vt:i4>
      </vt:variant>
      <vt:variant>
        <vt:i4>0</vt:i4>
      </vt:variant>
      <vt:variant>
        <vt:i4>5</vt:i4>
      </vt:variant>
      <vt:variant>
        <vt:lpwstr>http://www.energisa.com.br/</vt:lpwstr>
      </vt:variant>
      <vt:variant>
        <vt:lpwstr/>
      </vt:variant>
      <vt:variant>
        <vt:i4>1900593</vt:i4>
      </vt:variant>
      <vt:variant>
        <vt:i4>554</vt:i4>
      </vt:variant>
      <vt:variant>
        <vt:i4>0</vt:i4>
      </vt:variant>
      <vt:variant>
        <vt:i4>5</vt:i4>
      </vt:variant>
      <vt:variant>
        <vt:lpwstr/>
      </vt:variant>
      <vt:variant>
        <vt:lpwstr>_Toc484716036</vt:lpwstr>
      </vt:variant>
      <vt:variant>
        <vt:i4>1900593</vt:i4>
      </vt:variant>
      <vt:variant>
        <vt:i4>548</vt:i4>
      </vt:variant>
      <vt:variant>
        <vt:i4>0</vt:i4>
      </vt:variant>
      <vt:variant>
        <vt:i4>5</vt:i4>
      </vt:variant>
      <vt:variant>
        <vt:lpwstr/>
      </vt:variant>
      <vt:variant>
        <vt:lpwstr>_Toc484716035</vt:lpwstr>
      </vt:variant>
      <vt:variant>
        <vt:i4>1900593</vt:i4>
      </vt:variant>
      <vt:variant>
        <vt:i4>542</vt:i4>
      </vt:variant>
      <vt:variant>
        <vt:i4>0</vt:i4>
      </vt:variant>
      <vt:variant>
        <vt:i4>5</vt:i4>
      </vt:variant>
      <vt:variant>
        <vt:lpwstr/>
      </vt:variant>
      <vt:variant>
        <vt:lpwstr>_Toc484716034</vt:lpwstr>
      </vt:variant>
      <vt:variant>
        <vt:i4>1900593</vt:i4>
      </vt:variant>
      <vt:variant>
        <vt:i4>536</vt:i4>
      </vt:variant>
      <vt:variant>
        <vt:i4>0</vt:i4>
      </vt:variant>
      <vt:variant>
        <vt:i4>5</vt:i4>
      </vt:variant>
      <vt:variant>
        <vt:lpwstr/>
      </vt:variant>
      <vt:variant>
        <vt:lpwstr>_Toc484716033</vt:lpwstr>
      </vt:variant>
      <vt:variant>
        <vt:i4>1900593</vt:i4>
      </vt:variant>
      <vt:variant>
        <vt:i4>530</vt:i4>
      </vt:variant>
      <vt:variant>
        <vt:i4>0</vt:i4>
      </vt:variant>
      <vt:variant>
        <vt:i4>5</vt:i4>
      </vt:variant>
      <vt:variant>
        <vt:lpwstr/>
      </vt:variant>
      <vt:variant>
        <vt:lpwstr>_Toc484716032</vt:lpwstr>
      </vt:variant>
      <vt:variant>
        <vt:i4>1900593</vt:i4>
      </vt:variant>
      <vt:variant>
        <vt:i4>524</vt:i4>
      </vt:variant>
      <vt:variant>
        <vt:i4>0</vt:i4>
      </vt:variant>
      <vt:variant>
        <vt:i4>5</vt:i4>
      </vt:variant>
      <vt:variant>
        <vt:lpwstr/>
      </vt:variant>
      <vt:variant>
        <vt:lpwstr>_Toc484716031</vt:lpwstr>
      </vt:variant>
      <vt:variant>
        <vt:i4>1900593</vt:i4>
      </vt:variant>
      <vt:variant>
        <vt:i4>518</vt:i4>
      </vt:variant>
      <vt:variant>
        <vt:i4>0</vt:i4>
      </vt:variant>
      <vt:variant>
        <vt:i4>5</vt:i4>
      </vt:variant>
      <vt:variant>
        <vt:lpwstr/>
      </vt:variant>
      <vt:variant>
        <vt:lpwstr>_Toc484716030</vt:lpwstr>
      </vt:variant>
      <vt:variant>
        <vt:i4>1835057</vt:i4>
      </vt:variant>
      <vt:variant>
        <vt:i4>512</vt:i4>
      </vt:variant>
      <vt:variant>
        <vt:i4>0</vt:i4>
      </vt:variant>
      <vt:variant>
        <vt:i4>5</vt:i4>
      </vt:variant>
      <vt:variant>
        <vt:lpwstr/>
      </vt:variant>
      <vt:variant>
        <vt:lpwstr>_Toc484716029</vt:lpwstr>
      </vt:variant>
      <vt:variant>
        <vt:i4>1835057</vt:i4>
      </vt:variant>
      <vt:variant>
        <vt:i4>506</vt:i4>
      </vt:variant>
      <vt:variant>
        <vt:i4>0</vt:i4>
      </vt:variant>
      <vt:variant>
        <vt:i4>5</vt:i4>
      </vt:variant>
      <vt:variant>
        <vt:lpwstr/>
      </vt:variant>
      <vt:variant>
        <vt:lpwstr>_Toc484716028</vt:lpwstr>
      </vt:variant>
      <vt:variant>
        <vt:i4>1835057</vt:i4>
      </vt:variant>
      <vt:variant>
        <vt:i4>500</vt:i4>
      </vt:variant>
      <vt:variant>
        <vt:i4>0</vt:i4>
      </vt:variant>
      <vt:variant>
        <vt:i4>5</vt:i4>
      </vt:variant>
      <vt:variant>
        <vt:lpwstr/>
      </vt:variant>
      <vt:variant>
        <vt:lpwstr>_Toc484716027</vt:lpwstr>
      </vt:variant>
      <vt:variant>
        <vt:i4>1835057</vt:i4>
      </vt:variant>
      <vt:variant>
        <vt:i4>494</vt:i4>
      </vt:variant>
      <vt:variant>
        <vt:i4>0</vt:i4>
      </vt:variant>
      <vt:variant>
        <vt:i4>5</vt:i4>
      </vt:variant>
      <vt:variant>
        <vt:lpwstr/>
      </vt:variant>
      <vt:variant>
        <vt:lpwstr>_Toc484716026</vt:lpwstr>
      </vt:variant>
      <vt:variant>
        <vt:i4>1835057</vt:i4>
      </vt:variant>
      <vt:variant>
        <vt:i4>488</vt:i4>
      </vt:variant>
      <vt:variant>
        <vt:i4>0</vt:i4>
      </vt:variant>
      <vt:variant>
        <vt:i4>5</vt:i4>
      </vt:variant>
      <vt:variant>
        <vt:lpwstr/>
      </vt:variant>
      <vt:variant>
        <vt:lpwstr>_Toc484716025</vt:lpwstr>
      </vt:variant>
      <vt:variant>
        <vt:i4>1835057</vt:i4>
      </vt:variant>
      <vt:variant>
        <vt:i4>482</vt:i4>
      </vt:variant>
      <vt:variant>
        <vt:i4>0</vt:i4>
      </vt:variant>
      <vt:variant>
        <vt:i4>5</vt:i4>
      </vt:variant>
      <vt:variant>
        <vt:lpwstr/>
      </vt:variant>
      <vt:variant>
        <vt:lpwstr>_Toc484716024</vt:lpwstr>
      </vt:variant>
      <vt:variant>
        <vt:i4>1835057</vt:i4>
      </vt:variant>
      <vt:variant>
        <vt:i4>476</vt:i4>
      </vt:variant>
      <vt:variant>
        <vt:i4>0</vt:i4>
      </vt:variant>
      <vt:variant>
        <vt:i4>5</vt:i4>
      </vt:variant>
      <vt:variant>
        <vt:lpwstr/>
      </vt:variant>
      <vt:variant>
        <vt:lpwstr>_Toc484716023</vt:lpwstr>
      </vt:variant>
      <vt:variant>
        <vt:i4>1835057</vt:i4>
      </vt:variant>
      <vt:variant>
        <vt:i4>470</vt:i4>
      </vt:variant>
      <vt:variant>
        <vt:i4>0</vt:i4>
      </vt:variant>
      <vt:variant>
        <vt:i4>5</vt:i4>
      </vt:variant>
      <vt:variant>
        <vt:lpwstr/>
      </vt:variant>
      <vt:variant>
        <vt:lpwstr>_Toc484716022</vt:lpwstr>
      </vt:variant>
      <vt:variant>
        <vt:i4>1835057</vt:i4>
      </vt:variant>
      <vt:variant>
        <vt:i4>464</vt:i4>
      </vt:variant>
      <vt:variant>
        <vt:i4>0</vt:i4>
      </vt:variant>
      <vt:variant>
        <vt:i4>5</vt:i4>
      </vt:variant>
      <vt:variant>
        <vt:lpwstr/>
      </vt:variant>
      <vt:variant>
        <vt:lpwstr>_Toc484716021</vt:lpwstr>
      </vt:variant>
      <vt:variant>
        <vt:i4>1835057</vt:i4>
      </vt:variant>
      <vt:variant>
        <vt:i4>458</vt:i4>
      </vt:variant>
      <vt:variant>
        <vt:i4>0</vt:i4>
      </vt:variant>
      <vt:variant>
        <vt:i4>5</vt:i4>
      </vt:variant>
      <vt:variant>
        <vt:lpwstr/>
      </vt:variant>
      <vt:variant>
        <vt:lpwstr>_Toc484716020</vt:lpwstr>
      </vt:variant>
      <vt:variant>
        <vt:i4>2031665</vt:i4>
      </vt:variant>
      <vt:variant>
        <vt:i4>452</vt:i4>
      </vt:variant>
      <vt:variant>
        <vt:i4>0</vt:i4>
      </vt:variant>
      <vt:variant>
        <vt:i4>5</vt:i4>
      </vt:variant>
      <vt:variant>
        <vt:lpwstr/>
      </vt:variant>
      <vt:variant>
        <vt:lpwstr>_Toc484716019</vt:lpwstr>
      </vt:variant>
      <vt:variant>
        <vt:i4>2031665</vt:i4>
      </vt:variant>
      <vt:variant>
        <vt:i4>446</vt:i4>
      </vt:variant>
      <vt:variant>
        <vt:i4>0</vt:i4>
      </vt:variant>
      <vt:variant>
        <vt:i4>5</vt:i4>
      </vt:variant>
      <vt:variant>
        <vt:lpwstr/>
      </vt:variant>
      <vt:variant>
        <vt:lpwstr>_Toc484716018</vt:lpwstr>
      </vt:variant>
      <vt:variant>
        <vt:i4>2031665</vt:i4>
      </vt:variant>
      <vt:variant>
        <vt:i4>440</vt:i4>
      </vt:variant>
      <vt:variant>
        <vt:i4>0</vt:i4>
      </vt:variant>
      <vt:variant>
        <vt:i4>5</vt:i4>
      </vt:variant>
      <vt:variant>
        <vt:lpwstr/>
      </vt:variant>
      <vt:variant>
        <vt:lpwstr>_Toc484716017</vt:lpwstr>
      </vt:variant>
      <vt:variant>
        <vt:i4>2031665</vt:i4>
      </vt:variant>
      <vt:variant>
        <vt:i4>434</vt:i4>
      </vt:variant>
      <vt:variant>
        <vt:i4>0</vt:i4>
      </vt:variant>
      <vt:variant>
        <vt:i4>5</vt:i4>
      </vt:variant>
      <vt:variant>
        <vt:lpwstr/>
      </vt:variant>
      <vt:variant>
        <vt:lpwstr>_Toc484716016</vt:lpwstr>
      </vt:variant>
      <vt:variant>
        <vt:i4>2031665</vt:i4>
      </vt:variant>
      <vt:variant>
        <vt:i4>428</vt:i4>
      </vt:variant>
      <vt:variant>
        <vt:i4>0</vt:i4>
      </vt:variant>
      <vt:variant>
        <vt:i4>5</vt:i4>
      </vt:variant>
      <vt:variant>
        <vt:lpwstr/>
      </vt:variant>
      <vt:variant>
        <vt:lpwstr>_Toc484716015</vt:lpwstr>
      </vt:variant>
      <vt:variant>
        <vt:i4>2031665</vt:i4>
      </vt:variant>
      <vt:variant>
        <vt:i4>422</vt:i4>
      </vt:variant>
      <vt:variant>
        <vt:i4>0</vt:i4>
      </vt:variant>
      <vt:variant>
        <vt:i4>5</vt:i4>
      </vt:variant>
      <vt:variant>
        <vt:lpwstr/>
      </vt:variant>
      <vt:variant>
        <vt:lpwstr>_Toc484716014</vt:lpwstr>
      </vt:variant>
      <vt:variant>
        <vt:i4>2031665</vt:i4>
      </vt:variant>
      <vt:variant>
        <vt:i4>416</vt:i4>
      </vt:variant>
      <vt:variant>
        <vt:i4>0</vt:i4>
      </vt:variant>
      <vt:variant>
        <vt:i4>5</vt:i4>
      </vt:variant>
      <vt:variant>
        <vt:lpwstr/>
      </vt:variant>
      <vt:variant>
        <vt:lpwstr>_Toc484716013</vt:lpwstr>
      </vt:variant>
      <vt:variant>
        <vt:i4>2031665</vt:i4>
      </vt:variant>
      <vt:variant>
        <vt:i4>410</vt:i4>
      </vt:variant>
      <vt:variant>
        <vt:i4>0</vt:i4>
      </vt:variant>
      <vt:variant>
        <vt:i4>5</vt:i4>
      </vt:variant>
      <vt:variant>
        <vt:lpwstr/>
      </vt:variant>
      <vt:variant>
        <vt:lpwstr>_Toc484716012</vt:lpwstr>
      </vt:variant>
      <vt:variant>
        <vt:i4>2031665</vt:i4>
      </vt:variant>
      <vt:variant>
        <vt:i4>404</vt:i4>
      </vt:variant>
      <vt:variant>
        <vt:i4>0</vt:i4>
      </vt:variant>
      <vt:variant>
        <vt:i4>5</vt:i4>
      </vt:variant>
      <vt:variant>
        <vt:lpwstr/>
      </vt:variant>
      <vt:variant>
        <vt:lpwstr>_Toc484716011</vt:lpwstr>
      </vt:variant>
      <vt:variant>
        <vt:i4>2031665</vt:i4>
      </vt:variant>
      <vt:variant>
        <vt:i4>398</vt:i4>
      </vt:variant>
      <vt:variant>
        <vt:i4>0</vt:i4>
      </vt:variant>
      <vt:variant>
        <vt:i4>5</vt:i4>
      </vt:variant>
      <vt:variant>
        <vt:lpwstr/>
      </vt:variant>
      <vt:variant>
        <vt:lpwstr>_Toc484716010</vt:lpwstr>
      </vt:variant>
      <vt:variant>
        <vt:i4>1966129</vt:i4>
      </vt:variant>
      <vt:variant>
        <vt:i4>392</vt:i4>
      </vt:variant>
      <vt:variant>
        <vt:i4>0</vt:i4>
      </vt:variant>
      <vt:variant>
        <vt:i4>5</vt:i4>
      </vt:variant>
      <vt:variant>
        <vt:lpwstr/>
      </vt:variant>
      <vt:variant>
        <vt:lpwstr>_Toc484716009</vt:lpwstr>
      </vt:variant>
      <vt:variant>
        <vt:i4>1966129</vt:i4>
      </vt:variant>
      <vt:variant>
        <vt:i4>386</vt:i4>
      </vt:variant>
      <vt:variant>
        <vt:i4>0</vt:i4>
      </vt:variant>
      <vt:variant>
        <vt:i4>5</vt:i4>
      </vt:variant>
      <vt:variant>
        <vt:lpwstr/>
      </vt:variant>
      <vt:variant>
        <vt:lpwstr>_Toc484716008</vt:lpwstr>
      </vt:variant>
      <vt:variant>
        <vt:i4>1966129</vt:i4>
      </vt:variant>
      <vt:variant>
        <vt:i4>380</vt:i4>
      </vt:variant>
      <vt:variant>
        <vt:i4>0</vt:i4>
      </vt:variant>
      <vt:variant>
        <vt:i4>5</vt:i4>
      </vt:variant>
      <vt:variant>
        <vt:lpwstr/>
      </vt:variant>
      <vt:variant>
        <vt:lpwstr>_Toc484716007</vt:lpwstr>
      </vt:variant>
      <vt:variant>
        <vt:i4>1966129</vt:i4>
      </vt:variant>
      <vt:variant>
        <vt:i4>374</vt:i4>
      </vt:variant>
      <vt:variant>
        <vt:i4>0</vt:i4>
      </vt:variant>
      <vt:variant>
        <vt:i4>5</vt:i4>
      </vt:variant>
      <vt:variant>
        <vt:lpwstr/>
      </vt:variant>
      <vt:variant>
        <vt:lpwstr>_Toc484716006</vt:lpwstr>
      </vt:variant>
      <vt:variant>
        <vt:i4>1966129</vt:i4>
      </vt:variant>
      <vt:variant>
        <vt:i4>368</vt:i4>
      </vt:variant>
      <vt:variant>
        <vt:i4>0</vt:i4>
      </vt:variant>
      <vt:variant>
        <vt:i4>5</vt:i4>
      </vt:variant>
      <vt:variant>
        <vt:lpwstr/>
      </vt:variant>
      <vt:variant>
        <vt:lpwstr>_Toc484716005</vt:lpwstr>
      </vt:variant>
      <vt:variant>
        <vt:i4>1966129</vt:i4>
      </vt:variant>
      <vt:variant>
        <vt:i4>362</vt:i4>
      </vt:variant>
      <vt:variant>
        <vt:i4>0</vt:i4>
      </vt:variant>
      <vt:variant>
        <vt:i4>5</vt:i4>
      </vt:variant>
      <vt:variant>
        <vt:lpwstr/>
      </vt:variant>
      <vt:variant>
        <vt:lpwstr>_Toc484716004</vt:lpwstr>
      </vt:variant>
      <vt:variant>
        <vt:i4>1966129</vt:i4>
      </vt:variant>
      <vt:variant>
        <vt:i4>356</vt:i4>
      </vt:variant>
      <vt:variant>
        <vt:i4>0</vt:i4>
      </vt:variant>
      <vt:variant>
        <vt:i4>5</vt:i4>
      </vt:variant>
      <vt:variant>
        <vt:lpwstr/>
      </vt:variant>
      <vt:variant>
        <vt:lpwstr>_Toc484716003</vt:lpwstr>
      </vt:variant>
      <vt:variant>
        <vt:i4>1966129</vt:i4>
      </vt:variant>
      <vt:variant>
        <vt:i4>350</vt:i4>
      </vt:variant>
      <vt:variant>
        <vt:i4>0</vt:i4>
      </vt:variant>
      <vt:variant>
        <vt:i4>5</vt:i4>
      </vt:variant>
      <vt:variant>
        <vt:lpwstr/>
      </vt:variant>
      <vt:variant>
        <vt:lpwstr>_Toc484716002</vt:lpwstr>
      </vt:variant>
      <vt:variant>
        <vt:i4>1966129</vt:i4>
      </vt:variant>
      <vt:variant>
        <vt:i4>344</vt:i4>
      </vt:variant>
      <vt:variant>
        <vt:i4>0</vt:i4>
      </vt:variant>
      <vt:variant>
        <vt:i4>5</vt:i4>
      </vt:variant>
      <vt:variant>
        <vt:lpwstr/>
      </vt:variant>
      <vt:variant>
        <vt:lpwstr>_Toc484716001</vt:lpwstr>
      </vt:variant>
      <vt:variant>
        <vt:i4>1966129</vt:i4>
      </vt:variant>
      <vt:variant>
        <vt:i4>338</vt:i4>
      </vt:variant>
      <vt:variant>
        <vt:i4>0</vt:i4>
      </vt:variant>
      <vt:variant>
        <vt:i4>5</vt:i4>
      </vt:variant>
      <vt:variant>
        <vt:lpwstr/>
      </vt:variant>
      <vt:variant>
        <vt:lpwstr>_Toc484716000</vt:lpwstr>
      </vt:variant>
      <vt:variant>
        <vt:i4>1310776</vt:i4>
      </vt:variant>
      <vt:variant>
        <vt:i4>332</vt:i4>
      </vt:variant>
      <vt:variant>
        <vt:i4>0</vt:i4>
      </vt:variant>
      <vt:variant>
        <vt:i4>5</vt:i4>
      </vt:variant>
      <vt:variant>
        <vt:lpwstr/>
      </vt:variant>
      <vt:variant>
        <vt:lpwstr>_Toc484715999</vt:lpwstr>
      </vt:variant>
      <vt:variant>
        <vt:i4>1310776</vt:i4>
      </vt:variant>
      <vt:variant>
        <vt:i4>326</vt:i4>
      </vt:variant>
      <vt:variant>
        <vt:i4>0</vt:i4>
      </vt:variant>
      <vt:variant>
        <vt:i4>5</vt:i4>
      </vt:variant>
      <vt:variant>
        <vt:lpwstr/>
      </vt:variant>
      <vt:variant>
        <vt:lpwstr>_Toc484715998</vt:lpwstr>
      </vt:variant>
      <vt:variant>
        <vt:i4>1310776</vt:i4>
      </vt:variant>
      <vt:variant>
        <vt:i4>320</vt:i4>
      </vt:variant>
      <vt:variant>
        <vt:i4>0</vt:i4>
      </vt:variant>
      <vt:variant>
        <vt:i4>5</vt:i4>
      </vt:variant>
      <vt:variant>
        <vt:lpwstr/>
      </vt:variant>
      <vt:variant>
        <vt:lpwstr>_Toc484715997</vt:lpwstr>
      </vt:variant>
      <vt:variant>
        <vt:i4>1310776</vt:i4>
      </vt:variant>
      <vt:variant>
        <vt:i4>314</vt:i4>
      </vt:variant>
      <vt:variant>
        <vt:i4>0</vt:i4>
      </vt:variant>
      <vt:variant>
        <vt:i4>5</vt:i4>
      </vt:variant>
      <vt:variant>
        <vt:lpwstr/>
      </vt:variant>
      <vt:variant>
        <vt:lpwstr>_Toc484715996</vt:lpwstr>
      </vt:variant>
      <vt:variant>
        <vt:i4>1310776</vt:i4>
      </vt:variant>
      <vt:variant>
        <vt:i4>308</vt:i4>
      </vt:variant>
      <vt:variant>
        <vt:i4>0</vt:i4>
      </vt:variant>
      <vt:variant>
        <vt:i4>5</vt:i4>
      </vt:variant>
      <vt:variant>
        <vt:lpwstr/>
      </vt:variant>
      <vt:variant>
        <vt:lpwstr>_Toc484715995</vt:lpwstr>
      </vt:variant>
      <vt:variant>
        <vt:i4>1310776</vt:i4>
      </vt:variant>
      <vt:variant>
        <vt:i4>302</vt:i4>
      </vt:variant>
      <vt:variant>
        <vt:i4>0</vt:i4>
      </vt:variant>
      <vt:variant>
        <vt:i4>5</vt:i4>
      </vt:variant>
      <vt:variant>
        <vt:lpwstr/>
      </vt:variant>
      <vt:variant>
        <vt:lpwstr>_Toc484715994</vt:lpwstr>
      </vt:variant>
      <vt:variant>
        <vt:i4>1310776</vt:i4>
      </vt:variant>
      <vt:variant>
        <vt:i4>296</vt:i4>
      </vt:variant>
      <vt:variant>
        <vt:i4>0</vt:i4>
      </vt:variant>
      <vt:variant>
        <vt:i4>5</vt:i4>
      </vt:variant>
      <vt:variant>
        <vt:lpwstr/>
      </vt:variant>
      <vt:variant>
        <vt:lpwstr>_Toc484715993</vt:lpwstr>
      </vt:variant>
      <vt:variant>
        <vt:i4>1310776</vt:i4>
      </vt:variant>
      <vt:variant>
        <vt:i4>290</vt:i4>
      </vt:variant>
      <vt:variant>
        <vt:i4>0</vt:i4>
      </vt:variant>
      <vt:variant>
        <vt:i4>5</vt:i4>
      </vt:variant>
      <vt:variant>
        <vt:lpwstr/>
      </vt:variant>
      <vt:variant>
        <vt:lpwstr>_Toc484715992</vt:lpwstr>
      </vt:variant>
      <vt:variant>
        <vt:i4>1310776</vt:i4>
      </vt:variant>
      <vt:variant>
        <vt:i4>284</vt:i4>
      </vt:variant>
      <vt:variant>
        <vt:i4>0</vt:i4>
      </vt:variant>
      <vt:variant>
        <vt:i4>5</vt:i4>
      </vt:variant>
      <vt:variant>
        <vt:lpwstr/>
      </vt:variant>
      <vt:variant>
        <vt:lpwstr>_Toc484715991</vt:lpwstr>
      </vt:variant>
      <vt:variant>
        <vt:i4>1310776</vt:i4>
      </vt:variant>
      <vt:variant>
        <vt:i4>278</vt:i4>
      </vt:variant>
      <vt:variant>
        <vt:i4>0</vt:i4>
      </vt:variant>
      <vt:variant>
        <vt:i4>5</vt:i4>
      </vt:variant>
      <vt:variant>
        <vt:lpwstr/>
      </vt:variant>
      <vt:variant>
        <vt:lpwstr>_Toc484715990</vt:lpwstr>
      </vt:variant>
      <vt:variant>
        <vt:i4>1376312</vt:i4>
      </vt:variant>
      <vt:variant>
        <vt:i4>272</vt:i4>
      </vt:variant>
      <vt:variant>
        <vt:i4>0</vt:i4>
      </vt:variant>
      <vt:variant>
        <vt:i4>5</vt:i4>
      </vt:variant>
      <vt:variant>
        <vt:lpwstr/>
      </vt:variant>
      <vt:variant>
        <vt:lpwstr>_Toc484715989</vt:lpwstr>
      </vt:variant>
      <vt:variant>
        <vt:i4>1376312</vt:i4>
      </vt:variant>
      <vt:variant>
        <vt:i4>266</vt:i4>
      </vt:variant>
      <vt:variant>
        <vt:i4>0</vt:i4>
      </vt:variant>
      <vt:variant>
        <vt:i4>5</vt:i4>
      </vt:variant>
      <vt:variant>
        <vt:lpwstr/>
      </vt:variant>
      <vt:variant>
        <vt:lpwstr>_Toc484715988</vt:lpwstr>
      </vt:variant>
      <vt:variant>
        <vt:i4>1376312</vt:i4>
      </vt:variant>
      <vt:variant>
        <vt:i4>260</vt:i4>
      </vt:variant>
      <vt:variant>
        <vt:i4>0</vt:i4>
      </vt:variant>
      <vt:variant>
        <vt:i4>5</vt:i4>
      </vt:variant>
      <vt:variant>
        <vt:lpwstr/>
      </vt:variant>
      <vt:variant>
        <vt:lpwstr>_Toc484715987</vt:lpwstr>
      </vt:variant>
      <vt:variant>
        <vt:i4>1376312</vt:i4>
      </vt:variant>
      <vt:variant>
        <vt:i4>254</vt:i4>
      </vt:variant>
      <vt:variant>
        <vt:i4>0</vt:i4>
      </vt:variant>
      <vt:variant>
        <vt:i4>5</vt:i4>
      </vt:variant>
      <vt:variant>
        <vt:lpwstr/>
      </vt:variant>
      <vt:variant>
        <vt:lpwstr>_Toc484715986</vt:lpwstr>
      </vt:variant>
      <vt:variant>
        <vt:i4>1376312</vt:i4>
      </vt:variant>
      <vt:variant>
        <vt:i4>248</vt:i4>
      </vt:variant>
      <vt:variant>
        <vt:i4>0</vt:i4>
      </vt:variant>
      <vt:variant>
        <vt:i4>5</vt:i4>
      </vt:variant>
      <vt:variant>
        <vt:lpwstr/>
      </vt:variant>
      <vt:variant>
        <vt:lpwstr>_Toc484715985</vt:lpwstr>
      </vt:variant>
      <vt:variant>
        <vt:i4>1376312</vt:i4>
      </vt:variant>
      <vt:variant>
        <vt:i4>242</vt:i4>
      </vt:variant>
      <vt:variant>
        <vt:i4>0</vt:i4>
      </vt:variant>
      <vt:variant>
        <vt:i4>5</vt:i4>
      </vt:variant>
      <vt:variant>
        <vt:lpwstr/>
      </vt:variant>
      <vt:variant>
        <vt:lpwstr>_Toc484715984</vt:lpwstr>
      </vt:variant>
      <vt:variant>
        <vt:i4>1376312</vt:i4>
      </vt:variant>
      <vt:variant>
        <vt:i4>236</vt:i4>
      </vt:variant>
      <vt:variant>
        <vt:i4>0</vt:i4>
      </vt:variant>
      <vt:variant>
        <vt:i4>5</vt:i4>
      </vt:variant>
      <vt:variant>
        <vt:lpwstr/>
      </vt:variant>
      <vt:variant>
        <vt:lpwstr>_Toc484715983</vt:lpwstr>
      </vt:variant>
      <vt:variant>
        <vt:i4>1376312</vt:i4>
      </vt:variant>
      <vt:variant>
        <vt:i4>230</vt:i4>
      </vt:variant>
      <vt:variant>
        <vt:i4>0</vt:i4>
      </vt:variant>
      <vt:variant>
        <vt:i4>5</vt:i4>
      </vt:variant>
      <vt:variant>
        <vt:lpwstr/>
      </vt:variant>
      <vt:variant>
        <vt:lpwstr>_Toc484715982</vt:lpwstr>
      </vt:variant>
      <vt:variant>
        <vt:i4>1376312</vt:i4>
      </vt:variant>
      <vt:variant>
        <vt:i4>224</vt:i4>
      </vt:variant>
      <vt:variant>
        <vt:i4>0</vt:i4>
      </vt:variant>
      <vt:variant>
        <vt:i4>5</vt:i4>
      </vt:variant>
      <vt:variant>
        <vt:lpwstr/>
      </vt:variant>
      <vt:variant>
        <vt:lpwstr>_Toc484715981</vt:lpwstr>
      </vt:variant>
      <vt:variant>
        <vt:i4>1376312</vt:i4>
      </vt:variant>
      <vt:variant>
        <vt:i4>218</vt:i4>
      </vt:variant>
      <vt:variant>
        <vt:i4>0</vt:i4>
      </vt:variant>
      <vt:variant>
        <vt:i4>5</vt:i4>
      </vt:variant>
      <vt:variant>
        <vt:lpwstr/>
      </vt:variant>
      <vt:variant>
        <vt:lpwstr>_Toc484715980</vt:lpwstr>
      </vt:variant>
      <vt:variant>
        <vt:i4>1703992</vt:i4>
      </vt:variant>
      <vt:variant>
        <vt:i4>212</vt:i4>
      </vt:variant>
      <vt:variant>
        <vt:i4>0</vt:i4>
      </vt:variant>
      <vt:variant>
        <vt:i4>5</vt:i4>
      </vt:variant>
      <vt:variant>
        <vt:lpwstr/>
      </vt:variant>
      <vt:variant>
        <vt:lpwstr>_Toc484715979</vt:lpwstr>
      </vt:variant>
      <vt:variant>
        <vt:i4>1703992</vt:i4>
      </vt:variant>
      <vt:variant>
        <vt:i4>206</vt:i4>
      </vt:variant>
      <vt:variant>
        <vt:i4>0</vt:i4>
      </vt:variant>
      <vt:variant>
        <vt:i4>5</vt:i4>
      </vt:variant>
      <vt:variant>
        <vt:lpwstr/>
      </vt:variant>
      <vt:variant>
        <vt:lpwstr>_Toc484715978</vt:lpwstr>
      </vt:variant>
      <vt:variant>
        <vt:i4>1703992</vt:i4>
      </vt:variant>
      <vt:variant>
        <vt:i4>200</vt:i4>
      </vt:variant>
      <vt:variant>
        <vt:i4>0</vt:i4>
      </vt:variant>
      <vt:variant>
        <vt:i4>5</vt:i4>
      </vt:variant>
      <vt:variant>
        <vt:lpwstr/>
      </vt:variant>
      <vt:variant>
        <vt:lpwstr>_Toc484715977</vt:lpwstr>
      </vt:variant>
      <vt:variant>
        <vt:i4>1703992</vt:i4>
      </vt:variant>
      <vt:variant>
        <vt:i4>194</vt:i4>
      </vt:variant>
      <vt:variant>
        <vt:i4>0</vt:i4>
      </vt:variant>
      <vt:variant>
        <vt:i4>5</vt:i4>
      </vt:variant>
      <vt:variant>
        <vt:lpwstr/>
      </vt:variant>
      <vt:variant>
        <vt:lpwstr>_Toc484715976</vt:lpwstr>
      </vt:variant>
      <vt:variant>
        <vt:i4>1703992</vt:i4>
      </vt:variant>
      <vt:variant>
        <vt:i4>188</vt:i4>
      </vt:variant>
      <vt:variant>
        <vt:i4>0</vt:i4>
      </vt:variant>
      <vt:variant>
        <vt:i4>5</vt:i4>
      </vt:variant>
      <vt:variant>
        <vt:lpwstr/>
      </vt:variant>
      <vt:variant>
        <vt:lpwstr>_Toc484715975</vt:lpwstr>
      </vt:variant>
      <vt:variant>
        <vt:i4>1703992</vt:i4>
      </vt:variant>
      <vt:variant>
        <vt:i4>182</vt:i4>
      </vt:variant>
      <vt:variant>
        <vt:i4>0</vt:i4>
      </vt:variant>
      <vt:variant>
        <vt:i4>5</vt:i4>
      </vt:variant>
      <vt:variant>
        <vt:lpwstr/>
      </vt:variant>
      <vt:variant>
        <vt:lpwstr>_Toc484715974</vt:lpwstr>
      </vt:variant>
      <vt:variant>
        <vt:i4>1703992</vt:i4>
      </vt:variant>
      <vt:variant>
        <vt:i4>176</vt:i4>
      </vt:variant>
      <vt:variant>
        <vt:i4>0</vt:i4>
      </vt:variant>
      <vt:variant>
        <vt:i4>5</vt:i4>
      </vt:variant>
      <vt:variant>
        <vt:lpwstr/>
      </vt:variant>
      <vt:variant>
        <vt:lpwstr>_Toc484715973</vt:lpwstr>
      </vt:variant>
      <vt:variant>
        <vt:i4>1703992</vt:i4>
      </vt:variant>
      <vt:variant>
        <vt:i4>170</vt:i4>
      </vt:variant>
      <vt:variant>
        <vt:i4>0</vt:i4>
      </vt:variant>
      <vt:variant>
        <vt:i4>5</vt:i4>
      </vt:variant>
      <vt:variant>
        <vt:lpwstr/>
      </vt:variant>
      <vt:variant>
        <vt:lpwstr>_Toc484715972</vt:lpwstr>
      </vt:variant>
      <vt:variant>
        <vt:i4>1703992</vt:i4>
      </vt:variant>
      <vt:variant>
        <vt:i4>164</vt:i4>
      </vt:variant>
      <vt:variant>
        <vt:i4>0</vt:i4>
      </vt:variant>
      <vt:variant>
        <vt:i4>5</vt:i4>
      </vt:variant>
      <vt:variant>
        <vt:lpwstr/>
      </vt:variant>
      <vt:variant>
        <vt:lpwstr>_Toc484715971</vt:lpwstr>
      </vt:variant>
      <vt:variant>
        <vt:i4>1703992</vt:i4>
      </vt:variant>
      <vt:variant>
        <vt:i4>158</vt:i4>
      </vt:variant>
      <vt:variant>
        <vt:i4>0</vt:i4>
      </vt:variant>
      <vt:variant>
        <vt:i4>5</vt:i4>
      </vt:variant>
      <vt:variant>
        <vt:lpwstr/>
      </vt:variant>
      <vt:variant>
        <vt:lpwstr>_Toc484715970</vt:lpwstr>
      </vt:variant>
      <vt:variant>
        <vt:i4>1769528</vt:i4>
      </vt:variant>
      <vt:variant>
        <vt:i4>152</vt:i4>
      </vt:variant>
      <vt:variant>
        <vt:i4>0</vt:i4>
      </vt:variant>
      <vt:variant>
        <vt:i4>5</vt:i4>
      </vt:variant>
      <vt:variant>
        <vt:lpwstr/>
      </vt:variant>
      <vt:variant>
        <vt:lpwstr>_Toc484715969</vt:lpwstr>
      </vt:variant>
      <vt:variant>
        <vt:i4>1769528</vt:i4>
      </vt:variant>
      <vt:variant>
        <vt:i4>146</vt:i4>
      </vt:variant>
      <vt:variant>
        <vt:i4>0</vt:i4>
      </vt:variant>
      <vt:variant>
        <vt:i4>5</vt:i4>
      </vt:variant>
      <vt:variant>
        <vt:lpwstr/>
      </vt:variant>
      <vt:variant>
        <vt:lpwstr>_Toc484715968</vt:lpwstr>
      </vt:variant>
      <vt:variant>
        <vt:i4>1769528</vt:i4>
      </vt:variant>
      <vt:variant>
        <vt:i4>140</vt:i4>
      </vt:variant>
      <vt:variant>
        <vt:i4>0</vt:i4>
      </vt:variant>
      <vt:variant>
        <vt:i4>5</vt:i4>
      </vt:variant>
      <vt:variant>
        <vt:lpwstr/>
      </vt:variant>
      <vt:variant>
        <vt:lpwstr>_Toc484715967</vt:lpwstr>
      </vt:variant>
      <vt:variant>
        <vt:i4>1769528</vt:i4>
      </vt:variant>
      <vt:variant>
        <vt:i4>134</vt:i4>
      </vt:variant>
      <vt:variant>
        <vt:i4>0</vt:i4>
      </vt:variant>
      <vt:variant>
        <vt:i4>5</vt:i4>
      </vt:variant>
      <vt:variant>
        <vt:lpwstr/>
      </vt:variant>
      <vt:variant>
        <vt:lpwstr>_Toc484715966</vt:lpwstr>
      </vt:variant>
      <vt:variant>
        <vt:i4>1769528</vt:i4>
      </vt:variant>
      <vt:variant>
        <vt:i4>128</vt:i4>
      </vt:variant>
      <vt:variant>
        <vt:i4>0</vt:i4>
      </vt:variant>
      <vt:variant>
        <vt:i4>5</vt:i4>
      </vt:variant>
      <vt:variant>
        <vt:lpwstr/>
      </vt:variant>
      <vt:variant>
        <vt:lpwstr>_Toc484715965</vt:lpwstr>
      </vt:variant>
      <vt:variant>
        <vt:i4>1769528</vt:i4>
      </vt:variant>
      <vt:variant>
        <vt:i4>122</vt:i4>
      </vt:variant>
      <vt:variant>
        <vt:i4>0</vt:i4>
      </vt:variant>
      <vt:variant>
        <vt:i4>5</vt:i4>
      </vt:variant>
      <vt:variant>
        <vt:lpwstr/>
      </vt:variant>
      <vt:variant>
        <vt:lpwstr>_Toc484715964</vt:lpwstr>
      </vt:variant>
      <vt:variant>
        <vt:i4>1769528</vt:i4>
      </vt:variant>
      <vt:variant>
        <vt:i4>116</vt:i4>
      </vt:variant>
      <vt:variant>
        <vt:i4>0</vt:i4>
      </vt:variant>
      <vt:variant>
        <vt:i4>5</vt:i4>
      </vt:variant>
      <vt:variant>
        <vt:lpwstr/>
      </vt:variant>
      <vt:variant>
        <vt:lpwstr>_Toc484715963</vt:lpwstr>
      </vt:variant>
      <vt:variant>
        <vt:i4>1769528</vt:i4>
      </vt:variant>
      <vt:variant>
        <vt:i4>110</vt:i4>
      </vt:variant>
      <vt:variant>
        <vt:i4>0</vt:i4>
      </vt:variant>
      <vt:variant>
        <vt:i4>5</vt:i4>
      </vt:variant>
      <vt:variant>
        <vt:lpwstr/>
      </vt:variant>
      <vt:variant>
        <vt:lpwstr>_Toc484715962</vt:lpwstr>
      </vt:variant>
      <vt:variant>
        <vt:i4>1769528</vt:i4>
      </vt:variant>
      <vt:variant>
        <vt:i4>104</vt:i4>
      </vt:variant>
      <vt:variant>
        <vt:i4>0</vt:i4>
      </vt:variant>
      <vt:variant>
        <vt:i4>5</vt:i4>
      </vt:variant>
      <vt:variant>
        <vt:lpwstr/>
      </vt:variant>
      <vt:variant>
        <vt:lpwstr>_Toc484715961</vt:lpwstr>
      </vt:variant>
      <vt:variant>
        <vt:i4>1769528</vt:i4>
      </vt:variant>
      <vt:variant>
        <vt:i4>98</vt:i4>
      </vt:variant>
      <vt:variant>
        <vt:i4>0</vt:i4>
      </vt:variant>
      <vt:variant>
        <vt:i4>5</vt:i4>
      </vt:variant>
      <vt:variant>
        <vt:lpwstr/>
      </vt:variant>
      <vt:variant>
        <vt:lpwstr>_Toc484715960</vt:lpwstr>
      </vt:variant>
      <vt:variant>
        <vt:i4>1572920</vt:i4>
      </vt:variant>
      <vt:variant>
        <vt:i4>92</vt:i4>
      </vt:variant>
      <vt:variant>
        <vt:i4>0</vt:i4>
      </vt:variant>
      <vt:variant>
        <vt:i4>5</vt:i4>
      </vt:variant>
      <vt:variant>
        <vt:lpwstr/>
      </vt:variant>
      <vt:variant>
        <vt:lpwstr>_Toc484715959</vt:lpwstr>
      </vt:variant>
      <vt:variant>
        <vt:i4>1572920</vt:i4>
      </vt:variant>
      <vt:variant>
        <vt:i4>86</vt:i4>
      </vt:variant>
      <vt:variant>
        <vt:i4>0</vt:i4>
      </vt:variant>
      <vt:variant>
        <vt:i4>5</vt:i4>
      </vt:variant>
      <vt:variant>
        <vt:lpwstr/>
      </vt:variant>
      <vt:variant>
        <vt:lpwstr>_Toc484715958</vt:lpwstr>
      </vt:variant>
      <vt:variant>
        <vt:i4>1572920</vt:i4>
      </vt:variant>
      <vt:variant>
        <vt:i4>80</vt:i4>
      </vt:variant>
      <vt:variant>
        <vt:i4>0</vt:i4>
      </vt:variant>
      <vt:variant>
        <vt:i4>5</vt:i4>
      </vt:variant>
      <vt:variant>
        <vt:lpwstr/>
      </vt:variant>
      <vt:variant>
        <vt:lpwstr>_Toc484715957</vt:lpwstr>
      </vt:variant>
      <vt:variant>
        <vt:i4>1572920</vt:i4>
      </vt:variant>
      <vt:variant>
        <vt:i4>74</vt:i4>
      </vt:variant>
      <vt:variant>
        <vt:i4>0</vt:i4>
      </vt:variant>
      <vt:variant>
        <vt:i4>5</vt:i4>
      </vt:variant>
      <vt:variant>
        <vt:lpwstr/>
      </vt:variant>
      <vt:variant>
        <vt:lpwstr>_Toc484715956</vt:lpwstr>
      </vt:variant>
      <vt:variant>
        <vt:i4>1572920</vt:i4>
      </vt:variant>
      <vt:variant>
        <vt:i4>68</vt:i4>
      </vt:variant>
      <vt:variant>
        <vt:i4>0</vt:i4>
      </vt:variant>
      <vt:variant>
        <vt:i4>5</vt:i4>
      </vt:variant>
      <vt:variant>
        <vt:lpwstr/>
      </vt:variant>
      <vt:variant>
        <vt:lpwstr>_Toc484715955</vt:lpwstr>
      </vt:variant>
      <vt:variant>
        <vt:i4>1572920</vt:i4>
      </vt:variant>
      <vt:variant>
        <vt:i4>62</vt:i4>
      </vt:variant>
      <vt:variant>
        <vt:i4>0</vt:i4>
      </vt:variant>
      <vt:variant>
        <vt:i4>5</vt:i4>
      </vt:variant>
      <vt:variant>
        <vt:lpwstr/>
      </vt:variant>
      <vt:variant>
        <vt:lpwstr>_Toc484715954</vt:lpwstr>
      </vt:variant>
      <vt:variant>
        <vt:i4>1572920</vt:i4>
      </vt:variant>
      <vt:variant>
        <vt:i4>56</vt:i4>
      </vt:variant>
      <vt:variant>
        <vt:i4>0</vt:i4>
      </vt:variant>
      <vt:variant>
        <vt:i4>5</vt:i4>
      </vt:variant>
      <vt:variant>
        <vt:lpwstr/>
      </vt:variant>
      <vt:variant>
        <vt:lpwstr>_Toc484715953</vt:lpwstr>
      </vt:variant>
      <vt:variant>
        <vt:i4>1572920</vt:i4>
      </vt:variant>
      <vt:variant>
        <vt:i4>50</vt:i4>
      </vt:variant>
      <vt:variant>
        <vt:i4>0</vt:i4>
      </vt:variant>
      <vt:variant>
        <vt:i4>5</vt:i4>
      </vt:variant>
      <vt:variant>
        <vt:lpwstr/>
      </vt:variant>
      <vt:variant>
        <vt:lpwstr>_Toc484715952</vt:lpwstr>
      </vt:variant>
      <vt:variant>
        <vt:i4>1572920</vt:i4>
      </vt:variant>
      <vt:variant>
        <vt:i4>44</vt:i4>
      </vt:variant>
      <vt:variant>
        <vt:i4>0</vt:i4>
      </vt:variant>
      <vt:variant>
        <vt:i4>5</vt:i4>
      </vt:variant>
      <vt:variant>
        <vt:lpwstr/>
      </vt:variant>
      <vt:variant>
        <vt:lpwstr>_Toc484715951</vt:lpwstr>
      </vt:variant>
      <vt:variant>
        <vt:i4>1572920</vt:i4>
      </vt:variant>
      <vt:variant>
        <vt:i4>38</vt:i4>
      </vt:variant>
      <vt:variant>
        <vt:i4>0</vt:i4>
      </vt:variant>
      <vt:variant>
        <vt:i4>5</vt:i4>
      </vt:variant>
      <vt:variant>
        <vt:lpwstr/>
      </vt:variant>
      <vt:variant>
        <vt:lpwstr>_Toc484715950</vt:lpwstr>
      </vt:variant>
      <vt:variant>
        <vt:i4>1638456</vt:i4>
      </vt:variant>
      <vt:variant>
        <vt:i4>32</vt:i4>
      </vt:variant>
      <vt:variant>
        <vt:i4>0</vt:i4>
      </vt:variant>
      <vt:variant>
        <vt:i4>5</vt:i4>
      </vt:variant>
      <vt:variant>
        <vt:lpwstr/>
      </vt:variant>
      <vt:variant>
        <vt:lpwstr>_Toc484715949</vt:lpwstr>
      </vt:variant>
      <vt:variant>
        <vt:i4>1638456</vt:i4>
      </vt:variant>
      <vt:variant>
        <vt:i4>26</vt:i4>
      </vt:variant>
      <vt:variant>
        <vt:i4>0</vt:i4>
      </vt:variant>
      <vt:variant>
        <vt:i4>5</vt:i4>
      </vt:variant>
      <vt:variant>
        <vt:lpwstr/>
      </vt:variant>
      <vt:variant>
        <vt:lpwstr>_Toc484715948</vt:lpwstr>
      </vt:variant>
      <vt:variant>
        <vt:i4>1638456</vt:i4>
      </vt:variant>
      <vt:variant>
        <vt:i4>20</vt:i4>
      </vt:variant>
      <vt:variant>
        <vt:i4>0</vt:i4>
      </vt:variant>
      <vt:variant>
        <vt:i4>5</vt:i4>
      </vt:variant>
      <vt:variant>
        <vt:lpwstr/>
      </vt:variant>
      <vt:variant>
        <vt:lpwstr>_Toc484715947</vt:lpwstr>
      </vt:variant>
      <vt:variant>
        <vt:i4>1638456</vt:i4>
      </vt:variant>
      <vt:variant>
        <vt:i4>14</vt:i4>
      </vt:variant>
      <vt:variant>
        <vt:i4>0</vt:i4>
      </vt:variant>
      <vt:variant>
        <vt:i4>5</vt:i4>
      </vt:variant>
      <vt:variant>
        <vt:lpwstr/>
      </vt:variant>
      <vt:variant>
        <vt:lpwstr>_Toc484715946</vt:lpwstr>
      </vt:variant>
      <vt:variant>
        <vt:i4>1638456</vt:i4>
      </vt:variant>
      <vt:variant>
        <vt:i4>8</vt:i4>
      </vt:variant>
      <vt:variant>
        <vt:i4>0</vt:i4>
      </vt:variant>
      <vt:variant>
        <vt:i4>5</vt:i4>
      </vt:variant>
      <vt:variant>
        <vt:lpwstr/>
      </vt:variant>
      <vt:variant>
        <vt:lpwstr>_Toc484715945</vt:lpwstr>
      </vt:variant>
      <vt:variant>
        <vt:i4>1638456</vt:i4>
      </vt:variant>
      <vt:variant>
        <vt:i4>2</vt:i4>
      </vt:variant>
      <vt:variant>
        <vt:i4>0</vt:i4>
      </vt:variant>
      <vt:variant>
        <vt:i4>5</vt:i4>
      </vt:variant>
      <vt:variant>
        <vt:lpwstr/>
      </vt:variant>
      <vt:variant>
        <vt:lpwstr>_Toc484715944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Pinheiro Neto Advogados</dc:creator>
  <cp:keywords/>
  <dc:description/>
  <cp:lastModifiedBy>Pinheiro Neto Advogados</cp:lastModifiedBy>
  <cp:revision>4</cp:revision>
  <cp:lastPrinted>2019-08-21T18:03:00Z</cp:lastPrinted>
  <dcterms:created xsi:type="dcterms:W3CDTF">2019-08-23T22:52:00Z</dcterms:created>
  <dcterms:modified xsi:type="dcterms:W3CDTF">2019-08-23T23:58:00Z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LDOC-3-230466</vt:lpwstr>
  </property>
  <property fmtid="{D5CDD505-2E9C-101B-9397-08002B2CF9AE}" pid="3" name="_dlc_DocIdItemGuid">
    <vt:lpwstr>e293136e-aa1f-4fff-ad4c-f8e96b92db3e</vt:lpwstr>
  </property>
  <property fmtid="{D5CDD505-2E9C-101B-9397-08002B2CF9AE}" pid="4" name="_dlc_DocIdUrl">
    <vt:lpwstr>http://sharepoint/_layouts/15/DocIdRedir.aspx?ID=LDOC-3-230466, LDOC-3-230466</vt:lpwstr>
  </property>
  <property fmtid="{D5CDD505-2E9C-101B-9397-08002B2CF9AE}" pid="5" name="DLCPolicyLabelValue">
    <vt:lpwstr>LDOC-3-228572/0.1</vt:lpwstr>
  </property>
  <property fmtid="{D5CDD505-2E9C-101B-9397-08002B2CF9AE}" pid="6" name="Cliente">
    <vt:lpwstr/>
  </property>
  <property fmtid="{D5CDD505-2E9C-101B-9397-08002B2CF9AE}" pid="7" name="Keywords1">
    <vt:lpwstr/>
  </property>
  <property fmtid="{D5CDD505-2E9C-101B-9397-08002B2CF9AE}" pid="8" name="AutorDocumento">
    <vt:lpwstr/>
  </property>
  <property fmtid="{D5CDD505-2E9C-101B-9397-08002B2CF9AE}" pid="9" name="ContentTypeId">
    <vt:lpwstr>0x0101006EF17356CF70944FBC2751F899F610F400F0B6EB119FFDF04E826FAC6AE872118A</vt:lpwstr>
  </property>
  <property fmtid="{D5CDD505-2E9C-101B-9397-08002B2CF9AE}" pid="10" name="iManageFooter">
    <vt:lpwstr>JUR_SP - 34459962v5 - 599032.447248</vt:lpwstr>
  </property>
</Properties>
</file>