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right="7" w:firstLine="2"/>
        <w:jc w:val="both"/>
        <w:rPr>
          <w:rFonts w:ascii="Verdana" w:hAnsi="Verdana"/>
          <w:sz w:val="20"/>
          <w:szCs w:val="20"/>
          <w:lang w:val="pt-BR"/>
        </w:rPr>
      </w:pPr>
      <w:r>
        <w:rPr>
          <w:rFonts w:ascii="Verdana" w:hAnsi="Verdana"/>
          <w:b/>
          <w:sz w:val="20"/>
          <w:szCs w:val="20"/>
          <w:lang w:val="pt-BR"/>
        </w:rPr>
        <w:t>BOLETIM</w:t>
      </w:r>
      <w:r>
        <w:rPr>
          <w:rFonts w:ascii="Verdana" w:hAnsi="Verdana"/>
          <w:b/>
          <w:spacing w:val="-6"/>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pacing w:val="-1"/>
          <w:sz w:val="20"/>
          <w:szCs w:val="20"/>
          <w:lang w:val="pt-BR"/>
        </w:rPr>
        <w:t>SUBSCRIÇÃO</w:t>
      </w:r>
      <w:r>
        <w:rPr>
          <w:rFonts w:ascii="Verdana" w:hAnsi="Verdana"/>
          <w:b/>
          <w:spacing w:val="-5"/>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DEBÊNTURES</w:t>
      </w:r>
      <w:r>
        <w:rPr>
          <w:rFonts w:ascii="Verdana" w:hAnsi="Verdana"/>
          <w:b/>
          <w:spacing w:val="-8"/>
          <w:sz w:val="20"/>
          <w:szCs w:val="20"/>
          <w:lang w:val="pt-BR"/>
        </w:rPr>
        <w:t xml:space="preserve"> </w:t>
      </w:r>
      <w:r>
        <w:rPr>
          <w:rFonts w:ascii="Verdana" w:hAnsi="Verdana"/>
          <w:b/>
          <w:sz w:val="20"/>
          <w:szCs w:val="20"/>
          <w:lang w:val="pt-BR"/>
        </w:rPr>
        <w:t>SIMPLES,</w:t>
      </w:r>
      <w:r>
        <w:rPr>
          <w:rFonts w:ascii="Verdana" w:hAnsi="Verdana"/>
          <w:b/>
          <w:spacing w:val="-9"/>
          <w:sz w:val="20"/>
          <w:szCs w:val="20"/>
          <w:lang w:val="pt-BR"/>
        </w:rPr>
        <w:t xml:space="preserve"> </w:t>
      </w:r>
      <w:r>
        <w:rPr>
          <w:rFonts w:ascii="Verdana" w:hAnsi="Verdana"/>
          <w:b/>
          <w:spacing w:val="-1"/>
          <w:sz w:val="20"/>
          <w:szCs w:val="20"/>
          <w:lang w:val="pt-BR"/>
        </w:rPr>
        <w:t>NÃO</w:t>
      </w:r>
      <w:r>
        <w:rPr>
          <w:rFonts w:ascii="Verdana" w:hAnsi="Verdana"/>
          <w:b/>
          <w:spacing w:val="-9"/>
          <w:sz w:val="20"/>
          <w:szCs w:val="20"/>
          <w:lang w:val="pt-BR"/>
        </w:rPr>
        <w:t xml:space="preserve"> </w:t>
      </w:r>
      <w:r>
        <w:rPr>
          <w:rFonts w:ascii="Verdana" w:hAnsi="Verdana"/>
          <w:b/>
          <w:sz w:val="20"/>
          <w:szCs w:val="20"/>
          <w:lang w:val="pt-BR"/>
        </w:rPr>
        <w:t>CONVERSÍVEIS</w:t>
      </w:r>
      <w:r>
        <w:rPr>
          <w:rFonts w:ascii="Verdana" w:hAnsi="Verdana"/>
          <w:b/>
          <w:spacing w:val="-8"/>
          <w:sz w:val="20"/>
          <w:szCs w:val="20"/>
          <w:lang w:val="pt-BR"/>
        </w:rPr>
        <w:t xml:space="preserve"> </w:t>
      </w:r>
      <w:r>
        <w:rPr>
          <w:rFonts w:ascii="Verdana" w:hAnsi="Verdana"/>
          <w:b/>
          <w:spacing w:val="-1"/>
          <w:sz w:val="20"/>
          <w:szCs w:val="20"/>
          <w:lang w:val="pt-BR"/>
        </w:rPr>
        <w:t>EM</w:t>
      </w:r>
      <w:r>
        <w:rPr>
          <w:rFonts w:ascii="Verdana" w:hAnsi="Verdana"/>
          <w:b/>
          <w:spacing w:val="-4"/>
          <w:sz w:val="20"/>
          <w:szCs w:val="20"/>
          <w:lang w:val="pt-BR"/>
        </w:rPr>
        <w:t xml:space="preserve"> </w:t>
      </w:r>
      <w:r>
        <w:rPr>
          <w:rFonts w:ascii="Verdana" w:hAnsi="Verdana"/>
          <w:b/>
          <w:spacing w:val="-1"/>
          <w:sz w:val="20"/>
          <w:szCs w:val="20"/>
          <w:lang w:val="pt-BR"/>
        </w:rPr>
        <w:t>AÇÕES,</w:t>
      </w:r>
      <w:r>
        <w:rPr>
          <w:rFonts w:ascii="Verdana" w:hAnsi="Verdana"/>
          <w:b/>
          <w:spacing w:val="-6"/>
          <w:sz w:val="20"/>
          <w:szCs w:val="20"/>
          <w:lang w:val="pt-BR"/>
        </w:rPr>
        <w:t xml:space="preserve"> </w:t>
      </w:r>
      <w:r>
        <w:rPr>
          <w:rFonts w:ascii="Verdana" w:hAnsi="Verdana"/>
          <w:b/>
          <w:spacing w:val="2"/>
          <w:sz w:val="20"/>
          <w:szCs w:val="20"/>
          <w:lang w:val="pt-BR"/>
        </w:rPr>
        <w:t>DA</w:t>
      </w:r>
      <w:r>
        <w:rPr>
          <w:rFonts w:ascii="Verdana" w:hAnsi="Verdana"/>
          <w:b/>
          <w:spacing w:val="-11"/>
          <w:sz w:val="20"/>
          <w:szCs w:val="20"/>
          <w:lang w:val="pt-BR"/>
        </w:rPr>
        <w:t xml:space="preserve"> </w:t>
      </w:r>
      <w:r>
        <w:rPr>
          <w:rFonts w:ascii="Verdana" w:hAnsi="Verdana"/>
          <w:b/>
          <w:sz w:val="20"/>
          <w:szCs w:val="20"/>
          <w:lang w:val="pt-BR"/>
        </w:rPr>
        <w:t>ESPÉCIE</w:t>
      </w:r>
      <w:r>
        <w:rPr>
          <w:rFonts w:ascii="Verdana" w:hAnsi="Verdana"/>
          <w:b/>
          <w:spacing w:val="-7"/>
          <w:sz w:val="20"/>
          <w:szCs w:val="20"/>
          <w:lang w:val="pt-BR"/>
        </w:rPr>
        <w:t xml:space="preserve"> </w:t>
      </w:r>
      <w:r>
        <w:rPr>
          <w:rFonts w:ascii="Verdana" w:hAnsi="Verdana"/>
          <w:b/>
          <w:sz w:val="20"/>
          <w:szCs w:val="20"/>
          <w:lang w:val="pt-BR"/>
        </w:rPr>
        <w:t>QUIROGRAFÁRIA,</w:t>
      </w:r>
      <w:r>
        <w:rPr>
          <w:rFonts w:ascii="Verdana" w:hAnsi="Verdana"/>
          <w:b/>
          <w:spacing w:val="-8"/>
          <w:sz w:val="20"/>
          <w:szCs w:val="20"/>
          <w:lang w:val="pt-BR"/>
        </w:rPr>
        <w:t xml:space="preserve"> </w:t>
      </w:r>
      <w:r>
        <w:rPr>
          <w:rFonts w:ascii="Verdana" w:hAnsi="Verdana"/>
          <w:b/>
          <w:sz w:val="20"/>
          <w:szCs w:val="20"/>
          <w:lang w:val="pt-BR"/>
        </w:rPr>
        <w:t>EM SÉRIE ÚNICA,</w:t>
      </w:r>
      <w:r>
        <w:rPr>
          <w:rFonts w:ascii="Verdana" w:hAnsi="Verdana"/>
          <w:b/>
          <w:spacing w:val="-8"/>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 xml:space="preserve">DÉCIMA TERCEIRA </w:t>
      </w:r>
      <w:r>
        <w:rPr>
          <w:rFonts w:ascii="Verdana" w:hAnsi="Verdana"/>
          <w:b/>
          <w:spacing w:val="-1"/>
          <w:sz w:val="20"/>
          <w:szCs w:val="20"/>
          <w:lang w:val="pt-BR"/>
        </w:rPr>
        <w:t>EMISSÃO</w:t>
      </w:r>
      <w:r>
        <w:rPr>
          <w:rFonts w:ascii="Verdana" w:hAnsi="Verdana"/>
          <w:b/>
          <w:spacing w:val="-5"/>
          <w:sz w:val="20"/>
          <w:szCs w:val="20"/>
          <w:lang w:val="pt-BR"/>
        </w:rPr>
        <w:t xml:space="preserve"> </w:t>
      </w:r>
      <w:r>
        <w:rPr>
          <w:rFonts w:ascii="Verdana" w:hAnsi="Verdana"/>
          <w:b/>
          <w:spacing w:val="2"/>
          <w:sz w:val="20"/>
          <w:szCs w:val="20"/>
          <w:lang w:val="pt-BR"/>
        </w:rPr>
        <w:t>DA</w:t>
      </w:r>
    </w:p>
    <w:p>
      <w:pPr>
        <w:pStyle w:val="Ttulo1"/>
        <w:spacing w:before="45"/>
        <w:ind w:left="515" w:right="519"/>
        <w:jc w:val="center"/>
        <w:rPr>
          <w:rFonts w:ascii="Verdana" w:hAnsi="Verdana" w:cs="Arial"/>
          <w:b w:val="0"/>
          <w:bCs w:val="0"/>
          <w:lang w:val="pt-BR"/>
        </w:rPr>
      </w:pPr>
    </w:p>
    <w:p>
      <w:pPr>
        <w:spacing w:before="6"/>
        <w:jc w:val="center"/>
        <w:rPr>
          <w:rFonts w:ascii="Verdana" w:eastAsia="Arial" w:hAnsi="Verdana" w:cs="Arial"/>
          <w:b/>
          <w:bCs/>
          <w:sz w:val="20"/>
          <w:szCs w:val="20"/>
          <w:lang w:val="pt-BR"/>
        </w:rPr>
      </w:pPr>
      <w:r>
        <w:rPr>
          <w:rFonts w:ascii="Verdana" w:hAnsi="Verdana" w:cs="Times New Roman"/>
          <w:noProof/>
          <w:sz w:val="20"/>
          <w:szCs w:val="20"/>
          <w:lang w:val="pt-BR" w:eastAsia="pt-BR"/>
        </w:rPr>
        <w:drawing>
          <wp:inline distT="0" distB="0" distL="0" distR="0">
            <wp:extent cx="1781175" cy="533400"/>
            <wp:effectExtent l="0" t="0" r="9525"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hAnsi="Verdana"/>
          <w:b/>
          <w:spacing w:val="-2"/>
          <w:sz w:val="20"/>
          <w:szCs w:val="20"/>
          <w:lang w:val="pt-BR"/>
        </w:rPr>
      </w:pP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048" w:right="1048" w:firstLine="0"/>
        <w:jc w:val="center"/>
        <w:rPr>
          <w:rFonts w:ascii="Verdana" w:hAnsi="Verdana"/>
          <w:spacing w:val="-1"/>
          <w:lang w:val="pt-BR"/>
        </w:rPr>
      </w:pPr>
    </w:p>
    <w:p>
      <w:pPr>
        <w:ind w:right="7"/>
        <w:jc w:val="center"/>
        <w:outlineLvl w:val="0"/>
        <w:rPr>
          <w:rFonts w:ascii="Verdana" w:hAnsi="Verdana"/>
          <w:sz w:val="20"/>
          <w:szCs w:val="20"/>
          <w:lang w:val="pt-BR"/>
        </w:rPr>
      </w:pPr>
      <w:r>
        <w:rPr>
          <w:rFonts w:ascii="Verdana" w:hAnsi="Verdana"/>
          <w:b/>
          <w:bCs/>
          <w:spacing w:val="-1"/>
          <w:sz w:val="20"/>
          <w:szCs w:val="20"/>
          <w:lang w:val="pt-BR"/>
        </w:rPr>
        <w:t>Perfazendo</w:t>
      </w:r>
      <w:r>
        <w:rPr>
          <w:rFonts w:ascii="Verdana" w:hAnsi="Verdana"/>
          <w:b/>
          <w:bCs/>
          <w:spacing w:val="-7"/>
          <w:sz w:val="20"/>
          <w:szCs w:val="20"/>
          <w:lang w:val="pt-BR"/>
        </w:rPr>
        <w:t xml:space="preserve"> </w:t>
      </w:r>
      <w:r>
        <w:rPr>
          <w:rFonts w:ascii="Verdana" w:hAnsi="Verdana"/>
          <w:b/>
          <w:bCs/>
          <w:sz w:val="20"/>
          <w:szCs w:val="20"/>
          <w:lang w:val="pt-BR"/>
        </w:rPr>
        <w:t>o</w:t>
      </w:r>
      <w:r>
        <w:rPr>
          <w:rFonts w:ascii="Verdana" w:hAnsi="Verdana"/>
          <w:b/>
          <w:bCs/>
          <w:spacing w:val="-6"/>
          <w:sz w:val="20"/>
          <w:szCs w:val="20"/>
          <w:lang w:val="pt-BR"/>
        </w:rPr>
        <w:t xml:space="preserve"> </w:t>
      </w:r>
      <w:r>
        <w:rPr>
          <w:rFonts w:ascii="Verdana" w:hAnsi="Verdana"/>
          <w:b/>
          <w:bCs/>
          <w:sz w:val="20"/>
          <w:szCs w:val="20"/>
          <w:lang w:val="pt-BR"/>
        </w:rPr>
        <w:t>montante</w:t>
      </w:r>
      <w:r>
        <w:rPr>
          <w:rFonts w:ascii="Verdana" w:hAnsi="Verdana"/>
          <w:b/>
          <w:bCs/>
          <w:spacing w:val="-7"/>
          <w:sz w:val="20"/>
          <w:szCs w:val="20"/>
          <w:lang w:val="pt-BR"/>
        </w:rPr>
        <w:t xml:space="preserve"> </w:t>
      </w:r>
      <w:r>
        <w:rPr>
          <w:rFonts w:ascii="Verdana" w:hAnsi="Verdana"/>
          <w:b/>
          <w:bCs/>
          <w:sz w:val="20"/>
          <w:szCs w:val="20"/>
          <w:lang w:val="pt-BR"/>
        </w:rPr>
        <w:t>total</w:t>
      </w:r>
      <w:r>
        <w:rPr>
          <w:rFonts w:ascii="Verdana" w:hAnsi="Verdana"/>
          <w:b/>
          <w:bCs/>
          <w:spacing w:val="-8"/>
          <w:sz w:val="20"/>
          <w:szCs w:val="20"/>
          <w:lang w:val="pt-BR"/>
        </w:rPr>
        <w:t xml:space="preserve"> </w:t>
      </w:r>
      <w:r>
        <w:rPr>
          <w:rFonts w:ascii="Verdana" w:hAnsi="Verdana"/>
          <w:b/>
          <w:bCs/>
          <w:sz w:val="20"/>
          <w:szCs w:val="20"/>
          <w:lang w:val="pt-BR"/>
        </w:rPr>
        <w:t>de</w:t>
      </w:r>
    </w:p>
    <w:p>
      <w:pPr>
        <w:spacing w:before="47" w:line="276" w:lineRule="exact"/>
        <w:ind w:right="7"/>
        <w:jc w:val="center"/>
        <w:rPr>
          <w:rFonts w:ascii="Verdana" w:hAnsi="Verdana"/>
          <w:b/>
          <w:sz w:val="20"/>
          <w:szCs w:val="20"/>
          <w:lang w:val="pt-BR"/>
        </w:rPr>
      </w:pPr>
      <w:r>
        <w:rPr>
          <w:rFonts w:ascii="Verdana" w:hAnsi="Verdana"/>
          <w:b/>
          <w:spacing w:val="-1"/>
          <w:sz w:val="20"/>
          <w:szCs w:val="20"/>
          <w:lang w:val="pt-BR"/>
        </w:rPr>
        <w:t>R$</w:t>
      </w:r>
      <w:r>
        <w:rPr>
          <w:rFonts w:ascii="Verdana" w:hAnsi="Verdana"/>
          <w:b/>
          <w:sz w:val="20"/>
          <w:szCs w:val="20"/>
          <w:lang w:val="pt-BR"/>
        </w:rPr>
        <w:t>[</w:t>
      </w:r>
      <w:r>
        <w:rPr>
          <w:rFonts w:ascii="Verdana" w:hAnsi="Verdana"/>
          <w:b/>
          <w:sz w:val="20"/>
          <w:szCs w:val="20"/>
          <w:lang w:val="pt-BR"/>
        </w:rPr>
        <w:sym w:font="Symbol" w:char="F0B7"/>
      </w:r>
      <w:r>
        <w:rPr>
          <w:rFonts w:ascii="Verdana" w:hAnsi="Verdana"/>
          <w:b/>
          <w:sz w:val="20"/>
          <w:szCs w:val="20"/>
          <w:lang w:val="pt-BR"/>
        </w:rPr>
        <w:t>]</w:t>
      </w:r>
    </w:p>
    <w:p>
      <w:pPr>
        <w:pStyle w:val="Corpodetexto"/>
        <w:ind w:left="1048" w:right="1048" w:firstLine="0"/>
        <w:jc w:val="center"/>
        <w:rPr>
          <w:rFonts w:ascii="Verdana" w:hAnsi="Verdana" w:cs="Arial"/>
          <w:lang w:val="pt-BR"/>
        </w:rPr>
      </w:pPr>
    </w:p>
    <w:p>
      <w:pPr>
        <w:pStyle w:val="Corpodetexto"/>
        <w:ind w:left="3261" w:right="1274" w:hanging="1985"/>
        <w:jc w:val="center"/>
        <w:rPr>
          <w:rFonts w:ascii="Verdana" w:hAnsi="Verdana"/>
          <w:b/>
          <w:lang w:val="pt-BR"/>
        </w:rPr>
      </w:pPr>
      <w:r>
        <w:rPr>
          <w:rFonts w:ascii="Verdana" w:hAnsi="Verdana"/>
          <w:b/>
          <w:lang w:val="pt-BR"/>
        </w:rPr>
        <w:t>Código ISIN das Debêntures: [</w:t>
      </w:r>
      <w:r>
        <w:rPr>
          <w:rFonts w:ascii="Verdana" w:hAnsi="Verdana"/>
          <w:b/>
          <w:lang w:val="pt-BR"/>
        </w:rPr>
        <w:sym w:font="Symbol" w:char="F0B7"/>
      </w:r>
      <w:r>
        <w:rPr>
          <w:rFonts w:ascii="Verdana" w:hAnsi="Verdana"/>
          <w:b/>
          <w:lang w:val="pt-BR"/>
        </w:rPr>
        <w:t>].</w:t>
      </w:r>
    </w:p>
    <w:p>
      <w:pPr>
        <w:pStyle w:val="Corpodetexto"/>
        <w:ind w:left="0" w:firstLine="0"/>
        <w:jc w:val="center"/>
        <w:rPr>
          <w:rFonts w:ascii="Verdana" w:hAnsi="Verdana"/>
          <w:b/>
          <w:lang w:val="pt-BR"/>
        </w:rPr>
      </w:pPr>
    </w:p>
    <w:p>
      <w:pPr>
        <w:pStyle w:val="Corpodetexto"/>
        <w:ind w:left="0" w:firstLine="0"/>
        <w:jc w:val="center"/>
        <w:rPr>
          <w:rFonts w:ascii="Verdana" w:hAnsi="Verdana" w:cs="Arial"/>
          <w:b/>
          <w:lang w:val="pt-BR"/>
        </w:rPr>
      </w:pPr>
      <w:r>
        <w:rPr>
          <w:rFonts w:ascii="Verdana" w:hAnsi="Verdana"/>
          <w:b/>
          <w:lang w:val="pt-BR"/>
        </w:rPr>
        <w:t>Classificação</w:t>
      </w:r>
      <w:r>
        <w:rPr>
          <w:rFonts w:ascii="Verdana" w:hAnsi="Verdana"/>
          <w:b/>
          <w:spacing w:val="-8"/>
          <w:lang w:val="pt-BR"/>
        </w:rPr>
        <w:t xml:space="preserve"> </w:t>
      </w:r>
      <w:r>
        <w:rPr>
          <w:rFonts w:ascii="Verdana" w:hAnsi="Verdana"/>
          <w:b/>
          <w:lang w:val="pt-BR"/>
        </w:rPr>
        <w:t>de</w:t>
      </w:r>
      <w:r>
        <w:rPr>
          <w:rFonts w:ascii="Verdana" w:hAnsi="Verdana"/>
          <w:b/>
          <w:spacing w:val="-5"/>
          <w:lang w:val="pt-BR"/>
        </w:rPr>
        <w:t xml:space="preserve"> </w:t>
      </w:r>
      <w:r>
        <w:rPr>
          <w:rFonts w:ascii="Verdana" w:hAnsi="Verdana"/>
          <w:b/>
          <w:lang w:val="pt-BR"/>
        </w:rPr>
        <w:t>Risco</w:t>
      </w:r>
      <w:r>
        <w:rPr>
          <w:rFonts w:ascii="Verdana" w:hAnsi="Verdana"/>
          <w:b/>
          <w:spacing w:val="-7"/>
          <w:lang w:val="pt-BR"/>
        </w:rPr>
        <w:t xml:space="preserve"> </w:t>
      </w:r>
      <w:r>
        <w:rPr>
          <w:rFonts w:ascii="Verdana" w:hAnsi="Verdana"/>
          <w:b/>
          <w:spacing w:val="-8"/>
          <w:lang w:val="pt-BR"/>
        </w:rPr>
        <w:t>Definitiva</w:t>
      </w:r>
      <w:r>
        <w:rPr>
          <w:rFonts w:ascii="Verdana" w:hAnsi="Verdana"/>
          <w:b/>
          <w:spacing w:val="-1"/>
          <w:lang w:val="pt-BR"/>
        </w:rPr>
        <w:t xml:space="preserve"> da</w:t>
      </w:r>
      <w:r>
        <w:rPr>
          <w:rFonts w:ascii="Verdana" w:hAnsi="Verdana"/>
          <w:b/>
          <w:spacing w:val="-6"/>
          <w:lang w:val="pt-BR"/>
        </w:rPr>
        <w:t xml:space="preserve"> </w:t>
      </w:r>
      <w:r>
        <w:rPr>
          <w:rFonts w:ascii="Verdana" w:hAnsi="Verdana"/>
          <w:b/>
          <w:lang w:val="pt-BR"/>
        </w:rPr>
        <w:t>Emissão</w:t>
      </w:r>
      <w:r>
        <w:rPr>
          <w:rFonts w:ascii="Verdana" w:hAnsi="Verdana"/>
          <w:b/>
          <w:spacing w:val="-7"/>
          <w:lang w:val="pt-BR"/>
        </w:rPr>
        <w:t xml:space="preserve"> </w:t>
      </w:r>
      <w:r>
        <w:rPr>
          <w:rFonts w:ascii="Verdana" w:hAnsi="Verdana"/>
          <w:b/>
          <w:spacing w:val="-1"/>
          <w:lang w:val="pt-BR"/>
        </w:rPr>
        <w:t>(</w:t>
      </w:r>
      <w:r>
        <w:rPr>
          <w:rFonts w:ascii="Verdana" w:hAnsi="Verdana" w:cs="Arial"/>
          <w:b/>
          <w:i/>
          <w:spacing w:val="-1"/>
          <w:lang w:val="pt-BR"/>
        </w:rPr>
        <w:t>Rating</w:t>
      </w:r>
      <w:r>
        <w:rPr>
          <w:rFonts w:ascii="Verdana" w:hAnsi="Verdana"/>
          <w:b/>
          <w:spacing w:val="-1"/>
          <w:lang w:val="pt-BR"/>
        </w:rPr>
        <w:t>)</w:t>
      </w:r>
      <w:r>
        <w:rPr>
          <w:rFonts w:ascii="Verdana" w:hAnsi="Verdana"/>
          <w:b/>
          <w:spacing w:val="-4"/>
          <w:lang w:val="pt-BR"/>
        </w:rPr>
        <w:t xml:space="preserve"> </w:t>
      </w:r>
      <w:r>
        <w:rPr>
          <w:rFonts w:ascii="Verdana" w:hAnsi="Verdana"/>
          <w:b/>
          <w:lang w:val="pt-BR"/>
        </w:rPr>
        <w:t>pela</w:t>
      </w:r>
      <w:r>
        <w:rPr>
          <w:rFonts w:ascii="Verdana" w:hAnsi="Verdana"/>
          <w:b/>
          <w:spacing w:val="-7"/>
          <w:lang w:val="pt-BR"/>
        </w:rPr>
        <w:t xml:space="preserve"> [Fitch Ratings Brasil Ltda.]</w:t>
      </w:r>
      <w:r>
        <w:rPr>
          <w:rFonts w:ascii="Verdana" w:hAnsi="Verdana"/>
          <w:b/>
          <w:lang w:val="pt-BR"/>
        </w:rPr>
        <w:t>:</w:t>
      </w:r>
      <w:r>
        <w:rPr>
          <w:rFonts w:ascii="Verdana" w:hAnsi="Verdana"/>
          <w:b/>
          <w:spacing w:val="-7"/>
          <w:lang w:val="pt-BR"/>
        </w:rPr>
        <w:t xml:space="preserve"> </w:t>
      </w:r>
      <w:r>
        <w:rPr>
          <w:rFonts w:ascii="Verdana" w:hAnsi="Verdana" w:cs="Arial"/>
          <w:b/>
          <w:lang w:val="pt-BR"/>
        </w:rPr>
        <w:t>“[--]”</w:t>
      </w:r>
    </w:p>
    <w:p>
      <w:pPr>
        <w:pStyle w:val="Corpodetexto"/>
        <w:ind w:left="0" w:firstLine="0"/>
        <w:jc w:val="center"/>
        <w:rPr>
          <w:rFonts w:ascii="Verdana" w:hAnsi="Verdana" w:cs="Arial"/>
          <w:lang w:val="pt-BR"/>
        </w:rPr>
      </w:pPr>
    </w:p>
    <w:p>
      <w:pPr>
        <w:spacing w:line="289" w:lineRule="auto"/>
        <w:ind w:right="7"/>
        <w:jc w:val="center"/>
        <w:outlineLvl w:val="0"/>
        <w:rPr>
          <w:rFonts w:ascii="Verdana" w:hAnsi="Verdana"/>
          <w:b/>
          <w:bCs/>
          <w:sz w:val="20"/>
          <w:szCs w:val="20"/>
          <w:lang w:val="pt-BR"/>
        </w:rPr>
      </w:pPr>
      <w:r>
        <w:rPr>
          <w:rFonts w:ascii="Verdana" w:hAnsi="Verdana"/>
          <w:b/>
          <w:bCs/>
          <w:spacing w:val="-1"/>
          <w:sz w:val="20"/>
          <w:szCs w:val="20"/>
          <w:lang w:val="pt-BR"/>
        </w:rPr>
        <w:t>Registro</w:t>
      </w:r>
      <w:r>
        <w:rPr>
          <w:rFonts w:ascii="Verdana" w:hAnsi="Verdana"/>
          <w:b/>
          <w:bCs/>
          <w:spacing w:val="-8"/>
          <w:sz w:val="20"/>
          <w:szCs w:val="20"/>
          <w:lang w:val="pt-BR"/>
        </w:rPr>
        <w:t xml:space="preserve"> </w:t>
      </w:r>
      <w:r>
        <w:rPr>
          <w:rFonts w:ascii="Verdana" w:hAnsi="Verdana"/>
          <w:b/>
          <w:bCs/>
          <w:sz w:val="20"/>
          <w:szCs w:val="20"/>
          <w:lang w:val="pt-BR"/>
        </w:rPr>
        <w:t>das</w:t>
      </w:r>
      <w:r>
        <w:rPr>
          <w:rFonts w:ascii="Verdana" w:hAnsi="Verdana"/>
          <w:b/>
          <w:bCs/>
          <w:spacing w:val="-9"/>
          <w:sz w:val="20"/>
          <w:szCs w:val="20"/>
          <w:lang w:val="pt-BR"/>
        </w:rPr>
        <w:t xml:space="preserve"> </w:t>
      </w:r>
      <w:r>
        <w:rPr>
          <w:rFonts w:ascii="Verdana" w:hAnsi="Verdana"/>
          <w:b/>
          <w:bCs/>
          <w:sz w:val="20"/>
          <w:szCs w:val="20"/>
          <w:lang w:val="pt-BR"/>
        </w:rPr>
        <w:t>Debêntures</w:t>
      </w:r>
      <w:r>
        <w:rPr>
          <w:rFonts w:ascii="Verdana" w:hAnsi="Verdana"/>
          <w:b/>
          <w:bCs/>
          <w:spacing w:val="-5"/>
          <w:sz w:val="20"/>
          <w:szCs w:val="20"/>
          <w:lang w:val="pt-BR"/>
        </w:rPr>
        <w:t xml:space="preserve"> </w:t>
      </w:r>
      <w:r>
        <w:rPr>
          <w:rFonts w:ascii="Verdana" w:hAnsi="Verdana"/>
          <w:b/>
          <w:bCs/>
          <w:sz w:val="20"/>
          <w:szCs w:val="20"/>
          <w:lang w:val="pt-BR"/>
        </w:rPr>
        <w:t>CVM/SRE/DEB/2019/</w:t>
      </w:r>
      <w:r>
        <w:rPr>
          <w:rFonts w:ascii="Verdana" w:hAnsi="Verdana"/>
          <w:b/>
          <w:sz w:val="20"/>
          <w:szCs w:val="20"/>
          <w:lang w:val="pt-BR"/>
        </w:rPr>
        <w:t>[</w:t>
      </w:r>
      <w:r>
        <w:rPr>
          <w:rFonts w:ascii="Verdana" w:hAnsi="Verdana"/>
          <w:b/>
          <w:sz w:val="20"/>
          <w:szCs w:val="20"/>
          <w:lang w:val="pt-BR"/>
        </w:rPr>
        <w:sym w:font="Symbol" w:char="F0B7"/>
      </w:r>
      <w:r>
        <w:rPr>
          <w:rFonts w:ascii="Verdana" w:hAnsi="Verdana"/>
          <w:b/>
          <w:sz w:val="20"/>
          <w:szCs w:val="20"/>
          <w:lang w:val="pt-BR"/>
        </w:rPr>
        <w:t>]</w:t>
      </w:r>
      <w:r>
        <w:rPr>
          <w:rFonts w:ascii="Verdana" w:hAnsi="Verdana"/>
          <w:b/>
          <w:bCs/>
          <w:sz w:val="20"/>
          <w:szCs w:val="20"/>
          <w:lang w:val="pt-BR"/>
        </w:rPr>
        <w:t>,</w:t>
      </w:r>
      <w:r>
        <w:rPr>
          <w:rFonts w:ascii="Verdana" w:hAnsi="Verdana"/>
          <w:b/>
          <w:bCs/>
          <w:spacing w:val="-9"/>
          <w:sz w:val="20"/>
          <w:szCs w:val="20"/>
          <w:lang w:val="pt-BR"/>
        </w:rPr>
        <w:t xml:space="preserve"> </w:t>
      </w:r>
    </w:p>
    <w:p>
      <w:pPr>
        <w:pStyle w:val="Corpodetexto"/>
        <w:ind w:left="0" w:firstLine="0"/>
        <w:jc w:val="center"/>
        <w:rPr>
          <w:rFonts w:ascii="Verdana" w:hAnsi="Verdana" w:cs="Arial"/>
          <w:lang w:val="pt-BR"/>
        </w:rPr>
      </w:pPr>
      <w:proofErr w:type="gramStart"/>
      <w:r>
        <w:rPr>
          <w:rFonts w:ascii="Verdana" w:hAnsi="Verdana"/>
          <w:b/>
          <w:bCs/>
          <w:spacing w:val="-1"/>
          <w:lang w:val="pt-BR"/>
        </w:rPr>
        <w:t>em</w:t>
      </w:r>
      <w:proofErr w:type="gramEnd"/>
      <w:r>
        <w:rPr>
          <w:rFonts w:ascii="Verdana" w:hAnsi="Verdana"/>
          <w:b/>
          <w:bCs/>
          <w:spacing w:val="-8"/>
          <w:lang w:val="pt-BR"/>
        </w:rPr>
        <w:t xml:space="preserve"> [</w:t>
      </w:r>
      <w:r>
        <w:rPr>
          <w:rFonts w:ascii="Verdana" w:hAnsi="Verdana"/>
          <w:b/>
          <w:bCs/>
          <w:i/>
          <w:spacing w:val="-8"/>
          <w:lang w:val="pt-BR"/>
        </w:rPr>
        <w:t>data</w:t>
      </w:r>
      <w:r>
        <w:rPr>
          <w:rFonts w:ascii="Verdana" w:hAnsi="Verdana"/>
          <w:b/>
          <w:bCs/>
          <w:spacing w:val="-8"/>
          <w:lang w:val="pt-BR"/>
        </w:rPr>
        <w:t>]</w:t>
      </w:r>
      <w:r>
        <w:rPr>
          <w:rFonts w:ascii="Verdana" w:hAnsi="Verdana"/>
          <w:b/>
          <w:bCs/>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lang w:val="pt-BR"/>
        </w:rPr>
      </w:pPr>
      <w:r>
        <w:rPr>
          <w:rFonts w:ascii="Verdana" w:hAnsi="Verdana"/>
          <w:b/>
          <w:spacing w:val="-1"/>
          <w:sz w:val="20"/>
          <w:szCs w:val="20"/>
          <w:lang w:val="pt-BR"/>
        </w:rPr>
        <w:t>OFERTA</w:t>
      </w:r>
      <w:r>
        <w:rPr>
          <w:rFonts w:ascii="Verdana" w:hAnsi="Verdana"/>
          <w:b/>
          <w:spacing w:val="-2"/>
          <w:sz w:val="20"/>
          <w:szCs w:val="20"/>
          <w:lang w:val="pt-BR"/>
        </w:rPr>
        <w:t xml:space="preserve"> NÃO </w:t>
      </w:r>
      <w:r>
        <w:rPr>
          <w:rFonts w:ascii="Verdana" w:hAnsi="Verdana"/>
          <w:b/>
          <w:spacing w:val="-1"/>
          <w:sz w:val="20"/>
          <w:szCs w:val="20"/>
          <w:lang w:val="pt-BR"/>
        </w:rPr>
        <w:t>INSTITUCIONAL</w:t>
      </w:r>
    </w:p>
    <w:p>
      <w:pPr>
        <w:rPr>
          <w:rFonts w:ascii="Verdana" w:hAnsi="Verdana"/>
          <w:sz w:val="20"/>
          <w:szCs w:val="20"/>
          <w:lang w:val="pt-BR"/>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rPr>
          <w:rFonts w:ascii="Verdana" w:hAnsi="Verdana"/>
          <w:sz w:val="20"/>
          <w:szCs w:val="20"/>
          <w:lang w:val="pt-BR"/>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jc w:val="both"/>
              <w:rPr>
                <w:rFonts w:ascii="Verdana" w:hAnsi="Verdana"/>
                <w:sz w:val="20"/>
                <w:szCs w:val="20"/>
                <w:lang w:val="pt-BR"/>
              </w:rPr>
            </w:pPr>
            <w:r>
              <w:rPr>
                <w:rFonts w:ascii="Verdana" w:hAnsi="Verdana"/>
                <w:sz w:val="20"/>
                <w:szCs w:val="20"/>
                <w:lang w:val="pt-BR"/>
              </w:rPr>
              <w:t>Boletim de subscrição (“</w:t>
            </w:r>
            <w:r>
              <w:rPr>
                <w:rFonts w:ascii="Verdana" w:hAnsi="Verdana"/>
                <w:sz w:val="20"/>
                <w:szCs w:val="20"/>
                <w:u w:val="single"/>
                <w:lang w:val="pt-BR"/>
              </w:rPr>
              <w:t>Boletim de Subscrição</w:t>
            </w:r>
            <w:r>
              <w:rPr>
                <w:rFonts w:ascii="Verdana" w:hAnsi="Verdana"/>
                <w:sz w:val="20"/>
                <w:szCs w:val="20"/>
                <w:lang w:val="pt-BR"/>
              </w:rPr>
              <w:t>”) relativo à oferta pública de distribuição de [</w:t>
            </w:r>
            <w:r>
              <w:rPr>
                <w:rFonts w:ascii="Verdana" w:hAnsi="Verdana"/>
                <w:sz w:val="20"/>
                <w:szCs w:val="20"/>
                <w:lang w:val="pt-BR"/>
              </w:rPr>
              <w:sym w:font="Symbol" w:char="F0B7"/>
            </w:r>
            <w:r>
              <w:rPr>
                <w:rFonts w:ascii="Verdana" w:hAnsi="Verdana"/>
                <w:sz w:val="20"/>
                <w:szCs w:val="20"/>
                <w:lang w:val="pt-BR"/>
              </w:rPr>
              <w:t>] ([</w:t>
            </w:r>
            <w:r>
              <w:rPr>
                <w:rFonts w:ascii="Verdana" w:hAnsi="Verdana"/>
                <w:sz w:val="20"/>
                <w:szCs w:val="20"/>
                <w:lang w:val="pt-BR"/>
              </w:rPr>
              <w:sym w:font="Symbol" w:char="F0B7"/>
            </w:r>
            <w:r>
              <w:rPr>
                <w:rFonts w:ascii="Verdana" w:hAnsi="Verdana"/>
                <w:sz w:val="20"/>
                <w:szCs w:val="20"/>
                <w:lang w:val="pt-BR"/>
              </w:rPr>
              <w:t>]) debêntures simples, nominativas, escriturais, não conversíveis em ações, da espécie quirografária, em série única (“</w:t>
            </w:r>
            <w:r>
              <w:rPr>
                <w:rFonts w:ascii="Verdana" w:hAnsi="Verdana"/>
                <w:sz w:val="20"/>
                <w:szCs w:val="20"/>
                <w:u w:val="single"/>
                <w:lang w:val="pt-BR"/>
              </w:rPr>
              <w:t>Debêntures</w:t>
            </w:r>
            <w:r>
              <w:rPr>
                <w:rFonts w:ascii="Verdana" w:hAnsi="Verdana"/>
                <w:sz w:val="20"/>
                <w:szCs w:val="20"/>
                <w:lang w:val="pt-BR"/>
              </w:rPr>
              <w:t>”), da décima terceira emissão (“</w:t>
            </w:r>
            <w:r>
              <w:rPr>
                <w:rFonts w:ascii="Verdana" w:hAnsi="Verdana"/>
                <w:sz w:val="20"/>
                <w:szCs w:val="20"/>
                <w:u w:val="single"/>
                <w:lang w:val="pt-BR"/>
              </w:rPr>
              <w:t>Emissão</w:t>
            </w:r>
            <w:r>
              <w:rPr>
                <w:rFonts w:ascii="Verdana" w:hAnsi="Verdana"/>
                <w:sz w:val="20"/>
                <w:szCs w:val="20"/>
                <w:lang w:val="pt-BR"/>
              </w:rPr>
              <w:t xml:space="preserve">”) da </w:t>
            </w:r>
            <w:r>
              <w:rPr>
                <w:rFonts w:ascii="Verdana" w:hAnsi="Verdana"/>
                <w:b/>
                <w:sz w:val="20"/>
                <w:szCs w:val="20"/>
                <w:lang w:val="pt-BR"/>
              </w:rPr>
              <w:t>Rumo S.A.</w:t>
            </w:r>
            <w:r>
              <w:rPr>
                <w:rFonts w:ascii="Verdana" w:hAnsi="Verdana"/>
                <w:sz w:val="20"/>
                <w:szCs w:val="20"/>
                <w:lang w:val="pt-BR"/>
              </w:rPr>
              <w:t xml:space="preserve"> (“</w:t>
            </w:r>
            <w:r>
              <w:rPr>
                <w:rFonts w:ascii="Verdana" w:hAnsi="Verdana"/>
                <w:sz w:val="20"/>
                <w:szCs w:val="20"/>
                <w:u w:val="single"/>
                <w:lang w:val="pt-BR"/>
              </w:rPr>
              <w:t>Emissora</w:t>
            </w:r>
            <w:r>
              <w:rPr>
                <w:rFonts w:ascii="Verdana" w:hAnsi="Verdana"/>
                <w:sz w:val="20"/>
                <w:szCs w:val="20"/>
                <w:lang w:val="pt-BR"/>
              </w:rPr>
              <w:t>”), com valor nominal unitário de R$1.000,00 (mil reais) (“</w:t>
            </w:r>
            <w:r>
              <w:rPr>
                <w:rFonts w:ascii="Verdana" w:hAnsi="Verdana"/>
                <w:sz w:val="20"/>
                <w:szCs w:val="20"/>
                <w:u w:val="single"/>
                <w:lang w:val="pt-BR"/>
              </w:rPr>
              <w:t>Valor Nominal Unitário</w:t>
            </w:r>
            <w:r>
              <w:rPr>
                <w:rFonts w:ascii="Verdana" w:hAnsi="Verdana"/>
                <w:sz w:val="20"/>
                <w:szCs w:val="20"/>
                <w:lang w:val="pt-BR"/>
              </w:rPr>
              <w:t>”) na respectiva data de emissão, qual seja, 15 de outubro de 2019 (“</w:t>
            </w:r>
            <w:r>
              <w:rPr>
                <w:rFonts w:ascii="Verdana" w:hAnsi="Verdana"/>
                <w:sz w:val="20"/>
                <w:szCs w:val="20"/>
                <w:u w:val="single"/>
                <w:lang w:val="pt-BR"/>
              </w:rPr>
              <w:t>Data de Emissão</w:t>
            </w:r>
            <w:r>
              <w:rPr>
                <w:rFonts w:ascii="Verdana" w:hAnsi="Verdana"/>
                <w:sz w:val="20"/>
                <w:szCs w:val="20"/>
                <w:lang w:val="pt-BR"/>
              </w:rPr>
              <w:t>”), com valor total de R$[•] ([•]), [já considerando as [</w:t>
            </w:r>
            <w:r>
              <w:rPr>
                <w:rFonts w:ascii="Verdana" w:hAnsi="Verdana"/>
                <w:sz w:val="20"/>
                <w:szCs w:val="20"/>
                <w:lang w:val="pt-BR"/>
              </w:rPr>
              <w:sym w:font="Symbol" w:char="F0B7"/>
            </w:r>
            <w:r>
              <w:rPr>
                <w:rFonts w:ascii="Verdana" w:hAnsi="Verdana"/>
                <w:sz w:val="20"/>
                <w:szCs w:val="20"/>
                <w:lang w:val="pt-BR"/>
              </w:rPr>
              <w:t>] Debêntures Adicionais (conforme abaixo definido),] realizada no Brasil, nos termos da Instrução da Comissão de Valores Mobiliários (“</w:t>
            </w:r>
            <w:r>
              <w:rPr>
                <w:rFonts w:ascii="Verdana" w:hAnsi="Verdana"/>
                <w:sz w:val="20"/>
                <w:szCs w:val="20"/>
                <w:u w:val="single"/>
                <w:lang w:val="pt-BR"/>
              </w:rPr>
              <w:t>CVM</w:t>
            </w:r>
            <w:r>
              <w:rPr>
                <w:rFonts w:ascii="Verdana" w:hAnsi="Verdana"/>
                <w:sz w:val="20"/>
                <w:szCs w:val="20"/>
                <w:lang w:val="pt-BR"/>
              </w:rPr>
              <w:t>”) nº 400, de 29 de dezembro de 2003, conforme alterada (“</w:t>
            </w:r>
            <w:r>
              <w:rPr>
                <w:rFonts w:ascii="Verdana" w:hAnsi="Verdana"/>
                <w:sz w:val="20"/>
                <w:szCs w:val="20"/>
                <w:u w:val="single"/>
                <w:lang w:val="pt-BR"/>
              </w:rPr>
              <w:t>Instrução CVM 400</w:t>
            </w:r>
            <w:r>
              <w:rPr>
                <w:rFonts w:ascii="Verdana" w:hAnsi="Verdana"/>
                <w:sz w:val="20"/>
                <w:szCs w:val="20"/>
                <w:lang w:val="pt-BR"/>
              </w:rPr>
              <w:t>”), do “Código ANBIMA de Regulação e Melhores Práticas para Ofertas Públicas” atualmente vigente (“</w:t>
            </w:r>
            <w:r>
              <w:rPr>
                <w:rFonts w:ascii="Verdana" w:hAnsi="Verdana"/>
                <w:sz w:val="20"/>
                <w:szCs w:val="20"/>
                <w:u w:val="single"/>
                <w:lang w:val="pt-BR"/>
              </w:rPr>
              <w:t>Código ANBIMA de Ofertas Públicas</w:t>
            </w:r>
            <w:r>
              <w:rPr>
                <w:rFonts w:ascii="Verdana" w:hAnsi="Verdana"/>
                <w:sz w:val="20"/>
                <w:szCs w:val="20"/>
                <w:lang w:val="pt-BR"/>
              </w:rPr>
              <w:t xml:space="preserve">”), da Lei nº 6.385, de 7 de dezembro de 1976, conforme alterada </w:t>
            </w:r>
            <w:r>
              <w:rPr>
                <w:rFonts w:ascii="Verdana" w:hAnsi="Verdana"/>
                <w:spacing w:val="3"/>
                <w:sz w:val="20"/>
                <w:szCs w:val="20"/>
                <w:lang w:val="pt-BR"/>
              </w:rPr>
              <w:t>(“</w:t>
            </w:r>
            <w:r>
              <w:rPr>
                <w:rFonts w:ascii="Verdana" w:hAnsi="Verdana"/>
                <w:spacing w:val="3"/>
                <w:sz w:val="20"/>
                <w:szCs w:val="20"/>
                <w:u w:val="single"/>
                <w:lang w:val="pt-BR"/>
              </w:rPr>
              <w:t xml:space="preserve">Lei </w:t>
            </w:r>
            <w:r>
              <w:rPr>
                <w:rFonts w:ascii="Verdana" w:hAnsi="Verdana"/>
                <w:sz w:val="20"/>
                <w:szCs w:val="20"/>
                <w:u w:val="single"/>
                <w:lang w:val="pt-BR"/>
              </w:rPr>
              <w:t>do Mercado de Valores Mobiliários</w:t>
            </w:r>
            <w:r>
              <w:rPr>
                <w:rFonts w:ascii="Verdana" w:hAnsi="Verdana"/>
                <w:sz w:val="20"/>
                <w:szCs w:val="20"/>
                <w:lang w:val="pt-BR"/>
              </w:rPr>
              <w:t xml:space="preserve">”) e das demais disposições legais, regulamentares e </w:t>
            </w:r>
            <w:proofErr w:type="spellStart"/>
            <w:r>
              <w:rPr>
                <w:rFonts w:ascii="Verdana" w:hAnsi="Verdana"/>
                <w:sz w:val="20"/>
                <w:szCs w:val="20"/>
                <w:lang w:val="pt-BR"/>
              </w:rPr>
              <w:t>autorregulatórias</w:t>
            </w:r>
            <w:proofErr w:type="spellEnd"/>
            <w:r>
              <w:rPr>
                <w:rFonts w:ascii="Verdana" w:hAnsi="Verdana"/>
                <w:sz w:val="20"/>
                <w:szCs w:val="20"/>
                <w:lang w:val="pt-BR"/>
              </w:rPr>
              <w:t xml:space="preserve"> aplicáveis (“</w:t>
            </w:r>
            <w:r>
              <w:rPr>
                <w:rFonts w:ascii="Verdana" w:hAnsi="Verdana"/>
                <w:sz w:val="20"/>
                <w:szCs w:val="20"/>
                <w:u w:val="single"/>
                <w:lang w:val="pt-BR"/>
              </w:rPr>
              <w:t>Oferta</w:t>
            </w:r>
            <w:r>
              <w:rPr>
                <w:rFonts w:ascii="Verdana" w:hAnsi="Verdana"/>
                <w:sz w:val="20"/>
                <w:szCs w:val="20"/>
                <w:lang w:val="pt-BR"/>
              </w:rPr>
              <w:t>”), sob coordenação do Banco Itaú BBA S.A. (“</w:t>
            </w:r>
            <w:r>
              <w:rPr>
                <w:rFonts w:ascii="Verdana" w:hAnsi="Verdana"/>
                <w:sz w:val="20"/>
                <w:szCs w:val="20"/>
                <w:u w:val="single"/>
                <w:lang w:val="pt-BR"/>
              </w:rPr>
              <w:t>Itaú BBA</w:t>
            </w:r>
            <w:r>
              <w:rPr>
                <w:rFonts w:ascii="Verdana" w:hAnsi="Verdana"/>
                <w:sz w:val="20"/>
                <w:szCs w:val="20"/>
                <w:lang w:val="pt-BR"/>
              </w:rPr>
              <w:t>” ou “</w:t>
            </w:r>
            <w:r>
              <w:rPr>
                <w:rFonts w:ascii="Verdana" w:hAnsi="Verdana"/>
                <w:sz w:val="20"/>
                <w:szCs w:val="20"/>
                <w:u w:val="single"/>
                <w:lang w:val="pt-BR"/>
              </w:rPr>
              <w:t>Coordenador Líder</w:t>
            </w:r>
            <w:r>
              <w:rPr>
                <w:rFonts w:ascii="Verdana" w:hAnsi="Verdana"/>
                <w:sz w:val="20"/>
                <w:szCs w:val="20"/>
                <w:lang w:val="pt-BR"/>
              </w:rPr>
              <w:t>”), do Banco Santander (Brasil) S.A. (“</w:t>
            </w:r>
            <w:r>
              <w:rPr>
                <w:rFonts w:ascii="Verdana" w:hAnsi="Verdana"/>
                <w:sz w:val="20"/>
                <w:szCs w:val="20"/>
                <w:u w:val="single"/>
                <w:lang w:val="pt-BR"/>
              </w:rPr>
              <w:t>Santander</w:t>
            </w:r>
            <w:r>
              <w:rPr>
                <w:rFonts w:ascii="Verdana" w:hAnsi="Verdana"/>
                <w:sz w:val="20"/>
                <w:szCs w:val="20"/>
                <w:lang w:val="pt-BR"/>
              </w:rPr>
              <w:t>”), da XP Investimentos Corretora de Câmbio, Títulos e Valores Mobiliários S.A. (“</w:t>
            </w:r>
            <w:r>
              <w:rPr>
                <w:rFonts w:ascii="Verdana" w:hAnsi="Verdana"/>
                <w:sz w:val="20"/>
                <w:szCs w:val="20"/>
                <w:u w:val="single"/>
                <w:lang w:val="pt-BR"/>
              </w:rPr>
              <w:t>XP Investimentos</w:t>
            </w:r>
            <w:r>
              <w:rPr>
                <w:rFonts w:ascii="Verdana" w:hAnsi="Verdana"/>
                <w:sz w:val="20"/>
                <w:szCs w:val="20"/>
                <w:lang w:val="pt-BR"/>
              </w:rPr>
              <w:t>”), BB-BI Banco de Investimento S.A. (“</w:t>
            </w:r>
            <w:r>
              <w:rPr>
                <w:rFonts w:ascii="Verdana" w:hAnsi="Verdana"/>
                <w:sz w:val="20"/>
                <w:szCs w:val="20"/>
                <w:u w:val="single"/>
                <w:lang w:val="pt-BR"/>
              </w:rPr>
              <w:t>BB-BI</w:t>
            </w:r>
            <w:r>
              <w:rPr>
                <w:rFonts w:ascii="Verdana" w:hAnsi="Verdana"/>
                <w:sz w:val="20"/>
                <w:szCs w:val="20"/>
                <w:lang w:val="pt-BR"/>
              </w:rPr>
              <w:t>”), do Banco Bradesco BBI S.A. (“</w:t>
            </w:r>
            <w:r>
              <w:rPr>
                <w:rFonts w:ascii="Verdana" w:hAnsi="Verdana"/>
                <w:sz w:val="20"/>
                <w:szCs w:val="20"/>
                <w:u w:val="single"/>
                <w:lang w:val="pt-BR"/>
              </w:rPr>
              <w:t>Bradesco BBI</w:t>
            </w:r>
            <w:r>
              <w:rPr>
                <w:rFonts w:ascii="Verdana" w:hAnsi="Verdana"/>
                <w:sz w:val="20"/>
                <w:szCs w:val="20"/>
                <w:lang w:val="pt-BR"/>
              </w:rPr>
              <w:t>”) e do Banco BTG Pactual S.A. (“</w:t>
            </w:r>
            <w:r>
              <w:rPr>
                <w:rFonts w:ascii="Verdana" w:hAnsi="Verdana"/>
                <w:sz w:val="20"/>
                <w:szCs w:val="20"/>
                <w:u w:val="single"/>
                <w:lang w:val="pt-BR"/>
              </w:rPr>
              <w:t>BTG Pactual</w:t>
            </w:r>
            <w:r>
              <w:rPr>
                <w:rFonts w:ascii="Verdana" w:hAnsi="Verdana"/>
                <w:sz w:val="20"/>
                <w:szCs w:val="20"/>
                <w:lang w:val="pt-BR"/>
              </w:rPr>
              <w:t>” e, em conjunto com o Coordenador Líder, Santander, XP Investimentos, BB-BI e o Bradesco BBI, “</w:t>
            </w:r>
            <w:r>
              <w:rPr>
                <w:rFonts w:ascii="Verdana" w:hAnsi="Verdana"/>
                <w:sz w:val="20"/>
                <w:szCs w:val="20"/>
                <w:u w:val="single"/>
                <w:lang w:val="pt-BR"/>
              </w:rPr>
              <w:t>Coordenadores</w:t>
            </w:r>
            <w:r>
              <w:rPr>
                <w:rFonts w:ascii="Verdana" w:hAnsi="Verdana"/>
                <w:sz w:val="20"/>
                <w:szCs w:val="20"/>
                <w:lang w:val="pt-BR"/>
              </w:rPr>
              <w:t>”) e instituições financeiras, que não se enquadrem como Coordenadores, autorizadas a operar no mercado de 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sz w:val="20"/>
                <w:szCs w:val="20"/>
                <w:lang w:val="pt-BR"/>
              </w:rPr>
              <w:sym w:font="Symbol" w:char="F0B7"/>
            </w:r>
            <w:r>
              <w:rPr>
                <w:rFonts w:ascii="Verdana" w:hAnsi="Verdana"/>
                <w:sz w:val="20"/>
                <w:szCs w:val="20"/>
                <w:lang w:val="pt-BR"/>
              </w:rPr>
              <w:t>] de [</w:t>
            </w:r>
            <w:r>
              <w:rPr>
                <w:rFonts w:ascii="Verdana" w:hAnsi="Verdana"/>
                <w:sz w:val="20"/>
                <w:szCs w:val="20"/>
                <w:lang w:val="pt-BR"/>
              </w:rPr>
              <w:sym w:font="Symbol" w:char="F0B7"/>
            </w:r>
            <w:r>
              <w:rPr>
                <w:rFonts w:ascii="Verdana" w:hAnsi="Verdana"/>
                <w:sz w:val="20"/>
                <w:szCs w:val="20"/>
                <w:lang w:val="pt-BR"/>
              </w:rPr>
              <w:t>] de 2019, entre a Emissora e os Coordenadores (“</w:t>
            </w:r>
            <w:r>
              <w:rPr>
                <w:rFonts w:ascii="Verdana" w:hAnsi="Verdana"/>
                <w:sz w:val="20"/>
                <w:szCs w:val="20"/>
                <w:u w:val="single"/>
                <w:lang w:val="pt-BR"/>
              </w:rPr>
              <w:t>Contrato de Distribuição</w:t>
            </w:r>
            <w:r>
              <w:rPr>
                <w:rFonts w:ascii="Verdana" w:hAnsi="Verdana"/>
                <w:sz w:val="20"/>
                <w:szCs w:val="20"/>
                <w:lang w:val="pt-BR"/>
              </w:rPr>
              <w:t>”) para participarem da Oferta exclusivamente para o recebimento de Pedidos de Reserva (“</w:t>
            </w:r>
            <w:r>
              <w:rPr>
                <w:rFonts w:ascii="Verdana" w:hAnsi="Verdana"/>
                <w:sz w:val="20"/>
                <w:szCs w:val="20"/>
                <w:u w:val="single"/>
                <w:lang w:val="pt-BR"/>
              </w:rPr>
              <w:t>Participantes Especiais</w:t>
            </w:r>
            <w:r>
              <w:rPr>
                <w:rFonts w:ascii="Verdana" w:hAnsi="Verdana"/>
                <w:sz w:val="20"/>
                <w:szCs w:val="20"/>
                <w:lang w:val="pt-BR"/>
              </w:rPr>
              <w:t>” e, em conjunto com os Coordenadores, “</w:t>
            </w:r>
            <w:r>
              <w:rPr>
                <w:rFonts w:ascii="Verdana" w:hAnsi="Verdana"/>
                <w:sz w:val="20"/>
                <w:szCs w:val="20"/>
                <w:u w:val="single"/>
                <w:lang w:val="pt-BR"/>
              </w:rPr>
              <w:t>Instituições Participantes da Oferta</w:t>
            </w:r>
            <w:r>
              <w:rPr>
                <w:rFonts w:ascii="Verdana" w:hAnsi="Verdana"/>
                <w:sz w:val="20"/>
                <w:szCs w:val="20"/>
                <w:lang w:val="pt-BR"/>
              </w:rPr>
              <w:t>”).</w:t>
            </w:r>
          </w:p>
          <w:p>
            <w:pPr>
              <w:jc w:val="both"/>
              <w:rPr>
                <w:rFonts w:ascii="Verdana" w:hAnsi="Verdana"/>
                <w:sz w:val="20"/>
                <w:szCs w:val="20"/>
                <w:lang w:val="pt-BR"/>
              </w:rPr>
            </w:pPr>
          </w:p>
          <w:p>
            <w:pPr>
              <w:pStyle w:val="Corpodetexto"/>
              <w:spacing w:after="120"/>
              <w:ind w:left="33" w:right="33" w:firstLine="0"/>
              <w:jc w:val="both"/>
              <w:rPr>
                <w:rFonts w:ascii="Verdana" w:hAnsi="Verdana"/>
                <w:lang w:val="pt-BR"/>
              </w:rPr>
            </w:pPr>
            <w:r>
              <w:rPr>
                <w:rFonts w:ascii="Verdana" w:hAnsi="Verdana"/>
                <w:lang w:val="pt-BR"/>
              </w:rPr>
              <w:t xml:space="preserve">As características das Debêntures estão estabelecidas na “Escritura Particular da Décima Terceira </w:t>
            </w:r>
            <w:r>
              <w:rPr>
                <w:rFonts w:ascii="Verdana" w:hAnsi="Verdana"/>
                <w:lang w:val="pt-BR"/>
              </w:rPr>
              <w:lastRenderedPageBreak/>
              <w:t>Emissão de Debêntures Simples, Não Conversíveis em Ações, da Espécie Quirografária, em Série Única, para Distribuição Pública, da Rumo S.A.” (“</w:t>
            </w:r>
            <w:r>
              <w:rPr>
                <w:rFonts w:ascii="Verdana" w:hAnsi="Verdana"/>
                <w:u w:val="single"/>
                <w:lang w:val="pt-BR"/>
              </w:rPr>
              <w:t>Escritura</w:t>
            </w:r>
            <w:r>
              <w:rPr>
                <w:rFonts w:ascii="Verdana" w:hAnsi="Verdana"/>
                <w:lang w:val="pt-BR"/>
              </w:rPr>
              <w:t>”), firmada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 entre a Emissora e o Agente Fiduciário (conforme definido abaixo). A Escritura foi inscrita perante a Junta Comercial do Estado do Paraná (“</w:t>
            </w:r>
            <w:r>
              <w:rPr>
                <w:rFonts w:ascii="Verdana" w:hAnsi="Verdana"/>
                <w:u w:val="single"/>
                <w:lang w:val="pt-BR"/>
              </w:rPr>
              <w:t>JUCEPAR</w:t>
            </w:r>
            <w:r>
              <w:rPr>
                <w:rFonts w:ascii="Verdana" w:hAnsi="Verdana"/>
                <w:lang w:val="pt-BR"/>
              </w:rPr>
              <w:t>”) em [</w:t>
            </w:r>
            <w:r>
              <w:rPr>
                <w:rFonts w:ascii="Verdana" w:hAnsi="Verdana"/>
                <w:i/>
                <w:lang w:val="pt-BR"/>
              </w:rPr>
              <w:t>data</w:t>
            </w:r>
            <w:r>
              <w:rPr>
                <w:rFonts w:ascii="Verdana" w:hAnsi="Verdana"/>
                <w:lang w:val="pt-BR"/>
              </w:rPr>
              <w:t>] sob o nº [</w:t>
            </w:r>
            <w:r>
              <w:rPr>
                <w:rFonts w:ascii="Verdana" w:hAnsi="Verdana"/>
                <w:lang w:val="pt-BR"/>
              </w:rPr>
              <w:sym w:font="Symbol" w:char="F0B7"/>
            </w:r>
            <w:r>
              <w:rPr>
                <w:rFonts w:ascii="Verdana" w:hAnsi="Verdana"/>
                <w:lang w:val="pt-BR"/>
              </w:rPr>
              <w:t>], aditada por meio do “Primeiro Aditamento à Escritura Particular da Décima Terceira Emissão de Debêntures Simples, Não Conversíveis em Ações, da Espécie Quirografária, em Série Única, para Distribuição Pública, da Rumo S.A.”, celebrado entre a Emissora e o Agente Fiduciário, em [</w:t>
            </w:r>
            <w:r>
              <w:rPr>
                <w:rFonts w:ascii="Verdana" w:hAnsi="Verdana"/>
                <w:i/>
                <w:lang w:val="pt-BR"/>
              </w:rPr>
              <w:t>data</w:t>
            </w:r>
            <w:r>
              <w:rPr>
                <w:rFonts w:ascii="Verdana" w:hAnsi="Verdana"/>
                <w:lang w:val="pt-BR"/>
              </w:rPr>
              <w:t>] (“</w:t>
            </w:r>
            <w:r>
              <w:rPr>
                <w:rFonts w:ascii="Verdana" w:hAnsi="Verdana"/>
                <w:u w:val="single"/>
                <w:lang w:val="pt-BR"/>
              </w:rPr>
              <w:t>Primeiro Aditamento à Escritura</w:t>
            </w:r>
            <w:r>
              <w:rPr>
                <w:rFonts w:ascii="Verdana" w:hAnsi="Verdana"/>
                <w:lang w:val="pt-BR"/>
              </w:rPr>
              <w:t>”), e [inscrito/protocolado] perante a JUCEPAR em [</w:t>
            </w:r>
            <w:r>
              <w:rPr>
                <w:rFonts w:ascii="Verdana" w:hAnsi="Verdana"/>
                <w:i/>
                <w:lang w:val="pt-BR"/>
              </w:rPr>
              <w:t>data</w:t>
            </w:r>
            <w:r>
              <w:rPr>
                <w:rFonts w:ascii="Verdana" w:hAnsi="Verdana"/>
                <w:lang w:val="pt-BR"/>
              </w:rPr>
              <w:t>], sob o n° [--],</w:t>
            </w:r>
            <w:r>
              <w:rPr>
                <w:rFonts w:ascii="Verdana" w:eastAsia="Calibri" w:hAnsi="Verdana"/>
                <w:lang w:val="pt-BR"/>
              </w:rPr>
              <w:t xml:space="preserve"> </w:t>
            </w:r>
            <w:r>
              <w:rPr>
                <w:rFonts w:ascii="Verdana" w:hAnsi="Verdana"/>
                <w:lang w:val="pt-BR"/>
              </w:rPr>
              <w:t>de acordo com o inciso II do artigo 62 da Lei n° 6.404, de 15 de dezembro de 1976, conforme alterada (“</w:t>
            </w:r>
            <w:r>
              <w:rPr>
                <w:rFonts w:ascii="Verdana" w:hAnsi="Verdana"/>
                <w:u w:val="single"/>
                <w:lang w:val="pt-BR"/>
              </w:rPr>
              <w:t>Lei das Sociedades por Ações</w:t>
            </w:r>
            <w:r>
              <w:rPr>
                <w:rFonts w:ascii="Verdana" w:hAnsi="Verdana"/>
                <w:lang w:val="pt-BR"/>
              </w:rPr>
              <w:t>”).</w:t>
            </w:r>
          </w:p>
          <w:p>
            <w:pPr>
              <w:pStyle w:val="Corpodetexto"/>
              <w:spacing w:after="120"/>
              <w:ind w:left="33" w:right="33" w:firstLine="0"/>
              <w:jc w:val="both"/>
              <w:rPr>
                <w:rFonts w:ascii="Verdana" w:hAnsi="Verdana"/>
                <w:lang w:val="pt-BR"/>
              </w:rPr>
            </w:pPr>
            <w:r>
              <w:rPr>
                <w:rFonts w:ascii="Verdana" w:hAnsi="Verdana"/>
                <w:lang w:val="pt-BR"/>
              </w:rPr>
              <w:t>A Escritura foi celebrada com base nas deliberações tomadas pelo Conselho de Administração da Emissora, 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na qual foram deliberados os termos e condições da Emissão, das Debêntures e da Oferta, nos termos do artigo 59, parágrafo 1º, da Lei das Sociedades por Ações e do inciso (xi) do artigo 26 do estatuto social da Emissora. A ata da RCA da Emissão foi arquivada na JUCEPAR, em [</w:t>
            </w:r>
            <w:r>
              <w:rPr>
                <w:rFonts w:ascii="Verdana" w:hAnsi="Verdana"/>
                <w:i/>
                <w:lang w:val="pt-BR"/>
              </w:rPr>
              <w:t>data</w:t>
            </w:r>
            <w:r>
              <w:rPr>
                <w:rFonts w:ascii="Verdana" w:hAnsi="Verdana"/>
                <w:lang w:val="pt-BR"/>
              </w:rPr>
              <w:t xml:space="preserve">] de 2019, sob o nº [--], e publicada no Diário Oficial do Estado </w:t>
            </w:r>
            <w:r>
              <w:rPr>
                <w:rFonts w:ascii="Verdana" w:hAnsi="Verdana"/>
                <w:spacing w:val="2"/>
                <w:lang w:val="pt-BR"/>
              </w:rPr>
              <w:t xml:space="preserve">do Paraná </w:t>
            </w:r>
            <w:r>
              <w:rPr>
                <w:rFonts w:ascii="Verdana" w:hAnsi="Verdana"/>
                <w:lang w:val="pt-BR"/>
              </w:rPr>
              <w:t>e no jornal “Bem Paraná” em [</w:t>
            </w:r>
            <w:r>
              <w:rPr>
                <w:rFonts w:ascii="Verdana" w:hAnsi="Verdana"/>
                <w:i/>
                <w:lang w:val="pt-BR"/>
              </w:rPr>
              <w:t>data</w:t>
            </w:r>
            <w:r>
              <w:rPr>
                <w:rFonts w:ascii="Verdana" w:hAnsi="Verdana"/>
                <w:lang w:val="pt-BR"/>
              </w:rPr>
              <w:t>] de 2019, em atendimento ao disposto no artigo 62, inciso I, e no artigo 289 da Lei das Sociedades por</w:t>
            </w:r>
            <w:r>
              <w:rPr>
                <w:rFonts w:ascii="Verdana" w:hAnsi="Verdana"/>
                <w:spacing w:val="-31"/>
                <w:lang w:val="pt-BR"/>
              </w:rPr>
              <w:t xml:space="preserve"> </w:t>
            </w:r>
            <w:r>
              <w:rPr>
                <w:rFonts w:ascii="Verdana" w:hAnsi="Verdana"/>
                <w:lang w:val="pt-BR"/>
              </w:rPr>
              <w:t>Ações.</w:t>
            </w: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DA PORTARIA GM DO MINISTÉRIO DOS TRANSPORTES, PORTOS E AVIAÇÃO CIVIL (ATUALMENTE DENOMINADO MINISTÉRIO DA INFRAESTRUTURA)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 xml:space="preserve">OS </w:t>
            </w:r>
            <w:r>
              <w:rPr>
                <w:rFonts w:ascii="Verdana" w:hAnsi="Verdana"/>
                <w:b/>
                <w:bCs/>
                <w:spacing w:val="-2"/>
                <w:sz w:val="20"/>
                <w:szCs w:val="20"/>
                <w:lang w:val="pt-BR"/>
              </w:rPr>
              <w:t>PROJETOS DE INVESTIMENTO EM INFRAESTRUTURA NA ÁREA DE TRANSPORTE E LOGÍSTICA NO SETOR FERROVIÁRIO DA RUMO MALHA</w:t>
            </w:r>
            <w:r>
              <w:rPr>
                <w:lang w:val="pt-BR"/>
              </w:rPr>
              <w:t xml:space="preserve"> </w:t>
            </w:r>
            <w:r>
              <w:rPr>
                <w:rFonts w:ascii="Verdana" w:hAnsi="Verdana"/>
                <w:b/>
                <w:bCs/>
                <w:spacing w:val="-2"/>
                <w:sz w:val="20"/>
                <w:szCs w:val="20"/>
                <w:lang w:val="pt-BR"/>
              </w:rPr>
              <w:t>SUL S.A E DA RUMO MALHA CENTRAL S.A., CONTROLADA PELA EMISSORA, FORAM ENQUADRADOS COMO PROJETOS PRIORITÁRIOS PELO MINISTÉRIO DA INFRAESTRUTURA</w:t>
            </w:r>
            <w:r>
              <w:rPr>
                <w:rFonts w:ascii="Verdana" w:hAnsi="Verdana"/>
                <w:b/>
                <w:bCs/>
                <w:spacing w:val="-1"/>
                <w:sz w:val="20"/>
                <w:szCs w:val="20"/>
                <w:lang w:val="pt-BR"/>
              </w:rPr>
              <w:t>,</w:t>
            </w:r>
            <w:r>
              <w:rPr>
                <w:rFonts w:ascii="Verdana" w:hAnsi="Verdana"/>
                <w:b/>
                <w:bCs/>
                <w:spacing w:val="2"/>
                <w:sz w:val="20"/>
                <w:szCs w:val="20"/>
                <w:lang w:val="pt-BR"/>
              </w:rPr>
              <w:t xml:space="preserve"> NA FORMA (</w:t>
            </w:r>
            <w:r>
              <w:rPr>
                <w:rFonts w:ascii="Verdana" w:hAnsi="Verdana"/>
                <w:b/>
                <w:bCs/>
                <w:caps/>
                <w:spacing w:val="2"/>
                <w:sz w:val="20"/>
                <w:szCs w:val="20"/>
                <w:lang w:val="pt-PT"/>
              </w:rPr>
              <w:t xml:space="preserve">I) dA PORTARIA </w:t>
            </w:r>
            <w:r>
              <w:rPr>
                <w:rFonts w:ascii="Verdana" w:hAnsi="Verdana"/>
                <w:b/>
                <w:bCs/>
                <w:caps/>
                <w:spacing w:val="2"/>
                <w:sz w:val="20"/>
                <w:szCs w:val="20"/>
                <w:lang w:val="pt-BR"/>
              </w:rPr>
              <w:t>nº 269, de 9 de abril de 2018, publicada no Diário Oficial da União (“</w:t>
            </w:r>
            <w:r>
              <w:rPr>
                <w:rFonts w:ascii="Verdana" w:hAnsi="Verdana"/>
                <w:b/>
                <w:bCs/>
                <w:caps/>
                <w:spacing w:val="2"/>
                <w:sz w:val="20"/>
                <w:szCs w:val="20"/>
                <w:u w:val="single"/>
                <w:lang w:val="pt-BR"/>
              </w:rPr>
              <w:t>DOU</w:t>
            </w:r>
            <w:r>
              <w:rPr>
                <w:rFonts w:ascii="Verdana" w:hAnsi="Verdana"/>
                <w:b/>
                <w:bCs/>
                <w:caps/>
                <w:spacing w:val="2"/>
                <w:sz w:val="20"/>
                <w:szCs w:val="20"/>
                <w:lang w:val="pt-BR"/>
              </w:rPr>
              <w:t>”) em 10 de abril de 2018, e (II)</w:t>
            </w:r>
            <w:r>
              <w:rPr>
                <w:rFonts w:ascii="Verdana" w:hAnsi="Verdana"/>
                <w:b/>
                <w:bCs/>
                <w:spacing w:val="2"/>
                <w:sz w:val="20"/>
                <w:szCs w:val="20"/>
                <w:lang w:val="pt-BR"/>
              </w:rPr>
              <w:t>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 PUBLICADA NO DOU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DO PROSPECTO DEFINITIVO.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xml:space="preserve">] DO PROSPECTO DEFINITIVO. </w:t>
            </w:r>
          </w:p>
          <w:p>
            <w:pPr>
              <w:jc w:val="both"/>
              <w:rPr>
                <w:rFonts w:ascii="Verdana" w:hAnsi="Verdana"/>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 xml:space="preserve">13 de setembro de 2019, </w:t>
            </w:r>
            <w:r>
              <w:rPr>
                <w:rFonts w:ascii="Verdana" w:hAnsi="Verdana"/>
                <w:spacing w:val="9"/>
                <w:sz w:val="20"/>
                <w:szCs w:val="20"/>
                <w:lang w:val="pt-BR"/>
              </w:rPr>
              <w:t xml:space="preserve">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xml:space="preserve">”), da B3 S.A. – Brasil, Bolsa, Balcão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w:t>
            </w:r>
            <w:r>
              <w:rPr>
                <w:rFonts w:ascii="Verdana" w:hAnsi="Verdana"/>
                <w:sz w:val="20"/>
                <w:szCs w:val="20"/>
                <w:u w:val="single"/>
                <w:lang w:val="pt-BR"/>
              </w:rPr>
              <w:t xml:space="preserve">B3 – Segmento </w:t>
            </w:r>
            <w:proofErr w:type="spellStart"/>
            <w:r>
              <w:rPr>
                <w:rFonts w:ascii="Verdana" w:hAnsi="Verdana"/>
                <w:sz w:val="20"/>
                <w:szCs w:val="20"/>
                <w:u w:val="single"/>
                <w:lang w:val="pt-BR"/>
              </w:rPr>
              <w:t>Cetip</w:t>
            </w:r>
            <w:proofErr w:type="spellEnd"/>
            <w:r>
              <w:rPr>
                <w:rFonts w:ascii="Verdana" w:hAnsi="Verdana"/>
                <w:sz w:val="20"/>
                <w:szCs w:val="20"/>
                <w:u w:val="single"/>
                <w:lang w:val="pt-BR"/>
              </w:rPr>
              <w:t xml:space="preserve">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hAnsi="Verdana"/>
                <w:sz w:val="20"/>
                <w:szCs w:val="20"/>
                <w:lang w:val="pt-BR"/>
              </w:rPr>
              <w:t xml:space="preserve"> 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Aviso ao Mercado”)</w:t>
            </w:r>
            <w:r>
              <w:rPr>
                <w:rFonts w:ascii="Verdana" w:eastAsia="Tahoma" w:hAnsi="Verdana"/>
                <w:spacing w:val="6"/>
                <w:sz w:val="20"/>
                <w:szCs w:val="20"/>
                <w:lang w:val="pt-BR"/>
              </w:rPr>
              <w:t xml:space="preserve"> </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selecionar o </w:t>
            </w:r>
            <w:r>
              <w:rPr>
                <w:rStyle w:val="Hyperlink"/>
                <w:rFonts w:ascii="Verdana" w:hAnsi="Verdana"/>
                <w:color w:val="auto"/>
                <w:sz w:val="20"/>
                <w:szCs w:val="20"/>
                <w:u w:val="none"/>
                <w:lang w:val="pt-BR"/>
              </w:rPr>
              <w:lastRenderedPageBreak/>
              <w:t>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 xml:space="preserve">BTG Pactual: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w:t>
            </w:r>
            <w:r>
              <w:rPr>
                <w:rStyle w:val="Hyperlink"/>
                <w:rFonts w:ascii="Verdana" w:hAnsi="Verdana"/>
                <w:color w:val="auto"/>
                <w:sz w:val="18"/>
                <w:szCs w:val="20"/>
                <w:u w:val="none"/>
                <w:lang w:val="pt-BR"/>
              </w:rPr>
              <w:t xml:space="preserve">”, e </w:t>
            </w:r>
            <w:r>
              <w:rPr>
                <w:rFonts w:ascii="Verdana" w:hAnsi="Verdana" w:cs="Arial"/>
                <w:sz w:val="20"/>
                <w:lang w:val="pt-BR"/>
              </w:rPr>
              <w:t xml:space="preserve">“OFERTA PÚBLICA DE DISTRIBUIÇÃO DE DEBÊNTURES SIMPLES, NÃO CONVERSÍVEIS EM AÇÕES, DA ESPÉCIE QUIROGRAFÁRIA, EM SÉRIE ÚNICA, DA 13ª EMISSÃO DA RUMO S.A.”, </w:t>
            </w:r>
            <w:r>
              <w:rPr>
                <w:rStyle w:val="Hyperlink"/>
                <w:rFonts w:ascii="Verdana" w:hAnsi="Verdana"/>
                <w:color w:val="auto"/>
                <w:sz w:val="20"/>
                <w:szCs w:val="20"/>
                <w:u w:val="none"/>
                <w:lang w:val="pt-BR"/>
              </w:rPr>
              <w:t>e então em “Aviso ao Mercado”)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w:t>
            </w:r>
            <w:proofErr w:type="spellStart"/>
            <w:r>
              <w:rPr>
                <w:rFonts w:ascii="Verdana" w:hAnsi="Verdana"/>
                <w:sz w:val="20"/>
                <w:szCs w:val="20"/>
                <w:lang w:val="pt-BR"/>
              </w:rPr>
              <w:t>DFs</w:t>
            </w:r>
            <w:proofErr w:type="spellEnd"/>
            <w:r>
              <w:rPr>
                <w:rFonts w:ascii="Verdana" w:hAnsi="Verdana"/>
                <w:sz w:val="20"/>
                <w:szCs w:val="20"/>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 xml:space="preserve">B3 e B3 – Segmento </w:t>
            </w:r>
            <w:proofErr w:type="spellStart"/>
            <w:r>
              <w:rPr>
                <w:rFonts w:ascii="Verdana" w:hAnsi="Verdana"/>
                <w:b/>
                <w:spacing w:val="-8"/>
                <w:sz w:val="20"/>
                <w:szCs w:val="20"/>
                <w:lang w:val="pt-BR"/>
              </w:rPr>
              <w:t>Cetip</w:t>
            </w:r>
            <w:proofErr w:type="spellEnd"/>
            <w:r>
              <w:rPr>
                <w:rFonts w:ascii="Verdana" w:hAnsi="Verdana"/>
                <w:b/>
                <w:spacing w:val="-8"/>
                <w:sz w:val="20"/>
                <w:szCs w:val="20"/>
                <w:lang w:val="pt-BR"/>
              </w:rPr>
              <w:t xml:space="preserve">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jc w:val="both"/>
              <w:rPr>
                <w:rFonts w:ascii="Verdana" w:hAnsi="Verdana"/>
                <w:sz w:val="20"/>
                <w:szCs w:val="20"/>
                <w:lang w:val="pt-BR"/>
              </w:rPr>
            </w:pPr>
          </w:p>
          <w:p>
            <w:pPr>
              <w:pStyle w:val="Corpodetexto"/>
              <w:keepNext/>
              <w:keepLines/>
              <w:widowControl/>
              <w:tabs>
                <w:tab w:val="left" w:pos="1461"/>
                <w:tab w:val="left" w:pos="1597"/>
                <w:tab w:val="left" w:pos="2307"/>
                <w:tab w:val="left" w:pos="2829"/>
                <w:tab w:val="left" w:pos="3858"/>
                <w:tab w:val="left" w:pos="4326"/>
                <w:tab w:val="left" w:pos="5048"/>
                <w:tab w:val="left" w:pos="5513"/>
                <w:tab w:val="left" w:pos="5942"/>
                <w:tab w:val="left" w:pos="6952"/>
                <w:tab w:val="left" w:pos="7417"/>
                <w:tab w:val="left" w:pos="8824"/>
                <w:tab w:val="left" w:pos="9491"/>
              </w:tabs>
              <w:spacing w:after="120"/>
              <w:ind w:left="33" w:right="-17" w:firstLine="13"/>
              <w:jc w:val="both"/>
              <w:rPr>
                <w:rFonts w:ascii="Verdana" w:hAnsi="Verdana"/>
                <w:lang w:val="pt-BR"/>
              </w:rPr>
            </w:pPr>
            <w:r>
              <w:rPr>
                <w:rFonts w:ascii="Verdana" w:hAnsi="Verdana"/>
                <w:lang w:val="pt-BR"/>
              </w:rPr>
              <w:t>Nos termos dos artigos 52 e 54-A, ambos da Instrução CVM 400, em [</w:t>
            </w:r>
            <w:r>
              <w:rPr>
                <w:rFonts w:ascii="Verdana" w:hAnsi="Verdana"/>
                <w:i/>
                <w:lang w:val="pt-BR"/>
              </w:rPr>
              <w:t>data</w:t>
            </w:r>
            <w:r>
              <w:rPr>
                <w:rFonts w:ascii="Verdana" w:hAnsi="Verdana"/>
                <w:lang w:val="pt-BR"/>
              </w:rPr>
              <w:t xml:space="preserve">] foi divulgado o Anúncio de Início nas páginas na rede mundial de computadores da Emissora, dos Coordenadores, da B3, da B3 – Segmento </w:t>
            </w:r>
            <w:proofErr w:type="spellStart"/>
            <w:r>
              <w:rPr>
                <w:rFonts w:ascii="Verdana" w:hAnsi="Verdana"/>
                <w:lang w:val="pt-BR"/>
              </w:rPr>
              <w:t>Cetip</w:t>
            </w:r>
            <w:proofErr w:type="spellEnd"/>
            <w:r>
              <w:rPr>
                <w:rFonts w:ascii="Verdana" w:hAnsi="Verdana"/>
                <w:lang w:val="pt-BR"/>
              </w:rPr>
              <w:t xml:space="preserve"> UTVM e da CVM nos seguintes endereços e páginas da Internet: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“Anúncio de Início – Emissão de Debêntures ICVM 400”)</w:t>
            </w:r>
            <w:r>
              <w:rPr>
                <w:rFonts w:ascii="Verdana" w:hAnsi="Verdana"/>
                <w:lang w:val="pt-BR"/>
              </w:rPr>
              <w:t>;</w:t>
            </w:r>
            <w:r>
              <w:rPr>
                <w:rFonts w:ascii="Verdana" w:hAnsi="Verdana"/>
                <w:spacing w:val="35"/>
                <w:lang w:val="pt-BR"/>
              </w:rPr>
              <w:t xml:space="preserve"> </w:t>
            </w:r>
            <w:r>
              <w:rPr>
                <w:rFonts w:ascii="Verdana" w:hAnsi="Verdana"/>
                <w:b/>
                <w:bCs/>
                <w:lang w:val="pt-BR"/>
              </w:rPr>
              <w:t>Coordenador Líder:</w:t>
            </w:r>
            <w:r>
              <w:rPr>
                <w:rFonts w:ascii="Verdana" w:hAnsi="Verdana"/>
                <w:lang w:val="pt-BR"/>
              </w:rPr>
              <w:t xml:space="preserve"> 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Anúncio de Início”)</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acessar “Ofertas em Andamento” e, por fim, acessar “Rumo S.A.” e clicar em “Anúncio de Início”);</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“Debênture Rumo S.A. – 13ª Emissão </w:t>
            </w:r>
            <w:bookmarkStart w:id="0" w:name="_GoBack"/>
            <w:bookmarkEnd w:id="0"/>
            <w:r>
              <w:rPr>
                <w:rStyle w:val="Hyperlink"/>
                <w:rFonts w:ascii="Verdana" w:hAnsi="Verdana"/>
                <w:color w:val="auto"/>
                <w:u w:val="none"/>
                <w:lang w:val="pt-BR"/>
              </w:rPr>
              <w:t>de Debêntures da Rumo S.A.”, em seguida clicar em “</w:t>
            </w:r>
            <w:r>
              <w:rPr>
                <w:rFonts w:ascii="Verdana" w:eastAsia="MS Mincho" w:hAnsi="Verdana" w:cs="Times New Roman"/>
                <w:lang w:val="pt-BR"/>
              </w:rPr>
              <w:t>Anúncio de Início</w:t>
            </w:r>
            <w:r>
              <w:rPr>
                <w:rStyle w:val="Hyperlink"/>
                <w:rFonts w:ascii="Verdana" w:hAnsi="Verdana"/>
                <w:color w:val="auto"/>
                <w:u w:val="none"/>
                <w:lang w:val="pt-BR"/>
              </w:rPr>
              <w:t>”)</w:t>
            </w:r>
            <w:r>
              <w:rPr>
                <w:rFonts w:ascii="Verdana" w:hAnsi="Verdana"/>
                <w:lang w:val="pt-BR"/>
              </w:rPr>
              <w:t xml:space="preserve">; </w:t>
            </w:r>
            <w:r>
              <w:rPr>
                <w:rFonts w:ascii="Verdana" w:hAnsi="Verdana"/>
                <w:b/>
                <w:lang w:val="pt-BR"/>
              </w:rPr>
              <w:t xml:space="preserve">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Anúncio de Início”);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selecionar o tipo de oferta “Debentures”, em seguida localizar “Debêntures Rumo” e clicar em “Anúncio de Início”</w:t>
            </w:r>
            <w:r>
              <w:rPr>
                <w:rFonts w:ascii="Verdana" w:hAnsi="Verdana"/>
                <w:lang w:val="pt-BR"/>
              </w:rPr>
              <w:t xml:space="preserve">; </w:t>
            </w:r>
            <w:r>
              <w:rPr>
                <w:rFonts w:ascii="Verdana" w:hAnsi="Verdana"/>
                <w:b/>
                <w:lang w:val="pt-BR"/>
              </w:rPr>
              <w:t>BTG Pactual</w:t>
            </w:r>
            <w:r>
              <w:rPr>
                <w:rFonts w:ascii="Verdana" w:hAnsi="Verdana"/>
                <w:lang w:val="pt-BR"/>
              </w:rPr>
              <w:t xml:space="preserve">: </w:t>
            </w:r>
            <w:r>
              <w:rPr>
                <w:rStyle w:val="Hyperlink"/>
                <w:rFonts w:ascii="Verdana" w:hAnsi="Verdana"/>
                <w:color w:val="auto"/>
                <w:u w:val="none"/>
                <w:lang w:val="pt-BR"/>
              </w:rPr>
              <w:t xml:space="preserve">https:/ www.btgpactual.com/home/investment-bank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w:t>
            </w:r>
            <w:r>
              <w:rPr>
                <w:rFonts w:ascii="Verdana" w:hAnsi="Verdana" w:cs="Arial"/>
                <w:lang w:val="pt-BR"/>
              </w:rPr>
              <w:t>“OFERTA PÚBLICA DE DISTRIBUIÇÃO DE DEBÊNTURES SIMPLES, NÃO CONVERSÍVEIS EM AÇÕES, DA ESPÉCIE QUIROGRAFÁRIA, EM SÉRIE ÚNICA, DA 13ª EMISSÃO DA RUMO S.A.”</w:t>
            </w:r>
            <w:r>
              <w:rPr>
                <w:rStyle w:val="Hyperlink"/>
                <w:color w:val="auto"/>
                <w:u w:val="none"/>
                <w:lang w:val="pt-BR"/>
              </w:rPr>
              <w:t xml:space="preserve">, e </w:t>
            </w:r>
            <w:r>
              <w:rPr>
                <w:rStyle w:val="Hyperlink"/>
                <w:rFonts w:ascii="Verdana" w:hAnsi="Verdana"/>
                <w:color w:val="auto"/>
                <w:u w:val="none"/>
                <w:lang w:val="pt-BR"/>
              </w:rPr>
              <w:t>então em “Anúncio de Início” )</w:t>
            </w:r>
            <w:r>
              <w:rPr>
                <w:rFonts w:ascii="Verdana" w:hAnsi="Verdana"/>
                <w:lang w:val="pt-BR"/>
              </w:rPr>
              <w:t xml:space="preserve">; </w:t>
            </w:r>
            <w:r>
              <w:rPr>
                <w:rFonts w:ascii="Verdana" w:hAnsi="Verdana"/>
                <w:b/>
                <w:bCs/>
                <w:lang w:val="pt-BR"/>
              </w:rPr>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w:t>
            </w:r>
            <w:proofErr w:type="spellStart"/>
            <w:r>
              <w:rPr>
                <w:rFonts w:ascii="Verdana" w:hAnsi="Verdana"/>
                <w:lang w:val="pt-BR"/>
              </w:rPr>
              <w:t>DFs</w:t>
            </w:r>
            <w:proofErr w:type="spellEnd"/>
            <w:r>
              <w:rPr>
                <w:rFonts w:ascii="Verdana" w:hAnsi="Verdana"/>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Anúncio de Início</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 xml:space="preserve">B3 e B3 – Segmento </w:t>
            </w:r>
            <w:proofErr w:type="spellStart"/>
            <w:r>
              <w:rPr>
                <w:rFonts w:ascii="Verdana" w:hAnsi="Verdana"/>
                <w:b/>
                <w:spacing w:val="-8"/>
                <w:lang w:val="pt-BR"/>
              </w:rPr>
              <w:t>Cetip</w:t>
            </w:r>
            <w:proofErr w:type="spellEnd"/>
            <w:r>
              <w:rPr>
                <w:rFonts w:ascii="Verdana" w:hAnsi="Verdana"/>
                <w:b/>
                <w:spacing w:val="-8"/>
                <w:lang w:val="pt-BR"/>
              </w:rPr>
              <w:t xml:space="preserve">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lang w:val="pt-BR"/>
              </w:rPr>
              <w:t>Anúncio de Início</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jc w:val="both"/>
              <w:rPr>
                <w:rFonts w:ascii="Verdana" w:hAnsi="Verdana"/>
                <w:sz w:val="20"/>
                <w:szCs w:val="20"/>
                <w:lang w:val="pt-BR"/>
              </w:rPr>
            </w:pPr>
            <w:r>
              <w:rPr>
                <w:rFonts w:ascii="Verdana" w:hAnsi="Verdana"/>
                <w:sz w:val="20"/>
                <w:szCs w:val="20"/>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sz w:val="20"/>
                <w:szCs w:val="20"/>
                <w:u w:val="single"/>
                <w:lang w:val="pt-BR"/>
              </w:rPr>
              <w:t>Investidores Institucionais</w:t>
            </w:r>
            <w:r>
              <w:rPr>
                <w:rFonts w:ascii="Verdana" w:hAnsi="Verdana"/>
                <w:sz w:val="20"/>
                <w:szCs w:val="20"/>
                <w:lang w:val="pt-BR"/>
              </w:rPr>
              <w:t>”); e (ii) investidores, pessoas físicas ou jurídicas, que não estejam compreendidos na definição de Investidores Institucionais (“</w:t>
            </w:r>
            <w:r>
              <w:rPr>
                <w:rFonts w:ascii="Verdana" w:hAnsi="Verdana"/>
                <w:sz w:val="20"/>
                <w:szCs w:val="20"/>
                <w:u w:val="single"/>
                <w:lang w:val="pt-BR"/>
              </w:rPr>
              <w:t>Investidores Não Institucionais</w:t>
            </w:r>
            <w:r>
              <w:rPr>
                <w:rFonts w:ascii="Verdana" w:hAnsi="Verdana"/>
                <w:sz w:val="20"/>
                <w:szCs w:val="20"/>
                <w:lang w:val="pt-BR"/>
              </w:rPr>
              <w:t>” e, em conjunto com os Investidores Institucionais, “</w:t>
            </w:r>
            <w:r>
              <w:rPr>
                <w:rFonts w:ascii="Verdana" w:hAnsi="Verdana"/>
                <w:sz w:val="20"/>
                <w:szCs w:val="20"/>
                <w:u w:val="single"/>
                <w:lang w:val="pt-BR"/>
              </w:rPr>
              <w:t>Investidores da Oferta</w:t>
            </w:r>
            <w:r>
              <w:rPr>
                <w:rFonts w:ascii="Verdana" w:hAnsi="Verdana"/>
                <w:sz w:val="20"/>
                <w:szCs w:val="20"/>
                <w:lang w:val="pt-BR"/>
              </w:rPr>
              <w:t xml:space="preserve">”). </w:t>
            </w:r>
          </w:p>
          <w:p>
            <w:pPr>
              <w:ind w:left="33"/>
              <w:jc w:val="both"/>
              <w:rPr>
                <w:rFonts w:ascii="Verdana" w:hAnsi="Verdana"/>
                <w:sz w:val="20"/>
                <w:szCs w:val="20"/>
                <w:lang w:val="pt-BR"/>
              </w:rPr>
            </w:pPr>
          </w:p>
          <w:p>
            <w:pPr>
              <w:pStyle w:val="Corpodetexto"/>
              <w:spacing w:after="120"/>
              <w:ind w:left="33" w:right="-17" w:firstLine="13"/>
              <w:jc w:val="both"/>
              <w:rPr>
                <w:rFonts w:ascii="Verdana" w:hAnsi="Verdana"/>
                <w:lang w:val="pt-BR"/>
              </w:rPr>
            </w:pPr>
            <w:r>
              <w:rPr>
                <w:rFonts w:ascii="Verdana" w:hAnsi="Verdana"/>
                <w:lang w:val="pt-BR"/>
              </w:rPr>
              <w:t xml:space="preserve">Nos termos do artigo 14, parágrafo 2°, da Instrução CVM 400, a quantidade de Debêntures </w:t>
            </w:r>
            <w:r>
              <w:rPr>
                <w:rFonts w:ascii="Verdana" w:hAnsi="Verdana"/>
                <w:lang w:val="pt-BR"/>
              </w:rPr>
              <w:lastRenderedPageBreak/>
              <w:t>inicialmente ofertada poderia ser acrescida em até 20% (vinte por cento) ou seja, em até 200.000 (duzentas mil) Debêntures adicionais, nas mesmas condições das Debêntures inicialmente ofertadas (“</w:t>
            </w:r>
            <w:r>
              <w:rPr>
                <w:rFonts w:ascii="Verdana" w:hAnsi="Verdana"/>
                <w:u w:val="single"/>
                <w:lang w:val="pt-BR"/>
              </w:rPr>
              <w:t>Debêntures Adicionais</w:t>
            </w:r>
            <w:r>
              <w:rPr>
                <w:rFonts w:ascii="Verdana" w:hAnsi="Verdana"/>
                <w:lang w:val="pt-BR"/>
              </w:rPr>
              <w:t xml:space="preserve">”), sem a necessidade de novo pedido de registro da Oferta à CVM. De acordo com o resultado do Procedimento de </w:t>
            </w:r>
            <w:r>
              <w:rPr>
                <w:rFonts w:ascii="Verdana" w:hAnsi="Verdana"/>
                <w:i/>
                <w:lang w:val="pt-BR"/>
              </w:rPr>
              <w:t xml:space="preserve">Bookbuilding </w:t>
            </w:r>
            <w:r>
              <w:rPr>
                <w:rFonts w:ascii="Verdana" w:hAnsi="Verdana"/>
                <w:lang w:val="pt-BR"/>
              </w:rPr>
              <w:t>(conforme abaixo definido), [não foram emitidas Debêntures Adicionais / foram emitidas [--] Debêntures Adicionais].</w:t>
            </w:r>
          </w:p>
          <w:p>
            <w:pPr>
              <w:pStyle w:val="Corpodetexto"/>
              <w:spacing w:after="120"/>
              <w:ind w:left="33" w:right="-17" w:firstLine="13"/>
              <w:jc w:val="both"/>
              <w:rPr>
                <w:rFonts w:ascii="Verdana" w:hAnsi="Verdana"/>
                <w:lang w:val="pt-BR"/>
              </w:rPr>
            </w:pPr>
            <w:r>
              <w:rPr>
                <w:rFonts w:ascii="Verdana" w:hAnsi="Verdana"/>
                <w:lang w:val="pt-BR"/>
              </w:rPr>
              <w:t>Foi adotado o procedimento de coleta de intenções de investimento, organizado pelos Coordenadores, nos termos do artigo 23, parágrafo 1°, e do artigo 44 da Instrução CVM 400 (“</w:t>
            </w:r>
            <w:r>
              <w:rPr>
                <w:rFonts w:ascii="Verdana" w:hAnsi="Verdana"/>
                <w:u w:val="single"/>
                <w:lang w:val="pt-BR"/>
              </w:rPr>
              <w:t xml:space="preserve">Procedimento de </w:t>
            </w:r>
            <w:r>
              <w:rPr>
                <w:rFonts w:ascii="Verdana" w:hAnsi="Verdana"/>
                <w:i/>
                <w:u w:val="single"/>
                <w:lang w:val="pt-BR"/>
              </w:rPr>
              <w:t>Bookbuilding</w:t>
            </w:r>
            <w:r>
              <w:rPr>
                <w:rFonts w:ascii="Verdana" w:hAnsi="Verdana"/>
                <w:lang w:val="pt-BR"/>
              </w:rPr>
              <w:t xml:space="preserve">”), no qual se definiu, de comum acordo com a Emissora: (a) a taxa final dos Juros Remuneratórios (conforme abaixo definido); (b) a alocação das Debêntures entre os Investidores da Oferta e (c) [a colocação/a não colocação] das Debêntures Adicionais. As taxas finais dos Juros Remuneratórios foram definidas, a quantidade total de Debêntures emitidas, bem como o resultado do Procedimento de </w:t>
            </w:r>
            <w:r>
              <w:rPr>
                <w:rFonts w:ascii="Verdana" w:hAnsi="Verdana"/>
                <w:i/>
                <w:lang w:val="pt-BR"/>
              </w:rPr>
              <w:t xml:space="preserve">Bookbuilding </w:t>
            </w:r>
            <w:r>
              <w:rPr>
                <w:rFonts w:ascii="Verdana" w:hAnsi="Verdana"/>
                <w:lang w:val="pt-BR"/>
              </w:rPr>
              <w:t>foram ratificados por meio do Primeiro Aditamento à Escritura, independentemente de qualquer aprovação societária adicional da Emissora, e divulgado por meio do Anúncio de Início, nos termos do artigo 23, parágrafo 2°, da Instrução CVM</w:t>
            </w:r>
            <w:r>
              <w:rPr>
                <w:rFonts w:ascii="Verdana" w:hAnsi="Verdana"/>
                <w:spacing w:val="-21"/>
                <w:lang w:val="pt-BR"/>
              </w:rPr>
              <w:t xml:space="preserve"> </w:t>
            </w:r>
            <w:r>
              <w:rPr>
                <w:rFonts w:ascii="Verdana" w:hAnsi="Verdana"/>
                <w:lang w:val="pt-BR"/>
              </w:rPr>
              <w:t xml:space="preserve">400. </w:t>
            </w:r>
          </w:p>
          <w:p>
            <w:pPr>
              <w:ind w:left="33"/>
              <w:jc w:val="both"/>
              <w:rPr>
                <w:rFonts w:ascii="Verdana" w:hAnsi="Verdana"/>
                <w:sz w:val="20"/>
                <w:szCs w:val="20"/>
                <w:lang w:val="pt-BR"/>
              </w:rPr>
            </w:pPr>
            <w:r>
              <w:rPr>
                <w:rFonts w:ascii="Verdana" w:hAnsi="Verdana"/>
                <w:sz w:val="20"/>
                <w:szCs w:val="20"/>
                <w:lang w:val="pt-BR"/>
              </w:rPr>
              <w:t>As Debêntures foram depositadas em mercado de balcão organizado, para distribuição no mercado primário por meio (a) do MDA – Módulo de Distribuição de Ativos (“</w:t>
            </w:r>
            <w:r>
              <w:rPr>
                <w:rFonts w:ascii="Verdana" w:hAnsi="Verdana"/>
                <w:sz w:val="20"/>
                <w:szCs w:val="20"/>
                <w:u w:val="single"/>
                <w:lang w:val="pt-BR"/>
              </w:rPr>
              <w:t>MDA</w:t>
            </w:r>
            <w:r>
              <w:rPr>
                <w:rFonts w:ascii="Verdana" w:hAnsi="Verdana"/>
                <w:sz w:val="20"/>
                <w:szCs w:val="20"/>
                <w:lang w:val="pt-BR"/>
              </w:rPr>
              <w:t xml:space="preserve">”), administrado e operacionalizado pela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sendo a distribuição liquidada financeiramente por meio da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e (b)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 / do MDA – Módulo de Distribuição de Ativos (“</w:t>
            </w:r>
            <w:r>
              <w:rPr>
                <w:rFonts w:ascii="Verdana" w:hAnsi="Verdana"/>
                <w:sz w:val="20"/>
                <w:szCs w:val="20"/>
                <w:u w:val="single"/>
                <w:lang w:val="pt-BR"/>
              </w:rPr>
              <w:t>MDA</w:t>
            </w:r>
            <w:r>
              <w:rPr>
                <w:rFonts w:ascii="Verdana" w:hAnsi="Verdana"/>
                <w:sz w:val="20"/>
                <w:szCs w:val="20"/>
                <w:lang w:val="pt-BR"/>
              </w:rPr>
              <w:t xml:space="preserve">”), administrado e operacionalizado pela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sendo a distribuição liquidada financeiramente por meio da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w:t>
            </w:r>
          </w:p>
          <w:p>
            <w:pPr>
              <w:ind w:left="33"/>
              <w:jc w:val="both"/>
              <w:rPr>
                <w:rFonts w:ascii="Verdana" w:hAnsi="Verdana"/>
                <w:sz w:val="20"/>
                <w:szCs w:val="20"/>
                <w:lang w:val="pt-BR"/>
              </w:rPr>
            </w:pPr>
          </w:p>
          <w:p>
            <w:pPr>
              <w:pStyle w:val="Corpodetexto"/>
              <w:spacing w:after="120"/>
              <w:ind w:left="33" w:right="-17" w:firstLine="0"/>
              <w:jc w:val="both"/>
              <w:rPr>
                <w:rFonts w:ascii="Verdana" w:hAnsi="Verdana"/>
                <w:lang w:val="pt-BR"/>
              </w:rPr>
            </w:pPr>
            <w:r>
              <w:rPr>
                <w:rFonts w:ascii="Verdana" w:hAnsi="Verdana"/>
                <w:lang w:val="pt-BR"/>
              </w:rPr>
              <w:t xml:space="preserve">As Debêntures foram depositadas em mercado de balcão organizado para negociação no mercado secundário por meio do </w:t>
            </w:r>
            <w:r>
              <w:rPr>
                <w:rFonts w:ascii="Verdana" w:hAnsi="Verdana"/>
                <w:iCs/>
                <w:lang w:val="pt-BR"/>
              </w:rPr>
              <w:t xml:space="preserve">(a) 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xml:space="preserve">”), administrado e operacionalizado pela B3 – Segmento </w:t>
            </w:r>
            <w:proofErr w:type="spellStart"/>
            <w:r>
              <w:rPr>
                <w:rFonts w:ascii="Verdana" w:hAnsi="Verdana"/>
                <w:iCs/>
                <w:lang w:val="pt-BR"/>
              </w:rPr>
              <w:t>Cetip</w:t>
            </w:r>
            <w:proofErr w:type="spellEnd"/>
            <w:r>
              <w:rPr>
                <w:rFonts w:ascii="Verdana" w:hAnsi="Verdana"/>
                <w:iCs/>
                <w:lang w:val="pt-BR"/>
              </w:rPr>
              <w:t xml:space="preserve"> UTVM, sendo as negociações liquidadas e as Debêntures custodiadas eletronicamente na B3 – Segmento </w:t>
            </w:r>
            <w:proofErr w:type="spellStart"/>
            <w:r>
              <w:rPr>
                <w:rFonts w:ascii="Verdana" w:hAnsi="Verdana"/>
                <w:iCs/>
                <w:lang w:val="pt-BR"/>
              </w:rPr>
              <w:t>Cetip</w:t>
            </w:r>
            <w:proofErr w:type="spellEnd"/>
            <w:r>
              <w:rPr>
                <w:rFonts w:ascii="Verdana" w:hAnsi="Verdana"/>
                <w:iCs/>
                <w:lang w:val="pt-BR"/>
              </w:rPr>
              <w:t xml:space="preserve"> UTVM; e (b) da plataforma eletrônica de negociação de </w:t>
            </w:r>
            <w:proofErr w:type="spellStart"/>
            <w:r>
              <w:rPr>
                <w:rFonts w:ascii="Verdana" w:hAnsi="Verdana"/>
                <w:iCs/>
                <w:lang w:val="pt-BR"/>
              </w:rPr>
              <w:t>multi</w:t>
            </w:r>
            <w:proofErr w:type="spellEnd"/>
            <w:r>
              <w:rPr>
                <w:rFonts w:ascii="Verdana" w:hAnsi="Verdana"/>
                <w:iCs/>
                <w:lang w:val="pt-BR"/>
              </w:rPr>
              <w:t xml:space="preserve"> ativos PUMA Trading System Plataforma Unificada de </w:t>
            </w:r>
            <w:proofErr w:type="spellStart"/>
            <w:r>
              <w:rPr>
                <w:rFonts w:ascii="Verdana" w:hAnsi="Verdana"/>
                <w:iCs/>
                <w:lang w:val="pt-BR"/>
              </w:rPr>
              <w:t>Multi</w:t>
            </w:r>
            <w:proofErr w:type="spellEnd"/>
            <w:r>
              <w:rPr>
                <w:rFonts w:ascii="Verdana" w:hAnsi="Verdana"/>
                <w:iCs/>
                <w:lang w:val="pt-BR"/>
              </w:rPr>
              <w:t xml:space="preserve"> Ativos da B3, administrada e operacionalizada pela B3 (“</w:t>
            </w:r>
            <w:r>
              <w:rPr>
                <w:rFonts w:ascii="Verdana" w:hAnsi="Verdana"/>
                <w:iCs/>
                <w:u w:val="single"/>
                <w:lang w:val="pt-BR"/>
              </w:rPr>
              <w:t>PUMA</w:t>
            </w:r>
            <w:r>
              <w:rPr>
                <w:rFonts w:ascii="Verdana" w:hAnsi="Verdana"/>
                <w:iCs/>
                <w:lang w:val="pt-BR"/>
              </w:rPr>
              <w:t xml:space="preserve">”), sendo processadas pela B3 a custódia, a liquidação financeira e a negociação das Debêntures/do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xml:space="preserve">”), administrado e operacionalizado pela B3 – Segmento </w:t>
            </w:r>
            <w:proofErr w:type="spellStart"/>
            <w:r>
              <w:rPr>
                <w:rFonts w:ascii="Verdana" w:hAnsi="Verdana"/>
                <w:iCs/>
                <w:lang w:val="pt-BR"/>
              </w:rPr>
              <w:t>Cetip</w:t>
            </w:r>
            <w:proofErr w:type="spellEnd"/>
            <w:r>
              <w:rPr>
                <w:rFonts w:ascii="Verdana" w:hAnsi="Verdana"/>
                <w:iCs/>
                <w:lang w:val="pt-BR"/>
              </w:rPr>
              <w:t xml:space="preserve"> UTVM, sendo as negociações liquidadas e as Debêntures custodiadas eletronicamente na B3 – Segmento </w:t>
            </w:r>
            <w:proofErr w:type="spellStart"/>
            <w:r>
              <w:rPr>
                <w:rFonts w:ascii="Verdana" w:hAnsi="Verdana"/>
                <w:iCs/>
                <w:lang w:val="pt-BR"/>
              </w:rPr>
              <w:t>Cetip</w:t>
            </w:r>
            <w:proofErr w:type="spellEnd"/>
            <w:r>
              <w:rPr>
                <w:rFonts w:ascii="Verdana" w:hAnsi="Verdana"/>
                <w:iCs/>
                <w:lang w:val="pt-BR"/>
              </w:rPr>
              <w:t xml:space="preserve"> UTVM/da plataforma eletrônica de negociação de </w:t>
            </w:r>
            <w:proofErr w:type="spellStart"/>
            <w:r>
              <w:rPr>
                <w:rFonts w:ascii="Verdana" w:hAnsi="Verdana"/>
                <w:iCs/>
                <w:lang w:val="pt-BR"/>
              </w:rPr>
              <w:t>multi</w:t>
            </w:r>
            <w:proofErr w:type="spellEnd"/>
            <w:r>
              <w:rPr>
                <w:rFonts w:ascii="Verdana" w:hAnsi="Verdana"/>
                <w:iCs/>
                <w:lang w:val="pt-BR"/>
              </w:rPr>
              <w:t xml:space="preserve"> ativos PUMA Trading System Plataforma Unificada de </w:t>
            </w:r>
            <w:proofErr w:type="spellStart"/>
            <w:r>
              <w:rPr>
                <w:rFonts w:ascii="Verdana" w:hAnsi="Verdana"/>
                <w:iCs/>
                <w:lang w:val="pt-BR"/>
              </w:rPr>
              <w:t>Multi</w:t>
            </w:r>
            <w:proofErr w:type="spellEnd"/>
            <w:r>
              <w:rPr>
                <w:rFonts w:ascii="Verdana" w:hAnsi="Verdana"/>
                <w:iCs/>
                <w:lang w:val="pt-BR"/>
              </w:rPr>
              <w:t xml:space="preserve"> Ativos da B3, administrada e operacionalizada pela B3 (“</w:t>
            </w:r>
            <w:r>
              <w:rPr>
                <w:rFonts w:ascii="Verdana" w:hAnsi="Verdana"/>
                <w:iCs/>
                <w:u w:val="single"/>
                <w:lang w:val="pt-BR"/>
              </w:rPr>
              <w:t>PUMA</w:t>
            </w:r>
            <w:r>
              <w:rPr>
                <w:rFonts w:ascii="Verdana" w:hAnsi="Verdana"/>
                <w:iCs/>
                <w:lang w:val="pt-BR"/>
              </w:rPr>
              <w:t>”), sendo processadas pela B3 a custódia, a liquidação financeira e a negociação das Debêntures.</w:t>
            </w:r>
            <w:r>
              <w:rPr>
                <w:rFonts w:ascii="Verdana" w:hAnsi="Verdana"/>
                <w:lang w:val="pt-BR"/>
              </w:rPr>
              <w:t xml:space="preserve"> </w:t>
            </w:r>
          </w:p>
          <w:p>
            <w:pPr>
              <w:pStyle w:val="Corpodetexto"/>
              <w:spacing w:after="120"/>
              <w:ind w:left="33" w:right="-17" w:firstLine="13"/>
              <w:jc w:val="both"/>
              <w:rPr>
                <w:rFonts w:ascii="Verdana" w:hAnsi="Verdana"/>
                <w:lang w:val="pt-BR"/>
              </w:rPr>
            </w:pPr>
            <w:r>
              <w:rPr>
                <w:rFonts w:ascii="Verdana" w:hAnsi="Verdana"/>
                <w:lang w:val="pt-BR"/>
              </w:rPr>
              <w:t>Exceto quando definido diferentemente neste Boletim de Subscrição, os termos iniciados em letra maiúscula têm o significado a eles atribuído no Anúncio de Início ou no “</w:t>
            </w:r>
            <w:r>
              <w:rPr>
                <w:rFonts w:ascii="Verdana" w:hAnsi="Verdana"/>
                <w:spacing w:val="-1"/>
                <w:lang w:val="pt-BR"/>
              </w:rPr>
              <w:t>Prospecto</w:t>
            </w:r>
            <w:r>
              <w:rPr>
                <w:rFonts w:ascii="Verdana" w:hAnsi="Verdana"/>
                <w:spacing w:val="8"/>
                <w:lang w:val="pt-BR"/>
              </w:rPr>
              <w:t xml:space="preserve"> </w:t>
            </w:r>
            <w:r>
              <w:rPr>
                <w:rFonts w:ascii="Verdana" w:hAnsi="Verdana"/>
                <w:lang w:val="pt-BR"/>
              </w:rPr>
              <w:t>Definitivo</w:t>
            </w:r>
            <w:r>
              <w:rPr>
                <w:rFonts w:ascii="Verdana" w:hAnsi="Verdana"/>
                <w:spacing w:val="7"/>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8"/>
                <w:lang w:val="pt-BR"/>
              </w:rPr>
              <w:t xml:space="preserve"> </w:t>
            </w:r>
            <w:r>
              <w:rPr>
                <w:rFonts w:ascii="Verdana" w:hAnsi="Verdana"/>
                <w:spacing w:val="-1"/>
                <w:lang w:val="pt-BR"/>
              </w:rPr>
              <w:t>Pública</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Distribuição de</w:t>
            </w:r>
            <w:r>
              <w:rPr>
                <w:rFonts w:ascii="Verdana" w:hAnsi="Verdana"/>
                <w:spacing w:val="36"/>
                <w:lang w:val="pt-BR"/>
              </w:rPr>
              <w:t xml:space="preserve"> </w:t>
            </w:r>
            <w:r>
              <w:rPr>
                <w:rFonts w:ascii="Verdana" w:hAnsi="Verdana"/>
                <w:lang w:val="pt-BR"/>
              </w:rPr>
              <w:t>Debêntures</w:t>
            </w:r>
            <w:r>
              <w:rPr>
                <w:rFonts w:ascii="Verdana" w:hAnsi="Verdana"/>
                <w:spacing w:val="40"/>
                <w:lang w:val="pt-BR"/>
              </w:rPr>
              <w:t xml:space="preserve"> </w:t>
            </w:r>
            <w:r>
              <w:rPr>
                <w:rFonts w:ascii="Verdana" w:hAnsi="Verdana"/>
                <w:lang w:val="pt-BR"/>
              </w:rPr>
              <w:t>Simples,</w:t>
            </w:r>
            <w:r>
              <w:rPr>
                <w:rFonts w:ascii="Verdana" w:hAnsi="Verdana"/>
                <w:spacing w:val="39"/>
                <w:lang w:val="pt-BR"/>
              </w:rPr>
              <w:t xml:space="preserve"> </w:t>
            </w:r>
            <w:r>
              <w:rPr>
                <w:rFonts w:ascii="Verdana" w:hAnsi="Verdana"/>
                <w:lang w:val="pt-BR"/>
              </w:rPr>
              <w:t>Não</w:t>
            </w:r>
            <w:r>
              <w:rPr>
                <w:rFonts w:ascii="Verdana" w:hAnsi="Verdana"/>
                <w:spacing w:val="36"/>
                <w:lang w:val="pt-BR"/>
              </w:rPr>
              <w:t xml:space="preserve"> </w:t>
            </w:r>
            <w:r>
              <w:rPr>
                <w:rFonts w:ascii="Verdana" w:hAnsi="Verdana"/>
                <w:lang w:val="pt-BR"/>
              </w:rPr>
              <w:t>Conversíveis</w:t>
            </w:r>
            <w:r>
              <w:rPr>
                <w:rFonts w:ascii="Verdana" w:hAnsi="Verdana"/>
                <w:spacing w:val="40"/>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Ações,</w:t>
            </w:r>
            <w:r>
              <w:rPr>
                <w:rFonts w:ascii="Verdana" w:hAnsi="Verdana"/>
                <w:spacing w:val="36"/>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Espécie</w:t>
            </w:r>
            <w:r>
              <w:rPr>
                <w:rFonts w:ascii="Verdana" w:hAnsi="Verdana"/>
                <w:spacing w:val="36"/>
                <w:lang w:val="pt-BR"/>
              </w:rPr>
              <w:t xml:space="preserve"> </w:t>
            </w:r>
            <w:r>
              <w:rPr>
                <w:rFonts w:ascii="Verdana" w:hAnsi="Verdana"/>
                <w:spacing w:val="-1"/>
                <w:lang w:val="pt-BR"/>
              </w:rPr>
              <w:t xml:space="preserve">Quirografária, </w:t>
            </w:r>
            <w:r>
              <w:rPr>
                <w:rFonts w:ascii="Verdana" w:hAnsi="Verdana"/>
                <w:lang w:val="pt-BR"/>
              </w:rPr>
              <w:t>em</w:t>
            </w:r>
            <w:r>
              <w:rPr>
                <w:rFonts w:ascii="Verdana" w:hAnsi="Verdana"/>
                <w:spacing w:val="49"/>
                <w:lang w:val="pt-BR"/>
              </w:rPr>
              <w:t xml:space="preserve"> </w:t>
            </w:r>
            <w:r>
              <w:rPr>
                <w:rFonts w:ascii="Verdana" w:hAnsi="Verdana"/>
                <w:lang w:val="pt-BR"/>
              </w:rPr>
              <w:t>Série Única,</w:t>
            </w:r>
            <w:r>
              <w:rPr>
                <w:rFonts w:ascii="Verdana" w:hAnsi="Verdana"/>
                <w:spacing w:val="39"/>
                <w:lang w:val="pt-BR"/>
              </w:rPr>
              <w:t xml:space="preserve"> </w:t>
            </w:r>
            <w:r>
              <w:rPr>
                <w:rFonts w:ascii="Verdana" w:hAnsi="Verdana"/>
                <w:lang w:val="pt-BR"/>
              </w:rPr>
              <w:t>da</w:t>
            </w:r>
            <w:r>
              <w:rPr>
                <w:rFonts w:ascii="Verdana" w:hAnsi="Verdana"/>
                <w:spacing w:val="36"/>
                <w:lang w:val="pt-BR"/>
              </w:rPr>
              <w:t xml:space="preserve"> </w:t>
            </w:r>
            <w:r>
              <w:rPr>
                <w:rFonts w:ascii="Verdana" w:hAnsi="Verdana"/>
                <w:lang w:val="pt-BR"/>
              </w:rPr>
              <w:t>13ª</w:t>
            </w:r>
            <w:r>
              <w:rPr>
                <w:rFonts w:ascii="Verdana" w:hAnsi="Verdana"/>
                <w:spacing w:val="27"/>
                <w:w w:val="99"/>
                <w:lang w:val="pt-BR"/>
              </w:rPr>
              <w:t xml:space="preserve"> </w:t>
            </w:r>
            <w:r>
              <w:rPr>
                <w:rFonts w:ascii="Verdana" w:hAnsi="Verdana"/>
                <w:lang w:val="pt-BR"/>
              </w:rPr>
              <w:t>Emissão</w:t>
            </w:r>
            <w:r>
              <w:rPr>
                <w:rFonts w:ascii="Verdana" w:hAnsi="Verdana"/>
                <w:spacing w:val="-9"/>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Rumo S.A.” (“</w:t>
            </w:r>
            <w:r>
              <w:rPr>
                <w:rFonts w:ascii="Verdana" w:hAnsi="Verdana"/>
                <w:u w:val="single"/>
                <w:lang w:val="pt-BR"/>
              </w:rPr>
              <w:t>Prospecto</w:t>
            </w:r>
            <w:r>
              <w:rPr>
                <w:rFonts w:ascii="Verdana" w:hAnsi="Verdana"/>
                <w:spacing w:val="-13"/>
                <w:u w:val="single"/>
                <w:lang w:val="pt-BR"/>
              </w:rPr>
              <w:t xml:space="preserve"> </w:t>
            </w:r>
            <w:r>
              <w:rPr>
                <w:rFonts w:ascii="Verdana" w:hAnsi="Verdana"/>
                <w:u w:val="single"/>
                <w:lang w:val="pt-BR"/>
              </w:rPr>
              <w:t>Definitivo</w:t>
            </w:r>
            <w:r>
              <w:rPr>
                <w:rFonts w:ascii="Verdana" w:hAnsi="Verdana"/>
                <w:lang w:val="pt-BR"/>
              </w:rPr>
              <w:t>”).</w:t>
            </w:r>
          </w:p>
          <w:p>
            <w:pPr>
              <w:pStyle w:val="Corpodetexto"/>
              <w:keepNext/>
              <w:keepLines/>
              <w:widowControl/>
              <w:spacing w:after="120"/>
              <w:ind w:left="33" w:right="-17" w:firstLine="0"/>
              <w:jc w:val="both"/>
              <w:rPr>
                <w:rFonts w:ascii="Verdana" w:hAnsi="Verdana"/>
                <w:b/>
                <w:lang w:val="pt-BR"/>
              </w:rPr>
            </w:pPr>
            <w:r>
              <w:rPr>
                <w:rFonts w:ascii="Verdana" w:hAnsi="Verdana"/>
                <w:lang w:val="pt-BR"/>
              </w:rPr>
              <w:t xml:space="preserve">O Agente Fiduciário é a </w:t>
            </w:r>
            <w:proofErr w:type="spellStart"/>
            <w:r>
              <w:rPr>
                <w:rFonts w:ascii="Verdana" w:hAnsi="Verdana"/>
                <w:lang w:val="pt-BR"/>
              </w:rPr>
              <w:t>Simplific</w:t>
            </w:r>
            <w:proofErr w:type="spellEnd"/>
            <w:r>
              <w:rPr>
                <w:rFonts w:ascii="Verdana" w:hAnsi="Verdana"/>
                <w:lang w:val="pt-BR"/>
              </w:rPr>
              <w:t xml:space="preserve"> </w:t>
            </w:r>
            <w:proofErr w:type="spellStart"/>
            <w:r>
              <w:rPr>
                <w:rFonts w:ascii="Verdana" w:hAnsi="Verdana"/>
                <w:lang w:val="pt-BR"/>
              </w:rPr>
              <w:t>Pavarini</w:t>
            </w:r>
            <w:proofErr w:type="spellEnd"/>
            <w:r>
              <w:rPr>
                <w:rFonts w:ascii="Verdana" w:hAnsi="Verdana"/>
                <w:lang w:val="pt-BR"/>
              </w:rPr>
              <w:t xml:space="preserve"> Distribuidora de Títulos e Valores Mobiliários Ltda., instituição financeira, com filial na cidade de São Paulo, Estado de São Paulo, na Rua Joaquim Floriano, 466 – Bloco B, Sala 1401, Itaim Bibi, inscrita no CNPJ/ME sob o nº 15.227.994/0004-01 (www.simplificpavarini.com.br), representada pelos </w:t>
            </w:r>
            <w:r>
              <w:rPr>
                <w:rFonts w:ascii="Verdana" w:hAnsi="Verdana"/>
                <w:lang w:val="pt-PT"/>
              </w:rPr>
              <w:t xml:space="preserve">Srs. </w:t>
            </w:r>
            <w:r>
              <w:rPr>
                <w:rFonts w:ascii="Verdana" w:hAnsi="Verdana"/>
                <w:lang w:val="pt-BR"/>
              </w:rPr>
              <w:t>Carlos Alberto Bacha, Matheus Gomes Faria e Rinaldo Rabello Ferreira</w:t>
            </w:r>
            <w:r>
              <w:rPr>
                <w:rFonts w:ascii="Verdana" w:hAnsi="Verdana"/>
                <w:lang w:val="pt-PT"/>
              </w:rPr>
              <w:t xml:space="preserve">, telefones </w:t>
            </w:r>
            <w:r>
              <w:rPr>
                <w:rFonts w:ascii="Verdana" w:hAnsi="Verdana"/>
                <w:lang w:val="pt-BR"/>
              </w:rPr>
              <w:t>(11) 3090-0447 ou (21) 2507-1949, correio eletrônico: fiduciario@simplificpavarini.com.br</w:t>
            </w:r>
            <w:hyperlink r:id="rId11">
              <w:r>
                <w:rPr>
                  <w:rFonts w:ascii="Verdana" w:hAnsi="Verdana"/>
                  <w:lang w:val="pt-BR"/>
                </w:rPr>
                <w:t>.</w:t>
              </w:r>
            </w:hyperlink>
            <w:r>
              <w:rPr>
                <w:rFonts w:ascii="Verdana" w:hAnsi="Verdana"/>
                <w:lang w:val="pt-BR"/>
              </w:rPr>
              <w:t xml:space="preserve"> (“</w:t>
            </w:r>
            <w:r>
              <w:rPr>
                <w:rFonts w:ascii="Verdana" w:hAnsi="Verdana"/>
                <w:u w:val="single"/>
                <w:lang w:val="pt-BR"/>
              </w:rPr>
              <w:t>Agente Fiduciário</w:t>
            </w:r>
            <w:r>
              <w:rPr>
                <w:rFonts w:ascii="Verdana" w:hAnsi="Verdana"/>
                <w:lang w:val="pt-BR"/>
              </w:rPr>
              <w:t xml:space="preserve">”). </w:t>
            </w:r>
            <w:r>
              <w:rPr>
                <w:rFonts w:ascii="Verdana" w:hAnsi="Verdana"/>
                <w:b/>
                <w:lang w:val="pt-BR"/>
              </w:rPr>
              <w:t>PARA MAIS INFORMAÇÕES SOBRE O HISTÓRICO DE EMISSÕES DE VALORES MOBILIÁRIOS DA EMISSORA, DE SUAS CONTROLADAS, CONTROLADORAS, SOCIEDADE COLIGADA OU INTEGRANTE DO MESMO GRUPO EM QUE O AGENTE FIDUCIÁRIO ATUE PRESTANDO SERVIÇOS DE AGENTE FIDUCIÁRIO E AGENTE DE NOTAS, VIDE SEÇÃO “INFORMAÇÕES RELATIVAS À EMISSÃO, À OFERTA E ÀS DEBÊNTURES – CARACTERÍSTICAS DA EMISSÃO E DAS DEBÊNTURES – AGENTE FIDUCIÁRIO”, NA PÁGINA [</w:t>
            </w:r>
            <w:r>
              <w:rPr>
                <w:rFonts w:ascii="Verdana" w:hAnsi="Verdana"/>
                <w:b/>
                <w:lang w:val="pt-BR"/>
              </w:rPr>
              <w:sym w:font="Symbol" w:char="F0B7"/>
            </w:r>
            <w:r>
              <w:rPr>
                <w:rFonts w:ascii="Verdana" w:hAnsi="Verdana"/>
                <w:b/>
                <w:lang w:val="pt-BR"/>
              </w:rPr>
              <w:t>] DO PROSPECTO DEFINITIVO E NA CLÁUSULA 9.1.1 DA ESCRITURA.</w:t>
            </w:r>
          </w:p>
          <w:p>
            <w:pPr>
              <w:ind w:left="33"/>
              <w:jc w:val="both"/>
              <w:rPr>
                <w:rFonts w:ascii="Verdana" w:hAnsi="Verdana"/>
                <w:b/>
                <w:sz w:val="20"/>
                <w:szCs w:val="20"/>
                <w:lang w:val="pt-BR"/>
              </w:rPr>
            </w:pPr>
            <w:r>
              <w:rPr>
                <w:rFonts w:ascii="Verdana" w:hAnsi="Verdana"/>
                <w:b/>
                <w:sz w:val="20"/>
                <w:szCs w:val="20"/>
                <w:lang w:val="pt-BR"/>
              </w:rPr>
              <w:lastRenderedPageBreak/>
              <w:t>O REGISTRO DA OFERTA NÃO IMPLICA, POR PARTE DA CVM, EM GARANTIA DE VERACIDADE DAS INFORMAÇÕES PRESTADAS OU EM JULGAMENTO SOBRE A QUALIDADE DA EMISSORA, BEM</w:t>
            </w:r>
            <w:r>
              <w:rPr>
                <w:rFonts w:ascii="Verdana" w:hAnsi="Verdana"/>
                <w:b/>
                <w:spacing w:val="-26"/>
                <w:sz w:val="20"/>
                <w:szCs w:val="20"/>
                <w:lang w:val="pt-BR"/>
              </w:rPr>
              <w:t xml:space="preserve"> </w:t>
            </w:r>
            <w:r>
              <w:rPr>
                <w:rFonts w:ascii="Verdana" w:hAnsi="Verdana"/>
                <w:b/>
                <w:sz w:val="20"/>
                <w:szCs w:val="20"/>
                <w:lang w:val="pt-BR"/>
              </w:rPr>
              <w:t xml:space="preserve">COMO SOBRE </w:t>
            </w:r>
            <w:r>
              <w:rPr>
                <w:rFonts w:ascii="Verdana" w:hAnsi="Verdana"/>
                <w:b/>
                <w:spacing w:val="-3"/>
                <w:sz w:val="20"/>
                <w:szCs w:val="20"/>
                <w:lang w:val="pt-BR"/>
              </w:rPr>
              <w:t xml:space="preserve">AS </w:t>
            </w:r>
            <w:r>
              <w:rPr>
                <w:rFonts w:ascii="Verdana" w:hAnsi="Verdana"/>
                <w:b/>
                <w:sz w:val="20"/>
                <w:szCs w:val="20"/>
                <w:lang w:val="pt-BR"/>
              </w:rPr>
              <w:t>DEBÊNTURES A SEREM</w:t>
            </w:r>
            <w:r>
              <w:rPr>
                <w:rFonts w:ascii="Verdana" w:hAnsi="Verdana"/>
                <w:b/>
                <w:spacing w:val="-1"/>
                <w:sz w:val="20"/>
                <w:szCs w:val="20"/>
                <w:lang w:val="pt-BR"/>
              </w:rPr>
              <w:t xml:space="preserve"> </w:t>
            </w:r>
            <w:r>
              <w:rPr>
                <w:rFonts w:ascii="Verdana" w:hAnsi="Verdana"/>
                <w:b/>
                <w:sz w:val="20"/>
                <w:szCs w:val="20"/>
                <w:lang w:val="pt-BR"/>
              </w:rPr>
              <w:t>DISTRIBUÍDAS.</w:t>
            </w:r>
          </w:p>
          <w:p>
            <w:pPr>
              <w:jc w:val="both"/>
              <w:rPr>
                <w:rFonts w:ascii="Verdana" w:hAnsi="Verdana"/>
                <w:b/>
                <w:sz w:val="20"/>
                <w:szCs w:val="20"/>
                <w:lang w:val="pt-BR"/>
              </w:rPr>
            </w:pPr>
          </w:p>
          <w:p>
            <w:pPr>
              <w:ind w:left="33"/>
              <w:jc w:val="both"/>
              <w:rPr>
                <w:rFonts w:ascii="Verdana" w:hAnsi="Verdana"/>
                <w:sz w:val="20"/>
                <w:szCs w:val="20"/>
                <w:lang w:val="pt-BR"/>
              </w:rPr>
            </w:pPr>
            <w:r>
              <w:rPr>
                <w:rFonts w:ascii="Verdana" w:hAnsi="Verdana"/>
                <w:b/>
                <w:sz w:val="20"/>
                <w:szCs w:val="20"/>
                <w:lang w:val="pt-BR"/>
              </w:rPr>
              <w:t>LEIA O PROSPECTO DEFINITIVO E O FORMULÁRIO DE REFERÊNCIA DA EMISSORA ANTES DE ACEITAR A OFERTA, ESPECIALMENTE AS RESPECTIVAS SEÇÕES DE INFORMAÇÕES RELATIVAS À OFERTA E FATORES DE RISCO. LEIA TAMBÉM AS SEÇÕES "FATORES DE RISCO" E "RISCOS DE MERCADO", NOS ITENS 4.1 E 4.2 DO FORMULÁRIO DE REFERÊNCIA DA EMISSORA, PARA O CONHECIMENTO DE CERTOS FATORES DE RISCO QUE DEVEM SER CONSIDERADOS NA TOMADA DE DECISÃO DE INVESTIMENTO.</w:t>
            </w:r>
          </w:p>
          <w:p>
            <w:pPr>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bl>
    <w:tbl>
      <w:tblPr>
        <w:tblStyle w:val="TableNormal"/>
        <w:tblW w:w="10206" w:type="dxa"/>
        <w:tblInd w:w="-5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997"/>
        <w:gridCol w:w="343"/>
        <w:gridCol w:w="984"/>
        <w:gridCol w:w="682"/>
        <w:gridCol w:w="573"/>
        <w:gridCol w:w="790"/>
        <w:gridCol w:w="566"/>
        <w:gridCol w:w="731"/>
        <w:gridCol w:w="716"/>
        <w:gridCol w:w="164"/>
        <w:gridCol w:w="464"/>
        <w:gridCol w:w="2196"/>
      </w:tblGrid>
      <w:tr>
        <w:trPr>
          <w:trHeight w:hRule="exact" w:val="427"/>
        </w:trPr>
        <w:tc>
          <w:tcPr>
            <w:tcW w:w="7382" w:type="dxa"/>
            <w:gridSpan w:val="9"/>
            <w:tcBorders>
              <w:left w:val="single" w:sz="4" w:space="0" w:color="auto"/>
            </w:tcBorders>
          </w:tcPr>
          <w:p>
            <w:pPr>
              <w:pStyle w:val="TableParagraph"/>
              <w:spacing w:line="204" w:lineRule="exact"/>
              <w:ind w:left="55"/>
              <w:rPr>
                <w:rFonts w:ascii="Verdana" w:hAnsi="Verdana"/>
                <w:sz w:val="20"/>
                <w:szCs w:val="20"/>
              </w:rPr>
            </w:pPr>
            <w:r>
              <w:rPr>
                <w:rFonts w:ascii="Verdana" w:hAnsi="Verdana"/>
                <w:sz w:val="20"/>
                <w:szCs w:val="20"/>
              </w:rPr>
              <w:t>1. Nome/</w:t>
            </w:r>
            <w:proofErr w:type="spellStart"/>
            <w:r>
              <w:rPr>
                <w:rFonts w:ascii="Verdana" w:hAnsi="Verdana"/>
                <w:sz w:val="20"/>
                <w:szCs w:val="20"/>
              </w:rPr>
              <w:t>Razão</w:t>
            </w:r>
            <w:proofErr w:type="spellEnd"/>
            <w:r>
              <w:rPr>
                <w:rFonts w:ascii="Verdana" w:hAnsi="Verdana"/>
                <w:sz w:val="20"/>
                <w:szCs w:val="20"/>
              </w:rPr>
              <w:t xml:space="preserve"> Social</w:t>
            </w:r>
          </w:p>
        </w:tc>
        <w:tc>
          <w:tcPr>
            <w:tcW w:w="2824" w:type="dxa"/>
            <w:gridSpan w:val="3"/>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2. CPF/CNPJ</w:t>
            </w:r>
          </w:p>
        </w:tc>
      </w:tr>
      <w:tr>
        <w:trPr>
          <w:trHeight w:hRule="exact" w:val="430"/>
        </w:trPr>
        <w:tc>
          <w:tcPr>
            <w:tcW w:w="4579" w:type="dxa"/>
            <w:gridSpan w:val="5"/>
            <w:tcBorders>
              <w:left w:val="single" w:sz="4" w:space="0" w:color="auto"/>
            </w:tcBorders>
          </w:tcPr>
          <w:p>
            <w:pPr>
              <w:pStyle w:val="TableParagraph"/>
              <w:spacing w:line="206" w:lineRule="exact"/>
              <w:ind w:left="55"/>
              <w:rPr>
                <w:rFonts w:ascii="Verdana" w:hAnsi="Verdana"/>
                <w:sz w:val="20"/>
                <w:szCs w:val="20"/>
              </w:rPr>
            </w:pPr>
            <w:r>
              <w:rPr>
                <w:rFonts w:ascii="Verdana" w:hAnsi="Verdana"/>
                <w:sz w:val="20"/>
                <w:szCs w:val="20"/>
              </w:rPr>
              <w:t xml:space="preserve">3. </w:t>
            </w:r>
            <w:proofErr w:type="spellStart"/>
            <w:r>
              <w:rPr>
                <w:rFonts w:ascii="Verdana" w:hAnsi="Verdana"/>
                <w:sz w:val="20"/>
                <w:szCs w:val="20"/>
              </w:rPr>
              <w:t>Endereço</w:t>
            </w:r>
            <w:proofErr w:type="spellEnd"/>
          </w:p>
        </w:tc>
        <w:tc>
          <w:tcPr>
            <w:tcW w:w="1356" w:type="dxa"/>
            <w:gridSpan w:val="2"/>
          </w:tcPr>
          <w:p>
            <w:pPr>
              <w:pStyle w:val="TableParagraph"/>
              <w:spacing w:line="206" w:lineRule="exact"/>
              <w:ind w:left="59"/>
              <w:rPr>
                <w:rFonts w:ascii="Verdana" w:hAnsi="Verdana"/>
                <w:sz w:val="20"/>
                <w:szCs w:val="20"/>
              </w:rPr>
            </w:pPr>
            <w:r>
              <w:rPr>
                <w:rFonts w:ascii="Verdana" w:hAnsi="Verdana"/>
                <w:sz w:val="20"/>
                <w:szCs w:val="20"/>
              </w:rPr>
              <w:t xml:space="preserve">4. </w:t>
            </w:r>
            <w:proofErr w:type="spellStart"/>
            <w:r>
              <w:rPr>
                <w:rFonts w:ascii="Verdana" w:hAnsi="Verdana"/>
                <w:sz w:val="20"/>
                <w:szCs w:val="20"/>
              </w:rPr>
              <w:t>Número</w:t>
            </w:r>
            <w:proofErr w:type="spellEnd"/>
          </w:p>
        </w:tc>
        <w:tc>
          <w:tcPr>
            <w:tcW w:w="1447" w:type="dxa"/>
            <w:gridSpan w:val="2"/>
          </w:tcPr>
          <w:p>
            <w:pPr>
              <w:pStyle w:val="TableParagraph"/>
              <w:spacing w:line="206" w:lineRule="exact"/>
              <w:ind w:left="37"/>
              <w:rPr>
                <w:rFonts w:ascii="Verdana" w:hAnsi="Verdana"/>
                <w:sz w:val="20"/>
                <w:szCs w:val="20"/>
              </w:rPr>
            </w:pPr>
            <w:r>
              <w:rPr>
                <w:rFonts w:ascii="Verdana" w:hAnsi="Verdana"/>
                <w:sz w:val="20"/>
                <w:szCs w:val="20"/>
              </w:rPr>
              <w:t>5.</w:t>
            </w:r>
          </w:p>
          <w:p>
            <w:pPr>
              <w:pStyle w:val="TableParagraph"/>
              <w:spacing w:line="207" w:lineRule="exact"/>
              <w:ind w:left="37"/>
              <w:rPr>
                <w:rFonts w:ascii="Verdana" w:hAnsi="Verdana"/>
                <w:sz w:val="20"/>
                <w:szCs w:val="20"/>
              </w:rPr>
            </w:pPr>
            <w:proofErr w:type="spellStart"/>
            <w:r>
              <w:rPr>
                <w:rFonts w:ascii="Verdana" w:hAnsi="Verdana"/>
                <w:sz w:val="20"/>
                <w:szCs w:val="20"/>
              </w:rPr>
              <w:t>Complemento</w:t>
            </w:r>
            <w:proofErr w:type="spellEnd"/>
          </w:p>
        </w:tc>
        <w:tc>
          <w:tcPr>
            <w:tcW w:w="2824" w:type="dxa"/>
            <w:gridSpan w:val="3"/>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 xml:space="preserve">6. </w:t>
            </w:r>
            <w:proofErr w:type="spellStart"/>
            <w:r>
              <w:rPr>
                <w:rFonts w:ascii="Verdana" w:hAnsi="Verdana"/>
                <w:sz w:val="20"/>
                <w:szCs w:val="20"/>
              </w:rPr>
              <w:t>Bairro</w:t>
            </w:r>
            <w:proofErr w:type="spellEnd"/>
          </w:p>
        </w:tc>
      </w:tr>
      <w:tr>
        <w:trPr>
          <w:trHeight w:hRule="exact" w:val="620"/>
        </w:trPr>
        <w:tc>
          <w:tcPr>
            <w:tcW w:w="1997" w:type="dxa"/>
            <w:tcBorders>
              <w:left w:val="single" w:sz="4" w:space="0" w:color="auto"/>
            </w:tcBorders>
          </w:tcPr>
          <w:p>
            <w:pPr>
              <w:pStyle w:val="TableParagraph"/>
              <w:spacing w:line="242" w:lineRule="auto"/>
              <w:ind w:left="55"/>
              <w:rPr>
                <w:rFonts w:ascii="Verdana" w:hAnsi="Verdana"/>
                <w:sz w:val="20"/>
                <w:szCs w:val="20"/>
              </w:rPr>
            </w:pPr>
            <w:r>
              <w:rPr>
                <w:rFonts w:ascii="Verdana" w:hAnsi="Verdana"/>
                <w:sz w:val="20"/>
                <w:szCs w:val="20"/>
              </w:rPr>
              <w:t xml:space="preserve">7. </w:t>
            </w:r>
            <w:proofErr w:type="spellStart"/>
            <w:r>
              <w:rPr>
                <w:rFonts w:ascii="Verdana" w:hAnsi="Verdana"/>
                <w:sz w:val="20"/>
                <w:szCs w:val="20"/>
              </w:rPr>
              <w:t>Cód</w:t>
            </w:r>
            <w:proofErr w:type="spellEnd"/>
            <w:r>
              <w:rPr>
                <w:rFonts w:ascii="Verdana" w:hAnsi="Verdana"/>
                <w:sz w:val="20"/>
                <w:szCs w:val="20"/>
              </w:rPr>
              <w:t xml:space="preserve">. de </w:t>
            </w:r>
            <w:proofErr w:type="spellStart"/>
            <w:r>
              <w:rPr>
                <w:rFonts w:ascii="Verdana" w:hAnsi="Verdana"/>
                <w:sz w:val="20"/>
                <w:szCs w:val="20"/>
              </w:rPr>
              <w:t>Área</w:t>
            </w:r>
            <w:proofErr w:type="spellEnd"/>
            <w:r>
              <w:rPr>
                <w:rFonts w:ascii="Verdana" w:hAnsi="Verdana"/>
                <w:sz w:val="20"/>
                <w:szCs w:val="20"/>
              </w:rPr>
              <w:t xml:space="preserve"> /</w:t>
            </w:r>
          </w:p>
        </w:tc>
        <w:tc>
          <w:tcPr>
            <w:tcW w:w="2582" w:type="dxa"/>
            <w:gridSpan w:val="4"/>
          </w:tcPr>
          <w:p>
            <w:pPr>
              <w:pStyle w:val="TableParagraph"/>
              <w:spacing w:line="204" w:lineRule="exact"/>
              <w:rPr>
                <w:rFonts w:ascii="Verdana" w:hAnsi="Verdana"/>
                <w:sz w:val="20"/>
                <w:szCs w:val="20"/>
              </w:rPr>
            </w:pPr>
            <w:r>
              <w:rPr>
                <w:rFonts w:ascii="Verdana" w:hAnsi="Verdana"/>
                <w:sz w:val="20"/>
                <w:szCs w:val="20"/>
              </w:rPr>
              <w:t xml:space="preserve">8. </w:t>
            </w:r>
            <w:proofErr w:type="spellStart"/>
            <w:r>
              <w:rPr>
                <w:rFonts w:ascii="Verdana" w:hAnsi="Verdana"/>
                <w:sz w:val="20"/>
                <w:szCs w:val="20"/>
              </w:rPr>
              <w:t>Telefone</w:t>
            </w:r>
            <w:proofErr w:type="spellEnd"/>
          </w:p>
        </w:tc>
        <w:tc>
          <w:tcPr>
            <w:tcW w:w="5627" w:type="dxa"/>
            <w:gridSpan w:val="7"/>
            <w:tcBorders>
              <w:right w:val="single" w:sz="4" w:space="0" w:color="auto"/>
            </w:tcBorders>
          </w:tcPr>
          <w:p>
            <w:pPr>
              <w:pStyle w:val="TableParagraph"/>
              <w:spacing w:line="204" w:lineRule="exact"/>
              <w:ind w:left="59"/>
              <w:rPr>
                <w:rFonts w:ascii="Verdana" w:hAnsi="Verdana"/>
                <w:sz w:val="20"/>
                <w:szCs w:val="20"/>
              </w:rPr>
            </w:pPr>
            <w:r>
              <w:rPr>
                <w:rFonts w:ascii="Verdana" w:hAnsi="Verdana"/>
                <w:sz w:val="20"/>
                <w:szCs w:val="20"/>
              </w:rPr>
              <w:t>9. Fax</w:t>
            </w:r>
          </w:p>
        </w:tc>
      </w:tr>
      <w:tr>
        <w:trPr>
          <w:trHeight w:hRule="exact" w:val="430"/>
        </w:trPr>
        <w:tc>
          <w:tcPr>
            <w:tcW w:w="1997" w:type="dxa"/>
            <w:tcBorders>
              <w:left w:val="single" w:sz="4" w:space="0" w:color="auto"/>
            </w:tcBorders>
          </w:tcPr>
          <w:p>
            <w:pPr>
              <w:pStyle w:val="TableParagraph"/>
              <w:spacing w:line="204" w:lineRule="exact"/>
              <w:ind w:left="55"/>
              <w:rPr>
                <w:rFonts w:ascii="Verdana" w:hAnsi="Verdana"/>
                <w:sz w:val="20"/>
                <w:szCs w:val="20"/>
              </w:rPr>
            </w:pPr>
            <w:r>
              <w:rPr>
                <w:rFonts w:ascii="Verdana" w:hAnsi="Verdana"/>
                <w:sz w:val="20"/>
                <w:szCs w:val="20"/>
              </w:rPr>
              <w:t>10. CEP</w:t>
            </w:r>
          </w:p>
        </w:tc>
        <w:tc>
          <w:tcPr>
            <w:tcW w:w="3938" w:type="dxa"/>
            <w:gridSpan w:val="6"/>
          </w:tcPr>
          <w:p>
            <w:pPr>
              <w:pStyle w:val="TableParagraph"/>
              <w:spacing w:line="204" w:lineRule="exact"/>
              <w:rPr>
                <w:rFonts w:ascii="Verdana" w:hAnsi="Verdana"/>
                <w:sz w:val="20"/>
                <w:szCs w:val="20"/>
              </w:rPr>
            </w:pPr>
            <w:r>
              <w:rPr>
                <w:rFonts w:ascii="Verdana" w:hAnsi="Verdana"/>
                <w:sz w:val="20"/>
                <w:szCs w:val="20"/>
              </w:rPr>
              <w:t xml:space="preserve">11. </w:t>
            </w:r>
            <w:proofErr w:type="spellStart"/>
            <w:r>
              <w:rPr>
                <w:rFonts w:ascii="Verdana" w:hAnsi="Verdana"/>
                <w:sz w:val="20"/>
                <w:szCs w:val="20"/>
              </w:rPr>
              <w:t>Cidade</w:t>
            </w:r>
            <w:proofErr w:type="spellEnd"/>
          </w:p>
        </w:tc>
        <w:tc>
          <w:tcPr>
            <w:tcW w:w="1447" w:type="dxa"/>
            <w:gridSpan w:val="2"/>
          </w:tcPr>
          <w:p>
            <w:pPr>
              <w:pStyle w:val="TableParagraph"/>
              <w:spacing w:line="204" w:lineRule="exact"/>
              <w:ind w:left="37"/>
              <w:rPr>
                <w:rFonts w:ascii="Verdana" w:hAnsi="Verdana"/>
                <w:sz w:val="20"/>
                <w:szCs w:val="20"/>
              </w:rPr>
            </w:pPr>
            <w:r>
              <w:rPr>
                <w:rFonts w:ascii="Verdana" w:hAnsi="Verdana"/>
                <w:sz w:val="20"/>
                <w:szCs w:val="20"/>
              </w:rPr>
              <w:t>12. Estado</w:t>
            </w:r>
          </w:p>
        </w:tc>
        <w:tc>
          <w:tcPr>
            <w:tcW w:w="2824" w:type="dxa"/>
            <w:gridSpan w:val="3"/>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13. País</w:t>
            </w:r>
          </w:p>
        </w:tc>
      </w:tr>
      <w:tr>
        <w:trPr>
          <w:trHeight w:hRule="exact" w:val="427"/>
        </w:trPr>
        <w:tc>
          <w:tcPr>
            <w:tcW w:w="4006" w:type="dxa"/>
            <w:gridSpan w:val="4"/>
            <w:tcBorders>
              <w:left w:val="single" w:sz="4" w:space="0" w:color="auto"/>
            </w:tcBorders>
          </w:tcPr>
          <w:p>
            <w:pPr>
              <w:pStyle w:val="TableParagraph"/>
              <w:spacing w:line="204" w:lineRule="exact"/>
              <w:ind w:left="55"/>
              <w:rPr>
                <w:rFonts w:ascii="Verdana" w:hAnsi="Verdana"/>
                <w:sz w:val="20"/>
                <w:szCs w:val="20"/>
              </w:rPr>
            </w:pPr>
            <w:r>
              <w:rPr>
                <w:rFonts w:ascii="Verdana" w:hAnsi="Verdana"/>
                <w:sz w:val="20"/>
                <w:szCs w:val="20"/>
              </w:rPr>
              <w:t>14. Banco</w:t>
            </w:r>
          </w:p>
        </w:tc>
        <w:tc>
          <w:tcPr>
            <w:tcW w:w="1929" w:type="dxa"/>
            <w:gridSpan w:val="3"/>
          </w:tcPr>
          <w:p>
            <w:pPr>
              <w:pStyle w:val="TableParagraph"/>
              <w:spacing w:line="204" w:lineRule="exact"/>
              <w:ind w:left="79"/>
              <w:rPr>
                <w:rFonts w:ascii="Verdana" w:hAnsi="Verdana"/>
                <w:sz w:val="20"/>
                <w:szCs w:val="20"/>
              </w:rPr>
            </w:pPr>
            <w:r>
              <w:rPr>
                <w:rFonts w:ascii="Verdana" w:hAnsi="Verdana"/>
                <w:sz w:val="20"/>
                <w:szCs w:val="20"/>
              </w:rPr>
              <w:t xml:space="preserve">15. </w:t>
            </w:r>
            <w:proofErr w:type="spellStart"/>
            <w:r>
              <w:rPr>
                <w:rFonts w:ascii="Verdana" w:hAnsi="Verdana"/>
                <w:sz w:val="20"/>
                <w:szCs w:val="20"/>
              </w:rPr>
              <w:t>Agência</w:t>
            </w:r>
            <w:proofErr w:type="spellEnd"/>
          </w:p>
        </w:tc>
        <w:tc>
          <w:tcPr>
            <w:tcW w:w="4271" w:type="dxa"/>
            <w:gridSpan w:val="5"/>
            <w:tcBorders>
              <w:right w:val="single" w:sz="4" w:space="0" w:color="auto"/>
            </w:tcBorders>
          </w:tcPr>
          <w:p>
            <w:pPr>
              <w:pStyle w:val="TableParagraph"/>
              <w:spacing w:line="204" w:lineRule="exact"/>
              <w:ind w:left="37"/>
              <w:rPr>
                <w:rFonts w:ascii="Verdana" w:hAnsi="Verdana"/>
                <w:sz w:val="20"/>
                <w:szCs w:val="20"/>
              </w:rPr>
            </w:pPr>
            <w:r>
              <w:rPr>
                <w:rFonts w:ascii="Verdana" w:hAnsi="Verdana"/>
                <w:sz w:val="20"/>
                <w:szCs w:val="20"/>
              </w:rPr>
              <w:t xml:space="preserve">16.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z w:val="20"/>
                <w:szCs w:val="20"/>
              </w:rPr>
              <w:t>Corrente</w:t>
            </w:r>
            <w:proofErr w:type="spellEnd"/>
          </w:p>
        </w:tc>
      </w:tr>
      <w:tr>
        <w:trPr>
          <w:trHeight w:hRule="exact" w:val="245"/>
        </w:trPr>
        <w:tc>
          <w:tcPr>
            <w:tcW w:w="10206" w:type="dxa"/>
            <w:gridSpan w:val="12"/>
            <w:tcBorders>
              <w:left w:val="single" w:sz="4" w:space="0" w:color="auto"/>
              <w:right w:val="single" w:sz="4" w:space="0" w:color="auto"/>
            </w:tcBorders>
          </w:tcPr>
          <w:p>
            <w:pPr>
              <w:pStyle w:val="TableParagraph"/>
              <w:spacing w:line="225" w:lineRule="exact"/>
              <w:ind w:left="3660" w:right="3661"/>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1997" w:type="dxa"/>
            <w:tcBorders>
              <w:left w:val="single" w:sz="4" w:space="0" w:color="auto"/>
            </w:tcBorders>
          </w:tcPr>
          <w:p>
            <w:pPr>
              <w:pStyle w:val="TableParagraph"/>
              <w:spacing w:line="206" w:lineRule="exact"/>
              <w:ind w:left="55"/>
              <w:rPr>
                <w:rFonts w:ascii="Verdana" w:hAnsi="Verdana"/>
                <w:sz w:val="20"/>
                <w:szCs w:val="20"/>
              </w:rPr>
            </w:pPr>
            <w:r>
              <w:rPr>
                <w:rFonts w:ascii="Verdana" w:hAnsi="Verdana"/>
                <w:sz w:val="20"/>
                <w:szCs w:val="20"/>
              </w:rPr>
              <w:t xml:space="preserve">17. </w:t>
            </w:r>
            <w:proofErr w:type="spellStart"/>
            <w:r>
              <w:rPr>
                <w:rFonts w:ascii="Verdana" w:hAnsi="Verdana"/>
                <w:sz w:val="20"/>
                <w:szCs w:val="20"/>
              </w:rPr>
              <w:t>Identidade</w:t>
            </w:r>
            <w:proofErr w:type="spellEnd"/>
          </w:p>
        </w:tc>
        <w:tc>
          <w:tcPr>
            <w:tcW w:w="2009" w:type="dxa"/>
            <w:gridSpan w:val="3"/>
          </w:tcPr>
          <w:p>
            <w:pPr>
              <w:pStyle w:val="TableParagraph"/>
              <w:spacing w:line="206" w:lineRule="exact"/>
              <w:rPr>
                <w:rFonts w:ascii="Verdana" w:hAnsi="Verdana"/>
                <w:sz w:val="20"/>
                <w:szCs w:val="20"/>
              </w:rPr>
            </w:pPr>
            <w:r>
              <w:rPr>
                <w:rFonts w:ascii="Verdana" w:hAnsi="Verdana"/>
                <w:sz w:val="20"/>
                <w:szCs w:val="20"/>
              </w:rPr>
              <w:t xml:space="preserve">18. </w:t>
            </w:r>
            <w:proofErr w:type="spellStart"/>
            <w:r>
              <w:rPr>
                <w:rFonts w:ascii="Verdana" w:hAnsi="Verdana"/>
                <w:sz w:val="20"/>
                <w:szCs w:val="20"/>
              </w:rPr>
              <w:t>Órgão</w:t>
            </w:r>
            <w:proofErr w:type="spellEnd"/>
            <w:r>
              <w:rPr>
                <w:rFonts w:ascii="Verdana" w:hAnsi="Verdana"/>
                <w:sz w:val="20"/>
                <w:szCs w:val="20"/>
              </w:rPr>
              <w:t xml:space="preserve"> </w:t>
            </w:r>
            <w:proofErr w:type="spellStart"/>
            <w:r>
              <w:rPr>
                <w:rFonts w:ascii="Verdana" w:hAnsi="Verdana"/>
                <w:sz w:val="20"/>
                <w:szCs w:val="20"/>
              </w:rPr>
              <w:t>Emissor</w:t>
            </w:r>
            <w:proofErr w:type="spellEnd"/>
            <w:r>
              <w:rPr>
                <w:rFonts w:ascii="Verdana" w:hAnsi="Verdana"/>
                <w:sz w:val="20"/>
                <w:szCs w:val="20"/>
              </w:rPr>
              <w:t>/UF</w:t>
            </w:r>
          </w:p>
        </w:tc>
        <w:tc>
          <w:tcPr>
            <w:tcW w:w="1929" w:type="dxa"/>
            <w:gridSpan w:val="3"/>
          </w:tcPr>
          <w:p>
            <w:pPr>
              <w:pStyle w:val="TableParagraph"/>
              <w:spacing w:line="206" w:lineRule="exact"/>
              <w:ind w:left="45"/>
              <w:rPr>
                <w:rFonts w:ascii="Verdana" w:hAnsi="Verdana"/>
                <w:sz w:val="20"/>
                <w:szCs w:val="20"/>
              </w:rPr>
            </w:pPr>
            <w:r>
              <w:rPr>
                <w:rFonts w:ascii="Verdana" w:hAnsi="Verdana"/>
                <w:sz w:val="20"/>
                <w:szCs w:val="20"/>
              </w:rPr>
              <w:t xml:space="preserve">19. Data </w:t>
            </w:r>
            <w:proofErr w:type="spellStart"/>
            <w:r>
              <w:rPr>
                <w:rFonts w:ascii="Verdana" w:hAnsi="Verdana"/>
                <w:sz w:val="20"/>
                <w:szCs w:val="20"/>
              </w:rPr>
              <w:t>Nasc</w:t>
            </w:r>
            <w:proofErr w:type="spellEnd"/>
            <w:r>
              <w:rPr>
                <w:rFonts w:ascii="Verdana" w:hAnsi="Verdana"/>
                <w:sz w:val="20"/>
                <w:szCs w:val="20"/>
              </w:rPr>
              <w:t>.</w:t>
            </w:r>
          </w:p>
        </w:tc>
        <w:tc>
          <w:tcPr>
            <w:tcW w:w="2075" w:type="dxa"/>
            <w:gridSpan w:val="4"/>
          </w:tcPr>
          <w:p>
            <w:pPr>
              <w:pStyle w:val="TableParagraph"/>
              <w:spacing w:line="206" w:lineRule="exact"/>
              <w:ind w:left="112"/>
              <w:rPr>
                <w:rFonts w:ascii="Verdana" w:hAnsi="Verdana"/>
                <w:sz w:val="20"/>
                <w:szCs w:val="20"/>
              </w:rPr>
            </w:pPr>
            <w:r>
              <w:rPr>
                <w:rFonts w:ascii="Verdana" w:hAnsi="Verdana"/>
                <w:sz w:val="20"/>
                <w:szCs w:val="20"/>
              </w:rPr>
              <w:t xml:space="preserve">20. </w:t>
            </w:r>
            <w:proofErr w:type="spellStart"/>
            <w:r>
              <w:rPr>
                <w:rFonts w:ascii="Verdana" w:hAnsi="Verdana"/>
                <w:sz w:val="20"/>
                <w:szCs w:val="20"/>
              </w:rPr>
              <w:t>Nacionalidade</w:t>
            </w:r>
            <w:proofErr w:type="spellEnd"/>
          </w:p>
        </w:tc>
        <w:tc>
          <w:tcPr>
            <w:tcW w:w="2196" w:type="dxa"/>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21. Estado Civil</w:t>
            </w:r>
          </w:p>
        </w:tc>
      </w:tr>
      <w:tr>
        <w:trPr>
          <w:trHeight w:hRule="exact" w:val="467"/>
        </w:trPr>
        <w:tc>
          <w:tcPr>
            <w:tcW w:w="10206" w:type="dxa"/>
            <w:gridSpan w:val="12"/>
          </w:tcPr>
          <w:p>
            <w:pPr>
              <w:pStyle w:val="TableParagraph"/>
              <w:spacing w:line="199" w:lineRule="exact"/>
              <w:ind w:left="501" w:right="501"/>
              <w:jc w:val="center"/>
              <w:rPr>
                <w:rFonts w:ascii="Verdana" w:hAnsi="Verdana"/>
                <w:b/>
                <w:sz w:val="20"/>
                <w:szCs w:val="20"/>
              </w:rPr>
            </w:pPr>
          </w:p>
          <w:p>
            <w:pPr>
              <w:pStyle w:val="TableParagraph"/>
              <w:spacing w:line="199" w:lineRule="exact"/>
              <w:ind w:left="501" w:right="501"/>
              <w:jc w:val="center"/>
              <w:rPr>
                <w:rFonts w:ascii="Verdana" w:hAnsi="Verdana"/>
                <w:b/>
                <w:sz w:val="20"/>
                <w:szCs w:val="20"/>
              </w:rPr>
            </w:pPr>
            <w:r>
              <w:rPr>
                <w:rFonts w:ascii="Verdana" w:hAnsi="Verdana"/>
                <w:b/>
                <w:sz w:val="20"/>
                <w:szCs w:val="20"/>
              </w:rPr>
              <w:t>PESSOA JURÍDICA</w:t>
            </w:r>
          </w:p>
        </w:tc>
      </w:tr>
      <w:tr>
        <w:trPr>
          <w:trHeight w:hRule="exact" w:val="428"/>
        </w:trPr>
        <w:tc>
          <w:tcPr>
            <w:tcW w:w="3324" w:type="dxa"/>
            <w:gridSpan w:val="3"/>
          </w:tcPr>
          <w:p>
            <w:pPr>
              <w:pStyle w:val="TableParagraph"/>
              <w:spacing w:line="204" w:lineRule="exact"/>
              <w:rPr>
                <w:rFonts w:ascii="Verdana" w:hAnsi="Verdana"/>
                <w:sz w:val="20"/>
                <w:szCs w:val="20"/>
              </w:rPr>
            </w:pPr>
            <w:r>
              <w:rPr>
                <w:rFonts w:ascii="Verdana" w:hAnsi="Verdana"/>
                <w:sz w:val="20"/>
                <w:szCs w:val="20"/>
              </w:rPr>
              <w:t xml:space="preserve">22. Data de </w:t>
            </w:r>
            <w:proofErr w:type="spellStart"/>
            <w:r>
              <w:rPr>
                <w:rFonts w:ascii="Verdana" w:hAnsi="Verdana"/>
                <w:sz w:val="20"/>
                <w:szCs w:val="20"/>
              </w:rPr>
              <w:t>Constituição</w:t>
            </w:r>
            <w:proofErr w:type="spellEnd"/>
          </w:p>
        </w:tc>
        <w:tc>
          <w:tcPr>
            <w:tcW w:w="3342" w:type="dxa"/>
            <w:gridSpan w:val="5"/>
          </w:tcPr>
          <w:p>
            <w:pPr>
              <w:pStyle w:val="TableParagraph"/>
              <w:spacing w:line="204" w:lineRule="exact"/>
              <w:rPr>
                <w:rFonts w:ascii="Verdana" w:hAnsi="Verdana"/>
                <w:sz w:val="20"/>
                <w:szCs w:val="20"/>
              </w:rPr>
            </w:pPr>
            <w:r>
              <w:rPr>
                <w:rFonts w:ascii="Verdana" w:hAnsi="Verdana"/>
                <w:sz w:val="20"/>
                <w:szCs w:val="20"/>
              </w:rPr>
              <w:t xml:space="preserve">23. </w:t>
            </w:r>
            <w:proofErr w:type="spellStart"/>
            <w:r>
              <w:rPr>
                <w:rFonts w:ascii="Verdana" w:hAnsi="Verdana"/>
                <w:sz w:val="20"/>
                <w:szCs w:val="20"/>
              </w:rPr>
              <w:t>Representante</w:t>
            </w:r>
            <w:proofErr w:type="spellEnd"/>
            <w:r>
              <w:rPr>
                <w:rFonts w:ascii="Verdana" w:hAnsi="Verdana"/>
                <w:sz w:val="20"/>
                <w:szCs w:val="20"/>
              </w:rPr>
              <w:t xml:space="preserve"> Legal</w:t>
            </w:r>
          </w:p>
        </w:tc>
        <w:tc>
          <w:tcPr>
            <w:tcW w:w="3540" w:type="dxa"/>
            <w:gridSpan w:val="4"/>
          </w:tcPr>
          <w:p>
            <w:pPr>
              <w:pStyle w:val="TableParagraph"/>
              <w:spacing w:line="204" w:lineRule="exact"/>
              <w:rPr>
                <w:rFonts w:ascii="Verdana" w:hAnsi="Verdana"/>
                <w:sz w:val="20"/>
                <w:szCs w:val="20"/>
              </w:rPr>
            </w:pPr>
            <w:r>
              <w:rPr>
                <w:rFonts w:ascii="Verdana" w:hAnsi="Verdana"/>
                <w:sz w:val="20"/>
                <w:szCs w:val="20"/>
              </w:rPr>
              <w:t>24. CNPJ/ME</w:t>
            </w:r>
          </w:p>
        </w:tc>
      </w:tr>
      <w:tr>
        <w:trPr>
          <w:trHeight w:hRule="exact" w:val="410"/>
        </w:trPr>
        <w:tc>
          <w:tcPr>
            <w:tcW w:w="10206" w:type="dxa"/>
            <w:gridSpan w:val="12"/>
          </w:tcPr>
          <w:p>
            <w:pPr>
              <w:pStyle w:val="TableParagraph"/>
              <w:spacing w:line="201" w:lineRule="exact"/>
              <w:ind w:left="501" w:right="501"/>
              <w:jc w:val="center"/>
              <w:rPr>
                <w:rFonts w:ascii="Verdana" w:hAnsi="Verdana"/>
                <w:b/>
                <w:sz w:val="20"/>
                <w:szCs w:val="20"/>
              </w:rPr>
            </w:pPr>
          </w:p>
          <w:p>
            <w:pPr>
              <w:pStyle w:val="TableParagraph"/>
              <w:spacing w:line="201" w:lineRule="exact"/>
              <w:ind w:left="501" w:right="501"/>
              <w:jc w:val="center"/>
              <w:rPr>
                <w:rFonts w:ascii="Verdana" w:hAnsi="Verdana"/>
                <w:b/>
                <w:sz w:val="20"/>
                <w:szCs w:val="20"/>
              </w:rPr>
            </w:pPr>
            <w:r>
              <w:rPr>
                <w:rFonts w:ascii="Verdana" w:hAnsi="Verdana"/>
                <w:b/>
                <w:sz w:val="20"/>
                <w:szCs w:val="20"/>
              </w:rPr>
              <w:t>DEBÊNTURES SUBSCRITAS</w:t>
            </w:r>
          </w:p>
        </w:tc>
      </w:tr>
      <w:tr>
        <w:trPr>
          <w:trHeight w:hRule="exact" w:val="430"/>
        </w:trPr>
        <w:tc>
          <w:tcPr>
            <w:tcW w:w="4579" w:type="dxa"/>
            <w:gridSpan w:val="5"/>
          </w:tcPr>
          <w:p>
            <w:pPr>
              <w:pStyle w:val="TableParagraph"/>
              <w:spacing w:line="204" w:lineRule="exact"/>
              <w:rPr>
                <w:rFonts w:ascii="Verdana" w:hAnsi="Verdana"/>
                <w:sz w:val="20"/>
                <w:szCs w:val="20"/>
                <w:lang w:val="pt-BR"/>
              </w:rPr>
            </w:pPr>
            <w:r>
              <w:rPr>
                <w:rFonts w:ascii="Verdana" w:hAnsi="Verdana"/>
                <w:sz w:val="20"/>
                <w:szCs w:val="20"/>
                <w:lang w:val="pt-BR"/>
              </w:rPr>
              <w:t>25. Quantidade de Debêntures</w:t>
            </w:r>
          </w:p>
        </w:tc>
        <w:tc>
          <w:tcPr>
            <w:tcW w:w="5627" w:type="dxa"/>
            <w:gridSpan w:val="7"/>
          </w:tcPr>
          <w:p>
            <w:pPr>
              <w:pStyle w:val="TableParagraph"/>
              <w:spacing w:line="204" w:lineRule="exact"/>
              <w:ind w:left="59"/>
              <w:rPr>
                <w:rFonts w:ascii="Verdana" w:hAnsi="Verdana"/>
                <w:sz w:val="20"/>
                <w:szCs w:val="20"/>
                <w:lang w:val="pt-BR"/>
              </w:rPr>
            </w:pPr>
            <w:r>
              <w:rPr>
                <w:rFonts w:ascii="Verdana" w:hAnsi="Verdana"/>
                <w:sz w:val="20"/>
                <w:szCs w:val="20"/>
                <w:lang w:val="pt-BR"/>
              </w:rPr>
              <w:t xml:space="preserve">26. Valor Pago </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6" w:type="dxa"/>
            <w:gridSpan w:val="12"/>
          </w:tcPr>
          <w:p>
            <w:pPr>
              <w:tabs>
                <w:tab w:val="left" w:pos="908"/>
              </w:tabs>
              <w:jc w:val="both"/>
              <w:rPr>
                <w:rFonts w:ascii="Verdana" w:hAnsi="Verdana"/>
                <w:b/>
                <w:sz w:val="20"/>
                <w:szCs w:val="20"/>
                <w:lang w:val="pt-BR"/>
              </w:rPr>
            </w:pPr>
            <w:r>
              <w:rPr>
                <w:rFonts w:ascii="Verdana" w:hAnsi="Verdana"/>
                <w:b/>
                <w:sz w:val="20"/>
                <w:szCs w:val="20"/>
                <w:lang w:val="pt-BR"/>
              </w:rPr>
              <w:t>27A – [</w:t>
            </w:r>
            <w:r>
              <w:rPr>
                <w:rFonts w:ascii="Verdana" w:eastAsia="Arial" w:hAnsi="Verdana" w:cs="Arial"/>
                <w:sz w:val="20"/>
                <w:szCs w:val="20"/>
                <w:lang w:val="pt-BR"/>
              </w:rPr>
              <w:tab/>
            </w:r>
            <w:r>
              <w:rPr>
                <w:rFonts w:ascii="Verdana" w:hAnsi="Verdana"/>
                <w:b/>
                <w:sz w:val="20"/>
                <w:szCs w:val="20"/>
                <w:lang w:val="pt-BR"/>
              </w:rPr>
              <w:t>] O INVESTIDOR DECLARA SER PESSOA VINCULADA À OFERTA, OU SEJA,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hAnsi="Verdana"/>
                <w:b/>
                <w:sz w:val="20"/>
                <w:szCs w:val="20"/>
                <w:u w:val="single"/>
                <w:lang w:val="pt-BR"/>
              </w:rPr>
              <w:t xml:space="preserve">PESSOA </w:t>
            </w:r>
            <w:r>
              <w:rPr>
                <w:rFonts w:ascii="Verdana" w:hAnsi="Verdana"/>
                <w:b/>
                <w:sz w:val="20"/>
                <w:szCs w:val="20"/>
                <w:u w:val="single"/>
                <w:lang w:val="pt-BR"/>
              </w:rPr>
              <w:lastRenderedPageBreak/>
              <w:t>VINCULADA</w:t>
            </w:r>
            <w:r>
              <w:rPr>
                <w:rFonts w:ascii="Verdana" w:hAnsi="Verdana"/>
                <w:b/>
                <w:sz w:val="20"/>
                <w:szCs w:val="20"/>
                <w:lang w:val="pt-BR"/>
              </w:rPr>
              <w:t>”).</w:t>
            </w:r>
          </w:p>
          <w:p>
            <w:pPr>
              <w:jc w:val="both"/>
              <w:rPr>
                <w:rFonts w:ascii="Verdana" w:hAnsi="Verdana"/>
                <w:b/>
                <w:sz w:val="20"/>
                <w:szCs w:val="20"/>
                <w:lang w:val="pt-BR"/>
              </w:rPr>
            </w:pPr>
          </w:p>
          <w:p>
            <w:pPr>
              <w:tabs>
                <w:tab w:val="left" w:pos="908"/>
              </w:tabs>
              <w:jc w:val="both"/>
              <w:rPr>
                <w:rFonts w:ascii="Verdana" w:hAnsi="Verdana"/>
                <w:sz w:val="20"/>
                <w:szCs w:val="20"/>
                <w:lang w:val="pt-BR"/>
              </w:rPr>
            </w:pPr>
            <w:r>
              <w:rPr>
                <w:rFonts w:ascii="Verdana" w:hAnsi="Verdana"/>
                <w:b/>
                <w:sz w:val="20"/>
                <w:szCs w:val="20"/>
                <w:lang w:val="pt-BR"/>
              </w:rPr>
              <w:t>27 B – [</w:t>
            </w:r>
            <w:r>
              <w:rPr>
                <w:rFonts w:ascii="Verdana" w:eastAsia="Arial" w:hAnsi="Verdana" w:cs="Arial"/>
                <w:sz w:val="20"/>
                <w:szCs w:val="20"/>
                <w:lang w:val="pt-BR"/>
              </w:rPr>
              <w:tab/>
            </w:r>
            <w:r>
              <w:rPr>
                <w:rFonts w:ascii="Verdana" w:hAnsi="Verdana"/>
                <w:b/>
                <w:sz w:val="20"/>
                <w:szCs w:val="20"/>
                <w:lang w:val="pt-BR"/>
              </w:rPr>
              <w:t xml:space="preserve">] O INVESTIDOR DECLARA SER INVESTIDOR NÃO INSTITUCIONAL, DEFINIDO COMO INVESTIDOR, PESSOA FÍSICA OU JURÍDICA, QUE </w:t>
            </w:r>
            <w:r>
              <w:rPr>
                <w:rFonts w:ascii="Verdana" w:hAnsi="Verdana"/>
                <w:b/>
                <w:sz w:val="20"/>
                <w:szCs w:val="20"/>
                <w:u w:val="single"/>
                <w:lang w:val="pt-BR"/>
              </w:rPr>
              <w:t>NÃO</w:t>
            </w:r>
            <w:r>
              <w:rPr>
                <w:rFonts w:ascii="Verdana" w:hAnsi="Verdana"/>
                <w:b/>
                <w:sz w:val="20"/>
                <w:szCs w:val="20"/>
                <w:lang w:val="pt-BR"/>
              </w:rPr>
              <w:t xml:space="preserve"> ESTEJA COMPREENDIDO NA DEFINIÇÃO DE INVESTIDORES INSTITUCIONAIS. SÃO CONSIDERADOS “INVESTIDORES INSTITUCIONAIS” OS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6" w:type="dxa"/>
            <w:gridSpan w:val="12"/>
          </w:tcPr>
          <w:p>
            <w:pPr>
              <w:jc w:val="center"/>
              <w:rPr>
                <w:rFonts w:ascii="Verdana" w:hAnsi="Verdana"/>
                <w:sz w:val="20"/>
                <w:szCs w:val="20"/>
                <w:lang w:val="pt-BR"/>
              </w:rPr>
            </w:pPr>
            <w:r>
              <w:rPr>
                <w:rFonts w:ascii="Verdana" w:hAnsi="Verdana"/>
                <w:b/>
                <w:spacing w:val="-1"/>
                <w:sz w:val="20"/>
                <w:szCs w:val="20"/>
              </w:rPr>
              <w:lastRenderedPageBreak/>
              <w:t>FORMAS</w:t>
            </w:r>
            <w:r>
              <w:rPr>
                <w:rFonts w:ascii="Verdana" w:hAnsi="Verdana"/>
                <w:b/>
                <w:sz w:val="20"/>
                <w:szCs w:val="20"/>
              </w:rPr>
              <w:t xml:space="preserve"> DE </w:t>
            </w:r>
            <w:r>
              <w:rPr>
                <w:rFonts w:ascii="Verdana" w:hAnsi="Verdana"/>
                <w:b/>
                <w:spacing w:val="-1"/>
                <w:sz w:val="20"/>
                <w:szCs w:val="20"/>
              </w:rPr>
              <w:t>PAGAMENTO</w:t>
            </w:r>
          </w:p>
        </w:tc>
      </w:tr>
      <w:tr>
        <w:trPr>
          <w:trHeight w:hRule="exact" w:val="427"/>
        </w:trPr>
        <w:tc>
          <w:tcPr>
            <w:tcW w:w="2340" w:type="dxa"/>
            <w:gridSpan w:val="2"/>
          </w:tcPr>
          <w:p>
            <w:pPr>
              <w:pStyle w:val="TableParagraph"/>
              <w:spacing w:line="204" w:lineRule="exact"/>
              <w:rPr>
                <w:rFonts w:ascii="Verdana" w:hAnsi="Verdana"/>
                <w:sz w:val="20"/>
                <w:szCs w:val="20"/>
              </w:rPr>
            </w:pPr>
            <w:r>
              <w:rPr>
                <w:rFonts w:ascii="Verdana" w:hAnsi="Verdana"/>
                <w:sz w:val="20"/>
                <w:szCs w:val="20"/>
              </w:rPr>
              <w:t>28. DOC/TED</w:t>
            </w:r>
          </w:p>
        </w:tc>
        <w:tc>
          <w:tcPr>
            <w:tcW w:w="3029" w:type="dxa"/>
            <w:gridSpan w:val="4"/>
          </w:tcPr>
          <w:p>
            <w:pPr>
              <w:pStyle w:val="TableParagraph"/>
              <w:spacing w:line="204" w:lineRule="exact"/>
              <w:rPr>
                <w:rFonts w:ascii="Verdana" w:hAnsi="Verdana"/>
                <w:sz w:val="20"/>
                <w:szCs w:val="20"/>
                <w:lang w:val="pt-BR"/>
              </w:rPr>
            </w:pPr>
            <w:r>
              <w:rPr>
                <w:rFonts w:ascii="Verdana" w:hAnsi="Verdana"/>
                <w:sz w:val="20"/>
                <w:szCs w:val="20"/>
                <w:lang w:val="pt-BR"/>
              </w:rPr>
              <w:t>N.º BANCO OU CORRETORA</w:t>
            </w:r>
          </w:p>
        </w:tc>
        <w:tc>
          <w:tcPr>
            <w:tcW w:w="2177" w:type="dxa"/>
            <w:gridSpan w:val="4"/>
          </w:tcPr>
          <w:p>
            <w:pPr>
              <w:pStyle w:val="TableParagraph"/>
              <w:spacing w:line="204" w:lineRule="exact"/>
              <w:rPr>
                <w:rFonts w:ascii="Verdana" w:hAnsi="Verdana"/>
                <w:sz w:val="20"/>
                <w:szCs w:val="20"/>
              </w:rPr>
            </w:pPr>
            <w:r>
              <w:rPr>
                <w:rFonts w:ascii="Verdana" w:hAnsi="Verdana"/>
                <w:sz w:val="20"/>
                <w:szCs w:val="20"/>
              </w:rPr>
              <w:t>N.º AGÊNCIA</w:t>
            </w:r>
          </w:p>
        </w:tc>
        <w:tc>
          <w:tcPr>
            <w:tcW w:w="2660" w:type="dxa"/>
            <w:gridSpan w:val="2"/>
          </w:tcPr>
          <w:p>
            <w:pPr>
              <w:pStyle w:val="TableParagraph"/>
              <w:spacing w:line="204" w:lineRule="exact"/>
              <w:rPr>
                <w:rFonts w:ascii="Verdana" w:hAnsi="Verdana"/>
                <w:sz w:val="20"/>
                <w:szCs w:val="20"/>
              </w:rPr>
            </w:pPr>
            <w:r>
              <w:rPr>
                <w:rFonts w:ascii="Verdana" w:hAnsi="Verdana"/>
                <w:sz w:val="20"/>
                <w:szCs w:val="20"/>
              </w:rPr>
              <w:t>N.º CONTA CORRENTE</w:t>
            </w:r>
          </w:p>
        </w:tc>
      </w:tr>
      <w:tr>
        <w:trPr>
          <w:trHeight w:hRule="exact" w:val="223"/>
        </w:trPr>
        <w:tc>
          <w:tcPr>
            <w:tcW w:w="10206" w:type="dxa"/>
            <w:gridSpan w:val="12"/>
          </w:tcPr>
          <w:p>
            <w:pPr>
              <w:pStyle w:val="TableParagraph"/>
              <w:spacing w:line="201" w:lineRule="exact"/>
              <w:ind w:left="3245"/>
              <w:rPr>
                <w:rFonts w:ascii="Verdana" w:hAnsi="Verdana"/>
                <w:b/>
                <w:sz w:val="20"/>
                <w:szCs w:val="20"/>
                <w:lang w:val="pt-BR"/>
              </w:rPr>
            </w:pPr>
            <w:r>
              <w:rPr>
                <w:rFonts w:ascii="Verdana" w:hAnsi="Verdana"/>
                <w:b/>
                <w:sz w:val="20"/>
                <w:szCs w:val="20"/>
                <w:lang w:val="pt-BR"/>
              </w:rPr>
              <w:t>FORMA DE DEVOLUÇÃO DO PAGAMENTO</w:t>
            </w:r>
          </w:p>
        </w:tc>
      </w:tr>
      <w:tr>
        <w:trPr>
          <w:trHeight w:hRule="exact" w:val="636"/>
        </w:trPr>
        <w:tc>
          <w:tcPr>
            <w:tcW w:w="2340" w:type="dxa"/>
            <w:gridSpan w:val="2"/>
          </w:tcPr>
          <w:p>
            <w:pPr>
              <w:pStyle w:val="TableParagraph"/>
              <w:spacing w:line="206" w:lineRule="exact"/>
              <w:rPr>
                <w:rFonts w:ascii="Verdana" w:hAnsi="Verdana"/>
                <w:sz w:val="20"/>
                <w:szCs w:val="20"/>
              </w:rPr>
            </w:pPr>
            <w:r>
              <w:rPr>
                <w:rFonts w:ascii="Verdana" w:hAnsi="Verdana"/>
                <w:sz w:val="20"/>
                <w:szCs w:val="20"/>
              </w:rPr>
              <w:t>29. CRÉDITO EM CONTA CORRENTE</w:t>
            </w:r>
          </w:p>
        </w:tc>
        <w:tc>
          <w:tcPr>
            <w:tcW w:w="3029" w:type="dxa"/>
            <w:gridSpan w:val="4"/>
          </w:tcPr>
          <w:p>
            <w:pPr>
              <w:pStyle w:val="TableParagraph"/>
              <w:spacing w:line="204" w:lineRule="exact"/>
              <w:rPr>
                <w:rFonts w:ascii="Verdana" w:hAnsi="Verdana"/>
                <w:sz w:val="20"/>
                <w:szCs w:val="20"/>
                <w:lang w:val="pt-BR"/>
              </w:rPr>
            </w:pPr>
            <w:r>
              <w:rPr>
                <w:rFonts w:ascii="Verdana" w:hAnsi="Verdana"/>
                <w:sz w:val="20"/>
                <w:szCs w:val="20"/>
                <w:lang w:val="pt-BR"/>
              </w:rPr>
              <w:t>N.º BANCO OU CORRETORA</w:t>
            </w:r>
          </w:p>
        </w:tc>
        <w:tc>
          <w:tcPr>
            <w:tcW w:w="2177" w:type="dxa"/>
            <w:gridSpan w:val="4"/>
          </w:tcPr>
          <w:p>
            <w:pPr>
              <w:pStyle w:val="TableParagraph"/>
              <w:spacing w:line="204" w:lineRule="exact"/>
              <w:rPr>
                <w:rFonts w:ascii="Verdana" w:hAnsi="Verdana"/>
                <w:sz w:val="20"/>
                <w:szCs w:val="20"/>
              </w:rPr>
            </w:pPr>
            <w:r>
              <w:rPr>
                <w:rFonts w:ascii="Verdana" w:hAnsi="Verdana"/>
                <w:sz w:val="20"/>
                <w:szCs w:val="20"/>
              </w:rPr>
              <w:t>N.º AGÊNCIA</w:t>
            </w:r>
          </w:p>
        </w:tc>
        <w:tc>
          <w:tcPr>
            <w:tcW w:w="2660" w:type="dxa"/>
            <w:gridSpan w:val="2"/>
          </w:tcPr>
          <w:p>
            <w:pPr>
              <w:pStyle w:val="TableParagraph"/>
              <w:spacing w:line="204" w:lineRule="exact"/>
              <w:rPr>
                <w:rFonts w:ascii="Verdana" w:hAnsi="Verdana"/>
                <w:sz w:val="20"/>
                <w:szCs w:val="20"/>
              </w:rPr>
            </w:pPr>
            <w:r>
              <w:rPr>
                <w:rFonts w:ascii="Verdana" w:hAnsi="Verdana"/>
                <w:sz w:val="20"/>
                <w:szCs w:val="20"/>
              </w:rPr>
              <w:t>N.º CONTA CORRENTE</w:t>
            </w:r>
          </w:p>
        </w:tc>
      </w:tr>
      <w:tr>
        <w:trPr>
          <w:trHeight w:hRule="exact" w:val="636"/>
        </w:trPr>
        <w:tc>
          <w:tcPr>
            <w:tcW w:w="2340" w:type="dxa"/>
            <w:gridSpan w:val="2"/>
          </w:tcPr>
          <w:p>
            <w:pPr>
              <w:pStyle w:val="TableParagraph"/>
              <w:spacing w:line="206" w:lineRule="exact"/>
              <w:rPr>
                <w:rFonts w:ascii="Verdana" w:hAnsi="Verdana"/>
                <w:sz w:val="20"/>
                <w:szCs w:val="20"/>
              </w:rPr>
            </w:pPr>
            <w:r>
              <w:rPr>
                <w:rFonts w:ascii="Verdana" w:hAnsi="Verdana"/>
                <w:sz w:val="20"/>
                <w:szCs w:val="20"/>
              </w:rPr>
              <w:t>30. CRÉDITO EM CONTA INVESTIMENTO</w:t>
            </w:r>
          </w:p>
        </w:tc>
        <w:tc>
          <w:tcPr>
            <w:tcW w:w="3029" w:type="dxa"/>
            <w:gridSpan w:val="4"/>
          </w:tcPr>
          <w:p>
            <w:pPr>
              <w:pStyle w:val="TableParagraph"/>
              <w:spacing w:line="204" w:lineRule="exact"/>
              <w:rPr>
                <w:rFonts w:ascii="Verdana" w:hAnsi="Verdana"/>
                <w:sz w:val="20"/>
                <w:szCs w:val="20"/>
              </w:rPr>
            </w:pPr>
            <w:r>
              <w:rPr>
                <w:rFonts w:ascii="Verdana" w:hAnsi="Verdana"/>
                <w:sz w:val="20"/>
                <w:szCs w:val="20"/>
              </w:rPr>
              <w:t>N.º BANCO</w:t>
            </w:r>
          </w:p>
        </w:tc>
        <w:tc>
          <w:tcPr>
            <w:tcW w:w="2177" w:type="dxa"/>
            <w:gridSpan w:val="4"/>
          </w:tcPr>
          <w:p>
            <w:pPr>
              <w:pStyle w:val="TableParagraph"/>
              <w:spacing w:line="204" w:lineRule="exact"/>
              <w:rPr>
                <w:rFonts w:ascii="Verdana" w:hAnsi="Verdana"/>
                <w:sz w:val="20"/>
                <w:szCs w:val="20"/>
              </w:rPr>
            </w:pPr>
            <w:r>
              <w:rPr>
                <w:rFonts w:ascii="Verdana" w:hAnsi="Verdana"/>
                <w:sz w:val="20"/>
                <w:szCs w:val="20"/>
              </w:rPr>
              <w:t>N.º AGÊNCIA</w:t>
            </w:r>
          </w:p>
        </w:tc>
        <w:tc>
          <w:tcPr>
            <w:tcW w:w="2660" w:type="dxa"/>
            <w:gridSpan w:val="2"/>
          </w:tcPr>
          <w:p>
            <w:pPr>
              <w:pStyle w:val="TableParagraph"/>
              <w:spacing w:line="204" w:lineRule="exact"/>
              <w:rPr>
                <w:rFonts w:ascii="Verdana" w:hAnsi="Verdana"/>
                <w:sz w:val="20"/>
                <w:szCs w:val="20"/>
              </w:rPr>
            </w:pPr>
            <w:r>
              <w:rPr>
                <w:rFonts w:ascii="Verdana" w:hAnsi="Verdana"/>
                <w:sz w:val="20"/>
                <w:szCs w:val="20"/>
              </w:rPr>
              <w:t>N.º CONTA INVESTIMENTO</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spacing w:line="289" w:lineRule="auto"/>
              <w:ind w:left="0" w:right="189" w:firstLine="0"/>
              <w:jc w:val="both"/>
              <w:rPr>
                <w:rFonts w:ascii="Verdana" w:hAnsi="Verdana"/>
                <w:lang w:val="pt-BR"/>
              </w:rPr>
            </w:pPr>
          </w:p>
          <w:p>
            <w:pPr>
              <w:pStyle w:val="TableParagraph"/>
              <w:tabs>
                <w:tab w:val="left" w:pos="745"/>
              </w:tabs>
              <w:spacing w:line="288" w:lineRule="auto"/>
              <w:ind w:left="744" w:right="65"/>
              <w:jc w:val="both"/>
              <w:rPr>
                <w:rFonts w:ascii="Verdana" w:hAnsi="Verdana"/>
                <w:sz w:val="20"/>
                <w:szCs w:val="20"/>
                <w:lang w:val="pt-BR"/>
              </w:rPr>
            </w:pPr>
          </w:p>
          <w:p>
            <w:pPr>
              <w:pStyle w:val="TableParagraph"/>
              <w:numPr>
                <w:ilvl w:val="0"/>
                <w:numId w:val="7"/>
              </w:numPr>
              <w:tabs>
                <w:tab w:val="left" w:pos="745"/>
              </w:tabs>
              <w:spacing w:line="288" w:lineRule="auto"/>
              <w:ind w:right="65"/>
              <w:jc w:val="both"/>
              <w:rPr>
                <w:rFonts w:ascii="Verdana" w:hAnsi="Verdana"/>
                <w:sz w:val="20"/>
                <w:szCs w:val="20"/>
                <w:lang w:val="pt-BR"/>
              </w:rPr>
            </w:pPr>
            <w:r>
              <w:rPr>
                <w:rFonts w:ascii="Verdana" w:hAnsi="Verdana"/>
                <w:sz w:val="20"/>
                <w:szCs w:val="20"/>
                <w:lang w:val="pt-BR"/>
              </w:rPr>
              <w:t xml:space="preserve">Nos termos deste Boletim de Subscrição, o investidor indicado no </w:t>
            </w:r>
            <w:r>
              <w:rPr>
                <w:rFonts w:ascii="Verdana" w:hAnsi="Verdana"/>
                <w:sz w:val="20"/>
                <w:szCs w:val="20"/>
                <w:u w:val="single"/>
                <w:lang w:val="pt-BR"/>
              </w:rPr>
              <w:t>campo 1,</w:t>
            </w:r>
            <w:r>
              <w:rPr>
                <w:rFonts w:ascii="Verdana" w:hAnsi="Verdana"/>
                <w:sz w:val="20"/>
                <w:szCs w:val="20"/>
                <w:lang w:val="pt-BR"/>
              </w:rPr>
              <w:t xml:space="preserve"> acima (“</w:t>
            </w:r>
            <w:r>
              <w:rPr>
                <w:rFonts w:ascii="Verdana" w:hAnsi="Verdana"/>
                <w:sz w:val="20"/>
                <w:szCs w:val="20"/>
                <w:u w:val="single"/>
                <w:lang w:val="pt-BR"/>
              </w:rPr>
              <w:t>SUBSCRITOR</w:t>
            </w:r>
            <w:r>
              <w:rPr>
                <w:rFonts w:ascii="Verdana" w:hAnsi="Verdana"/>
                <w:sz w:val="20"/>
                <w:szCs w:val="20"/>
                <w:lang w:val="pt-BR"/>
              </w:rPr>
              <w:t xml:space="preserve">”) subscreve o número de Debêntures mencionado no </w:t>
            </w:r>
            <w:r>
              <w:rPr>
                <w:rFonts w:ascii="Verdana" w:hAnsi="Verdana"/>
                <w:sz w:val="20"/>
                <w:szCs w:val="20"/>
                <w:u w:val="single"/>
                <w:lang w:val="pt-BR"/>
              </w:rPr>
              <w:t>campo 25,</w:t>
            </w:r>
            <w:r>
              <w:rPr>
                <w:rFonts w:ascii="Verdana" w:hAnsi="Verdana"/>
                <w:sz w:val="20"/>
                <w:szCs w:val="20"/>
                <w:lang w:val="pt-BR"/>
              </w:rPr>
              <w:t xml:space="preserve"> acima, ao valor total indicado no </w:t>
            </w:r>
            <w:r>
              <w:rPr>
                <w:rFonts w:ascii="Verdana" w:hAnsi="Verdana"/>
                <w:sz w:val="20"/>
                <w:szCs w:val="20"/>
                <w:u w:val="single"/>
                <w:lang w:val="pt-BR"/>
              </w:rPr>
              <w:t>campo 26,</w:t>
            </w:r>
            <w:r>
              <w:rPr>
                <w:rFonts w:ascii="Verdana" w:hAnsi="Verdana"/>
                <w:sz w:val="20"/>
                <w:szCs w:val="20"/>
                <w:lang w:val="pt-BR"/>
              </w:rPr>
              <w:t xml:space="preserve"> acima, que são emitidas pela Emissora, neste ato representada pela Instituição Participante da Oferta, instituição financeira sediada na [</w:t>
            </w:r>
            <w:r>
              <w:rPr>
                <w:rFonts w:ascii="Verdana" w:hAnsi="Verdana"/>
                <w:sz w:val="20"/>
                <w:szCs w:val="20"/>
                <w:lang w:val="pt-BR"/>
              </w:rPr>
              <w:sym w:font="Symbol" w:char="F0B7"/>
            </w:r>
            <w:r>
              <w:rPr>
                <w:rFonts w:ascii="Verdana" w:hAnsi="Verdana"/>
                <w:sz w:val="20"/>
                <w:szCs w:val="20"/>
                <w:lang w:val="pt-BR"/>
              </w:rPr>
              <w:t>], na Cidade de [</w:t>
            </w:r>
            <w:r>
              <w:rPr>
                <w:rFonts w:ascii="Verdana" w:hAnsi="Verdana"/>
                <w:sz w:val="20"/>
                <w:szCs w:val="20"/>
                <w:lang w:val="pt-BR"/>
              </w:rPr>
              <w:sym w:font="Symbol" w:char="F0B7"/>
            </w:r>
            <w:r>
              <w:rPr>
                <w:rFonts w:ascii="Verdana" w:hAnsi="Verdana"/>
                <w:sz w:val="20"/>
                <w:szCs w:val="20"/>
                <w:lang w:val="pt-BR"/>
              </w:rPr>
              <w:t>], Estado de [</w:t>
            </w:r>
            <w:r>
              <w:rPr>
                <w:rFonts w:ascii="Verdana" w:hAnsi="Verdana"/>
                <w:sz w:val="20"/>
                <w:szCs w:val="20"/>
                <w:lang w:val="pt-BR"/>
              </w:rPr>
              <w:sym w:font="Symbol" w:char="F0B7"/>
            </w:r>
            <w:r>
              <w:rPr>
                <w:rFonts w:ascii="Verdana" w:hAnsi="Verdana"/>
                <w:sz w:val="20"/>
                <w:szCs w:val="20"/>
                <w:lang w:val="pt-BR"/>
              </w:rPr>
              <w:t>], inscrita no CNPJ/ME sob o nº [</w:t>
            </w:r>
            <w:r>
              <w:rPr>
                <w:rFonts w:ascii="Verdana" w:hAnsi="Verdana"/>
                <w:sz w:val="20"/>
                <w:szCs w:val="20"/>
                <w:lang w:val="pt-BR"/>
              </w:rPr>
              <w:sym w:font="Symbol" w:char="F0B7"/>
            </w:r>
            <w:r>
              <w:rPr>
                <w:rFonts w:ascii="Verdana" w:hAnsi="Verdana"/>
                <w:sz w:val="20"/>
                <w:szCs w:val="20"/>
                <w:lang w:val="pt-BR"/>
              </w:rPr>
              <w:t xml:space="preserve">], identificada no </w:t>
            </w:r>
            <w:r>
              <w:rPr>
                <w:rFonts w:ascii="Verdana" w:hAnsi="Verdana"/>
                <w:sz w:val="20"/>
                <w:szCs w:val="20"/>
                <w:u w:val="single"/>
                <w:lang w:val="pt-BR"/>
              </w:rPr>
              <w:t>campo 33,</w:t>
            </w:r>
            <w:r>
              <w:rPr>
                <w:rFonts w:ascii="Verdana" w:hAnsi="Verdana"/>
                <w:sz w:val="20"/>
                <w:szCs w:val="20"/>
                <w:lang w:val="pt-BR"/>
              </w:rPr>
              <w:t xml:space="preserve"> abaixo, com base nos poderes que lhe foram conferidos pelos Coordenadores. A Emissora, representada pela Instituição Participante da Oferta, entrega ao SUBSCRITOR, nos termos deste Boletim de Subscrição, as Debêntures subscritas pelo SUBSCRITOR, na quantidade indicada no </w:t>
            </w:r>
            <w:r>
              <w:rPr>
                <w:rFonts w:ascii="Verdana" w:hAnsi="Verdana"/>
                <w:sz w:val="20"/>
                <w:szCs w:val="20"/>
                <w:u w:val="single"/>
                <w:lang w:val="pt-BR"/>
              </w:rPr>
              <w:t>campo 25,</w:t>
            </w:r>
            <w:r>
              <w:rPr>
                <w:rFonts w:ascii="Verdana" w:hAnsi="Verdana"/>
                <w:spacing w:val="-27"/>
                <w:sz w:val="20"/>
                <w:szCs w:val="20"/>
                <w:lang w:val="pt-BR"/>
              </w:rPr>
              <w:t xml:space="preserve"> </w:t>
            </w:r>
            <w:r>
              <w:rPr>
                <w:rFonts w:ascii="Verdana" w:hAnsi="Verdana"/>
                <w:sz w:val="20"/>
                <w:szCs w:val="20"/>
                <w:lang w:val="pt-BR"/>
              </w:rPr>
              <w:t>acima.</w:t>
            </w:r>
          </w:p>
          <w:p>
            <w:pPr>
              <w:pStyle w:val="TableParagraph"/>
              <w:tabs>
                <w:tab w:val="left" w:pos="745"/>
              </w:tabs>
              <w:spacing w:line="288" w:lineRule="auto"/>
              <w:ind w:left="744" w:right="65"/>
              <w:jc w:val="both"/>
              <w:rPr>
                <w:rFonts w:ascii="Verdana" w:hAnsi="Verdana"/>
                <w:sz w:val="20"/>
                <w:szCs w:val="20"/>
                <w:lang w:val="pt-BR"/>
              </w:rPr>
            </w:pPr>
          </w:p>
          <w:p>
            <w:pPr>
              <w:pStyle w:val="TableParagraph"/>
              <w:numPr>
                <w:ilvl w:val="0"/>
                <w:numId w:val="7"/>
              </w:numPr>
              <w:tabs>
                <w:tab w:val="left" w:pos="745"/>
              </w:tabs>
              <w:spacing w:line="288" w:lineRule="auto"/>
              <w:ind w:right="65"/>
              <w:jc w:val="both"/>
              <w:rPr>
                <w:rFonts w:ascii="Verdana" w:hAnsi="Verdana"/>
                <w:sz w:val="20"/>
                <w:szCs w:val="20"/>
                <w:lang w:val="pt-BR"/>
              </w:rPr>
            </w:pPr>
            <w:r>
              <w:rPr>
                <w:rFonts w:ascii="Verdana" w:hAnsi="Verdana"/>
                <w:sz w:val="20"/>
                <w:szCs w:val="20"/>
                <w:lang w:val="pt-BR"/>
              </w:rPr>
              <w:t xml:space="preserve">Os Coordenadores organizaram procedimento de coleta de intenções de investimento, nos termos do artigo 23, parágrafo 1° e 2º, e do artigo 44 da Instrução CVM 400, com recebimento de reservas, para a verificação da demanda pelas Debêntures em diferentes níveis de taxas de juros. Por meio do Procedimento de </w:t>
            </w:r>
            <w:r>
              <w:rPr>
                <w:rFonts w:ascii="Verdana" w:hAnsi="Verdana"/>
                <w:i/>
                <w:sz w:val="20"/>
                <w:szCs w:val="20"/>
                <w:lang w:val="pt-BR"/>
              </w:rPr>
              <w:t>Bookbuilding</w:t>
            </w:r>
            <w:r>
              <w:rPr>
                <w:rFonts w:ascii="Verdana" w:hAnsi="Verdana"/>
                <w:sz w:val="20"/>
                <w:szCs w:val="20"/>
                <w:lang w:val="pt-BR"/>
              </w:rPr>
              <w:t>, os Coordenadores definiram, de comum acordo com a Emissora: (a)</w:t>
            </w:r>
            <w:r>
              <w:rPr>
                <w:rFonts w:ascii="Verdana" w:hAnsi="Verdana"/>
                <w:spacing w:val="35"/>
                <w:sz w:val="20"/>
                <w:szCs w:val="20"/>
                <w:lang w:val="pt-BR"/>
              </w:rPr>
              <w:t xml:space="preserve"> </w:t>
            </w:r>
            <w:r>
              <w:rPr>
                <w:rFonts w:ascii="Verdana" w:hAnsi="Verdana"/>
                <w:sz w:val="20"/>
                <w:szCs w:val="20"/>
                <w:lang w:val="pt-BR"/>
              </w:rPr>
              <w:t>a taxa final dos Juros Remuneratórios; (b) a alocação das Debêntures entre os Investidores da Oferta; e (c) [a emissão de [</w:t>
            </w:r>
            <w:r>
              <w:rPr>
                <w:rFonts w:ascii="Verdana" w:hAnsi="Verdana"/>
                <w:sz w:val="20"/>
                <w:szCs w:val="20"/>
                <w:lang w:val="pt-BR"/>
              </w:rPr>
              <w:sym w:font="Symbol" w:char="F0B7"/>
            </w:r>
            <w:r>
              <w:rPr>
                <w:rFonts w:ascii="Verdana" w:hAnsi="Verdana"/>
                <w:sz w:val="20"/>
                <w:szCs w:val="20"/>
                <w:lang w:val="pt-BR"/>
              </w:rPr>
              <w:t>] ([</w:t>
            </w:r>
            <w:r>
              <w:rPr>
                <w:rFonts w:ascii="Verdana" w:hAnsi="Verdana"/>
                <w:sz w:val="20"/>
                <w:szCs w:val="20"/>
                <w:lang w:val="pt-BR"/>
              </w:rPr>
              <w:sym w:font="Symbol" w:char="F0B7"/>
            </w:r>
            <w:r>
              <w:rPr>
                <w:rFonts w:ascii="Verdana" w:hAnsi="Verdana"/>
                <w:sz w:val="20"/>
                <w:szCs w:val="20"/>
                <w:lang w:val="pt-BR"/>
              </w:rPr>
              <w:t>]) Debêntures Adicionais/a não emissão de Debêntures Adicionais] (“</w:t>
            </w:r>
            <w:r>
              <w:rPr>
                <w:rFonts w:ascii="Verdana" w:hAnsi="Verdana"/>
                <w:sz w:val="20"/>
                <w:szCs w:val="20"/>
                <w:u w:val="single"/>
                <w:lang w:val="pt-BR"/>
              </w:rPr>
              <w:t xml:space="preserve">Procedimento de </w:t>
            </w:r>
            <w:r>
              <w:rPr>
                <w:rFonts w:ascii="Verdana" w:hAnsi="Verdana"/>
                <w:i/>
                <w:sz w:val="20"/>
                <w:szCs w:val="20"/>
                <w:u w:val="single"/>
                <w:lang w:val="pt-BR"/>
              </w:rPr>
              <w:t>Bookbuilding</w:t>
            </w:r>
            <w:r>
              <w:rPr>
                <w:rFonts w:ascii="Verdana" w:hAnsi="Verdana"/>
                <w:sz w:val="20"/>
                <w:szCs w:val="20"/>
                <w:lang w:val="pt-BR"/>
              </w:rPr>
              <w:t xml:space="preserve">”). </w:t>
            </w:r>
          </w:p>
          <w:p>
            <w:pPr>
              <w:pStyle w:val="TableParagraph"/>
              <w:tabs>
                <w:tab w:val="left" w:pos="745"/>
              </w:tabs>
              <w:spacing w:line="288" w:lineRule="auto"/>
              <w:ind w:left="744" w:right="65"/>
              <w:jc w:val="both"/>
              <w:rPr>
                <w:rFonts w:ascii="Verdana" w:hAnsi="Verdana"/>
                <w:sz w:val="20"/>
                <w:szCs w:val="20"/>
                <w:lang w:val="pt-BR"/>
              </w:rPr>
            </w:pPr>
          </w:p>
          <w:p>
            <w:pPr>
              <w:tabs>
                <w:tab w:val="left" w:pos="1701"/>
              </w:tabs>
              <w:spacing w:line="300" w:lineRule="atLeast"/>
              <w:ind w:left="709" w:hanging="709"/>
              <w:jc w:val="both"/>
              <w:rPr>
                <w:rFonts w:ascii="Verdana" w:hAnsi="Verdana"/>
                <w:sz w:val="20"/>
                <w:szCs w:val="20"/>
                <w:lang w:val="pt-BR"/>
              </w:rPr>
            </w:pPr>
            <w:r>
              <w:rPr>
                <w:rFonts w:ascii="Verdana" w:hAnsi="Verdana"/>
                <w:b/>
                <w:sz w:val="20"/>
                <w:szCs w:val="20"/>
                <w:lang w:val="pt-BR"/>
              </w:rPr>
              <w:t>2.1</w:t>
            </w:r>
            <w:r>
              <w:rPr>
                <w:rFonts w:ascii="Verdana" w:hAnsi="Verdana"/>
                <w:b/>
                <w:sz w:val="20"/>
                <w:szCs w:val="20"/>
                <w:lang w:val="pt-BR"/>
              </w:rPr>
              <w:tab/>
            </w:r>
            <w:r>
              <w:rPr>
                <w:rFonts w:ascii="Verdana" w:hAnsi="Verdana"/>
                <w:sz w:val="20"/>
                <w:szCs w:val="20"/>
                <w:lang w:val="pt-BR"/>
              </w:rPr>
              <w:t xml:space="preserve">O Procedimento de </w:t>
            </w:r>
            <w:r>
              <w:rPr>
                <w:rFonts w:ascii="Verdana" w:hAnsi="Verdana"/>
                <w:i/>
                <w:sz w:val="20"/>
                <w:szCs w:val="20"/>
                <w:lang w:val="pt-BR"/>
              </w:rPr>
              <w:t>Bookbuilding</w:t>
            </w:r>
            <w:r>
              <w:rPr>
                <w:rFonts w:ascii="Verdana" w:hAnsi="Verdana"/>
                <w:sz w:val="20"/>
                <w:szCs w:val="20"/>
                <w:lang w:val="pt-BR"/>
              </w:rPr>
              <w:t xml:space="preserve">, com relação à definição dos Juros Remuneratórios, foi realizado exclusivamente junto a Investidores Institucionais. </w:t>
            </w:r>
          </w:p>
          <w:p>
            <w:pPr>
              <w:tabs>
                <w:tab w:val="left" w:pos="1701"/>
              </w:tabs>
              <w:spacing w:line="300" w:lineRule="atLeast"/>
              <w:ind w:left="709" w:hanging="709"/>
              <w:jc w:val="both"/>
              <w:rPr>
                <w:rFonts w:ascii="Verdana" w:hAnsi="Verdana"/>
                <w:sz w:val="20"/>
                <w:szCs w:val="20"/>
                <w:lang w:val="pt-BR"/>
              </w:rPr>
            </w:pPr>
          </w:p>
          <w:p>
            <w:pPr>
              <w:pStyle w:val="TableParagraph"/>
              <w:numPr>
                <w:ilvl w:val="0"/>
                <w:numId w:val="6"/>
              </w:numPr>
              <w:tabs>
                <w:tab w:val="left" w:pos="745"/>
              </w:tabs>
              <w:spacing w:line="288" w:lineRule="auto"/>
              <w:ind w:right="68"/>
              <w:jc w:val="both"/>
              <w:rPr>
                <w:rFonts w:ascii="Verdana" w:hAnsi="Verdana"/>
                <w:sz w:val="20"/>
                <w:szCs w:val="20"/>
                <w:lang w:val="pt-BR"/>
              </w:rPr>
            </w:pPr>
            <w:r>
              <w:rPr>
                <w:rFonts w:ascii="Verdana" w:hAnsi="Verdana"/>
                <w:sz w:val="20"/>
                <w:szCs w:val="20"/>
                <w:lang w:val="pt-BR"/>
              </w:rPr>
              <w:t xml:space="preserve">A taxa final dos Juros Remuneratórios, bem como o resultado do Procedimento de </w:t>
            </w:r>
            <w:r>
              <w:rPr>
                <w:rFonts w:ascii="Verdana" w:hAnsi="Verdana"/>
                <w:i/>
                <w:sz w:val="20"/>
                <w:szCs w:val="20"/>
                <w:lang w:val="pt-BR"/>
              </w:rPr>
              <w:lastRenderedPageBreak/>
              <w:t>Bookbuilding</w:t>
            </w:r>
            <w:r>
              <w:rPr>
                <w:rFonts w:ascii="Verdana" w:hAnsi="Verdana"/>
                <w:sz w:val="20"/>
                <w:szCs w:val="20"/>
                <w:lang w:val="pt-BR"/>
              </w:rPr>
              <w:t>,</w:t>
            </w:r>
            <w:r>
              <w:rPr>
                <w:rFonts w:ascii="Verdana" w:hAnsi="Verdana"/>
                <w:i/>
                <w:sz w:val="20"/>
                <w:szCs w:val="20"/>
                <w:lang w:val="pt-BR"/>
              </w:rPr>
              <w:t xml:space="preserve"> </w:t>
            </w:r>
            <w:r>
              <w:rPr>
                <w:rFonts w:ascii="Verdana" w:hAnsi="Verdana"/>
                <w:sz w:val="20"/>
                <w:szCs w:val="20"/>
                <w:lang w:val="pt-BR"/>
              </w:rPr>
              <w:t>foram ratificados por meio do Primeiro Aditamento à Escritura, celebrado anteriormente à data de concessão do registro da Oferta pela CVM, independentemente de qualquer aprovação societária adicional da Emissora, e divulgados por meio do Anúncio de Início, nos termos do artigo 23, parágrafo 2°, da Instrução CVM</w:t>
            </w:r>
            <w:r>
              <w:rPr>
                <w:rFonts w:ascii="Verdana" w:hAnsi="Verdana"/>
                <w:spacing w:val="-25"/>
                <w:sz w:val="20"/>
                <w:szCs w:val="20"/>
                <w:lang w:val="pt-BR"/>
              </w:rPr>
              <w:t xml:space="preserve"> </w:t>
            </w:r>
            <w:r>
              <w:rPr>
                <w:rFonts w:ascii="Verdana" w:hAnsi="Verdana"/>
                <w:sz w:val="20"/>
                <w:szCs w:val="20"/>
                <w:lang w:val="pt-BR"/>
              </w:rPr>
              <w:t>400.</w:t>
            </w:r>
          </w:p>
          <w:p>
            <w:pPr>
              <w:pStyle w:val="TableParagraph"/>
              <w:tabs>
                <w:tab w:val="left" w:pos="745"/>
              </w:tabs>
              <w:spacing w:line="288" w:lineRule="auto"/>
              <w:ind w:left="744" w:right="68"/>
              <w:jc w:val="both"/>
              <w:rPr>
                <w:rFonts w:ascii="Verdana" w:hAnsi="Verdana"/>
                <w:sz w:val="20"/>
                <w:szCs w:val="20"/>
                <w:lang w:val="pt-BR"/>
              </w:rPr>
            </w:pPr>
          </w:p>
          <w:p>
            <w:pPr>
              <w:pStyle w:val="TableParagraph"/>
              <w:spacing w:line="290" w:lineRule="auto"/>
              <w:ind w:left="744" w:right="65" w:hanging="680"/>
              <w:jc w:val="both"/>
              <w:rPr>
                <w:rFonts w:ascii="Verdana" w:hAnsi="Verdana"/>
                <w:sz w:val="20"/>
                <w:szCs w:val="20"/>
                <w:lang w:val="pt-BR"/>
              </w:rPr>
            </w:pPr>
            <w:proofErr w:type="gramStart"/>
            <w:r>
              <w:rPr>
                <w:rFonts w:ascii="Verdana" w:hAnsi="Verdana"/>
                <w:b/>
                <w:sz w:val="20"/>
                <w:szCs w:val="20"/>
                <w:lang w:val="pt-BR"/>
              </w:rPr>
              <w:t>3.1</w:t>
            </w:r>
            <w:r>
              <w:rPr>
                <w:rFonts w:ascii="Verdana" w:hAnsi="Verdana"/>
                <w:b/>
                <w:sz w:val="20"/>
                <w:szCs w:val="20"/>
                <w:lang w:val="pt-BR"/>
              </w:rPr>
              <w:tab/>
            </w:r>
            <w:r>
              <w:rPr>
                <w:rFonts w:ascii="Verdana" w:hAnsi="Verdana"/>
                <w:sz w:val="20"/>
                <w:szCs w:val="20"/>
                <w:lang w:val="pt-BR"/>
              </w:rPr>
              <w:t>Tendo</w:t>
            </w:r>
            <w:proofErr w:type="gramEnd"/>
            <w:r>
              <w:rPr>
                <w:rFonts w:ascii="Verdana" w:hAnsi="Verdana"/>
                <w:sz w:val="20"/>
                <w:szCs w:val="20"/>
                <w:lang w:val="pt-BR"/>
              </w:rPr>
              <w:t xml:space="preserve"> em vista que [não foi/foi] verificado excesso de demanda superior a 1/3 (um terço) à quantidade de Debêntures inicialmente ofertada, [foi/não foi] permitida a colocação das Debêntures a Investidores da Oferta que sejam Pessoas Vinculadas, nos termos do artigo 55 da Instrução CVM 400.</w:t>
            </w:r>
          </w:p>
          <w:p>
            <w:pPr>
              <w:pStyle w:val="TableParagraph"/>
              <w:spacing w:line="290" w:lineRule="auto"/>
              <w:ind w:left="744" w:right="65" w:hanging="680"/>
              <w:jc w:val="both"/>
              <w:rPr>
                <w:rFonts w:ascii="Verdana" w:hAnsi="Verdana"/>
                <w:sz w:val="20"/>
                <w:szCs w:val="20"/>
                <w:lang w:val="pt-BR"/>
              </w:rPr>
            </w:pPr>
          </w:p>
          <w:p>
            <w:pPr>
              <w:pStyle w:val="TableParagraph"/>
              <w:numPr>
                <w:ilvl w:val="0"/>
                <w:numId w:val="8"/>
              </w:numPr>
              <w:spacing w:line="290" w:lineRule="auto"/>
              <w:ind w:left="743" w:right="69"/>
              <w:jc w:val="both"/>
              <w:rPr>
                <w:rFonts w:ascii="Verdana" w:hAnsi="Verdana"/>
                <w:sz w:val="20"/>
                <w:szCs w:val="20"/>
                <w:lang w:val="pt-BR"/>
              </w:rPr>
            </w:pPr>
            <w:r>
              <w:rPr>
                <w:rFonts w:ascii="Verdana" w:hAnsi="Verdana"/>
                <w:sz w:val="20"/>
                <w:szCs w:val="20"/>
                <w:lang w:val="pt-BR"/>
              </w:rPr>
              <w:t xml:space="preserve">As Debêntures serão subscritas e integralizadas de acordo com os procedimentos da B3 ou da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conforme o caso, observado o plano de distribuição descrito no Prospecto Definitivo. O preço de subscrição das Debêntures (i) na primeira Data de Integralização (conforme abaixo definido), será o seu Valor Nominal Unitário; e (ii) nas Datas de Integralização posteriores à primeira Data de Integralização, será o Valor Nominal Atualizado acrescido dos Juros Remuneratórios, calculados </w:t>
            </w:r>
            <w:proofErr w:type="gramStart"/>
            <w:r>
              <w:rPr>
                <w:rFonts w:ascii="Verdana" w:hAnsi="Verdana"/>
                <w:i/>
                <w:sz w:val="20"/>
                <w:szCs w:val="20"/>
                <w:lang w:val="pt-BR"/>
              </w:rPr>
              <w:t>pro</w:t>
            </w:r>
            <w:proofErr w:type="gramEnd"/>
            <w:r>
              <w:rPr>
                <w:rFonts w:ascii="Verdana" w:hAnsi="Verdana"/>
                <w:i/>
                <w:sz w:val="20"/>
                <w:szCs w:val="20"/>
                <w:lang w:val="pt-BR"/>
              </w:rPr>
              <w:t xml:space="preserve"> rata </w:t>
            </w:r>
            <w:proofErr w:type="spellStart"/>
            <w:r>
              <w:rPr>
                <w:rFonts w:ascii="Verdana" w:hAnsi="Verdana"/>
                <w:i/>
                <w:sz w:val="20"/>
                <w:szCs w:val="20"/>
                <w:lang w:val="pt-BR"/>
              </w:rPr>
              <w:t>temporis</w:t>
            </w:r>
            <w:proofErr w:type="spellEnd"/>
            <w:r>
              <w:rPr>
                <w:rFonts w:ascii="Verdana" w:hAnsi="Verdana"/>
                <w:sz w:val="20"/>
                <w:szCs w:val="20"/>
                <w:lang w:val="pt-BR"/>
              </w:rPr>
              <w:t>, desde a primeira Data de Integralização até a data da respectiva integralização (“</w:t>
            </w:r>
            <w:r>
              <w:rPr>
                <w:rFonts w:ascii="Verdana" w:hAnsi="Verdana"/>
                <w:sz w:val="20"/>
                <w:szCs w:val="20"/>
                <w:u w:val="single"/>
                <w:lang w:val="pt-BR"/>
              </w:rPr>
              <w:t>Preço de Subscrição</w:t>
            </w:r>
            <w:r>
              <w:rPr>
                <w:rFonts w:ascii="Verdana" w:hAnsi="Verdana"/>
                <w:sz w:val="20"/>
                <w:szCs w:val="20"/>
                <w:lang w:val="pt-BR"/>
              </w:rPr>
              <w:t>”). A integralização das Debêntures será à vista, no ato da subscrição e em moeda corrente nacional na respectiva Data de Integralização. Define-se “</w:t>
            </w:r>
            <w:r>
              <w:rPr>
                <w:rFonts w:ascii="Verdana" w:hAnsi="Verdana"/>
                <w:sz w:val="20"/>
                <w:szCs w:val="20"/>
                <w:u w:val="single"/>
                <w:lang w:val="pt-BR"/>
              </w:rPr>
              <w:t>Data de Integralização</w:t>
            </w:r>
            <w:r>
              <w:rPr>
                <w:rFonts w:ascii="Verdana" w:hAnsi="Verdana"/>
                <w:sz w:val="20"/>
                <w:szCs w:val="20"/>
                <w:lang w:val="pt-BR"/>
              </w:rPr>
              <w:t>” a data em que ocorrerá a subscrição e a integralização das Debêntures.</w:t>
            </w:r>
          </w:p>
          <w:p>
            <w:pPr>
              <w:pStyle w:val="TableParagraph"/>
              <w:spacing w:line="290" w:lineRule="auto"/>
              <w:ind w:left="743" w:right="69"/>
              <w:jc w:val="both"/>
              <w:rPr>
                <w:rFonts w:ascii="Verdana" w:hAnsi="Verdana"/>
                <w:sz w:val="20"/>
                <w:szCs w:val="20"/>
                <w:lang w:val="pt-BR"/>
              </w:rPr>
            </w:pPr>
          </w:p>
          <w:p>
            <w:pPr>
              <w:pStyle w:val="PargrafodaLista"/>
              <w:numPr>
                <w:ilvl w:val="0"/>
                <w:numId w:val="8"/>
              </w:numPr>
              <w:tabs>
                <w:tab w:val="left" w:pos="714"/>
              </w:tabs>
              <w:spacing w:line="283" w:lineRule="auto"/>
              <w:ind w:left="714" w:right="204" w:hanging="536"/>
              <w:contextualSpacing w:val="0"/>
              <w:jc w:val="both"/>
              <w:rPr>
                <w:rFonts w:ascii="Verdana" w:hAnsi="Verdana"/>
                <w:sz w:val="20"/>
                <w:szCs w:val="20"/>
                <w:lang w:val="pt-BR"/>
              </w:rPr>
            </w:pPr>
            <w:r>
              <w:rPr>
                <w:rFonts w:ascii="Verdana" w:hAnsi="Verdana"/>
                <w:b/>
                <w:sz w:val="20"/>
                <w:szCs w:val="20"/>
                <w:lang w:val="pt-BR"/>
              </w:rPr>
              <w:t xml:space="preserve">O SUBSCRITOR declara ter conhecimento da forma de obtenção do Prospecto Definitivo, inclusive por meio eletrônico, nos </w:t>
            </w:r>
            <w:r>
              <w:rPr>
                <w:rFonts w:ascii="Verdana" w:hAnsi="Verdana"/>
                <w:b/>
                <w:i/>
                <w:sz w:val="20"/>
                <w:szCs w:val="20"/>
                <w:lang w:val="pt-BR"/>
              </w:rPr>
              <w:t>websites</w:t>
            </w:r>
            <w:r>
              <w:rPr>
                <w:rFonts w:ascii="Verdana" w:hAnsi="Verdana"/>
                <w:b/>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http://rumo.infoinvest.com.br/ (nesta página acessar “Ofertas Públicas” e, em seguida fazer download do documento “Prospecto Definitivo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hAnsi="Verdana"/>
                <w:sz w:val="20"/>
                <w:szCs w:val="20"/>
                <w:lang w:val="pt-BR"/>
              </w:rPr>
              <w:t xml:space="preserve"> 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Prospecto Definitivo”)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w:t>
            </w:r>
            <w:r>
              <w:rPr>
                <w:rStyle w:val="Hyperlink"/>
                <w:rFonts w:ascii="Verdana" w:hAnsi="Verdana"/>
                <w:color w:val="auto"/>
                <w:sz w:val="20"/>
                <w:szCs w:val="20"/>
                <w:u w:val="none"/>
                <w:lang w:val="pt-BR"/>
              </w:rPr>
              <w:t>Prospecto Definitivo</w:t>
            </w:r>
            <w:r>
              <w:rPr>
                <w:rFonts w:ascii="Verdana" w:eastAsia="MS Mincho" w:hAnsi="Verdana" w:cs="Times New Roman"/>
                <w:sz w:val="20"/>
                <w:szCs w:val="20"/>
                <w:lang w:val="pt-BR"/>
              </w:rPr>
              <w:t>”)</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“Prospecto Definitivo”)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w:t>
            </w:r>
            <w:r>
              <w:rPr>
                <w:rStyle w:val="Hyperlink"/>
                <w:rFonts w:ascii="Verdana" w:hAnsi="Verdana"/>
                <w:color w:val="auto"/>
                <w:sz w:val="20"/>
                <w:szCs w:val="20"/>
                <w:u w:val="none"/>
                <w:lang w:val="pt-BR"/>
              </w:rPr>
              <w:t>Prospecto Definitivo</w:t>
            </w:r>
            <w:r>
              <w:rPr>
                <w:rFonts w:ascii="Verdana" w:hAnsi="Verdana"/>
                <w:sz w:val="20"/>
                <w:szCs w:val="20"/>
                <w:lang w:val="pt-BR"/>
              </w:rPr>
              <w:t xml:space="preserve">”); </w:t>
            </w:r>
            <w:r>
              <w:rPr>
                <w:rFonts w:ascii="Verdana" w:hAnsi="Verdana"/>
                <w:b/>
                <w:sz w:val="20"/>
                <w:szCs w:val="20"/>
                <w:lang w:val="pt-BR"/>
              </w:rPr>
              <w:t>Bradesco BBI:</w:t>
            </w:r>
            <w:r>
              <w:rPr>
                <w:rFonts w:ascii="Verdana" w:hAnsi="Verdana"/>
                <w:sz w:val="20"/>
                <w:szCs w:val="20"/>
                <w:lang w:val="pt-BR"/>
              </w:rPr>
              <w:t>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“Prospecto Definitivo”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 em </w:t>
            </w:r>
            <w:r>
              <w:rPr>
                <w:rFonts w:ascii="Verdana" w:hAnsi="Verdana"/>
                <w:sz w:val="20"/>
                <w:szCs w:val="20"/>
                <w:lang w:val="pt-BR"/>
              </w:rPr>
              <w:t>“OFERTA PÚBLICA DE DISTRIBUIÇÃO DE DEBÊNTURES SIMPLES, NÃO CONVERSÍVEIS EM AÇÕES, DA ESPÉCIE QUIROGRAFÁRIA, EM SÉRIE ÚNICA, DA 13ª EMISSÃO DA RUMO S.A.”</w:t>
            </w:r>
            <w:r>
              <w:rPr>
                <w:rStyle w:val="Hyperlink"/>
                <w:rFonts w:ascii="Verdana" w:hAnsi="Verdana"/>
                <w:color w:val="auto"/>
                <w:sz w:val="20"/>
                <w:szCs w:val="20"/>
                <w:u w:val="none"/>
                <w:lang w:val="pt-BR"/>
              </w:rPr>
              <w:t xml:space="preserve"> e então em “Prospecto Definitivo”)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w:t>
            </w:r>
            <w:hyperlink r:id="rId12"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w:t>
            </w:r>
            <w:proofErr w:type="spellStart"/>
            <w:r>
              <w:rPr>
                <w:rFonts w:ascii="Verdana" w:hAnsi="Verdana"/>
                <w:sz w:val="20"/>
                <w:szCs w:val="20"/>
                <w:lang w:val="pt-BR"/>
              </w:rPr>
              <w:t>DFs</w:t>
            </w:r>
            <w:proofErr w:type="spellEnd"/>
            <w:r>
              <w:rPr>
                <w:rFonts w:ascii="Verdana" w:hAnsi="Verdana"/>
                <w:sz w:val="20"/>
                <w:szCs w:val="20"/>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 xml:space="preserve">para o Prospecto </w:t>
            </w:r>
            <w:r>
              <w:rPr>
                <w:rFonts w:ascii="Verdana" w:hAnsi="Verdana"/>
                <w:iCs/>
                <w:sz w:val="20"/>
                <w:szCs w:val="20"/>
                <w:lang w:val="pt-BR"/>
              </w:rPr>
              <w:lastRenderedPageBreak/>
              <w:t>Definitivo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 xml:space="preserve">B3 e B3 – Segmento </w:t>
            </w:r>
            <w:proofErr w:type="spellStart"/>
            <w:r>
              <w:rPr>
                <w:rFonts w:ascii="Verdana" w:hAnsi="Verdana"/>
                <w:b/>
                <w:spacing w:val="-8"/>
                <w:sz w:val="20"/>
                <w:szCs w:val="20"/>
                <w:lang w:val="pt-BR"/>
              </w:rPr>
              <w:t>Cetip</w:t>
            </w:r>
            <w:proofErr w:type="spellEnd"/>
            <w:r>
              <w:rPr>
                <w:rFonts w:ascii="Verdana" w:hAnsi="Verdana"/>
                <w:b/>
                <w:spacing w:val="-8"/>
                <w:sz w:val="20"/>
                <w:szCs w:val="20"/>
                <w:lang w:val="pt-BR"/>
              </w:rPr>
              <w:t xml:space="preserve"> UTVM</w:t>
            </w:r>
            <w:r>
              <w:rPr>
                <w:rFonts w:ascii="Verdana" w:hAnsi="Verdana"/>
                <w:sz w:val="20"/>
                <w:szCs w:val="20"/>
                <w:lang w:val="pt-BR"/>
              </w:rPr>
              <w:t>:</w:t>
            </w:r>
            <w:r>
              <w:rPr>
                <w:rFonts w:ascii="Verdana" w:hAnsi="Verdana"/>
                <w:spacing w:val="-6"/>
                <w:sz w:val="20"/>
                <w:szCs w:val="20"/>
                <w:lang w:val="pt-BR"/>
              </w:rPr>
              <w:t>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sz w:val="20"/>
                <w:szCs w:val="20"/>
                <w:lang w:val="pt-BR"/>
              </w:rPr>
              <w:t>Prospecto Definitivo</w:t>
            </w:r>
            <w:r>
              <w:rPr>
                <w:rFonts w:ascii="Verdana" w:hAnsi="Verdana"/>
                <w:bCs/>
                <w:sz w:val="20"/>
                <w:szCs w:val="20"/>
                <w:lang w:val="pt-BR"/>
              </w:rPr>
              <w:t xml:space="preserve">”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w:t>
            </w:r>
          </w:p>
          <w:p>
            <w:pPr>
              <w:pStyle w:val="PargrafodaLista"/>
              <w:tabs>
                <w:tab w:val="left" w:pos="859"/>
              </w:tabs>
              <w:spacing w:line="290" w:lineRule="auto"/>
              <w:ind w:left="743" w:right="180"/>
              <w:rPr>
                <w:rFonts w:ascii="Verdana" w:hAnsi="Verdana"/>
                <w:sz w:val="20"/>
                <w:szCs w:val="20"/>
                <w:lang w:val="pt-BR"/>
              </w:rPr>
            </w:pPr>
          </w:p>
          <w:p>
            <w:pPr>
              <w:pStyle w:val="PargrafodaLista"/>
              <w:numPr>
                <w:ilvl w:val="0"/>
                <w:numId w:val="8"/>
              </w:numPr>
              <w:tabs>
                <w:tab w:val="left" w:pos="714"/>
              </w:tabs>
              <w:spacing w:line="283" w:lineRule="auto"/>
              <w:ind w:left="714" w:right="203" w:hanging="651"/>
              <w:contextualSpacing w:val="0"/>
              <w:jc w:val="both"/>
              <w:rPr>
                <w:rFonts w:ascii="Verdana" w:hAnsi="Verdana"/>
                <w:sz w:val="20"/>
                <w:szCs w:val="20"/>
                <w:lang w:val="pt-BR"/>
              </w:rPr>
            </w:pPr>
            <w:r>
              <w:rPr>
                <w:rFonts w:ascii="Verdana" w:hAnsi="Verdana"/>
                <w:sz w:val="20"/>
                <w:szCs w:val="20"/>
                <w:lang w:val="pt-BR"/>
              </w:rPr>
              <w:t xml:space="preserve">O presente Boletim de Subscrição é celebrado em caráter irrevogável e irretratável, salvo o disposto nas Cláusulas </w:t>
            </w:r>
            <w:hyperlink w:anchor="_bookmark0" w:history="1">
              <w:r>
                <w:rPr>
                  <w:rFonts w:ascii="Verdana" w:hAnsi="Verdana"/>
                  <w:sz w:val="20"/>
                  <w:szCs w:val="20"/>
                  <w:lang w:val="pt-BR"/>
                </w:rPr>
                <w:t>7,</w:t>
              </w:r>
            </w:hyperlink>
            <w:r>
              <w:rPr>
                <w:rFonts w:ascii="Verdana" w:hAnsi="Verdana"/>
                <w:sz w:val="20"/>
                <w:szCs w:val="20"/>
                <w:lang w:val="pt-BR"/>
              </w:rPr>
              <w:t xml:space="preserve"> </w:t>
            </w:r>
            <w:hyperlink w:anchor="_bookmark1" w:history="1">
              <w:r>
                <w:rPr>
                  <w:rFonts w:ascii="Verdana" w:hAnsi="Verdana"/>
                  <w:sz w:val="20"/>
                  <w:szCs w:val="20"/>
                  <w:lang w:val="pt-BR"/>
                </w:rPr>
                <w:t>9</w:t>
              </w:r>
            </w:hyperlink>
            <w:r>
              <w:rPr>
                <w:rFonts w:ascii="Verdana" w:hAnsi="Verdana"/>
                <w:sz w:val="20"/>
                <w:szCs w:val="20"/>
                <w:lang w:val="pt-BR"/>
              </w:rPr>
              <w:t xml:space="preserve"> e </w:t>
            </w:r>
            <w:hyperlink w:anchor="_bookmark2" w:history="1">
              <w:r>
                <w:rPr>
                  <w:rFonts w:ascii="Verdana" w:hAnsi="Verdana"/>
                  <w:sz w:val="20"/>
                  <w:szCs w:val="20"/>
                  <w:lang w:val="pt-BR"/>
                </w:rPr>
                <w:t>10</w:t>
              </w:r>
            </w:hyperlink>
            <w:r>
              <w:rPr>
                <w:rFonts w:ascii="Verdana" w:hAnsi="Verdana"/>
                <w:sz w:val="20"/>
                <w:szCs w:val="20"/>
                <w:lang w:val="pt-BR"/>
              </w:rPr>
              <w:t xml:space="preserve"> abaixo, obrigando as partes por si e por seus sucessores a qualquer</w:t>
            </w:r>
            <w:r>
              <w:rPr>
                <w:rFonts w:ascii="Verdana" w:hAnsi="Verdana"/>
                <w:spacing w:val="-32"/>
                <w:sz w:val="20"/>
                <w:szCs w:val="20"/>
                <w:lang w:val="pt-BR"/>
              </w:rPr>
              <w:t xml:space="preserve"> </w:t>
            </w:r>
            <w:r>
              <w:rPr>
                <w:rFonts w:ascii="Verdana" w:hAnsi="Verdana"/>
                <w:sz w:val="20"/>
                <w:szCs w:val="20"/>
                <w:lang w:val="pt-BR"/>
              </w:rPr>
              <w:t>título.</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Caso seja verificada divergência relevante entre as informações constantes do Prospecto Preliminar e do Prospecto Definitivo que altere substancialmente o risco assumido pelo SUBSCRITOR ou a sua decisão de investimento, será facultado ao SUBSCRITOR a possibilidade de revogar a aceitação até o 5º (quinto) Dia Útil subsequente à data em que foi comunicada ao SUBSCRITOR a divergência das informações, presumindo-se, na falta da manifestação, o interesse do SUBSCRITOR em não revogar sua aceitação.</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Caso a Oferta seja modificada, nos termos dos artigos 25 a 27 da Instrução CVM 400: (a) a modificação deverá ser divulgada imediatamente através de meios ao menos iguais aos utilizados para a divulgação da Oferta; (b) os Coordenadores deverão se acautelar e se certificar, no momento do recebimento das aceitações da Oferta, de que o SUBSCRITOR está ciente de que a Oferta foi alterada e de que o SUBSCRITOR tem conhecimento das novas condições; e (c) os investidores que já tiverem aderido à Oferta deverão ser comunicados diretamente, por correio eletrônico, correspondência física ou qualquer outra forma de comunicação passível de comprovação, a respeito da modificação efetuada, para que confirmem, até o 5º (quinto) Dia Útil subsequente à data em que foi comunicada ao SUBSCRITOR a modificação da Oferta, seu interesse em revogar sua aceitação à Oferta, presumindo-se, na falta da manifestação, o interesse do SUBSCRITOR em não revogar sua aceitação. Se o SUBSCRITOR revogar sua aceitação e se o SUBSCRITOR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w:t>
            </w:r>
            <w:r>
              <w:rPr>
                <w:rFonts w:ascii="Verdana" w:hAnsi="Verdana"/>
                <w:spacing w:val="-20"/>
                <w:sz w:val="20"/>
                <w:szCs w:val="20"/>
                <w:lang w:val="pt-BR"/>
              </w:rPr>
              <w:t xml:space="preserve"> </w:t>
            </w:r>
            <w:r>
              <w:rPr>
                <w:rFonts w:ascii="Verdana" w:hAnsi="Verdana"/>
                <w:sz w:val="20"/>
                <w:szCs w:val="20"/>
                <w:lang w:val="pt-BR"/>
              </w:rPr>
              <w:t>revogação.</w:t>
            </w:r>
          </w:p>
          <w:p>
            <w:pPr>
              <w:pStyle w:val="PargrafodaLista"/>
              <w:tabs>
                <w:tab w:val="left" w:pos="859"/>
              </w:tabs>
              <w:spacing w:line="283" w:lineRule="auto"/>
              <w:ind w:right="204"/>
              <w:contextualSpacing w:val="0"/>
              <w:jc w:val="both"/>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 xml:space="preserve">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w:t>
            </w:r>
            <w:r>
              <w:rPr>
                <w:rFonts w:ascii="Verdana" w:hAnsi="Verdana"/>
                <w:sz w:val="20"/>
                <w:szCs w:val="20"/>
                <w:lang w:val="pt-BR"/>
              </w:rPr>
              <w:lastRenderedPageBreak/>
              <w:t>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bookmarkStart w:id="1" w:name="_bookmark2"/>
            <w:bookmarkEnd w:id="1"/>
          </w:p>
          <w:p>
            <w:pPr>
              <w:pStyle w:val="PargrafodaLista"/>
              <w:tabs>
                <w:tab w:val="left" w:pos="859"/>
              </w:tabs>
              <w:spacing w:line="283" w:lineRule="auto"/>
              <w:ind w:right="204"/>
              <w:contextualSpacing w:val="0"/>
              <w:jc w:val="both"/>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divulgação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comunicação do cancelamento ou revogação da Oferta.</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No caso de restituição de valores nos termos acima descritos, o SUBSCRITOR deverá fornecer um recibo de quitação aos Coordenadores referente aos valores restituídos, bem como efetuar a devolução dos Boletins de Subscrição referentes às Debêntures já</w:t>
            </w:r>
            <w:r>
              <w:rPr>
                <w:rFonts w:ascii="Verdana" w:hAnsi="Verdana"/>
                <w:spacing w:val="-24"/>
                <w:sz w:val="20"/>
                <w:szCs w:val="20"/>
                <w:lang w:val="pt-BR"/>
              </w:rPr>
              <w:t xml:space="preserve"> </w:t>
            </w:r>
            <w:r>
              <w:rPr>
                <w:rFonts w:ascii="Verdana" w:hAnsi="Verdana"/>
                <w:sz w:val="20"/>
                <w:szCs w:val="20"/>
                <w:lang w:val="pt-BR"/>
              </w:rPr>
              <w:t>integralizadas.</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Na hipótese de haver descumprimento, pela Instituição Participante da Oferta, de quaisquer das normas de conduta previstas na regulamentação aplicável à Oferta, incluindo, sem limitação, aquelas previstas na Instrução CVM 400, a Instituição Participante da Oferta deixará de integrar o grupo de instituições</w:t>
            </w:r>
            <w:r>
              <w:rPr>
                <w:rFonts w:ascii="Verdana" w:hAnsi="Verdana"/>
                <w:spacing w:val="21"/>
                <w:sz w:val="20"/>
                <w:szCs w:val="20"/>
                <w:lang w:val="pt-BR"/>
              </w:rPr>
              <w:t xml:space="preserve"> </w:t>
            </w:r>
            <w:r>
              <w:rPr>
                <w:rFonts w:ascii="Verdana" w:hAnsi="Verdana"/>
                <w:sz w:val="20"/>
                <w:szCs w:val="20"/>
                <w:lang w:val="pt-BR"/>
              </w:rPr>
              <w:t>financeiras</w:t>
            </w:r>
            <w:r>
              <w:rPr>
                <w:rFonts w:ascii="Verdana" w:hAnsi="Verdana"/>
                <w:spacing w:val="21"/>
                <w:sz w:val="20"/>
                <w:szCs w:val="20"/>
                <w:lang w:val="pt-BR"/>
              </w:rPr>
              <w:t xml:space="preserve"> </w:t>
            </w:r>
            <w:r>
              <w:rPr>
                <w:rFonts w:ascii="Verdana" w:hAnsi="Verdana"/>
                <w:sz w:val="20"/>
                <w:szCs w:val="20"/>
                <w:lang w:val="pt-BR"/>
              </w:rPr>
              <w:t>responsáveis</w:t>
            </w:r>
            <w:r>
              <w:rPr>
                <w:rFonts w:ascii="Verdana" w:hAnsi="Verdana"/>
                <w:spacing w:val="21"/>
                <w:sz w:val="20"/>
                <w:szCs w:val="20"/>
                <w:lang w:val="pt-BR"/>
              </w:rPr>
              <w:t xml:space="preserve"> </w:t>
            </w:r>
            <w:r>
              <w:rPr>
                <w:rFonts w:ascii="Verdana" w:hAnsi="Verdana"/>
                <w:sz w:val="20"/>
                <w:szCs w:val="20"/>
                <w:lang w:val="pt-BR"/>
              </w:rPr>
              <w:t>pela</w:t>
            </w:r>
            <w:r>
              <w:rPr>
                <w:rFonts w:ascii="Verdana" w:hAnsi="Verdana"/>
                <w:spacing w:val="22"/>
                <w:sz w:val="20"/>
                <w:szCs w:val="20"/>
                <w:lang w:val="pt-BR"/>
              </w:rPr>
              <w:t xml:space="preserve"> </w:t>
            </w:r>
            <w:r>
              <w:rPr>
                <w:rFonts w:ascii="Verdana" w:hAnsi="Verdana"/>
                <w:sz w:val="20"/>
                <w:szCs w:val="20"/>
                <w:lang w:val="pt-BR"/>
              </w:rPr>
              <w:t>colocação</w:t>
            </w:r>
            <w:r>
              <w:rPr>
                <w:rFonts w:ascii="Verdana" w:hAnsi="Verdana"/>
                <w:spacing w:val="24"/>
                <w:sz w:val="20"/>
                <w:szCs w:val="20"/>
                <w:lang w:val="pt-BR"/>
              </w:rPr>
              <w:t xml:space="preserve"> </w:t>
            </w:r>
            <w:r>
              <w:rPr>
                <w:rFonts w:ascii="Verdana" w:hAnsi="Verdana"/>
                <w:sz w:val="20"/>
                <w:szCs w:val="20"/>
                <w:lang w:val="pt-BR"/>
              </w:rPr>
              <w:t>de</w:t>
            </w:r>
            <w:r>
              <w:rPr>
                <w:rFonts w:ascii="Verdana" w:hAnsi="Verdana"/>
                <w:spacing w:val="19"/>
                <w:sz w:val="20"/>
                <w:szCs w:val="20"/>
                <w:lang w:val="pt-BR"/>
              </w:rPr>
              <w:t xml:space="preserve"> </w:t>
            </w:r>
            <w:r>
              <w:rPr>
                <w:rFonts w:ascii="Verdana" w:hAnsi="Verdana"/>
                <w:sz w:val="20"/>
                <w:szCs w:val="20"/>
                <w:lang w:val="pt-BR"/>
              </w:rPr>
              <w:t>Debêntures</w:t>
            </w:r>
            <w:r>
              <w:rPr>
                <w:rFonts w:ascii="Verdana" w:hAnsi="Verdana"/>
                <w:spacing w:val="23"/>
                <w:sz w:val="20"/>
                <w:szCs w:val="20"/>
                <w:lang w:val="pt-BR"/>
              </w:rPr>
              <w:t xml:space="preserve"> </w:t>
            </w:r>
            <w:r>
              <w:rPr>
                <w:rFonts w:ascii="Verdana" w:hAnsi="Verdana"/>
                <w:sz w:val="20"/>
                <w:szCs w:val="20"/>
                <w:lang w:val="pt-BR"/>
              </w:rPr>
              <w:t>no</w:t>
            </w:r>
            <w:r>
              <w:rPr>
                <w:rFonts w:ascii="Verdana" w:hAnsi="Verdana"/>
                <w:spacing w:val="21"/>
                <w:sz w:val="20"/>
                <w:szCs w:val="20"/>
                <w:lang w:val="pt-BR"/>
              </w:rPr>
              <w:t xml:space="preserve"> </w:t>
            </w:r>
            <w:r>
              <w:rPr>
                <w:rFonts w:ascii="Verdana" w:hAnsi="Verdana"/>
                <w:sz w:val="20"/>
                <w:szCs w:val="20"/>
                <w:lang w:val="pt-BR"/>
              </w:rPr>
              <w:t>âmbito</w:t>
            </w:r>
            <w:r>
              <w:rPr>
                <w:rFonts w:ascii="Verdana" w:hAnsi="Verdana"/>
                <w:spacing w:val="24"/>
                <w:sz w:val="20"/>
                <w:szCs w:val="20"/>
                <w:lang w:val="pt-BR"/>
              </w:rPr>
              <w:t xml:space="preserve"> </w:t>
            </w:r>
            <w:r>
              <w:rPr>
                <w:rFonts w:ascii="Verdana" w:hAnsi="Verdana"/>
                <w:sz w:val="20"/>
                <w:szCs w:val="20"/>
                <w:lang w:val="pt-BR"/>
              </w:rPr>
              <w:t>da</w:t>
            </w:r>
            <w:r>
              <w:rPr>
                <w:rFonts w:ascii="Verdana" w:hAnsi="Verdana"/>
                <w:spacing w:val="19"/>
                <w:sz w:val="20"/>
                <w:szCs w:val="20"/>
                <w:lang w:val="pt-BR"/>
              </w:rPr>
              <w:t xml:space="preserve"> </w:t>
            </w:r>
            <w:r>
              <w:rPr>
                <w:rFonts w:ascii="Verdana" w:hAnsi="Verdana"/>
                <w:sz w:val="20"/>
                <w:szCs w:val="20"/>
                <w:lang w:val="pt-BR"/>
              </w:rPr>
              <w:t>Oferta,</w:t>
            </w:r>
            <w:r>
              <w:rPr>
                <w:rFonts w:ascii="Verdana" w:hAnsi="Verdana"/>
                <w:spacing w:val="22"/>
                <w:sz w:val="20"/>
                <w:szCs w:val="20"/>
                <w:lang w:val="pt-BR"/>
              </w:rPr>
              <w:t xml:space="preserve"> </w:t>
            </w:r>
            <w:r>
              <w:rPr>
                <w:rFonts w:ascii="Verdana" w:hAnsi="Verdana"/>
                <w:spacing w:val="2"/>
                <w:sz w:val="20"/>
                <w:szCs w:val="20"/>
                <w:lang w:val="pt-BR"/>
              </w:rPr>
              <w:t>sendo</w:t>
            </w:r>
            <w:r>
              <w:rPr>
                <w:rFonts w:ascii="Verdana" w:hAnsi="Verdana"/>
                <w:spacing w:val="22"/>
                <w:sz w:val="20"/>
                <w:szCs w:val="20"/>
                <w:lang w:val="pt-BR"/>
              </w:rPr>
              <w:t xml:space="preserve"> </w:t>
            </w:r>
            <w:r>
              <w:rPr>
                <w:rFonts w:ascii="Verdana" w:hAnsi="Verdana"/>
                <w:sz w:val="20"/>
                <w:szCs w:val="20"/>
                <w:lang w:val="pt-BR"/>
              </w:rPr>
              <w:t xml:space="preserve">que serão cancelados todos os Boletins de Subscrição que tenha recebido. A Instituição Participante da Oferta deverá informar imediatamente ao SUBSCRITOR sobre o referido cancelamento, sendo os valores eventualmente pagos pelo SUBSCRITOR à Instituição Participante da Oferta devolvidos, na forma especificada no </w:t>
            </w:r>
            <w:r>
              <w:rPr>
                <w:rFonts w:ascii="Verdana" w:hAnsi="Verdana"/>
                <w:sz w:val="20"/>
                <w:szCs w:val="20"/>
                <w:u w:val="single"/>
                <w:lang w:val="pt-BR"/>
              </w:rPr>
              <w:t>campo 29</w:t>
            </w:r>
            <w:r>
              <w:rPr>
                <w:rFonts w:ascii="Verdana" w:hAnsi="Verdana"/>
                <w:sz w:val="20"/>
                <w:szCs w:val="20"/>
                <w:lang w:val="pt-BR"/>
              </w:rPr>
              <w:t xml:space="preserve"> ou no </w:t>
            </w:r>
            <w:r>
              <w:rPr>
                <w:rFonts w:ascii="Verdana" w:hAnsi="Verdana"/>
                <w:sz w:val="20"/>
                <w:szCs w:val="20"/>
                <w:u w:val="single"/>
                <w:lang w:val="pt-BR"/>
              </w:rPr>
              <w:t>campo 30,</w:t>
            </w:r>
            <w:r>
              <w:rPr>
                <w:rFonts w:ascii="Verdana" w:hAnsi="Verdana"/>
                <w:sz w:val="20"/>
                <w:szCs w:val="20"/>
                <w:lang w:val="pt-BR"/>
              </w:rPr>
              <w:t xml:space="preserve"> acima, sem juros ou correção monetária, em até 5 (cinco) Dias Úteis da data do cancelamento deste Boletim de Subscrição.</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Fica o Banco Bradesco S.A., instituição financeira com sede na Cidade de Osasco, Estado de São Paulo, no núcleo administrativo denominado Cidade de Deus s/n°, Vila Yara, inscrita no CNPJ/ME sob o nº 60.746.948/0001-12, instituição prestadora do serviço de escrituração das Debêntures (“</w:t>
            </w:r>
            <w:r>
              <w:rPr>
                <w:rFonts w:ascii="Verdana" w:hAnsi="Verdana"/>
                <w:sz w:val="20"/>
                <w:szCs w:val="20"/>
                <w:u w:val="single"/>
                <w:lang w:val="pt-BR"/>
              </w:rPr>
              <w:t>Escriturador</w:t>
            </w:r>
            <w:r>
              <w:rPr>
                <w:rFonts w:ascii="Verdana" w:hAnsi="Verdana"/>
                <w:sz w:val="20"/>
                <w:szCs w:val="20"/>
                <w:lang w:val="pt-BR"/>
              </w:rPr>
              <w:t>”) desde já, autorizado a registrar em nome do SUBSCRITOR a quantidade de Debêntures identificada no campo 25 acima. As Debêntures são escriturais e mantidas em nome de seus titulares em conta de depósito no Escriturador.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p>
          <w:p>
            <w:pPr>
              <w:pStyle w:val="PargrafodaLista"/>
              <w:ind w:right="204"/>
              <w:rPr>
                <w:rFonts w:ascii="Verdana" w:hAnsi="Verdana"/>
                <w:spacing w:val="-4"/>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pacing w:val="-4"/>
                <w:sz w:val="20"/>
                <w:szCs w:val="20"/>
                <w:lang w:val="pt-BR"/>
              </w:rPr>
              <w:lastRenderedPageBreak/>
              <w:t xml:space="preserve">Tendo </w:t>
            </w:r>
            <w:r>
              <w:rPr>
                <w:rFonts w:ascii="Verdana" w:hAnsi="Verdana"/>
                <w:sz w:val="20"/>
                <w:szCs w:val="20"/>
                <w:lang w:val="pt-BR"/>
              </w:rPr>
              <w:t xml:space="preserve">recebido, neste ato, a totalidade do valor indicado no </w:t>
            </w:r>
            <w:r>
              <w:rPr>
                <w:rFonts w:ascii="Verdana" w:hAnsi="Verdana"/>
                <w:sz w:val="20"/>
                <w:szCs w:val="20"/>
                <w:u w:val="single"/>
                <w:lang w:val="pt-BR"/>
              </w:rPr>
              <w:t>campo 26,</w:t>
            </w:r>
            <w:r>
              <w:rPr>
                <w:rFonts w:ascii="Verdana" w:hAnsi="Verdana"/>
                <w:sz w:val="20"/>
                <w:szCs w:val="20"/>
                <w:lang w:val="pt-BR"/>
              </w:rPr>
              <w:t xml:space="preserve"> acima, a Instituição Participante da Oferta dá ao SUBSCRITOR plena, rasa, geral e irrevogável quitação da obrigação de pagar o respectivo valor. Da mesma forma, o SUBSCRITOR, tendo recebido a quantidade de Debêntures indicada no </w:t>
            </w:r>
            <w:r>
              <w:rPr>
                <w:rFonts w:ascii="Verdana" w:hAnsi="Verdana"/>
                <w:sz w:val="20"/>
                <w:szCs w:val="20"/>
                <w:u w:val="single"/>
                <w:lang w:val="pt-BR"/>
              </w:rPr>
              <w:t>campo 25,</w:t>
            </w:r>
            <w:r>
              <w:rPr>
                <w:rFonts w:ascii="Verdana" w:hAnsi="Verdana"/>
                <w:sz w:val="20"/>
                <w:szCs w:val="20"/>
                <w:lang w:val="pt-BR"/>
              </w:rPr>
              <w:t xml:space="preserve"> acima, dá à Emissora e à Instituição Participante da Oferta plena, rasa, geral e irrevogável quitação da obrigação de entregar tais</w:t>
            </w:r>
            <w:r>
              <w:rPr>
                <w:rFonts w:ascii="Verdana" w:hAnsi="Verdana"/>
                <w:spacing w:val="-22"/>
                <w:sz w:val="20"/>
                <w:szCs w:val="20"/>
                <w:lang w:val="pt-BR"/>
              </w:rPr>
              <w:t xml:space="preserve"> </w:t>
            </w:r>
            <w:r>
              <w:rPr>
                <w:rFonts w:ascii="Verdana" w:hAnsi="Verdana"/>
                <w:sz w:val="20"/>
                <w:szCs w:val="20"/>
                <w:lang w:val="pt-BR"/>
              </w:rPr>
              <w:t>Debêntures.</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O SUBSCRITOR que seja investidor estrangeiro declara que está devidamente registrado na CVM, nos termos da Instrução CVM nº 560, de 27 de março de 2015, conforme alterada, e da Resolução do Conselho Monetário Nacional nº 4.373, de 29 de setembro de 2014, conforme alterada.</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Fica eleito o Foro da Cidade do São Paulo, Estado do São Paulo, para dirimir as questões oriundas deste Boletim de Subscrição, com a renúncia expressa a qualquer foro, por mais privilegiado que seja ou venha a</w:t>
            </w:r>
            <w:r>
              <w:rPr>
                <w:rFonts w:ascii="Verdana" w:hAnsi="Verdana"/>
                <w:spacing w:val="-10"/>
                <w:sz w:val="20"/>
                <w:szCs w:val="20"/>
                <w:lang w:val="pt-BR"/>
              </w:rPr>
              <w:t xml:space="preserve"> </w:t>
            </w:r>
            <w:r>
              <w:rPr>
                <w:rFonts w:ascii="Verdana" w:hAnsi="Verdana"/>
                <w:spacing w:val="-3"/>
                <w:sz w:val="20"/>
                <w:szCs w:val="20"/>
                <w:lang w:val="pt-BR"/>
              </w:rPr>
              <w:t>ser.</w:t>
            </w:r>
          </w:p>
          <w:p>
            <w:pPr>
              <w:pStyle w:val="Corpodetexto"/>
              <w:tabs>
                <w:tab w:val="left" w:pos="871"/>
              </w:tabs>
              <w:spacing w:line="288" w:lineRule="auto"/>
              <w:ind w:left="0" w:right="192" w:firstLine="0"/>
              <w:jc w:val="both"/>
              <w:rPr>
                <w:rFonts w:ascii="Verdana" w:eastAsia="Calibri" w:hAnsi="Verdana" w:cs="Times New Roman"/>
                <w:b/>
                <w:spacing w:val="-1"/>
                <w:lang w:val="pt-BR"/>
              </w:rPr>
            </w:pPr>
          </w:p>
        </w:tc>
      </w:tr>
    </w:tbl>
    <w:tbl>
      <w:tblPr>
        <w:tblStyle w:val="TableNormal"/>
        <w:tblW w:w="10206" w:type="dxa"/>
        <w:tblInd w:w="-576" w:type="dxa"/>
        <w:tblLayout w:type="fixed"/>
        <w:tblLook w:val="01E0" w:firstRow="1" w:lastRow="1" w:firstColumn="1" w:lastColumn="1" w:noHBand="0" w:noVBand="0"/>
      </w:tblPr>
      <w:tblGrid>
        <w:gridCol w:w="4592"/>
        <w:gridCol w:w="511"/>
        <w:gridCol w:w="5103"/>
      </w:tblGrid>
      <w:tr>
        <w:trPr>
          <w:trHeight w:hRule="exact" w:val="1997"/>
        </w:trPr>
        <w:tc>
          <w:tcPr>
            <w:tcW w:w="10206" w:type="dxa"/>
            <w:gridSpan w:val="3"/>
            <w:tcBorders>
              <w:top w:val="single" w:sz="7" w:space="0" w:color="000000"/>
              <w:left w:val="single" w:sz="7" w:space="0" w:color="000000"/>
              <w:bottom w:val="single" w:sz="7" w:space="0" w:color="000000"/>
              <w:right w:val="single" w:sz="7" w:space="0" w:color="000000"/>
            </w:tcBorders>
          </w:tcPr>
          <w:p>
            <w:pPr>
              <w:pStyle w:val="TableParagraph"/>
              <w:spacing w:before="11"/>
              <w:ind w:left="283" w:right="283"/>
              <w:jc w:val="both"/>
              <w:rPr>
                <w:rFonts w:ascii="Verdana" w:hAnsi="Verdana"/>
                <w:spacing w:val="-1"/>
                <w:sz w:val="20"/>
                <w:szCs w:val="20"/>
                <w:lang w:val="pt-BR"/>
              </w:rPr>
            </w:pPr>
          </w:p>
          <w:p>
            <w:pPr>
              <w:pStyle w:val="TableParagraph"/>
              <w:spacing w:before="11"/>
              <w:ind w:left="141" w:right="141"/>
              <w:jc w:val="both"/>
              <w:rPr>
                <w:rFonts w:ascii="Verdana" w:eastAsia="Times New Roman" w:hAnsi="Verdana" w:cs="Times New Roman"/>
                <w:sz w:val="20"/>
                <w:szCs w:val="20"/>
                <w:lang w:val="pt-BR"/>
              </w:rPr>
            </w:pPr>
            <w:r>
              <w:rPr>
                <w:rFonts w:ascii="Verdana" w:hAnsi="Verdana"/>
                <w:sz w:val="20"/>
                <w:szCs w:val="20"/>
                <w:lang w:val="pt-BR"/>
              </w:rPr>
              <w:t xml:space="preserve">E, por assim estarem justas e contratadas, firmam as partes o presente Boletim de Subscrição, apondo suas assinaturas nos </w:t>
            </w:r>
            <w:r>
              <w:rPr>
                <w:rFonts w:ascii="Verdana" w:hAnsi="Verdana"/>
                <w:sz w:val="20"/>
                <w:szCs w:val="20"/>
                <w:u w:val="single"/>
                <w:lang w:val="pt-BR"/>
              </w:rPr>
              <w:t xml:space="preserve">campos 31 </w:t>
            </w:r>
            <w:r>
              <w:rPr>
                <w:rFonts w:ascii="Verdana" w:hAnsi="Verdana"/>
                <w:sz w:val="20"/>
                <w:szCs w:val="20"/>
                <w:lang w:val="pt-BR"/>
              </w:rPr>
              <w:t xml:space="preserve">e </w:t>
            </w:r>
            <w:r>
              <w:rPr>
                <w:rFonts w:ascii="Verdana" w:hAnsi="Verdana"/>
                <w:sz w:val="20"/>
                <w:szCs w:val="20"/>
                <w:u w:val="single"/>
                <w:lang w:val="pt-BR"/>
              </w:rPr>
              <w:t xml:space="preserve">32 </w:t>
            </w:r>
            <w:r>
              <w:rPr>
                <w:rFonts w:ascii="Verdana" w:hAnsi="Verdana"/>
                <w:sz w:val="20"/>
                <w:szCs w:val="20"/>
                <w:lang w:val="pt-BR"/>
              </w:rPr>
              <w:t xml:space="preserve">abaixo, em 3 vias de igual teor e para um só efeito, na presença de 2 (duas) testemunhas que também o assinam, no </w:t>
            </w:r>
            <w:r>
              <w:rPr>
                <w:rFonts w:ascii="Verdana" w:hAnsi="Verdana"/>
                <w:sz w:val="20"/>
                <w:szCs w:val="20"/>
                <w:u w:val="single"/>
                <w:lang w:val="pt-BR"/>
              </w:rPr>
              <w:t>campo 33</w:t>
            </w:r>
            <w:r>
              <w:rPr>
                <w:rFonts w:ascii="Verdana" w:hAnsi="Verdana"/>
                <w:sz w:val="20"/>
                <w:szCs w:val="20"/>
                <w:lang w:val="pt-BR"/>
              </w:rPr>
              <w:t>.</w:t>
            </w:r>
          </w:p>
        </w:tc>
      </w:tr>
      <w:tr>
        <w:trPr>
          <w:trHeight w:hRule="exact" w:val="3742"/>
        </w:trPr>
        <w:tc>
          <w:tcPr>
            <w:tcW w:w="5103" w:type="dxa"/>
            <w:gridSpan w:val="2"/>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ind w:left="61" w:right="59"/>
              <w:jc w:val="both"/>
              <w:rPr>
                <w:rFonts w:ascii="Verdana" w:eastAsia="Arial" w:hAnsi="Verdana" w:cs="Arial"/>
                <w:sz w:val="20"/>
                <w:szCs w:val="20"/>
                <w:lang w:val="pt-BR"/>
              </w:rPr>
            </w:pPr>
            <w:r>
              <w:rPr>
                <w:rFonts w:ascii="Verdana" w:eastAsia="Arial" w:hAnsi="Verdana" w:cs="Arial"/>
                <w:sz w:val="20"/>
                <w:szCs w:val="20"/>
                <w:lang w:val="pt-BR"/>
              </w:rPr>
              <w:t>31</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hAnsi="Verdana"/>
                <w:b/>
                <w:sz w:val="20"/>
                <w:szCs w:val="20"/>
                <w:lang w:val="pt-BR"/>
              </w:rPr>
              <w:t>DECLARO PARA TODOS OS FINS QUE ESTOU DE ACORDO COM AS CLÁUSULAS CONTRATUAIS E DEMAIS CONDIÇÕES EXPRESSAS NESTE INSTRUMENTO E OBTIVE EXEMPLAR DO PROSPECTO DEFINITIVO RELATIVO À OFERTA, BEM COMO TENHO CONHECIMENTO DE SEU INTEIRO TEOR E CONCORDO COM OS TERMOS E CONDIÇÕES DA OFERTA.</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6"/>
              </w:tabs>
              <w:spacing w:line="20" w:lineRule="atLeast"/>
              <w:ind w:left="55"/>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1087755" cy="7620"/>
                      <wp:effectExtent l="8890" t="2540" r="8255" b="8890"/>
                      <wp:docPr id="2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7620"/>
                                <a:chOff x="0" y="0"/>
                                <a:chExt cx="1713" cy="12"/>
                              </a:xfrm>
                            </wpg:grpSpPr>
                            <wpg:grpSp>
                              <wpg:cNvPr id="25" name="Group 89"/>
                              <wpg:cNvGrpSpPr>
                                <a:grpSpLocks/>
                              </wpg:cNvGrpSpPr>
                              <wpg:grpSpPr bwMode="auto">
                                <a:xfrm>
                                  <a:off x="6" y="6"/>
                                  <a:ext cx="1702" cy="2"/>
                                  <a:chOff x="6" y="6"/>
                                  <a:chExt cx="1702" cy="2"/>
                                </a:xfrm>
                              </wpg:grpSpPr>
                              <wps:wsp>
                                <wps:cNvPr id="26" name="Freeform 90"/>
                                <wps:cNvSpPr>
                                  <a:spLocks/>
                                </wps:cNvSpPr>
                                <wps:spPr bwMode="auto">
                                  <a:xfrm>
                                    <a:off x="6" y="6"/>
                                    <a:ext cx="1702" cy="2"/>
                                  </a:xfrm>
                                  <a:custGeom>
                                    <a:avLst/>
                                    <a:gdLst>
                                      <a:gd name="T0" fmla="+- 0 6 6"/>
                                      <a:gd name="T1" fmla="*/ T0 w 1702"/>
                                      <a:gd name="T2" fmla="+- 0 1707 6"/>
                                      <a:gd name="T3" fmla="*/ T2 w 1702"/>
                                    </a:gdLst>
                                    <a:ahLst/>
                                    <a:cxnLst>
                                      <a:cxn ang="0">
                                        <a:pos x="T1" y="0"/>
                                      </a:cxn>
                                      <a:cxn ang="0">
                                        <a:pos x="T3" y="0"/>
                                      </a:cxn>
                                    </a:cxnLst>
                                    <a:rect l="0" t="0" r="r" b="b"/>
                                    <a:pathLst>
                                      <a:path w="1702">
                                        <a:moveTo>
                                          <a:pt x="0" y="0"/>
                                        </a:moveTo>
                                        <a:lnTo>
                                          <a:pt x="17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A3BFD55" id="Group 88" o:spid="_x0000_s1026" style="width:85.65pt;height:.6pt;mso-position-horizontal-relative:char;mso-position-vertical-relative:line" coordsize="17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">
                      <v:group id="Group 89" o:spid="_x0000_s1027" style="position:absolute;left:6;top:6;width:1702;height:2" coordorigin="6,6" coordsize="17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90" o:spid="_x0000_s1028" style="position:absolute;left:6;top:6;width:1702;height:2;visibility:visible;mso-wrap-style:square;v-text-anchor:top" coordsize="17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vRsIA&#10;AADbAAAADwAAAGRycy9kb3ducmV2LnhtbESPT4vCMBTE7wt+h/AEb2tqD0W6RtkVBHsS/xx2b4/m&#10;bVtMXkoStX57Iwgeh5n5DbNYDdaIK/nQOVYwm2YgiGunO24UnI6bzzmIEJE1Gsek4E4BVsvRxwJL&#10;7W68p+shNiJBOJSooI2xL6UMdUsWw9T1xMn7d95iTNI3Unu8Jbg1Ms+yQlrsOC202NO6pfp8uFgF&#10;BW1xMz+bi/nbVUPu79XP76xSajIevr9ARBriO/xqb7WCvIDnl/Q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G9GwgAAANsAAAAPAAAAAAAAAAAAAAAAAJgCAABkcnMvZG93&#10;bnJldi54bWxQSwUGAAAAAAQABAD1AAAAhwMAAAAA&#10;" path="m,l1701,e" filled="f" strokeweight=".20003mm">
                          <v:path arrowok="t" o:connecttype="custom" o:connectlocs="0,0;1701,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9525" t="2540" r="7620" b="8890"/>
                      <wp:docPr id="2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22" name="Group 86"/>
                              <wpg:cNvGrpSpPr>
                                <a:grpSpLocks/>
                              </wpg:cNvGrpSpPr>
                              <wpg:grpSpPr bwMode="auto">
                                <a:xfrm>
                                  <a:off x="6" y="6"/>
                                  <a:ext cx="2002" cy="2"/>
                                  <a:chOff x="6" y="6"/>
                                  <a:chExt cx="2002" cy="2"/>
                                </a:xfrm>
                              </wpg:grpSpPr>
                              <wps:wsp>
                                <wps:cNvPr id="23" name="Freeform 87"/>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84D5506" id="Group 85"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">
                      <v:group id="Group 86"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87"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92MQA&#10;AADbAAAADwAAAGRycy9kb3ducmV2LnhtbESP3WrCQBSE7wu+w3IEb0Q3plUkuoqKBakg+Hd/zB6T&#10;YPZsyK4a+/TdQqGXw8w3w0znjSnFg2pXWFYw6EcgiFOrC84UnI6fvTEI55E1lpZJwYsczGettykm&#10;2j55T4+Dz0QoYZeggtz7KpHSpTkZdH1bEQfvamuDPsg6k7rGZyg3pYyjaCQNFhwWcqxolVN6O9yN&#10;grg464942K34slxlX/dtdz3+3inVaTeLCQhPjf8P/9EbHbh3+P0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YvdjEAAAA2wAAAA8AAAAAAAAAAAAAAAAAmAIAAGRycy9k&#10;b3ducmV2LnhtbFBLBQYAAAAABAAEAPUAAACJAwAAAAA=&#10;" path="m,l2001,e" filled="f" strokeweight=".20003mm">
                          <v:path arrowok="t" o:connecttype="custom" o:connectlocs="0,0;2001,0" o:connectangles="0,0"/>
                        </v:shape>
                      </v:group>
                      <w10:anchorlock/>
                    </v:group>
                  </w:pict>
                </mc:Fallback>
              </mc:AlternateContent>
            </w:r>
          </w:p>
          <w:p>
            <w:pPr>
              <w:pStyle w:val="TableParagraph"/>
              <w:tabs>
                <w:tab w:val="left" w:pos="2101"/>
              </w:tabs>
              <w:ind w:left="61"/>
              <w:jc w:val="both"/>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c>
          <w:tcPr>
            <w:tcW w:w="5103" w:type="dxa"/>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32</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hAnsi="Verdana"/>
                <w:sz w:val="20"/>
                <w:szCs w:val="20"/>
                <w:lang w:val="pt-BR"/>
              </w:rPr>
              <w:t>CARIMBO E ASSINATURA DO AGENTE DE DISTRIBUIÇÃO:</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8"/>
              </w:tabs>
              <w:spacing w:line="20" w:lineRule="atLeast"/>
              <w:ind w:left="58"/>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961390" cy="7620"/>
                      <wp:effectExtent l="8890" t="7620" r="1270" b="3810"/>
                      <wp:docPr id="1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390" cy="7620"/>
                                <a:chOff x="0" y="0"/>
                                <a:chExt cx="1514" cy="12"/>
                              </a:xfrm>
                            </wpg:grpSpPr>
                            <wpg:grpSp>
                              <wpg:cNvPr id="19" name="Group 83"/>
                              <wpg:cNvGrpSpPr>
                                <a:grpSpLocks/>
                              </wpg:cNvGrpSpPr>
                              <wpg:grpSpPr bwMode="auto">
                                <a:xfrm>
                                  <a:off x="6" y="6"/>
                                  <a:ext cx="1503" cy="2"/>
                                  <a:chOff x="6" y="6"/>
                                  <a:chExt cx="1503" cy="2"/>
                                </a:xfrm>
                              </wpg:grpSpPr>
                              <wps:wsp>
                                <wps:cNvPr id="20" name="Freeform 84"/>
                                <wps:cNvSpPr>
                                  <a:spLocks/>
                                </wps:cNvSpPr>
                                <wps:spPr bwMode="auto">
                                  <a:xfrm>
                                    <a:off x="6" y="6"/>
                                    <a:ext cx="1503" cy="2"/>
                                  </a:xfrm>
                                  <a:custGeom>
                                    <a:avLst/>
                                    <a:gdLst>
                                      <a:gd name="T0" fmla="+- 0 6 6"/>
                                      <a:gd name="T1" fmla="*/ T0 w 1503"/>
                                      <a:gd name="T2" fmla="+- 0 1508 6"/>
                                      <a:gd name="T3" fmla="*/ T2 w 1503"/>
                                    </a:gdLst>
                                    <a:ahLst/>
                                    <a:cxnLst>
                                      <a:cxn ang="0">
                                        <a:pos x="T1" y="0"/>
                                      </a:cxn>
                                      <a:cxn ang="0">
                                        <a:pos x="T3" y="0"/>
                                      </a:cxn>
                                    </a:cxnLst>
                                    <a:rect l="0" t="0" r="r" b="b"/>
                                    <a:pathLst>
                                      <a:path w="1503">
                                        <a:moveTo>
                                          <a:pt x="0" y="0"/>
                                        </a:moveTo>
                                        <a:lnTo>
                                          <a:pt x="15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72431C5" id="Group 82" o:spid="_x0000_s1026" style="width:75.7pt;height:.6pt;mso-position-horizontal-relative:char;mso-position-vertical-relative:line" coordsize="15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">
                      <v:group id="Group 83" o:spid="_x0000_s1027" style="position:absolute;left:6;top:6;width:1503;height:2" coordorigin="6,6" coordsize="15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84" o:spid="_x0000_s1028" style="position:absolute;left:6;top:6;width:1503;height:2;visibility:visible;mso-wrap-style:square;v-text-anchor:top" coordsize="15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ub8MAA&#10;AADbAAAADwAAAGRycy9kb3ducmV2LnhtbERPzYrCMBC+C75DGMFL0bQ9LG41FhUUYRdxqw8wNGNb&#10;bCaliVrffnNY2OPH97/KB9OKJ/WusawgmccgiEurG64UXC/72QKE88gaW8uk4E0O8vV4tMJM2xf/&#10;0LPwlQgh7DJUUHvfZVK6siaDbm474sDdbG/QB9hXUvf4CuGmlWkcf0iDDYeGGjva1VTei4dRoM13&#10;edqe0kfivw5R8dmcIx2dlZpOhs0ShKfB/4v/3EetIA3rw5fw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ub8MAAAADbAAAADwAAAAAAAAAAAAAAAACYAgAAZHJzL2Rvd25y&#10;ZXYueG1sUEsFBgAAAAAEAAQA9QAAAIUDAAAAAA==&#10;" path="m,l1502,e" filled="f" strokeweight=".20003mm">
                          <v:path arrowok="t" o:connecttype="custom" o:connectlocs="0,0;1502,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8890" t="7620" r="8255" b="3810"/>
                      <wp:docPr id="15"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16" name="Group 80"/>
                              <wpg:cNvGrpSpPr>
                                <a:grpSpLocks/>
                              </wpg:cNvGrpSpPr>
                              <wpg:grpSpPr bwMode="auto">
                                <a:xfrm>
                                  <a:off x="6" y="6"/>
                                  <a:ext cx="2002" cy="2"/>
                                  <a:chOff x="6" y="6"/>
                                  <a:chExt cx="2002" cy="2"/>
                                </a:xfrm>
                              </wpg:grpSpPr>
                              <wps:wsp>
                                <wps:cNvPr id="17" name="Freeform 81"/>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7A98EC4" id="Group 79"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">
                      <v:group id="Group 80"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81"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xZsIA&#10;AADbAAAADwAAAGRycy9kb3ducmV2LnhtbERP22rCQBB9L/gPywi+iG4MrUp0FRULUkHw9j5mxySY&#10;nQ3ZVWO/vlso9G0O5zrTeWNK8aDaFZYVDPoRCOLU6oIzBafjZ28MwnlkjaVlUvAiB/NZ622KibZP&#10;3tPj4DMRQtglqCD3vkqkdGlOBl3fVsSBu9raoA+wzqSu8RnCTSnjKBpKgwWHhhwrWuWU3g53oyAu&#10;zvo9/uhWfFmusq/7trsef++U6rSbxQSEp8b/i//cGx3mj+D3l3CAn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3FmwgAAANsAAAAPAAAAAAAAAAAAAAAAAJgCAABkcnMvZG93&#10;bnJldi54bWxQSwUGAAAAAAQABAD1AAAAhwMAAAAA&#10;" path="m,l2001,e" filled="f" strokeweight=".20003mm">
                          <v:path arrowok="t" o:connecttype="custom" o:connectlocs="0,0;2001,0" o:connectangles="0,0"/>
                        </v:shape>
                      </v:group>
                      <w10:anchorlock/>
                    </v:group>
                  </w:pict>
                </mc:Fallback>
              </mc:AlternateContent>
            </w:r>
          </w:p>
          <w:p>
            <w:pPr>
              <w:pStyle w:val="TableParagraph"/>
              <w:tabs>
                <w:tab w:val="left" w:pos="2104"/>
              </w:tabs>
              <w:ind w:left="63"/>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r>
      <w:tr>
        <w:trPr>
          <w:trHeight w:hRule="exact" w:val="1235"/>
        </w:trPr>
        <w:tc>
          <w:tcPr>
            <w:tcW w:w="4592"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3360" behindDoc="0" locked="0" layoutInCell="1" allowOverlap="1">
                      <wp:simplePos x="0" y="0"/>
                      <wp:positionH relativeFrom="column">
                        <wp:posOffset>158115</wp:posOffset>
                      </wp:positionH>
                      <wp:positionV relativeFrom="paragraph">
                        <wp:posOffset>132715</wp:posOffset>
                      </wp:positionV>
                      <wp:extent cx="2675890" cy="7620"/>
                      <wp:effectExtent l="0" t="0" r="10160" b="11430"/>
                      <wp:wrapSquare wrapText="bothSides"/>
                      <wp:docPr id="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4" name="Group 73"/>
                              <wpg:cNvGrpSpPr>
                                <a:grpSpLocks/>
                              </wpg:cNvGrpSpPr>
                              <wpg:grpSpPr bwMode="auto">
                                <a:xfrm>
                                  <a:off x="6" y="6"/>
                                  <a:ext cx="4202" cy="2"/>
                                  <a:chOff x="6" y="6"/>
                                  <a:chExt cx="4202" cy="2"/>
                                </a:xfrm>
                              </wpg:grpSpPr>
                              <wps:wsp>
                                <wps:cNvPr id="13"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51951E6" id="Group 72" o:spid="_x0000_s1026" style="position:absolute;margin-left:12.45pt;margin-top:10.45pt;width:210.7pt;height:.6pt;z-index:251663360"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Ka8MA&#10;AADbAAAADwAAAGRycy9kb3ducmV2LnhtbERP32vCMBB+F/Y/hBv4pul06OyM4gSHgjB0uuejubXd&#10;mkuXRFv/eyMIe7uP7+dN562pxJmcLy0reOonIIgzq0vOFRw+V70XED4ga6wsk4ILeZjPHjpTTLVt&#10;eEfnfchFDGGfooIihDqV0mcFGfR9WxNH7ts6gyFCl0vtsInhppKDJBlJgyXHhgJrWhaU/e5PRsFk&#10;96Gfvy7HbSM3E/fzPm7Hf/WbUt3HdvEKIlAb/sV391rH+UO4/RIPk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rKa8MAAADbAAAADwAAAAAAAAAAAAAAAACYAgAAZHJzL2Rv&#10;d25yZXYueG1sUEsFBgAAAAAEAAQA9QAAAIgDAAAAAA==&#10;" path="m,l4201,e" filled="f" strokeweight=".20003mm">
                          <v:path arrowok="t" o:connecttype="custom" o:connectlocs="0,0;4201,0" o:connectangles="0,0"/>
                        </v:shape>
                      </v:group>
                      <w10:wrap type="square"/>
                    </v:group>
                  </w:pict>
                </mc:Fallback>
              </mc:AlternateContent>
            </w:r>
          </w:p>
          <w:p>
            <w:pPr>
              <w:pStyle w:val="TableParagraph"/>
              <w:spacing w:line="206" w:lineRule="exact"/>
              <w:ind w:left="61"/>
              <w:jc w:val="center"/>
              <w:rPr>
                <w:rFonts w:ascii="Verdana" w:eastAsia="Arial" w:hAnsi="Verdana" w:cs="Arial"/>
                <w:sz w:val="20"/>
                <w:szCs w:val="20"/>
                <w:lang w:val="pt-BR"/>
              </w:rPr>
            </w:pPr>
            <w:r>
              <w:rPr>
                <w:rFonts w:ascii="Verdana" w:hAnsi="Verdana"/>
                <w:spacing w:val="-1"/>
                <w:sz w:val="20"/>
                <w:szCs w:val="20"/>
                <w:lang w:val="pt-BR"/>
              </w:rPr>
              <w:t>SUBSCRITOR</w:t>
            </w:r>
            <w:r>
              <w:rPr>
                <w:rFonts w:ascii="Verdana" w:hAnsi="Verdana"/>
                <w:spacing w:val="2"/>
                <w:sz w:val="20"/>
                <w:szCs w:val="20"/>
                <w:lang w:val="pt-BR"/>
              </w:rPr>
              <w:t xml:space="preserve"> </w:t>
            </w:r>
            <w:r>
              <w:rPr>
                <w:rFonts w:ascii="Verdana" w:hAnsi="Verdana"/>
                <w:spacing w:val="-1"/>
                <w:sz w:val="20"/>
                <w:szCs w:val="20"/>
                <w:lang w:val="pt-BR"/>
              </w:rPr>
              <w:t>OU</w:t>
            </w:r>
            <w:r>
              <w:rPr>
                <w:rFonts w:ascii="Verdana" w:hAnsi="Verdana"/>
                <w:sz w:val="20"/>
                <w:szCs w:val="20"/>
                <w:lang w:val="pt-BR"/>
              </w:rPr>
              <w:t xml:space="preserve"> </w:t>
            </w:r>
            <w:r>
              <w:rPr>
                <w:rFonts w:ascii="Verdana" w:hAnsi="Verdana"/>
                <w:spacing w:val="-1"/>
                <w:sz w:val="20"/>
                <w:szCs w:val="20"/>
                <w:lang w:val="pt-BR"/>
              </w:rPr>
              <w:t>REPRESENTANTE</w:t>
            </w:r>
            <w:r>
              <w:rPr>
                <w:rFonts w:ascii="Verdana" w:hAnsi="Verdana"/>
                <w:sz w:val="20"/>
                <w:szCs w:val="20"/>
                <w:lang w:val="pt-BR"/>
              </w:rPr>
              <w:t xml:space="preserve"> </w:t>
            </w:r>
            <w:r>
              <w:rPr>
                <w:rFonts w:ascii="Verdana" w:hAnsi="Verdana"/>
                <w:spacing w:val="-1"/>
                <w:sz w:val="20"/>
                <w:szCs w:val="20"/>
                <w:lang w:val="pt-BR"/>
              </w:rPr>
              <w:t>LEGAL</w:t>
            </w:r>
          </w:p>
        </w:tc>
        <w:tc>
          <w:tcPr>
            <w:tcW w:w="511" w:type="dxa"/>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spacing w:line="206" w:lineRule="exact"/>
              <w:ind w:left="-5"/>
              <w:rPr>
                <w:rFonts w:ascii="Verdana" w:eastAsia="Arial" w:hAnsi="Verdana" w:cs="Arial"/>
                <w:sz w:val="20"/>
                <w:szCs w:val="20"/>
                <w:lang w:val="pt-BR"/>
              </w:rPr>
            </w:pPr>
          </w:p>
        </w:tc>
        <w:tc>
          <w:tcPr>
            <w:tcW w:w="5103" w:type="dxa"/>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trHeight w:hRule="exact" w:val="1824"/>
        </w:trPr>
        <w:tc>
          <w:tcPr>
            <w:tcW w:w="4592"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pacing w:val="-1"/>
                <w:sz w:val="20"/>
                <w:szCs w:val="20"/>
              </w:rPr>
            </w:pPr>
            <w:r>
              <w:rPr>
                <w:rFonts w:ascii="Verdana" w:eastAsia="Arial" w:hAnsi="Verdana" w:cs="Arial"/>
                <w:sz w:val="20"/>
                <w:szCs w:val="20"/>
              </w:rPr>
              <w:t>33</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ind w:left="61"/>
              <w:rPr>
                <w:rFonts w:ascii="Verdana" w:eastAsia="Arial" w:hAnsi="Verdana" w:cs="Arial"/>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614" w:type="dxa"/>
            <w:gridSpan w:val="2"/>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29"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30" name="Group 172"/>
                              <wpg:cNvGrpSpPr>
                                <a:grpSpLocks/>
                              </wpg:cNvGrpSpPr>
                              <wpg:grpSpPr bwMode="auto">
                                <a:xfrm>
                                  <a:off x="6" y="6"/>
                                  <a:ext cx="4303" cy="2"/>
                                  <a:chOff x="6" y="6"/>
                                  <a:chExt cx="4303" cy="2"/>
                                </a:xfrm>
                              </wpg:grpSpPr>
                              <wps:wsp>
                                <wps:cNvPr id="31"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IIm4rIkDAADY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w4C8YA&#10;AADbAAAADwAAAGRycy9kb3ducmV2LnhtbESPQWvCQBSE74X+h+UVequbtBIkdZUgbREEwWjo9ZF9&#10;TUKzb9Ps1kR/vSsIHoeZ+YaZL0fTiiP1rrGsIJ5EIIhLqxuuFBz2ny8zEM4ja2wtk4ITOVguHh/m&#10;mGo78I6Oua9EgLBLUUHtfZdK6cqaDLqJ7YiD92N7gz7IvpK6xyHATStfoyiRBhsOCzV2tKqp/M3/&#10;jYLt0K7+sq9TuU2mZ/O96Yrz5qNQ6vlpzN5BeBr9PXxrr7WCtxiuX8IP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w4C8YAAADbAAAADwAAAAAAAAAAAAAAAACYAgAAZHJz&#10;L2Rvd25yZXYueG1sUEsFBgAAAAAEAAQA9QAAAIsDAAAAAA==&#10;" path="m,l4302,e" filled="f" strokeweight=".20003mm">
                          <v:path arrowok="t" o:connecttype="custom" o:connectlocs="0,0;4302,0" o:connectangles="0,0"/>
                        </v:shape>
                      </v:group>
                      <w10:anchorlock/>
                    </v:group>
                  </w:pict>
                </mc:Fallback>
              </mc:AlternateContent>
            </w:r>
          </w:p>
          <w:p>
            <w:pPr>
              <w:pStyle w:val="TableParagraph"/>
              <w:rPr>
                <w:rFonts w:ascii="Verdana" w:eastAsia="Times New Roman" w:hAnsi="Verdana" w:cs="Times New Roman"/>
                <w:sz w:val="20"/>
                <w:szCs w:val="20"/>
              </w:rPr>
            </w:pPr>
            <w:r>
              <w:rPr>
                <w:rFonts w:ascii="Verdana" w:eastAsia="Times New Roman" w:hAnsi="Verdana" w:cs="Times New Roman"/>
                <w:sz w:val="20"/>
                <w:szCs w:val="20"/>
              </w:rPr>
              <w:t xml:space="preserve">NOME: </w:t>
            </w:r>
          </w:p>
          <w:p>
            <w:pPr>
              <w:pStyle w:val="TableParagraph"/>
              <w:rPr>
                <w:rFonts w:ascii="Verdana" w:eastAsia="Arial" w:hAnsi="Verdana" w:cs="Arial"/>
                <w:sz w:val="20"/>
                <w:szCs w:val="20"/>
              </w:rPr>
            </w:pPr>
            <w:r>
              <w:rPr>
                <w:rFonts w:ascii="Verdana" w:eastAsia="Times New Roman" w:hAnsi="Verdana" w:cs="Times New Roman"/>
                <w:sz w:val="20"/>
                <w:szCs w:val="20"/>
              </w:rPr>
              <w:t>CPF:</w:t>
            </w:r>
            <w:r>
              <w:rPr>
                <w:rFonts w:ascii="Verdana" w:hAnsi="Verdana"/>
                <w:sz w:val="20"/>
                <w:szCs w:val="20"/>
              </w:rPr>
              <w:t>:</w:t>
            </w:r>
          </w:p>
        </w:tc>
      </w:tr>
    </w:tbl>
    <w:p>
      <w:pPr>
        <w:rPr>
          <w:rFonts w:ascii="Verdana" w:hAnsi="Verdana"/>
          <w:sz w:val="20"/>
          <w:szCs w:val="20"/>
          <w:lang w:val="pt-BR"/>
        </w:rPr>
      </w:pPr>
    </w:p>
    <w:sectPr>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lang w:val="pt-BR"/>
      </w:rPr>
    </w:pPr>
    <w:r>
      <w:fldChar w:fldCharType="begin"/>
    </w:r>
    <w:r>
      <w:rPr>
        <w:lang w:val="pt-BR"/>
      </w:rPr>
      <w:instrText xml:space="preserve"> DOCPROPERTY iManageFooter \* MERGEFORMAT </w:instrText>
    </w:r>
    <w:r>
      <w:fldChar w:fldCharType="separate"/>
    </w:r>
    <w:r>
      <w:rPr>
        <w:lang w:val="pt-BR"/>
      </w:rPr>
      <w:t>JUR_SP - 34475243v9 - 599032.447248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tabs>
        <w:tab w:val="center" w:pos="4252"/>
        <w:tab w:val="right" w:pos="8504"/>
      </w:tabs>
      <w:jc w:val="right"/>
      <w:rPr>
        <w:rFonts w:ascii="Garamond" w:hAnsi="Garamond"/>
        <w:i/>
        <w:sz w:val="24"/>
        <w:szCs w:val="24"/>
        <w:lang w:val="pt-BR"/>
      </w:rPr>
    </w:pPr>
    <w:r>
      <w:rPr>
        <w:rFonts w:ascii="Verdana" w:hAnsi="Verdana"/>
      </w:rPr>
      <w:t>28.8.2019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00423"/>
    <w:multiLevelType w:val="multilevel"/>
    <w:tmpl w:val="E79248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13416D"/>
    <w:multiLevelType w:val="hybridMultilevel"/>
    <w:tmpl w:val="F8B86E32"/>
    <w:lvl w:ilvl="0" w:tplc="0FD82AB6">
      <w:start w:val="1"/>
      <w:numFmt w:val="decimal"/>
      <w:lvlText w:val="%1"/>
      <w:lvlJc w:val="left"/>
      <w:pPr>
        <w:ind w:left="744" w:hanging="680"/>
      </w:pPr>
      <w:rPr>
        <w:rFonts w:ascii="Verdana" w:eastAsia="Arial" w:hAnsi="Verdana" w:cs="Arial" w:hint="default"/>
        <w:b/>
        <w:bCs/>
        <w:w w:val="100"/>
        <w:sz w:val="20"/>
        <w:szCs w:val="20"/>
      </w:rPr>
    </w:lvl>
    <w:lvl w:ilvl="1" w:tplc="9F82B4FA">
      <w:numFmt w:val="bullet"/>
      <w:lvlText w:val="•"/>
      <w:lvlJc w:val="left"/>
      <w:pPr>
        <w:ind w:left="1664" w:hanging="680"/>
      </w:pPr>
      <w:rPr>
        <w:rFonts w:hint="default"/>
      </w:rPr>
    </w:lvl>
    <w:lvl w:ilvl="2" w:tplc="7004C1B6">
      <w:numFmt w:val="bullet"/>
      <w:lvlText w:val="•"/>
      <w:lvlJc w:val="left"/>
      <w:pPr>
        <w:ind w:left="2589" w:hanging="680"/>
      </w:pPr>
      <w:rPr>
        <w:rFonts w:hint="default"/>
      </w:rPr>
    </w:lvl>
    <w:lvl w:ilvl="3" w:tplc="E0EAF57A">
      <w:numFmt w:val="bullet"/>
      <w:lvlText w:val="•"/>
      <w:lvlJc w:val="left"/>
      <w:pPr>
        <w:ind w:left="3513" w:hanging="680"/>
      </w:pPr>
      <w:rPr>
        <w:rFonts w:hint="default"/>
      </w:rPr>
    </w:lvl>
    <w:lvl w:ilvl="4" w:tplc="06E4BD78">
      <w:numFmt w:val="bullet"/>
      <w:lvlText w:val="•"/>
      <w:lvlJc w:val="left"/>
      <w:pPr>
        <w:ind w:left="4438" w:hanging="680"/>
      </w:pPr>
      <w:rPr>
        <w:rFonts w:hint="default"/>
      </w:rPr>
    </w:lvl>
    <w:lvl w:ilvl="5" w:tplc="18A27F02">
      <w:numFmt w:val="bullet"/>
      <w:lvlText w:val="•"/>
      <w:lvlJc w:val="left"/>
      <w:pPr>
        <w:ind w:left="5363" w:hanging="680"/>
      </w:pPr>
      <w:rPr>
        <w:rFonts w:hint="default"/>
      </w:rPr>
    </w:lvl>
    <w:lvl w:ilvl="6" w:tplc="0FC69018">
      <w:numFmt w:val="bullet"/>
      <w:lvlText w:val="•"/>
      <w:lvlJc w:val="left"/>
      <w:pPr>
        <w:ind w:left="6287" w:hanging="680"/>
      </w:pPr>
      <w:rPr>
        <w:rFonts w:hint="default"/>
      </w:rPr>
    </w:lvl>
    <w:lvl w:ilvl="7" w:tplc="66AE7B80">
      <w:numFmt w:val="bullet"/>
      <w:lvlText w:val="•"/>
      <w:lvlJc w:val="left"/>
      <w:pPr>
        <w:ind w:left="7212" w:hanging="680"/>
      </w:pPr>
      <w:rPr>
        <w:rFonts w:hint="default"/>
      </w:rPr>
    </w:lvl>
    <w:lvl w:ilvl="8" w:tplc="4AC0F5C6">
      <w:numFmt w:val="bullet"/>
      <w:lvlText w:val="•"/>
      <w:lvlJc w:val="left"/>
      <w:pPr>
        <w:ind w:left="8136" w:hanging="680"/>
      </w:pPr>
      <w:rPr>
        <w:rFonts w:hint="default"/>
      </w:rPr>
    </w:lvl>
  </w:abstractNum>
  <w:abstractNum w:abstractNumId="2" w15:restartNumberingAfterBreak="0">
    <w:nsid w:val="1CCD1A4E"/>
    <w:multiLevelType w:val="multilevel"/>
    <w:tmpl w:val="C7F6D7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D27B73"/>
    <w:multiLevelType w:val="hybridMultilevel"/>
    <w:tmpl w:val="FB5C9C32"/>
    <w:lvl w:ilvl="0" w:tplc="AEF8E84E">
      <w:start w:val="3"/>
      <w:numFmt w:val="decimal"/>
      <w:lvlText w:val="%1"/>
      <w:lvlJc w:val="left"/>
      <w:pPr>
        <w:ind w:left="744" w:hanging="680"/>
      </w:pPr>
      <w:rPr>
        <w:rFonts w:ascii="Verdana" w:eastAsia="Arial" w:hAnsi="Verdana" w:cs="Arial" w:hint="default"/>
        <w:b/>
        <w:bCs/>
        <w:w w:val="100"/>
        <w:sz w:val="20"/>
        <w:szCs w:val="20"/>
      </w:rPr>
    </w:lvl>
    <w:lvl w:ilvl="1" w:tplc="50BCCA62">
      <w:numFmt w:val="bullet"/>
      <w:lvlText w:val="•"/>
      <w:lvlJc w:val="left"/>
      <w:pPr>
        <w:ind w:left="1664" w:hanging="680"/>
      </w:pPr>
      <w:rPr>
        <w:rFonts w:hint="default"/>
      </w:rPr>
    </w:lvl>
    <w:lvl w:ilvl="2" w:tplc="AF8646BC">
      <w:numFmt w:val="bullet"/>
      <w:lvlText w:val="•"/>
      <w:lvlJc w:val="left"/>
      <w:pPr>
        <w:ind w:left="2589" w:hanging="680"/>
      </w:pPr>
      <w:rPr>
        <w:rFonts w:hint="default"/>
      </w:rPr>
    </w:lvl>
    <w:lvl w:ilvl="3" w:tplc="ED2C2F8A">
      <w:numFmt w:val="bullet"/>
      <w:lvlText w:val="•"/>
      <w:lvlJc w:val="left"/>
      <w:pPr>
        <w:ind w:left="3513" w:hanging="680"/>
      </w:pPr>
      <w:rPr>
        <w:rFonts w:hint="default"/>
      </w:rPr>
    </w:lvl>
    <w:lvl w:ilvl="4" w:tplc="321604FA">
      <w:numFmt w:val="bullet"/>
      <w:lvlText w:val="•"/>
      <w:lvlJc w:val="left"/>
      <w:pPr>
        <w:ind w:left="4438" w:hanging="680"/>
      </w:pPr>
      <w:rPr>
        <w:rFonts w:hint="default"/>
      </w:rPr>
    </w:lvl>
    <w:lvl w:ilvl="5" w:tplc="6914B7A4">
      <w:numFmt w:val="bullet"/>
      <w:lvlText w:val="•"/>
      <w:lvlJc w:val="left"/>
      <w:pPr>
        <w:ind w:left="5363" w:hanging="680"/>
      </w:pPr>
      <w:rPr>
        <w:rFonts w:hint="default"/>
      </w:rPr>
    </w:lvl>
    <w:lvl w:ilvl="6" w:tplc="A2681DA6">
      <w:numFmt w:val="bullet"/>
      <w:lvlText w:val="•"/>
      <w:lvlJc w:val="left"/>
      <w:pPr>
        <w:ind w:left="6287" w:hanging="680"/>
      </w:pPr>
      <w:rPr>
        <w:rFonts w:hint="default"/>
      </w:rPr>
    </w:lvl>
    <w:lvl w:ilvl="7" w:tplc="C7E42DE0">
      <w:numFmt w:val="bullet"/>
      <w:lvlText w:val="•"/>
      <w:lvlJc w:val="left"/>
      <w:pPr>
        <w:ind w:left="7212" w:hanging="680"/>
      </w:pPr>
      <w:rPr>
        <w:rFonts w:hint="default"/>
      </w:rPr>
    </w:lvl>
    <w:lvl w:ilvl="8" w:tplc="56B4C6B2">
      <w:numFmt w:val="bullet"/>
      <w:lvlText w:val="•"/>
      <w:lvlJc w:val="left"/>
      <w:pPr>
        <w:ind w:left="8136" w:hanging="680"/>
      </w:pPr>
      <w:rPr>
        <w:rFonts w:hint="default"/>
      </w:rPr>
    </w:lvl>
  </w:abstractNum>
  <w:abstractNum w:abstractNumId="4" w15:restartNumberingAfterBreak="0">
    <w:nsid w:val="2FE05A3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5" w15:restartNumberingAfterBreak="0">
    <w:nsid w:val="4B5A04DB"/>
    <w:multiLevelType w:val="hybridMultilevel"/>
    <w:tmpl w:val="610EC1EC"/>
    <w:lvl w:ilvl="0" w:tplc="0ABC4CE0">
      <w:start w:val="4"/>
      <w:numFmt w:val="decimal"/>
      <w:lvlText w:val="%1"/>
      <w:lvlJc w:val="left"/>
      <w:pPr>
        <w:ind w:left="858" w:hanging="680"/>
      </w:pPr>
      <w:rPr>
        <w:rFonts w:ascii="Verdana" w:eastAsia="Arial" w:hAnsi="Verdana"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6" w15:restartNumberingAfterBreak="0">
    <w:nsid w:val="679F1BE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7" w15:restartNumberingAfterBreak="0">
    <w:nsid w:val="694F3B69"/>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8" w15:restartNumberingAfterBreak="0">
    <w:nsid w:val="6C857157"/>
    <w:multiLevelType w:val="multilevel"/>
    <w:tmpl w:val="E3F6EE9A"/>
    <w:lvl w:ilvl="0">
      <w:start w:val="1"/>
      <w:numFmt w:val="decimal"/>
      <w:lvlText w:val="%1"/>
      <w:lvlJc w:val="left"/>
      <w:pPr>
        <w:ind w:left="872" w:hanging="680"/>
      </w:pPr>
      <w:rPr>
        <w:rFonts w:ascii="Garamond" w:eastAsia="Arial" w:hAnsi="Garamond" w:hint="default"/>
        <w:b/>
        <w:bCs/>
        <w:sz w:val="20"/>
        <w:szCs w:val="20"/>
      </w:rPr>
    </w:lvl>
    <w:lvl w:ilvl="1">
      <w:start w:val="1"/>
      <w:numFmt w:val="decimal"/>
      <w:lvlText w:val="%1.%2"/>
      <w:lvlJc w:val="left"/>
      <w:pPr>
        <w:ind w:left="872" w:hanging="680"/>
      </w:pPr>
      <w:rPr>
        <w:rFonts w:ascii="Garamond" w:eastAsia="Arial" w:hAnsi="Garamond"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abstractNum w:abstractNumId="9" w15:restartNumberingAfterBreak="0">
    <w:nsid w:val="7EEA2728"/>
    <w:multiLevelType w:val="hybridMultilevel"/>
    <w:tmpl w:val="8EDAAC24"/>
    <w:lvl w:ilvl="0" w:tplc="5344D81C">
      <w:start w:val="13"/>
      <w:numFmt w:val="decimal"/>
      <w:lvlText w:val="%1"/>
      <w:lvlJc w:val="left"/>
      <w:pPr>
        <w:ind w:left="743" w:hanging="680"/>
      </w:pPr>
      <w:rPr>
        <w:rFonts w:ascii="Garamond" w:eastAsia="Arial" w:hAnsi="Garamond" w:hint="default"/>
        <w:b/>
        <w:bCs/>
        <w:spacing w:val="-1"/>
        <w:sz w:val="20"/>
        <w:szCs w:val="20"/>
      </w:rPr>
    </w:lvl>
    <w:lvl w:ilvl="1" w:tplc="78444A24">
      <w:start w:val="1"/>
      <w:numFmt w:val="bullet"/>
      <w:lvlText w:val="•"/>
      <w:lvlJc w:val="left"/>
      <w:pPr>
        <w:ind w:left="1667" w:hanging="680"/>
      </w:pPr>
      <w:rPr>
        <w:rFonts w:hint="default"/>
      </w:rPr>
    </w:lvl>
    <w:lvl w:ilvl="2" w:tplc="B6940246">
      <w:start w:val="1"/>
      <w:numFmt w:val="bullet"/>
      <w:lvlText w:val="•"/>
      <w:lvlJc w:val="left"/>
      <w:pPr>
        <w:ind w:left="2590" w:hanging="680"/>
      </w:pPr>
      <w:rPr>
        <w:rFonts w:hint="default"/>
      </w:rPr>
    </w:lvl>
    <w:lvl w:ilvl="3" w:tplc="742E8242">
      <w:start w:val="1"/>
      <w:numFmt w:val="bullet"/>
      <w:lvlText w:val="•"/>
      <w:lvlJc w:val="left"/>
      <w:pPr>
        <w:ind w:left="3514" w:hanging="680"/>
      </w:pPr>
      <w:rPr>
        <w:rFonts w:hint="default"/>
      </w:rPr>
    </w:lvl>
    <w:lvl w:ilvl="4" w:tplc="B5C61B44">
      <w:start w:val="1"/>
      <w:numFmt w:val="bullet"/>
      <w:lvlText w:val="•"/>
      <w:lvlJc w:val="left"/>
      <w:pPr>
        <w:ind w:left="4437" w:hanging="680"/>
      </w:pPr>
      <w:rPr>
        <w:rFonts w:hint="default"/>
      </w:rPr>
    </w:lvl>
    <w:lvl w:ilvl="5" w:tplc="7F94B79A">
      <w:start w:val="1"/>
      <w:numFmt w:val="bullet"/>
      <w:lvlText w:val="•"/>
      <w:lvlJc w:val="left"/>
      <w:pPr>
        <w:ind w:left="5361" w:hanging="680"/>
      </w:pPr>
      <w:rPr>
        <w:rFonts w:hint="default"/>
      </w:rPr>
    </w:lvl>
    <w:lvl w:ilvl="6" w:tplc="2A22E34E">
      <w:start w:val="1"/>
      <w:numFmt w:val="bullet"/>
      <w:lvlText w:val="•"/>
      <w:lvlJc w:val="left"/>
      <w:pPr>
        <w:ind w:left="6284" w:hanging="680"/>
      </w:pPr>
      <w:rPr>
        <w:rFonts w:hint="default"/>
      </w:rPr>
    </w:lvl>
    <w:lvl w:ilvl="7" w:tplc="BB12508E">
      <w:start w:val="1"/>
      <w:numFmt w:val="bullet"/>
      <w:lvlText w:val="•"/>
      <w:lvlJc w:val="left"/>
      <w:pPr>
        <w:ind w:left="7208" w:hanging="680"/>
      </w:pPr>
      <w:rPr>
        <w:rFonts w:hint="default"/>
      </w:rPr>
    </w:lvl>
    <w:lvl w:ilvl="8" w:tplc="C4742490">
      <w:start w:val="1"/>
      <w:numFmt w:val="bullet"/>
      <w:lvlText w:val="•"/>
      <w:lvlJc w:val="left"/>
      <w:pPr>
        <w:ind w:left="8132" w:hanging="680"/>
      </w:pPr>
      <w:rPr>
        <w:rFonts w:hint="default"/>
      </w:rPr>
    </w:lvl>
  </w:abstractNum>
  <w:num w:numId="1">
    <w:abstractNumId w:val="8"/>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num>
  <w:num w:numId="6">
    <w:abstractNumId w:val="3"/>
  </w:num>
  <w:num w:numId="7">
    <w:abstractNumId w:val="1"/>
  </w:num>
  <w:num w:numId="8">
    <w:abstractNumId w:val="5"/>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5:docId w15:val="{015BE510-CCBE-42E4-A905-F5F4BA45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basedOn w:val="Normal"/>
    <w:link w:val="CabealhoChar"/>
    <w:uiPriority w:val="99"/>
    <w:unhideWhenUsed/>
    <w:pPr>
      <w:tabs>
        <w:tab w:val="center" w:pos="4252"/>
        <w:tab w:val="right" w:pos="8504"/>
      </w:tabs>
    </w:pPr>
  </w:style>
  <w:style w:type="character" w:customStyle="1" w:styleId="CabealhoChar">
    <w:name w:val="Cabeçalho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1"/>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eracional@pentagonotrustee.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79575-203E-4835-8EF0-3E311D95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5419</Words>
  <Characters>29263</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4</cp:revision>
  <cp:lastPrinted>2019-02-13T08:55:00Z</cp:lastPrinted>
  <dcterms:created xsi:type="dcterms:W3CDTF">2019-08-29T01:00:00Z</dcterms:created>
  <dcterms:modified xsi:type="dcterms:W3CDTF">2019-08-29T01:22:00Z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- 34475243v9 - 599032.447248</vt:lpwstr>
  </property>
</Properties>
</file>