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603BCF4D" w:rsidR="00D1292A" w:rsidRPr="00F5697F" w:rsidRDefault="00C22762" w:rsidP="00D3268D">
      <w:pPr>
        <w:pStyle w:val="Heading"/>
        <w:suppressAutoHyphens w:val="0"/>
        <w:rPr>
          <w:b w:val="0"/>
        </w:rPr>
      </w:pPr>
      <w:r w:rsidRPr="00F5697F">
        <w:t>EDITAL DE PRIMEIRA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79306C">
        <w:t xml:space="preserve"> </w:t>
      </w:r>
      <w:r w:rsidR="005907E5" w:rsidRPr="00F5697F">
        <w:t xml:space="preserve">EMISSÃO DE DEBÊNTURES SIMPLES, NÃO CONVERSÍVEIS EM AÇÕES, </w:t>
      </w:r>
      <w:r w:rsidR="00637579" w:rsidRPr="00F5697F">
        <w:rPr>
          <w:smallCaps/>
          <w:color w:val="000000"/>
        </w:rPr>
        <w:t>DA ESPÉCIE QUIROGRAFÁRIA, EM SÉRIE ÚNICA, PARA DISTRIBUIÇÃO PÚBLICA COM ESFORÇOS RESTRITOS,</w:t>
      </w:r>
      <w:r w:rsidR="00A53D30" w:rsidRPr="00F5697F">
        <w:rPr>
          <w:smallCaps/>
          <w:color w:val="000000"/>
        </w:rPr>
        <w:t xml:space="preserve"> DA RUMO S.A.</w:t>
      </w:r>
    </w:p>
    <w:p w14:paraId="7055CB6A" w14:textId="016986ED"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xml:space="preserve">” celebrada em 12 de fevereiro de 2019,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 xml:space="preserve">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w:t>
      </w:r>
      <w:r w:rsidR="00090773">
        <w:rPr>
          <w:bCs/>
          <w:color w:val="000000"/>
          <w:lang w:eastAsia="ar-SA"/>
        </w:rPr>
        <w:t xml:space="preserve"> </w:t>
      </w:r>
      <w:r w:rsidR="00781315" w:rsidRPr="00F5697F">
        <w:rPr>
          <w:bCs/>
          <w:color w:val="000000"/>
          <w:lang w:eastAsia="ar-SA"/>
        </w:rPr>
        <w:t>emissão de debêntures simples, não conversíveis em ações, da espécie quirografária, em série única</w:t>
      </w:r>
      <w:r w:rsidR="00090773">
        <w:rPr>
          <w:bCs/>
          <w:color w:val="000000"/>
          <w:lang w:eastAsia="ar-SA"/>
        </w:rPr>
        <w:t>, para distribuição pública com esforços restritos</w:t>
      </w:r>
      <w:r w:rsidR="00EB01B1">
        <w:rPr>
          <w:bCs/>
          <w:color w:val="000000"/>
          <w:lang w:eastAsia="ar-SA"/>
        </w:rPr>
        <w:t xml:space="preserve">, </w:t>
      </w:r>
      <w:r w:rsidR="00090773">
        <w:rPr>
          <w:bCs/>
          <w:color w:val="000000"/>
          <w:lang w:eastAsia="ar-SA"/>
        </w:rPr>
        <w:t>da Emissora</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090773" w:rsidRPr="00090773">
        <w:rPr>
          <w:rFonts w:eastAsia="Times New Roman" w:cs="Arial"/>
          <w:bCs/>
        </w:rPr>
        <w:t xml:space="preserve">” e </w:t>
      </w:r>
      <w:r w:rsidR="005B651A" w:rsidRPr="00F5697F">
        <w:rPr>
          <w:rFonts w:eastAsia="Times New Roman" w:cs="Arial"/>
        </w:rPr>
        <w:t>“</w:t>
      </w:r>
      <w:r w:rsidR="005B651A" w:rsidRPr="00F5697F">
        <w:rPr>
          <w:rFonts w:eastAsia="Times New Roman" w:cs="Arial"/>
          <w:b/>
        </w:rPr>
        <w:t>Emissão</w:t>
      </w:r>
      <w:r w:rsidR="005B651A" w:rsidRPr="00F5697F">
        <w:rPr>
          <w:rFonts w:eastAsia="Times New Roman" w:cs="Arial"/>
        </w:rPr>
        <w:t>”</w:t>
      </w:r>
      <w:r w:rsidR="00090773">
        <w:rPr>
          <w:rFonts w:eastAsia="Times New Roman" w:cs="Arial"/>
        </w:rPr>
        <w:t>, respectivamente</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em primeira</w:t>
      </w:r>
      <w:r w:rsidR="00090773">
        <w:rPr>
          <w:b/>
        </w:rPr>
        <w:t xml:space="preserve"> </w:t>
      </w:r>
      <w:r w:rsidR="005B651A" w:rsidRPr="00F5697F">
        <w:rPr>
          <w:b/>
        </w:rPr>
        <w:t>convocação</w:t>
      </w:r>
      <w:r w:rsidR="005B651A" w:rsidRPr="00F5697F">
        <w:rPr>
          <w:rFonts w:eastAsia="Times New Roman" w:cs="Arial"/>
        </w:rPr>
        <w:t>, no dia</w:t>
      </w:r>
      <w:r w:rsidR="00090773">
        <w:rPr>
          <w:rFonts w:eastAsia="Times New Roman" w:cs="Arial"/>
        </w:rPr>
        <w:t xml:space="preserve"> 2</w:t>
      </w:r>
      <w:r w:rsidR="009C16A3">
        <w:rPr>
          <w:rFonts w:eastAsia="Times New Roman" w:cs="Arial"/>
        </w:rPr>
        <w:t>8</w:t>
      </w:r>
      <w:r w:rsidR="00090773">
        <w:rPr>
          <w:rFonts w:eastAsia="Times New Roman" w:cs="Arial"/>
        </w:rPr>
        <w:t xml:space="preserve"> de março de 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3E636A">
        <w:rPr>
          <w:rFonts w:eastAsia="Times New Roman" w:cs="Arial"/>
        </w:rPr>
        <w:t>9</w:t>
      </w:r>
      <w:r w:rsidR="00090773">
        <w:rPr>
          <w:rFonts w:eastAsia="Times New Roman" w:cs="Arial"/>
        </w:rPr>
        <w:t>:00hs</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790410FD"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r w:rsidR="000D50E5" w:rsidRPr="00317D1C">
        <w:rPr>
          <w:i/>
          <w:iCs/>
          <w:lang w:val="pt-BR"/>
        </w:rPr>
        <w:t>waiver</w:t>
      </w:r>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Apurações Objeto de Waiver</w:t>
      </w:r>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r w:rsidR="00BD4722" w:rsidRPr="00317D1C">
        <w:rPr>
          <w:i/>
          <w:iCs/>
          <w:lang w:val="pt-BR" w:eastAsia="pt-BR"/>
        </w:rPr>
        <w:t>waiver</w:t>
      </w:r>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w:t>
      </w:r>
      <w:r w:rsidR="00766313">
        <w:rPr>
          <w:lang w:val="pt-BR" w:eastAsia="pt-BR"/>
        </w:rPr>
        <w:t>, sendo certo que: (i) em cada Apuração Objeto de Waiver</w:t>
      </w:r>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(e respeitado </w:t>
      </w:r>
      <w:r w:rsidR="00800B4B">
        <w:rPr>
          <w:lang w:val="pt-BR"/>
        </w:rPr>
        <w:t xml:space="preserve">o </w:t>
      </w:r>
      <w:r w:rsidR="001A6A34" w:rsidRPr="00F478B6">
        <w:rPr>
          <w:lang w:val="pt-BR"/>
        </w:rPr>
        <w:t>novo limite de 3,5x</w:t>
      </w:r>
      <w:bookmarkStart w:id="3" w:name="_Hlk96428326"/>
      <w:r w:rsidR="001A6A34" w:rsidRPr="00F478B6">
        <w:rPr>
          <w:lang w:val="pt-BR"/>
        </w:rPr>
        <w:t>)</w:t>
      </w:r>
      <w:r w:rsidR="001A6A34">
        <w:rPr>
          <w:lang w:val="pt-BR"/>
        </w:rPr>
        <w:t>,</w:t>
      </w:r>
      <w:bookmarkEnd w:id="3"/>
      <w:r w:rsidR="001A6A34">
        <w:rPr>
          <w:lang w:val="pt-BR"/>
        </w:rPr>
        <w:t xml:space="preserve"> a Emissora pagará aos Debenturistas</w:t>
      </w:r>
      <w:r w:rsidR="00B23D13">
        <w:rPr>
          <w:lang w:val="pt-BR"/>
        </w:rPr>
        <w:t xml:space="preserve"> o prêmio previsto na</w:t>
      </w:r>
      <w:r w:rsidR="00B23D13" w:rsidRPr="00B23D13">
        <w:rPr>
          <w:lang w:val="pt-BR"/>
        </w:rPr>
        <w:t xml:space="preserve"> </w:t>
      </w:r>
      <w:r w:rsidR="00B23D13" w:rsidRPr="00F5697F">
        <w:rPr>
          <w:lang w:val="pt-BR"/>
        </w:rPr>
        <w:t>mais recente Proposta de Administração divulgada pela Companhia até a realização da Assembleia Geral de Debenturistas</w:t>
      </w:r>
      <w:r w:rsidR="00C644BC">
        <w:rPr>
          <w:lang w:val="pt-BR"/>
        </w:rPr>
        <w:t xml:space="preserve">, em até </w:t>
      </w:r>
      <w:r w:rsidR="00586B7F">
        <w:rPr>
          <w:lang w:val="pt-BR"/>
        </w:rPr>
        <w:t xml:space="preserve">10 (dez) </w:t>
      </w:r>
      <w:r w:rsidR="00C644BC">
        <w:rPr>
          <w:lang w:val="pt-BR"/>
        </w:rPr>
        <w:t>dias úteis após a respectiva data de Apuração Objeto de Waiver</w:t>
      </w:r>
      <w:r w:rsidR="00B23D13">
        <w:rPr>
          <w:lang w:val="pt-BR"/>
        </w:rPr>
        <w:t xml:space="preserve"> </w:t>
      </w:r>
      <w:r w:rsidR="001A6A34" w:rsidRPr="00CB3BDE">
        <w:rPr>
          <w:lang w:val="pt-BR" w:eastAsia="pt-BR"/>
        </w:rPr>
        <w:t>(</w:t>
      </w:r>
      <w:r w:rsidR="001A6A34" w:rsidRPr="001A2F1C">
        <w:rPr>
          <w:lang w:val="pt-BR" w:eastAsia="pt-BR"/>
        </w:rPr>
        <w:t>"</w:t>
      </w:r>
      <w:r w:rsidR="00A0289B" w:rsidRPr="001A2F1C">
        <w:rPr>
          <w:b/>
          <w:bCs/>
          <w:lang w:val="pt-BR" w:eastAsia="pt-BR"/>
        </w:rPr>
        <w:t>Fee</w:t>
      </w:r>
      <w:r w:rsidR="00A0289B">
        <w:rPr>
          <w:b/>
          <w:bCs/>
          <w:lang w:val="pt-BR" w:eastAsia="pt-BR"/>
        </w:rPr>
        <w:t xml:space="preserve"> Covenants</w:t>
      </w:r>
      <w:r w:rsidR="001A6A34" w:rsidRPr="001A2F1C">
        <w:rPr>
          <w:lang w:val="pt-BR" w:eastAsia="pt-BR"/>
        </w:rPr>
        <w:t>")</w:t>
      </w:r>
      <w:r w:rsidR="00766313">
        <w:rPr>
          <w:lang w:val="pt-BR" w:eastAsia="pt-BR"/>
        </w:rPr>
        <w:t xml:space="preserve">, e (ii) </w:t>
      </w:r>
      <w:bookmarkStart w:id="4" w:name="_Hlk96383015"/>
      <w:r w:rsidR="00F11F53">
        <w:rPr>
          <w:lang w:val="pt-BR" w:eastAsia="pt-BR"/>
        </w:rPr>
        <w:t xml:space="preserve">caso o índice de 3,5x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 uma das </w:t>
      </w:r>
      <w:r w:rsidR="00F11F53" w:rsidRPr="00F5697F">
        <w:rPr>
          <w:lang w:val="pt-BR" w:eastAsia="pt-BR"/>
        </w:rPr>
        <w:t xml:space="preserve">Apurações Objeto de Waiver, o </w:t>
      </w:r>
      <w:r w:rsidR="00F11F53" w:rsidRPr="00F5697F">
        <w:rPr>
          <w:lang w:val="pt-BR"/>
        </w:rPr>
        <w:t xml:space="preserve">Índice de Alavancagem </w:t>
      </w:r>
      <w:r w:rsidR="00F11F53" w:rsidRPr="00F5697F">
        <w:rPr>
          <w:lang w:val="pt-BR" w:eastAsia="pt-BR"/>
        </w:rPr>
        <w:t xml:space="preserve">estabelecido e definido no item (xi) (a) da </w:t>
      </w:r>
      <w:r w:rsidR="00F11F53" w:rsidRPr="00F5697F">
        <w:rPr>
          <w:lang w:val="pt-BR" w:eastAsia="pt-BR"/>
        </w:rPr>
        <w:lastRenderedPageBreak/>
        <w:t>Cláusula 7.2 da Escritura de Emissão passará a vigorar imediatamente para todos os fins e direitos previstos na Escritura de Emissão</w:t>
      </w:r>
      <w:bookmarkEnd w:id="4"/>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60949212"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r w:rsidR="00C644BC">
        <w:rPr>
          <w:lang w:val="pt-BR"/>
        </w:rPr>
        <w:t>,</w:t>
      </w:r>
      <w:r w:rsidR="00F61CB6">
        <w:rPr>
          <w:lang w:val="pt-BR"/>
        </w:rPr>
        <w:t xml:space="preserve"> </w:t>
      </w:r>
      <w:r w:rsidR="00C644BC">
        <w:rPr>
          <w:lang w:val="pt-BR"/>
        </w:rPr>
        <w:t xml:space="preserve">em até </w:t>
      </w:r>
      <w:r w:rsidR="00586B7F">
        <w:rPr>
          <w:lang w:val="pt-BR"/>
        </w:rPr>
        <w:t>10 (dez)</w:t>
      </w:r>
      <w:r w:rsidR="00C644BC">
        <w:rPr>
          <w:lang w:val="pt-BR"/>
        </w:rPr>
        <w:t xml:space="preserve"> dias úteis após a realização da Assembleia Geral de Debenturistas</w:t>
      </w:r>
      <w:r w:rsidR="00FD5807">
        <w:rPr>
          <w:lang w:val="pt-BR"/>
        </w:rPr>
        <w:t xml:space="preserve"> </w:t>
      </w:r>
      <w:r w:rsidR="00402714" w:rsidRPr="00CB3BDE">
        <w:rPr>
          <w:lang w:val="pt-BR"/>
        </w:rPr>
        <w:t>(</w:t>
      </w:r>
      <w:r w:rsidR="00402714" w:rsidRPr="001A2F1C">
        <w:rPr>
          <w:lang w:val="pt-BR"/>
        </w:rPr>
        <w:t>"</w:t>
      </w:r>
      <w:r w:rsidR="00402714" w:rsidRPr="00766313">
        <w:rPr>
          <w:b/>
          <w:bCs/>
          <w:lang w:val="pt-BR"/>
        </w:rPr>
        <w:t>Waiver Fee</w:t>
      </w:r>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6BAA3CBB" w:rsidR="00436007" w:rsidRPr="00F5697F" w:rsidRDefault="00436007" w:rsidP="00D3268D">
      <w:pPr>
        <w:pStyle w:val="Level2"/>
        <w:widowControl w:val="0"/>
        <w:rPr>
          <w:lang w:val="pt-BR"/>
        </w:rPr>
      </w:pPr>
      <w:bookmarkStart w:id="5"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5"/>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Pr>
          <w:lang w:val="pt-BR"/>
        </w:rPr>
        <w:t xml:space="preserve">procuração, </w:t>
      </w:r>
      <w:r w:rsidR="00CF5AF9" w:rsidRPr="00F5697F">
        <w:rPr>
          <w:lang w:val="pt-BR"/>
        </w:rPr>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 xml:space="preserve">para participação e votação remota, como alternativa para viabilizar a participação à distância dos Debenturistas na Assembleia Geral de Debenturistas; e (ii)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799AE532" w:rsidR="00FA06FE" w:rsidRPr="00F5697F" w:rsidRDefault="00FA06FE" w:rsidP="00B57CF8">
      <w:pPr>
        <w:pStyle w:val="Level3"/>
        <w:rPr>
          <w:lang w:val="pt-BR"/>
        </w:rPr>
      </w:pPr>
      <w:r w:rsidRPr="00F5697F">
        <w:rPr>
          <w:lang w:val="pt-BR"/>
        </w:rPr>
        <w:lastRenderedPageBreak/>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272DE3A0" w:rsidR="00057E50" w:rsidRPr="00F5697F" w:rsidRDefault="00EE1B45" w:rsidP="00994B8F">
      <w:pPr>
        <w:pStyle w:val="Level2"/>
        <w:widowControl w:val="0"/>
        <w:rPr>
          <w:lang w:val="pt-BR"/>
        </w:rPr>
      </w:pPr>
      <w:bookmarkStart w:id="6" w:name="_Ref38627548"/>
      <w:bookmarkStart w:id="7"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27612F">
        <w:rPr>
          <w:lang w:val="pt-BR"/>
        </w:rPr>
        <w:t>2.1</w:t>
      </w:r>
      <w:r w:rsidR="0003326F" w:rsidRPr="00F5697F">
        <w:rPr>
          <w:lang w:val="pt-BR"/>
        </w:rPr>
        <w:fldChar w:fldCharType="end"/>
      </w:r>
      <w:r w:rsidR="0003326F" w:rsidRPr="00F5697F">
        <w:rPr>
          <w:lang w:val="pt-BR"/>
        </w:rPr>
        <w:t xml:space="preserve"> deste </w:t>
      </w:r>
      <w:r w:rsidR="00AC295E" w:rsidRPr="00F5697F">
        <w:rPr>
          <w:lang w:val="pt-BR"/>
        </w:rPr>
        <w:t xml:space="preserve">Edital de Convocação, em formato PDF; e (ii)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6"/>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8"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7"/>
      <w:r w:rsidR="00772017" w:rsidRPr="00F5697F">
        <w:rPr>
          <w:lang w:val="pt-BR"/>
        </w:rPr>
        <w:t xml:space="preserve">. </w:t>
      </w:r>
    </w:p>
    <w:bookmarkEnd w:id="8"/>
    <w:p w14:paraId="6DA33C52" w14:textId="060C371F"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9"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w:t>
      </w:r>
      <w:r w:rsidRPr="00F5697F">
        <w:rPr>
          <w:lang w:val="pt-BR"/>
        </w:rPr>
        <w:lastRenderedPageBreak/>
        <w:t>individual.</w:t>
      </w:r>
      <w:r w:rsidR="00F358DE" w:rsidRPr="00F5697F">
        <w:rPr>
          <w:lang w:val="pt-BR"/>
        </w:rPr>
        <w:t xml:space="preserve"> </w:t>
      </w:r>
    </w:p>
    <w:p w14:paraId="4B219448" w14:textId="779043A6" w:rsidR="00AC295E" w:rsidRPr="00F5697F" w:rsidRDefault="00AC295E" w:rsidP="00D3268D">
      <w:pPr>
        <w:pStyle w:val="Level2"/>
        <w:widowControl w:val="0"/>
        <w:rPr>
          <w:lang w:val="pt-BR"/>
        </w:rPr>
      </w:pPr>
      <w:bookmarkStart w:id="10" w:name="_Hlk58229518"/>
      <w:bookmarkEnd w:id="9"/>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com antecedência de, no mínimo,</w:t>
      </w:r>
      <w:r w:rsidR="00DA06D5">
        <w:rPr>
          <w:lang w:val="pt-BR"/>
        </w:rPr>
        <w:t xml:space="preserve"> 15 (quinze) minutos</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10"/>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 o sistema operacional IOS.</w:t>
      </w:r>
    </w:p>
    <w:p w14:paraId="28DBCC8A" w14:textId="2A70FB7A" w:rsidR="00262322" w:rsidRPr="00F5697F" w:rsidRDefault="00AC295E" w:rsidP="009E5CF1">
      <w:pPr>
        <w:pStyle w:val="Level2"/>
        <w:rPr>
          <w:lang w:val="pt-BR"/>
        </w:rPr>
      </w:pPr>
      <w:bookmarkStart w:id="11"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12"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12"/>
      <w:r w:rsidR="00262322" w:rsidRPr="00F5697F">
        <w:rPr>
          <w:lang w:val="pt-BR"/>
        </w:rPr>
        <w:t xml:space="preserve">. </w:t>
      </w:r>
    </w:p>
    <w:p w14:paraId="2712A507" w14:textId="11ED8D18" w:rsidR="00AC295E" w:rsidRPr="00F5697F" w:rsidRDefault="00AC295E">
      <w:pPr>
        <w:pStyle w:val="Level2"/>
        <w:widowControl w:val="0"/>
        <w:rPr>
          <w:lang w:val="pt-BR"/>
        </w:rPr>
      </w:pPr>
      <w:bookmarkStart w:id="13" w:name="_Ref38627342"/>
      <w:bookmarkEnd w:id="11"/>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13"/>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405A06C9"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14" w:name="_Hlk38880031"/>
      <w:r w:rsidRPr="00F5697F">
        <w:rPr>
          <w:lang w:val="pt-BR"/>
        </w:rPr>
        <w:t>Todos os termos aqui iniciados em letras maiúsculas e não expressamente aqui definidos terão os mesmos significados a eles atribuídos na Escritura de Emissão.</w:t>
      </w:r>
    </w:p>
    <w:bookmarkEnd w:id="14"/>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1DD9" w14:textId="77777777" w:rsidR="00F229BE" w:rsidRDefault="00F229BE" w:rsidP="0084291A">
      <w:pPr>
        <w:spacing w:after="0" w:line="240" w:lineRule="auto"/>
      </w:pPr>
      <w:r>
        <w:separator/>
      </w:r>
    </w:p>
  </w:endnote>
  <w:endnote w:type="continuationSeparator" w:id="0">
    <w:p w14:paraId="3A0D0A20" w14:textId="77777777" w:rsidR="00F229BE" w:rsidRDefault="00F229BE" w:rsidP="0084291A">
      <w:pPr>
        <w:spacing w:after="0" w:line="240" w:lineRule="auto"/>
      </w:pPr>
      <w:r>
        <w:continuationSeparator/>
      </w:r>
    </w:p>
  </w:endnote>
  <w:endnote w:type="continuationNotice" w:id="1">
    <w:p w14:paraId="3662D768" w14:textId="77777777" w:rsidR="00F229BE" w:rsidRDefault="00F22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790C" w14:textId="77777777" w:rsidR="00F229BE" w:rsidRDefault="00F229BE" w:rsidP="0084291A">
      <w:pPr>
        <w:spacing w:after="0" w:line="240" w:lineRule="auto"/>
      </w:pPr>
      <w:r>
        <w:separator/>
      </w:r>
    </w:p>
  </w:footnote>
  <w:footnote w:type="continuationSeparator" w:id="0">
    <w:p w14:paraId="63872CC5" w14:textId="77777777" w:rsidR="00F229BE" w:rsidRDefault="00F229BE" w:rsidP="0084291A">
      <w:pPr>
        <w:spacing w:after="0" w:line="240" w:lineRule="auto"/>
      </w:pPr>
      <w:r>
        <w:continuationSeparator/>
      </w:r>
    </w:p>
  </w:footnote>
  <w:footnote w:type="continuationNotice" w:id="1">
    <w:p w14:paraId="0D293D8E" w14:textId="77777777" w:rsidR="00F229BE" w:rsidRDefault="00F22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07F60"/>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80E4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Props1.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5.xml><?xml version="1.0" encoding="utf-8"?>
<ds:datastoreItem xmlns:ds="http://schemas.openxmlformats.org/officeDocument/2006/customXml" ds:itemID="{8D3612ED-5F27-49F0-82E6-41BAD21DC7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2038</Words>
  <Characters>11786</Characters>
  <Application>Microsoft Office Word</Application>
  <DocSecurity>0</DocSecurity>
  <Lines>178</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Fernando Aguiar</cp:lastModifiedBy>
  <cp:revision>8</cp:revision>
  <cp:lastPrinted>2018-05-29T04:45:00Z</cp:lastPrinted>
  <dcterms:created xsi:type="dcterms:W3CDTF">2022-02-23T18:33:00Z</dcterms:created>
  <dcterms:modified xsi:type="dcterms:W3CDTF">2022-02-25T20:05:00Z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