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double" w:sz="4" w:space="1" w:color="auto"/>
        </w:pBdr>
        <w:spacing w:after="0" w:line="320" w:lineRule="exact"/>
        <w:jc w:val="center"/>
        <w:rPr>
          <w:rFonts w:ascii="Verdana" w:hAnsi="Verdana"/>
          <w:sz w:val="20"/>
          <w:szCs w:val="20"/>
        </w:rPr>
      </w:pPr>
    </w:p>
    <w:p>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pStyle w:val="c3"/>
        <w:spacing w:line="320" w:lineRule="exact"/>
        <w:rPr>
          <w:rFonts w:ascii="Verdana" w:hAnsi="Verdana"/>
          <w:sz w:val="20"/>
          <w:szCs w:val="20"/>
        </w:rPr>
      </w:pPr>
      <w:r>
        <w:rPr>
          <w:rFonts w:ascii="Verdana" w:hAnsi="Verdana"/>
          <w:sz w:val="20"/>
          <w:szCs w:val="20"/>
        </w:rPr>
        <w:t>entre</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20" w:lineRule="exact"/>
        <w:jc w:val="center"/>
        <w:rPr>
          <w:rFonts w:ascii="Verdana" w:hAnsi="Verdana"/>
          <w:i/>
          <w:iCs/>
          <w:sz w:val="20"/>
          <w:szCs w:val="20"/>
        </w:rPr>
      </w:pPr>
      <w:r>
        <w:rPr>
          <w:rFonts w:ascii="Verdana" w:hAnsi="Verdana"/>
          <w:i/>
          <w:iCs/>
          <w:sz w:val="20"/>
          <w:szCs w:val="20"/>
        </w:rPr>
        <w:t>como Emissora</w:t>
      </w:r>
    </w:p>
    <w:p>
      <w:pPr>
        <w:spacing w:after="0" w:line="320" w:lineRule="exact"/>
        <w:jc w:val="center"/>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r>
        <w:rPr>
          <w:rFonts w:ascii="Verdana" w:hAnsi="Verdana"/>
          <w:sz w:val="20"/>
          <w:szCs w:val="20"/>
        </w:rPr>
        <w:t>e</w:t>
      </w: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20" w:lineRule="exact"/>
        <w:jc w:val="center"/>
        <w:rPr>
          <w:rFonts w:ascii="Verdana" w:hAnsi="Verdana"/>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i/>
          <w:iCs/>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________________________</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Datado de</w:t>
      </w:r>
    </w:p>
    <w:p>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pPr>
        <w:spacing w:after="0" w:line="32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20" w:lineRule="exact"/>
        <w:jc w:val="center"/>
        <w:rPr>
          <w:rFonts w:ascii="Verdana" w:hAnsi="Verdana"/>
          <w:sz w:val="20"/>
          <w:szCs w:val="20"/>
        </w:rPr>
      </w:pPr>
    </w:p>
    <w:p>
      <w:pPr>
        <w:pBdr>
          <w:bottom w:val="double" w:sz="6" w:space="1" w:color="auto"/>
        </w:pBdr>
        <w:spacing w:after="0" w:line="320" w:lineRule="exact"/>
        <w:jc w:val="center"/>
        <w:rPr>
          <w:rFonts w:ascii="Verdana" w:hAnsi="Verdana"/>
          <w:smallCaps/>
          <w:sz w:val="20"/>
          <w:szCs w:val="20"/>
        </w:rPr>
      </w:pPr>
    </w:p>
    <w:p>
      <w:pPr>
        <w:spacing w:after="0" w:line="320" w:lineRule="exact"/>
        <w:rPr>
          <w:rFonts w:ascii="Verdana" w:hAnsi="Verdana"/>
          <w:b/>
          <w:bCs/>
          <w:sz w:val="20"/>
          <w:szCs w:val="20"/>
        </w:rPr>
        <w:sectPr>
          <w:headerReference w:type="default" r:id="rId8"/>
          <w:headerReference w:type="first" r:id="rId9"/>
          <w:footerReference w:type="first" r:id="rId10"/>
          <w:pgSz w:w="11906" w:h="16838" w:code="9"/>
          <w:pgMar w:top="1537" w:right="1418" w:bottom="2835" w:left="1701"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p>
    <w:p>
      <w:pPr>
        <w:spacing w:after="0" w:line="320" w:lineRule="exact"/>
        <w:jc w:val="both"/>
        <w:rPr>
          <w:rFonts w:ascii="Verdana" w:hAnsi="Verdana"/>
          <w:sz w:val="20"/>
          <w:szCs w:val="20"/>
        </w:rPr>
      </w:pPr>
    </w:p>
    <w:p>
      <w:pPr>
        <w:spacing w:after="0" w:line="320" w:lineRule="exact"/>
        <w:jc w:val="both"/>
        <w:rPr>
          <w:rFonts w:ascii="Verdana" w:hAnsi="Verdana"/>
          <w:sz w:val="20"/>
          <w:szCs w:val="20"/>
        </w:rPr>
      </w:pPr>
      <w:r>
        <w:rPr>
          <w:rFonts w:ascii="Verdana" w:hAnsi="Verdana"/>
          <w:sz w:val="20"/>
          <w:szCs w:val="20"/>
        </w:rPr>
        <w:t xml:space="preserve">Pelo presente instrumento particular,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pPr>
        <w:spacing w:after="0" w:line="320" w:lineRule="exact"/>
        <w:ind w:left="720"/>
        <w:jc w:val="both"/>
        <w:rPr>
          <w:rFonts w:ascii="Verdana" w:hAnsi="Verdana"/>
          <w:sz w:val="20"/>
          <w:szCs w:val="20"/>
        </w:rPr>
      </w:pPr>
    </w:p>
    <w:p>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20" w:lineRule="exact"/>
        <w:jc w:val="both"/>
        <w:rPr>
          <w:rFonts w:ascii="Verdana" w:hAnsi="Verdana"/>
          <w:sz w:val="20"/>
          <w:szCs w:val="20"/>
        </w:rPr>
      </w:pPr>
    </w:p>
    <w:p>
      <w:pPr>
        <w:pStyle w:val="PargrafodaLista"/>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20" w:lineRule="exact"/>
        <w:jc w:val="both"/>
        <w:rPr>
          <w:rFonts w:ascii="Verdana" w:hAnsi="Verdana"/>
          <w:b/>
          <w:sz w:val="20"/>
          <w:szCs w:val="20"/>
        </w:rPr>
      </w:pPr>
    </w:p>
    <w:p>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20" w:lineRule="exact"/>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de comum acordo e na melhor forma de direito, firmar a presente “Escritura Particular da Décima Terceira Emissão de Debêntures Simples, Não </w:t>
      </w:r>
      <w:r>
        <w:rPr>
          <w:rFonts w:ascii="Verdana" w:hAnsi="Verdana"/>
          <w:sz w:val="20"/>
          <w:szCs w:val="20"/>
        </w:rPr>
        <w:lastRenderedPageBreak/>
        <w:t>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xml:space="preserve">”), mediante as cláusulas e condições a seguir. </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pPr>
        <w:pStyle w:val="PargrafodaLista2"/>
        <w:spacing w:line="320" w:lineRule="exact"/>
        <w:ind w:left="0"/>
        <w:jc w:val="both"/>
        <w:rPr>
          <w:rFonts w:ascii="Verdana" w:hAnsi="Verdana"/>
          <w:sz w:val="20"/>
          <w:szCs w:val="20"/>
        </w:rPr>
      </w:pPr>
    </w:p>
    <w:p>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89" w:name="_Hlk467837"/>
      <w:r>
        <w:rPr>
          <w:rFonts w:ascii="Verdana" w:hAnsi="Verdana"/>
          <w:sz w:val="20"/>
          <w:szCs w:val="20"/>
        </w:rPr>
        <w:t>(i) com relação a qualquer obrigação pecuniária realizada por meio da B3 – Segmento Cetip UTVM (conforme abaixo definida), qualquer dia que não seja sábado, domingo ou feriado declarado nacional; (ii) com relação a qualquer obrigação pecuniária que não seja realizada por meio da B3 – Segmento Cetip UTVM e/ou da B3, conforme o caso, qualquer dia no qual haja expediente nos bancos comerciais na Cidade de São Paulo, Estado de São Paulo, e na Cidade de Curitiba, Estado do Paraná, e que não seja sábado ou domingo; e (iii) com relação a qualquer obrigação não pecuniária prevista nesta Escritura, qualquer dia que não seja sábado ou domingo ou feriado na Cidade de Osasco, Estado de São Paulo e na Cidade de Curitiba, Estado do Paraná</w:t>
      </w:r>
      <w:bookmarkEnd w:id="89"/>
      <w:r>
        <w:rPr>
          <w:rFonts w:ascii="Verdana" w:hAnsi="Verdana"/>
          <w:sz w:val="20"/>
          <w:szCs w:val="20"/>
        </w:rPr>
        <w:t>.</w:t>
      </w:r>
    </w:p>
    <w:p>
      <w:pPr>
        <w:spacing w:after="0" w:line="320" w:lineRule="exact"/>
        <w:ind w:left="709" w:hanging="709"/>
        <w:jc w:val="both"/>
        <w:rPr>
          <w:rFonts w:ascii="Verdana" w:hAnsi="Verdana"/>
          <w:sz w:val="20"/>
          <w:szCs w:val="20"/>
        </w:rPr>
      </w:pPr>
    </w:p>
    <w:p>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0" w:name="_Toc499990313"/>
      <w:r>
        <w:rPr>
          <w:rFonts w:ascii="Verdana" w:hAnsi="Verdana"/>
          <w:smallCaps/>
          <w:sz w:val="20"/>
          <w:szCs w:val="20"/>
          <w:u w:val="single"/>
        </w:rPr>
        <w:t>Autorizações</w:t>
      </w:r>
      <w:bookmarkEnd w:id="90"/>
    </w:p>
    <w:p>
      <w:pPr>
        <w:spacing w:after="0" w:line="320" w:lineRule="exact"/>
        <w:ind w:left="709" w:hanging="709"/>
        <w:jc w:val="both"/>
        <w:rPr>
          <w:rFonts w:ascii="Verdana" w:hAnsi="Verdana"/>
          <w:smallCaps/>
          <w:sz w:val="20"/>
          <w:szCs w:val="20"/>
          <w:u w:val="single"/>
        </w:rPr>
      </w:pPr>
    </w:p>
    <w:p>
      <w:pPr>
        <w:pStyle w:val="Saudao"/>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pPr>
        <w:pStyle w:val="Saudao"/>
        <w:tabs>
          <w:tab w:val="left" w:pos="6120"/>
        </w:tabs>
        <w:spacing w:line="320" w:lineRule="exact"/>
        <w:ind w:left="709" w:hanging="709"/>
        <w:rPr>
          <w:rFonts w:ascii="Verdana" w:hAnsi="Verdana"/>
          <w:sz w:val="20"/>
          <w:szCs w:val="20"/>
          <w:lang w:val="pt-BR"/>
        </w:rPr>
      </w:pPr>
    </w:p>
    <w:p>
      <w:pPr>
        <w:pStyle w:val="Saudao"/>
        <w:numPr>
          <w:ilvl w:val="1"/>
          <w:numId w:val="4"/>
        </w:numPr>
        <w:spacing w:line="320" w:lineRule="exact"/>
        <w:ind w:left="851" w:hanging="851"/>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formalizar e efetivar a contratação dos Coordenadores (conforme abaixo definidos), do Agente Fiduciário e dos prestadores de serviços necessários à </w:t>
      </w:r>
      <w:r>
        <w:rPr>
          <w:rFonts w:ascii="Verdana" w:hAnsi="Verdana"/>
          <w:sz w:val="20"/>
          <w:szCs w:val="20"/>
          <w:lang w:val="pt-BR"/>
        </w:rPr>
        <w:lastRenderedPageBreak/>
        <w:t xml:space="preserve">implementação da Emissão e da Oferta, tais como Escriturador (conforme abaixo definido), Banco Liquidante (conforme abaixo definido), a B3 (conforme abaixo definido), a B3 – Segmento Cetip UTVM, dentre outros, podendo, para tanto, negociar e assinar os respectivos instrumentos de contratação e eventuais alterações em aditamentos. </w:t>
      </w:r>
    </w:p>
    <w:p>
      <w:pPr>
        <w:pStyle w:val="p0"/>
        <w:widowControl/>
        <w:tabs>
          <w:tab w:val="clear" w:pos="720"/>
        </w:tabs>
        <w:spacing w:line="320" w:lineRule="exact"/>
        <w:ind w:left="709" w:hanging="709"/>
        <w:rPr>
          <w:rFonts w:ascii="Verdana" w:hAnsi="Verdana"/>
          <w:sz w:val="20"/>
        </w:rPr>
      </w:pPr>
    </w:p>
    <w:p>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1" w:name="_Toc499990314"/>
      <w:r>
        <w:rPr>
          <w:rFonts w:ascii="Verdana" w:hAnsi="Verdana"/>
          <w:smallCaps/>
          <w:sz w:val="20"/>
          <w:szCs w:val="20"/>
          <w:u w:val="single"/>
        </w:rPr>
        <w:t>Requisitos</w:t>
      </w:r>
      <w:bookmarkEnd w:id="91"/>
    </w:p>
    <w:p>
      <w:pPr>
        <w:spacing w:after="0" w:line="320" w:lineRule="exact"/>
        <w:rPr>
          <w:rFonts w:ascii="Verdana" w:hAnsi="Verdana"/>
          <w:sz w:val="20"/>
          <w:szCs w:val="20"/>
        </w:rPr>
      </w:pPr>
    </w:p>
    <w:p>
      <w:pPr>
        <w:pStyle w:val="PargrafodaLista"/>
        <w:numPr>
          <w:ilvl w:val="1"/>
          <w:numId w:val="70"/>
        </w:numPr>
        <w:spacing w:line="320" w:lineRule="exact"/>
        <w:ind w:left="851" w:hanging="851"/>
        <w:jc w:val="both"/>
        <w:rPr>
          <w:rFonts w:ascii="Verdana" w:hAnsi="Verdana"/>
          <w:sz w:val="20"/>
          <w:szCs w:val="20"/>
        </w:rPr>
      </w:pPr>
      <w:bookmarkStart w:id="92" w:name="_DV_M16"/>
      <w:bookmarkEnd w:id="92"/>
      <w:r>
        <w:rPr>
          <w:rFonts w:ascii="Verdana" w:hAnsi="Verdana"/>
          <w:sz w:val="20"/>
          <w:szCs w:val="20"/>
        </w:rPr>
        <w:t xml:space="preserve">A 13ª (décima terceira) emissão </w:t>
      </w:r>
      <w:bookmarkStart w:id="93"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4" w:name="_DV_M17"/>
      <w:bookmarkEnd w:id="93"/>
      <w:bookmarkEnd w:id="94"/>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5" w:name="_DV_M20"/>
      <w:bookmarkStart w:id="96" w:name="_DV_M21"/>
      <w:bookmarkEnd w:id="95"/>
      <w:bookmarkEnd w:id="96"/>
      <w:r>
        <w:rPr>
          <w:rFonts w:ascii="Verdana" w:hAnsi="Verdana"/>
          <w:sz w:val="20"/>
          <w:szCs w:val="20"/>
        </w:rPr>
        <w:t>:</w:t>
      </w:r>
    </w:p>
    <w:p>
      <w:pPr>
        <w:spacing w:after="0" w:line="320" w:lineRule="exact"/>
        <w:ind w:left="709" w:hanging="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7" w:name="_DV_M23"/>
      <w:bookmarkEnd w:id="97"/>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pPr>
        <w:spacing w:after="0" w:line="320" w:lineRule="exact"/>
        <w:ind w:left="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98"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pPr>
        <w:pStyle w:val="PargrafodaLista"/>
        <w:tabs>
          <w:tab w:val="num" w:pos="851"/>
        </w:tabs>
        <w:spacing w:line="320" w:lineRule="exact"/>
        <w:ind w:left="851" w:hanging="851"/>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99" w:name="_DV_M28"/>
      <w:bookmarkStart w:id="100" w:name="_DV_M29"/>
      <w:bookmarkEnd w:id="98"/>
      <w:bookmarkEnd w:id="99"/>
      <w:bookmarkEnd w:id="100"/>
      <w:r>
        <w:rPr>
          <w:rFonts w:ascii="Verdana" w:hAnsi="Verdana"/>
          <w:i/>
          <w:sz w:val="20"/>
          <w:szCs w:val="20"/>
          <w:u w:val="single"/>
        </w:rPr>
        <w:t>Arquivamento na Junta Comercial 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1" w:name="_Ref312338136"/>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102" w:name="_Ref314837495"/>
      <w:bookmarkEnd w:id="101"/>
      <w:r>
        <w:rPr>
          <w:rFonts w:ascii="Verdana" w:hAnsi="Verdana"/>
          <w:i/>
          <w:sz w:val="20"/>
          <w:szCs w:val="20"/>
          <w:u w:val="single"/>
        </w:rPr>
        <w:lastRenderedPageBreak/>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2"/>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pPr>
        <w:pStyle w:val="PargrafodaLista"/>
        <w:spacing w:line="320" w:lineRule="exact"/>
        <w:ind w:left="709"/>
        <w:jc w:val="both"/>
        <w:rPr>
          <w:rFonts w:ascii="Verdana" w:hAnsi="Verdana"/>
          <w:sz w:val="20"/>
          <w:szCs w:val="20"/>
        </w:rPr>
      </w:pPr>
    </w:p>
    <w:p>
      <w:pPr>
        <w:pStyle w:val="PargrafodaLista"/>
        <w:numPr>
          <w:ilvl w:val="3"/>
          <w:numId w:val="75"/>
        </w:numPr>
        <w:spacing w:line="320" w:lineRule="exact"/>
        <w:ind w:left="851" w:hanging="851"/>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pPr>
        <w:pStyle w:val="PargrafodaLista"/>
        <w:spacing w:line="320" w:lineRule="exact"/>
        <w:ind w:left="709" w:hanging="709"/>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3" w:name="_DV_M38"/>
      <w:bookmarkStart w:id="104" w:name="_DV_M42"/>
      <w:bookmarkStart w:id="105" w:name="_Ref314822195"/>
      <w:bookmarkEnd w:id="103"/>
      <w:bookmarkEnd w:id="104"/>
      <w:r>
        <w:rPr>
          <w:rFonts w:ascii="Verdana" w:hAnsi="Verdana"/>
          <w:i/>
          <w:sz w:val="20"/>
          <w:szCs w:val="20"/>
          <w:u w:val="single"/>
        </w:rPr>
        <w:t xml:space="preserve">Depósito para </w:t>
      </w:r>
      <w:bookmarkStart w:id="106" w:name="_DV_C38"/>
      <w:r>
        <w:rPr>
          <w:rStyle w:val="DeltaViewInsertion"/>
          <w:rFonts w:ascii="Verdana" w:hAnsi="Verdana"/>
          <w:i/>
          <w:color w:val="auto"/>
          <w:sz w:val="20"/>
          <w:szCs w:val="20"/>
          <w:u w:val="single"/>
        </w:rPr>
        <w:t xml:space="preserve">Distribuição </w:t>
      </w:r>
      <w:bookmarkEnd w:id="106"/>
      <w:r>
        <w:rPr>
          <w:rFonts w:ascii="Verdana" w:hAnsi="Verdana"/>
          <w:i/>
          <w:sz w:val="20"/>
          <w:szCs w:val="20"/>
          <w:u w:val="single"/>
        </w:rPr>
        <w:t>das Debêntures</w:t>
      </w:r>
      <w:r>
        <w:rPr>
          <w:rFonts w:ascii="Verdana" w:hAnsi="Verdana"/>
          <w:sz w:val="20"/>
          <w:szCs w:val="20"/>
        </w:rPr>
        <w:t xml:space="preserve">. </w:t>
      </w:r>
      <w:bookmarkStart w:id="107" w:name="_Ref312320003"/>
      <w:bookmarkStart w:id="108"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S.A. – Brasil, Bolsa, Balcão – Segmento Cetip UTVM (“</w:t>
      </w:r>
      <w:r>
        <w:rPr>
          <w:rFonts w:ascii="Verdana" w:hAnsi="Verdana"/>
          <w:iCs/>
          <w:sz w:val="20"/>
          <w:szCs w:val="20"/>
          <w:u w:val="single"/>
        </w:rPr>
        <w:t>B3 – Segmento Cetip UTVM</w:t>
      </w:r>
      <w:r>
        <w:rPr>
          <w:rFonts w:ascii="Verdana" w:hAnsi="Verdana"/>
          <w:iCs/>
          <w:sz w:val="20"/>
          <w:szCs w:val="20"/>
        </w:rPr>
        <w:t>”), sendo a distribuição liquidada financeiramente por meio da B3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07"/>
      <w:r>
        <w:rPr>
          <w:rFonts w:ascii="Verdana" w:hAnsi="Verdana"/>
          <w:iCs/>
          <w:sz w:val="20"/>
          <w:szCs w:val="20"/>
        </w:rPr>
        <w:t xml:space="preserve"> </w:t>
      </w:r>
      <w:bookmarkEnd w:id="105"/>
    </w:p>
    <w:p>
      <w:pPr>
        <w:pStyle w:val="PargrafodaLista"/>
        <w:spacing w:line="320" w:lineRule="exact"/>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pPr>
        <w:tabs>
          <w:tab w:val="num" w:pos="851"/>
        </w:tabs>
        <w:spacing w:after="0" w:line="320" w:lineRule="exact"/>
        <w:ind w:left="851" w:hanging="851"/>
        <w:jc w:val="both"/>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lastRenderedPageBreak/>
        <w:t>Projeto de Infraestrutura Considerado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dos Projetos (conforme abaixo definidos) como prioritários pelo Ministério da Infraestrutura, por meio (i) da Portaria nº 269, de 9 de abril de 2018, publicada no Diário Oficial da União (“</w:t>
      </w:r>
      <w:r>
        <w:rPr>
          <w:rFonts w:ascii="Verdana" w:hAnsi="Verdana"/>
          <w:sz w:val="20"/>
          <w:szCs w:val="20"/>
          <w:u w:val="single"/>
        </w:rPr>
        <w:t>DOU</w:t>
      </w:r>
      <w:r>
        <w:rPr>
          <w:rFonts w:ascii="Verdana" w:hAnsi="Verdana"/>
          <w:sz w:val="20"/>
          <w:szCs w:val="20"/>
        </w:rPr>
        <w:t>”) em 10 de abril de 2018 (“</w:t>
      </w:r>
      <w:r>
        <w:rPr>
          <w:rFonts w:ascii="Verdana" w:hAnsi="Verdana"/>
          <w:sz w:val="20"/>
          <w:szCs w:val="20"/>
          <w:u w:val="single"/>
        </w:rPr>
        <w:t>Portaria Malha Sul</w:t>
      </w:r>
      <w:r>
        <w:rPr>
          <w:rFonts w:ascii="Verdana" w:hAnsi="Verdana"/>
          <w:sz w:val="20"/>
          <w:szCs w:val="20"/>
        </w:rPr>
        <w:t xml:space="preserve">”), </w:t>
      </w:r>
      <w:r>
        <w:rPr>
          <w:rFonts w:ascii="Verdana" w:hAnsi="Verdana"/>
          <w:iCs/>
          <w:sz w:val="20"/>
          <w:szCs w:val="20"/>
        </w:rPr>
        <w:t xml:space="preserve">anexa à presente Escritura como </w:t>
      </w:r>
      <w:r>
        <w:rPr>
          <w:rFonts w:ascii="Verdana" w:hAnsi="Verdana"/>
          <w:iCs/>
          <w:sz w:val="20"/>
          <w:szCs w:val="20"/>
          <w:u w:val="single"/>
        </w:rPr>
        <w:t>Anexo I</w:t>
      </w:r>
      <w:r>
        <w:rPr>
          <w:rFonts w:ascii="Verdana" w:hAnsi="Verdana"/>
          <w:sz w:val="20"/>
          <w:szCs w:val="20"/>
        </w:rPr>
        <w:t xml:space="preserve">; e (ii) da Portaria nº [●], de [●] de [●] de 2019, publicada no </w:t>
      </w:r>
      <w:r>
        <w:rPr>
          <w:rFonts w:ascii="Verdana" w:hAnsi="Verdana"/>
          <w:sz w:val="20"/>
        </w:rPr>
        <w:t>DOU</w:t>
      </w:r>
      <w:r>
        <w:rPr>
          <w:rFonts w:ascii="Verdana" w:hAnsi="Verdana"/>
          <w:sz w:val="20"/>
          <w:szCs w:val="20"/>
        </w:rPr>
        <w:t xml:space="preserve"> em [●] de [●] de 2019 (“</w:t>
      </w:r>
      <w:r>
        <w:rPr>
          <w:rFonts w:ascii="Verdana" w:hAnsi="Verdana"/>
          <w:sz w:val="20"/>
          <w:szCs w:val="20"/>
          <w:u w:val="single"/>
        </w:rPr>
        <w:t>Portaria Malha Central</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II</w:t>
      </w:r>
      <w:r>
        <w:rPr>
          <w:rFonts w:ascii="Verdana" w:hAnsi="Verdana"/>
          <w:iCs/>
          <w:sz w:val="20"/>
          <w:szCs w:val="20"/>
        </w:rPr>
        <w:t>.</w:t>
      </w:r>
    </w:p>
    <w:p>
      <w:pPr>
        <w:spacing w:after="0" w:line="320" w:lineRule="exact"/>
        <w:rPr>
          <w:rFonts w:ascii="Verdana" w:hAnsi="Verdana"/>
          <w:iCs/>
          <w:sz w:val="20"/>
          <w:szCs w:val="20"/>
        </w:rPr>
      </w:pPr>
    </w:p>
    <w:p>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08"/>
      <w:r>
        <w:rPr>
          <w:rFonts w:ascii="Verdana" w:hAnsi="Verdana"/>
          <w:iCs/>
          <w:smallCaps/>
          <w:sz w:val="20"/>
          <w:szCs w:val="20"/>
          <w:u w:val="single"/>
        </w:rPr>
        <w:t>Emissão</w:t>
      </w:r>
    </w:p>
    <w:p>
      <w:pPr>
        <w:spacing w:after="0" w:line="320" w:lineRule="exact"/>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pPr>
        <w:spacing w:after="0" w:line="320" w:lineRule="exact"/>
        <w:ind w:left="709" w:hanging="709"/>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w:t>
      </w:r>
    </w:p>
    <w:p>
      <w:pPr>
        <w:pStyle w:val="PargrafodaLista"/>
        <w:tabs>
          <w:tab w:val="num" w:pos="851"/>
        </w:tabs>
        <w:spacing w:line="320" w:lineRule="exact"/>
        <w:ind w:left="851" w:hanging="851"/>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pPr>
        <w:tabs>
          <w:tab w:val="num" w:pos="851"/>
        </w:tabs>
        <w:spacing w:after="0" w:line="320" w:lineRule="exact"/>
        <w:ind w:left="851" w:hanging="851"/>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Emissão será de, inicialmente, R$ 1.000.000.000,00 (um bilhão de reais)</w:t>
      </w:r>
      <w:bookmarkStart w:id="109"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pPr>
        <w:pStyle w:val="PargrafodaLista"/>
        <w:tabs>
          <w:tab w:val="num" w:pos="851"/>
        </w:tabs>
        <w:spacing w:line="320" w:lineRule="exact"/>
        <w:ind w:left="851" w:hanging="851"/>
        <w:rPr>
          <w:rStyle w:val="DeltaViewInsertion"/>
          <w:rFonts w:ascii="Verdana" w:hAnsi="Verdana"/>
          <w:color w:val="auto"/>
          <w:sz w:val="20"/>
          <w:szCs w:val="20"/>
        </w:rPr>
      </w:pPr>
    </w:p>
    <w:bookmarkEnd w:id="109"/>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0" w:name="_DV_C41"/>
      <w:r>
        <w:rPr>
          <w:rFonts w:ascii="Verdana" w:hAnsi="Verdana"/>
          <w:sz w:val="20"/>
          <w:szCs w:val="20"/>
        </w:rPr>
        <w:t xml:space="preserve">. </w:t>
      </w:r>
      <w:bookmarkEnd w:id="110"/>
      <w:r>
        <w:rPr>
          <w:rFonts w:ascii="Verdana" w:hAnsi="Verdana"/>
          <w:sz w:val="20"/>
          <w:szCs w:val="20"/>
        </w:rPr>
        <w:t>A Emissão será realizada em série única</w:t>
      </w:r>
      <w:bookmarkStart w:id="111" w:name="_DV_C42"/>
      <w:r>
        <w:rPr>
          <w:rFonts w:ascii="Verdana" w:hAnsi="Verdana"/>
          <w:sz w:val="20"/>
          <w:szCs w:val="20"/>
        </w:rPr>
        <w:t>.</w:t>
      </w:r>
      <w:bookmarkStart w:id="112" w:name="_DV_M54"/>
      <w:bookmarkEnd w:id="111"/>
      <w:bookmarkEnd w:id="112"/>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3" w:name="_DV_M62"/>
      <w:bookmarkEnd w:id="113"/>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 de Estruturação, Coordenação e Distribuição Pública de Debêntures Simples, Não Conversíveis em Ações, da Espécie Quirografária, em Série Única, em Regime de Garantia Firme de Colocação, da Décima Terceira Emissão da Rumo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xml:space="preserve">” </w:t>
      </w:r>
      <w:r>
        <w:rPr>
          <w:rFonts w:ascii="Verdana" w:hAnsi="Verdana"/>
          <w:sz w:val="20"/>
          <w:szCs w:val="20"/>
          <w:lang w:val="pt-BR"/>
        </w:rPr>
        <w:lastRenderedPageBreak/>
        <w:t>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pública das Debêntures somente ocorrerá após:</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pPr>
        <w:spacing w:after="0" w:line="320" w:lineRule="exact"/>
        <w:ind w:left="709" w:hanging="1"/>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pPr>
        <w:spacing w:after="0" w:line="320" w:lineRule="exact"/>
        <w:jc w:val="both"/>
        <w:rPr>
          <w:rFonts w:ascii="Verdana" w:hAnsi="Verdana"/>
          <w:sz w:val="20"/>
          <w:szCs w:val="20"/>
        </w:rPr>
      </w:pPr>
    </w:p>
    <w:p>
      <w:pPr>
        <w:pStyle w:val="PargrafodaLista"/>
        <w:numPr>
          <w:ilvl w:val="0"/>
          <w:numId w:val="77"/>
        </w:numPr>
        <w:spacing w:line="320" w:lineRule="exact"/>
        <w:ind w:left="1701" w:hanging="850"/>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pPr>
        <w:spacing w:after="0" w:line="320" w:lineRule="exact"/>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  </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18"/>
          <w:szCs w:val="20"/>
          <w:lang w:val="pt-BR"/>
        </w:rPr>
      </w:pPr>
      <w:r>
        <w:rPr>
          <w:rFonts w:ascii="Verdana" w:hAnsi="Verdana"/>
          <w:sz w:val="20"/>
          <w:szCs w:val="20"/>
          <w:lang w:val="pt-BR"/>
        </w:rPr>
        <w:t>O público alvo da Oferta, levando-se sempre em conta o perfil de risco dos seus destinatários, será composto por: (i) “</w:t>
      </w:r>
      <w:r>
        <w:rPr>
          <w:rFonts w:ascii="Verdana" w:hAnsi="Verdana"/>
          <w:sz w:val="20"/>
          <w:szCs w:val="20"/>
          <w:u w:val="single"/>
          <w:lang w:val="pt-BR"/>
        </w:rPr>
        <w:t>Investidores Institucionais</w:t>
      </w:r>
      <w:r>
        <w:rPr>
          <w:rFonts w:ascii="Verdana" w:hAnsi="Verdana"/>
          <w:sz w:val="20"/>
          <w:szCs w:val="20"/>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hAnsi="Verdana"/>
          <w:sz w:val="20"/>
          <w:szCs w:val="20"/>
          <w:u w:val="single"/>
          <w:lang w:val="pt-BR"/>
        </w:rPr>
        <w:t>BACEN</w:t>
      </w:r>
      <w:r>
        <w:rPr>
          <w:rFonts w:ascii="Verdana" w:hAnsi="Verdana"/>
          <w:sz w:val="20"/>
          <w:szCs w:val="20"/>
          <w:lang w:val="pt-BR"/>
        </w:rPr>
        <w:t xml:space="preserve">”), seguradoras, entidades de previdência complementar e de capitalização, bem como pessoas </w:t>
      </w:r>
      <w:r>
        <w:rPr>
          <w:rFonts w:ascii="Verdana" w:hAnsi="Verdana"/>
          <w:sz w:val="20"/>
          <w:szCs w:val="20"/>
          <w:lang w:val="pt-BR"/>
        </w:rPr>
        <w:lastRenderedPageBreak/>
        <w:t>físicas ou jurídicas que sejam considerados investidores profissionais ou investidores qualificados, conforme definido nos artigos 9º-A e 9º-B da Instrução da CVM nº 539, de 13 de novembro de 2013, conforme alterada; e (ii) “</w:t>
      </w:r>
      <w:r>
        <w:rPr>
          <w:rFonts w:ascii="Verdana" w:hAnsi="Verdana"/>
          <w:sz w:val="20"/>
          <w:szCs w:val="20"/>
          <w:u w:val="single"/>
          <w:lang w:val="pt-BR"/>
        </w:rPr>
        <w:t>Investidores Não Institucionais</w:t>
      </w:r>
      <w:r>
        <w:rPr>
          <w:rFonts w:ascii="Verdana" w:hAnsi="Verdana"/>
          <w:sz w:val="20"/>
          <w:szCs w:val="20"/>
          <w:lang w:val="pt-BR"/>
        </w:rPr>
        <w:t>”, definidos como investidores, pessoas físicas ou jurídicas, que não estejam compreendidos na definição de Investidores Institucionais (sendo os Investidores Institucionais e os Investidores Não Institucionais, em conjunto, “</w:t>
      </w:r>
      <w:r>
        <w:rPr>
          <w:rFonts w:ascii="Verdana" w:hAnsi="Verdana"/>
          <w:sz w:val="20"/>
          <w:szCs w:val="20"/>
          <w:u w:val="single"/>
          <w:lang w:val="pt-BR"/>
        </w:rPr>
        <w:t>Investidores da Oferta</w:t>
      </w:r>
      <w:r>
        <w:rPr>
          <w:rFonts w:ascii="Verdana" w:hAnsi="Verdana"/>
          <w:sz w:val="20"/>
          <w:szCs w:val="20"/>
          <w:lang w:val="pt-BR"/>
        </w:rPr>
        <w:t>”).</w:t>
      </w:r>
      <w:r>
        <w:rPr>
          <w:sz w:val="40"/>
          <w:szCs w:val="44"/>
          <w:highlight w:val="green"/>
        </w:rPr>
        <w:t xml:space="preserve"> </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 de demanda a ser constatado no âmbito da Oferta, mediante a emissão das Debêntures Adicionais, a critério da Emissora, nos termos do parágrafo 2º do artigo 14 da Instrução CVM 400, observado o disposto na Cláusula 3.9,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Caso o montante da Oferta seja aumentado nos termos da Cláusula 3.7.4, acima, os Coordenadores farão a distribuição das Debêntures Adicionais em regime de melhores esforços de colocação. </w:t>
      </w:r>
    </w:p>
    <w:p>
      <w:pPr>
        <w:tabs>
          <w:tab w:val="left" w:pos="1701"/>
        </w:tabs>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permitida a distribuição parcial das Debêntures correspondentes ao Valor Total da Emissão.</w:t>
      </w:r>
    </w:p>
    <w:p>
      <w:pPr>
        <w:spacing w:after="0" w:line="320" w:lineRule="exact"/>
        <w:ind w:left="709" w:hanging="709"/>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pPr>
        <w:spacing w:after="0" w:line="320" w:lineRule="exact"/>
        <w:ind w:left="709" w:hanging="709"/>
        <w:rPr>
          <w:rFonts w:ascii="Verdana" w:hAnsi="Verdana"/>
          <w:sz w:val="20"/>
          <w:szCs w:val="20"/>
        </w:rPr>
      </w:pPr>
    </w:p>
    <w:p>
      <w:pPr>
        <w:pStyle w:val="Saudao"/>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 xml:space="preserve">Coleta de intenções de investimento (Procedimento de </w:t>
      </w:r>
      <w:r>
        <w:rPr>
          <w:rFonts w:ascii="Verdana" w:hAnsi="Verdana"/>
          <w:sz w:val="20"/>
          <w:szCs w:val="20"/>
          <w:u w:val="single"/>
          <w:lang w:val="pt-BR"/>
        </w:rPr>
        <w:t>Bookbuilding</w:t>
      </w:r>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4" w:name="_DV_C54"/>
      <w:r>
        <w:rPr>
          <w:rFonts w:ascii="Verdana" w:hAnsi="Verdana"/>
          <w:sz w:val="20"/>
          <w:szCs w:val="20"/>
          <w:lang w:val="pt-BR"/>
        </w:rPr>
        <w:t>observado o disposto na Cláusula 3.8.4, abaixo, para verificação da demanda pelas Debêntures em diferentes níveis de taxa de juros</w:t>
      </w:r>
      <w:bookmarkEnd w:id="114"/>
      <w:r>
        <w:rPr>
          <w:rFonts w:ascii="Verdana" w:hAnsi="Verdana"/>
          <w:sz w:val="20"/>
          <w:szCs w:val="20"/>
          <w:lang w:val="pt-BR"/>
        </w:rPr>
        <w:t>, de forma a definir, de comum acordo com a Emissora (i) a taxa final dos Juros Remuneratórios, nos termos da Cláusula 5.6.2, abaixo; (ii) a alocação das Debêntures entre os Investidores da Oferta; e (iii) a colocação, ou não, das Debêntures Adicionais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pPr>
        <w:tabs>
          <w:tab w:val="num" w:pos="851"/>
          <w:tab w:val="left" w:pos="170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lastRenderedPageBreak/>
        <w:t xml:space="preserve">Participarão do Procedimento de </w:t>
      </w:r>
      <w:r>
        <w:rPr>
          <w:rFonts w:ascii="Verdana" w:hAnsi="Verdana"/>
          <w:i/>
          <w:sz w:val="20"/>
          <w:szCs w:val="20"/>
          <w:lang w:val="pt-BR"/>
        </w:rPr>
        <w:t>Bookbuilding</w:t>
      </w:r>
      <w:r>
        <w:rPr>
          <w:rFonts w:ascii="Verdana" w:hAnsi="Verdana"/>
          <w:sz w:val="20"/>
          <w:szCs w:val="20"/>
          <w:lang w:val="pt-BR"/>
        </w:rPr>
        <w:t xml:space="preserve"> para definição dos Juros Remuneratórios exclusivamente Investidores Institucionais. Nesse sentido, os Investidores Não Institucionais não participarão do Procedimento de Bookbuilding para a definição dos Juros Remuneratórios. </w:t>
      </w:r>
    </w:p>
    <w:p>
      <w:pPr>
        <w:tabs>
          <w:tab w:val="left" w:pos="6158"/>
        </w:tabs>
        <w:spacing w:after="0" w:line="320" w:lineRule="exact"/>
        <w:ind w:left="851" w:hanging="851"/>
        <w:jc w:val="both"/>
        <w:rPr>
          <w:rFonts w:ascii="Verdana" w:hAnsi="Verdana"/>
          <w:sz w:val="20"/>
          <w:szCs w:val="20"/>
        </w:rPr>
      </w:pPr>
      <w:r>
        <w:rPr>
          <w:rFonts w:ascii="Verdana" w:hAnsi="Verdana"/>
          <w:sz w:val="20"/>
          <w:szCs w:val="20"/>
        </w:rPr>
        <w:tab/>
      </w:r>
      <w:r>
        <w:rPr>
          <w:rFonts w:ascii="Verdana" w:hAnsi="Verdana"/>
          <w:sz w:val="20"/>
          <w:szCs w:val="20"/>
        </w:rPr>
        <w:tab/>
      </w: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Ao final do Procedimento de </w:t>
      </w:r>
      <w:r>
        <w:rPr>
          <w:rFonts w:ascii="Verdana" w:hAnsi="Verdana"/>
          <w:i/>
          <w:sz w:val="20"/>
          <w:szCs w:val="20"/>
          <w:lang w:val="pt-BR"/>
        </w:rPr>
        <w:t>Bookbuilding</w:t>
      </w:r>
      <w:r>
        <w:rPr>
          <w:rFonts w:ascii="Verdana" w:hAnsi="Verdana"/>
          <w:sz w:val="20"/>
          <w:szCs w:val="20"/>
          <w:lang w:val="pt-BR"/>
        </w:rPr>
        <w:t xml:space="preserve">, a Emissora ratificará a taxa final dos Juros Remuneratórios e a colocação ou não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Pr>
          <w:rFonts w:ascii="Verdana" w:hAnsi="Verdana"/>
          <w:i/>
          <w:sz w:val="20"/>
          <w:szCs w:val="20"/>
          <w:lang w:val="pt-BR"/>
        </w:rPr>
        <w:t>Bookbuilding</w:t>
      </w:r>
      <w:r>
        <w:rPr>
          <w:rFonts w:ascii="Verdana" w:hAnsi="Verdana"/>
          <w:sz w:val="20"/>
          <w:szCs w:val="20"/>
          <w:lang w:val="pt-BR"/>
        </w:rPr>
        <w:t xml:space="preserve"> será divulgado por meio do Anúncio de Início, nos termos do artigo 23, parágrafo 2º, da Instrução CVM 400.</w:t>
      </w:r>
    </w:p>
    <w:p>
      <w:pPr>
        <w:tabs>
          <w:tab w:val="num" w:pos="851"/>
        </w:tabs>
        <w:spacing w:after="0" w:line="320" w:lineRule="exact"/>
        <w:ind w:left="851" w:hanging="851"/>
        <w:jc w:val="both"/>
        <w:rPr>
          <w:rFonts w:ascii="Verdana" w:hAnsi="Verdana"/>
          <w:sz w:val="20"/>
          <w:szCs w:val="20"/>
        </w:rPr>
      </w:pPr>
    </w:p>
    <w:p>
      <w:pPr>
        <w:pStyle w:val="Saudao"/>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w:t>
      </w:r>
      <w:r>
        <w:rPr>
          <w:rFonts w:ascii="Verdana" w:hAnsi="Verdana"/>
          <w:sz w:val="20"/>
          <w:szCs w:val="20"/>
          <w:lang w:val="pt-BR"/>
        </w:rPr>
        <w:lastRenderedPageBreak/>
        <w:t>intermediação ou de suporte operacional no âmbito da Oferta; (vi) sociedades controladas, direta ou indiretamente, pela Emissora ou por pessoas a ela 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w:t>
      </w:r>
      <w:bookmarkStart w:id="115" w:name="_GoBack"/>
      <w:bookmarkEnd w:id="115"/>
      <w:r>
        <w:rPr>
          <w:rFonts w:ascii="Verdana" w:hAnsi="Verdana"/>
          <w:sz w:val="20"/>
          <w:szCs w:val="20"/>
          <w:lang w:val="pt-BR"/>
        </w:rPr>
        <w:t xml:space="preserve"> VI, da Instrução da CVM nº 505, de 27 de setembro de 2011, conforme alterada.</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desde que o direito de subscrever e a quantidade máxima de valores mobiliários a serem subscritos, se houver tal limitação, estejam divulgados no prospecto preliminar da Oferta (“</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pPr>
        <w:spacing w:after="0" w:line="320" w:lineRule="exact"/>
        <w:ind w:left="709" w:hanging="709"/>
        <w:jc w:val="both"/>
        <w:rPr>
          <w:rFonts w:ascii="Verdana" w:hAnsi="Verdana"/>
          <w:sz w:val="20"/>
          <w:szCs w:val="20"/>
        </w:rPr>
      </w:pPr>
    </w:p>
    <w:p>
      <w:pPr>
        <w:pStyle w:val="Saudao"/>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 xml:space="preserve">As intenções de investimento do Formador de Mercado serão alocadas na taxa de juros apurada no Procedimento de </w:t>
      </w:r>
      <w:r>
        <w:rPr>
          <w:rFonts w:ascii="Verdana" w:hAnsi="Verdana"/>
          <w:i/>
          <w:sz w:val="20"/>
          <w:szCs w:val="20"/>
          <w:lang w:val="pt-BR"/>
        </w:rPr>
        <w:t>Bookbuilding</w:t>
      </w:r>
      <w:r>
        <w:rPr>
          <w:rFonts w:ascii="Verdana" w:hAnsi="Verdana"/>
          <w:sz w:val="20"/>
          <w:szCs w:val="20"/>
          <w:lang w:val="pt-BR"/>
        </w:rPr>
        <w:t xml:space="preserve">, não havendo, portanto, qualquer influência por parte do Formador de Mercado na definição dos Juros Remuneratórios das Debêntures durante o Procedimento de </w:t>
      </w:r>
      <w:r>
        <w:rPr>
          <w:rFonts w:ascii="Verdana" w:hAnsi="Verdana"/>
          <w:i/>
          <w:sz w:val="20"/>
          <w:szCs w:val="20"/>
          <w:lang w:val="pt-BR"/>
        </w:rPr>
        <w:t>Bookbuilding</w:t>
      </w:r>
      <w:r>
        <w:rPr>
          <w:rFonts w:ascii="Verdana" w:hAnsi="Verdana"/>
          <w:sz w:val="20"/>
          <w:szCs w:val="20"/>
          <w:lang w:val="pt-BR"/>
        </w:rPr>
        <w:t xml:space="preserve">.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lastRenderedPageBreak/>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6" w:name="_DV_M127"/>
      <w:bookmarkEnd w:id="116"/>
      <w:r>
        <w:rPr>
          <w:rFonts w:ascii="Verdana" w:hAnsi="Verdana"/>
          <w:sz w:val="20"/>
          <w:szCs w:val="20"/>
        </w:rPr>
        <w:t>em até 20% (vinte por cento), ou seja, em até 200.000 (duzentas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As Debêntures Adicionais eventualmente emitidas passarão a ter as mesmas características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851" w:hanging="851"/>
        <w:jc w:val="both"/>
        <w:rPr>
          <w:rFonts w:ascii="Verdana" w:hAnsi="Verdana"/>
          <w:sz w:val="20"/>
          <w:szCs w:val="20"/>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17" w:name="_DV_M65"/>
      <w:bookmarkStart w:id="118" w:name="_DV_M68"/>
      <w:bookmarkStart w:id="119" w:name="_DV_M69"/>
      <w:bookmarkStart w:id="120" w:name="_DV_M70"/>
      <w:bookmarkStart w:id="121" w:name="_DV_M73"/>
      <w:bookmarkStart w:id="122" w:name="_DV_M74"/>
      <w:bookmarkStart w:id="123" w:name="_DV_M75"/>
      <w:bookmarkStart w:id="124" w:name="_DV_M76"/>
      <w:bookmarkEnd w:id="117"/>
      <w:bookmarkEnd w:id="118"/>
      <w:bookmarkEnd w:id="119"/>
      <w:bookmarkEnd w:id="120"/>
      <w:bookmarkEnd w:id="121"/>
      <w:bookmarkEnd w:id="122"/>
      <w:bookmarkEnd w:id="123"/>
      <w:bookmarkEnd w:id="124"/>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pPr>
        <w:spacing w:after="0" w:line="320" w:lineRule="exact"/>
        <w:ind w:left="851" w:hanging="851"/>
        <w:jc w:val="both"/>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pPr>
        <w:pStyle w:val="PargrafodaLista"/>
        <w:spacing w:line="320" w:lineRule="exact"/>
        <w:ind w:left="851" w:hanging="851"/>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xml:space="preserve">. Conforme recomendação dos Coordenadores, a Emissora contratou o [Itaú Unibanco S.A.], nos termos da Instrução da CVM nº 384, de 17 de março de 2003, conforme alterada, para exercer a atividade </w:t>
      </w:r>
      <w:r>
        <w:rPr>
          <w:rFonts w:ascii="Verdana" w:hAnsi="Verdana"/>
          <w:sz w:val="20"/>
          <w:szCs w:val="20"/>
        </w:rPr>
        <w:lastRenderedPageBreak/>
        <w:t>de Formador de Mercado para as Debêntures, com a finalidade de garantir a existência e a permanência de ofertas firmes diárias de compra e venda para as Debêntures, na B3 – Segmento Cetip UTVM, nos termos a serem previstos em contrato de Formador de Mercado.</w:t>
      </w:r>
    </w:p>
    <w:p>
      <w:pPr>
        <w:pStyle w:val="PargrafodaLista"/>
        <w:spacing w:line="320" w:lineRule="exact"/>
        <w:ind w:left="709" w:hanging="709"/>
        <w:rPr>
          <w:rFonts w:ascii="Verdana" w:hAnsi="Verdana"/>
          <w:sz w:val="20"/>
          <w:szCs w:val="20"/>
        </w:rPr>
      </w:pPr>
    </w:p>
    <w:p>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pPr>
        <w:spacing w:after="0" w:line="320" w:lineRule="exact"/>
        <w:rPr>
          <w:rFonts w:ascii="Verdana" w:hAnsi="Verdana"/>
          <w:sz w:val="20"/>
          <w:szCs w:val="20"/>
        </w:rPr>
      </w:pPr>
    </w:p>
    <w:p>
      <w:pPr>
        <w:pStyle w:val="PargrafodaLista"/>
        <w:numPr>
          <w:ilvl w:val="1"/>
          <w:numId w:val="68"/>
        </w:numPr>
        <w:spacing w:line="320" w:lineRule="exact"/>
        <w:ind w:left="851" w:hanging="851"/>
        <w:jc w:val="both"/>
        <w:rPr>
          <w:rFonts w:ascii="Verdana" w:hAnsi="Verdana"/>
          <w:sz w:val="20"/>
          <w:szCs w:val="20"/>
        </w:rPr>
      </w:pPr>
      <w:r>
        <w:rPr>
          <w:rFonts w:ascii="Verdana" w:hAnsi="Verdana"/>
          <w:sz w:val="20"/>
          <w:szCs w:val="20"/>
        </w:rPr>
        <w:t>Nos termos do artigo 2º da Lei nº 12.431, do Decreto nº 8.874, da Portaria do Ministério da Infraestrutura, da Resolução do Conselho Monetário Nacional (“</w:t>
      </w:r>
      <w:r>
        <w:rPr>
          <w:rFonts w:ascii="Verdana" w:hAnsi="Verdana"/>
          <w:sz w:val="20"/>
          <w:szCs w:val="20"/>
          <w:u w:val="single"/>
        </w:rPr>
        <w:t>CMN</w:t>
      </w:r>
      <w:r>
        <w:rPr>
          <w:rFonts w:ascii="Verdana" w:hAnsi="Verdana"/>
          <w:sz w:val="20"/>
          <w:szCs w:val="20"/>
        </w:rPr>
        <w:t xml:space="preserve">”) nº 3.947, de 27 de janeiro de 2011 e da Portaria 009/2012, a totalidade dos recursos líquidos captados pela Emissora por meio da Emissão (inclusive decorrentes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projetos de investimento em infraestrutura na área de transporte e logística no setor ferroviário da Rumo Malha Sul S.A. (“</w:t>
      </w:r>
      <w:r>
        <w:rPr>
          <w:rFonts w:ascii="Verdana" w:hAnsi="Verdana" w:cs="Arial"/>
          <w:sz w:val="20"/>
          <w:szCs w:val="20"/>
          <w:u w:val="single"/>
        </w:rPr>
        <w:t>Rumo Malha Sul</w:t>
      </w:r>
      <w:r>
        <w:rPr>
          <w:rFonts w:ascii="Verdana" w:hAnsi="Verdana" w:cs="Arial"/>
          <w:sz w:val="20"/>
          <w:szCs w:val="20"/>
        </w:rPr>
        <w:t>”) e Rumo Malha Central S.A. (“</w:t>
      </w:r>
      <w:r>
        <w:rPr>
          <w:rFonts w:ascii="Verdana" w:hAnsi="Verdana" w:cs="Arial"/>
          <w:sz w:val="20"/>
          <w:szCs w:val="20"/>
          <w:u w:val="single"/>
        </w:rPr>
        <w:t>Rumo 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 Malha Sul</w:t>
      </w:r>
      <w:r>
        <w:rPr>
          <w:rFonts w:ascii="Verdana" w:hAnsi="Verdana"/>
          <w:color w:val="000000"/>
          <w:sz w:val="20"/>
          <w:szCs w:val="20"/>
        </w:rPr>
        <w:t>” e “</w:t>
      </w:r>
      <w:r>
        <w:rPr>
          <w:rFonts w:ascii="Verdana" w:hAnsi="Verdana"/>
          <w:color w:val="000000"/>
          <w:sz w:val="20"/>
          <w:szCs w:val="20"/>
          <w:u w:val="single"/>
        </w:rPr>
        <w:t>Projeto Malha Central</w:t>
      </w:r>
      <w:r>
        <w:rPr>
          <w:rFonts w:ascii="Verdana" w:hAnsi="Verdana"/>
          <w:color w:val="000000"/>
          <w:sz w:val="20"/>
          <w:szCs w:val="20"/>
        </w:rPr>
        <w:t>”, respectivamente e, quando em conjunto, “</w:t>
      </w:r>
      <w:r>
        <w:rPr>
          <w:rFonts w:ascii="Verdana" w:hAnsi="Verdana"/>
          <w:color w:val="000000"/>
          <w:sz w:val="20"/>
          <w:szCs w:val="20"/>
          <w:u w:val="single"/>
        </w:rPr>
        <w:t>Projetos</w:t>
      </w:r>
      <w:r>
        <w:rPr>
          <w:rFonts w:ascii="Verdana" w:hAnsi="Verdana"/>
          <w:color w:val="000000"/>
          <w:sz w:val="20"/>
          <w:szCs w:val="20"/>
        </w:rPr>
        <w:t>”):</w:t>
      </w:r>
    </w:p>
    <w:p>
      <w:pPr>
        <w:pStyle w:val="PargrafodaLista"/>
        <w:spacing w:line="320" w:lineRule="exact"/>
        <w:ind w:left="851"/>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Objetivo do Projeto Malha Sul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Conforme disposto na Portaria Malha Sul, melhorar os padrões de qualidade da via permanente; construção de novos pátios de cruzamento; reestruturar e modernizar o material rodante; e elevar os padrões de tecnologia da informação (TI) e tecnologia operacional (TO) empregados nas operações logísticas, nos Estados de São Paulo, Paraná, Santa Catarina e Rio Grande do Sul. A Rumo Malha Sul possui uma extensão de 7.223 Km de via férrea. Os principais Municípios são Londrina (PR), Maringá (PR), Araucária (PR), Curitiba (PR), Paranaguá (PR), São Francisco do Sul (SC), Vacaria (RS), Porto Alegre (RS), Santa Maria (RS) e Uruguaiana (RS).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sz w:val="20"/>
                <w:szCs w:val="20"/>
              </w:rPr>
            </w:pPr>
            <w:r>
              <w:rPr>
                <w:rFonts w:ascii="Verdana" w:eastAsia="Times New Roman" w:hAnsi="Verdana"/>
                <w:sz w:val="20"/>
                <w:szCs w:val="20"/>
              </w:rPr>
              <w:t>Início: janeiro de 2017.</w:t>
            </w:r>
          </w:p>
          <w:p>
            <w:pPr>
              <w:spacing w:line="320" w:lineRule="exact"/>
              <w:jc w:val="both"/>
              <w:rPr>
                <w:rFonts w:ascii="Verdana" w:hAnsi="Verdana"/>
                <w:sz w:val="20"/>
                <w:szCs w:val="20"/>
              </w:rPr>
            </w:pPr>
            <w:r>
              <w:rPr>
                <w:rFonts w:ascii="Verdana" w:eastAsia="Times New Roman" w:hAnsi="Verdana"/>
                <w:sz w:val="20"/>
                <w:szCs w:val="20"/>
              </w:rPr>
              <w:t>Encerramento: dezembro de 2020.</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 xml:space="preserve">As fases do Projeto Malha Sul de 2017 e 2018 estão concluídas. Em 2019 e 2020, as principais etapas que </w:t>
            </w:r>
            <w:r>
              <w:rPr>
                <w:rFonts w:ascii="Verdana" w:eastAsia="Times New Roman" w:hAnsi="Verdana"/>
                <w:sz w:val="20"/>
                <w:szCs w:val="20"/>
              </w:rPr>
              <w:lastRenderedPageBreak/>
              <w:t>serão implementadas são projetos de adequação e recuperação de via permanente e manutenção de material rodante. [</w:t>
            </w:r>
            <w:r>
              <w:rPr>
                <w:rFonts w:ascii="Verdana" w:eastAsia="Times New Roman" w:hAnsi="Verdana"/>
                <w:b/>
                <w:sz w:val="20"/>
                <w:szCs w:val="20"/>
                <w:highlight w:val="cyan"/>
              </w:rPr>
              <w:t>NOTA LEFOSSE: PENDENTE DE CONFIRMAÇÃO DA COMPANHIA. CIA, RETIRAMOS TRECHO DA EMISSÃO PASSADA</w:t>
            </w:r>
            <w:r>
              <w:rPr>
                <w:rFonts w:ascii="Verdana" w:eastAsia="Times New Roman" w:hAnsi="Verdana"/>
                <w:sz w:val="20"/>
                <w:szCs w:val="20"/>
              </w:rPr>
              <w:t>]</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lastRenderedPageBreak/>
              <w:t>Volume estimado de recursos financeiros necessários para a realização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R$ 803.000.000,00 (oitocentos e três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R$203.000.000,00 (duzentos e três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Sul,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Malha Sul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25,28% (vinte e cinco inteiros e vinte e oito centésimos por cento).</w:t>
            </w:r>
          </w:p>
        </w:tc>
      </w:tr>
    </w:tbl>
    <w:p>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Objetivo do Projeto Malha Central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 [●] </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 xml:space="preserve">Prazo estimado para o início e o encerramento dos </w:t>
            </w:r>
            <w:r>
              <w:rPr>
                <w:rFonts w:ascii="Verdana" w:hAnsi="Verdana"/>
                <w:b/>
                <w:bCs/>
                <w:sz w:val="20"/>
              </w:rPr>
              <w:lastRenderedPageBreak/>
              <w:t>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sz w:val="20"/>
                <w:szCs w:val="20"/>
              </w:rPr>
            </w:pPr>
            <w:r>
              <w:rPr>
                <w:rFonts w:ascii="Verdana" w:eastAsia="Times New Roman" w:hAnsi="Verdana"/>
                <w:sz w:val="20"/>
                <w:szCs w:val="20"/>
              </w:rPr>
              <w:lastRenderedPageBreak/>
              <w:t>Início: [</w:t>
            </w:r>
            <w:r>
              <w:rPr>
                <w:rFonts w:ascii="Verdana" w:eastAsia="Times New Roman" w:hAnsi="Verdana"/>
                <w:sz w:val="20"/>
                <w:szCs w:val="20"/>
              </w:rPr>
              <w:sym w:font="Symbol" w:char="F0B7"/>
            </w:r>
            <w:r>
              <w:rPr>
                <w:rFonts w:ascii="Verdana" w:eastAsia="Times New Roman" w:hAnsi="Verdana"/>
                <w:sz w:val="20"/>
                <w:szCs w:val="20"/>
              </w:rPr>
              <w:t>].</w:t>
            </w:r>
          </w:p>
          <w:p>
            <w:pPr>
              <w:spacing w:line="320" w:lineRule="exact"/>
              <w:jc w:val="both"/>
              <w:rPr>
                <w:rFonts w:ascii="Verdana" w:hAnsi="Verdana"/>
                <w:sz w:val="20"/>
                <w:szCs w:val="20"/>
              </w:rPr>
            </w:pPr>
            <w:r>
              <w:rPr>
                <w:rFonts w:ascii="Verdana" w:eastAsia="Times New Roman" w:hAnsi="Verdana"/>
                <w:sz w:val="20"/>
                <w:szCs w:val="20"/>
              </w:rPr>
              <w:t>Encerramento: [</w:t>
            </w:r>
            <w:r>
              <w:rPr>
                <w:rFonts w:ascii="Verdana" w:eastAsia="Times New Roman" w:hAnsi="Verdana"/>
                <w:sz w:val="20"/>
                <w:szCs w:val="20"/>
              </w:rPr>
              <w:sym w:font="Symbol" w:char="F0B7"/>
            </w:r>
            <w:r>
              <w:rPr>
                <w:rFonts w:ascii="Verdana" w:eastAsia="Times New Roman" w:hAnsi="Verdana"/>
                <w:sz w:val="20"/>
                <w:szCs w:val="20"/>
              </w:rPr>
              <w:t>].</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R$2.724.000.000,00 (dois bilhões e setecentos e vinte e quatro milhões de reais).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R$797.000.000,00 (setecentos e noventa e sete milhões de reais), considerando a subscrição e integralização da totalidade das Debêntures, sem considerar a subscrição e a integralização das Debêntures Adicionais.</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Central,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29,26% (vinte e nove inteiros e vinte e seis centésimos por cento), considerando a subscrição e integralização da totalidade das Debêntures, sem considerar a subscrição e a integralização das Debêntures Adicionais.</w:t>
            </w:r>
          </w:p>
        </w:tc>
      </w:tr>
    </w:tbl>
    <w:p>
      <w:pPr>
        <w:spacing w:line="320" w:lineRule="exact"/>
        <w:jc w:val="both"/>
        <w:rPr>
          <w:rFonts w:ascii="Verdana" w:hAnsi="Verdana"/>
          <w:sz w:val="20"/>
          <w:szCs w:val="20"/>
        </w:rPr>
      </w:pPr>
    </w:p>
    <w:p>
      <w:pPr>
        <w:spacing w:line="320" w:lineRule="exact"/>
        <w:jc w:val="both"/>
        <w:rPr>
          <w:rFonts w:ascii="Verdana" w:hAnsi="Verdana"/>
          <w:sz w:val="20"/>
          <w:szCs w:val="20"/>
        </w:rPr>
      </w:pPr>
    </w:p>
    <w:p>
      <w:pPr>
        <w:spacing w:line="320" w:lineRule="exact"/>
        <w:jc w:val="both"/>
        <w:rPr>
          <w:rFonts w:ascii="Verdana" w:hAnsi="Verdana"/>
          <w:sz w:val="20"/>
          <w:szCs w:val="20"/>
        </w:rPr>
      </w:pPr>
    </w:p>
    <w:p>
      <w:pPr>
        <w:spacing w:line="320" w:lineRule="exact"/>
        <w:jc w:val="both"/>
        <w:rPr>
          <w:rFonts w:ascii="Verdana" w:hAnsi="Verdana"/>
          <w:sz w:val="20"/>
          <w:szCs w:val="20"/>
        </w:rPr>
      </w:pPr>
    </w:p>
    <w:p>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94"/>
        <w:gridCol w:w="6013"/>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lastRenderedPageBreak/>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 [●] </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 [●]</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observado o previsto no parágrafo 1ºC, do artigo 1º da Lei nº 12.431.</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sz w:val="20"/>
                <w:szCs w:val="20"/>
              </w:rPr>
            </w:pPr>
            <w:r>
              <w:rPr>
                <w:rFonts w:ascii="Verdana" w:eastAsia="Times New Roman" w:hAnsi="Verdana"/>
                <w:sz w:val="20"/>
                <w:szCs w:val="20"/>
              </w:rPr>
              <w:t>[●]</w:t>
            </w:r>
          </w:p>
        </w:tc>
      </w:tr>
    </w:tbl>
    <w:p>
      <w:pPr>
        <w:spacing w:after="0" w:line="320" w:lineRule="exact"/>
        <w:jc w:val="both"/>
        <w:rPr>
          <w:rFonts w:ascii="Verdana" w:hAnsi="Verdana"/>
          <w:b/>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 xml:space="preserve">Observado o disposto no artigo 2º, parágrafo 1º-B, da Lei nº 12.431, os recursos captados pela Emissora por meio da Emissão serão transferidos às suas controladas Rumo Malha Sul e Rumo Malha Central, na seguinte proporção: (i) R$203.000.000,00 (duzentos e três milhões de reais) para a Rumo Malha Sul; e (ii) R$797.000.000,00 (setecentos e noventa e sete </w:t>
      </w:r>
      <w:r>
        <w:rPr>
          <w:rFonts w:ascii="Verdana" w:hAnsi="Verdana"/>
          <w:sz w:val="20"/>
          <w:szCs w:val="20"/>
        </w:rPr>
        <w:lastRenderedPageBreak/>
        <w:t>milhões de reais) para a Rumo Malha Central, sendo certo que os recursos captados pela Emissora em decorrência das Debêntures Adicionais, caso emitidas, serão transferidos em sua totalidade à Rumo Malha Central, nas mesmas condições da presente Emissão, incluindo custos incorridos pela Emissora para realização e manutenção da presente Emissão, para a consequente realização dos Projetos, incluindo reembolso de gastos, despesas ou dívidas relacionadas aos Projetos.</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dos Projetos poderão decorrer de uma combinação de recursos próprios provenientes das atividades da Emissora e/ou de financiamentos a serem contratados, via mercados financeiro e/ou de capitais (local ou externo), dentre outros, a exclusivo critério da Emissora.</w:t>
      </w:r>
    </w:p>
    <w:p>
      <w:pPr>
        <w:pStyle w:val="PargrafodaLista"/>
        <w:spacing w:line="320" w:lineRule="exact"/>
        <w:ind w:left="851" w:hanging="851"/>
        <w:jc w:val="both"/>
        <w:rPr>
          <w:rFonts w:ascii="Verdana" w:hAnsi="Verdana"/>
          <w:sz w:val="20"/>
          <w:szCs w:val="20"/>
        </w:rPr>
      </w:pPr>
    </w:p>
    <w:p>
      <w:pPr>
        <w:pStyle w:val="PargrafodaLista"/>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montante dos recursos líquidos obtidos com a Oferta em decorrência de tal emissão será destinado integralmente ao Projeto Malha Central, conforme condições previstas nesta Cláusula 4.</w:t>
      </w:r>
    </w:p>
    <w:p>
      <w:pPr>
        <w:spacing w:line="320" w:lineRule="exact"/>
        <w:rPr>
          <w:rFonts w:ascii="Verdana" w:hAnsi="Verdana"/>
          <w:smallCaps/>
          <w:sz w:val="20"/>
          <w:szCs w:val="20"/>
          <w:u w:val="single"/>
        </w:rPr>
      </w:pPr>
      <w:bookmarkStart w:id="125" w:name="_DV_M78"/>
      <w:bookmarkStart w:id="126" w:name="_Toc499990325"/>
      <w:bookmarkEnd w:id="125"/>
    </w:p>
    <w:p>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26"/>
    </w:p>
    <w:p>
      <w:pPr>
        <w:keepNext/>
        <w:keepLines/>
        <w:spacing w:after="0"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7"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outubro de 2019 (“</w:t>
      </w:r>
      <w:r>
        <w:rPr>
          <w:rFonts w:ascii="Verdana" w:hAnsi="Verdana"/>
          <w:sz w:val="20"/>
          <w:szCs w:val="20"/>
          <w:u w:val="single"/>
        </w:rPr>
        <w:t>Data de Emissão</w:t>
      </w:r>
      <w:r>
        <w:rPr>
          <w:rFonts w:ascii="Verdana" w:hAnsi="Verdana"/>
          <w:sz w:val="20"/>
          <w:szCs w:val="20"/>
        </w:rPr>
        <w:t xml:space="preserve">”). </w:t>
      </w:r>
    </w:p>
    <w:p>
      <w:pPr>
        <w:spacing w:after="0"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128" w:name="_DV_C80"/>
      <w:r>
        <w:rPr>
          <w:rStyle w:val="DeltaViewInsertion"/>
          <w:rFonts w:ascii="Verdana" w:hAnsi="Verdana"/>
          <w:i/>
          <w:color w:val="auto"/>
          <w:sz w:val="20"/>
          <w:szCs w:val="20"/>
          <w:u w:val="single"/>
        </w:rPr>
        <w:t>Conversibilidade</w:t>
      </w:r>
      <w:bookmarkEnd w:id="128"/>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As Debêntures não conferem qualquer privilégio especial ou geral aos Debenturistas nem especificam bens para garantir eventual execução.</w:t>
      </w:r>
    </w:p>
    <w:p>
      <w:pPr>
        <w:pStyle w:val="PargrafodaLista"/>
        <w:spacing w:line="320" w:lineRule="exact"/>
        <w:ind w:left="851" w:hanging="851"/>
        <w:rPr>
          <w:rFonts w:ascii="Verdana" w:hAnsi="Verdana"/>
          <w:i/>
          <w:sz w:val="20"/>
          <w:szCs w:val="20"/>
          <w:u w:val="single"/>
        </w:rPr>
      </w:pPr>
    </w:p>
    <w:p>
      <w:pPr>
        <w:pStyle w:val="PargrafodaLista"/>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15 de outubro de 2029 (“</w:t>
      </w:r>
      <w:r>
        <w:rPr>
          <w:rFonts w:ascii="Verdana" w:hAnsi="Verdana"/>
          <w:sz w:val="20"/>
          <w:szCs w:val="20"/>
          <w:u w:val="single"/>
        </w:rPr>
        <w:t>Data de Vencimento</w:t>
      </w:r>
      <w:r>
        <w:rPr>
          <w:rFonts w:ascii="Verdana" w:hAnsi="Verdana"/>
          <w:sz w:val="20"/>
          <w:szCs w:val="20"/>
        </w:rPr>
        <w:t xml:space="preserve">”), ressalvadas as hipóteses de </w:t>
      </w:r>
      <w:r>
        <w:rPr>
          <w:rFonts w:ascii="Verdana" w:hAnsi="Verdana"/>
          <w:sz w:val="20"/>
          <w:szCs w:val="20"/>
        </w:rPr>
        <w:lastRenderedPageBreak/>
        <w:t>vencimento antecipado e, se permitido pelas regras expedidas pelo CMN e pela legislação e regulamentação aplicáveis, de Resgate Obrigatório, nos termos desta Escritura.</w:t>
      </w:r>
    </w:p>
    <w:p>
      <w:pPr>
        <w:spacing w:after="0" w:line="320" w:lineRule="exact"/>
        <w:ind w:left="851" w:hanging="851"/>
        <w:rPr>
          <w:rFonts w:ascii="Verdana" w:hAnsi="Verdana"/>
          <w:sz w:val="20"/>
          <w:szCs w:val="20"/>
        </w:rPr>
      </w:pPr>
    </w:p>
    <w:p>
      <w:pPr>
        <w:pStyle w:val="PargrafodaLista"/>
        <w:numPr>
          <w:ilvl w:val="1"/>
          <w:numId w:val="69"/>
        </w:numPr>
        <w:spacing w:line="320" w:lineRule="exact"/>
        <w:ind w:left="851" w:hanging="851"/>
        <w:jc w:val="both"/>
        <w:rPr>
          <w:rFonts w:ascii="Verdana" w:hAnsi="Verdana"/>
          <w:snapToGrid w:val="0"/>
          <w:sz w:val="20"/>
          <w:szCs w:val="20"/>
        </w:rPr>
      </w:pPr>
      <w:bookmarkStart w:id="129" w:name="_DV_M244"/>
      <w:bookmarkStart w:id="130" w:name="_DV_M245"/>
      <w:bookmarkStart w:id="131" w:name="_DV_M253"/>
      <w:bookmarkStart w:id="132" w:name="_DV_M262"/>
      <w:bookmarkStart w:id="133" w:name="_DV_M264"/>
      <w:bookmarkStart w:id="134" w:name="_Ref314575352"/>
      <w:bookmarkStart w:id="135" w:name="_Toc499990343"/>
      <w:bookmarkEnd w:id="127"/>
      <w:bookmarkEnd w:id="129"/>
      <w:bookmarkEnd w:id="130"/>
      <w:bookmarkEnd w:id="131"/>
      <w:bookmarkEnd w:id="132"/>
      <w:bookmarkEnd w:id="133"/>
      <w:r>
        <w:rPr>
          <w:rFonts w:ascii="Verdana" w:hAnsi="Verdana"/>
          <w:i/>
          <w:sz w:val="20"/>
          <w:szCs w:val="20"/>
          <w:u w:val="single"/>
        </w:rPr>
        <w:t>Atualização Monetária e Juros Remuneratórios das Debêntures</w:t>
      </w:r>
      <w:bookmarkStart w:id="136" w:name="_DV_M99"/>
      <w:bookmarkStart w:id="137" w:name="_Ref312336193"/>
      <w:bookmarkEnd w:id="136"/>
      <w:r>
        <w:rPr>
          <w:rFonts w:ascii="Verdana" w:hAnsi="Verdana"/>
          <w:i/>
          <w:sz w:val="20"/>
          <w:szCs w:val="20"/>
          <w:u w:val="single"/>
        </w:rPr>
        <w:t xml:space="preserve"> </w:t>
      </w:r>
    </w:p>
    <w:p>
      <w:pPr>
        <w:pStyle w:val="PargrafodaLista"/>
        <w:spacing w:line="320" w:lineRule="exact"/>
        <w:ind w:left="851" w:hanging="851"/>
        <w:rPr>
          <w:rFonts w:ascii="Verdana" w:hAnsi="Verdana"/>
          <w:snapToGrid w:val="0"/>
          <w:sz w:val="20"/>
          <w:szCs w:val="20"/>
        </w:rPr>
      </w:pPr>
    </w:p>
    <w:p>
      <w:pPr>
        <w:spacing w:after="0" w:line="320" w:lineRule="exact"/>
        <w:ind w:left="709" w:hanging="709"/>
        <w:jc w:val="both"/>
        <w:rPr>
          <w:rFonts w:ascii="Verdana" w:hAnsi="Verdana"/>
          <w:sz w:val="20"/>
          <w:szCs w:val="20"/>
        </w:rPr>
      </w:pPr>
      <w:bookmarkStart w:id="138" w:name="_DV_M101"/>
      <w:bookmarkStart w:id="139" w:name="_DV_M102"/>
      <w:bookmarkStart w:id="140" w:name="_DV_M106"/>
      <w:bookmarkStart w:id="141" w:name="_DV_M109"/>
      <w:bookmarkStart w:id="142" w:name="_DV_M111"/>
      <w:bookmarkStart w:id="143" w:name="_DV_M113"/>
      <w:bookmarkStart w:id="144" w:name="_DV_M115"/>
      <w:bookmarkStart w:id="145" w:name="_DV_M116"/>
      <w:bookmarkStart w:id="146" w:name="_DV_M117"/>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9"/>
      <w:bookmarkStart w:id="156" w:name="_DV_M130"/>
      <w:bookmarkStart w:id="157" w:name="_DV_M131"/>
      <w:bookmarkStart w:id="158" w:name="_DV_M132"/>
      <w:bookmarkStart w:id="159" w:name="_DV_M133"/>
      <w:bookmarkStart w:id="160" w:name="_DV_M135"/>
      <w:bookmarkStart w:id="161" w:name="_DV_M136"/>
      <w:bookmarkStart w:id="162" w:name="_DV_M138"/>
      <w:bookmarkStart w:id="163" w:name="_DV_M139"/>
      <w:bookmarkStart w:id="164" w:name="_DV_M141"/>
      <w:bookmarkStart w:id="165" w:name="_DV_M142"/>
      <w:bookmarkStart w:id="166" w:name="_DV_M144"/>
      <w:bookmarkStart w:id="167" w:name="_DV_M145"/>
      <w:bookmarkStart w:id="168" w:name="_DV_M146"/>
      <w:bookmarkStart w:id="169" w:name="_DV_M147"/>
      <w:bookmarkStart w:id="170" w:name="_DV_M148"/>
      <w:bookmarkStart w:id="171" w:name="_DV_M149"/>
      <w:bookmarkStart w:id="172" w:name="_DV_M151"/>
      <w:bookmarkStart w:id="173" w:name="_DV_M152"/>
      <w:bookmarkStart w:id="174" w:name="_DV_M153"/>
      <w:bookmarkStart w:id="175" w:name="_DV_M154"/>
      <w:bookmarkStart w:id="176" w:name="_DV_M155"/>
      <w:bookmarkStart w:id="177" w:name="_DV_M156"/>
      <w:bookmarkStart w:id="178" w:name="_DV_M157"/>
      <w:bookmarkStart w:id="179" w:name="_DV_M158"/>
      <w:bookmarkStart w:id="180" w:name="_DV_M159"/>
      <w:bookmarkStart w:id="181" w:name="_DV_M160"/>
      <w:bookmarkStart w:id="182" w:name="_DV_M161"/>
      <w:bookmarkStart w:id="183" w:name="_DV_M162"/>
      <w:bookmarkStart w:id="184" w:name="_DV_M163"/>
      <w:bookmarkStart w:id="185" w:name="_DV_M166"/>
      <w:bookmarkStart w:id="186" w:name="_DV_M167"/>
      <w:bookmarkStart w:id="187" w:name="_DV_M168"/>
      <w:bookmarkStart w:id="188" w:name="_DV_M170"/>
      <w:bookmarkStart w:id="189" w:name="_DV_M172"/>
      <w:bookmarkStart w:id="190" w:name="_DV_M173"/>
      <w:bookmarkStart w:id="191" w:name="_DV_M174"/>
      <w:bookmarkStart w:id="192" w:name="_DV_M175"/>
      <w:bookmarkStart w:id="193" w:name="_DV_M176"/>
      <w:bookmarkStart w:id="194" w:name="_DV_M177"/>
      <w:bookmarkStart w:id="195" w:name="_DV_M178"/>
      <w:bookmarkStart w:id="196" w:name="_DV_M179"/>
      <w:bookmarkStart w:id="197" w:name="_DV_M180"/>
      <w:bookmarkStart w:id="198" w:name="_DV_M181"/>
      <w:bookmarkStart w:id="199" w:name="_DV_M182"/>
      <w:bookmarkStart w:id="200" w:name="_DV_M184"/>
      <w:bookmarkStart w:id="201" w:name="_DV_M185"/>
      <w:bookmarkStart w:id="202" w:name="_DV_M186"/>
      <w:bookmarkStart w:id="203" w:name="_DV_M187"/>
      <w:bookmarkStart w:id="204" w:name="_DV_M188"/>
      <w:bookmarkStart w:id="205" w:name="_DV_M189"/>
      <w:bookmarkStart w:id="206" w:name="_DV_M190"/>
      <w:bookmarkStart w:id="207" w:name="_DV_M191"/>
      <w:bookmarkStart w:id="208" w:name="_DV_M192"/>
      <w:bookmarkEnd w:id="1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Verdana" w:hAnsi="Verdana"/>
          <w:sz w:val="20"/>
          <w:szCs w:val="20"/>
        </w:rPr>
        <w:t>5.6.1.</w:t>
      </w:r>
      <w:r>
        <w:rPr>
          <w:rFonts w:ascii="Verdana" w:hAnsi="Verdana"/>
          <w:sz w:val="20"/>
          <w:szCs w:val="20"/>
          <w:u w:val="single"/>
        </w:rPr>
        <w:tab/>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09" w:name="_Hlk469622"/>
      <w:r>
        <w:rPr>
          <w:rFonts w:ascii="Verdana" w:hAnsi="Verdana"/>
          <w:sz w:val="20"/>
          <w:szCs w:val="20"/>
        </w:rPr>
        <w:t xml:space="preserve">ou saldo do Valor Nominal Unitário das Debêntures </w:t>
      </w:r>
      <w:bookmarkEnd w:id="209"/>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pPr>
        <w:spacing w:after="0" w:line="320" w:lineRule="exact"/>
        <w:ind w:left="709" w:hanging="709"/>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w:t>
      </w:r>
      <w:r>
        <w:rPr>
          <w:rFonts w:ascii="Verdana" w:hAnsi="Verdana"/>
          <w:i/>
          <w:sz w:val="20"/>
          <w:szCs w:val="20"/>
        </w:rPr>
        <w:t>pro rata temporis</w:t>
      </w:r>
      <w:r>
        <w:rPr>
          <w:rFonts w:ascii="Verdana" w:hAnsi="Verdana"/>
          <w:sz w:val="20"/>
          <w:szCs w:val="20"/>
        </w:rPr>
        <w:t xml:space="preserve">, por Dias Úteis decorridos, conforme a seguinte fórmula: </w:t>
      </w:r>
    </w:p>
    <w:p>
      <w:pPr>
        <w:spacing w:after="0" w:line="320" w:lineRule="exact"/>
        <w:ind w:left="709" w:hanging="709"/>
        <w:jc w:val="both"/>
        <w:rPr>
          <w:rFonts w:ascii="Verdana" w:hAnsi="Verdana"/>
          <w:sz w:val="20"/>
          <w:szCs w:val="20"/>
        </w:rPr>
      </w:pPr>
    </w:p>
    <w:p>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20" w:lineRule="exact"/>
        <w:ind w:left="720"/>
        <w:jc w:val="center"/>
        <w:rPr>
          <w:rFonts w:ascii="Verdana" w:hAnsi="Verdana"/>
          <w:sz w:val="20"/>
          <w:szCs w:val="20"/>
        </w:rPr>
      </w:pPr>
    </w:p>
    <w:p>
      <w:pPr>
        <w:spacing w:after="0" w:line="320" w:lineRule="exact"/>
        <w:ind w:left="709"/>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lastRenderedPageBreak/>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 xml:space="preserve">NIk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número-índice do IPCA do mês de atualização;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dut</w:t>
      </w:r>
      <w:r>
        <w:rPr>
          <w:rFonts w:ascii="Verdana" w:hAnsi="Verdana"/>
          <w:sz w:val="20"/>
          <w:szCs w:val="20"/>
        </w:rPr>
        <w:t xml:space="preserve"> = número de Dias Úteis contidos entre a última data de aniversário das Debêntures e a próxima data de aniversário das Debêntures, sendo “dut” um número inteiro.</w:t>
      </w:r>
    </w:p>
    <w:p>
      <w:pPr>
        <w:spacing w:after="0" w:line="320" w:lineRule="exact"/>
        <w:ind w:left="851"/>
        <w:jc w:val="both"/>
        <w:rPr>
          <w:rFonts w:ascii="Verdana" w:hAnsi="Verdana"/>
          <w:sz w:val="20"/>
          <w:szCs w:val="20"/>
        </w:rPr>
      </w:pPr>
    </w:p>
    <w:p>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t>Observações:</w:t>
      </w:r>
    </w:p>
    <w:p>
      <w:pPr>
        <w:keepNext/>
        <w:keepLines/>
        <w:spacing w:after="0" w:line="320" w:lineRule="exact"/>
        <w:rPr>
          <w:rFonts w:ascii="Verdana" w:hAnsi="Verdana"/>
          <w:sz w:val="20"/>
          <w:szCs w:val="20"/>
        </w:rPr>
      </w:pPr>
    </w:p>
    <w:p>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arredondamento; e</w:t>
      </w:r>
    </w:p>
    <w:p>
      <w:pPr>
        <w:spacing w:after="0" w:line="320" w:lineRule="exact"/>
        <w:ind w:left="720"/>
        <w:jc w:val="both"/>
        <w:rPr>
          <w:rFonts w:ascii="Verdana" w:hAnsi="Verdana"/>
          <w:sz w:val="20"/>
          <w:szCs w:val="20"/>
        </w:rPr>
      </w:pPr>
    </w:p>
    <w:p>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 xml:space="preserve">O produtório é executado a partir do fator mais recente, acrescentando-se, em seguida, os mais remotos. Os resultados </w:t>
      </w:r>
      <w:r>
        <w:rPr>
          <w:rFonts w:ascii="Verdana" w:hAnsi="Verdana"/>
          <w:sz w:val="20"/>
          <w:szCs w:val="20"/>
        </w:rPr>
        <w:lastRenderedPageBreak/>
        <w:t>intermediários são calculados com 16 (dezesseis) casas decimais, sem arredondamento.</w:t>
      </w:r>
    </w:p>
    <w:p>
      <w:pPr>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pro rata temporis</w:t>
      </w:r>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0" w:name="_Hlk536213269"/>
      <w:r>
        <w:rPr>
          <w:rFonts w:ascii="Verdana" w:hAnsi="Verdana"/>
          <w:sz w:val="20"/>
          <w:szCs w:val="20"/>
        </w:rPr>
        <w:t xml:space="preserve">consecutivos da data esperada para sua apuração, ou, ainda, no caso de sua extinção ou impossibilidade legal de aplicação às Debêntures, ou por determinação judicial, </w:t>
      </w:r>
      <w:bookmarkEnd w:id="210"/>
      <w:r>
        <w:rPr>
          <w:rFonts w:ascii="Verdana" w:hAnsi="Verdana"/>
          <w:sz w:val="20"/>
          <w:szCs w:val="20"/>
        </w:rPr>
        <w:t xml:space="preserve">será utilizado, em sua substituição, o mesmo </w:t>
      </w:r>
      <w:bookmarkStart w:id="211"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11"/>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pPr>
        <w:keepNext/>
        <w:spacing w:after="0" w:line="320" w:lineRule="exact"/>
        <w:ind w:left="709" w:hanging="709"/>
        <w:jc w:val="both"/>
        <w:rPr>
          <w:rFonts w:ascii="Verdana" w:hAnsi="Verdana"/>
          <w:sz w:val="20"/>
          <w:szCs w:val="20"/>
        </w:rPr>
      </w:pPr>
    </w:p>
    <w:p>
      <w:pPr>
        <w:pStyle w:val="PargrafodaLista"/>
        <w:keepNext/>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w:t>
      </w:r>
      <w:r>
        <w:rPr>
          <w:rFonts w:ascii="Verdana" w:hAnsi="Verdana"/>
          <w:sz w:val="20"/>
          <w:szCs w:val="20"/>
        </w:rPr>
        <w:lastRenderedPageBreak/>
        <w:t>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pPr>
        <w:pStyle w:val="PargrafodaLista"/>
        <w:spacing w:line="320" w:lineRule="exact"/>
        <w:ind w:left="709" w:hanging="709"/>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p>
    <w:p>
      <w:pPr>
        <w:pStyle w:val="PargrafodaLista"/>
        <w:spacing w:line="320" w:lineRule="exact"/>
        <w:ind w:left="709" w:hanging="709"/>
        <w:jc w:val="both"/>
        <w:rPr>
          <w:rFonts w:ascii="Verdana" w:hAnsi="Verdana"/>
          <w:sz w:val="20"/>
          <w:szCs w:val="20"/>
        </w:rPr>
      </w:pPr>
    </w:p>
    <w:p>
      <w:pPr>
        <w:pStyle w:val="PargrafodaLista"/>
        <w:keepLines/>
        <w:numPr>
          <w:ilvl w:val="2"/>
          <w:numId w:val="69"/>
        </w:numPr>
        <w:spacing w:line="320" w:lineRule="exact"/>
        <w:ind w:left="851" w:hanging="851"/>
        <w:jc w:val="both"/>
        <w:rPr>
          <w:rFonts w:ascii="Verdana" w:hAnsi="Verdana"/>
          <w:sz w:val="20"/>
          <w:szCs w:val="20"/>
        </w:rPr>
      </w:pPr>
      <w:bookmarkStart w:id="212" w:name="_Hlk536557912"/>
      <w:r>
        <w:rPr>
          <w:rFonts w:ascii="Verdana" w:hAnsi="Verdana"/>
          <w:i/>
          <w:sz w:val="20"/>
          <w:szCs w:val="20"/>
          <w:u w:val="single"/>
        </w:rPr>
        <w:lastRenderedPageBreak/>
        <w:t>Juros Remuneratórios das Debêntures</w:t>
      </w:r>
      <w:r>
        <w:rPr>
          <w:rFonts w:ascii="Verdana" w:hAnsi="Verdana"/>
          <w:sz w:val="20"/>
          <w:szCs w:val="20"/>
        </w:rPr>
        <w:t>. Sobre o Valor Nominal Atualizado das Debêntures incidirão juros remuneratórios correspondentes a um determinado percentual ao ano, base 252 (duzentos e cinquenta e dois) Dias Úteis, a ser definido de acordo com o Procedimento de Bookbuilding, e, em qualquer caso, limitados a (i) 0,60% (sessenta centésimos por cento) ao ano, acrescidos exponencialmente à taxa interna de retorno do Tesouro IPCA+ com Juros Semestrais, com vencimento em 2028, que deverá ser a maior cotação indicativa entre (a) a divulgada pela ANBIMA no fechamento do Dia Útil imediatamente anterior à data de realização do Procedimento de Bookbuilding (“</w:t>
      </w:r>
      <w:r>
        <w:rPr>
          <w:rFonts w:ascii="Verdana" w:hAnsi="Verdana"/>
          <w:sz w:val="20"/>
          <w:szCs w:val="20"/>
          <w:u w:val="single"/>
        </w:rPr>
        <w:t>Data de Apuração</w:t>
      </w:r>
      <w:r>
        <w:rPr>
          <w:rFonts w:ascii="Verdana" w:hAnsi="Verdana"/>
          <w:sz w:val="20"/>
          <w:szCs w:val="20"/>
        </w:rPr>
        <w:t>”); e (b) a média das cotações divulgadas pela ANBIMA no fechamento dos 3 (três) últimos Dias Úteis imediatamente anteriores à data de realização do Procedimento de Bookbuilding; ou (ii) 4,00% (quatro por cento) ao ano, entre os itens (i) e (ii) o que for maior na Data de Apuração (“</w:t>
      </w:r>
      <w:r>
        <w:rPr>
          <w:rFonts w:ascii="Verdana" w:hAnsi="Verdana"/>
          <w:sz w:val="20"/>
          <w:szCs w:val="20"/>
          <w:u w:val="single"/>
        </w:rPr>
        <w:t>Juros Remuneratórios</w:t>
      </w:r>
      <w:r>
        <w:rPr>
          <w:rFonts w:ascii="Verdana" w:hAnsi="Verdana"/>
          <w:sz w:val="20"/>
          <w:szCs w:val="20"/>
        </w:rPr>
        <w:t xml:space="preserve">”). </w:t>
      </w:r>
      <w:bookmarkEnd w:id="212"/>
      <w:r>
        <w:rPr>
          <w:rFonts w:ascii="Verdana" w:hAnsi="Verdana"/>
          <w:sz w:val="20"/>
          <w:szCs w:val="20"/>
        </w:rPr>
        <w:t xml:space="preserve"> </w:t>
      </w:r>
    </w:p>
    <w:p>
      <w:pPr>
        <w:pStyle w:val="PargrafodaLista"/>
        <w:spacing w:line="320" w:lineRule="exact"/>
        <w:ind w:left="709" w:hanging="709"/>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A taxa final dos Juros Remuneratórios, uma vez definida em conformidade com a Cláusula 5.6.2,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pPr>
        <w:spacing w:after="0" w:line="320" w:lineRule="exact"/>
        <w:ind w:left="709" w:hanging="709"/>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decorridos desde a Primeira Data de Integralização ou 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Resgate Obrigatório, nos termos desta Escritura).</w:t>
      </w:r>
    </w:p>
    <w:p>
      <w:pPr>
        <w:spacing w:line="320" w:lineRule="exact"/>
        <w:jc w:val="both"/>
        <w:rPr>
          <w:rFonts w:ascii="Verdana" w:hAnsi="Verdana"/>
          <w:sz w:val="20"/>
          <w:szCs w:val="20"/>
        </w:rPr>
      </w:pPr>
    </w:p>
    <w:p>
      <w:pPr>
        <w:pStyle w:val="PargrafodaLista"/>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pPr>
        <w:pStyle w:val="PargrafodaLista"/>
        <w:spacing w:line="320" w:lineRule="exact"/>
        <w:rPr>
          <w:rFonts w:ascii="Verdana" w:hAnsi="Verdana"/>
          <w:sz w:val="20"/>
          <w:szCs w:val="20"/>
        </w:rPr>
      </w:pPr>
    </w:p>
    <w:p>
      <w:pPr>
        <w:spacing w:after="0" w:line="320" w:lineRule="exact"/>
        <w:ind w:left="720"/>
        <w:jc w:val="center"/>
        <w:rPr>
          <w:rFonts w:ascii="Verdana" w:hAnsi="Verdana"/>
          <w:sz w:val="20"/>
          <w:szCs w:val="20"/>
        </w:rPr>
      </w:pPr>
      <w:r>
        <w:rPr>
          <w:rFonts w:ascii="Verdana" w:hAnsi="Verdana"/>
          <w:sz w:val="20"/>
          <w:szCs w:val="20"/>
        </w:rPr>
        <w:t>J = {VNa x [FatorJuros-1]}</w:t>
      </w:r>
    </w:p>
    <w:p>
      <w:pPr>
        <w:tabs>
          <w:tab w:val="num" w:pos="0"/>
        </w:tabs>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tabs>
          <w:tab w:val="num" w:pos="0"/>
        </w:tabs>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tabs>
          <w:tab w:val="num" w:pos="0"/>
        </w:tabs>
        <w:spacing w:after="0" w:line="320" w:lineRule="exact"/>
        <w:ind w:left="720"/>
        <w:jc w:val="center"/>
        <w:rPr>
          <w:rFonts w:ascii="Verdana" w:hAnsi="Verdana"/>
          <w:i/>
          <w:sz w:val="20"/>
          <w:szCs w:val="20"/>
        </w:rPr>
      </w:pPr>
    </w:p>
    <w:p>
      <w:pPr>
        <w:tabs>
          <w:tab w:val="num" w:pos="0"/>
        </w:tabs>
        <w:spacing w:after="0" w:line="320" w:lineRule="exact"/>
        <w:ind w:left="720"/>
        <w:jc w:val="both"/>
        <w:rPr>
          <w:rFonts w:ascii="Verdana" w:hAnsi="Verdana"/>
          <w:i/>
          <w:sz w:val="20"/>
          <w:szCs w:val="20"/>
        </w:rPr>
      </w:pPr>
    </w:p>
    <w:p>
      <w:pPr>
        <w:spacing w:after="0" w:line="320" w:lineRule="exact"/>
        <w:ind w:left="720"/>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sz w:val="20"/>
          <w:szCs w:val="20"/>
        </w:rPr>
        <w:t>onde,</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Juros Remuneratórios a ser definida no Procedimento de </w:t>
      </w:r>
      <w:r>
        <w:rPr>
          <w:rFonts w:ascii="Verdana" w:hAnsi="Verdana"/>
          <w:i/>
          <w:sz w:val="20"/>
          <w:szCs w:val="20"/>
        </w:rPr>
        <w:t>Bookbuilding</w:t>
      </w:r>
      <w:r>
        <w:rPr>
          <w:rFonts w:ascii="Verdana" w:hAnsi="Verdana"/>
          <w:sz w:val="20"/>
          <w:szCs w:val="20"/>
        </w:rPr>
        <w:t>, informada com 4 (quatro) casas decimais;</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lastRenderedPageBreak/>
        <w:t xml:space="preserve">Periodicidade do Pagamento dos Juros Remuneratórios. </w:t>
      </w:r>
    </w:p>
    <w:p>
      <w:pPr>
        <w:keepNext/>
        <w:keepLines/>
        <w:spacing w:after="0" w:line="320" w:lineRule="exact"/>
        <w:ind w:left="709" w:hanging="709"/>
        <w:jc w:val="both"/>
        <w:rPr>
          <w:rFonts w:ascii="Verdana" w:hAnsi="Verdana"/>
          <w:sz w:val="20"/>
          <w:szCs w:val="20"/>
        </w:rPr>
      </w:pPr>
    </w:p>
    <w:p>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regulamentação aplicáveis, do Resgate Obrigatório, os Juros Remuneratórios serão pagos pela Emissora aos Debenturistas anualmente a partir da Data de Emissão, sendo, portanto, os pagamentos devidos no dia 15 de outubro de cada ano. O primeiro pagamento ocorrerá em 15 de outubro de 2020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pPr>
        <w:spacing w:after="0" w:line="320" w:lineRule="exac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Datas de Pagamento dos Juros Remuneratórios</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2020</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2021</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2022</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2023</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2024</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2025</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2026</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2027</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15 de outubro de 2028</w:t>
            </w:r>
          </w:p>
        </w:tc>
      </w:tr>
      <w:tr>
        <w:trPr>
          <w:jc w:val="center"/>
        </w:trPr>
        <w:tc>
          <w:tcPr>
            <w:tcW w:w="4195" w:type="dxa"/>
          </w:tcPr>
          <w:p>
            <w:pPr>
              <w:keepNext/>
              <w:keepLines/>
              <w:spacing w:line="320" w:lineRule="exact"/>
              <w:jc w:val="center"/>
              <w:rPr>
                <w:rFonts w:ascii="Verdana" w:hAnsi="Verdana"/>
                <w:sz w:val="20"/>
                <w:szCs w:val="20"/>
              </w:rPr>
            </w:pPr>
            <w:r>
              <w:rPr>
                <w:rFonts w:ascii="Verdana" w:hAnsi="Verdana"/>
                <w:sz w:val="20"/>
                <w:szCs w:val="20"/>
              </w:rPr>
              <w:t>Data de Vencimento</w:t>
            </w:r>
          </w:p>
        </w:tc>
      </w:tr>
    </w:tbl>
    <w:p>
      <w:pPr>
        <w:spacing w:after="0" w:line="320" w:lineRule="exact"/>
        <w:ind w:left="709" w:hanging="709"/>
        <w:jc w:val="both"/>
        <w:rPr>
          <w:rFonts w:ascii="Verdana" w:hAnsi="Verdana"/>
          <w:sz w:val="20"/>
          <w:szCs w:val="20"/>
        </w:rPr>
      </w:pPr>
      <w:r>
        <w:rPr>
          <w:rFonts w:ascii="Verdana" w:hAnsi="Verdana"/>
          <w:sz w:val="20"/>
          <w:szCs w:val="20"/>
        </w:rPr>
        <w:t xml:space="preserve"> </w:t>
      </w:r>
    </w:p>
    <w:p>
      <w:pPr>
        <w:pStyle w:val="PargrafodaLista"/>
        <w:keepNext/>
        <w:keepLines/>
        <w:numPr>
          <w:ilvl w:val="1"/>
          <w:numId w:val="69"/>
        </w:numPr>
        <w:spacing w:line="320" w:lineRule="exact"/>
        <w:ind w:left="851" w:hanging="851"/>
        <w:jc w:val="both"/>
        <w:rPr>
          <w:rFonts w:ascii="Verdana" w:hAnsi="Verdana"/>
          <w:sz w:val="20"/>
          <w:szCs w:val="20"/>
        </w:rPr>
      </w:pPr>
      <w:bookmarkStart w:id="213" w:name="_DV_M193"/>
      <w:bookmarkStart w:id="214" w:name="_DV_M195"/>
      <w:bookmarkEnd w:id="135"/>
      <w:bookmarkEnd w:id="213"/>
      <w:bookmarkEnd w:id="214"/>
      <w:r>
        <w:rPr>
          <w:rFonts w:ascii="Verdana" w:hAnsi="Verdana"/>
          <w:i/>
          <w:sz w:val="20"/>
          <w:szCs w:val="20"/>
          <w:u w:val="single"/>
        </w:rPr>
        <w:t xml:space="preserve">Pagamento do Valor Nominal Atualizado.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15"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16" w:name="_DV_M202"/>
      <w:bookmarkEnd w:id="216"/>
      <w:r>
        <w:rPr>
          <w:rFonts w:ascii="Verdana" w:hAnsi="Verdana"/>
          <w:sz w:val="20"/>
          <w:szCs w:val="20"/>
        </w:rPr>
        <w:t xml:space="preserve">será amortizado em 3 (três) parcelas anuais e consecutivas, a partir do 8º (oitavo) ano contado da Data de Emissão, sendo a primeira parcela devida em 15 de outubro de 2027 e a última na Data de Vencimento, conforme a tabela abaixo: </w:t>
      </w:r>
    </w:p>
    <w:p>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tc>
          <w:tcPr>
            <w:tcW w:w="4132" w:type="dxa"/>
          </w:tcPr>
          <w:p>
            <w:pPr>
              <w:spacing w:after="0" w:line="320" w:lineRule="exact"/>
              <w:jc w:val="center"/>
              <w:rPr>
                <w:rFonts w:ascii="Verdana" w:hAnsi="Verdana"/>
                <w:sz w:val="20"/>
                <w:szCs w:val="20"/>
              </w:rPr>
            </w:pPr>
            <w:r>
              <w:rPr>
                <w:rFonts w:ascii="Verdana" w:hAnsi="Verdana"/>
                <w:sz w:val="20"/>
                <w:szCs w:val="20"/>
              </w:rPr>
              <w:lastRenderedPageBreak/>
              <w:t>15 de outubro de 2027</w:t>
            </w:r>
          </w:p>
        </w:tc>
        <w:tc>
          <w:tcPr>
            <w:tcW w:w="4588" w:type="dxa"/>
            <w:vAlign w:val="center"/>
          </w:tcPr>
          <w:p>
            <w:pPr>
              <w:spacing w:after="0" w:line="320" w:lineRule="exact"/>
              <w:jc w:val="center"/>
              <w:rPr>
                <w:rFonts w:ascii="Verdana" w:hAnsi="Verdana"/>
                <w:color w:val="000000"/>
                <w:sz w:val="20"/>
                <w:szCs w:val="20"/>
              </w:rPr>
            </w:pPr>
            <w:r>
              <w:rPr>
                <w:rFonts w:ascii="Verdana" w:hAnsi="Verdana"/>
                <w:color w:val="000000"/>
                <w:sz w:val="20"/>
                <w:szCs w:val="20"/>
              </w:rPr>
              <w:t>33,3333%</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15 de outubro de 2028</w:t>
            </w:r>
          </w:p>
        </w:tc>
        <w:tc>
          <w:tcPr>
            <w:tcW w:w="4588" w:type="dxa"/>
          </w:tcPr>
          <w:p>
            <w:pPr>
              <w:spacing w:after="0" w:line="320" w:lineRule="exact"/>
              <w:jc w:val="center"/>
              <w:rPr>
                <w:rFonts w:ascii="Verdana" w:hAnsi="Verdana" w:cs="Arial"/>
                <w:color w:val="000000"/>
                <w:sz w:val="20"/>
                <w:szCs w:val="20"/>
              </w:rPr>
            </w:pPr>
            <w:r>
              <w:rPr>
                <w:rFonts w:ascii="Verdana" w:hAnsi="Verdana"/>
                <w:sz w:val="20"/>
                <w:szCs w:val="20"/>
              </w:rPr>
              <w:t>50,0000%</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pPr>
              <w:spacing w:after="0" w:line="320" w:lineRule="exact"/>
              <w:jc w:val="center"/>
              <w:rPr>
                <w:rFonts w:ascii="Verdana" w:hAnsi="Verdana" w:cs="Arial"/>
                <w:color w:val="000000"/>
                <w:sz w:val="20"/>
                <w:szCs w:val="20"/>
              </w:rPr>
            </w:pPr>
            <w:r>
              <w:rPr>
                <w:rFonts w:ascii="Verdana" w:hAnsi="Verdana"/>
                <w:sz w:val="20"/>
                <w:szCs w:val="20"/>
              </w:rPr>
              <w:t>100,0000%</w:t>
            </w:r>
          </w:p>
        </w:tc>
      </w:tr>
    </w:tbl>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7" w:name="_Hlk536558225"/>
      <w:r>
        <w:rPr>
          <w:rFonts w:ascii="Verdana" w:hAnsi="Verdana"/>
          <w:i/>
          <w:sz w:val="20"/>
          <w:szCs w:val="20"/>
          <w:u w:val="single"/>
        </w:rPr>
        <w:t>Local de Pagamento</w:t>
      </w:r>
      <w:bookmarkEnd w:id="215"/>
      <w:r>
        <w:rPr>
          <w:rFonts w:ascii="Verdana" w:hAnsi="Verdana"/>
          <w:sz w:val="20"/>
          <w:szCs w:val="20"/>
        </w:rPr>
        <w:t>. Os pagamentos a que</w:t>
      </w:r>
      <w:r>
        <w:rPr>
          <w:rFonts w:ascii="Verdana" w:hAnsi="Verdana"/>
          <w:i/>
          <w:sz w:val="20"/>
          <w:szCs w:val="20"/>
        </w:rPr>
        <w:t xml:space="preserve"> </w:t>
      </w:r>
      <w:r>
        <w:rPr>
          <w:rFonts w:ascii="Verdana" w:hAnsi="Verdana"/>
          <w:sz w:val="20"/>
          <w:szCs w:val="20"/>
        </w:rPr>
        <w:t>fizerem jus as Debêntures serão efetuados pela Emissora no respectivo vencimento, conforme o caso: (a) utilizando-se os procedimentos adotados pela B3 ou pela B3 – Segmento Cetip UTVM, para as Debêntures custodiadas eletronicamente na B3 ou na B3 – Segmento Cetip UTVM, conforme o caso; (b) por meio do Banco Liquidante, para os Debenturistas que não tiverem suas Debêntures custodiadas eletronicamente na B3 e na B3 – Segmento Cetip UTVM; ou (c) na sede da Emissora, para os pagamentos que não possam ser realizados por meio do Banco Liquidante, B3 e/ou B3 – Segmento Cetip UTVM (“</w:t>
      </w:r>
      <w:r>
        <w:rPr>
          <w:rFonts w:ascii="Verdana" w:hAnsi="Verdana"/>
          <w:sz w:val="20"/>
          <w:szCs w:val="20"/>
          <w:u w:val="single"/>
        </w:rPr>
        <w:t>Local de Pagamento</w:t>
      </w:r>
      <w:r>
        <w:rPr>
          <w:rFonts w:ascii="Verdana" w:hAnsi="Verdana"/>
          <w:sz w:val="20"/>
          <w:szCs w:val="20"/>
        </w:rPr>
        <w:t>”).</w:t>
      </w:r>
      <w:bookmarkEnd w:id="217"/>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18" w:name="_Toc499990357"/>
      <w:bookmarkStart w:id="219" w:name="_Ref314580889"/>
      <w:r>
        <w:rPr>
          <w:rFonts w:ascii="Verdana" w:hAnsi="Verdana"/>
          <w:i/>
          <w:sz w:val="20"/>
          <w:szCs w:val="20"/>
          <w:u w:val="single"/>
        </w:rPr>
        <w:t>Prorrogação dos Prazos</w:t>
      </w:r>
      <w:bookmarkEnd w:id="218"/>
      <w:r>
        <w:rPr>
          <w:rFonts w:ascii="Verdana" w:hAnsi="Verdana"/>
          <w:i/>
          <w:sz w:val="20"/>
          <w:szCs w:val="20"/>
        </w:rPr>
        <w:t xml:space="preserve">. </w:t>
      </w:r>
      <w:bookmarkStart w:id="220" w:name="_DV_M208"/>
      <w:bookmarkEnd w:id="220"/>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21" w:name="_Toc499990358"/>
      <w:bookmarkEnd w:id="219"/>
      <w:r>
        <w:rPr>
          <w:rFonts w:ascii="Verdana" w:hAnsi="Verdana"/>
          <w:sz w:val="20"/>
          <w:szCs w:val="20"/>
        </w:rPr>
        <w:t xml:space="preserve"> </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Encargos Moratórios</w:t>
      </w:r>
      <w:bookmarkStart w:id="222" w:name="_DV_M211"/>
      <w:bookmarkEnd w:id="221"/>
      <w:bookmarkEnd w:id="222"/>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pPr>
        <w:spacing w:after="0" w:line="320" w:lineRule="exact"/>
        <w:ind w:left="709" w:hanging="709"/>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23" w:name="_Toc499990359"/>
      <w:r>
        <w:rPr>
          <w:rFonts w:ascii="Verdana" w:hAnsi="Verdana"/>
          <w:i/>
          <w:sz w:val="20"/>
          <w:szCs w:val="20"/>
          <w:u w:val="single"/>
        </w:rPr>
        <w:lastRenderedPageBreak/>
        <w:t>Decadência dos Direitos aos Acréscimos</w:t>
      </w:r>
      <w:bookmarkEnd w:id="223"/>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pPr>
        <w:pStyle w:val="PargrafodaLista"/>
        <w:spacing w:line="320" w:lineRule="exact"/>
        <w:ind w:left="851" w:hanging="851"/>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Preço de Subscrição </w:t>
      </w:r>
    </w:p>
    <w:p>
      <w:pPr>
        <w:keepNext/>
        <w:keepLines/>
        <w:spacing w:after="0" w:line="320" w:lineRule="exact"/>
        <w:ind w:left="851" w:hanging="851"/>
        <w:jc w:val="both"/>
        <w:rPr>
          <w:rFonts w:ascii="Verdana" w:hAnsi="Verdana"/>
          <w:sz w:val="20"/>
          <w:szCs w:val="20"/>
        </w:rPr>
      </w:pPr>
    </w:p>
    <w:p>
      <w:pPr>
        <w:pStyle w:val="PargrafodaLista"/>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pPr>
        <w:pStyle w:val="PargrafodaLista"/>
        <w:keepNext/>
        <w:keepLines/>
        <w:spacing w:line="320" w:lineRule="exact"/>
        <w:ind w:left="720"/>
        <w:jc w:val="both"/>
        <w:rPr>
          <w:rFonts w:ascii="Verdana" w:eastAsiaTheme="minorHAnsi" w:hAnsi="Verdana" w:cstheme="minorBidi"/>
          <w:sz w:val="20"/>
          <w:szCs w:val="20"/>
          <w:lang w:eastAsia="en-US"/>
        </w:rPr>
      </w:pPr>
    </w:p>
    <w:p>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4" w:name="_DV_M217"/>
      <w:bookmarkStart w:id="225" w:name="_DV_M218"/>
      <w:bookmarkStart w:id="226" w:name="_DV_C271"/>
      <w:bookmarkStart w:id="227" w:name="_Toc499990338"/>
      <w:bookmarkEnd w:id="224"/>
      <w:bookmarkEnd w:id="225"/>
    </w:p>
    <w:p>
      <w:pPr>
        <w:spacing w:after="0" w:line="320" w:lineRule="exact"/>
        <w:ind w:left="709"/>
        <w:jc w:val="both"/>
        <w:rPr>
          <w:rFonts w:ascii="Verdana" w:hAnsi="Verdana"/>
          <w:i/>
          <w:sz w:val="20"/>
          <w:szCs w:val="20"/>
          <w:u w:val="single"/>
        </w:rPr>
      </w:pPr>
    </w:p>
    <w:p>
      <w:pPr>
        <w:pStyle w:val="PargrafodaLista"/>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8" w:name="_DV_M219"/>
      <w:bookmarkEnd w:id="226"/>
      <w:bookmarkEnd w:id="228"/>
      <w:r>
        <w:rPr>
          <w:rFonts w:ascii="Verdana" w:hAnsi="Verdana"/>
          <w:sz w:val="20"/>
          <w:szCs w:val="20"/>
        </w:rPr>
        <w:t>em moeda corrente nacional, pelo Preço de Subscrição, de acordo com as normas de liquidação e os procedimentos aplicáveis à B3 ou à B3 – Segmento Cetip UTVM, conforme o caso</w:t>
      </w:r>
      <w:r>
        <w:rPr>
          <w:rFonts w:ascii="Verdana" w:hAnsi="Verdana"/>
          <w:color w:val="000000"/>
          <w:sz w:val="20"/>
          <w:szCs w:val="20"/>
        </w:rPr>
        <w:t xml:space="preserve">, sendo a liquidação realizada por meio da </w:t>
      </w:r>
      <w:r>
        <w:rPr>
          <w:rFonts w:ascii="Verdana" w:hAnsi="Verdana"/>
          <w:sz w:val="20"/>
          <w:szCs w:val="20"/>
        </w:rPr>
        <w:t>B3 ou da B3 – Segmento Cetip UTVM</w:t>
      </w:r>
      <w:r>
        <w:rPr>
          <w:rFonts w:ascii="Verdana" w:hAnsi="Verdana"/>
          <w:color w:val="000000"/>
          <w:sz w:val="20"/>
          <w:szCs w:val="20"/>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w:t>
      </w:r>
      <w:r>
        <w:rPr>
          <w:rFonts w:ascii="Verdana" w:hAnsi="Verdana"/>
          <w:color w:val="000000"/>
          <w:sz w:val="20"/>
          <w:szCs w:val="20"/>
        </w:rPr>
        <w:lastRenderedPageBreak/>
        <w:t xml:space="preserve">Remuneratórios, calculados </w:t>
      </w:r>
      <w:r>
        <w:rPr>
          <w:rFonts w:ascii="Verdana" w:hAnsi="Verdana"/>
          <w:i/>
          <w:color w:val="000000"/>
          <w:sz w:val="20"/>
          <w:szCs w:val="20"/>
        </w:rPr>
        <w:t>pro rata temporis</w:t>
      </w:r>
      <w:r>
        <w:rPr>
          <w:rFonts w:ascii="Verdana" w:hAnsi="Verdana"/>
          <w:color w:val="000000"/>
          <w:sz w:val="20"/>
          <w:szCs w:val="20"/>
        </w:rPr>
        <w:t xml:space="preserve"> desde a Primeira Data de Integralização até a data de sua 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Debêntures</w:t>
      </w:r>
      <w:r>
        <w:rPr>
          <w:rFonts w:ascii="Verdana" w:hAnsi="Verdana"/>
          <w:sz w:val="20"/>
          <w:szCs w:val="20"/>
        </w:rPr>
        <w:t xml:space="preserve">. </w:t>
      </w:r>
    </w:p>
    <w:p>
      <w:pPr>
        <w:spacing w:after="0" w:line="320" w:lineRule="exact"/>
        <w:ind w:left="851" w:hanging="851"/>
        <w:jc w:val="both"/>
        <w:rPr>
          <w:rStyle w:val="DeltaViewInsertion"/>
          <w:rFonts w:ascii="Verdana" w:hAnsi="Verdana" w:cs="Times New Roman"/>
          <w:color w:val="auto"/>
          <w:sz w:val="20"/>
          <w:szCs w:val="20"/>
          <w:lang w:eastAsia="pt-BR"/>
        </w:rPr>
      </w:pPr>
    </w:p>
    <w:bookmarkEnd w:id="227"/>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pPr>
        <w:pStyle w:val="PargrafodaLista"/>
        <w:spacing w:line="320" w:lineRule="exact"/>
        <w:ind w:left="851" w:hanging="851"/>
        <w:jc w:val="both"/>
        <w:rPr>
          <w:rFonts w:ascii="Verdana" w:hAnsi="Verdana"/>
          <w:sz w:val="20"/>
          <w:szCs w:val="20"/>
        </w:rPr>
      </w:pPr>
    </w:p>
    <w:p>
      <w:pPr>
        <w:pStyle w:val="PargrafodaLista"/>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29" w:name="_Ref312338882"/>
      <w:r>
        <w:rPr>
          <w:rFonts w:ascii="Verdana" w:hAnsi="Verdana"/>
          <w:sz w:val="20"/>
          <w:szCs w:val="20"/>
        </w:rPr>
        <w:t>O Aviso ao Mercado, o Anúncio de Início da Oferta e o Anúncio de Encerramento da Oferta serão divulgados na página da Emissora na rede mundial de computadores (http://ri.rumolog.com).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(http://ri.rumolog.com)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29"/>
      <w:r>
        <w:rPr>
          <w:rFonts w:ascii="Verdana" w:hAnsi="Verdana"/>
          <w:sz w:val="20"/>
          <w:szCs w:val="20"/>
        </w:rPr>
        <w:t xml:space="preserve"> </w:t>
      </w:r>
    </w:p>
    <w:p>
      <w:pPr>
        <w:spacing w:after="0" w:line="320" w:lineRule="exact"/>
        <w:ind w:left="851" w:hanging="851"/>
        <w:jc w:val="both"/>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sz w:val="20"/>
          <w:szCs w:val="20"/>
        </w:rPr>
      </w:pPr>
      <w:bookmarkStart w:id="230" w:name="_Ref312251936"/>
      <w:r>
        <w:rPr>
          <w:rFonts w:ascii="Verdana" w:hAnsi="Verdana"/>
          <w:i/>
          <w:sz w:val="20"/>
          <w:szCs w:val="20"/>
          <w:u w:val="single"/>
        </w:rPr>
        <w:t>Comprovação de Titularidade das Debêntures</w:t>
      </w:r>
      <w:bookmarkStart w:id="231" w:name="_DV_M232"/>
      <w:bookmarkStart w:id="232" w:name="_Ref312336031"/>
      <w:bookmarkEnd w:id="230"/>
      <w:bookmarkEnd w:id="231"/>
      <w:r>
        <w:rPr>
          <w:rFonts w:ascii="Verdana" w:hAnsi="Verdana"/>
          <w:sz w:val="20"/>
          <w:szCs w:val="20"/>
        </w:rPr>
        <w:t>. A Emissora não emitirá certificados de Debêntures. Para todos os fins de direito, a titularidade das Debêntures será comprovada pelo extrato emitido pelo Escriturador. Adicionalmente, (i) com relação às Debêntures que estiverem custodiadas eletronicamente na B3 – Segmento Cetip UTVM, será expedido, por esta, extrato atualizado em nome do Debenturista, que servirá de comprovante de titularidade de tais Debêntures; e/ou (ii) com relação às Debêntures que estiverem custodiadas eletronicamente na B3, será expedido, pela B3, extrato atualizado em nome do Debenturista, que servirá de comprovante de titularidade de tais Debêntures.</w:t>
      </w:r>
      <w:bookmarkEnd w:id="232"/>
      <w:r>
        <w:rPr>
          <w:rFonts w:ascii="Verdana" w:hAnsi="Verdana"/>
          <w:sz w:val="20"/>
          <w:szCs w:val="20"/>
        </w:rPr>
        <w:t xml:space="preserve"> </w:t>
      </w:r>
    </w:p>
    <w:p>
      <w:pPr>
        <w:pStyle w:val="PargrafodaLista"/>
        <w:spacing w:line="320" w:lineRule="exact"/>
        <w:rPr>
          <w:rFonts w:ascii="Verdana" w:hAnsi="Verdana"/>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lastRenderedPageBreak/>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3" w:name="_DV_C281"/>
      <w:r>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3"/>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nos Projetos.</w:t>
      </w:r>
    </w:p>
    <w:p>
      <w:pPr>
        <w:spacing w:after="0" w:line="320" w:lineRule="exact"/>
        <w:ind w:left="851" w:hanging="851"/>
        <w:jc w:val="both"/>
        <w:rPr>
          <w:rFonts w:ascii="Verdana" w:hAnsi="Verdana"/>
          <w:bCs/>
          <w:sz w:val="20"/>
          <w:szCs w:val="20"/>
        </w:rPr>
      </w:pPr>
    </w:p>
    <w:p>
      <w:pPr>
        <w:pStyle w:val="Level3"/>
        <w:numPr>
          <w:ilvl w:val="2"/>
          <w:numId w:val="72"/>
        </w:numPr>
        <w:tabs>
          <w:tab w:val="left" w:pos="1134"/>
        </w:tabs>
        <w:spacing w:after="0" w:line="320" w:lineRule="exact"/>
        <w:ind w:left="851" w:hanging="851"/>
        <w:rPr>
          <w:rFonts w:ascii="Verdana" w:hAnsi="Verdana" w:cs="Tahoma"/>
          <w:szCs w:val="20"/>
          <w:lang w:val="pt-BR"/>
        </w:rPr>
      </w:pPr>
      <w:bookmarkStart w:id="234" w:name="_Ref530738843"/>
      <w:r>
        <w:rPr>
          <w:rFonts w:ascii="Verdana" w:hAnsi="Verdana" w:cs="Tahoma"/>
          <w:szCs w:val="20"/>
          <w:lang w:val="pt-BR"/>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p>
    <w:p>
      <w:pPr>
        <w:pStyle w:val="Level3"/>
        <w:numPr>
          <w:ilvl w:val="0"/>
          <w:numId w:val="0"/>
        </w:numPr>
        <w:tabs>
          <w:tab w:val="left" w:pos="1134"/>
        </w:tabs>
        <w:spacing w:after="0" w:line="320" w:lineRule="exact"/>
        <w:ind w:left="720"/>
        <w:rPr>
          <w:rFonts w:ascii="Verdana" w:hAnsi="Verdana" w:cs="Tahoma"/>
          <w:szCs w:val="20"/>
          <w:lang w:val="pt-BR"/>
        </w:rPr>
      </w:pPr>
    </w:p>
    <w:p>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pPr>
        <w:pStyle w:val="Level5"/>
        <w:numPr>
          <w:ilvl w:val="0"/>
          <w:numId w:val="0"/>
        </w:numPr>
        <w:spacing w:after="0" w:line="320" w:lineRule="exact"/>
        <w:ind w:left="851"/>
        <w:rPr>
          <w:rFonts w:ascii="Verdana" w:hAnsi="Verdana" w:cs="Tahoma"/>
          <w:lang w:val="pt-BR"/>
        </w:rPr>
      </w:pPr>
    </w:p>
    <w:p>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t xml:space="preserve">sem prejuízo do disposto na alínea “(a)”, acima, estará autorizada, a seu exclusivo critério, a realizar resgate antecipado para a totalidade das Debêntures, independentemente de qualquer procedimento ou aprovação, desde que permitido pela legislação 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w:t>
      </w:r>
      <w:bookmarkEnd w:id="234"/>
      <w:r>
        <w:rPr>
          <w:rFonts w:ascii="Verdana" w:hAnsi="Verdana" w:cs="Tahoma"/>
          <w:lang w:val="pt-BR"/>
        </w:rPr>
        <w:t>, sendo certo que tais pagamentos serão realizados fora do âmbito da B3 ou da B3 – Segmento CETIP UTVM.</w:t>
      </w:r>
    </w:p>
    <w:p>
      <w:pPr>
        <w:tabs>
          <w:tab w:val="num" w:pos="1361"/>
        </w:tabs>
        <w:spacing w:after="0" w:line="320" w:lineRule="exact"/>
        <w:ind w:left="709"/>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 </w:t>
      </w:r>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5" w:name="_Hlk536133970"/>
      <w:r>
        <w:rPr>
          <w:rFonts w:ascii="Verdana" w:hAnsi="Verdana"/>
          <w:bCs/>
          <w:i/>
          <w:sz w:val="20"/>
          <w:szCs w:val="20"/>
          <w:u w:val="single"/>
        </w:rPr>
        <w:t>Fundo de Liquidez e Estabilização</w:t>
      </w:r>
      <w:r>
        <w:rPr>
          <w:rFonts w:ascii="Verdana" w:hAnsi="Verdana"/>
          <w:bCs/>
          <w:sz w:val="20"/>
          <w:szCs w:val="20"/>
        </w:rPr>
        <w:t>: Não foi constituído fundo de manutenção de liquidez para as Debêntures.</w:t>
      </w:r>
      <w:r>
        <w:rPr>
          <w:rFonts w:ascii="Verdana" w:eastAsia="MS Mincho" w:hAnsi="Verdana"/>
          <w:color w:val="000000"/>
          <w:sz w:val="20"/>
          <w:szCs w:val="20"/>
        </w:rPr>
        <w:t xml:space="preserve"> </w:t>
      </w:r>
      <w:bookmarkEnd w:id="235"/>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bookmarkStart w:id="236"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u w:val="single"/>
        </w:rPr>
        <w:t>.</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6"/>
    </w:p>
    <w:p>
      <w:pPr>
        <w:spacing w:after="0" w:line="320" w:lineRule="exact"/>
        <w:ind w:left="851" w:hanging="851"/>
        <w:jc w:val="both"/>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Ratings Brasil Ltda.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pPr>
        <w:pStyle w:val="PargrafodaLista"/>
        <w:spacing w:line="320" w:lineRule="exact"/>
        <w:ind w:left="851" w:hanging="851"/>
        <w:rPr>
          <w:rFonts w:ascii="Verdana" w:hAnsi="Verdana"/>
          <w:bCs/>
          <w:sz w:val="20"/>
          <w:szCs w:val="20"/>
        </w:rPr>
      </w:pPr>
    </w:p>
    <w:p>
      <w:pPr>
        <w:pStyle w:val="PargrafodaLista"/>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pPr>
        <w:spacing w:line="320" w:lineRule="exact"/>
        <w:rPr>
          <w:rFonts w:ascii="Verdana" w:hAnsi="Verdana"/>
          <w:smallCaps/>
          <w:sz w:val="20"/>
          <w:szCs w:val="20"/>
          <w:u w:val="single"/>
        </w:rPr>
      </w:pPr>
      <w:bookmarkStart w:id="237" w:name="_Toc499990365"/>
    </w:p>
    <w:p>
      <w:pPr>
        <w:pStyle w:val="PargrafodaLista"/>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 xml:space="preserve">Amortização Extraordinária, Resgate Antecipado Facultativo, Aquisição Facultativa e Resgate Obrigatório </w:t>
      </w:r>
    </w:p>
    <w:p>
      <w:pPr>
        <w:keepNext/>
        <w:spacing w:after="0" w:line="320" w:lineRule="exact"/>
        <w:rPr>
          <w:rFonts w:ascii="Verdana" w:hAnsi="Verdana"/>
          <w:sz w:val="20"/>
          <w:szCs w:val="20"/>
        </w:rPr>
      </w:pPr>
      <w:bookmarkStart w:id="238" w:name="_DV_M237"/>
      <w:bookmarkEnd w:id="238"/>
    </w:p>
    <w:p>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 </w:t>
      </w:r>
    </w:p>
    <w:p>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39" w:name="_Ref312404674"/>
      <w:r>
        <w:rPr>
          <w:rFonts w:ascii="Verdana" w:hAnsi="Verdana"/>
          <w:bCs/>
          <w:i/>
          <w:sz w:val="20"/>
          <w:szCs w:val="20"/>
          <w:u w:val="single"/>
        </w:rPr>
        <w:t>Aquisição Facultativa</w:t>
      </w:r>
      <w:bookmarkEnd w:id="239"/>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w:t>
      </w:r>
      <w:r>
        <w:rPr>
          <w:rFonts w:ascii="Verdana" w:eastAsia="Arial Unicode MS" w:hAnsi="Verdana" w:cs="Arial"/>
          <w:bCs/>
          <w:sz w:val="20"/>
          <w:szCs w:val="20"/>
        </w:rPr>
        <w:lastRenderedPageBreak/>
        <w:t xml:space="preserve">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pPr>
        <w:spacing w:after="0" w:line="320" w:lineRule="exact"/>
        <w:ind w:left="709" w:hanging="709"/>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Cetip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(ii) a forma de cálculo do Valor do Resgate Obrigatório; e (iii) outras informações necessárias à operacionalização do Resgate Obrigatório e que sejam consideradas relevantes pela Emissora para conhecimento dos Debenturistas.</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(ii) os procedimentos estabelecidos pela </w:t>
      </w:r>
      <w:r>
        <w:rPr>
          <w:rFonts w:ascii="Verdana" w:hAnsi="Verdana"/>
          <w:sz w:val="20"/>
          <w:szCs w:val="20"/>
        </w:rPr>
        <w:t>B3 – Segmento Cetip UTVM</w:t>
      </w:r>
      <w:r>
        <w:rPr>
          <w:rFonts w:ascii="Verdana" w:hAnsi="Verdana"/>
          <w:bCs/>
          <w:sz w:val="20"/>
          <w:szCs w:val="20"/>
        </w:rPr>
        <w:t xml:space="preserve">, para as Debêntures que estiverem custodiadas eletronicamente na </w:t>
      </w:r>
      <w:r>
        <w:rPr>
          <w:rFonts w:ascii="Verdana" w:hAnsi="Verdana"/>
          <w:sz w:val="20"/>
          <w:szCs w:val="20"/>
        </w:rPr>
        <w:t>B3 – Segmento Cetip UTVM</w:t>
      </w:r>
      <w:r>
        <w:rPr>
          <w:rFonts w:ascii="Verdana" w:hAnsi="Verdana"/>
          <w:bCs/>
          <w:sz w:val="20"/>
          <w:szCs w:val="20"/>
        </w:rPr>
        <w:t xml:space="preserve">; ou (iii)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pPr>
        <w:spacing w:after="0" w:line="320" w:lineRule="exact"/>
        <w:ind w:left="851" w:hanging="851"/>
        <w:rPr>
          <w:rFonts w:ascii="Verdana" w:hAnsi="Verdana"/>
          <w:sz w:val="20"/>
          <w:szCs w:val="20"/>
        </w:rPr>
      </w:pPr>
    </w:p>
    <w:p>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37"/>
      <w:r>
        <w:rPr>
          <w:rFonts w:ascii="Verdana" w:hAnsi="Verdana"/>
          <w:smallCaps/>
          <w:sz w:val="20"/>
          <w:szCs w:val="20"/>
          <w:u w:val="single"/>
        </w:rPr>
        <w:t xml:space="preserve"> </w:t>
      </w:r>
    </w:p>
    <w:p>
      <w:pPr>
        <w:spacing w:after="0" w:line="320" w:lineRule="exact"/>
        <w:ind w:left="851" w:hanging="851"/>
        <w:rPr>
          <w:rFonts w:ascii="Verdana" w:hAnsi="Verdana"/>
          <w:sz w:val="20"/>
          <w:szCs w:val="20"/>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0" w:name="_Ref435654812"/>
      <w:r>
        <w:rPr>
          <w:rFonts w:ascii="Verdana" w:eastAsia="Times New Roman" w:hAnsi="Verdana" w:cs="Arial"/>
          <w:sz w:val="20"/>
          <w:szCs w:val="20"/>
          <w:lang w:eastAsia="pt-BR"/>
        </w:rPr>
        <w:lastRenderedPageBreak/>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40"/>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1" w:name="_Ref3745610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pagamento, pela Emissora, nas datas de vencimento previstas nesta Escritura, do Valor Nominal Atualizado, dos Juros Remuneratórios e/ou de quaisquer outras obrigações pecuniárias devidas aos Debenturistas, </w:t>
      </w:r>
      <w:bookmarkEnd w:id="241"/>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declaração de vencimento antecipado de quaisquer obrigações pecuniárias relacionadas a operações financeiras e/ou a operações no mercado de capitais local ou internacional,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alteração do objeto social da Emissora que altere as principais atividades atualmente por ela praticadas, exceto se previamente autorizado por Debenturistas reunidos em Assembleia Geral de Debenturistas especialmente convocada para tal finalidade;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caso a Emissora transfira ou por qualquer forma ceda ou prometa ceder a terceiros os direitos e obrigações assumidos nos termos desta Escritura, sem a prévia anuência de Debenturistas reunidos em Assembleia Geral de Debenturistas, desde que respeitada a Destinação de Recursos e as regras da Lei nº 12.431 e do Decreto nº 8.874;</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(b) se a Cosan Limited,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pPr>
        <w:tabs>
          <w:tab w:val="left" w:pos="6096"/>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b/>
      </w:r>
      <w:r>
        <w:rPr>
          <w:rFonts w:ascii="Verdana" w:eastAsia="Times New Roman" w:hAnsi="Verdana" w:cs="Arial"/>
          <w:sz w:val="20"/>
          <w:szCs w:val="20"/>
          <w:lang w:eastAsia="pt-BR"/>
        </w:rPr>
        <w:tab/>
      </w: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utilização dos recursos líquidos obtidos pela Emissora por meio da integralização das Debêntures de forma diversa da prevista nesta Escritura;</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ressalvado, entretanto, o pagamento do dividendo mínimo legal obrigatório previsto no estatuto social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w:t>
      </w:r>
      <w:r>
        <w:rPr>
          <w:rFonts w:ascii="Verdana" w:eastAsia="Times New Roman" w:hAnsi="Verdana" w:cs="Arial"/>
          <w:sz w:val="20"/>
          <w:szCs w:val="20"/>
          <w:lang w:eastAsia="pt-BR"/>
        </w:rPr>
        <w:lastRenderedPageBreak/>
        <w:t xml:space="preserve">aquisição de ativos, nos quais os próprios ativos adquiridos sejam objeto da garantia outorgada. </w:t>
      </w:r>
    </w:p>
    <w:p>
      <w:pPr>
        <w:spacing w:after="0" w:line="320" w:lineRule="exact"/>
        <w:jc w:val="both"/>
        <w:rPr>
          <w:rFonts w:ascii="Verdana" w:eastAsia="Times New Roman" w:hAnsi="Verdana" w:cs="Arial"/>
          <w:sz w:val="20"/>
          <w:szCs w:val="20"/>
          <w:lang w:eastAsia="pt-BR"/>
        </w:rPr>
      </w:pPr>
    </w:p>
    <w:p>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2" w:name="_Hlk471108"/>
      <w:r>
        <w:rPr>
          <w:rFonts w:ascii="Verdana" w:eastAsia="Times New Roman" w:hAnsi="Verdana" w:cs="Arial"/>
          <w:sz w:val="20"/>
          <w:szCs w:val="20"/>
          <w:lang w:eastAsia="pt-BR"/>
        </w:rPr>
        <w:t xml:space="preserve">sociedades, direta ou indiretamente, controladas </w:t>
      </w:r>
      <w:bookmarkEnd w:id="242"/>
      <w:r>
        <w:rPr>
          <w:rFonts w:ascii="Verdana" w:eastAsia="Times New Roman" w:hAnsi="Verdana" w:cs="Arial"/>
          <w:sz w:val="20"/>
          <w:szCs w:val="20"/>
          <w:lang w:eastAsia="pt-BR"/>
        </w:rPr>
        <w:t>pela Emissora.</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3" w:name="_Ref435660904"/>
      <w:bookmarkStart w:id="244"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 a Cláusula 10 abaixo, para deliberar sobre a eventual não declaração do vencimento antecipado das Debêntures</w:t>
      </w:r>
      <w:bookmarkEnd w:id="243"/>
      <w:r>
        <w:rPr>
          <w:rFonts w:ascii="Verdana" w:eastAsia="Times New Roman" w:hAnsi="Verdana" w:cs="Arial"/>
          <w:sz w:val="20"/>
          <w:szCs w:val="20"/>
          <w:lang w:eastAsia="pt-BR"/>
        </w:rPr>
        <w:t>:</w:t>
      </w:r>
      <w:bookmarkEnd w:id="244"/>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inadimplemento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respectivos instrumentos, se houver, e/ou se tal inadimplemento estiver em discussão entre a Emissora e o respectivo credor;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w:t>
      </w:r>
      <w:r>
        <w:rPr>
          <w:rFonts w:ascii="Verdana" w:eastAsia="Times New Roman" w:hAnsi="Verdana" w:cs="Arial"/>
          <w:sz w:val="20"/>
          <w:szCs w:val="20"/>
          <w:lang w:eastAsia="pt-BR"/>
        </w:rPr>
        <w:lastRenderedPageBreak/>
        <w:t xml:space="preserve">pelo Poder Judiciário, garantias em juízo ou (c) que o respectivo protesto foi requerido por erro ou má fé do representante;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sequestro,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cumprimento, nos prazos legais aplicáveis, de qualquer decisão ou sentença judicial transitada em julgado, condenação administrativa ou arbitral definitivas em face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renovação, cancelamento, revogação ou suspensão de autorização, concessão, subvenção, alvará ou licença, desde que afetem, de maneira justificada, a capacidade da Emissora de honrar tempestivamente as obrigações pecuniárias previstas na Escritura;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Econômico; ou (b) a transferência seja realizada para sociedades cujas demonstrações financeiras sejam consolidadas nas demonstrações financeiras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inconsistentes, incorretas, ou incompletas, quaisquer declarações ou garantias prestadas pela Emissora nesta Escritura e/ou em qualquer dos demais documentos relacionados à Emissão e desde que tal inconsistência, incorreção, ou incompletude seja </w:t>
      </w:r>
      <w:r>
        <w:rPr>
          <w:rFonts w:ascii="Verdana" w:eastAsia="Times New Roman" w:hAnsi="Verdana" w:cs="Arial"/>
          <w:sz w:val="20"/>
          <w:szCs w:val="20"/>
          <w:lang w:eastAsia="pt-BR"/>
        </w:rPr>
        <w:lastRenderedPageBreak/>
        <w:t xml:space="preserve">relevante e, comprovadamente, tenha acarretado prejuízo aos Debenturistas;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provarem-se falsas quaisquer declarações ou garantias prestadas pela Emissora nesta Escritura e/ou em qualquer dos demais documentos relacionados à Emissão;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existência, validade, legalidade ou exequibilidade desta Escritura venham a ser questionadas judicialmente pela Emissora ou por quaisquer das sociedades pertencentes ao Grupo Econômico; e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5" w:name="_Ref448411226"/>
    </w:p>
    <w:p>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45"/>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pPr>
        <w:spacing w:after="0" w:line="320" w:lineRule="exact"/>
        <w:jc w:val="both"/>
        <w:rPr>
          <w:rFonts w:ascii="Verdana" w:eastAsia="Times New Roman" w:hAnsi="Verdana" w:cs="Arial"/>
          <w:sz w:val="20"/>
          <w:szCs w:val="20"/>
          <w:lang w:eastAsia="pt-BR"/>
        </w:rPr>
      </w:pPr>
    </w:p>
    <w:p>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pPr>
        <w:spacing w:after="0" w:line="320" w:lineRule="exact"/>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pPr>
        <w:spacing w:after="0" w:line="320" w:lineRule="exact"/>
        <w:ind w:left="2552" w:hanging="851"/>
        <w:jc w:val="both"/>
        <w:rPr>
          <w:rFonts w:ascii="Verdana" w:eastAsia="Times New Roman" w:hAnsi="Verdana" w:cs="Arial"/>
          <w:sz w:val="20"/>
          <w:szCs w:val="20"/>
          <w:lang w:eastAsia="pt-BR"/>
        </w:rPr>
      </w:pPr>
    </w:p>
    <w:p>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pPr>
        <w:spacing w:after="0" w:line="320" w:lineRule="exact"/>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financeiro e Certificados de Recebíveis Imobiliários – CRI, juros ativos e passivos sobre mútuos, amortização de ágio e deságio na cessão de direitos creditórios, resultado líquido de operações de derivativos e variações monetárias e cambiais ativas e passivas; (ii) menos receitas financeiras de aplicações financeiras.</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pPr>
        <w:spacing w:after="0" w:line="320" w:lineRule="exact"/>
        <w:ind w:left="1701"/>
        <w:jc w:val="both"/>
        <w:rPr>
          <w:rFonts w:ascii="Verdana" w:eastAsia="Times New Roman" w:hAnsi="Verdana" w:cs="Arial"/>
          <w:iCs/>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os contratos enquadrados no pronunciamento IAS 17 – Operações de Arrendamento Mercantil vigentes na presente data. Os arrendamentos oriundos dos contratos de concessão celebrados com a Emissora não se enquadram no conceito de Dívida Financeira Líquida, independente da aplicação no novo pronunciamento contábil IFRS 16 – Arrendamentos vigente a partir de 1 de janeiro de 2019.</w:t>
      </w:r>
      <w:r>
        <w:rPr>
          <w:rFonts w:ascii="Verdana" w:eastAsia="Times New Roman" w:hAnsi="Verdana" w:cs="Arial"/>
          <w:sz w:val="20"/>
          <w:szCs w:val="20"/>
          <w:lang w:eastAsia="pt-BR"/>
        </w:rPr>
        <w:t xml:space="preserve">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r>
        <w:rPr>
          <w:rFonts w:ascii="Verdana" w:eastAsia="Times New Roman" w:hAnsi="Verdana" w:cs="Arial"/>
          <w:i/>
          <w:sz w:val="20"/>
          <w:szCs w:val="20"/>
          <w:lang w:eastAsia="pt-BR"/>
        </w:rPr>
        <w:t>impairment</w:t>
      </w:r>
      <w:r>
        <w:rPr>
          <w:rFonts w:ascii="Verdana" w:eastAsia="Times New Roman" w:hAnsi="Verdana" w:cs="Arial"/>
          <w:sz w:val="20"/>
          <w:szCs w:val="20"/>
          <w:lang w:eastAsia="pt-BR"/>
        </w:rPr>
        <w:t xml:space="preserve">, ganhos por valor justo/atualização de ativos (sem efeito caixa) e despesas pontuais de reestruturação. </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antecipado das Debêntures por deliberação de Debenturistas detentores de, no mínimo (i) a maioria das Debêntures em Circulação (conforme abaixo definido), em primeira convocação; ou (ii) a maioria das Debêntures em Circulação presentes à Assembleia Geral de Debenturistas, desde que estejam presentes Debenturistas representando pelo menos 25% (vinte e cinco por cento) das Debêntures em Circulação, em segunda convocação, sendo que, entre a data da ocorrência do Evento de Inadimplemento e 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Cetip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xml:space="preserve">, desde a Primeira Data de Integralização ou da última Data de Pagamento dos Juros Remuneratórios, </w:t>
      </w:r>
      <w:r>
        <w:rPr>
          <w:rFonts w:ascii="Verdana" w:eastAsia="Times New Roman" w:hAnsi="Verdana" w:cs="Arial"/>
          <w:sz w:val="20"/>
          <w:szCs w:val="20"/>
          <w:lang w:eastAsia="pt-BR"/>
        </w:rPr>
        <w:lastRenderedPageBreak/>
        <w:t>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pPr>
        <w:spacing w:after="0" w:line="320" w:lineRule="exact"/>
        <w:ind w:left="851" w:hanging="851"/>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pPr>
        <w:spacing w:after="0" w:line="320" w:lineRule="exact"/>
        <w:rPr>
          <w:rFonts w:ascii="Verdana" w:hAnsi="Verdana"/>
          <w:sz w:val="20"/>
          <w:szCs w:val="20"/>
        </w:rPr>
      </w:pPr>
    </w:p>
    <w:p>
      <w:pPr>
        <w:keepNext/>
        <w:keepLines/>
        <w:numPr>
          <w:ilvl w:val="0"/>
          <w:numId w:val="23"/>
        </w:numPr>
        <w:spacing w:after="0" w:line="320" w:lineRule="exact"/>
        <w:ind w:left="851" w:hanging="851"/>
        <w:jc w:val="both"/>
        <w:rPr>
          <w:rFonts w:ascii="Verdana" w:hAnsi="Verdana"/>
          <w:smallCaps/>
          <w:sz w:val="20"/>
          <w:szCs w:val="20"/>
          <w:u w:val="single"/>
        </w:rPr>
      </w:pPr>
      <w:bookmarkStart w:id="246" w:name="_Toc499990368"/>
      <w:r>
        <w:rPr>
          <w:rFonts w:ascii="Verdana" w:hAnsi="Verdana"/>
          <w:smallCaps/>
          <w:sz w:val="20"/>
          <w:szCs w:val="20"/>
          <w:u w:val="single"/>
        </w:rPr>
        <w:t xml:space="preserve">Obrigações Adicionais da </w:t>
      </w:r>
      <w:bookmarkStart w:id="247" w:name="_DV_M268"/>
      <w:bookmarkEnd w:id="246"/>
      <w:bookmarkEnd w:id="247"/>
      <w:r>
        <w:rPr>
          <w:rFonts w:ascii="Verdana" w:hAnsi="Verdana"/>
          <w:smallCaps/>
          <w:sz w:val="20"/>
          <w:szCs w:val="20"/>
          <w:u w:val="single"/>
        </w:rPr>
        <w:t xml:space="preserve">Emissora </w:t>
      </w:r>
    </w:p>
    <w:p>
      <w:pPr>
        <w:spacing w:after="0" w:line="320" w:lineRule="exact"/>
        <w:rPr>
          <w:rFonts w:ascii="Verdana" w:hAnsi="Verdana"/>
          <w:sz w:val="20"/>
          <w:szCs w:val="20"/>
        </w:rPr>
      </w:pPr>
    </w:p>
    <w:p>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48" w:name="_DV_C376"/>
      <w:r>
        <w:rPr>
          <w:rStyle w:val="DeltaViewInsertion"/>
          <w:rFonts w:ascii="Verdana" w:hAnsi="Verdana"/>
          <w:color w:val="auto"/>
          <w:sz w:val="20"/>
          <w:szCs w:val="20"/>
          <w:u w:val="none"/>
        </w:rPr>
        <w:t>enquanto o saldo devedor das Debêntures não for integralmente pago</w:t>
      </w:r>
      <w:bookmarkEnd w:id="248"/>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pPr>
        <w:spacing w:after="0"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49" w:name="_Ref435667038"/>
      <w:r>
        <w:rPr>
          <w:rFonts w:ascii="Verdana" w:hAnsi="Verdana"/>
          <w:lang w:val="pt-BR"/>
        </w:rPr>
        <w:t>fornecer ao Agente Fiduciário:</w:t>
      </w:r>
      <w:bookmarkEnd w:id="249"/>
      <w:r>
        <w:rPr>
          <w:rFonts w:ascii="Verdana" w:hAnsi="Verdana"/>
          <w:lang w:val="pt-BR"/>
        </w:rPr>
        <w:t xml:space="preserve"> </w:t>
      </w:r>
    </w:p>
    <w:p>
      <w:pPr>
        <w:pStyle w:val="Level5"/>
        <w:numPr>
          <w:ilvl w:val="0"/>
          <w:numId w:val="0"/>
        </w:numPr>
        <w:tabs>
          <w:tab w:val="num" w:pos="1418"/>
        </w:tabs>
        <w:spacing w:after="0" w:line="320" w:lineRule="exact"/>
        <w:ind w:left="1418" w:hanging="709"/>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lastRenderedPageBreak/>
        <w:t>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(a.i) relatório consolidado da memória de cálculo, calculado pela Emissora e assinado pelo seu representante legal, obtido a partir dos números auditados da Emissora, explicitando todas as rubricas necessárias para a obtenção dos Índices Financeiros informado na Cláusula 7.2, item (xi), sob pena de impossibilidade de verificação pelo Agente Fiduciário, podendo este solicitar à Emissora todos os eventuais esclarecimentos adicionais que se façam necessários; e (a.ii)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 [</w:t>
      </w:r>
      <w:r>
        <w:rPr>
          <w:rFonts w:ascii="Verdana" w:hAnsi="Verdana"/>
          <w:highlight w:val="yellow"/>
          <w:lang w:val="pt-BR"/>
        </w:rPr>
        <w:t>Nota PNA: Ajustes realizados pelo AF</w:t>
      </w:r>
      <w:r>
        <w:rPr>
          <w:rFonts w:ascii="Verdana" w:hAnsi="Verdana"/>
          <w:lang w:val="pt-BR"/>
        </w:rPr>
        <w:t>]</w:t>
      </w:r>
    </w:p>
    <w:p>
      <w:pPr>
        <w:pStyle w:val="Level5"/>
        <w:numPr>
          <w:ilvl w:val="0"/>
          <w:numId w:val="0"/>
        </w:numPr>
        <w:tabs>
          <w:tab w:val="num" w:pos="1418"/>
        </w:tabs>
        <w:spacing w:after="0" w:line="320" w:lineRule="exact"/>
        <w:ind w:left="1418"/>
        <w:rPr>
          <w:rFonts w:ascii="Verdana" w:hAnsi="Verdana"/>
          <w:b/>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w:t>
      </w:r>
      <w:r>
        <w:rPr>
          <w:rFonts w:ascii="Verdana" w:hAnsi="Verdana"/>
          <w:lang w:val="pt-BR"/>
        </w:rPr>
        <w:lastRenderedPageBreak/>
        <w:t>essas demonstrações financeiras, ao sistema de contabilidade, à gestão ou às contas da Emissora;</w:t>
      </w:r>
    </w:p>
    <w:p>
      <w:pPr>
        <w:pStyle w:val="Level5"/>
        <w:numPr>
          <w:ilvl w:val="0"/>
          <w:numId w:val="0"/>
        </w:numPr>
        <w:tabs>
          <w:tab w:val="num" w:pos="1418"/>
        </w:tabs>
        <w:spacing w:after="0" w:line="320" w:lineRule="exact"/>
        <w:ind w:left="1418"/>
        <w:rPr>
          <w:rFonts w:ascii="Verdana" w:hAnsi="Verdana"/>
          <w:lang w:val="pt-BR"/>
        </w:rPr>
      </w:pPr>
      <w:bookmarkStart w:id="250" w:name="_DV_M446"/>
      <w:bookmarkStart w:id="251" w:name="_DV_M450"/>
      <w:bookmarkEnd w:id="250"/>
      <w:bookmarkEnd w:id="251"/>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Debenturistas, fatos relevantes e atas de assembleias que envolvam diretamente os interesses dos Debenturistas, até o 3º (terceiro) Dia Útil após respectiva divulgação ao mercado;</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em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Instrução CVM 583</w:t>
      </w:r>
      <w:r>
        <w:rPr>
          <w:rFonts w:ascii="Verdana" w:hAnsi="Verdana"/>
          <w:lang w:val="pt-BR"/>
        </w:rPr>
        <w:t xml:space="preserve">”); </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pPr>
        <w:pStyle w:val="Level5"/>
        <w:numPr>
          <w:ilvl w:val="0"/>
          <w:numId w:val="0"/>
        </w:numPr>
        <w:spacing w:after="0" w:line="320" w:lineRule="exact"/>
        <w:ind w:left="2041"/>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5 (cinco) Dias Úteis contados da data de sua divulgação, cópia do relatório de rating enviado pela Agência de Classificação de Risco;</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 organograma do grupo societário da Emissora, os dados financeiros e os atos societários necessários à realização do relatório mencionado na Cláusula 9.4, item (xiii)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pPr>
        <w:pStyle w:val="Level5"/>
        <w:numPr>
          <w:ilvl w:val="0"/>
          <w:numId w:val="0"/>
        </w:numPr>
        <w:tabs>
          <w:tab w:val="num" w:pos="1418"/>
        </w:tabs>
        <w:spacing w:after="0" w:line="320" w:lineRule="exact"/>
        <w:ind w:left="1418"/>
        <w:rPr>
          <w:rFonts w:ascii="Verdana" w:hAnsi="Verdana"/>
          <w:lang w:val="pt-BR"/>
        </w:rPr>
      </w:pPr>
    </w:p>
    <w:p>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via original arquivada na Junta Comercial competente das atas de Assembleias Gerais de Debenturistas.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enviar à B3 e à B3 – Segmento Cetip UTVM os documentos e informações exigidos por esta entidade, no prazo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comunicar a ocorrência de um Evento de Inadimplemento ao Agente Fiduciário, em até 1 (um) Dia Útil contado do seu conhecimento sobre o mesmo;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registro de companhia aberta, pelo menos como emissor categoria B, durante todo o prazo de vigência das Debêntures;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Poor's ou a Moody's, ou mediante contratação de agência de classificação de risco que não as mencionadas anteriormente, conforme venha a ser aprovada pelos Debenturistas, em sede de Assembleia Geral de Debenturistas, a ser realizada nos termos desta Escritura;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notificar em até 3 (três) Dias Úteis o Agente Fiduciário sobre qualquer ato ou fato que cause interrupção ou suspensão das atividades da Emissora, ou que alterem as condições econômicas, reputacionais ou financeiras da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pontualmente o pagamento dos serviços relacionados ao depósito das Debêntures custodiadas eletronicamente na B3 e/ou na B3 – Segmento Cetip UTVM;</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atualizada e efetuar os respectivos registros de acordo com as práticas contábeis adotadas no Brasil;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w:t>
      </w:r>
      <w:r>
        <w:rPr>
          <w:rFonts w:ascii="Verdana" w:hAnsi="Verdana"/>
          <w:lang w:val="pt-BR"/>
        </w:rPr>
        <w:lastRenderedPageBreak/>
        <w:t xml:space="preserve">administrativos devidamente descritos no Formulário de Referência na data de divulgação do Aviso ao Mercado;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seguro adequado para seus bens e ativos relevantes, conforme práticas correntes de mercado;</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 e/ou pela B3 – Segmento Cetip UTVM;</w:t>
      </w:r>
    </w:p>
    <w:p>
      <w:pPr>
        <w:pStyle w:val="Level4"/>
        <w:numPr>
          <w:ilvl w:val="0"/>
          <w:numId w:val="0"/>
        </w:numPr>
        <w:tabs>
          <w:tab w:val="num" w:pos="1701"/>
        </w:tabs>
        <w:spacing w:after="0" w:line="320" w:lineRule="exact"/>
        <w:ind w:left="1701" w:hanging="850"/>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obtidos por meio da Emissão das Debêntures estritamente conforme descrito na Cláusula 4;</w:t>
      </w:r>
    </w:p>
    <w:p>
      <w:pPr>
        <w:pStyle w:val="Level4"/>
        <w:numPr>
          <w:ilvl w:val="0"/>
          <w:numId w:val="0"/>
        </w:numPr>
        <w:spacing w:after="0" w:line="320" w:lineRule="exact"/>
        <w:ind w:left="1361"/>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dia o pagamento de todos os tributos devidos às Fazendas Federal, Estadual ou Municipal, exceto na hipótese de serem contestados de boa fé e desde que, neste caso, sejam provisionados de acordo com os princípios contábeis aplicáveis;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(f) o Formador de Mercado; e (g) os sistemas de distribuição e negociação das Debêntures nos mercados primário e secundário;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arcar com todos os custos decorrentes (a) da distribuição das Debêntures, incluindo todos os custos relativos ao seu registro na CVM, na ANBIMA, na B3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 e Formador de Mercado, conforme aplicável;</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guardar, pelo prazo de 5 (cinco) anos contados da presente data, toda a documentação relativa à Emissão;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as Debêntures depositadas para negociação junto ao CETIP21 e ao PUMA durante todo o prazo de vigência das Debêntures e efetuar pontualmente o pagamento dos serviços relacionados ao depósito das Debêntures no CETIP21 e no PUMA;</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bookmarkStart w:id="252" w:name="_Ref130308404"/>
      <w:bookmarkStart w:id="253" w:name="_Ref140675885"/>
      <w:r>
        <w:rPr>
          <w:rFonts w:ascii="Verdana" w:hAnsi="Verdana"/>
          <w:lang w:val="pt-BR"/>
        </w:rPr>
        <w:t xml:space="preserve">fornecer ao Coordenador Líder, desde que solicitado com pelo menos 5 (cinco) dias de antecedência (ou em prazo menor, caso exigido para cumprir determinações de autoridades competentes) a </w:t>
      </w:r>
      <w:r>
        <w:rPr>
          <w:rFonts w:ascii="Verdana" w:hAnsi="Verdana"/>
          <w:lang w:val="pt-BR"/>
        </w:rPr>
        <w:lastRenderedPageBreak/>
        <w:t>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52"/>
      <w:bookmarkEnd w:id="253"/>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cumprir e adotar medidas para que suas controladas cumpram a </w:t>
      </w:r>
      <w:bookmarkStart w:id="254" w:name="_Hlk471323"/>
      <w:r>
        <w:rPr>
          <w:rFonts w:ascii="Verdana" w:hAnsi="Verdana"/>
          <w:lang w:val="pt-BR"/>
        </w:rPr>
        <w:t>legislação ambiental em vigor, incluindo, mas não se limitando, a legislação pertinente à Política Nacional do Meio Ambiente e Resoluções do CONAMA – Conselho Nacional do Meio Ambiente (“</w:t>
      </w:r>
      <w:r>
        <w:rPr>
          <w:rFonts w:ascii="Verdana" w:hAnsi="Verdana"/>
          <w:u w:val="single"/>
          <w:lang w:val="pt-BR"/>
        </w:rPr>
        <w:t>Leis Ambientais</w:t>
      </w:r>
      <w:r>
        <w:rPr>
          <w:rFonts w:ascii="Verdana" w:hAnsi="Verdana"/>
          <w:lang w:val="pt-BR"/>
        </w:rPr>
        <w:t>”), além da legislação trabalhista em vigor (“</w:t>
      </w:r>
      <w:r>
        <w:rPr>
          <w:rFonts w:ascii="Verdana" w:hAnsi="Verdana"/>
          <w:u w:val="single"/>
          <w:lang w:val="pt-BR"/>
        </w:rPr>
        <w:t>Leis Trabalhistas</w:t>
      </w:r>
      <w:r>
        <w:rPr>
          <w:rFonts w:ascii="Verdana" w:hAnsi="Verdana"/>
          <w:lang w:val="pt-BR"/>
        </w:rPr>
        <w:t>” e, em conjunto com Leis Ambientais, as “</w:t>
      </w:r>
      <w:r>
        <w:rPr>
          <w:rFonts w:ascii="Verdana" w:hAnsi="Verdana"/>
          <w:u w:val="single"/>
          <w:lang w:val="pt-BR"/>
        </w:rPr>
        <w:t>Leis Ambientais e Trabalhistas</w:t>
      </w:r>
      <w:r>
        <w:rPr>
          <w:rFonts w:ascii="Verdana" w:hAnsi="Verdana"/>
          <w:lang w:val="pt-BR"/>
        </w:rPr>
        <w:t>”)</w:t>
      </w:r>
      <w:bookmarkEnd w:id="254"/>
      <w:r>
        <w:rPr>
          <w:rFonts w:ascii="Verdana" w:hAnsi="Verdana"/>
          <w:lang w:val="pt-BR"/>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spacing w:line="320" w:lineRule="exact"/>
        <w:rPr>
          <w:rFonts w:ascii="Verdana" w:hAnsi="Verdana"/>
          <w:sz w:val="20"/>
          <w:szCs w:val="20"/>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não votar, realizar ou permitir que seja votada ou realizada, por ocasião de qualquer alteração do estatuto social da Emissora, matérias que afetem de forma adversa a continuidade de seus negócios;</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não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US Foreign Corrupt Practices Act</w:t>
      </w:r>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UK Bribery Act</w:t>
      </w:r>
      <w:r>
        <w:rPr>
          <w:rFonts w:ascii="Verdana" w:hAnsi="Verdana"/>
          <w:lang w:val="pt-BR"/>
        </w:rPr>
        <w:t xml:space="preserve"> ou qualquer legislação ou regulamentação aplicável que implemente o </w:t>
      </w:r>
      <w:r>
        <w:rPr>
          <w:rFonts w:ascii="Verdana" w:hAnsi="Verdana"/>
          <w:i/>
          <w:lang w:val="pt-BR"/>
        </w:rPr>
        <w:t>OECD Convention on Combating Bribery of Foreign Public Officials in International Business Transactions</w:t>
      </w:r>
      <w:r>
        <w:rPr>
          <w:rFonts w:ascii="Verdana" w:hAnsi="Verdana"/>
          <w:lang w:val="pt-BR"/>
        </w:rPr>
        <w:t>, conforme aplicáveis (“</w:t>
      </w:r>
      <w:r>
        <w:rPr>
          <w:rFonts w:ascii="Verdana" w:hAnsi="Verdana"/>
          <w:u w:val="single"/>
          <w:lang w:val="pt-BR"/>
        </w:rPr>
        <w:t>Leis Anticorrupção</w:t>
      </w:r>
      <w:r>
        <w:rPr>
          <w:rFonts w:ascii="Verdana" w:hAnsi="Verdana"/>
          <w:lang w:val="pt-BR"/>
        </w:rPr>
        <w:t xml:space="preserve">”),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 </w:t>
      </w:r>
    </w:p>
    <w:p>
      <w:pPr>
        <w:pStyle w:val="Level4"/>
        <w:numPr>
          <w:ilvl w:val="0"/>
          <w:numId w:val="0"/>
        </w:numPr>
        <w:tabs>
          <w:tab w:val="num" w:pos="1418"/>
        </w:tabs>
        <w:spacing w:after="0" w:line="320" w:lineRule="exact"/>
        <w:ind w:left="1418" w:hanging="709"/>
        <w:rPr>
          <w:rFonts w:ascii="Verdana" w:hAnsi="Verdana"/>
          <w:lang w:val="pt-BR"/>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praticar todos os atos que se fizerem necessários para a manutenção dos Projetos como prioritários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w:t>
      </w:r>
      <w:r>
        <w:rPr>
          <w:rFonts w:ascii="Verdana" w:hAnsi="Verdana"/>
          <w:lang w:val="pt-BR"/>
        </w:rPr>
        <w:lastRenderedPageBreak/>
        <w:t xml:space="preserve">dos Projetos como prioritários, nos termos do artigo 1º, parágrafo 8º da Lei 12.431; </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pPr>
        <w:pStyle w:val="PargrafodaLista"/>
        <w:spacing w:line="320" w:lineRule="exact"/>
        <w:rPr>
          <w:rFonts w:ascii="Verdana" w:hAnsi="Verdana"/>
          <w:sz w:val="20"/>
          <w:szCs w:val="20"/>
        </w:rPr>
      </w:pPr>
    </w:p>
    <w:p>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pPr>
        <w:spacing w:after="0" w:line="320" w:lineRule="exact"/>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Segmento Cetip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pPr>
        <w:keepLines/>
        <w:spacing w:after="0" w:line="320" w:lineRule="exact"/>
        <w:ind w:left="720"/>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5" w:name="_Hlk370364"/>
      <w:r>
        <w:rPr>
          <w:rFonts w:ascii="Verdana" w:hAnsi="Verdana"/>
          <w:sz w:val="20"/>
          <w:szCs w:val="20"/>
        </w:rPr>
        <w:lastRenderedPageBreak/>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56" w:name="_Hlk482699"/>
      <w:r>
        <w:rPr>
          <w:rFonts w:ascii="Verdana" w:hAnsi="Verdana"/>
          <w:sz w:val="20"/>
          <w:szCs w:val="20"/>
        </w:rPr>
        <w:t>a ocorrência de alteração adversa relevante nas condições econômicas, financeiras, reputacionais ou operacionais da Emissora que (i) impacte de forma significativa a capacidade de cumprimento pontual das obrigações assumidas pela Emissora perante os Debenturistas, nos termos desta Escritura e/ou (ii) impacte de forma significativa a capacidade jurídica e/ou econômico-financeira da Emissora para cumprir qualquer de suas obrigações previstas nos termos desta Escritura e/ou dos demais documentos da Oferta, conforme aplicável, e/ou (iii) decorrente de decisão administrativa, arbitral ou judicial com efeitos imediatos, que tenha impactado de forma significativa e negativa a imagem ou a reputação da Emissora e/ou de quaisquer de suas controladas</w:t>
      </w:r>
      <w:bookmarkEnd w:id="256"/>
      <w:r>
        <w:rPr>
          <w:rFonts w:ascii="Verdana" w:hAnsi="Verdana"/>
          <w:sz w:val="20"/>
          <w:szCs w:val="20"/>
        </w:rPr>
        <w:t>;</w:t>
      </w:r>
      <w:bookmarkEnd w:id="255"/>
      <w:r>
        <w:rPr>
          <w:rFonts w:ascii="Verdana" w:hAnsi="Verdana"/>
          <w:sz w:val="20"/>
          <w:szCs w:val="20"/>
        </w:rPr>
        <w:t xml:space="preserve"> </w:t>
      </w:r>
    </w:p>
    <w:p>
      <w:pPr>
        <w:spacing w:after="0" w:line="320" w:lineRule="exact"/>
        <w:jc w:val="both"/>
        <w:rPr>
          <w:rFonts w:ascii="Verdana" w:hAnsi="Verdana"/>
          <w:sz w:val="20"/>
          <w:szCs w:val="20"/>
        </w:rPr>
      </w:pPr>
    </w:p>
    <w:p>
      <w:pPr>
        <w:keepLines/>
        <w:numPr>
          <w:ilvl w:val="0"/>
          <w:numId w:val="23"/>
        </w:numPr>
        <w:spacing w:after="0" w:line="320" w:lineRule="exact"/>
        <w:ind w:left="851" w:hanging="851"/>
        <w:jc w:val="both"/>
        <w:rPr>
          <w:rFonts w:ascii="Verdana" w:hAnsi="Verdana"/>
          <w:smallCaps/>
          <w:sz w:val="20"/>
          <w:szCs w:val="20"/>
          <w:u w:val="single"/>
        </w:rPr>
      </w:pPr>
      <w:bookmarkStart w:id="257" w:name="_DV_M298"/>
      <w:bookmarkEnd w:id="257"/>
      <w:r>
        <w:rPr>
          <w:rFonts w:ascii="Verdana" w:hAnsi="Verdana"/>
          <w:smallCaps/>
          <w:sz w:val="20"/>
          <w:szCs w:val="20"/>
          <w:u w:val="single"/>
        </w:rPr>
        <w:t xml:space="preserve">Agente Fiduciário </w:t>
      </w:r>
    </w:p>
    <w:p>
      <w:pPr>
        <w:spacing w:after="0" w:line="320" w:lineRule="exact"/>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58" w:name="_DV_M300"/>
      <w:bookmarkStart w:id="259" w:name="_Toc499990371"/>
      <w:bookmarkEnd w:id="258"/>
      <w:r>
        <w:rPr>
          <w:rFonts w:ascii="Verdana" w:hAnsi="Verdana"/>
          <w:i/>
          <w:sz w:val="20"/>
          <w:szCs w:val="20"/>
          <w:u w:val="single"/>
        </w:rPr>
        <w:t>Nomeação</w:t>
      </w:r>
      <w:r>
        <w:rPr>
          <w:rFonts w:ascii="Verdana" w:hAnsi="Verdana"/>
          <w:i/>
          <w:sz w:val="20"/>
          <w:szCs w:val="20"/>
        </w:rPr>
        <w:t xml:space="preserve">. </w:t>
      </w:r>
      <w:bookmarkStart w:id="260" w:name="_DV_M301"/>
      <w:bookmarkEnd w:id="260"/>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pPr>
        <w:spacing w:after="0" w:line="320" w:lineRule="exact"/>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 xml:space="preserve">(ii) quinta emissão de debêntures simples, da espécie quirografária, da COMGÁS, em série única, no valor de R$675.000.000,00 </w:t>
      </w:r>
      <w:r>
        <w:rPr>
          <w:rFonts w:ascii="Verdana" w:hAnsi="Verdana"/>
          <w:iCs/>
          <w:sz w:val="20"/>
          <w:szCs w:val="20"/>
        </w:rPr>
        <w:lastRenderedPageBreak/>
        <w:t>(seiscentos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r>
        <w:rPr>
          <w:rFonts w:ascii="Verdana" w:hAnsi="Verdana"/>
          <w:b/>
          <w:sz w:val="20"/>
          <w:szCs w:val="20"/>
          <w:highlight w:val="yellow"/>
        </w:rPr>
        <w:t>[Nota Lefosse: AF, favor atualizar.]</w:t>
      </w:r>
    </w:p>
    <w:p>
      <w:pPr>
        <w:spacing w:after="0" w:line="320" w:lineRule="exact"/>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w:t>
      </w:r>
      <w:r>
        <w:rPr>
          <w:rFonts w:ascii="Verdana" w:hAnsi="Verdana"/>
          <w:sz w:val="20"/>
          <w:szCs w:val="20"/>
        </w:rPr>
        <w:lastRenderedPageBreak/>
        <w:t>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spacing w:after="0" w:line="320" w:lineRule="exact"/>
        <w:ind w:left="720" w:hanging="1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pPr>
        <w:spacing w:after="0" w:line="320" w:lineRule="exact"/>
        <w:ind w:left="720" w:hanging="720"/>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pPr>
        <w:spacing w:after="0" w:line="320" w:lineRule="exact"/>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61" w:name="_DV_M302"/>
      <w:bookmarkEnd w:id="261"/>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2" w:name="_DV_M303"/>
      <w:bookmarkEnd w:id="262"/>
      <w:r>
        <w:rPr>
          <w:rFonts w:ascii="Verdana" w:hAnsi="Verdana"/>
          <w:sz w:val="20"/>
          <w:szCs w:val="20"/>
        </w:rPr>
        <w:t>O Agente Fiduciário, neste ato assim nomeado, declara, sob as penas da lei:</w:t>
      </w:r>
    </w:p>
    <w:p>
      <w:pPr>
        <w:spacing w:after="0" w:line="320" w:lineRule="exact"/>
        <w:ind w:left="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3" w:name="_DV_M304"/>
      <w:bookmarkEnd w:id="263"/>
      <w:r>
        <w:rPr>
          <w:rFonts w:ascii="Verdana" w:hAnsi="Verdana"/>
          <w:sz w:val="20"/>
          <w:szCs w:val="20"/>
        </w:rPr>
        <w:t>não ter nenhum impedimento legal, conforme parágrafo 3º do artigo 66 da Lei das Sociedades por Ações e o artigo 6º da Instrução CVM 583, para exercer a função que lhe é conferida;</w:t>
      </w:r>
    </w:p>
    <w:p>
      <w:pPr>
        <w:pStyle w:val="PargrafodaLista"/>
        <w:spacing w:line="320" w:lineRule="exact"/>
        <w:ind w:left="1418" w:hanging="709"/>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4" w:name="_DV_M305"/>
      <w:bookmarkEnd w:id="264"/>
      <w:r>
        <w:rPr>
          <w:rFonts w:ascii="Verdana" w:hAnsi="Verdana"/>
          <w:sz w:val="20"/>
          <w:szCs w:val="20"/>
        </w:rPr>
        <w:t>aceitar a função que lhe é conferida, assumindo integralmente os deveres e atribuições previstos na legislação específica e nesta Escritura;</w:t>
      </w:r>
    </w:p>
    <w:p>
      <w:pPr>
        <w:pStyle w:val="PargrafodaLista"/>
        <w:spacing w:line="320" w:lineRule="exact"/>
        <w:ind w:left="1418" w:hanging="709"/>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5" w:name="_DV_M306"/>
      <w:bookmarkEnd w:id="265"/>
      <w:r>
        <w:rPr>
          <w:rFonts w:ascii="Verdana" w:hAnsi="Verdana"/>
          <w:sz w:val="20"/>
          <w:szCs w:val="20"/>
        </w:rPr>
        <w:lastRenderedPageBreak/>
        <w:t>estar ciente da regulamentação aplicável proferida pelo BACEN e pela CVM, incluindo, sem limitação, a Circular do BACEN nº 1.832, de 31 de outubro de 1990, conforme alterada;</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6" w:name="_DV_M307"/>
      <w:bookmarkEnd w:id="266"/>
      <w:r>
        <w:rPr>
          <w:rFonts w:ascii="Verdana" w:hAnsi="Verdana"/>
          <w:sz w:val="20"/>
          <w:szCs w:val="20"/>
        </w:rPr>
        <w:t>não ter qualquer ligação com a Emissora que o impeça de exercer suas funções;</w:t>
      </w:r>
    </w:p>
    <w:p>
      <w:pPr>
        <w:pStyle w:val="PargrafodaLista"/>
        <w:spacing w:line="320" w:lineRule="exact"/>
        <w:ind w:left="1701" w:hanging="850"/>
        <w:jc w:val="both"/>
        <w:rPr>
          <w:rFonts w:ascii="Verdana" w:hAnsi="Verdana"/>
          <w:sz w:val="20"/>
          <w:szCs w:val="20"/>
        </w:rPr>
      </w:pPr>
      <w:bookmarkStart w:id="267" w:name="_DV_M308"/>
      <w:bookmarkStart w:id="268" w:name="_DV_M309"/>
      <w:bookmarkEnd w:id="267"/>
      <w:bookmarkEnd w:id="268"/>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estar devidamente autorizado a celebrar esta Escritura e a cumprir com suas obrigações aqui previstas, tendo sido satisfeitos todos os requisitos legais e estatutários necessários para tanto;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69" w:name="_DV_X471"/>
      <w:bookmarkStart w:id="270" w:name="_DV_C422"/>
      <w:r>
        <w:rPr>
          <w:rFonts w:ascii="Verdana" w:hAnsi="Verdana"/>
          <w:sz w:val="20"/>
          <w:szCs w:val="20"/>
        </w:rPr>
        <w:t>não se encontrar em nenhuma das situações de conflito de interesse previstas no artigo 6º da Instrução CVM 583;</w:t>
      </w:r>
      <w:bookmarkEnd w:id="269"/>
      <w:bookmarkEnd w:id="270"/>
      <w:r>
        <w:rPr>
          <w:rFonts w:ascii="Verdana" w:hAnsi="Verdana"/>
          <w:sz w:val="20"/>
          <w:szCs w:val="20"/>
        </w:rPr>
        <w:t xml:space="preserve"> </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1" w:name="_DV_C423"/>
      <w:r>
        <w:rPr>
          <w:rFonts w:ascii="Verdana" w:hAnsi="Verdana"/>
          <w:sz w:val="20"/>
          <w:szCs w:val="20"/>
        </w:rPr>
        <w:t>estar devidamente qualificado a exercer as atividades de agente fiduciário, nos termos da regulamentação aplicável vigente;</w:t>
      </w:r>
      <w:bookmarkEnd w:id="271"/>
      <w:r>
        <w:rPr>
          <w:rFonts w:ascii="Verdana" w:hAnsi="Verdana"/>
          <w:sz w:val="20"/>
          <w:szCs w:val="20"/>
        </w:rPr>
        <w:t xml:space="preserve"> </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2" w:name="_DV_C424"/>
      <w:r>
        <w:rPr>
          <w:rFonts w:ascii="Verdana" w:hAnsi="Verdana"/>
          <w:sz w:val="20"/>
          <w:szCs w:val="20"/>
        </w:rPr>
        <w:t xml:space="preserve">que </w:t>
      </w:r>
      <w:bookmarkStart w:id="273" w:name="_DV_X465"/>
      <w:bookmarkStart w:id="274" w:name="_DV_C425"/>
      <w:bookmarkEnd w:id="272"/>
      <w:r>
        <w:rPr>
          <w:rFonts w:ascii="Verdana" w:hAnsi="Verdana"/>
          <w:sz w:val="20"/>
          <w:szCs w:val="20"/>
        </w:rPr>
        <w:t>esta Escritura constitui uma obrigação legal, válida</w:t>
      </w:r>
      <w:bookmarkStart w:id="275" w:name="_DV_C426"/>
      <w:bookmarkEnd w:id="273"/>
      <w:bookmarkEnd w:id="274"/>
      <w:r>
        <w:rPr>
          <w:rFonts w:ascii="Verdana" w:hAnsi="Verdana"/>
          <w:sz w:val="20"/>
          <w:szCs w:val="20"/>
        </w:rPr>
        <w:t>, vinculativa e eficaz</w:t>
      </w:r>
      <w:bookmarkStart w:id="276" w:name="_DV_X467"/>
      <w:bookmarkStart w:id="277" w:name="_DV_C427"/>
      <w:bookmarkEnd w:id="275"/>
      <w:r>
        <w:rPr>
          <w:rFonts w:ascii="Verdana" w:hAnsi="Verdana"/>
          <w:sz w:val="20"/>
          <w:szCs w:val="20"/>
        </w:rPr>
        <w:t xml:space="preserve"> do Agente Fiduciário, exequível de acordo com os seus termos e condições;</w:t>
      </w:r>
      <w:bookmarkEnd w:id="276"/>
      <w:bookmarkEnd w:id="277"/>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bookmarkStart w:id="278" w:name="_DV_M310"/>
      <w:bookmarkEnd w:id="278"/>
      <w:r>
        <w:rPr>
          <w:rFonts w:ascii="Verdana" w:hAnsi="Verdana"/>
          <w:sz w:val="20"/>
          <w:szCs w:val="20"/>
        </w:rPr>
        <w:t xml:space="preserve">que a celebração desta Escritura e o cumprimento de suas obrigações aqui previstas não infringem qualquer obrigação anteriormente assumida pelo Agente Fiduciário; </w:t>
      </w:r>
    </w:p>
    <w:p>
      <w:pPr>
        <w:pStyle w:val="PargrafodaLista"/>
        <w:spacing w:line="320" w:lineRule="exact"/>
        <w:ind w:left="1701" w:hanging="850"/>
        <w:jc w:val="both"/>
        <w:rPr>
          <w:rFonts w:ascii="Verdana" w:hAnsi="Verdana"/>
          <w:sz w:val="20"/>
          <w:szCs w:val="20"/>
        </w:rPr>
      </w:pPr>
      <w:bookmarkStart w:id="279" w:name="_DV_M313"/>
      <w:bookmarkEnd w:id="279"/>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lastRenderedPageBreak/>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pPr>
        <w:pStyle w:val="PargrafodaLista"/>
        <w:spacing w:line="320" w:lineRule="exact"/>
        <w:ind w:left="1701" w:hanging="850"/>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governamentais, autarquias ou tribunais, aplicáveis à condução de seus negócios; e</w:t>
      </w:r>
    </w:p>
    <w:p>
      <w:pPr>
        <w:pStyle w:val="PargrafodaLista"/>
        <w:spacing w:line="320" w:lineRule="exact"/>
        <w:ind w:left="1701" w:hanging="850"/>
        <w:jc w:val="both"/>
        <w:rPr>
          <w:rFonts w:ascii="Verdana" w:hAnsi="Verdana"/>
          <w:sz w:val="20"/>
          <w:szCs w:val="20"/>
        </w:rPr>
      </w:pPr>
    </w:p>
    <w:p>
      <w:pPr>
        <w:pStyle w:val="PargrafodaLista"/>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pPr>
        <w:pStyle w:val="PargrafodaLista"/>
        <w:spacing w:line="320" w:lineRule="exact"/>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80" w:name="_DV_M314"/>
      <w:bookmarkStart w:id="281" w:name="_DV_M315"/>
      <w:bookmarkEnd w:id="280"/>
      <w:bookmarkEnd w:id="281"/>
      <w:r>
        <w:rPr>
          <w:rFonts w:ascii="Verdana" w:hAnsi="Verdana"/>
          <w:i/>
          <w:sz w:val="20"/>
          <w:szCs w:val="20"/>
          <w:u w:val="single"/>
        </w:rPr>
        <w:t>Substituição</w:t>
      </w:r>
      <w:r>
        <w:rPr>
          <w:rFonts w:ascii="Verdana" w:hAnsi="Verdana"/>
          <w:sz w:val="20"/>
          <w:szCs w:val="20"/>
        </w:rPr>
        <w:t xml:space="preserve">. </w:t>
      </w:r>
      <w:bookmarkStart w:id="282" w:name="_DV_M316"/>
      <w:bookmarkEnd w:id="282"/>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pPr>
        <w:spacing w:after="0" w:line="320" w:lineRule="exact"/>
        <w:ind w:left="709"/>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83" w:name="_DV_M317"/>
      <w:bookmarkEnd w:id="283"/>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lastRenderedPageBreak/>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4" w:name="_DV_M318"/>
      <w:bookmarkEnd w:id="284"/>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pPr>
        <w:pStyle w:val="PargrafodaLista"/>
        <w:spacing w:line="320" w:lineRule="exact"/>
        <w:ind w:left="1080"/>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85" w:name="_DV_M319"/>
      <w:bookmarkEnd w:id="285"/>
    </w:p>
    <w:p>
      <w:pPr>
        <w:pStyle w:val="PargrafodaLista"/>
        <w:spacing w:line="320" w:lineRule="exact"/>
        <w:ind w:left="1418" w:hanging="709"/>
        <w:jc w:val="both"/>
        <w:rPr>
          <w:rFonts w:ascii="Verdana" w:hAnsi="Verdana"/>
          <w:sz w:val="20"/>
          <w:szCs w:val="20"/>
        </w:rPr>
      </w:pPr>
    </w:p>
    <w:p>
      <w:pPr>
        <w:pStyle w:val="PargrafodaLista"/>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JUCEPAR</w:t>
      </w:r>
      <w:r>
        <w:rPr>
          <w:rFonts w:ascii="Verdana" w:hAnsi="Verdana"/>
          <w:sz w:val="20"/>
          <w:szCs w:val="20"/>
        </w:rPr>
        <w:t>.</w:t>
      </w:r>
    </w:p>
    <w:p>
      <w:pPr>
        <w:pStyle w:val="PargrafodaLista"/>
        <w:spacing w:line="320" w:lineRule="exact"/>
        <w:ind w:left="108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86" w:name="_DV_M320"/>
      <w:bookmarkEnd w:id="286"/>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lastRenderedPageBreak/>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87" w:name="_DV_M321"/>
      <w:bookmarkStart w:id="288" w:name="_Ref314580857"/>
      <w:bookmarkEnd w:id="287"/>
    </w:p>
    <w:p>
      <w:pPr>
        <w:pStyle w:val="PargrafodaLista"/>
        <w:spacing w:line="320" w:lineRule="exact"/>
        <w:ind w:left="720"/>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89" w:name="_DV_M322"/>
      <w:bookmarkEnd w:id="288"/>
      <w:bookmarkEnd w:id="289"/>
    </w:p>
    <w:p>
      <w:pPr>
        <w:pStyle w:val="PargrafodaLista"/>
        <w:spacing w:line="320" w:lineRule="exact"/>
        <w:ind w:left="851" w:hanging="851"/>
        <w:jc w:val="both"/>
        <w:rPr>
          <w:rFonts w:ascii="Verdana" w:hAnsi="Verdana"/>
          <w:sz w:val="20"/>
          <w:szCs w:val="20"/>
        </w:rPr>
      </w:pPr>
    </w:p>
    <w:p>
      <w:pPr>
        <w:pStyle w:val="PargrafodaLista"/>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pPr>
        <w:spacing w:after="0" w:line="320" w:lineRule="exact"/>
        <w:ind w:left="851" w:hanging="851"/>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90" w:name="_DV_M323"/>
      <w:bookmarkEnd w:id="290"/>
      <w:r>
        <w:rPr>
          <w:rFonts w:ascii="Verdana" w:hAnsi="Verdana"/>
          <w:i/>
          <w:sz w:val="20"/>
          <w:szCs w:val="20"/>
          <w:u w:val="single"/>
        </w:rPr>
        <w:t>Deveres</w:t>
      </w:r>
      <w:r>
        <w:rPr>
          <w:rFonts w:ascii="Verdana" w:hAnsi="Verdana"/>
          <w:sz w:val="20"/>
          <w:szCs w:val="20"/>
        </w:rPr>
        <w:t xml:space="preserve">. </w:t>
      </w:r>
      <w:bookmarkStart w:id="291" w:name="_DV_M324"/>
      <w:bookmarkStart w:id="292" w:name="_Ref312402766"/>
      <w:bookmarkEnd w:id="291"/>
      <w:r>
        <w:rPr>
          <w:rFonts w:ascii="Verdana" w:hAnsi="Verdana"/>
          <w:sz w:val="20"/>
          <w:szCs w:val="20"/>
        </w:rPr>
        <w:t>Além de outros previstos em lei, em ato normativo da CVM, em especial a Instrução CVM 583, ou nesta Escritura, constituem deveres e atribuições do Agente Fiduciário:</w:t>
      </w:r>
      <w:bookmarkEnd w:id="292"/>
    </w:p>
    <w:p>
      <w:pPr>
        <w:spacing w:after="0" w:line="320" w:lineRule="exact"/>
        <w:ind w:left="709"/>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3" w:name="_DV_M325"/>
      <w:bookmarkEnd w:id="293"/>
      <w:r>
        <w:rPr>
          <w:rFonts w:ascii="Verdana" w:hAnsi="Verdana"/>
          <w:sz w:val="20"/>
          <w:szCs w:val="20"/>
        </w:rPr>
        <w:t>exercer suas atividades com boa fé, transparência e lealdade para com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4" w:name="_DV_M326"/>
      <w:bookmarkEnd w:id="294"/>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5" w:name="_DV_M327"/>
      <w:bookmarkEnd w:id="295"/>
      <w:r>
        <w:rPr>
          <w:rFonts w:ascii="Verdana" w:hAnsi="Verdana"/>
          <w:sz w:val="20"/>
          <w:szCs w:val="20"/>
        </w:rPr>
        <w:t>conservar em boa guarda toda a documentação relativa ao exercício de suas funções;</w:t>
      </w:r>
    </w:p>
    <w:p>
      <w:pPr>
        <w:pStyle w:val="PargrafodaLista"/>
        <w:tabs>
          <w:tab w:val="left" w:pos="1701"/>
        </w:tabs>
        <w:spacing w:line="320" w:lineRule="exact"/>
        <w:ind w:left="1701" w:hanging="850"/>
        <w:jc w:val="both"/>
        <w:rPr>
          <w:rFonts w:ascii="Verdana" w:hAnsi="Verdana"/>
          <w:sz w:val="20"/>
          <w:szCs w:val="20"/>
        </w:rPr>
      </w:pPr>
      <w:bookmarkStart w:id="296" w:name="_DV_M328"/>
      <w:bookmarkEnd w:id="296"/>
    </w:p>
    <w:p>
      <w:pPr>
        <w:pStyle w:val="PargrafodaLista"/>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 xml:space="preserve">verificar, no momento de aceitar a função, a veracidade e a consistência das demais informações contidas nesta Escritura, </w:t>
      </w:r>
      <w:r>
        <w:rPr>
          <w:rFonts w:ascii="Verdana" w:hAnsi="Verdana"/>
          <w:sz w:val="20"/>
          <w:szCs w:val="20"/>
        </w:rPr>
        <w:lastRenderedPageBreak/>
        <w:t>diligenciando para que sejam sanadas as omissões, falhas ou defeitos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7" w:name="_DV_M329"/>
      <w:bookmarkEnd w:id="297"/>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8" w:name="_DV_M330"/>
      <w:bookmarkEnd w:id="298"/>
      <w:r>
        <w:rPr>
          <w:rFonts w:ascii="Verdana" w:hAnsi="Verdana"/>
          <w:sz w:val="20"/>
          <w:szCs w:val="20"/>
        </w:rPr>
        <w:t>acompanhar a prestação das informações periódicas pela Emissora e alertar os Debenturistas, no relatório anual de que trata o inciso (xiii) abaixo, sobre inconsistências ou omissões de que tenha conhecimento;</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299" w:name="_DV_M331"/>
      <w:bookmarkEnd w:id="299"/>
      <w:r>
        <w:rPr>
          <w:rFonts w:ascii="Verdana" w:hAnsi="Verdana"/>
          <w:sz w:val="20"/>
          <w:szCs w:val="20"/>
        </w:rPr>
        <w:t>opinar sobre a suficiência das informações prestadas nas propostas de modificações das condições das Debêntures;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0" w:name="_DV_M332"/>
      <w:bookmarkEnd w:id="300"/>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1" w:name="_DV_M333"/>
      <w:bookmarkEnd w:id="301"/>
      <w:r>
        <w:rPr>
          <w:rFonts w:ascii="Verdana" w:hAnsi="Verdana"/>
          <w:sz w:val="20"/>
          <w:szCs w:val="20"/>
        </w:rPr>
        <w:t xml:space="preserve">solicitar, quando considerar necessário, auditoria extraordinária na Emissora, cujos custos deverão ser arcados pela Emissora;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2" w:name="_DV_M334"/>
      <w:bookmarkEnd w:id="302"/>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3" w:name="_DV_M335"/>
      <w:bookmarkEnd w:id="303"/>
      <w:r>
        <w:rPr>
          <w:rFonts w:ascii="Verdana" w:hAnsi="Verdana"/>
          <w:sz w:val="20"/>
          <w:szCs w:val="20"/>
        </w:rPr>
        <w:t>comparecer à Assembleia Geral de Debenturistas a fim de prestar as informações que lhe forem solicitadas;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1"/>
        </w:numPr>
        <w:tabs>
          <w:tab w:val="left" w:pos="1701"/>
        </w:tabs>
        <w:spacing w:line="320" w:lineRule="exact"/>
        <w:ind w:left="1701" w:hanging="850"/>
        <w:jc w:val="both"/>
        <w:rPr>
          <w:rFonts w:ascii="Verdana" w:hAnsi="Verdana"/>
          <w:sz w:val="20"/>
          <w:szCs w:val="20"/>
        </w:rPr>
      </w:pPr>
      <w:bookmarkStart w:id="304" w:name="_DV_M336"/>
      <w:bookmarkStart w:id="305" w:name="_Ref312402759"/>
      <w:bookmarkEnd w:id="304"/>
      <w:r>
        <w:rPr>
          <w:rFonts w:ascii="Verdana" w:hAnsi="Verdana"/>
          <w:sz w:val="20"/>
          <w:szCs w:val="20"/>
        </w:rPr>
        <w:t xml:space="preserve">elaborar relatório anual destinado aos Debenturistas, nos termos do artigo 68, parágrafo 1º, alínea (b) da Lei das Sociedades por Ações e nos termos da Instrução CVM 583, a fim de descrever os fatos relevantes ocorridos durante o exercício relativos à execução das </w:t>
      </w:r>
      <w:r>
        <w:rPr>
          <w:rFonts w:ascii="Verdana" w:hAnsi="Verdana"/>
          <w:sz w:val="20"/>
          <w:szCs w:val="20"/>
        </w:rPr>
        <w:lastRenderedPageBreak/>
        <w:t>obrigações assumidas pela Emissora, o qual deverá conter, ao menos, as seguintes informações:</w:t>
      </w:r>
      <w:bookmarkEnd w:id="305"/>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6" w:name="_DV_M337"/>
      <w:bookmarkEnd w:id="306"/>
      <w:r>
        <w:rPr>
          <w:rFonts w:ascii="Verdana" w:hAnsi="Verdana"/>
          <w:sz w:val="20"/>
          <w:szCs w:val="20"/>
        </w:rPr>
        <w:t>cumprimento pela Emissora das suas obrigações de prestação de informações periódicas, indicando as inconsistências ou omissões de que tenha conhecimento;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7" w:name="_DV_M338"/>
      <w:bookmarkEnd w:id="307"/>
      <w:r>
        <w:rPr>
          <w:rFonts w:ascii="Verdana" w:hAnsi="Verdana"/>
          <w:sz w:val="20"/>
          <w:szCs w:val="20"/>
        </w:rPr>
        <w:t>alterações estatutárias ocorridas no exercício social com efeitos relevantes para os Debenturistas;</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8" w:name="_DV_M339"/>
      <w:bookmarkEnd w:id="308"/>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destinadas a proteger o interesse dos Debenturistas e que estabelecem condições que não devem ser descumpridas pela Emissora</w:t>
      </w:r>
      <w:r>
        <w:rPr>
          <w:rFonts w:ascii="Verdana" w:hAnsi="Verdana"/>
          <w:sz w:val="20"/>
          <w:szCs w:val="20"/>
        </w:rPr>
        <w:t>;</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09" w:name="_DV_M340"/>
      <w:bookmarkEnd w:id="309"/>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0" w:name="_DV_M341"/>
      <w:bookmarkEnd w:id="310"/>
      <w:r>
        <w:rPr>
          <w:rFonts w:ascii="Verdana" w:hAnsi="Verdana"/>
          <w:sz w:val="20"/>
          <w:szCs w:val="20"/>
        </w:rPr>
        <w:t>resgate, amortização, conversão, repactuação e pagamento de Juros Remuneratórios das Debêntures realizados no período;</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constituição e aplicações do fundo de amortização ou de outros tipos fundos,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1" w:name="_DV_M342"/>
      <w:bookmarkEnd w:id="311"/>
      <w:r>
        <w:rPr>
          <w:rFonts w:ascii="Verdana" w:hAnsi="Verdana"/>
          <w:sz w:val="20"/>
          <w:szCs w:val="20"/>
        </w:rPr>
        <w:t>destinação dos recursos captados por meio da Emissão, conforme informações prestadas pela Emissora;</w:t>
      </w:r>
    </w:p>
    <w:p>
      <w:pPr>
        <w:pStyle w:val="PargrafodaLista"/>
        <w:tabs>
          <w:tab w:val="left" w:pos="1701"/>
        </w:tabs>
        <w:spacing w:line="320" w:lineRule="exact"/>
        <w:ind w:left="1701" w:hanging="850"/>
        <w:jc w:val="both"/>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2" w:name="_DV_M343"/>
      <w:bookmarkEnd w:id="312"/>
      <w:r>
        <w:rPr>
          <w:rFonts w:ascii="Verdana" w:hAnsi="Verdana"/>
          <w:sz w:val="20"/>
          <w:szCs w:val="20"/>
        </w:rPr>
        <w:t>relação dos bens e valores entregues à sua administração, quando houver;</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bookmarkStart w:id="313" w:name="_DV_M344"/>
      <w:bookmarkEnd w:id="313"/>
      <w:r>
        <w:rPr>
          <w:rFonts w:ascii="Verdana" w:hAnsi="Verdana"/>
          <w:sz w:val="20"/>
          <w:szCs w:val="20"/>
        </w:rPr>
        <w:t xml:space="preserve">cumprimento de outras obrigações assumidas pela Emissora nesta Escritura; </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 xml:space="preserve">existência de outras emissões de valores mobiliários, públicas ou privadas, feitas pela própria Emissora, por sociedade coligada, controlada, controladora ou integrante do mesmo grupo da Emissora </w:t>
      </w:r>
      <w:r>
        <w:rPr>
          <w:rFonts w:ascii="Verdana" w:hAnsi="Verdana"/>
          <w:sz w:val="20"/>
          <w:szCs w:val="20"/>
        </w:rPr>
        <w:lastRenderedPageBreak/>
        <w:t>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p>
    <w:p>
      <w:pPr>
        <w:pStyle w:val="PargrafodaLista"/>
        <w:tabs>
          <w:tab w:val="left" w:pos="1701"/>
        </w:tabs>
        <w:spacing w:line="320" w:lineRule="exact"/>
        <w:ind w:left="1701" w:hanging="850"/>
        <w:rPr>
          <w:rFonts w:ascii="Verdana" w:hAnsi="Verdana"/>
          <w:sz w:val="20"/>
          <w:szCs w:val="20"/>
        </w:rPr>
      </w:pPr>
    </w:p>
    <w:p>
      <w:pPr>
        <w:pStyle w:val="PargrafodaLista"/>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pPr>
        <w:pStyle w:val="PargrafodaLista"/>
        <w:spacing w:line="320" w:lineRule="exact"/>
        <w:ind w:left="72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4" w:name="_DV_M345"/>
      <w:bookmarkEnd w:id="314"/>
      <w:r>
        <w:rPr>
          <w:rFonts w:ascii="Verdana" w:hAnsi="Verdana"/>
          <w:sz w:val="20"/>
          <w:szCs w:val="20"/>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15" w:name="_DV_M346"/>
      <w:bookmarkStart w:id="316" w:name="_DV_M347"/>
      <w:bookmarkStart w:id="317" w:name="_DV_M348"/>
      <w:bookmarkStart w:id="318" w:name="_DV_M349"/>
      <w:bookmarkStart w:id="319" w:name="_DV_M350"/>
      <w:bookmarkStart w:id="320" w:name="_DV_M351"/>
      <w:bookmarkEnd w:id="315"/>
      <w:bookmarkEnd w:id="316"/>
      <w:bookmarkEnd w:id="317"/>
      <w:bookmarkEnd w:id="318"/>
      <w:bookmarkEnd w:id="319"/>
      <w:bookmarkEnd w:id="320"/>
      <w:r>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1" w:name="_DV_M352"/>
      <w:bookmarkEnd w:id="321"/>
      <w:r>
        <w:rPr>
          <w:rFonts w:ascii="Verdana" w:hAnsi="Verdana"/>
          <w:sz w:val="20"/>
          <w:szCs w:val="20"/>
        </w:rPr>
        <w:t>manter atualizada a relação dos Debenturistas e seus endereços;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2" w:name="_DV_M353"/>
      <w:bookmarkStart w:id="323" w:name="_DV_M354"/>
      <w:bookmarkEnd w:id="322"/>
      <w:bookmarkEnd w:id="323"/>
      <w:r>
        <w:rPr>
          <w:rFonts w:ascii="Verdana" w:hAnsi="Verdana"/>
          <w:sz w:val="20"/>
          <w:szCs w:val="20"/>
        </w:rPr>
        <w:t xml:space="preserve">fiscalizar o cumprimento das cláusulas constantes desta Escritura, especialmente daquelas impositivas de obrigações de fazer e de não fazer; </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bookmarkStart w:id="324" w:name="_DV_M355"/>
      <w:bookmarkEnd w:id="324"/>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pPr>
        <w:pStyle w:val="PargrafodaLista"/>
        <w:spacing w:line="320" w:lineRule="exact"/>
        <w:ind w:left="1701" w:hanging="850"/>
        <w:jc w:val="both"/>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pPr>
        <w:pStyle w:val="PargrafodaLista"/>
        <w:spacing w:line="320" w:lineRule="exact"/>
        <w:ind w:left="1701" w:hanging="850"/>
        <w:rPr>
          <w:rFonts w:ascii="Verdana" w:hAnsi="Verdana"/>
          <w:sz w:val="20"/>
          <w:szCs w:val="20"/>
        </w:rPr>
      </w:pPr>
    </w:p>
    <w:p>
      <w:pPr>
        <w:pStyle w:val="PargrafodaLista"/>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(www.simplificpavarini.com.br) tão logo delas tenha conhecimento; e</w:t>
      </w:r>
    </w:p>
    <w:p>
      <w:pPr>
        <w:pStyle w:val="PargrafodaLista"/>
        <w:spacing w:line="320" w:lineRule="exact"/>
        <w:ind w:left="1701" w:hanging="850"/>
        <w:jc w:val="both"/>
        <w:rPr>
          <w:rFonts w:ascii="Verdana" w:hAnsi="Verdana"/>
          <w:sz w:val="20"/>
          <w:szCs w:val="20"/>
        </w:rPr>
      </w:pPr>
      <w:bookmarkStart w:id="325" w:name="_DV_M356"/>
      <w:bookmarkStart w:id="326" w:name="_DV_M357"/>
      <w:bookmarkEnd w:id="325"/>
      <w:bookmarkEnd w:id="326"/>
    </w:p>
    <w:p>
      <w:pPr>
        <w:pStyle w:val="PargrafodaLista"/>
        <w:numPr>
          <w:ilvl w:val="0"/>
          <w:numId w:val="61"/>
        </w:numPr>
        <w:spacing w:line="320" w:lineRule="exact"/>
        <w:ind w:left="1701" w:hanging="850"/>
        <w:jc w:val="both"/>
        <w:rPr>
          <w:rFonts w:ascii="Verdana" w:hAnsi="Verdana"/>
          <w:sz w:val="20"/>
          <w:szCs w:val="20"/>
        </w:rPr>
      </w:pPr>
      <w:bookmarkStart w:id="327" w:name="_DV_M358"/>
      <w:bookmarkStart w:id="328" w:name="_Ref312402999"/>
      <w:bookmarkEnd w:id="327"/>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pPr>
        <w:spacing w:after="0" w:line="320" w:lineRule="exact"/>
        <w:ind w:left="1844"/>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29" w:name="_DV_M359"/>
      <w:bookmarkStart w:id="330" w:name="_DV_M360"/>
      <w:bookmarkStart w:id="331" w:name="_DV_M361"/>
      <w:bookmarkStart w:id="332" w:name="_DV_M362"/>
      <w:bookmarkStart w:id="333" w:name="_DV_M363"/>
      <w:bookmarkEnd w:id="328"/>
      <w:bookmarkEnd w:id="329"/>
      <w:bookmarkEnd w:id="330"/>
      <w:bookmarkEnd w:id="331"/>
      <w:bookmarkEnd w:id="332"/>
      <w:bookmarkEnd w:id="333"/>
    </w:p>
    <w:p>
      <w:pPr>
        <w:spacing w:after="0" w:line="320" w:lineRule="exact"/>
        <w:ind w:left="709"/>
        <w:jc w:val="both"/>
        <w:rPr>
          <w:rFonts w:ascii="Verdana" w:hAnsi="Verdana"/>
          <w:sz w:val="20"/>
          <w:szCs w:val="20"/>
        </w:rPr>
      </w:pPr>
    </w:p>
    <w:p>
      <w:pPr>
        <w:spacing w:after="0" w:line="320" w:lineRule="exact"/>
        <w:ind w:left="851" w:hanging="851"/>
        <w:jc w:val="both"/>
        <w:rPr>
          <w:rFonts w:ascii="Verdana" w:hAnsi="Verdana" w:cs="Arial"/>
          <w:sz w:val="20"/>
          <w:szCs w:val="20"/>
        </w:rPr>
      </w:pPr>
      <w:bookmarkStart w:id="334" w:name="_DV_M365"/>
      <w:bookmarkStart w:id="335" w:name="_Ref312254968"/>
      <w:bookmarkStart w:id="336" w:name="_Ref315349283"/>
      <w:bookmarkEnd w:id="334"/>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35"/>
      <w:r>
        <w:rPr>
          <w:rFonts w:ascii="Verdana" w:hAnsi="Verdana"/>
          <w:sz w:val="20"/>
          <w:szCs w:val="20"/>
        </w:rPr>
        <w:t xml:space="preserve">. </w:t>
      </w:r>
      <w:bookmarkStart w:id="337" w:name="_DV_M366"/>
      <w:bookmarkEnd w:id="336"/>
      <w:bookmarkEnd w:id="337"/>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da emissão da primeira fatura anos subsequentes.</w:t>
      </w:r>
    </w:p>
    <w:p>
      <w:pPr>
        <w:pStyle w:val="PargrafodaLista"/>
        <w:spacing w:line="320" w:lineRule="exact"/>
        <w:jc w:val="center"/>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lastRenderedPageBreak/>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pPr>
        <w:pStyle w:val="PargrafodaLista"/>
        <w:spacing w:line="320" w:lineRule="exact"/>
        <w:ind w:left="851" w:hanging="851"/>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pPr>
        <w:spacing w:after="0" w:line="320" w:lineRule="exact"/>
        <w:ind w:left="851" w:hanging="851"/>
        <w:jc w:val="both"/>
        <w:rPr>
          <w:rFonts w:ascii="Verdana" w:hAnsi="Verdana"/>
          <w:sz w:val="20"/>
          <w:szCs w:val="20"/>
        </w:rPr>
      </w:pPr>
    </w:p>
    <w:p>
      <w:pPr>
        <w:pStyle w:val="PargrafodaLista"/>
        <w:numPr>
          <w:ilvl w:val="1"/>
          <w:numId w:val="44"/>
        </w:numPr>
        <w:spacing w:line="320" w:lineRule="exact"/>
        <w:ind w:left="851" w:hanging="851"/>
        <w:jc w:val="both"/>
        <w:rPr>
          <w:rFonts w:ascii="Verdana" w:hAnsi="Verdana"/>
          <w:sz w:val="20"/>
          <w:szCs w:val="20"/>
        </w:rPr>
      </w:pPr>
      <w:bookmarkStart w:id="338" w:name="_DV_M367"/>
      <w:bookmarkStart w:id="339" w:name="_DV_M373"/>
      <w:bookmarkEnd w:id="338"/>
      <w:bookmarkEnd w:id="339"/>
      <w:r>
        <w:rPr>
          <w:rFonts w:ascii="Verdana" w:hAnsi="Verdana"/>
          <w:i/>
          <w:sz w:val="20"/>
          <w:szCs w:val="20"/>
          <w:u w:val="single"/>
        </w:rPr>
        <w:t>Despesas</w:t>
      </w:r>
      <w:r>
        <w:rPr>
          <w:rFonts w:ascii="Verdana" w:hAnsi="Verdana"/>
          <w:sz w:val="20"/>
          <w:szCs w:val="20"/>
        </w:rPr>
        <w:t xml:space="preserve">. </w:t>
      </w:r>
      <w:bookmarkStart w:id="340" w:name="_DV_M374"/>
      <w:bookmarkStart w:id="341" w:name="_Ref435694205"/>
      <w:bookmarkEnd w:id="340"/>
      <w:r>
        <w:rPr>
          <w:rFonts w:ascii="Verdana" w:hAnsi="Verdana"/>
          <w:sz w:val="20"/>
          <w:szCs w:val="20"/>
        </w:rPr>
        <w:t xml:space="preserve">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w:t>
      </w:r>
      <w:r>
        <w:rPr>
          <w:rFonts w:ascii="Verdana" w:hAnsi="Verdana"/>
          <w:sz w:val="20"/>
          <w:szCs w:val="20"/>
        </w:rPr>
        <w:lastRenderedPageBreak/>
        <w:t>termos desta Escritura, devendo ser, sempre que possível, previamente aprovadas pela Emissora.</w:t>
      </w:r>
      <w:bookmarkEnd w:id="341"/>
      <w:r>
        <w:rPr>
          <w:rFonts w:ascii="Verdana" w:hAnsi="Verdana"/>
          <w:sz w:val="20"/>
          <w:szCs w:val="20"/>
        </w:rPr>
        <w:t xml:space="preserve"> </w:t>
      </w:r>
    </w:p>
    <w:p>
      <w:pPr>
        <w:spacing w:after="0" w:line="320" w:lineRule="exact"/>
        <w:ind w:left="709"/>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pPr>
        <w:spacing w:after="0" w:line="320" w:lineRule="exact"/>
        <w:ind w:left="851" w:hanging="851"/>
        <w:jc w:val="both"/>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pPr>
        <w:spacing w:after="0" w:line="320" w:lineRule="exact"/>
        <w:ind w:left="709"/>
        <w:jc w:val="both"/>
        <w:rPr>
          <w:rFonts w:ascii="Verdana" w:hAnsi="Verdana"/>
          <w:sz w:val="20"/>
          <w:szCs w:val="20"/>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lastRenderedPageBreak/>
        <w:t>fotocópias, digitalizações, envio de documentos;</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pPr>
        <w:pStyle w:val="Level4"/>
        <w:numPr>
          <w:ilvl w:val="0"/>
          <w:numId w:val="0"/>
        </w:numPr>
        <w:spacing w:after="0" w:line="320" w:lineRule="exact"/>
        <w:ind w:left="1701" w:hanging="850"/>
        <w:rPr>
          <w:rFonts w:ascii="Verdana" w:hAnsi="Verdana"/>
          <w:lang w:val="pt-BR"/>
        </w:rPr>
      </w:pPr>
    </w:p>
    <w:p>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pPr>
        <w:pStyle w:val="Level4"/>
        <w:numPr>
          <w:ilvl w:val="0"/>
          <w:numId w:val="0"/>
        </w:numPr>
        <w:tabs>
          <w:tab w:val="left" w:pos="720"/>
          <w:tab w:val="left" w:pos="2366"/>
        </w:tabs>
        <w:spacing w:after="0" w:line="320" w:lineRule="exact"/>
        <w:ind w:left="1701" w:hanging="850"/>
        <w:rPr>
          <w:rFonts w:ascii="Verdana" w:hAnsi="Verdana"/>
          <w:lang w:val="pt-BR"/>
        </w:rPr>
      </w:pPr>
    </w:p>
    <w:p>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pPr>
        <w:pStyle w:val="PargrafodaLista"/>
        <w:spacing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pPr>
        <w:spacing w:after="0" w:line="320" w:lineRule="exact"/>
        <w:rPr>
          <w:rFonts w:ascii="Verdana" w:hAnsi="Verdana"/>
          <w:sz w:val="20"/>
          <w:szCs w:val="20"/>
        </w:rPr>
      </w:pPr>
    </w:p>
    <w:p>
      <w:pPr>
        <w:pStyle w:val="PargrafodaLista"/>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(ii) a função fiduciária que lhe é inerente.</w:t>
      </w:r>
    </w:p>
    <w:p>
      <w:pPr>
        <w:spacing w:after="0" w:line="320" w:lineRule="exact"/>
        <w:rPr>
          <w:rFonts w:ascii="Verdana" w:hAnsi="Verdana"/>
          <w:sz w:val="20"/>
          <w:szCs w:val="20"/>
        </w:rPr>
      </w:pPr>
    </w:p>
    <w:p>
      <w:pPr>
        <w:numPr>
          <w:ilvl w:val="0"/>
          <w:numId w:val="44"/>
        </w:numPr>
        <w:spacing w:after="0" w:line="320" w:lineRule="exact"/>
        <w:ind w:left="851" w:hanging="851"/>
        <w:jc w:val="both"/>
        <w:rPr>
          <w:rFonts w:ascii="Verdana" w:hAnsi="Verdana"/>
          <w:bCs/>
          <w:smallCaps/>
          <w:sz w:val="20"/>
          <w:szCs w:val="20"/>
          <w:u w:val="single"/>
        </w:rPr>
      </w:pPr>
      <w:bookmarkStart w:id="342" w:name="_DV_M383"/>
      <w:bookmarkStart w:id="343" w:name="_Toc499990378"/>
      <w:bookmarkStart w:id="344" w:name="_Ref314575655"/>
      <w:bookmarkStart w:id="345" w:name="_Ref314575658"/>
      <w:bookmarkEnd w:id="259"/>
      <w:bookmarkEnd w:id="342"/>
      <w:r>
        <w:rPr>
          <w:rFonts w:ascii="Verdana" w:hAnsi="Verdana"/>
          <w:bCs/>
          <w:smallCaps/>
          <w:sz w:val="20"/>
          <w:szCs w:val="20"/>
          <w:u w:val="single"/>
        </w:rPr>
        <w:t>Assembleia Geral de Debenturistas</w:t>
      </w:r>
      <w:bookmarkEnd w:id="343"/>
      <w:bookmarkEnd w:id="344"/>
      <w:bookmarkEnd w:id="345"/>
    </w:p>
    <w:p>
      <w:pPr>
        <w:spacing w:after="0" w:line="320" w:lineRule="exact"/>
        <w:ind w:left="709"/>
        <w:jc w:val="both"/>
        <w:rPr>
          <w:rFonts w:ascii="Verdana" w:hAnsi="Verdana"/>
          <w:sz w:val="20"/>
          <w:szCs w:val="20"/>
        </w:rPr>
      </w:pPr>
      <w:bookmarkStart w:id="346" w:name="_DV_M384"/>
      <w:bookmarkEnd w:id="346"/>
    </w:p>
    <w:p>
      <w:pPr>
        <w:pStyle w:val="Level2"/>
        <w:numPr>
          <w:ilvl w:val="1"/>
          <w:numId w:val="29"/>
        </w:numPr>
        <w:spacing w:after="0" w:line="320" w:lineRule="exact"/>
        <w:ind w:left="851" w:hanging="851"/>
        <w:rPr>
          <w:rFonts w:ascii="Verdana" w:hAnsi="Verdana"/>
          <w:szCs w:val="20"/>
          <w:lang w:val="pt-BR"/>
        </w:rPr>
      </w:pPr>
      <w:bookmarkStart w:id="347" w:name="_DV_M387"/>
      <w:bookmarkStart w:id="348" w:name="_Ref435698643"/>
      <w:bookmarkStart w:id="349" w:name="_Ref312399872"/>
      <w:bookmarkStart w:id="350" w:name="_Ref312404717"/>
      <w:bookmarkEnd w:id="347"/>
      <w:r>
        <w:rPr>
          <w:rFonts w:ascii="Verdana" w:hAnsi="Verdana" w:cs="Arial"/>
          <w:i/>
          <w:szCs w:val="20"/>
          <w:u w:val="single"/>
          <w:lang w:val="pt-BR"/>
        </w:rPr>
        <w:t>Convocação</w:t>
      </w:r>
      <w:bookmarkEnd w:id="348"/>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w:t>
      </w:r>
      <w:r>
        <w:rPr>
          <w:rFonts w:ascii="Verdana" w:hAnsi="Verdana"/>
          <w:szCs w:val="20"/>
          <w:lang w:val="pt-BR"/>
        </w:rPr>
        <w:lastRenderedPageBreak/>
        <w:t xml:space="preserve">disposto no artigo 71 da Lei das Sociedades por Ações, a fim de deliberar sobre matéria de interesse da comunhão de Debenturistas. </w:t>
      </w:r>
    </w:p>
    <w:p>
      <w:pPr>
        <w:pStyle w:val="Level2"/>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Independentemente das formalidades previstas na legislação aplicável e nesta Escritura, será considerada regular a Assembleia Geral de Debenturistas à qual comparecerem os titulares de todas as Debêntures em Circulação (conforme abaixo definido), independentemente de publicações e/ou avisos. </w:t>
      </w:r>
    </w:p>
    <w:p>
      <w:pPr>
        <w:pStyle w:val="Level3"/>
        <w:numPr>
          <w:ilvl w:val="0"/>
          <w:numId w:val="0"/>
        </w:numPr>
        <w:spacing w:after="0" w:line="320" w:lineRule="exact"/>
        <w:ind w:left="851" w:hanging="851"/>
        <w:rPr>
          <w:rFonts w:ascii="Verdana" w:hAnsi="Verdana"/>
          <w:szCs w:val="20"/>
          <w:lang w:val="pt-BR"/>
        </w:rPr>
      </w:pPr>
    </w:p>
    <w:p>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válidas e eficazes perante a Emissora e obrigarão a todos Debenturistas, independentemente de terem comparecido à Assembleia Geral de Debenturistas ou do voto proferido na respectiva Assembleia Geral de Debenturistas.</w:t>
      </w:r>
    </w:p>
    <w:p>
      <w:pPr>
        <w:pStyle w:val="Level2"/>
        <w:numPr>
          <w:ilvl w:val="0"/>
          <w:numId w:val="0"/>
        </w:numPr>
        <w:spacing w:after="0" w:line="320" w:lineRule="exact"/>
        <w:ind w:left="851" w:hanging="851"/>
        <w:rPr>
          <w:rFonts w:ascii="Verdana" w:hAnsi="Verdana"/>
          <w:szCs w:val="20"/>
          <w:lang w:val="pt-BR"/>
        </w:rPr>
      </w:pPr>
    </w:p>
    <w:bookmarkEnd w:id="349"/>
    <w:bookmarkEnd w:id="350"/>
    <w:p>
      <w:pPr>
        <w:pStyle w:val="Level2"/>
        <w:numPr>
          <w:ilvl w:val="1"/>
          <w:numId w:val="29"/>
        </w:numPr>
        <w:spacing w:after="0" w:line="320" w:lineRule="exact"/>
        <w:ind w:left="851" w:hanging="851"/>
        <w:rPr>
          <w:rFonts w:ascii="Verdana" w:hAnsi="Verdana"/>
          <w:szCs w:val="20"/>
          <w:lang w:val="pt-BR"/>
        </w:rPr>
      </w:pPr>
      <w:r>
        <w:rPr>
          <w:rFonts w:ascii="Verdana" w:hAnsi="Verdana" w:cs="Arial"/>
          <w:i/>
          <w:szCs w:val="20"/>
          <w:u w:val="single"/>
          <w:lang w:val="pt-BR"/>
        </w:rPr>
        <w:t>Quorum de Instalação</w:t>
      </w:r>
      <w:r>
        <w:rPr>
          <w:rFonts w:ascii="Verdana" w:hAnsi="Verdana" w:cs="Arial"/>
          <w:b/>
          <w:szCs w:val="20"/>
          <w:lang w:val="pt-BR"/>
        </w:rPr>
        <w:t>.</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(conforme abaixo definido) e, em segunda convocação, com qualquer número de Debenturistas. </w:t>
      </w:r>
    </w:p>
    <w:p>
      <w:pPr>
        <w:pStyle w:val="Level2"/>
        <w:numPr>
          <w:ilvl w:val="0"/>
          <w:numId w:val="0"/>
        </w:numPr>
        <w:spacing w:after="0" w:line="320" w:lineRule="exact"/>
        <w:ind w:left="709"/>
        <w:rPr>
          <w:rFonts w:ascii="Verdana" w:hAnsi="Verdana"/>
          <w:szCs w:val="20"/>
          <w:lang w:val="pt-BR"/>
        </w:rPr>
      </w:pPr>
    </w:p>
    <w:p>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w:t>
      </w:r>
      <w:r>
        <w:rPr>
          <w:rFonts w:ascii="Verdana" w:hAnsi="Verdana"/>
          <w:szCs w:val="20"/>
          <w:lang w:val="pt-BR"/>
        </w:rPr>
        <w:lastRenderedPageBreak/>
        <w:t>Escritura, consideram-se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spacing w:after="0" w:line="320" w:lineRule="exact"/>
        <w:ind w:left="851" w:hanging="851"/>
        <w:jc w:val="both"/>
        <w:rPr>
          <w:rFonts w:ascii="Verdana" w:hAnsi="Verdana"/>
          <w:sz w:val="20"/>
          <w:szCs w:val="20"/>
        </w:rPr>
      </w:pPr>
    </w:p>
    <w:p>
      <w:pPr>
        <w:numPr>
          <w:ilvl w:val="1"/>
          <w:numId w:val="18"/>
        </w:numPr>
        <w:spacing w:after="0" w:line="320" w:lineRule="exact"/>
        <w:ind w:left="851" w:hanging="851"/>
        <w:jc w:val="both"/>
        <w:rPr>
          <w:rFonts w:ascii="Verdana" w:hAnsi="Verdana"/>
          <w:sz w:val="20"/>
          <w:szCs w:val="20"/>
        </w:rPr>
      </w:pPr>
      <w:bookmarkStart w:id="351" w:name="_DV_M389"/>
      <w:bookmarkEnd w:id="351"/>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pPr>
        <w:spacing w:after="0" w:line="320" w:lineRule="exact"/>
        <w:ind w:left="851" w:hanging="851"/>
        <w:jc w:val="both"/>
        <w:rPr>
          <w:rFonts w:ascii="Verdana" w:hAnsi="Verdana"/>
          <w:sz w:val="20"/>
          <w:szCs w:val="20"/>
        </w:rPr>
      </w:pPr>
    </w:p>
    <w:p>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Debenturista ou não.</w:t>
      </w:r>
    </w:p>
    <w:p>
      <w:pPr>
        <w:pStyle w:val="PargrafodaLista"/>
        <w:spacing w:line="320" w:lineRule="exact"/>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bookmarkStart w:id="352"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que estejam presentes Debenturistas representando pelo menos 25% (vinte e cinco por cento) das Debêntures em Circulação, em segunda convocação</w:t>
      </w:r>
      <w:bookmarkEnd w:id="352"/>
      <w:r>
        <w:rPr>
          <w:rFonts w:ascii="Verdana" w:hAnsi="Verdana"/>
          <w:sz w:val="20"/>
          <w:szCs w:val="20"/>
        </w:rPr>
        <w:t xml:space="preserve">.  </w:t>
      </w:r>
    </w:p>
    <w:p>
      <w:pPr>
        <w:pStyle w:val="PargrafodaLista"/>
        <w:spacing w:line="320" w:lineRule="exact"/>
        <w:ind w:left="720"/>
        <w:jc w:val="both"/>
        <w:rPr>
          <w:rFonts w:ascii="Verdana" w:hAnsi="Verdana"/>
          <w:sz w:val="20"/>
          <w:szCs w:val="20"/>
        </w:rPr>
      </w:pPr>
      <w:bookmarkStart w:id="353" w:name="_Ref436668645"/>
      <w:bookmarkStart w:id="354" w:name="_Ref436157918"/>
      <w:bookmarkStart w:id="355" w:name="_Ref449355979"/>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em primeira ou segunda convocação, as alterações (a) dos Juros Remuneratórios, (b) do prazo de vigência das Debêntures; (c) das disposições desta Cláusula 10.4.2; (d) de qualquer dos quóruns previstos nesta Escritura; (e) de quaisquer datas de pagamento de quaisquer valores previstos nesta Escritura; (f) das obrigações estabelecidas na Cláusula 8 acima; e (g) da redação de qualquer dos Eventos de Inadimplemento</w:t>
      </w:r>
      <w:bookmarkEnd w:id="353"/>
      <w:bookmarkEnd w:id="354"/>
      <w:r>
        <w:rPr>
          <w:rFonts w:ascii="Verdana" w:hAnsi="Verdana"/>
          <w:sz w:val="20"/>
          <w:szCs w:val="20"/>
        </w:rPr>
        <w:t>.</w:t>
      </w:r>
      <w:bookmarkEnd w:id="355"/>
      <w:r>
        <w:rPr>
          <w:rFonts w:ascii="Verdana" w:hAnsi="Verdana"/>
          <w:sz w:val="20"/>
          <w:szCs w:val="20"/>
        </w:rPr>
        <w:t xml:space="preserve"> </w:t>
      </w:r>
    </w:p>
    <w:p>
      <w:pPr>
        <w:pStyle w:val="PargrafodaLista"/>
        <w:spacing w:line="320" w:lineRule="exact"/>
        <w:ind w:left="720"/>
        <w:jc w:val="both"/>
        <w:rPr>
          <w:rFonts w:ascii="Verdana" w:hAnsi="Verdana"/>
          <w:sz w:val="20"/>
          <w:szCs w:val="20"/>
        </w:rPr>
      </w:pPr>
    </w:p>
    <w:p>
      <w:pPr>
        <w:pStyle w:val="PargrafodaLista"/>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w:t>
      </w:r>
      <w:r>
        <w:rPr>
          <w:rFonts w:ascii="Verdana" w:hAnsi="Verdana"/>
          <w:sz w:val="20"/>
          <w:szCs w:val="20"/>
        </w:rPr>
        <w:lastRenderedPageBreak/>
        <w:t>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pPr>
        <w:pStyle w:val="PargrafodaLista"/>
        <w:spacing w:line="320" w:lineRule="exact"/>
        <w:ind w:left="851" w:hanging="851"/>
        <w:jc w:val="both"/>
        <w:rPr>
          <w:rFonts w:ascii="Verdana" w:hAnsi="Verdana"/>
          <w:sz w:val="20"/>
          <w:szCs w:val="20"/>
        </w:rPr>
      </w:pPr>
    </w:p>
    <w:p>
      <w:pPr>
        <w:pStyle w:val="PargrafodaLista"/>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pPr>
        <w:pStyle w:val="PargrafodaLista"/>
        <w:spacing w:line="320" w:lineRule="exact"/>
        <w:rPr>
          <w:rFonts w:ascii="Verdana" w:hAnsi="Verdana"/>
          <w:i/>
          <w:sz w:val="20"/>
          <w:szCs w:val="20"/>
          <w:u w:val="single"/>
        </w:rPr>
      </w:pPr>
    </w:p>
    <w:p>
      <w:pPr>
        <w:pStyle w:val="PargrafodaLista"/>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56" w:name="_DV_M406"/>
      <w:bookmarkStart w:id="357" w:name="_Toc499990383"/>
      <w:bookmarkEnd w:id="356"/>
      <w:r>
        <w:rPr>
          <w:rFonts w:ascii="Verdana" w:hAnsi="Verdana"/>
          <w:smallCaps/>
          <w:sz w:val="20"/>
          <w:szCs w:val="20"/>
          <w:u w:val="single"/>
        </w:rPr>
        <w:t>Declarações</w:t>
      </w:r>
      <w:bookmarkStart w:id="358" w:name="_DV_M407"/>
      <w:bookmarkEnd w:id="357"/>
      <w:bookmarkEnd w:id="358"/>
      <w:r>
        <w:rPr>
          <w:rFonts w:ascii="Verdana" w:hAnsi="Verdana"/>
          <w:smallCaps/>
          <w:sz w:val="20"/>
          <w:szCs w:val="20"/>
          <w:u w:val="single"/>
        </w:rPr>
        <w:t xml:space="preserve"> </w:t>
      </w:r>
      <w:bookmarkStart w:id="359" w:name="_DV_C457"/>
      <w:r>
        <w:rPr>
          <w:rStyle w:val="DeltaViewInsertion"/>
          <w:rFonts w:ascii="Verdana" w:hAnsi="Verdana"/>
          <w:smallCaps/>
          <w:color w:val="auto"/>
          <w:sz w:val="20"/>
          <w:szCs w:val="20"/>
          <w:u w:val="single"/>
        </w:rPr>
        <w:t>da Emissora</w:t>
      </w:r>
      <w:bookmarkEnd w:id="359"/>
    </w:p>
    <w:p>
      <w:pPr>
        <w:pStyle w:val="PargrafodaLista"/>
        <w:spacing w:line="320" w:lineRule="exact"/>
        <w:ind w:left="851" w:hanging="851"/>
        <w:rPr>
          <w:rFonts w:ascii="Verdana" w:hAnsi="Verdana"/>
          <w:sz w:val="20"/>
          <w:szCs w:val="20"/>
        </w:rPr>
      </w:pPr>
    </w:p>
    <w:p>
      <w:pPr>
        <w:spacing w:after="0" w:line="320" w:lineRule="exact"/>
        <w:ind w:left="851" w:hanging="851"/>
        <w:jc w:val="both"/>
        <w:rPr>
          <w:rFonts w:ascii="Verdana" w:hAnsi="Verdana"/>
          <w:b/>
          <w:sz w:val="20"/>
          <w:szCs w:val="20"/>
        </w:rPr>
      </w:pPr>
      <w:bookmarkStart w:id="360" w:name="_DV_M408"/>
      <w:bookmarkStart w:id="361" w:name="_DV_M409"/>
      <w:bookmarkStart w:id="362" w:name="_Ref314580940"/>
      <w:bookmarkEnd w:id="360"/>
      <w:bookmarkEnd w:id="361"/>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2"/>
      <w:r>
        <w:rPr>
          <w:rFonts w:ascii="Verdana" w:hAnsi="Verdana"/>
          <w:sz w:val="20"/>
          <w:szCs w:val="20"/>
        </w:rPr>
        <w:t xml:space="preserve"> </w:t>
      </w:r>
    </w:p>
    <w:p>
      <w:pPr>
        <w:spacing w:after="0" w:line="320" w:lineRule="exact"/>
        <w:ind w:left="720" w:hanging="720"/>
        <w:jc w:val="both"/>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é sociedade por ações devidamente organizada, constituída e validamente existente segundo as leis da República Federativa do Brasil, autorizadas a desempenhar as atividades descritas no seu objeto social;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 xml:space="preserve">obrigações legalmente válidas, lícitas, eficazes e vinculantes da Emissora, exequíveis </w:t>
      </w:r>
      <w:r>
        <w:rPr>
          <w:rFonts w:ascii="Verdana" w:hAnsi="Verdana"/>
          <w:lang w:val="pt-BR"/>
        </w:rPr>
        <w:t>de acordo com seus termos e condições, com força de título executivo extrajudicial nos termos do artigo 784 do Código de Processo Civil;</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lastRenderedPageBreak/>
        <w:t xml:space="preserve">não tem conhecimento da existência de qualquer </w:t>
      </w:r>
      <w:r>
        <w:rPr>
          <w:rFonts w:ascii="Verdana" w:hAnsi="Verdana"/>
          <w:lang w:val="pt-BR"/>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municipais necessárias ao exercício de suas atividades, exceto por aquelas autorizações e licenças que estejam (i) em processo regular de renovação, ou (ii)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w:t>
      </w:r>
      <w:r>
        <w:rPr>
          <w:rFonts w:ascii="Verdana" w:hAnsi="Verdana"/>
          <w:lang w:val="pt-BR"/>
        </w:rPr>
        <w:lastRenderedPageBreak/>
        <w:t xml:space="preserve">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w:t>
      </w:r>
      <w:r>
        <w:rPr>
          <w:rFonts w:ascii="Verdana" w:hAnsi="Verdana"/>
          <w:lang w:val="pt-BR"/>
        </w:rPr>
        <w:lastRenderedPageBreak/>
        <w:t>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(II) nenhuma greve, desaceleração (</w:t>
      </w:r>
      <w:r>
        <w:rPr>
          <w:rFonts w:ascii="Verdana" w:hAnsi="Verdana"/>
          <w:i/>
          <w:lang w:val="pt-BR"/>
        </w:rPr>
        <w:t>slowdown</w:t>
      </w:r>
      <w:r>
        <w:rPr>
          <w:rFonts w:ascii="Verdana" w:hAnsi="Verdana"/>
          <w:lang w:val="pt-BR"/>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w:t>
      </w:r>
      <w:r>
        <w:rPr>
          <w:rFonts w:ascii="Verdana" w:hAnsi="Verdana"/>
          <w:lang w:val="pt-BR"/>
        </w:rPr>
        <w:lastRenderedPageBreak/>
        <w:t xml:space="preserve">legitimamente outorgados, estando os respectivos mandatos em pleno vigor e efeito;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os documentos e informações fornecidos ao Agente Fiduciário e/ou aos Debenturistas são verdadeiros, consistentes, precisos, completos, corretos e suficientes e estão atualizados até a data em que foram fornecidos </w:t>
      </w:r>
      <w:r>
        <w:rPr>
          <w:rFonts w:ascii="Verdana" w:hAnsi="Verdana"/>
          <w:lang w:val="pt-BR"/>
        </w:rPr>
        <w:t>(exceto, neste último caso, se informada a última data de 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63" w:name="_Hlk536142015"/>
      <w:r>
        <w:rPr>
          <w:rFonts w:ascii="Verdana" w:hAnsi="Verdana"/>
          <w:lang w:val="pt-BR"/>
        </w:rPr>
        <w:t xml:space="preserve">o Prospecto Preliminar e o Prospecto Definitivo, que incorporam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 xml:space="preserve">todas as informações atualizadas relevantes em relação à Emissora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w:t>
      </w:r>
      <w:r>
        <w:rPr>
          <w:rFonts w:ascii="Verdana" w:hAnsi="Verdana"/>
          <w:iCs/>
          <w:lang w:val="pt-BR"/>
        </w:rPr>
        <w:lastRenderedPageBreak/>
        <w:t>corretas e suficientes, permitindo aos investidores uma tomada de decisão fundamentada a respeito da Oferta</w:t>
      </w:r>
      <w:r>
        <w:rPr>
          <w:rFonts w:ascii="Verdana" w:hAnsi="Verdana"/>
          <w:lang w:val="pt-BR"/>
        </w:rPr>
        <w:t>;</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pPr>
        <w:pStyle w:val="PargrafodaLista"/>
        <w:tabs>
          <w:tab w:val="num" w:pos="1701"/>
        </w:tabs>
        <w:spacing w:line="320" w:lineRule="exact"/>
        <w:ind w:left="1701" w:hanging="850"/>
        <w:rPr>
          <w:rFonts w:ascii="Verdana" w:hAnsi="Verdana"/>
          <w:sz w:val="20"/>
          <w:szCs w:val="20"/>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63"/>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cumpre e adota medidas para que suas controladas, respectivos conselheiros, diretores e/ou empregados cumpram as Leis Anticorrupção, na medida em que (a) mantém políticas e </w:t>
      </w:r>
      <w:r>
        <w:rPr>
          <w:rFonts w:ascii="Verdana" w:hAnsi="Verdana"/>
          <w:lang w:val="pt-BR"/>
        </w:rPr>
        <w:lastRenderedPageBreak/>
        <w:t xml:space="preserve">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comunicará tal fato ao mercado, de acordo com a Instrução CVM 400 e a Instrução da CVM nº 358, de 03 de janeiro de 2002, conforme alterada;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situação econômico-financeira, reputacional ou jurídica da Emissora em prejuízo dos Debenturistas;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Malha Sul foi devidamente enquadrado nos termos da Lei </w:t>
      </w:r>
      <w:r>
        <w:rPr>
          <w:rFonts w:ascii="Verdana" w:hAnsi="Verdana" w:cs="Tahoma"/>
          <w:lang w:val="pt-BR"/>
        </w:rPr>
        <w:t xml:space="preserve">nº </w:t>
      </w:r>
      <w:r>
        <w:rPr>
          <w:rFonts w:ascii="Verdana" w:hAnsi="Verdana"/>
          <w:lang w:val="pt-BR"/>
        </w:rPr>
        <w:t>12.431 e considerado como prioritário nos termos da Portaria Malha Sul;</w:t>
      </w:r>
    </w:p>
    <w:p>
      <w:pPr>
        <w:pStyle w:val="Level4"/>
        <w:numPr>
          <w:ilvl w:val="0"/>
          <w:numId w:val="0"/>
        </w:numPr>
        <w:tabs>
          <w:tab w:val="num" w:pos="1701"/>
        </w:tabs>
        <w:spacing w:after="0" w:line="320" w:lineRule="exact"/>
        <w:ind w:left="1701" w:hanging="850"/>
        <w:contextualSpacing/>
        <w:jc w:val="right"/>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lastRenderedPageBreak/>
        <w:t xml:space="preserve">[o Projeto Malha Central foi devidamente enquadrado nos termos da Lei </w:t>
      </w:r>
      <w:r>
        <w:rPr>
          <w:rFonts w:ascii="Verdana" w:hAnsi="Verdana" w:cs="Tahoma"/>
          <w:lang w:val="pt-BR"/>
        </w:rPr>
        <w:t xml:space="preserve">nº </w:t>
      </w:r>
      <w:r>
        <w:rPr>
          <w:rFonts w:ascii="Verdana" w:hAnsi="Verdana"/>
          <w:lang w:val="pt-BR"/>
        </w:rPr>
        <w:t xml:space="preserve">12.431 e considerado como prioritário nos termos da Portaria Malha Central]; </w:t>
      </w:r>
      <w:r>
        <w:rPr>
          <w:rFonts w:ascii="Verdana" w:hAnsi="Verdana"/>
          <w:b/>
          <w:highlight w:val="cyan"/>
          <w:lang w:val="pt-BR"/>
        </w:rPr>
        <w:t>[Nota Lefosse: pendente recebimento da Portaria Malha Central]</w:t>
      </w:r>
    </w:p>
    <w:p>
      <w:pPr>
        <w:pStyle w:val="Level4"/>
        <w:numPr>
          <w:ilvl w:val="0"/>
          <w:numId w:val="0"/>
        </w:numPr>
        <w:spacing w:after="0" w:line="320" w:lineRule="exact"/>
        <w:ind w:left="1701"/>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pPr>
        <w:pStyle w:val="Level4"/>
        <w:numPr>
          <w:ilvl w:val="0"/>
          <w:numId w:val="0"/>
        </w:numPr>
        <w:tabs>
          <w:tab w:val="num" w:pos="1701"/>
        </w:tabs>
        <w:spacing w:after="0" w:line="320" w:lineRule="exact"/>
        <w:ind w:left="1701" w:hanging="850"/>
        <w:contextualSpacing/>
        <w:rPr>
          <w:rFonts w:ascii="Verdana" w:hAnsi="Verdana"/>
          <w:lang w:val="pt-BR"/>
        </w:rPr>
      </w:pPr>
    </w:p>
    <w:p>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mantém os seus bens adequadamente segurados, conforme práticas usualmente adotadas em seu segmento de atuação. </w:t>
      </w:r>
    </w:p>
    <w:p>
      <w:pPr>
        <w:spacing w:after="0" w:line="320" w:lineRule="exact"/>
        <w:ind w:left="1844"/>
        <w:jc w:val="both"/>
        <w:rPr>
          <w:rFonts w:ascii="Verdana" w:hAnsi="Verdana"/>
          <w:sz w:val="20"/>
          <w:szCs w:val="20"/>
        </w:rPr>
      </w:pPr>
    </w:p>
    <w:p>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pPr>
        <w:spacing w:after="0" w:line="320" w:lineRule="exact"/>
        <w:ind w:left="1844"/>
        <w:jc w:val="both"/>
        <w:rPr>
          <w:rFonts w:ascii="Verdana" w:hAnsi="Verdana"/>
          <w:sz w:val="20"/>
          <w:szCs w:val="20"/>
        </w:rPr>
      </w:pPr>
    </w:p>
    <w:p>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64" w:name="_DV_M415"/>
      <w:bookmarkStart w:id="365" w:name="_DV_M416"/>
      <w:bookmarkEnd w:id="364"/>
      <w:bookmarkEnd w:id="365"/>
      <w:r>
        <w:rPr>
          <w:rFonts w:ascii="Verdana" w:hAnsi="Verdana"/>
          <w:smallCaps/>
          <w:sz w:val="20"/>
          <w:szCs w:val="20"/>
          <w:u w:val="single"/>
        </w:rPr>
        <w:t>Comunicações</w:t>
      </w:r>
    </w:p>
    <w:p>
      <w:pPr>
        <w:spacing w:after="0" w:line="320" w:lineRule="exact"/>
        <w:ind w:left="709"/>
        <w:jc w:val="both"/>
        <w:rPr>
          <w:rFonts w:ascii="Verdana" w:hAnsi="Verdana"/>
          <w:smallCaps/>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66" w:name="_DV_M417"/>
      <w:bookmarkEnd w:id="366"/>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pPr>
        <w:spacing w:after="0" w:line="320" w:lineRule="exact"/>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bookmarkStart w:id="367" w:name="_DV_M418"/>
      <w:bookmarkEnd w:id="367"/>
      <w:r>
        <w:rPr>
          <w:rFonts w:ascii="Verdana" w:hAnsi="Verdana"/>
          <w:sz w:val="20"/>
          <w:szCs w:val="20"/>
        </w:rPr>
        <w:t xml:space="preserve">Para a Emissora: </w:t>
      </w:r>
    </w:p>
    <w:p>
      <w:pPr>
        <w:pStyle w:val="p3"/>
        <w:keepNext/>
        <w:keepLines/>
        <w:spacing w:line="320" w:lineRule="exact"/>
        <w:ind w:left="1701"/>
        <w:rPr>
          <w:rFonts w:ascii="Verdana" w:hAnsi="Verdana"/>
          <w:b/>
          <w:sz w:val="20"/>
        </w:rPr>
      </w:pPr>
      <w:bookmarkStart w:id="368" w:name="_DV_M419"/>
      <w:bookmarkEnd w:id="368"/>
      <w:r>
        <w:rPr>
          <w:rFonts w:ascii="Verdana" w:hAnsi="Verdana"/>
          <w:b/>
          <w:sz w:val="20"/>
        </w:rPr>
        <w:t>Rumo S.A.</w:t>
      </w:r>
    </w:p>
    <w:p>
      <w:pPr>
        <w:pStyle w:val="p3"/>
        <w:keepNext/>
        <w:keepLines/>
        <w:spacing w:line="320" w:lineRule="exact"/>
        <w:ind w:left="1701"/>
        <w:rPr>
          <w:rFonts w:ascii="Verdana" w:hAnsi="Verdana"/>
          <w:sz w:val="20"/>
        </w:rPr>
      </w:pPr>
      <w:r>
        <w:rPr>
          <w:rFonts w:ascii="Verdana" w:hAnsi="Verdana"/>
          <w:sz w:val="20"/>
        </w:rPr>
        <w:t xml:space="preserve">Rua Emílio Bertolini, nº 100, Cajuru, </w:t>
      </w:r>
    </w:p>
    <w:p>
      <w:pPr>
        <w:pStyle w:val="p3"/>
        <w:keepNext/>
        <w:keepLines/>
        <w:spacing w:line="320" w:lineRule="exact"/>
        <w:ind w:left="1701"/>
        <w:rPr>
          <w:rFonts w:ascii="Verdana" w:hAnsi="Verdana"/>
          <w:sz w:val="20"/>
        </w:rPr>
      </w:pPr>
      <w:r>
        <w:rPr>
          <w:rFonts w:ascii="Verdana" w:hAnsi="Verdana"/>
          <w:sz w:val="20"/>
        </w:rPr>
        <w:t>CEP 82920-030, Curitiba, PR</w:t>
      </w:r>
    </w:p>
    <w:p>
      <w:pPr>
        <w:pStyle w:val="p3"/>
        <w:keepNext/>
        <w:keepLines/>
        <w:spacing w:line="320" w:lineRule="exact"/>
        <w:ind w:left="1701"/>
        <w:rPr>
          <w:rFonts w:ascii="Verdana" w:hAnsi="Verdana"/>
          <w:sz w:val="20"/>
        </w:rPr>
      </w:pPr>
      <w:r>
        <w:rPr>
          <w:rFonts w:ascii="Verdana" w:hAnsi="Verdana"/>
          <w:sz w:val="20"/>
        </w:rPr>
        <w:t>At.: Gabriel Leite</w:t>
      </w:r>
    </w:p>
    <w:p>
      <w:pPr>
        <w:pStyle w:val="p3"/>
        <w:keepNext/>
        <w:keepLines/>
        <w:tabs>
          <w:tab w:val="left" w:pos="4395"/>
        </w:tabs>
        <w:spacing w:line="320" w:lineRule="exact"/>
        <w:ind w:left="1701"/>
        <w:rPr>
          <w:rFonts w:ascii="Verdana" w:hAnsi="Verdana"/>
          <w:sz w:val="20"/>
        </w:rPr>
      </w:pPr>
      <w:r>
        <w:rPr>
          <w:rFonts w:ascii="Verdana" w:hAnsi="Verdana"/>
          <w:sz w:val="20"/>
        </w:rPr>
        <w:t>Tel: (41) 2141-7520</w:t>
      </w:r>
    </w:p>
    <w:p>
      <w:pPr>
        <w:keepNext/>
        <w:keepLines/>
        <w:spacing w:after="0" w:line="320" w:lineRule="exact"/>
        <w:ind w:left="1701"/>
        <w:rPr>
          <w:rFonts w:ascii="Verdana" w:hAnsi="Verdana"/>
          <w:sz w:val="20"/>
          <w:szCs w:val="20"/>
        </w:rPr>
      </w:pPr>
      <w:r>
        <w:rPr>
          <w:rFonts w:ascii="Verdana" w:eastAsia="Times New Roman" w:hAnsi="Verdana" w:cs="Times New Roman"/>
          <w:sz w:val="20"/>
          <w:szCs w:val="20"/>
        </w:rPr>
        <w:t xml:space="preserve">E-mail: </w:t>
      </w:r>
      <w:r>
        <w:rPr>
          <w:rFonts w:ascii="Verdana" w:hAnsi="Verdana"/>
          <w:sz w:val="20"/>
          <w:szCs w:val="20"/>
        </w:rPr>
        <w:t>gabriel.</w:t>
      </w:r>
      <w:r>
        <w:t>l</w:t>
      </w:r>
      <w:r>
        <w:rPr>
          <w:rFonts w:ascii="Verdana" w:hAnsi="Verdana"/>
          <w:sz w:val="20"/>
          <w:szCs w:val="20"/>
        </w:rPr>
        <w:t>eite@rumolog.com</w:t>
      </w:r>
      <w:r>
        <w:rPr>
          <w:rFonts w:ascii="Verdana" w:eastAsia="Times New Roman" w:hAnsi="Verdana" w:cs="Times New Roman"/>
          <w:sz w:val="20"/>
          <w:szCs w:val="20"/>
        </w:rPr>
        <w:t xml:space="preserve">; </w:t>
      </w:r>
      <w:r>
        <w:rPr>
          <w:rFonts w:ascii="Verdana" w:hAnsi="Verdana"/>
          <w:sz w:val="20"/>
          <w:szCs w:val="20"/>
        </w:rPr>
        <w:t>tesouraria@rumolog.com</w:t>
      </w:r>
      <w:r>
        <w:rPr>
          <w:rFonts w:ascii="Verdana" w:eastAsia="Times New Roman" w:hAnsi="Verdana" w:cs="Times New Roman"/>
          <w:sz w:val="20"/>
          <w:szCs w:val="20"/>
        </w:rPr>
        <w:t xml:space="preserve"> </w:t>
      </w:r>
    </w:p>
    <w:p>
      <w:pPr>
        <w:keepNext/>
        <w:keepLines/>
        <w:spacing w:after="0" w:line="320" w:lineRule="exact"/>
        <w:ind w:left="1702"/>
        <w:jc w:val="both"/>
        <w:rPr>
          <w:rFonts w:ascii="Verdana" w:hAnsi="Verdana"/>
          <w:sz w:val="20"/>
          <w:szCs w:val="20"/>
        </w:rPr>
      </w:pPr>
      <w:bookmarkStart w:id="369" w:name="_DV_M424"/>
      <w:bookmarkEnd w:id="369"/>
    </w:p>
    <w:p>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pPr>
        <w:pStyle w:val="Body2"/>
        <w:spacing w:after="0" w:line="320" w:lineRule="exact"/>
        <w:ind w:left="1701" w:right="7"/>
        <w:rPr>
          <w:rFonts w:ascii="Verdana" w:hAnsi="Verdana"/>
          <w:b/>
          <w:bCs/>
          <w:szCs w:val="20"/>
        </w:rPr>
      </w:pPr>
      <w:bookmarkStart w:id="370" w:name="_DV_M425"/>
      <w:bookmarkStart w:id="371" w:name="_DV_M426"/>
      <w:bookmarkStart w:id="372" w:name="_DV_M427"/>
      <w:bookmarkEnd w:id="370"/>
      <w:bookmarkEnd w:id="371"/>
      <w:bookmarkEnd w:id="372"/>
      <w:r>
        <w:rPr>
          <w:rFonts w:ascii="Verdana" w:hAnsi="Verdana"/>
          <w:b/>
          <w:bCs/>
          <w:szCs w:val="20"/>
        </w:rPr>
        <w:t>Simplific Pavarini Distribuidora de Títulos e Valores Mobiliários Ltda.</w:t>
      </w:r>
    </w:p>
    <w:p>
      <w:pPr>
        <w:pStyle w:val="Body2"/>
        <w:spacing w:after="0" w:line="320" w:lineRule="exact"/>
        <w:ind w:left="1701" w:right="7"/>
        <w:rPr>
          <w:rFonts w:ascii="Verdana" w:hAnsi="Verdana"/>
          <w:szCs w:val="20"/>
        </w:rPr>
      </w:pPr>
      <w:r>
        <w:rPr>
          <w:rFonts w:ascii="Verdana" w:hAnsi="Verdana"/>
          <w:szCs w:val="20"/>
        </w:rPr>
        <w:t>Rua Joaquim Floriano, 466, Bloco B, Sala 1.401</w:t>
      </w:r>
      <w:r>
        <w:rPr>
          <w:rFonts w:ascii="Verdana" w:hAnsi="Verdana"/>
          <w:szCs w:val="20"/>
        </w:rPr>
        <w:tab/>
      </w:r>
    </w:p>
    <w:p>
      <w:pPr>
        <w:pStyle w:val="Body2"/>
        <w:spacing w:after="0" w:line="320" w:lineRule="exact"/>
        <w:ind w:left="1701" w:right="7"/>
        <w:rPr>
          <w:rFonts w:ascii="Verdana" w:hAnsi="Verdana"/>
          <w:szCs w:val="20"/>
        </w:rPr>
      </w:pPr>
      <w:r>
        <w:rPr>
          <w:rFonts w:ascii="Verdana" w:hAnsi="Verdana"/>
          <w:szCs w:val="20"/>
        </w:rPr>
        <w:lastRenderedPageBreak/>
        <w:t>CEP 04534-002 - São Paulo – SP</w:t>
      </w:r>
    </w:p>
    <w:p>
      <w:pPr>
        <w:pStyle w:val="Body2"/>
        <w:spacing w:after="0" w:line="320" w:lineRule="exact"/>
        <w:ind w:left="1701" w:right="7"/>
        <w:rPr>
          <w:rFonts w:ascii="Verdana" w:hAnsi="Verdana"/>
          <w:szCs w:val="20"/>
        </w:rPr>
      </w:pPr>
      <w:r>
        <w:rPr>
          <w:rFonts w:ascii="Verdana" w:hAnsi="Verdana"/>
          <w:szCs w:val="20"/>
        </w:rPr>
        <w:t>At.: Matheus Gomes Faria / Pedro de Oliveira</w:t>
      </w:r>
      <w:r>
        <w:rPr>
          <w:rFonts w:ascii="Verdana" w:hAnsi="Verdana"/>
          <w:szCs w:val="20"/>
        </w:rPr>
        <w:tab/>
      </w:r>
    </w:p>
    <w:p>
      <w:pPr>
        <w:pStyle w:val="Body2"/>
        <w:tabs>
          <w:tab w:val="left" w:pos="7125"/>
        </w:tabs>
        <w:spacing w:after="0" w:line="320" w:lineRule="exact"/>
        <w:ind w:left="1701" w:right="7"/>
        <w:rPr>
          <w:rFonts w:ascii="Verdana" w:hAnsi="Verdana"/>
          <w:szCs w:val="20"/>
        </w:rPr>
      </w:pPr>
      <w:r>
        <w:rPr>
          <w:rFonts w:ascii="Verdana" w:hAnsi="Verdana"/>
          <w:szCs w:val="20"/>
        </w:rPr>
        <w:t>Telefone: (11) 3090-0447 / (21) 2507-1949</w:t>
      </w:r>
      <w:r>
        <w:rPr>
          <w:rFonts w:ascii="Verdana" w:hAnsi="Verdana"/>
          <w:szCs w:val="20"/>
        </w:rPr>
        <w:tab/>
      </w:r>
    </w:p>
    <w:p>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pPr>
        <w:pStyle w:val="p3"/>
        <w:tabs>
          <w:tab w:val="clear" w:pos="720"/>
        </w:tabs>
        <w:spacing w:line="320" w:lineRule="exact"/>
        <w:ind w:left="1701"/>
        <w:jc w:val="left"/>
        <w:rPr>
          <w:rFonts w:ascii="Verdana" w:hAnsi="Verdana"/>
          <w:sz w:val="20"/>
        </w:rPr>
      </w:pPr>
    </w:p>
    <w:p>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Escriturador: </w:t>
      </w:r>
    </w:p>
    <w:p>
      <w:pPr>
        <w:pStyle w:val="PargrafodaLista"/>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BANCO BRADESCO S.A.</w:t>
      </w:r>
    </w:p>
    <w:p>
      <w:pPr>
        <w:pStyle w:val="PargrafodaLista"/>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pPr>
        <w:pStyle w:val="Body2"/>
        <w:keepNext/>
        <w:keepLines/>
        <w:spacing w:after="0" w:line="320" w:lineRule="exact"/>
        <w:ind w:left="1701"/>
        <w:rPr>
          <w:rFonts w:ascii="Verdana" w:hAnsi="Verdana"/>
          <w:bCs/>
          <w:szCs w:val="20"/>
        </w:rPr>
      </w:pPr>
      <w:r>
        <w:rPr>
          <w:rFonts w:ascii="Verdana" w:hAnsi="Verdana"/>
          <w:bCs/>
          <w:szCs w:val="20"/>
        </w:rPr>
        <w:t>Telefone: (11) 3684-9444</w:t>
      </w:r>
    </w:p>
    <w:p>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pPr>
        <w:keepNext/>
        <w:keepLines/>
        <w:spacing w:after="0" w:line="320" w:lineRule="exact"/>
        <w:ind w:left="1702"/>
        <w:jc w:val="both"/>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pPr>
        <w:keepNext/>
        <w:keepLines/>
        <w:shd w:val="clear" w:color="auto" w:fill="FFFFFF"/>
        <w:spacing w:after="0" w:line="320" w:lineRule="exact"/>
        <w:ind w:left="1680"/>
        <w:rPr>
          <w:rFonts w:ascii="Verdana" w:hAnsi="Verdana"/>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73" w:name="_DV_M428"/>
      <w:bookmarkEnd w:id="373"/>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pPr>
        <w:spacing w:after="0" w:line="320" w:lineRule="exact"/>
        <w:ind w:left="709"/>
        <w:jc w:val="both"/>
        <w:rPr>
          <w:rFonts w:ascii="Verdana" w:hAnsi="Verdana"/>
          <w:sz w:val="20"/>
          <w:szCs w:val="20"/>
        </w:rPr>
      </w:pPr>
    </w:p>
    <w:p>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lastRenderedPageBreak/>
        <w:t>Disposições Gerais</w:t>
      </w:r>
    </w:p>
    <w:p>
      <w:pPr>
        <w:keepNext/>
        <w:keepLines/>
        <w:spacing w:after="0" w:line="320" w:lineRule="exact"/>
        <w:ind w:left="709"/>
        <w:jc w:val="both"/>
        <w:rPr>
          <w:rFonts w:ascii="Verdana" w:hAnsi="Verdana"/>
          <w:smallCaps/>
          <w:sz w:val="20"/>
          <w:szCs w:val="20"/>
          <w:u w:val="single"/>
        </w:rPr>
      </w:pPr>
    </w:p>
    <w:p>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74" w:name="_DV_M429"/>
      <w:bookmarkEnd w:id="374"/>
      <w:r>
        <w:rPr>
          <w:rFonts w:ascii="Verdana" w:hAnsi="Verdana"/>
          <w:i/>
          <w:sz w:val="20"/>
          <w:szCs w:val="20"/>
          <w:u w:val="single"/>
        </w:rPr>
        <w:t>Renúncia</w:t>
      </w:r>
      <w:r>
        <w:rPr>
          <w:rFonts w:ascii="Verdana" w:hAnsi="Verdana"/>
          <w:sz w:val="20"/>
          <w:szCs w:val="20"/>
        </w:rPr>
        <w:t xml:space="preserve">. </w:t>
      </w:r>
      <w:bookmarkStart w:id="375" w:name="_DV_M430"/>
      <w:bookmarkEnd w:id="375"/>
      <w:r>
        <w:rPr>
          <w:rFonts w:ascii="Verdana" w:hAnsi="Verdana"/>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xml:space="preserve">. Fica desde já dispensada a realização de Assembleia Geral de Debenturistas para deliberar sobre: (i) a correção de erros materiais, seja ele um erro grosseiro, de digitação ou </w:t>
      </w:r>
      <w:r>
        <w:rPr>
          <w:rFonts w:ascii="Verdana" w:hAnsi="Verdana"/>
          <w:sz w:val="20"/>
          <w:szCs w:val="20"/>
        </w:rPr>
        <w:lastRenderedPageBreak/>
        <w:t xml:space="preserve">aritmético, (ii) alterações a quaisquer documentos da Emissão já expressamente permitidas nos termos do(s) respectivo(s) documento(s) da Emissão, (iii) alterações a quaisquer documentos relativos à Oferta em razão de exigências formuladas pela CVM, pela B3, pela B3 – Segmento Cetip UTVM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pPr>
        <w:pStyle w:val="PargrafodaLista"/>
        <w:tabs>
          <w:tab w:val="left" w:pos="851"/>
        </w:tabs>
        <w:spacing w:line="320" w:lineRule="exact"/>
        <w:ind w:left="851" w:hanging="851"/>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na B3 – Segmento Cetip UTVM e na ANBIMA; (ii) das taxas de registro aplicáveis, inclusive aquelas referentes ao registro desta Escritura e seus aditamentos na JUCEPAR;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pPr>
        <w:tabs>
          <w:tab w:val="num" w:pos="851"/>
        </w:tabs>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w:t>
      </w:r>
      <w:r>
        <w:rPr>
          <w:rFonts w:ascii="Verdana" w:hAnsi="Verdana"/>
          <w:sz w:val="20"/>
          <w:szCs w:val="20"/>
        </w:rPr>
        <w:lastRenderedPageBreak/>
        <w:t>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76" w:name="_DV_M431"/>
      <w:bookmarkEnd w:id="376"/>
      <w:r>
        <w:rPr>
          <w:rFonts w:ascii="Verdana" w:hAnsi="Verdana"/>
          <w:smallCaps/>
          <w:sz w:val="20"/>
          <w:szCs w:val="20"/>
          <w:u w:val="single"/>
        </w:rPr>
        <w:t>Lei Aplicável</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pPr>
        <w:spacing w:after="0" w:line="320" w:lineRule="exact"/>
        <w:jc w:val="both"/>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(ASSINATURAS SE ENCONTRAM NAS 2 (DUAS) PÁGINAS SEGUINTES)</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sectPr>
          <w:footerReference w:type="default" r:id="rId14"/>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1/2 da Escritura Particular da Décima Terceira Emissão de Debêntures Simples, Não Conversíveis em Ações, da Espécie Quirografária, em Série Única, para Distribuição Pública, da Rumo S.A.)</w:t>
      </w:r>
    </w:p>
    <w:p>
      <w:pPr>
        <w:spacing w:after="0" w:line="320" w:lineRule="exact"/>
        <w:jc w:val="both"/>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p>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pPr>
        <w:spacing w:after="0" w:line="320" w:lineRule="exact"/>
        <w:jc w:val="both"/>
        <w:rPr>
          <w:rFonts w:ascii="Verdana" w:hAnsi="Verdana"/>
          <w:bCs/>
          <w:i/>
          <w:iCs/>
          <w:w w:val="0"/>
          <w:sz w:val="20"/>
          <w:szCs w:val="20"/>
        </w:rPr>
      </w:pPr>
      <w:r>
        <w:rPr>
          <w:rFonts w:ascii="Verdana" w:hAnsi="Verdana"/>
          <w:sz w:val="20"/>
          <w:szCs w:val="20"/>
        </w:rPr>
        <w:br w:type="page"/>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2/2 da Escritura Particular da Décima Terceira Emissão de Debêntures Simples, Não Conversíveis em Ações, da Espécie Quirografária, em Série Única, para Distribuição Pública, da Rumo S.A.)</w:t>
      </w: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20" w:lineRule="exact"/>
              <w:rPr>
                <w:rFonts w:ascii="Verdana" w:hAnsi="Verdana"/>
                <w:sz w:val="20"/>
                <w:szCs w:val="20"/>
              </w:rPr>
            </w:pPr>
          </w:p>
        </w:tc>
      </w:tr>
    </w:tbl>
    <w:p>
      <w:pPr>
        <w:autoSpaceDE w:val="0"/>
        <w:autoSpaceDN w:val="0"/>
        <w:adjustRightInd w:val="0"/>
        <w:spacing w:after="0" w:line="320" w:lineRule="exact"/>
        <w:jc w:val="both"/>
        <w:rPr>
          <w:rFonts w:ascii="Verdana" w:hAnsi="Verdana"/>
          <w:bCs/>
          <w:i/>
          <w:smallCaps/>
          <w:sz w:val="20"/>
          <w:szCs w:val="20"/>
        </w:rPr>
      </w:pPr>
      <w:bookmarkStart w:id="377" w:name="_DV_M443"/>
      <w:bookmarkStart w:id="378" w:name="_DV_M444"/>
      <w:bookmarkStart w:id="379" w:name="_DV_M445"/>
      <w:bookmarkStart w:id="380" w:name="_DV_M447"/>
      <w:bookmarkStart w:id="381" w:name="_DV_M448"/>
      <w:bookmarkStart w:id="382" w:name="_DV_M449"/>
      <w:bookmarkEnd w:id="377"/>
      <w:bookmarkEnd w:id="378"/>
      <w:bookmarkEnd w:id="379"/>
      <w:bookmarkEnd w:id="380"/>
      <w:bookmarkEnd w:id="381"/>
      <w:bookmarkEnd w:id="382"/>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pPr>
        <w:spacing w:after="0" w:line="320" w:lineRule="exact"/>
        <w:rPr>
          <w:rFonts w:ascii="Verdana" w:hAnsi="Verdana"/>
          <w:sz w:val="20"/>
          <w:szCs w:val="20"/>
        </w:rPr>
      </w:pPr>
    </w:p>
    <w:p>
      <w:pPr>
        <w:spacing w:line="320" w:lineRule="exact"/>
        <w:rPr>
          <w:rFonts w:ascii="Verdana" w:hAnsi="Verdana"/>
          <w:sz w:val="20"/>
          <w:szCs w:val="20"/>
        </w:rPr>
      </w:pPr>
      <w:r>
        <w:rPr>
          <w:rFonts w:ascii="Verdana" w:hAnsi="Verdana"/>
          <w:sz w:val="20"/>
          <w:szCs w:val="20"/>
        </w:rPr>
        <w:br w:type="page"/>
      </w:r>
    </w:p>
    <w:p>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w:t>
      </w:r>
    </w:p>
    <w:p>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SUL</w:t>
      </w:r>
    </w:p>
    <w:p>
      <w:pPr>
        <w:rPr>
          <w:rFonts w:ascii="Verdana" w:hAnsi="Verdana" w:cs="Arial"/>
          <w:b/>
          <w:sz w:val="20"/>
          <w:szCs w:val="20"/>
        </w:rPr>
      </w:pPr>
      <w:r>
        <w:rPr>
          <w:rFonts w:ascii="Verdana" w:hAnsi="Verdana" w:cs="Arial"/>
          <w:b/>
          <w:sz w:val="20"/>
          <w:szCs w:val="20"/>
        </w:rPr>
        <w:br w:type="page"/>
      </w:r>
    </w:p>
    <w:p>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II</w:t>
      </w:r>
    </w:p>
    <w:p>
      <w:pPr>
        <w:tabs>
          <w:tab w:val="left" w:pos="2366"/>
        </w:tabs>
        <w:spacing w:after="0" w:line="320" w:lineRule="exact"/>
        <w:jc w:val="center"/>
        <w:rPr>
          <w:rFonts w:ascii="Verdana" w:hAnsi="Verdana" w:cs="Arial"/>
          <w:b/>
          <w:sz w:val="20"/>
          <w:szCs w:val="20"/>
        </w:rPr>
      </w:pPr>
    </w:p>
    <w:p>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CENTRAL</w:t>
      </w:r>
    </w:p>
    <w:p>
      <w:pPr>
        <w:spacing w:after="0" w:line="320" w:lineRule="exact"/>
        <w:rPr>
          <w:rFonts w:ascii="Verdana" w:hAnsi="Verdana"/>
          <w:sz w:val="20"/>
          <w:szCs w:val="20"/>
        </w:rPr>
      </w:pPr>
    </w:p>
    <w:sectPr>
      <w:headerReference w:type="default" r:id="rId15"/>
      <w:footerReference w:type="default" r:id="rId16"/>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- 34456730v13 - 599032.447248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- 34456730v14 - 599032.447248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67641"/>
      <w:docPartObj>
        <w:docPartGallery w:val="Page Numbers (Top of Page)"/>
        <w:docPartUnique/>
      </w:docPartObj>
    </w:sdtPr>
    <w:sdtEndPr>
      <w:rPr>
        <w:rFonts w:ascii="Garamond" w:hAnsi="Garamond"/>
      </w:rPr>
    </w:sdtEndPr>
    <w:sdtContent>
      <w:p>
        <w:pPr>
          <w:pStyle w:val="Cabealho"/>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rPr>
          <w:t>10</w:t>
        </w:r>
        <w:r>
          <w:rPr>
            <w:rFonts w:ascii="Garamond" w:hAnsi="Garamond"/>
          </w:rPr>
          <w:fldChar w:fldCharType="end"/>
        </w:r>
      </w:p>
    </w:sdtContent>
  </w:sdt>
  <w:p>
    <w:pPr>
      <w:pStyle w:val="Cabealho"/>
      <w:jc w:val="right"/>
      <w:rPr>
        <w:rFonts w:ascii="Garamond" w:hAnsi="Garamond"/>
        <w:i/>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szCs w:val="20"/>
      </w:rPr>
    </w:pPr>
    <w:r>
      <w:rPr>
        <w:rFonts w:ascii="Verdana" w:hAnsi="Verdana"/>
        <w:b/>
        <w:sz w:val="20"/>
        <w:szCs w:val="20"/>
      </w:rPr>
      <w:t>M I N U T A</w:t>
    </w:r>
  </w:p>
  <w:p>
    <w:pPr>
      <w:pStyle w:val="Cabealho"/>
      <w:jc w:val="right"/>
      <w:rPr>
        <w:rFonts w:ascii="Verdana" w:hAnsi="Verdana"/>
        <w:sz w:val="20"/>
        <w:szCs w:val="20"/>
      </w:rPr>
    </w:pPr>
    <w:r>
      <w:rPr>
        <w:rFonts w:ascii="Verdana" w:hAnsi="Verdana"/>
        <w:sz w:val="20"/>
        <w:szCs w:val="20"/>
      </w:rPr>
      <w:t>(28.8.2019)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8AD-B042-44DD-AAE8-50845359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23849</Words>
  <Characters>126639</Characters>
  <Application>Microsoft Office Word</Application>
  <DocSecurity>0</DocSecurity>
  <Lines>5065</Lines>
  <Paragraphs>2950</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147538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Pinheiro Neto Advogados</cp:lastModifiedBy>
  <cp:revision>5</cp:revision>
  <cp:lastPrinted>2017-02-20T11:52:00Z</cp:lastPrinted>
  <dcterms:created xsi:type="dcterms:W3CDTF">2019-08-29T01:16:00Z</dcterms:created>
  <dcterms:modified xsi:type="dcterms:W3CDTF">2019-08-29T01:27:00Z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- 34456730v14 - 599032.447248</vt:lpwstr>
  </property>
</Properties>
</file>