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4" w:space="1" w:color="auto"/>
        </w:pBdr>
        <w:spacing w:after="0" w:line="320" w:lineRule="exact"/>
        <w:jc w:val="center"/>
        <w:rPr>
          <w:rFonts w:ascii="Verdana" w:hAnsi="Verdana"/>
          <w:sz w:val="20"/>
          <w:szCs w:val="20"/>
        </w:rPr>
      </w:pPr>
    </w:p>
    <w:p>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w:t>
      </w:r>
      <w:bookmarkStart w:id="0" w:name="_GoBack"/>
      <w:bookmarkEnd w:id="0"/>
      <w:r>
        <w:rPr>
          <w:rFonts w:ascii="Verdana" w:hAnsi="Verdana"/>
          <w:b/>
          <w:bCs/>
          <w:sz w:val="20"/>
          <w:szCs w:val="20"/>
        </w:rPr>
        <w:t>ÍVEIS EM AÇÕES, DA ESPÉCIE QUIROGRAFÁRIA, EM SÉRIE ÚNICA, PARA DISTRIBUIÇÃO PÚBLICA, DA RUMO S.A</w:t>
      </w:r>
      <w:r>
        <w:rPr>
          <w:rFonts w:ascii="Verdana" w:hAnsi="Verdana"/>
          <w:b/>
          <w:sz w:val="20"/>
          <w:szCs w:val="20"/>
        </w:rPr>
        <w:t>.</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pStyle w:val="c3"/>
        <w:spacing w:line="320" w:lineRule="exact"/>
        <w:rPr>
          <w:rFonts w:ascii="Verdana" w:hAnsi="Verdana"/>
          <w:sz w:val="20"/>
          <w:szCs w:val="20"/>
        </w:rPr>
      </w:pPr>
      <w:r>
        <w:rPr>
          <w:rFonts w:ascii="Verdana" w:hAnsi="Verdana"/>
          <w:sz w:val="20"/>
          <w:szCs w:val="20"/>
        </w:rPr>
        <w:t>entre</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20" w:lineRule="exact"/>
        <w:jc w:val="center"/>
        <w:rPr>
          <w:rFonts w:ascii="Verdana" w:hAnsi="Verdana"/>
          <w:i/>
          <w:iCs/>
          <w:sz w:val="20"/>
          <w:szCs w:val="20"/>
        </w:rPr>
      </w:pPr>
      <w:r>
        <w:rPr>
          <w:rFonts w:ascii="Verdana" w:hAnsi="Verdana"/>
          <w:i/>
          <w:iCs/>
          <w:sz w:val="20"/>
          <w:szCs w:val="20"/>
        </w:rPr>
        <w:t>como Emissora</w:t>
      </w:r>
    </w:p>
    <w:p>
      <w:pPr>
        <w:spacing w:after="0" w:line="320" w:lineRule="exact"/>
        <w:jc w:val="center"/>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r>
        <w:rPr>
          <w:rFonts w:ascii="Verdana" w:hAnsi="Verdana"/>
          <w:sz w:val="20"/>
          <w:szCs w:val="20"/>
        </w:rPr>
        <w:t>e</w:t>
      </w: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20" w:lineRule="exact"/>
        <w:jc w:val="center"/>
        <w:rPr>
          <w:rFonts w:ascii="Verdana" w:hAnsi="Verdana"/>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________________________</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Datado de</w:t>
      </w:r>
    </w:p>
    <w:p>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pPr>
        <w:spacing w:after="0" w:line="32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20" w:lineRule="exact"/>
        <w:jc w:val="center"/>
        <w:rPr>
          <w:rFonts w:ascii="Verdana" w:hAnsi="Verdana"/>
          <w:sz w:val="20"/>
          <w:szCs w:val="20"/>
        </w:rPr>
      </w:pPr>
    </w:p>
    <w:p>
      <w:pPr>
        <w:pBdr>
          <w:bottom w:val="double" w:sz="6" w:space="1" w:color="auto"/>
        </w:pBdr>
        <w:spacing w:after="0" w:line="320" w:lineRule="exact"/>
        <w:jc w:val="center"/>
        <w:rPr>
          <w:rFonts w:ascii="Verdana" w:hAnsi="Verdana"/>
          <w:smallCaps/>
          <w:sz w:val="20"/>
          <w:szCs w:val="20"/>
        </w:rPr>
      </w:pPr>
    </w:p>
    <w:p>
      <w:pPr>
        <w:spacing w:after="0" w:line="32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537" w:right="1418" w:bottom="2835" w:left="1701" w:header="706" w:footer="2835" w:gutter="0"/>
          <w:pgNumType w:start="1"/>
          <w:cols w:space="708"/>
          <w:titlePg/>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20" w:lineRule="exact"/>
        <w:jc w:val="both"/>
        <w:rPr>
          <w:rFonts w:ascii="Verdana" w:hAnsi="Verdana"/>
          <w:sz w:val="20"/>
          <w:szCs w:val="20"/>
        </w:rPr>
      </w:pPr>
    </w:p>
    <w:p>
      <w:pPr>
        <w:spacing w:after="0" w:line="320" w:lineRule="exact"/>
        <w:jc w:val="both"/>
        <w:rPr>
          <w:rFonts w:ascii="Verdana" w:hAnsi="Verdana"/>
          <w:sz w:val="20"/>
          <w:szCs w:val="20"/>
        </w:rPr>
      </w:pPr>
      <w:r>
        <w:rPr>
          <w:rFonts w:ascii="Verdana" w:hAnsi="Verdana"/>
          <w:sz w:val="20"/>
          <w:szCs w:val="20"/>
        </w:rPr>
        <w:t xml:space="preserve">Pelo presente instrumento particular,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pPr>
        <w:spacing w:after="0" w:line="320" w:lineRule="exact"/>
        <w:ind w:left="720"/>
        <w:jc w:val="both"/>
        <w:rPr>
          <w:rFonts w:ascii="Verdana" w:hAnsi="Verdana"/>
          <w:sz w:val="20"/>
          <w:szCs w:val="20"/>
        </w:rPr>
      </w:pPr>
    </w:p>
    <w:p>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20" w:lineRule="exact"/>
        <w:jc w:val="both"/>
        <w:rPr>
          <w:rFonts w:ascii="Verdana" w:hAnsi="Verdana"/>
          <w:b/>
          <w:sz w:val="20"/>
          <w:szCs w:val="20"/>
        </w:rPr>
      </w:pPr>
    </w:p>
    <w:p>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20" w:lineRule="exact"/>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90" w:name="_Hlk467837"/>
      <w:r>
        <w:rPr>
          <w:rFonts w:ascii="Verdana" w:hAnsi="Verdana"/>
          <w:sz w:val="20"/>
          <w:szCs w:val="20"/>
        </w:rPr>
        <w:t>(i) com relação a qualquer obrigação pecuniária realizada por meio da B3 – Segmento Cetip UTVM (conforme abaixo definida), qualquer dia que não seja sábado, domingo ou feriado declarado nacional; (ii) com relação a qualquer obrigação pecuniária que não seja realizada por meio da B3 – Segmento Cetip UTVM e/ou da B3, conforme o caso, qualquer dia no qual haja expediente nos bancos comerciais na Cidade de São Paulo, Estado de São Paulo, e na Cidade de Curitiba, Estado do Paraná, e que não seja sábado ou domingo; e (iii) com relação a qualquer obrigação não pecuniária prevista nesta Escritura, qualquer dia que não seja sábado ou domingo ou feriado na Cidade de Osasco, Estado de São Paulo e na Cidade de Curitiba, Estado do Paraná</w:t>
      </w:r>
      <w:bookmarkEnd w:id="90"/>
      <w:r>
        <w:rPr>
          <w:rFonts w:ascii="Verdana" w:hAnsi="Verdana"/>
          <w:sz w:val="20"/>
          <w:szCs w:val="20"/>
        </w:rPr>
        <w:t>.</w:t>
      </w:r>
    </w:p>
    <w:p>
      <w:pPr>
        <w:spacing w:after="0" w:line="320" w:lineRule="exact"/>
        <w:ind w:left="709" w:hanging="709"/>
        <w:jc w:val="both"/>
        <w:rPr>
          <w:rFonts w:ascii="Verdana" w:hAnsi="Verdana"/>
          <w:sz w:val="20"/>
          <w:szCs w:val="20"/>
        </w:rPr>
      </w:pPr>
    </w:p>
    <w:p>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3"/>
      <w:r>
        <w:rPr>
          <w:rFonts w:ascii="Verdana" w:hAnsi="Verdana"/>
          <w:smallCaps/>
          <w:sz w:val="20"/>
          <w:szCs w:val="20"/>
          <w:u w:val="single"/>
        </w:rPr>
        <w:t>Autorizações</w:t>
      </w:r>
      <w:bookmarkEnd w:id="91"/>
    </w:p>
    <w:p>
      <w:pPr>
        <w:spacing w:after="0" w:line="320" w:lineRule="exact"/>
        <w:ind w:left="709" w:hanging="709"/>
        <w:jc w:val="both"/>
        <w:rPr>
          <w:rFonts w:ascii="Verdana" w:hAnsi="Verdana"/>
          <w:smallCaps/>
          <w:sz w:val="20"/>
          <w:szCs w:val="20"/>
          <w:u w:val="single"/>
        </w:rPr>
      </w:pPr>
    </w:p>
    <w:p>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pPr>
        <w:pStyle w:val="Saudao"/>
        <w:tabs>
          <w:tab w:val="left" w:pos="6120"/>
        </w:tabs>
        <w:spacing w:line="320" w:lineRule="exact"/>
        <w:ind w:left="709" w:hanging="709"/>
        <w:rPr>
          <w:rFonts w:ascii="Verdana" w:hAnsi="Verdana"/>
          <w:sz w:val="20"/>
          <w:szCs w:val="20"/>
          <w:lang w:val="pt-BR"/>
        </w:rPr>
      </w:pPr>
    </w:p>
    <w:p>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w:t>
      </w:r>
      <w:r>
        <w:rPr>
          <w:rFonts w:ascii="Verdana" w:hAnsi="Verdana"/>
          <w:sz w:val="20"/>
          <w:szCs w:val="20"/>
          <w:lang w:val="pt-BR"/>
        </w:rPr>
        <w:lastRenderedPageBreak/>
        <w:t xml:space="preserve">implementação da Emissão e da Oferta, tais como Escriturador (conforme abaixo definido), Banco Liquidante (conforme abaixo definido), a B3 (conforme abaixo definido), a B3 – Segmento Cetip UTVM, dentre outros, podendo, para tanto, negociar e assinar os respectivos instrumentos de contratação e eventuais alterações em aditamentos. </w:t>
      </w:r>
    </w:p>
    <w:p>
      <w:pPr>
        <w:pStyle w:val="p0"/>
        <w:widowControl/>
        <w:tabs>
          <w:tab w:val="clear" w:pos="720"/>
        </w:tabs>
        <w:spacing w:line="320" w:lineRule="exact"/>
        <w:ind w:left="709" w:hanging="709"/>
        <w:rPr>
          <w:rFonts w:ascii="Verdana" w:hAnsi="Verdana"/>
          <w:sz w:val="20"/>
        </w:rPr>
      </w:pPr>
    </w:p>
    <w:p>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2" w:name="_Toc499990314"/>
      <w:r>
        <w:rPr>
          <w:rFonts w:ascii="Verdana" w:hAnsi="Verdana"/>
          <w:smallCaps/>
          <w:sz w:val="20"/>
          <w:szCs w:val="20"/>
          <w:u w:val="single"/>
        </w:rPr>
        <w:t>Requisitos</w:t>
      </w:r>
      <w:bookmarkEnd w:id="92"/>
    </w:p>
    <w:p>
      <w:pPr>
        <w:spacing w:after="0" w:line="320" w:lineRule="exact"/>
        <w:rPr>
          <w:rFonts w:ascii="Verdana" w:hAnsi="Verdana"/>
          <w:sz w:val="20"/>
          <w:szCs w:val="20"/>
        </w:rPr>
      </w:pPr>
    </w:p>
    <w:p>
      <w:pPr>
        <w:pStyle w:val="PargrafodaLista"/>
        <w:numPr>
          <w:ilvl w:val="1"/>
          <w:numId w:val="70"/>
        </w:numPr>
        <w:spacing w:line="320" w:lineRule="exact"/>
        <w:ind w:left="851" w:hanging="851"/>
        <w:jc w:val="both"/>
        <w:rPr>
          <w:rFonts w:ascii="Verdana" w:hAnsi="Verdana"/>
          <w:sz w:val="20"/>
          <w:szCs w:val="20"/>
        </w:rPr>
      </w:pPr>
      <w:bookmarkStart w:id="93" w:name="_DV_M16"/>
      <w:bookmarkEnd w:id="93"/>
      <w:r>
        <w:rPr>
          <w:rFonts w:ascii="Verdana" w:hAnsi="Verdana"/>
          <w:sz w:val="20"/>
          <w:szCs w:val="20"/>
        </w:rPr>
        <w:t xml:space="preserve">A 13ª (décima terceira) emissão </w:t>
      </w:r>
      <w:bookmarkStart w:id="94"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5" w:name="_DV_M17"/>
      <w:bookmarkEnd w:id="94"/>
      <w:bookmarkEnd w:id="95"/>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6" w:name="_DV_M20"/>
      <w:bookmarkStart w:id="97" w:name="_DV_M21"/>
      <w:bookmarkEnd w:id="96"/>
      <w:bookmarkEnd w:id="97"/>
      <w:r>
        <w:rPr>
          <w:rFonts w:ascii="Verdana" w:hAnsi="Verdana"/>
          <w:sz w:val="20"/>
          <w:szCs w:val="20"/>
        </w:rPr>
        <w:t>:</w:t>
      </w:r>
    </w:p>
    <w:p>
      <w:pPr>
        <w:spacing w:after="0" w:line="320" w:lineRule="exact"/>
        <w:ind w:left="709" w:hanging="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8" w:name="_DV_M23"/>
      <w:bookmarkEnd w:id="98"/>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pPr>
        <w:spacing w:after="0" w:line="320" w:lineRule="exact"/>
        <w:ind w:left="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9"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pPr>
        <w:pStyle w:val="PargrafodaLista"/>
        <w:tabs>
          <w:tab w:val="num" w:pos="851"/>
        </w:tabs>
        <w:spacing w:line="320" w:lineRule="exact"/>
        <w:ind w:left="851" w:hanging="851"/>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00" w:name="_DV_M28"/>
      <w:bookmarkStart w:id="101" w:name="_DV_M29"/>
      <w:bookmarkEnd w:id="99"/>
      <w:bookmarkEnd w:id="100"/>
      <w:bookmarkEnd w:id="101"/>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2" w:name="_Ref312338136"/>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03" w:name="_Ref314837495"/>
      <w:bookmarkEnd w:id="102"/>
      <w:r>
        <w:rPr>
          <w:rFonts w:ascii="Verdana" w:hAnsi="Verdana"/>
          <w:i/>
          <w:sz w:val="20"/>
          <w:szCs w:val="20"/>
          <w:u w:val="single"/>
        </w:rPr>
        <w:lastRenderedPageBreak/>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3"/>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pPr>
        <w:pStyle w:val="PargrafodaLista"/>
        <w:spacing w:line="320" w:lineRule="exact"/>
        <w:ind w:left="709"/>
        <w:jc w:val="both"/>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pPr>
        <w:pStyle w:val="PargrafodaLista"/>
        <w:spacing w:line="320" w:lineRule="exact"/>
        <w:ind w:left="709" w:hanging="709"/>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4" w:name="_DV_M38"/>
      <w:bookmarkStart w:id="105" w:name="_DV_M42"/>
      <w:bookmarkStart w:id="106" w:name="_Ref314822195"/>
      <w:bookmarkEnd w:id="104"/>
      <w:bookmarkEnd w:id="105"/>
      <w:r>
        <w:rPr>
          <w:rFonts w:ascii="Verdana" w:hAnsi="Verdana"/>
          <w:i/>
          <w:sz w:val="20"/>
          <w:szCs w:val="20"/>
          <w:u w:val="single"/>
        </w:rPr>
        <w:t xml:space="preserve">Depósito para </w:t>
      </w:r>
      <w:bookmarkStart w:id="107" w:name="_DV_C38"/>
      <w:r>
        <w:rPr>
          <w:rStyle w:val="DeltaViewInsertion"/>
          <w:rFonts w:ascii="Verdana" w:hAnsi="Verdana"/>
          <w:i/>
          <w:color w:val="auto"/>
          <w:sz w:val="20"/>
          <w:szCs w:val="20"/>
          <w:u w:val="single"/>
        </w:rPr>
        <w:t xml:space="preserve">Distribuição </w:t>
      </w:r>
      <w:bookmarkEnd w:id="107"/>
      <w:r>
        <w:rPr>
          <w:rFonts w:ascii="Verdana" w:hAnsi="Verdana"/>
          <w:i/>
          <w:sz w:val="20"/>
          <w:szCs w:val="20"/>
          <w:u w:val="single"/>
        </w:rPr>
        <w:t>das Debêntures</w:t>
      </w:r>
      <w:r>
        <w:rPr>
          <w:rFonts w:ascii="Verdana" w:hAnsi="Verdana"/>
          <w:sz w:val="20"/>
          <w:szCs w:val="20"/>
        </w:rPr>
        <w:t xml:space="preserve">. </w:t>
      </w:r>
      <w:bookmarkStart w:id="108" w:name="_Ref312320003"/>
      <w:bookmarkStart w:id="109"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8"/>
      <w:r>
        <w:rPr>
          <w:rFonts w:ascii="Verdana" w:hAnsi="Verdana"/>
          <w:iCs/>
          <w:sz w:val="20"/>
          <w:szCs w:val="20"/>
        </w:rPr>
        <w:t xml:space="preserve"> </w:t>
      </w:r>
      <w:bookmarkEnd w:id="106"/>
    </w:p>
    <w:p>
      <w:pPr>
        <w:pStyle w:val="PargrafodaLista"/>
        <w:spacing w:line="320" w:lineRule="exact"/>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tabs>
          <w:tab w:val="num" w:pos="851"/>
        </w:tabs>
        <w:spacing w:after="0" w:line="320" w:lineRule="exact"/>
        <w:ind w:left="851" w:hanging="851"/>
        <w:jc w:val="both"/>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lastRenderedPageBreak/>
        <w:t>Projeto de Infraestrutura Considerado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xml:space="preserve">; e (ii) da Portaria nº [●], de [●] de [●] de 2019, publicada no </w:t>
      </w:r>
      <w:r>
        <w:rPr>
          <w:rFonts w:ascii="Verdana" w:hAnsi="Verdana"/>
          <w:sz w:val="20"/>
        </w:rPr>
        <w:t>DOU</w:t>
      </w:r>
      <w:r>
        <w:rPr>
          <w:rFonts w:ascii="Verdana" w:hAnsi="Verdana"/>
          <w:sz w:val="20"/>
          <w:szCs w:val="20"/>
        </w:rPr>
        <w:t xml:space="preserve"> em [●] de [●] de 2019 (“</w:t>
      </w:r>
      <w:r>
        <w:rPr>
          <w:rFonts w:ascii="Verdana" w:hAnsi="Verdana"/>
          <w:sz w:val="20"/>
          <w:szCs w:val="20"/>
          <w:u w:val="single"/>
        </w:rPr>
        <w:t>Portaria Malha Central</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pPr>
        <w:spacing w:after="0" w:line="320" w:lineRule="exact"/>
        <w:rPr>
          <w:rFonts w:ascii="Verdana" w:hAnsi="Verdana"/>
          <w:iCs/>
          <w:sz w:val="20"/>
          <w:szCs w:val="20"/>
        </w:rPr>
      </w:pPr>
    </w:p>
    <w:p>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9"/>
      <w:r>
        <w:rPr>
          <w:rFonts w:ascii="Verdana" w:hAnsi="Verdana"/>
          <w:iCs/>
          <w:smallCaps/>
          <w:sz w:val="20"/>
          <w:szCs w:val="20"/>
          <w:u w:val="single"/>
        </w:rPr>
        <w:t>Emissão</w:t>
      </w:r>
    </w:p>
    <w:p>
      <w:pPr>
        <w:spacing w:after="0" w:line="320" w:lineRule="exact"/>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pPr>
        <w:spacing w:after="0" w:line="320" w:lineRule="exact"/>
        <w:ind w:left="709" w:hanging="709"/>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10"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pPr>
        <w:pStyle w:val="PargrafodaLista"/>
        <w:tabs>
          <w:tab w:val="num" w:pos="851"/>
        </w:tabs>
        <w:spacing w:line="320" w:lineRule="exact"/>
        <w:ind w:left="851" w:hanging="851"/>
        <w:rPr>
          <w:rStyle w:val="DeltaViewInsertion"/>
          <w:rFonts w:ascii="Verdana" w:hAnsi="Verdana"/>
          <w:color w:val="auto"/>
          <w:sz w:val="20"/>
          <w:szCs w:val="20"/>
        </w:rPr>
      </w:pPr>
    </w:p>
    <w:bookmarkEnd w:id="110"/>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1" w:name="_DV_C41"/>
      <w:r>
        <w:rPr>
          <w:rFonts w:ascii="Verdana" w:hAnsi="Verdana"/>
          <w:sz w:val="20"/>
          <w:szCs w:val="20"/>
        </w:rPr>
        <w:t xml:space="preserve">. </w:t>
      </w:r>
      <w:bookmarkEnd w:id="111"/>
      <w:r>
        <w:rPr>
          <w:rFonts w:ascii="Verdana" w:hAnsi="Verdana"/>
          <w:sz w:val="20"/>
          <w:szCs w:val="20"/>
        </w:rPr>
        <w:t>A Emissão será realizada em série única</w:t>
      </w:r>
      <w:bookmarkStart w:id="112" w:name="_DV_C42"/>
      <w:r>
        <w:rPr>
          <w:rFonts w:ascii="Verdana" w:hAnsi="Verdana"/>
          <w:sz w:val="20"/>
          <w:szCs w:val="20"/>
        </w:rPr>
        <w:t>.</w:t>
      </w:r>
      <w:bookmarkStart w:id="113" w:name="_DV_M54"/>
      <w:bookmarkEnd w:id="112"/>
      <w:bookmarkEnd w:id="113"/>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4" w:name="_DV_M62"/>
      <w:bookmarkEnd w:id="114"/>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xml:space="preserve">” </w:t>
      </w:r>
      <w:r>
        <w:rPr>
          <w:rFonts w:ascii="Verdana" w:hAnsi="Verdana"/>
          <w:sz w:val="20"/>
          <w:szCs w:val="20"/>
          <w:lang w:val="pt-BR"/>
        </w:rPr>
        <w:lastRenderedPageBreak/>
        <w:t>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pPr>
        <w:spacing w:after="0" w:line="320" w:lineRule="exact"/>
        <w:ind w:left="709" w:hanging="1"/>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pPr>
        <w:spacing w:after="0" w:line="320" w:lineRule="exact"/>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xml:space="preserve">”), seguradoras, entidades de previdência complementar e de capitalização, bem como pessoas </w:t>
      </w:r>
      <w:r>
        <w:rPr>
          <w:rFonts w:ascii="Verdana" w:hAnsi="Verdana"/>
          <w:sz w:val="20"/>
          <w:szCs w:val="20"/>
          <w:lang w:val="pt-BR"/>
        </w:rPr>
        <w:lastRenderedPageBreak/>
        <w:t>físicas ou jurídicas que sejam considerados investidores profissionais ou investidores qualificados, conforme definido nos artigos 9º-A e 9º-B da Instrução da CVM nº 539, de 13 de novembro de 2013, conforme alterada; e (ii) “</w:t>
      </w:r>
      <w:r>
        <w:rPr>
          <w:rFonts w:ascii="Verdana" w:hAnsi="Verdana"/>
          <w:sz w:val="20"/>
          <w:szCs w:val="20"/>
          <w:u w:val="single"/>
          <w:lang w:val="pt-BR"/>
        </w:rPr>
        <w:t>Investidores Não Institucionais</w:t>
      </w:r>
      <w:r>
        <w:rPr>
          <w:rFonts w:ascii="Verdana" w:hAnsi="Verdana"/>
          <w:sz w:val="20"/>
          <w:szCs w:val="20"/>
          <w:lang w:val="pt-BR"/>
        </w:rPr>
        <w:t>”, definidos como investidores, pessoas físicas ou jurídicas, que não estejam compreendidos na definição de Investidores Institucionais (sendo os 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w:t>
      </w:r>
      <w:r>
        <w:rPr>
          <w:sz w:val="40"/>
          <w:szCs w:val="44"/>
          <w:highlight w:val="green"/>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pPr>
        <w:tabs>
          <w:tab w:val="left" w:pos="1701"/>
        </w:tabs>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pPr>
        <w:spacing w:after="0" w:line="320" w:lineRule="exact"/>
        <w:ind w:left="709" w:hanging="709"/>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5" w:name="_DV_C54"/>
      <w:r>
        <w:rPr>
          <w:rFonts w:ascii="Verdana" w:hAnsi="Verdana"/>
          <w:sz w:val="20"/>
          <w:szCs w:val="20"/>
          <w:lang w:val="pt-BR"/>
        </w:rPr>
        <w:t>observado o disposto na Cláusula 3.8.4, abaixo, para verificação da demanda pelas Debêntures em diferentes níveis de taxa de juros</w:t>
      </w:r>
      <w:bookmarkEnd w:id="115"/>
      <w:r>
        <w:rPr>
          <w:rFonts w:ascii="Verdana" w:hAnsi="Verdana"/>
          <w:sz w:val="20"/>
          <w:szCs w:val="20"/>
          <w:lang w:val="pt-BR"/>
        </w:rPr>
        <w:t>, de forma a definir, de comum acordo com a Emissora (i) a taxa final dos Juros Remuneratórios, nos termos da Cláusula 5.6.2, abaixo; (ii) a alocação das Debêntures entre os Investidores da Oferta; 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pPr>
        <w:tabs>
          <w:tab w:val="num" w:pos="851"/>
          <w:tab w:val="left" w:pos="170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Investidores Institucionais. Nesse sentido, os Investidores Não Institucionais não participarão do Procedimento de Bookbuilding para a definição dos Juros Remuneratórios. </w:t>
      </w:r>
    </w:p>
    <w:p>
      <w:pPr>
        <w:tabs>
          <w:tab w:val="left" w:pos="6158"/>
        </w:tabs>
        <w:spacing w:after="0" w:line="320" w:lineRule="exact"/>
        <w:ind w:left="851" w:hanging="851"/>
        <w:jc w:val="both"/>
        <w:rPr>
          <w:rFonts w:ascii="Verdana" w:hAnsi="Verdana"/>
          <w:sz w:val="20"/>
          <w:szCs w:val="20"/>
        </w:rPr>
      </w:pPr>
      <w:r>
        <w:rPr>
          <w:rFonts w:ascii="Verdana" w:hAnsi="Verdana"/>
          <w:sz w:val="20"/>
          <w:szCs w:val="20"/>
        </w:rPr>
        <w:tab/>
      </w:r>
      <w:r>
        <w:rPr>
          <w:rFonts w:ascii="Verdana" w:hAnsi="Verdana"/>
          <w:sz w:val="20"/>
          <w:szCs w:val="20"/>
        </w:rPr>
        <w:tab/>
      </w: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r>
        <w:rPr>
          <w:rFonts w:ascii="Verdana" w:hAnsi="Verdana"/>
          <w:i/>
          <w:sz w:val="20"/>
          <w:szCs w:val="20"/>
          <w:lang w:val="pt-BR"/>
        </w:rPr>
        <w:t>Bookbuilding</w:t>
      </w:r>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pPr>
        <w:tabs>
          <w:tab w:val="num" w:pos="85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w:t>
      </w:r>
      <w:r>
        <w:rPr>
          <w:rFonts w:ascii="Verdana" w:hAnsi="Verdana"/>
          <w:sz w:val="20"/>
          <w:szCs w:val="20"/>
          <w:lang w:val="pt-BR"/>
        </w:rPr>
        <w:lastRenderedPageBreak/>
        <w:t>intermediação ou de suporte operacional no âmbito da Oferta; (vi) sociedades controladas, direta ou indiretamente, pela Emissora ou 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lastRenderedPageBreak/>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6" w:name="_DV_M127"/>
      <w:bookmarkEnd w:id="116"/>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851" w:hanging="851"/>
        <w:jc w:val="both"/>
        <w:rPr>
          <w:rFonts w:ascii="Verdana" w:hAnsi="Verdana"/>
          <w:sz w:val="20"/>
          <w:szCs w:val="20"/>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7" w:name="_DV_M65"/>
      <w:bookmarkStart w:id="118" w:name="_DV_M68"/>
      <w:bookmarkStart w:id="119" w:name="_DV_M69"/>
      <w:bookmarkStart w:id="120" w:name="_DV_M70"/>
      <w:bookmarkStart w:id="121" w:name="_DV_M73"/>
      <w:bookmarkStart w:id="122" w:name="_DV_M74"/>
      <w:bookmarkStart w:id="123" w:name="_DV_M75"/>
      <w:bookmarkStart w:id="124" w:name="_DV_M76"/>
      <w:bookmarkEnd w:id="117"/>
      <w:bookmarkEnd w:id="118"/>
      <w:bookmarkEnd w:id="119"/>
      <w:bookmarkEnd w:id="120"/>
      <w:bookmarkEnd w:id="121"/>
      <w:bookmarkEnd w:id="122"/>
      <w:bookmarkEnd w:id="123"/>
      <w:bookmarkEnd w:id="124"/>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20" w:lineRule="exact"/>
        <w:ind w:left="851" w:hanging="851"/>
        <w:jc w:val="both"/>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pPr>
        <w:pStyle w:val="PargrafodaLista"/>
        <w:spacing w:line="320" w:lineRule="exact"/>
        <w:ind w:left="851" w:hanging="851"/>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xml:space="preserve">. Conforme recomendação dos Coordenadores, a Emissora contratou o [Itaú Unibanco S.A.], nos termos da Instrução da CVM nº 384, de 17 de março de 2003, conforme alterada, para exercer a atividade </w:t>
      </w:r>
      <w:r>
        <w:rPr>
          <w:rFonts w:ascii="Verdana" w:hAnsi="Verdana"/>
          <w:sz w:val="20"/>
          <w:szCs w:val="20"/>
        </w:rPr>
        <w:lastRenderedPageBreak/>
        <w:t>de Formador de Mercado para as Debêntures, com a finalidade de garantir a existência e a permanência de ofertas firmes diárias de compra e venda para as Debêntures, na B3 – Segmento Cetip UTVM, nos termos a serem previstos em contrato de Formador de Mercado.</w:t>
      </w:r>
    </w:p>
    <w:p>
      <w:pPr>
        <w:pStyle w:val="PargrafodaLista"/>
        <w:spacing w:line="320" w:lineRule="exact"/>
        <w:ind w:left="709" w:hanging="709"/>
        <w:rPr>
          <w:rFonts w:ascii="Verdana" w:hAnsi="Verdana"/>
          <w:sz w:val="20"/>
          <w:szCs w:val="20"/>
        </w:rPr>
      </w:pPr>
    </w:p>
    <w:p>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20" w:lineRule="exact"/>
        <w:rPr>
          <w:rFonts w:ascii="Verdana" w:hAnsi="Verdana"/>
          <w:sz w:val="20"/>
          <w:szCs w:val="20"/>
        </w:rPr>
      </w:pPr>
    </w:p>
    <w:p>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Portaria 009/2012, a totalidade dos recursos líquidos captados pela Emissora por meio 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projetos de investimento em infraestrutura na área de transporte e logística no setor ferroviário da Rumo Malha Sul S.A. (“</w:t>
      </w:r>
      <w:r>
        <w:rPr>
          <w:rFonts w:ascii="Verdana" w:hAnsi="Verdana" w:cs="Arial"/>
          <w:sz w:val="20"/>
          <w:szCs w:val="20"/>
          <w:u w:val="single"/>
        </w:rPr>
        <w:t>Rumo Malha Sul</w:t>
      </w:r>
      <w:r>
        <w:rPr>
          <w:rFonts w:ascii="Verdana" w:hAnsi="Verdana" w:cs="Arial"/>
          <w:sz w:val="20"/>
          <w:szCs w:val="20"/>
        </w:rPr>
        <w:t>”) e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 Malha Sul</w:t>
      </w:r>
      <w:r>
        <w:rPr>
          <w:rFonts w:ascii="Verdana" w:hAnsi="Verdana"/>
          <w:color w:val="000000"/>
          <w:sz w:val="20"/>
          <w:szCs w:val="20"/>
        </w:rPr>
        <w:t>” e “</w:t>
      </w:r>
      <w:r>
        <w:rPr>
          <w:rFonts w:ascii="Verdana" w:hAnsi="Verdana"/>
          <w:color w:val="000000"/>
          <w:sz w:val="20"/>
          <w:szCs w:val="20"/>
          <w:u w:val="single"/>
        </w:rPr>
        <w:t>Projeto Malha Central</w:t>
      </w:r>
      <w:r>
        <w:rPr>
          <w:rFonts w:ascii="Verdana" w:hAnsi="Verdana"/>
          <w:color w:val="000000"/>
          <w:sz w:val="20"/>
          <w:szCs w:val="20"/>
        </w:rPr>
        <w:t>”, respectivamente e, quando em conjunto, “</w:t>
      </w:r>
      <w:r>
        <w:rPr>
          <w:rFonts w:ascii="Verdana" w:hAnsi="Verdana"/>
          <w:color w:val="000000"/>
          <w:sz w:val="20"/>
          <w:szCs w:val="20"/>
          <w:u w:val="single"/>
        </w:rPr>
        <w:t>Projetos</w:t>
      </w:r>
      <w:r>
        <w:rPr>
          <w:rFonts w:ascii="Verdana" w:hAnsi="Verdana"/>
          <w:color w:val="000000"/>
          <w:sz w:val="20"/>
          <w:szCs w:val="20"/>
        </w:rPr>
        <w:t>”):</w:t>
      </w:r>
    </w:p>
    <w:p>
      <w:pPr>
        <w:pStyle w:val="PargrafodaLista"/>
        <w:spacing w:line="320" w:lineRule="exact"/>
        <w:ind w:left="851"/>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t>Início: janeiro de 2017.</w:t>
            </w:r>
          </w:p>
          <w:p>
            <w:pPr>
              <w:spacing w:line="320" w:lineRule="exact"/>
              <w:jc w:val="both"/>
              <w:rPr>
                <w:rFonts w:ascii="Verdana" w:hAnsi="Verdana"/>
                <w:sz w:val="20"/>
                <w:szCs w:val="20"/>
              </w:rPr>
            </w:pPr>
            <w:r>
              <w:rPr>
                <w:rFonts w:ascii="Verdana" w:eastAsia="Times New Roman" w:hAnsi="Verdana"/>
                <w:sz w:val="20"/>
                <w:szCs w:val="20"/>
              </w:rPr>
              <w:t>Encerramento: dezembro de 2020.</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 xml:space="preserve">As fases do Projeto Malha Sul de 2017 e 2018 estão concluídas. Em 2019 e 2020, as principais etapas que </w:t>
            </w:r>
            <w:r>
              <w:rPr>
                <w:rFonts w:ascii="Verdana" w:eastAsia="Times New Roman" w:hAnsi="Verdana"/>
                <w:sz w:val="20"/>
                <w:szCs w:val="20"/>
              </w:rPr>
              <w:lastRenderedPageBreak/>
              <w:t xml:space="preserve">serão implementadas são projetos de adequação e recuperação de via permanente e manutenção de material rodante. </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Volume estimado de recursos financeiros necessários para a 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R$ 803.000.000,00 (oitocentos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R$203.000.000,00 (duzentos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Sul,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25,28% (vinte e cinco inteiros e vinte e oito centésimos por cento).</w:t>
            </w:r>
          </w:p>
        </w:tc>
      </w:tr>
    </w:tbl>
    <w:p>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O projeto inicia em 2020, tendo como foco os seguintes investimentos: (i) investimentos de via, majoritariamente para a conclusão da infraestrutura e superestrutura do Tramo Sul da ferrovia e conexão com Malha Paulista,  também compreendendo construção de pátios, melhoria de sinalização, duplicações parciais, entre outros investimentos; (ii) construção de um terminal de grãos no Estado de Goiás; (iii) aquisição de locomotivas, representando aproximadamente 100 (cem) unidades até o final da subconcessão; e (iv) aquisição de aproximadamente 3.400 (três mil e </w:t>
            </w:r>
            <w:r>
              <w:rPr>
                <w:rFonts w:ascii="Verdana" w:eastAsia="Times New Roman" w:hAnsi="Verdana"/>
                <w:sz w:val="20"/>
                <w:szCs w:val="20"/>
              </w:rPr>
              <w:lastRenderedPageBreak/>
              <w:t>quatrocentos) vagões até o final da concessão.</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t>Início: 2020.</w:t>
            </w:r>
          </w:p>
          <w:p>
            <w:pPr>
              <w:spacing w:line="320" w:lineRule="exact"/>
              <w:jc w:val="both"/>
              <w:rPr>
                <w:rFonts w:ascii="Verdana" w:hAnsi="Verdana"/>
                <w:sz w:val="20"/>
                <w:szCs w:val="20"/>
              </w:rPr>
            </w:pPr>
            <w:r>
              <w:rPr>
                <w:rFonts w:ascii="Verdana" w:eastAsia="Times New Roman" w:hAnsi="Verdana"/>
                <w:sz w:val="20"/>
                <w:szCs w:val="20"/>
              </w:rPr>
              <w:t>Encerramento: 2049.</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 projeto se iniciará em 2020.</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R$2.724.000.000,00 (dois bilhões e setecentos e vinte e quatro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R$797.000.000,00 (setecentos e noventa e sete milhões de reais), considerando a subscrição e integralização da totalidade das Debêntures, sem considerar a subscrição e a integralização das Debêntures Adicionais.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29,26% (vinte e nove inteiros e vinte e seis centésimos por cento), considerando a subscrição e integralização da totalidade das Debêntures, sem considerar a subscrição e a integralização das Debêntures Adicionais.</w:t>
            </w:r>
          </w:p>
        </w:tc>
      </w:tr>
    </w:tbl>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after="0" w:line="320" w:lineRule="exact"/>
        <w:jc w:val="both"/>
        <w:rPr>
          <w:rFonts w:ascii="Verdana" w:hAnsi="Verdana"/>
          <w:color w:val="000000"/>
          <w:sz w:val="20"/>
          <w:szCs w:val="20"/>
        </w:rPr>
      </w:pPr>
    </w:p>
    <w:p>
      <w:pPr>
        <w:spacing w:after="0" w:line="320" w:lineRule="exact"/>
        <w:jc w:val="both"/>
        <w:rPr>
          <w:rFonts w:ascii="Verdana" w:hAnsi="Verdana"/>
          <w:b/>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lastRenderedPageBreak/>
        <w:t>4.1.2.</w:t>
      </w:r>
      <w:r>
        <w:rPr>
          <w:rFonts w:ascii="Verdana" w:hAnsi="Verdana"/>
          <w:sz w:val="20"/>
          <w:szCs w:val="20"/>
        </w:rPr>
        <w:tab/>
        <w:t>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(ii) R$797.000.000,00 (setecentos e noventa e sete milhões de reais) para a Rumo Malha Central, sendo certo que os recursos captados pela Emissora em decorrência das Debêntures Adicionais, caso emitidas,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dos Projetos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integralmente ao Projeto Malha Central, conforme condições previstas nesta Cláusula 4.</w:t>
      </w:r>
    </w:p>
    <w:p>
      <w:pPr>
        <w:spacing w:line="320" w:lineRule="exact"/>
        <w:rPr>
          <w:rFonts w:ascii="Verdana" w:hAnsi="Verdana"/>
          <w:smallCaps/>
          <w:sz w:val="20"/>
          <w:szCs w:val="20"/>
          <w:u w:val="single"/>
        </w:rPr>
      </w:pPr>
      <w:bookmarkStart w:id="125" w:name="_DV_M78"/>
      <w:bookmarkStart w:id="126" w:name="_Toc499990325"/>
      <w:bookmarkEnd w:id="125"/>
    </w:p>
    <w:p>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26"/>
    </w:p>
    <w:p>
      <w:pPr>
        <w:keepNext/>
        <w:keepLines/>
        <w:spacing w:after="0"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pPr>
        <w:spacing w:after="0"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8" w:name="_DV_C80"/>
      <w:r>
        <w:rPr>
          <w:rStyle w:val="DeltaViewInsertion"/>
          <w:rFonts w:ascii="Verdana" w:hAnsi="Verdana"/>
          <w:i/>
          <w:color w:val="auto"/>
          <w:sz w:val="20"/>
          <w:szCs w:val="20"/>
          <w:u w:val="single"/>
        </w:rPr>
        <w:t>Conversibilidade</w:t>
      </w:r>
      <w:bookmarkEnd w:id="12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lastRenderedPageBreak/>
        <w:t>Privilégios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20" w:lineRule="exact"/>
        <w:ind w:left="851" w:hanging="851"/>
        <w:rPr>
          <w:rFonts w:ascii="Verdana" w:hAnsi="Verdana"/>
          <w:i/>
          <w:sz w:val="20"/>
          <w:szCs w:val="20"/>
          <w:u w:val="single"/>
        </w:rPr>
      </w:pPr>
    </w:p>
    <w:p>
      <w:pPr>
        <w:pStyle w:val="PargrafodaLista"/>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pPr>
        <w:spacing w:after="0" w:line="320" w:lineRule="exact"/>
        <w:ind w:left="851" w:hanging="851"/>
        <w:rPr>
          <w:rFonts w:ascii="Verdana" w:hAnsi="Verdana"/>
          <w:sz w:val="20"/>
          <w:szCs w:val="20"/>
        </w:rPr>
      </w:pPr>
    </w:p>
    <w:p>
      <w:pPr>
        <w:pStyle w:val="PargrafodaLista"/>
        <w:numPr>
          <w:ilvl w:val="1"/>
          <w:numId w:val="69"/>
        </w:numPr>
        <w:spacing w:line="320" w:lineRule="exact"/>
        <w:ind w:left="851" w:hanging="851"/>
        <w:jc w:val="both"/>
        <w:rPr>
          <w:rFonts w:ascii="Verdana" w:hAnsi="Verdana"/>
          <w:snapToGrid w:val="0"/>
          <w:sz w:val="20"/>
          <w:szCs w:val="20"/>
        </w:rPr>
      </w:pPr>
      <w:bookmarkStart w:id="129" w:name="_DV_M244"/>
      <w:bookmarkStart w:id="130" w:name="_DV_M245"/>
      <w:bookmarkStart w:id="131" w:name="_DV_M253"/>
      <w:bookmarkStart w:id="132" w:name="_DV_M262"/>
      <w:bookmarkStart w:id="133" w:name="_DV_M264"/>
      <w:bookmarkStart w:id="134" w:name="_Ref314575352"/>
      <w:bookmarkStart w:id="135" w:name="_Toc499990343"/>
      <w:bookmarkEnd w:id="127"/>
      <w:bookmarkEnd w:id="129"/>
      <w:bookmarkEnd w:id="130"/>
      <w:bookmarkEnd w:id="131"/>
      <w:bookmarkEnd w:id="132"/>
      <w:bookmarkEnd w:id="133"/>
      <w:r>
        <w:rPr>
          <w:rFonts w:ascii="Verdana" w:hAnsi="Verdana"/>
          <w:i/>
          <w:sz w:val="20"/>
          <w:szCs w:val="20"/>
          <w:u w:val="single"/>
        </w:rPr>
        <w:t>Atualização Monetária e Juros Remuneratórios das Debêntures</w:t>
      </w:r>
      <w:bookmarkStart w:id="136" w:name="_DV_M99"/>
      <w:bookmarkStart w:id="137" w:name="_Ref312336193"/>
      <w:bookmarkEnd w:id="136"/>
      <w:r>
        <w:rPr>
          <w:rFonts w:ascii="Verdana" w:hAnsi="Verdana"/>
          <w:i/>
          <w:sz w:val="20"/>
          <w:szCs w:val="20"/>
          <w:u w:val="single"/>
        </w:rPr>
        <w:t xml:space="preserve"> </w:t>
      </w:r>
    </w:p>
    <w:p>
      <w:pPr>
        <w:pStyle w:val="PargrafodaLista"/>
        <w:spacing w:line="320" w:lineRule="exact"/>
        <w:ind w:left="851" w:hanging="851"/>
        <w:rPr>
          <w:rFonts w:ascii="Verdana" w:hAnsi="Verdana"/>
          <w:snapToGrid w:val="0"/>
          <w:sz w:val="20"/>
          <w:szCs w:val="20"/>
        </w:rPr>
      </w:pPr>
    </w:p>
    <w:p>
      <w:pPr>
        <w:spacing w:after="0" w:line="320" w:lineRule="exact"/>
        <w:ind w:left="709" w:hanging="709"/>
        <w:jc w:val="both"/>
        <w:rPr>
          <w:rFonts w:ascii="Verdana" w:hAnsi="Verdana"/>
          <w:sz w:val="20"/>
          <w:szCs w:val="20"/>
        </w:rPr>
      </w:pPr>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9" w:name="_Hlk469622"/>
      <w:r>
        <w:rPr>
          <w:rFonts w:ascii="Verdana" w:hAnsi="Verdana"/>
          <w:sz w:val="20"/>
          <w:szCs w:val="20"/>
        </w:rPr>
        <w:t xml:space="preserve">ou saldo do Valor Nominal Unitário das Debêntures </w:t>
      </w:r>
      <w:bookmarkEnd w:id="20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pPr>
        <w:spacing w:after="0" w:line="320" w:lineRule="exact"/>
        <w:ind w:left="709" w:hanging="709"/>
        <w:jc w:val="both"/>
        <w:rPr>
          <w:rFonts w:ascii="Verdana" w:hAnsi="Verdana"/>
          <w:sz w:val="20"/>
          <w:szCs w:val="20"/>
        </w:rPr>
      </w:pPr>
    </w:p>
    <w:p>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20" w:lineRule="exact"/>
        <w:ind w:left="720"/>
        <w:jc w:val="center"/>
        <w:rPr>
          <w:rFonts w:ascii="Verdana" w:hAnsi="Verdana"/>
          <w:sz w:val="20"/>
          <w:szCs w:val="20"/>
        </w:rPr>
      </w:pPr>
      <w:r>
        <w:rPr>
          <w:rFonts w:ascii="Verdana" w:hAnsi="Verdana"/>
          <w:noProof/>
          <w:sz w:val="20"/>
          <w:szCs w:val="20"/>
          <w:lang w:eastAsia="pt-BR"/>
        </w:rPr>
        <w:lastRenderedPageBreak/>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20" w:lineRule="exact"/>
        <w:ind w:left="720"/>
        <w:jc w:val="center"/>
        <w:rPr>
          <w:rFonts w:ascii="Verdana" w:hAnsi="Verdana"/>
          <w:sz w:val="20"/>
          <w:szCs w:val="20"/>
        </w:rPr>
      </w:pPr>
    </w:p>
    <w:p>
      <w:pPr>
        <w:spacing w:after="0" w:line="320" w:lineRule="exact"/>
        <w:ind w:left="709"/>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pPr>
        <w:spacing w:after="0" w:line="320" w:lineRule="exact"/>
        <w:ind w:left="851"/>
        <w:jc w:val="both"/>
        <w:rPr>
          <w:rFonts w:ascii="Verdana" w:hAnsi="Verdana"/>
          <w:sz w:val="20"/>
          <w:szCs w:val="20"/>
        </w:rPr>
      </w:pPr>
    </w:p>
    <w:p>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pPr>
        <w:keepNext/>
        <w:keepLines/>
        <w:spacing w:after="0" w:line="320" w:lineRule="exact"/>
        <w:rPr>
          <w:rFonts w:ascii="Verdana" w:hAnsi="Verdana"/>
          <w:sz w:val="20"/>
          <w:szCs w:val="20"/>
        </w:rPr>
      </w:pPr>
    </w:p>
    <w:p>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20" w:lineRule="exact"/>
        <w:ind w:left="1800" w:hanging="949"/>
        <w:jc w:val="both"/>
        <w:rPr>
          <w:rFonts w:ascii="Verdana" w:hAnsi="Verdana"/>
          <w:sz w:val="20"/>
          <w:szCs w:val="20"/>
        </w:rPr>
      </w:pPr>
      <w:r>
        <w:rPr>
          <w:rFonts w:ascii="Verdana" w:hAnsi="Verdana"/>
          <w:sz w:val="20"/>
          <w:szCs w:val="20"/>
        </w:rPr>
        <w:lastRenderedPageBreak/>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pPr>
        <w:spacing w:after="0" w:line="320" w:lineRule="exact"/>
        <w:ind w:left="720"/>
        <w:jc w:val="both"/>
        <w:rPr>
          <w:rFonts w:ascii="Verdana" w:hAnsi="Verdana"/>
          <w:sz w:val="20"/>
          <w:szCs w:val="20"/>
        </w:rPr>
      </w:pPr>
    </w:p>
    <w:p>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pPr>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0"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10"/>
      <w:r>
        <w:rPr>
          <w:rFonts w:ascii="Verdana" w:hAnsi="Verdana"/>
          <w:sz w:val="20"/>
          <w:szCs w:val="20"/>
        </w:rPr>
        <w:t xml:space="preserve">será utilizado, em sua substituição, o mesmo </w:t>
      </w:r>
      <w:bookmarkStart w:id="211"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1"/>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pPr>
        <w:keepNext/>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w:t>
      </w:r>
      <w:r>
        <w:rPr>
          <w:rFonts w:ascii="Verdana" w:hAnsi="Verdana"/>
          <w:sz w:val="20"/>
          <w:szCs w:val="20"/>
        </w:rPr>
        <w:lastRenderedPageBreak/>
        <w:t>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pPr>
        <w:pStyle w:val="PargrafodaLista"/>
        <w:spacing w:line="320" w:lineRule="exact"/>
        <w:ind w:left="709" w:hanging="709"/>
        <w:jc w:val="both"/>
        <w:rPr>
          <w:rFonts w:ascii="Verdana" w:hAnsi="Verdana"/>
          <w:sz w:val="20"/>
          <w:szCs w:val="20"/>
        </w:rPr>
      </w:pPr>
    </w:p>
    <w:p>
      <w:pPr>
        <w:pStyle w:val="PargrafodaLista"/>
        <w:keepLines/>
        <w:numPr>
          <w:ilvl w:val="2"/>
          <w:numId w:val="69"/>
        </w:numPr>
        <w:spacing w:line="320" w:lineRule="exact"/>
        <w:ind w:left="851" w:hanging="851"/>
        <w:jc w:val="both"/>
        <w:rPr>
          <w:rFonts w:ascii="Verdana" w:hAnsi="Verdana"/>
          <w:sz w:val="20"/>
          <w:szCs w:val="20"/>
        </w:rPr>
      </w:pPr>
      <w:bookmarkStart w:id="212" w:name="_Hlk536557912"/>
      <w:r>
        <w:rPr>
          <w:rFonts w:ascii="Verdana" w:hAnsi="Verdana"/>
          <w:i/>
          <w:sz w:val="20"/>
          <w:szCs w:val="20"/>
          <w:u w:val="single"/>
        </w:rPr>
        <w:lastRenderedPageBreak/>
        <w:t>Juros Remuneratórios das Debêntures</w:t>
      </w:r>
      <w:r>
        <w:rPr>
          <w:rFonts w:ascii="Verdana" w:hAnsi="Verdana"/>
          <w:sz w:val="20"/>
          <w:szCs w:val="20"/>
        </w:rPr>
        <w:t>. Sobre o Valor Nominal Atualizado das Debêntures incidirão juros remuneratórios correspondentes a um determinado percentual ao ano, base 252 (duzentos e cinquenta e dois) Dias Úteis, a ser definido de acordo com o Procedimento de Bookbuilding,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e (b) a média das cotações divulgadas pela ANBIMA no fechamento dos 3 (três) últimos Dias Úteis imediatamente anteriores à data de realização do Procedimento de Bookbuilding; ou (ii)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12"/>
      <w:r>
        <w:rPr>
          <w:rFonts w:ascii="Verdana" w:hAnsi="Verdana"/>
          <w:sz w:val="20"/>
          <w:szCs w:val="20"/>
        </w:rPr>
        <w:t xml:space="preserve"> </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pPr>
        <w:spacing w:line="320" w:lineRule="exact"/>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pPr>
        <w:pStyle w:val="PargrafodaLista"/>
        <w:spacing w:line="320" w:lineRule="exact"/>
        <w:rPr>
          <w:rFonts w:ascii="Verdana" w:hAnsi="Verdana"/>
          <w:sz w:val="20"/>
          <w:szCs w:val="20"/>
        </w:rPr>
      </w:pPr>
    </w:p>
    <w:p>
      <w:pPr>
        <w:spacing w:after="0" w:line="320" w:lineRule="exact"/>
        <w:ind w:left="720"/>
        <w:jc w:val="center"/>
        <w:rPr>
          <w:rFonts w:ascii="Verdana" w:hAnsi="Verdana"/>
          <w:sz w:val="20"/>
          <w:szCs w:val="20"/>
        </w:rPr>
      </w:pPr>
      <w:r>
        <w:rPr>
          <w:rFonts w:ascii="Verdana" w:hAnsi="Verdana"/>
          <w:sz w:val="20"/>
          <w:szCs w:val="20"/>
        </w:rPr>
        <w:t>J = {VNa x [FatorJuros-1]}</w:t>
      </w:r>
    </w:p>
    <w:p>
      <w:pPr>
        <w:tabs>
          <w:tab w:val="num" w:pos="0"/>
        </w:tabs>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tabs>
          <w:tab w:val="num" w:pos="0"/>
        </w:tabs>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20" w:lineRule="exact"/>
        <w:ind w:left="720"/>
        <w:jc w:val="center"/>
        <w:rPr>
          <w:rFonts w:ascii="Verdana" w:hAnsi="Verdana"/>
          <w:i/>
          <w:sz w:val="20"/>
          <w:szCs w:val="20"/>
        </w:rPr>
      </w:pPr>
    </w:p>
    <w:p>
      <w:pPr>
        <w:tabs>
          <w:tab w:val="num" w:pos="0"/>
        </w:tabs>
        <w:spacing w:after="0" w:line="320" w:lineRule="exact"/>
        <w:ind w:left="720"/>
        <w:jc w:val="both"/>
        <w:rPr>
          <w:rFonts w:ascii="Verdana" w:hAnsi="Verdana"/>
          <w:i/>
          <w:sz w:val="20"/>
          <w:szCs w:val="20"/>
        </w:rPr>
      </w:pPr>
    </w:p>
    <w:p>
      <w:pPr>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informada com 4 (quatro) casas decimais;</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 xml:space="preserve">Periodicidade do Pagamento dos Juros Remuneratórios. </w:t>
      </w:r>
    </w:p>
    <w:p>
      <w:pPr>
        <w:keepNext/>
        <w:keepLines/>
        <w:spacing w:after="0" w:line="320" w:lineRule="exact"/>
        <w:ind w:left="709" w:hanging="709"/>
        <w:jc w:val="both"/>
        <w:rPr>
          <w:rFonts w:ascii="Verdana" w:hAnsi="Verdana"/>
          <w:sz w:val="20"/>
          <w:szCs w:val="20"/>
        </w:rPr>
      </w:pPr>
    </w:p>
    <w:p>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2020</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r>
        <w:rPr>
          <w:rFonts w:ascii="Verdana" w:hAnsi="Verdana"/>
          <w:sz w:val="20"/>
          <w:szCs w:val="20"/>
        </w:rPr>
        <w:t xml:space="preserve"> </w:t>
      </w:r>
    </w:p>
    <w:p>
      <w:pPr>
        <w:pStyle w:val="PargrafodaLista"/>
        <w:keepNext/>
        <w:keepLines/>
        <w:numPr>
          <w:ilvl w:val="1"/>
          <w:numId w:val="69"/>
        </w:numPr>
        <w:spacing w:line="320" w:lineRule="exact"/>
        <w:ind w:left="851" w:hanging="851"/>
        <w:jc w:val="both"/>
        <w:rPr>
          <w:rFonts w:ascii="Verdana" w:hAnsi="Verdana"/>
          <w:sz w:val="20"/>
          <w:szCs w:val="20"/>
        </w:rPr>
      </w:pPr>
      <w:bookmarkStart w:id="213" w:name="_DV_M193"/>
      <w:bookmarkStart w:id="214" w:name="_DV_M195"/>
      <w:bookmarkEnd w:id="135"/>
      <w:bookmarkEnd w:id="213"/>
      <w:bookmarkEnd w:id="214"/>
      <w:r>
        <w:rPr>
          <w:rFonts w:ascii="Verdana" w:hAnsi="Verdana"/>
          <w:i/>
          <w:sz w:val="20"/>
          <w:szCs w:val="20"/>
          <w:u w:val="single"/>
        </w:rPr>
        <w:t xml:space="preserve">Pagamento do Valor Nominal Atualizado.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5"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16" w:name="_DV_M202"/>
      <w:bookmarkEnd w:id="216"/>
      <w:r>
        <w:rPr>
          <w:rFonts w:ascii="Verdana" w:hAnsi="Verdana"/>
          <w:sz w:val="20"/>
          <w:szCs w:val="20"/>
        </w:rPr>
        <w:t xml:space="preserve">será amortizado em 3 (três) parcelas anuais e consecutivas, a partir do 8º (oitavo) ano contado da Data de Emissão, sendo a primeira parcela devida em 15 de outubro de 2027 e a última na Data de Vencimento, conforme a tabela abaixo: </w:t>
      </w:r>
    </w:p>
    <w:p>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tc>
          <w:tcPr>
            <w:tcW w:w="4132" w:type="dxa"/>
          </w:tcPr>
          <w:p>
            <w:pPr>
              <w:spacing w:after="0" w:line="320" w:lineRule="exact"/>
              <w:jc w:val="center"/>
              <w:rPr>
                <w:rFonts w:ascii="Verdana" w:hAnsi="Verdana"/>
                <w:sz w:val="20"/>
                <w:szCs w:val="20"/>
              </w:rPr>
            </w:pPr>
            <w:r>
              <w:rPr>
                <w:rFonts w:ascii="Verdana" w:hAnsi="Verdana"/>
                <w:sz w:val="20"/>
                <w:szCs w:val="20"/>
              </w:rPr>
              <w:lastRenderedPageBreak/>
              <w:t>15 de outubro de 2027</w:t>
            </w:r>
          </w:p>
        </w:tc>
        <w:tc>
          <w:tcPr>
            <w:tcW w:w="4588" w:type="dxa"/>
            <w:vAlign w:val="center"/>
          </w:tcPr>
          <w:p>
            <w:pPr>
              <w:spacing w:after="0" w:line="320" w:lineRule="exact"/>
              <w:jc w:val="center"/>
              <w:rPr>
                <w:rFonts w:ascii="Verdana" w:hAnsi="Verdana"/>
                <w:color w:val="000000"/>
                <w:sz w:val="20"/>
                <w:szCs w:val="20"/>
              </w:rPr>
            </w:pPr>
            <w:r>
              <w:rPr>
                <w:rFonts w:ascii="Verdana" w:hAnsi="Verdana"/>
                <w:color w:val="000000"/>
                <w:sz w:val="20"/>
                <w:szCs w:val="20"/>
              </w:rPr>
              <w:t>33,3333%</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pPr>
              <w:spacing w:after="0" w:line="320" w:lineRule="exact"/>
              <w:jc w:val="center"/>
              <w:rPr>
                <w:rFonts w:ascii="Verdana" w:hAnsi="Verdana" w:cs="Arial"/>
                <w:color w:val="000000"/>
                <w:sz w:val="20"/>
                <w:szCs w:val="20"/>
              </w:rPr>
            </w:pPr>
            <w:r>
              <w:rPr>
                <w:rFonts w:ascii="Verdana" w:hAnsi="Verdana"/>
                <w:sz w:val="20"/>
                <w:szCs w:val="20"/>
              </w:rPr>
              <w:t>50,0000%</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20" w:lineRule="exact"/>
              <w:jc w:val="center"/>
              <w:rPr>
                <w:rFonts w:ascii="Verdana" w:hAnsi="Verdana" w:cs="Arial"/>
                <w:color w:val="000000"/>
                <w:sz w:val="20"/>
                <w:szCs w:val="20"/>
              </w:rPr>
            </w:pPr>
            <w:r>
              <w:rPr>
                <w:rFonts w:ascii="Verdana" w:hAnsi="Verdana"/>
                <w:sz w:val="20"/>
                <w:szCs w:val="20"/>
              </w:rPr>
              <w:t>100,0000%</w:t>
            </w:r>
          </w:p>
        </w:tc>
      </w:tr>
    </w:tbl>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7" w:name="_Hlk536558225"/>
      <w:r>
        <w:rPr>
          <w:rFonts w:ascii="Verdana" w:hAnsi="Verdana"/>
          <w:i/>
          <w:sz w:val="20"/>
          <w:szCs w:val="20"/>
          <w:u w:val="single"/>
        </w:rPr>
        <w:t>Local de Pagamento</w:t>
      </w:r>
      <w:bookmarkEnd w:id="215"/>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ou pela B3 – Segmento Cetip UTVM, para as Debêntures custodiadas eletronicamente na B3 ou na B3 – Segmento Cetip UTVM, conforme o caso; (b) por meio do Banco Liquidante, para os Debenturistas que não tiverem suas Debêntures custodiadas eletronicamente na B3 e na B3 – Segmento Cetip UTVM; ou (c) na sede da Emissora, para os pagamentos que não possam ser realizados por meio do Banco Liquidante, B3 e/ou B3 – Segmento Cetip UTVM (“</w:t>
      </w:r>
      <w:r>
        <w:rPr>
          <w:rFonts w:ascii="Verdana" w:hAnsi="Verdana"/>
          <w:sz w:val="20"/>
          <w:szCs w:val="20"/>
          <w:u w:val="single"/>
        </w:rPr>
        <w:t>Local de Pagamento</w:t>
      </w:r>
      <w:r>
        <w:rPr>
          <w:rFonts w:ascii="Verdana" w:hAnsi="Verdana"/>
          <w:sz w:val="20"/>
          <w:szCs w:val="20"/>
        </w:rPr>
        <w:t>”).</w:t>
      </w:r>
      <w:bookmarkEnd w:id="217"/>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8" w:name="_Toc499990357"/>
      <w:bookmarkStart w:id="219" w:name="_Ref314580889"/>
      <w:r>
        <w:rPr>
          <w:rFonts w:ascii="Verdana" w:hAnsi="Verdana"/>
          <w:i/>
          <w:sz w:val="20"/>
          <w:szCs w:val="20"/>
          <w:u w:val="single"/>
        </w:rPr>
        <w:t>Prorrogação dos Prazos</w:t>
      </w:r>
      <w:bookmarkEnd w:id="218"/>
      <w:r>
        <w:rPr>
          <w:rFonts w:ascii="Verdana" w:hAnsi="Verdana"/>
          <w:i/>
          <w:sz w:val="20"/>
          <w:szCs w:val="20"/>
        </w:rPr>
        <w:t xml:space="preserve">. </w:t>
      </w:r>
      <w:bookmarkStart w:id="220" w:name="_DV_M208"/>
      <w:bookmarkEnd w:id="220"/>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1" w:name="_Toc499990358"/>
      <w:bookmarkEnd w:id="219"/>
      <w:r>
        <w:rPr>
          <w:rFonts w:ascii="Verdana" w:hAnsi="Verdana"/>
          <w:sz w:val="20"/>
          <w:szCs w:val="20"/>
        </w:rPr>
        <w:t xml:space="preserve">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22" w:name="_DV_M211"/>
      <w:bookmarkEnd w:id="221"/>
      <w:bookmarkEnd w:id="222"/>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23" w:name="_Toc499990359"/>
      <w:r>
        <w:rPr>
          <w:rFonts w:ascii="Verdana" w:hAnsi="Verdana"/>
          <w:i/>
          <w:sz w:val="20"/>
          <w:szCs w:val="20"/>
          <w:u w:val="single"/>
        </w:rPr>
        <w:lastRenderedPageBreak/>
        <w:t>Decadência dos Direitos aos Acréscimos</w:t>
      </w:r>
      <w:bookmarkEnd w:id="223"/>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pPr>
        <w:keepNext/>
        <w:keepLines/>
        <w:spacing w:after="0" w:line="320" w:lineRule="exact"/>
        <w:ind w:left="851" w:hanging="851"/>
        <w:jc w:val="both"/>
        <w:rPr>
          <w:rFonts w:ascii="Verdana" w:hAnsi="Verdana"/>
          <w:sz w:val="20"/>
          <w:szCs w:val="20"/>
        </w:rPr>
      </w:pPr>
    </w:p>
    <w:p>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pPr>
        <w:pStyle w:val="PargrafodaLista"/>
        <w:keepNext/>
        <w:keepLines/>
        <w:spacing w:line="320" w:lineRule="exact"/>
        <w:ind w:left="720"/>
        <w:jc w:val="both"/>
        <w:rPr>
          <w:rFonts w:ascii="Verdana" w:eastAsiaTheme="minorHAnsi" w:hAnsi="Verdana" w:cstheme="minorBidi"/>
          <w:sz w:val="20"/>
          <w:szCs w:val="20"/>
          <w:lang w:eastAsia="en-US"/>
        </w:rPr>
      </w:pPr>
    </w:p>
    <w:p>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4" w:name="_DV_M217"/>
      <w:bookmarkStart w:id="225" w:name="_DV_M218"/>
      <w:bookmarkStart w:id="226" w:name="_DV_C271"/>
      <w:bookmarkStart w:id="227" w:name="_Toc499990338"/>
      <w:bookmarkEnd w:id="224"/>
      <w:bookmarkEnd w:id="225"/>
    </w:p>
    <w:p>
      <w:pPr>
        <w:spacing w:after="0" w:line="320" w:lineRule="exact"/>
        <w:ind w:left="709"/>
        <w:jc w:val="both"/>
        <w:rPr>
          <w:rFonts w:ascii="Verdana" w:hAnsi="Verdana"/>
          <w:i/>
          <w:sz w:val="20"/>
          <w:szCs w:val="20"/>
          <w:u w:val="single"/>
        </w:rPr>
      </w:pPr>
    </w:p>
    <w:p>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8" w:name="_DV_M219"/>
      <w:bookmarkEnd w:id="226"/>
      <w:bookmarkEnd w:id="228"/>
      <w:r>
        <w:rPr>
          <w:rFonts w:ascii="Verdana" w:hAnsi="Verdana"/>
          <w:sz w:val="20"/>
          <w:szCs w:val="20"/>
        </w:rPr>
        <w:t>em moeda corrente nacional, pelo Preço de Subscrição, de acordo com as normas de liquidação e os procedimentos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w:t>
      </w:r>
      <w:r>
        <w:rPr>
          <w:rFonts w:ascii="Verdana" w:hAnsi="Verdana"/>
          <w:color w:val="000000"/>
          <w:sz w:val="20"/>
          <w:szCs w:val="20"/>
        </w:rPr>
        <w:lastRenderedPageBreak/>
        <w:t xml:space="preserve">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pPr>
        <w:spacing w:after="0" w:line="320" w:lineRule="exact"/>
        <w:ind w:left="851" w:hanging="851"/>
        <w:jc w:val="both"/>
        <w:rPr>
          <w:rStyle w:val="DeltaViewInsertion"/>
          <w:rFonts w:ascii="Verdana" w:hAnsi="Verdana" w:cs="Times New Roman"/>
          <w:color w:val="auto"/>
          <w:sz w:val="20"/>
          <w:szCs w:val="20"/>
          <w:lang w:eastAsia="pt-BR"/>
        </w:rPr>
      </w:pPr>
    </w:p>
    <w:bookmarkEnd w:id="227"/>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20" w:lineRule="exact"/>
        <w:ind w:left="851" w:hanging="851"/>
        <w:jc w:val="both"/>
        <w:rPr>
          <w:rFonts w:ascii="Verdana" w:hAnsi="Verdana"/>
          <w:sz w:val="20"/>
          <w:szCs w:val="20"/>
        </w:rPr>
      </w:pPr>
    </w:p>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9" w:name="_Ref312338882"/>
      <w:r>
        <w:rPr>
          <w:rFonts w:ascii="Verdana" w:hAnsi="Verdana"/>
          <w:sz w:val="20"/>
          <w:szCs w:val="20"/>
        </w:rPr>
        <w:t>O Aviso ao Mercado, o Anúncio de Início da Oferta e o Anúncio de Encerramento da Oferta serão divulgados na página da Emissora na rede mundial de computadores (http://ri.rumolog.com).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(http://ri.rumolog.com)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9"/>
      <w:r>
        <w:rPr>
          <w:rFonts w:ascii="Verdana" w:hAnsi="Verdana"/>
          <w:sz w:val="20"/>
          <w:szCs w:val="20"/>
        </w:rPr>
        <w:t xml:space="preserve"> </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30" w:name="_Ref312251936"/>
      <w:r>
        <w:rPr>
          <w:rFonts w:ascii="Verdana" w:hAnsi="Verdana"/>
          <w:i/>
          <w:sz w:val="20"/>
          <w:szCs w:val="20"/>
          <w:u w:val="single"/>
        </w:rPr>
        <w:t>Comprovação de Titularidade das Debêntures</w:t>
      </w:r>
      <w:bookmarkStart w:id="231" w:name="_DV_M232"/>
      <w:bookmarkStart w:id="232" w:name="_Ref312336031"/>
      <w:bookmarkEnd w:id="230"/>
      <w:bookmarkEnd w:id="231"/>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3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3"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3"/>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nos Projetos.</w:t>
      </w:r>
    </w:p>
    <w:p>
      <w:pPr>
        <w:spacing w:after="0" w:line="320" w:lineRule="exact"/>
        <w:ind w:left="851" w:hanging="851"/>
        <w:jc w:val="both"/>
        <w:rPr>
          <w:rFonts w:ascii="Verdana" w:hAnsi="Verdana"/>
          <w:bCs/>
          <w:sz w:val="20"/>
          <w:szCs w:val="20"/>
        </w:rPr>
      </w:pPr>
    </w:p>
    <w:p>
      <w:pPr>
        <w:pStyle w:val="Level3"/>
        <w:numPr>
          <w:ilvl w:val="2"/>
          <w:numId w:val="72"/>
        </w:numPr>
        <w:tabs>
          <w:tab w:val="left" w:pos="1134"/>
        </w:tabs>
        <w:spacing w:after="0" w:line="320" w:lineRule="exact"/>
        <w:ind w:left="851" w:hanging="851"/>
        <w:rPr>
          <w:rFonts w:ascii="Verdana" w:hAnsi="Verdana" w:cs="Tahoma"/>
          <w:szCs w:val="20"/>
          <w:lang w:val="pt-BR"/>
        </w:rPr>
      </w:pPr>
      <w:bookmarkStart w:id="234"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pPr>
        <w:pStyle w:val="Level3"/>
        <w:numPr>
          <w:ilvl w:val="0"/>
          <w:numId w:val="0"/>
        </w:numPr>
        <w:tabs>
          <w:tab w:val="left" w:pos="1134"/>
        </w:tabs>
        <w:spacing w:after="0" w:line="320" w:lineRule="exact"/>
        <w:ind w:left="720"/>
        <w:rPr>
          <w:rFonts w:ascii="Verdana" w:hAnsi="Verdana" w:cs="Tahoma"/>
          <w:szCs w:val="20"/>
          <w:lang w:val="pt-BR"/>
        </w:rPr>
      </w:pPr>
    </w:p>
    <w:p>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pPr>
        <w:pStyle w:val="Level5"/>
        <w:numPr>
          <w:ilvl w:val="0"/>
          <w:numId w:val="0"/>
        </w:numPr>
        <w:spacing w:after="0" w:line="320" w:lineRule="exact"/>
        <w:ind w:left="851"/>
        <w:rPr>
          <w:rFonts w:ascii="Verdana" w:hAnsi="Verdana" w:cs="Tahoma"/>
          <w:lang w:val="pt-BR"/>
        </w:rPr>
      </w:pPr>
    </w:p>
    <w:p>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4"/>
      <w:r>
        <w:rPr>
          <w:rFonts w:ascii="Verdana" w:hAnsi="Verdana" w:cs="Tahoma"/>
          <w:lang w:val="pt-BR"/>
        </w:rPr>
        <w:t>, sendo certo que tais pagamentos serão realizados fora do âmbito da B3 ou da B3 – Segmento CETIP UTVM.</w:t>
      </w:r>
    </w:p>
    <w:p>
      <w:pPr>
        <w:tabs>
          <w:tab w:val="num" w:pos="1361"/>
        </w:tabs>
        <w:spacing w:after="0" w:line="320" w:lineRule="exact"/>
        <w:ind w:left="709"/>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5" w:name="_Hlk536133970"/>
      <w:r>
        <w:rPr>
          <w:rFonts w:ascii="Verdana" w:hAnsi="Verdana"/>
          <w:bCs/>
          <w:i/>
          <w:sz w:val="20"/>
          <w:szCs w:val="20"/>
          <w:u w:val="single"/>
        </w:rPr>
        <w:t>Fundo de Liquidez e Estabilização</w:t>
      </w:r>
      <w:r>
        <w:rPr>
          <w:rFonts w:ascii="Verdana" w:hAnsi="Verdana"/>
          <w:bCs/>
          <w:sz w:val="20"/>
          <w:szCs w:val="20"/>
        </w:rPr>
        <w:t>: Não foi constituído fundo de manutenção de liquidez para as Debêntures.</w:t>
      </w:r>
      <w:r>
        <w:rPr>
          <w:rFonts w:ascii="Verdana" w:eastAsia="MS Mincho" w:hAnsi="Verdana"/>
          <w:color w:val="000000"/>
          <w:sz w:val="20"/>
          <w:szCs w:val="20"/>
        </w:rPr>
        <w:t xml:space="preserve"> </w:t>
      </w:r>
      <w:bookmarkEnd w:id="235"/>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6"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u w:val="single"/>
        </w:rPr>
        <w:t>.</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6"/>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line="320" w:lineRule="exact"/>
        <w:rPr>
          <w:rFonts w:ascii="Verdana" w:hAnsi="Verdana"/>
          <w:smallCaps/>
          <w:sz w:val="20"/>
          <w:szCs w:val="20"/>
          <w:u w:val="single"/>
        </w:rPr>
      </w:pPr>
      <w:bookmarkStart w:id="237" w:name="_Toc499990365"/>
    </w:p>
    <w:p>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 xml:space="preserve">Amortização Extraordinária, Resgate Antecipado Facultativo, Aquisição Facultativa e Resgate Obrigatório </w:t>
      </w:r>
    </w:p>
    <w:p>
      <w:pPr>
        <w:keepNext/>
        <w:spacing w:after="0" w:line="320" w:lineRule="exact"/>
        <w:rPr>
          <w:rFonts w:ascii="Verdana" w:hAnsi="Verdana"/>
          <w:sz w:val="20"/>
          <w:szCs w:val="20"/>
        </w:rPr>
      </w:pPr>
      <w:bookmarkStart w:id="238" w:name="_DV_M237"/>
      <w:bookmarkEnd w:id="238"/>
    </w:p>
    <w:p>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39" w:name="_Ref312404674"/>
      <w:r>
        <w:rPr>
          <w:rFonts w:ascii="Verdana" w:hAnsi="Verdana"/>
          <w:bCs/>
          <w:i/>
          <w:sz w:val="20"/>
          <w:szCs w:val="20"/>
          <w:u w:val="single"/>
        </w:rPr>
        <w:t>Aquisição Facultativa</w:t>
      </w:r>
      <w:bookmarkEnd w:id="239"/>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w:t>
      </w:r>
      <w:r>
        <w:rPr>
          <w:rFonts w:ascii="Verdana" w:eastAsia="Arial Unicode MS" w:hAnsi="Verdana" w:cs="Arial"/>
          <w:bCs/>
          <w:sz w:val="20"/>
          <w:szCs w:val="20"/>
        </w:rPr>
        <w:lastRenderedPageBreak/>
        <w:t xml:space="preserve">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20" w:lineRule="exact"/>
        <w:ind w:left="709" w:hanging="709"/>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xml:space="preserve">, para as Debêntures que estiverem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spacing w:after="0" w:line="320" w:lineRule="exact"/>
        <w:ind w:left="851" w:hanging="851"/>
        <w:rPr>
          <w:rFonts w:ascii="Verdana" w:hAnsi="Verdana"/>
          <w:sz w:val="20"/>
          <w:szCs w:val="20"/>
        </w:rPr>
      </w:pPr>
    </w:p>
    <w:p>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7"/>
      <w:r>
        <w:rPr>
          <w:rFonts w:ascii="Verdana" w:hAnsi="Verdana"/>
          <w:smallCaps/>
          <w:sz w:val="20"/>
          <w:szCs w:val="20"/>
          <w:u w:val="single"/>
        </w:rPr>
        <w:t xml:space="preserve"> </w:t>
      </w:r>
    </w:p>
    <w:p>
      <w:pPr>
        <w:spacing w:after="0" w:line="320" w:lineRule="exact"/>
        <w:ind w:left="851" w:hanging="851"/>
        <w:rPr>
          <w:rFonts w:ascii="Verdana" w:hAnsi="Verdana"/>
          <w:sz w:val="20"/>
          <w:szCs w:val="20"/>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0" w:name="_Ref435654812"/>
      <w:r>
        <w:rPr>
          <w:rFonts w:ascii="Verdana" w:eastAsia="Times New Roman" w:hAnsi="Verdana" w:cs="Arial"/>
          <w:sz w:val="20"/>
          <w:szCs w:val="20"/>
          <w:lang w:eastAsia="pt-BR"/>
        </w:rPr>
        <w:lastRenderedPageBreak/>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0"/>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1" w:name="_Ref3745610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41"/>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Cosan Limited,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w:t>
      </w:r>
      <w:r>
        <w:rPr>
          <w:rFonts w:ascii="Verdana" w:eastAsia="Times New Roman" w:hAnsi="Verdana" w:cs="Arial"/>
          <w:sz w:val="20"/>
          <w:szCs w:val="20"/>
          <w:lang w:eastAsia="pt-BR"/>
        </w:rPr>
        <w:lastRenderedPageBreak/>
        <w:t xml:space="preserve">aquisição de ativos, nos quais os próprios ativos adquiridos sejam objeto da garantia outorgada. </w:t>
      </w:r>
    </w:p>
    <w:p>
      <w:pPr>
        <w:spacing w:after="0" w:line="320" w:lineRule="exact"/>
        <w:jc w:val="both"/>
        <w:rPr>
          <w:rFonts w:ascii="Verdana" w:eastAsia="Times New Roman" w:hAnsi="Verdana" w:cs="Arial"/>
          <w:sz w:val="20"/>
          <w:szCs w:val="20"/>
          <w:lang w:eastAsia="pt-BR"/>
        </w:rPr>
      </w:pPr>
    </w:p>
    <w:p>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2" w:name="_Hlk471108"/>
      <w:r>
        <w:rPr>
          <w:rFonts w:ascii="Verdana" w:eastAsia="Times New Roman" w:hAnsi="Verdana" w:cs="Arial"/>
          <w:sz w:val="20"/>
          <w:szCs w:val="20"/>
          <w:lang w:eastAsia="pt-BR"/>
        </w:rPr>
        <w:t xml:space="preserve">sociedades, direta ou indiretamente, controladas </w:t>
      </w:r>
      <w:bookmarkEnd w:id="242"/>
      <w:r>
        <w:rPr>
          <w:rFonts w:ascii="Verdana" w:eastAsia="Times New Roman" w:hAnsi="Verdana" w:cs="Arial"/>
          <w:sz w:val="20"/>
          <w:szCs w:val="20"/>
          <w:lang w:eastAsia="pt-BR"/>
        </w:rPr>
        <w:t>pela Emissora.</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3" w:name="_Ref435660904"/>
      <w:bookmarkStart w:id="244"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43"/>
      <w:r>
        <w:rPr>
          <w:rFonts w:ascii="Verdana" w:eastAsia="Times New Roman" w:hAnsi="Verdana" w:cs="Arial"/>
          <w:sz w:val="20"/>
          <w:szCs w:val="20"/>
          <w:lang w:eastAsia="pt-BR"/>
        </w:rPr>
        <w:t>:</w:t>
      </w:r>
      <w:bookmarkEnd w:id="244"/>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w:t>
      </w:r>
      <w:r>
        <w:rPr>
          <w:rFonts w:ascii="Verdana" w:eastAsia="Times New Roman" w:hAnsi="Verdana" w:cs="Arial"/>
          <w:sz w:val="20"/>
          <w:szCs w:val="20"/>
          <w:lang w:eastAsia="pt-BR"/>
        </w:rPr>
        <w:lastRenderedPageBreak/>
        <w:t xml:space="preserve">pelo Poder Judiciário, garantias em juízo ou (c) que o respectivo protesto foi requerido por erro ou má fé do representante;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que tal inconsistência, incorreção, ou incompletude seja </w:t>
      </w:r>
      <w:r>
        <w:rPr>
          <w:rFonts w:ascii="Verdana" w:eastAsia="Times New Roman" w:hAnsi="Verdana" w:cs="Arial"/>
          <w:sz w:val="20"/>
          <w:szCs w:val="20"/>
          <w:lang w:eastAsia="pt-BR"/>
        </w:rPr>
        <w:lastRenderedPageBreak/>
        <w:t xml:space="preserve">relevante e, comprovadamente, tenha acarretado prejuízo aos Debenturistas;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existência, validade, legalidade ou exequibilidade desta Escritura venham a ser questionadas judicialmente pela Emissora ou por quaisquer das sociedades pertencentes ao Grupo Econômico; e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5" w:name="_Ref4484112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45"/>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pPr>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pPr>
        <w:spacing w:after="0" w:line="320" w:lineRule="exact"/>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pPr>
        <w:spacing w:after="0" w:line="320" w:lineRule="exact"/>
        <w:ind w:left="1701"/>
        <w:jc w:val="both"/>
        <w:rPr>
          <w:rFonts w:ascii="Verdana" w:eastAsia="Times New Roman" w:hAnsi="Verdana" w:cs="Arial"/>
          <w:iCs/>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xml:space="preserve">”, os contratos enquadrados no pronunciamento </w:t>
      </w:r>
      <w:r>
        <w:rPr>
          <w:rFonts w:ascii="Verdana" w:eastAsia="Times New Roman" w:hAnsi="Verdana" w:cs="Arial"/>
          <w:iCs/>
          <w:sz w:val="20"/>
          <w:szCs w:val="20"/>
          <w:lang w:eastAsia="pt-BR"/>
        </w:rPr>
        <w:t>IFRS 16 / CPC 06 (R2)</w:t>
      </w:r>
      <w:r>
        <w:rPr>
          <w:rFonts w:ascii="Verdana" w:eastAsia="Times New Roman" w:hAnsi="Verdana" w:cs="Arial"/>
          <w:iCs/>
          <w:sz w:val="20"/>
          <w:szCs w:val="20"/>
          <w:lang w:val="x-none" w:eastAsia="pt-BR"/>
        </w:rPr>
        <w:t xml:space="preserve"> – Operações de Arrendamento Mercantil vigentes na presente data. Os arrendamentos oriundos dos contratos de concessão celebrados com a Emissora não se enquadram no conceito de Dívida Financeira Líquida, independente</w:t>
      </w:r>
      <w:r>
        <w:rPr>
          <w:rFonts w:ascii="Verdana" w:eastAsia="Times New Roman" w:hAnsi="Verdana" w:cs="Arial"/>
          <w:iCs/>
          <w:sz w:val="20"/>
          <w:szCs w:val="20"/>
          <w:lang w:eastAsia="pt-BR"/>
        </w:rPr>
        <w:t>mente</w:t>
      </w:r>
      <w:r>
        <w:rPr>
          <w:rFonts w:ascii="Verdana" w:eastAsia="Times New Roman" w:hAnsi="Verdana" w:cs="Arial"/>
          <w:iCs/>
          <w:sz w:val="20"/>
          <w:szCs w:val="20"/>
          <w:lang w:val="x-none" w:eastAsia="pt-BR"/>
        </w:rPr>
        <w:t xml:space="preserve"> da aplicação no novo pronunciamento contábil IFRS 16 – Arrendamentos vigente a partir de 1 de janeiro de 2019.</w:t>
      </w:r>
      <w:r>
        <w:rPr>
          <w:rFonts w:ascii="Verdana" w:eastAsia="Times New Roman" w:hAnsi="Verdana" w:cs="Arial"/>
          <w:sz w:val="20"/>
          <w:szCs w:val="20"/>
          <w:lang w:eastAsia="pt-BR"/>
        </w:rPr>
        <w:t xml:space="preserve">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(ii)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Cetip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xml:space="preserve">, desde a Primeira Data de Integralização ou da última Data de Pagamento dos Juros Remuneratórios, </w:t>
      </w:r>
      <w:r>
        <w:rPr>
          <w:rFonts w:ascii="Verdana" w:eastAsia="Times New Roman" w:hAnsi="Verdana" w:cs="Arial"/>
          <w:sz w:val="20"/>
          <w:szCs w:val="20"/>
          <w:lang w:eastAsia="pt-BR"/>
        </w:rPr>
        <w:lastRenderedPageBreak/>
        <w:t>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pPr>
        <w:spacing w:after="0" w:line="320" w:lineRule="exact"/>
        <w:ind w:left="851" w:hanging="851"/>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pPr>
        <w:spacing w:after="0" w:line="320" w:lineRule="exact"/>
        <w:rPr>
          <w:rFonts w:ascii="Verdana" w:hAnsi="Verdana"/>
          <w:sz w:val="20"/>
          <w:szCs w:val="20"/>
        </w:rPr>
      </w:pPr>
    </w:p>
    <w:p>
      <w:pPr>
        <w:keepNext/>
        <w:keepLines/>
        <w:numPr>
          <w:ilvl w:val="0"/>
          <w:numId w:val="23"/>
        </w:numPr>
        <w:spacing w:after="0" w:line="320" w:lineRule="exact"/>
        <w:ind w:left="851" w:hanging="851"/>
        <w:jc w:val="both"/>
        <w:rPr>
          <w:rFonts w:ascii="Verdana" w:hAnsi="Verdana"/>
          <w:smallCaps/>
          <w:sz w:val="20"/>
          <w:szCs w:val="20"/>
          <w:u w:val="single"/>
        </w:rPr>
      </w:pPr>
      <w:bookmarkStart w:id="246" w:name="_Toc499990368"/>
      <w:r>
        <w:rPr>
          <w:rFonts w:ascii="Verdana" w:hAnsi="Verdana"/>
          <w:smallCaps/>
          <w:sz w:val="20"/>
          <w:szCs w:val="20"/>
          <w:u w:val="single"/>
        </w:rPr>
        <w:t xml:space="preserve">Obrigações Adicionais da </w:t>
      </w:r>
      <w:bookmarkStart w:id="247" w:name="_DV_M268"/>
      <w:bookmarkEnd w:id="246"/>
      <w:bookmarkEnd w:id="247"/>
      <w:r>
        <w:rPr>
          <w:rFonts w:ascii="Verdana" w:hAnsi="Verdana"/>
          <w:smallCaps/>
          <w:sz w:val="20"/>
          <w:szCs w:val="20"/>
          <w:u w:val="single"/>
        </w:rPr>
        <w:t xml:space="preserve">Emissora </w:t>
      </w:r>
    </w:p>
    <w:p>
      <w:pPr>
        <w:spacing w:after="0" w:line="320" w:lineRule="exact"/>
        <w:rPr>
          <w:rFonts w:ascii="Verdana" w:hAnsi="Verdana"/>
          <w:sz w:val="20"/>
          <w:szCs w:val="20"/>
        </w:rPr>
      </w:pPr>
    </w:p>
    <w:p>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48" w:name="_DV_C376"/>
      <w:r>
        <w:rPr>
          <w:rStyle w:val="DeltaViewInsertion"/>
          <w:rFonts w:ascii="Verdana" w:hAnsi="Verdana"/>
          <w:color w:val="auto"/>
          <w:sz w:val="20"/>
          <w:szCs w:val="20"/>
          <w:u w:val="none"/>
        </w:rPr>
        <w:t>enquanto o saldo devedor das Debêntures não for integralmente pago</w:t>
      </w:r>
      <w:bookmarkEnd w:id="248"/>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49" w:name="_Ref435667038"/>
      <w:r>
        <w:rPr>
          <w:rFonts w:ascii="Verdana" w:hAnsi="Verdana"/>
          <w:lang w:val="pt-BR"/>
        </w:rPr>
        <w:t>fornecer ao Agente Fiduciário:</w:t>
      </w:r>
      <w:bookmarkEnd w:id="249"/>
      <w:r>
        <w:rPr>
          <w:rFonts w:ascii="Verdana" w:hAnsi="Verdana"/>
          <w:lang w:val="pt-BR"/>
        </w:rPr>
        <w:t xml:space="preserve"> </w:t>
      </w:r>
    </w:p>
    <w:p>
      <w:pPr>
        <w:pStyle w:val="Level5"/>
        <w:numPr>
          <w:ilvl w:val="0"/>
          <w:numId w:val="0"/>
        </w:numPr>
        <w:tabs>
          <w:tab w:val="num" w:pos="1418"/>
        </w:tabs>
        <w:spacing w:after="0" w:line="320" w:lineRule="exact"/>
        <w:ind w:left="1418" w:hanging="709"/>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lastRenderedPageBreak/>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(a.i)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(a.ii)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 [</w:t>
      </w:r>
      <w:r>
        <w:rPr>
          <w:rFonts w:ascii="Verdana" w:hAnsi="Verdana"/>
          <w:highlight w:val="yellow"/>
          <w:lang w:val="pt-BR"/>
        </w:rPr>
        <w:t>Nota PNA: Ajustes realizados pelo AF</w:t>
      </w:r>
      <w:r>
        <w:rPr>
          <w:rFonts w:ascii="Verdana" w:hAnsi="Verdana"/>
          <w:lang w:val="pt-BR"/>
        </w:rPr>
        <w:t>]</w:t>
      </w:r>
    </w:p>
    <w:p>
      <w:pPr>
        <w:pStyle w:val="Level5"/>
        <w:numPr>
          <w:ilvl w:val="0"/>
          <w:numId w:val="0"/>
        </w:numPr>
        <w:tabs>
          <w:tab w:val="num" w:pos="1418"/>
        </w:tabs>
        <w:spacing w:after="0" w:line="320" w:lineRule="exact"/>
        <w:ind w:left="1418"/>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w:t>
      </w:r>
      <w:r>
        <w:rPr>
          <w:rFonts w:ascii="Verdana" w:hAnsi="Verdana"/>
          <w:lang w:val="pt-BR"/>
        </w:rPr>
        <w:lastRenderedPageBreak/>
        <w:t>essas demonstrações financeiras, ao sistema de contabilidade, à gestão ou às contas da Emissora;</w:t>
      </w:r>
    </w:p>
    <w:p>
      <w:pPr>
        <w:pStyle w:val="Level5"/>
        <w:numPr>
          <w:ilvl w:val="0"/>
          <w:numId w:val="0"/>
        </w:numPr>
        <w:tabs>
          <w:tab w:val="num" w:pos="1418"/>
        </w:tabs>
        <w:spacing w:after="0" w:line="320" w:lineRule="exact"/>
        <w:ind w:left="1418"/>
        <w:rPr>
          <w:rFonts w:ascii="Verdana" w:hAnsi="Verdana"/>
          <w:lang w:val="pt-BR"/>
        </w:rPr>
      </w:pPr>
      <w:bookmarkStart w:id="250" w:name="_DV_M446"/>
      <w:bookmarkStart w:id="251" w:name="_DV_M450"/>
      <w:bookmarkEnd w:id="250"/>
      <w:bookmarkEnd w:id="251"/>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ou a 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notificar em até 3 (três) Dias Úteis o Agente Fiduciário sobre qualquer ato ou fato que cause interrupção ou suspensão das atividades da Emissora, ou que alterem as condições econômicas, reputacionais ou financeiras da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w:t>
      </w:r>
      <w:r>
        <w:rPr>
          <w:rFonts w:ascii="Verdana" w:hAnsi="Verdana"/>
          <w:lang w:val="pt-BR"/>
        </w:rPr>
        <w:lastRenderedPageBreak/>
        <w:t xml:space="preserve">administrativos devidamente descritos no Formulário de Referência na data de divulgação do Aviso ao Mercado;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pela B3 – Segmento Cetip UTVM;</w:t>
      </w:r>
    </w:p>
    <w:p>
      <w:pPr>
        <w:pStyle w:val="Level4"/>
        <w:numPr>
          <w:ilvl w:val="0"/>
          <w:numId w:val="0"/>
        </w:numPr>
        <w:tabs>
          <w:tab w:val="num" w:pos="1701"/>
        </w:tabs>
        <w:spacing w:after="0" w:line="320" w:lineRule="exact"/>
        <w:ind w:left="1701" w:hanging="850"/>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52" w:name="_Ref130308404"/>
      <w:bookmarkStart w:id="253"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w:t>
      </w:r>
      <w:r>
        <w:rPr>
          <w:rFonts w:ascii="Verdana" w:hAnsi="Verdana"/>
          <w:lang w:val="pt-BR"/>
        </w:rPr>
        <w:lastRenderedPageBreak/>
        <w:t>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52"/>
      <w:bookmarkEnd w:id="253"/>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54"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54"/>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spacing w:line="320" w:lineRule="exact"/>
        <w:rPr>
          <w:rFonts w:ascii="Verdana" w:hAnsi="Verdana"/>
          <w:sz w:val="20"/>
          <w:szCs w:val="20"/>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não votar, realizar ou permitir que seja votada ou realizada, por ocasião de qualquer alteração do estatuto social da Emissora, matérias que afetem de forma adversa a continuidade de seus negócios;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US Foreign Corrupt Practices Act</w:t>
      </w:r>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necessários para a manutenção dos Projetos como prioritários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r>
        <w:rPr>
          <w:rFonts w:ascii="Verdana" w:hAnsi="Verdana"/>
          <w:lang w:val="pt-BR"/>
        </w:rPr>
        <w:lastRenderedPageBreak/>
        <w:t xml:space="preserve">dos Projetos como prioritários, nos termos do artigo 1º, parágrafo 8º da Lei 12.431; </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pPr>
        <w:spacing w:after="0" w:line="320" w:lineRule="exact"/>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Lines/>
        <w:spacing w:after="0" w:line="320" w:lineRule="exact"/>
        <w:ind w:left="720"/>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5" w:name="_Hlk370364"/>
      <w:r>
        <w:rPr>
          <w:rFonts w:ascii="Verdana" w:hAnsi="Verdana"/>
          <w:sz w:val="20"/>
          <w:szCs w:val="20"/>
        </w:rPr>
        <w:lastRenderedPageBreak/>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56" w:name="_Hlk482699"/>
      <w:r>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56"/>
      <w:r>
        <w:rPr>
          <w:rFonts w:ascii="Verdana" w:hAnsi="Verdana"/>
          <w:sz w:val="20"/>
          <w:szCs w:val="20"/>
        </w:rPr>
        <w:t>;</w:t>
      </w:r>
      <w:bookmarkEnd w:id="255"/>
      <w:r>
        <w:rPr>
          <w:rFonts w:ascii="Verdana" w:hAnsi="Verdana"/>
          <w:sz w:val="20"/>
          <w:szCs w:val="20"/>
        </w:rPr>
        <w:t xml:space="preserve"> </w:t>
      </w:r>
    </w:p>
    <w:p>
      <w:pPr>
        <w:spacing w:after="0" w:line="320" w:lineRule="exact"/>
        <w:jc w:val="both"/>
        <w:rPr>
          <w:rFonts w:ascii="Verdana" w:hAnsi="Verdana"/>
          <w:sz w:val="20"/>
          <w:szCs w:val="20"/>
        </w:rPr>
      </w:pPr>
    </w:p>
    <w:p>
      <w:pPr>
        <w:keepLines/>
        <w:numPr>
          <w:ilvl w:val="0"/>
          <w:numId w:val="23"/>
        </w:numPr>
        <w:spacing w:after="0" w:line="320" w:lineRule="exact"/>
        <w:ind w:left="851" w:hanging="851"/>
        <w:jc w:val="both"/>
        <w:rPr>
          <w:rFonts w:ascii="Verdana" w:hAnsi="Verdana"/>
          <w:smallCaps/>
          <w:sz w:val="20"/>
          <w:szCs w:val="20"/>
          <w:u w:val="single"/>
        </w:rPr>
      </w:pPr>
      <w:bookmarkStart w:id="257" w:name="_DV_M298"/>
      <w:bookmarkEnd w:id="257"/>
      <w:r>
        <w:rPr>
          <w:rFonts w:ascii="Verdana" w:hAnsi="Verdana"/>
          <w:smallCaps/>
          <w:sz w:val="20"/>
          <w:szCs w:val="20"/>
          <w:u w:val="single"/>
        </w:rPr>
        <w:t xml:space="preserve">Agente Fiduciário </w:t>
      </w:r>
    </w:p>
    <w:p>
      <w:pPr>
        <w:spacing w:after="0" w:line="320" w:lineRule="exact"/>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8" w:name="_DV_M300"/>
      <w:bookmarkStart w:id="259" w:name="_Toc499990371"/>
      <w:bookmarkEnd w:id="258"/>
      <w:r>
        <w:rPr>
          <w:rFonts w:ascii="Verdana" w:hAnsi="Verdana"/>
          <w:i/>
          <w:sz w:val="20"/>
          <w:szCs w:val="20"/>
          <w:u w:val="single"/>
        </w:rPr>
        <w:t>Nomeação</w:t>
      </w:r>
      <w:r>
        <w:rPr>
          <w:rFonts w:ascii="Verdana" w:hAnsi="Verdana"/>
          <w:i/>
          <w:sz w:val="20"/>
          <w:szCs w:val="20"/>
        </w:rPr>
        <w:t xml:space="preserve">. </w:t>
      </w:r>
      <w:bookmarkStart w:id="260" w:name="_DV_M301"/>
      <w:bookmarkEnd w:id="260"/>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20" w:lineRule="exact"/>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 xml:space="preserve">(ii) quinta emissão de debêntures simples, da espécie quirografária, da COMGÁS, em série única, no valor de R$675.000.000,00 </w:t>
      </w:r>
      <w:r>
        <w:rPr>
          <w:rFonts w:ascii="Verdana" w:hAnsi="Verdana"/>
          <w:iCs/>
          <w:sz w:val="20"/>
          <w:szCs w:val="20"/>
        </w:rPr>
        <w:lastRenderedPageBreak/>
        <w:t>(seiscentos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r>
        <w:rPr>
          <w:rFonts w:ascii="Verdana" w:hAnsi="Verdana"/>
          <w:b/>
          <w:sz w:val="20"/>
          <w:szCs w:val="20"/>
          <w:highlight w:val="yellow"/>
        </w:rPr>
        <w:t>[Nota Lefosse: AF, favor atualizar.]</w:t>
      </w:r>
    </w:p>
    <w:p>
      <w:pPr>
        <w:spacing w:after="0" w:line="320" w:lineRule="exact"/>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w:t>
      </w:r>
      <w:r>
        <w:rPr>
          <w:rFonts w:ascii="Verdana" w:hAnsi="Verdana"/>
          <w:sz w:val="20"/>
          <w:szCs w:val="20"/>
        </w:rPr>
        <w:lastRenderedPageBreak/>
        <w:t>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20" w:lineRule="exact"/>
        <w:ind w:left="720" w:hanging="1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pPr>
        <w:spacing w:after="0" w:line="320" w:lineRule="exact"/>
        <w:ind w:left="720" w:hanging="720"/>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20" w:lineRule="exact"/>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61" w:name="_DV_M302"/>
      <w:bookmarkEnd w:id="261"/>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2" w:name="_DV_M303"/>
      <w:bookmarkEnd w:id="262"/>
      <w:r>
        <w:rPr>
          <w:rFonts w:ascii="Verdana" w:hAnsi="Verdana"/>
          <w:sz w:val="20"/>
          <w:szCs w:val="20"/>
        </w:rPr>
        <w:t>O Agente Fiduciário, neste ato assim nomeado, declara, sob as penas da lei:</w:t>
      </w:r>
    </w:p>
    <w:p>
      <w:pPr>
        <w:spacing w:after="0" w:line="320" w:lineRule="exact"/>
        <w:ind w:left="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3" w:name="_DV_M304"/>
      <w:bookmarkEnd w:id="263"/>
      <w:r>
        <w:rPr>
          <w:rFonts w:ascii="Verdana" w:hAnsi="Verdana"/>
          <w:sz w:val="20"/>
          <w:szCs w:val="20"/>
        </w:rPr>
        <w:t>não ter nenhum impedimento legal, conforme parágrafo 3º do artigo 66 da Lei das Sociedades por Ações e o artigo 6º da Instrução CVM 583, para exercer a função que lhe é conferida;</w:t>
      </w:r>
    </w:p>
    <w:p>
      <w:pPr>
        <w:pStyle w:val="PargrafodaLista"/>
        <w:spacing w:line="320" w:lineRule="exact"/>
        <w:ind w:left="1418" w:hanging="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4" w:name="_DV_M305"/>
      <w:bookmarkEnd w:id="264"/>
      <w:r>
        <w:rPr>
          <w:rFonts w:ascii="Verdana" w:hAnsi="Verdana"/>
          <w:sz w:val="20"/>
          <w:szCs w:val="20"/>
        </w:rPr>
        <w:t>aceitar a função que lhe é conferida, assumindo integralmente os deveres e atribuições previstos na legislação específica e nesta Escritura;</w:t>
      </w:r>
    </w:p>
    <w:p>
      <w:pPr>
        <w:pStyle w:val="PargrafodaLista"/>
        <w:spacing w:line="320" w:lineRule="exact"/>
        <w:ind w:left="1418" w:hanging="709"/>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5" w:name="_DV_M306"/>
      <w:bookmarkEnd w:id="265"/>
      <w:r>
        <w:rPr>
          <w:rFonts w:ascii="Verdana" w:hAnsi="Verdana"/>
          <w:sz w:val="20"/>
          <w:szCs w:val="20"/>
        </w:rPr>
        <w:lastRenderedPageBreak/>
        <w:t>estar ciente da regulamentação aplicável proferida pelo BACEN e pela CVM, incluindo, sem limitação, a Circular do BACEN nº 1.832, de 31 de outubro de 1990, conforme alterada;</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6" w:name="_DV_M307"/>
      <w:bookmarkEnd w:id="266"/>
      <w:r>
        <w:rPr>
          <w:rFonts w:ascii="Verdana" w:hAnsi="Verdana"/>
          <w:sz w:val="20"/>
          <w:szCs w:val="20"/>
        </w:rPr>
        <w:t>não ter qualquer ligação com a Emissora que o impeça de exercer suas funções;</w:t>
      </w:r>
    </w:p>
    <w:p>
      <w:pPr>
        <w:pStyle w:val="PargrafodaLista"/>
        <w:spacing w:line="320" w:lineRule="exact"/>
        <w:ind w:left="1701" w:hanging="850"/>
        <w:jc w:val="both"/>
        <w:rPr>
          <w:rFonts w:ascii="Verdana" w:hAnsi="Verdana"/>
          <w:sz w:val="20"/>
          <w:szCs w:val="20"/>
        </w:rPr>
      </w:pPr>
      <w:bookmarkStart w:id="267" w:name="_DV_M308"/>
      <w:bookmarkStart w:id="268" w:name="_DV_M309"/>
      <w:bookmarkEnd w:id="267"/>
      <w:bookmarkEnd w:id="268"/>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9" w:name="_DV_X471"/>
      <w:bookmarkStart w:id="270" w:name="_DV_C422"/>
      <w:r>
        <w:rPr>
          <w:rFonts w:ascii="Verdana" w:hAnsi="Verdana"/>
          <w:sz w:val="20"/>
          <w:szCs w:val="20"/>
        </w:rPr>
        <w:t>não se encontrar em nenhuma das situações de conflito de interesse previstas no artigo 6º da Instrução CVM 583;</w:t>
      </w:r>
      <w:bookmarkEnd w:id="269"/>
      <w:bookmarkEnd w:id="270"/>
      <w:r>
        <w:rPr>
          <w:rFonts w:ascii="Verdana" w:hAnsi="Verdana"/>
          <w:sz w:val="20"/>
          <w:szCs w:val="20"/>
        </w:rPr>
        <w:t xml:space="preserve"> </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1" w:name="_DV_C423"/>
      <w:r>
        <w:rPr>
          <w:rFonts w:ascii="Verdana" w:hAnsi="Verdana"/>
          <w:sz w:val="20"/>
          <w:szCs w:val="20"/>
        </w:rPr>
        <w:t>estar devidamente qualificado a exercer as atividades de agente fiduciário, nos termos da regulamentação aplicável vigente;</w:t>
      </w:r>
      <w:bookmarkEnd w:id="271"/>
      <w:r>
        <w:rPr>
          <w:rFonts w:ascii="Verdana" w:hAnsi="Verdana"/>
          <w:sz w:val="20"/>
          <w:szCs w:val="20"/>
        </w:rPr>
        <w:t xml:space="preserve"> </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2" w:name="_DV_C424"/>
      <w:r>
        <w:rPr>
          <w:rFonts w:ascii="Verdana" w:hAnsi="Verdana"/>
          <w:sz w:val="20"/>
          <w:szCs w:val="20"/>
        </w:rPr>
        <w:t xml:space="preserve">que </w:t>
      </w:r>
      <w:bookmarkStart w:id="273" w:name="_DV_X465"/>
      <w:bookmarkStart w:id="274" w:name="_DV_C425"/>
      <w:bookmarkEnd w:id="272"/>
      <w:r>
        <w:rPr>
          <w:rFonts w:ascii="Verdana" w:hAnsi="Verdana"/>
          <w:sz w:val="20"/>
          <w:szCs w:val="20"/>
        </w:rPr>
        <w:t>esta Escritura constitui uma obrigação legal, válida</w:t>
      </w:r>
      <w:bookmarkStart w:id="275" w:name="_DV_C426"/>
      <w:bookmarkEnd w:id="273"/>
      <w:bookmarkEnd w:id="274"/>
      <w:r>
        <w:rPr>
          <w:rFonts w:ascii="Verdana" w:hAnsi="Verdana"/>
          <w:sz w:val="20"/>
          <w:szCs w:val="20"/>
        </w:rPr>
        <w:t>, vinculativa e eficaz</w:t>
      </w:r>
      <w:bookmarkStart w:id="276" w:name="_DV_X467"/>
      <w:bookmarkStart w:id="277" w:name="_DV_C427"/>
      <w:bookmarkEnd w:id="275"/>
      <w:r>
        <w:rPr>
          <w:rFonts w:ascii="Verdana" w:hAnsi="Verdana"/>
          <w:sz w:val="20"/>
          <w:szCs w:val="20"/>
        </w:rPr>
        <w:t xml:space="preserve"> do Agente Fiduciário, exequível de acordo com os seus termos e condições;</w:t>
      </w:r>
      <w:bookmarkEnd w:id="276"/>
      <w:bookmarkEnd w:id="277"/>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8" w:name="_DV_M310"/>
      <w:bookmarkEnd w:id="278"/>
      <w:r>
        <w:rPr>
          <w:rFonts w:ascii="Verdana" w:hAnsi="Verdana"/>
          <w:sz w:val="20"/>
          <w:szCs w:val="20"/>
        </w:rPr>
        <w:t xml:space="preserve">que a celebração desta Escritura e o cumprimento de suas obrigações aqui previstas não infringem qualquer obrigação anteriormente assumida pelo Agente Fiduciário; </w:t>
      </w:r>
    </w:p>
    <w:p>
      <w:pPr>
        <w:pStyle w:val="PargrafodaLista"/>
        <w:spacing w:line="320" w:lineRule="exact"/>
        <w:ind w:left="1701" w:hanging="850"/>
        <w:jc w:val="both"/>
        <w:rPr>
          <w:rFonts w:ascii="Verdana" w:hAnsi="Verdana"/>
          <w:sz w:val="20"/>
          <w:szCs w:val="20"/>
        </w:rPr>
      </w:pPr>
      <w:bookmarkStart w:id="279" w:name="_DV_M313"/>
      <w:bookmarkEnd w:id="279"/>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lastRenderedPageBreak/>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pPr>
        <w:pStyle w:val="PargrafodaLista"/>
        <w:spacing w:line="320" w:lineRule="exact"/>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80" w:name="_DV_M314"/>
      <w:bookmarkStart w:id="281" w:name="_DV_M315"/>
      <w:bookmarkEnd w:id="280"/>
      <w:bookmarkEnd w:id="281"/>
      <w:r>
        <w:rPr>
          <w:rFonts w:ascii="Verdana" w:hAnsi="Verdana"/>
          <w:i/>
          <w:sz w:val="20"/>
          <w:szCs w:val="20"/>
          <w:u w:val="single"/>
        </w:rPr>
        <w:t>Substituição</w:t>
      </w:r>
      <w:r>
        <w:rPr>
          <w:rFonts w:ascii="Verdana" w:hAnsi="Verdana"/>
          <w:sz w:val="20"/>
          <w:szCs w:val="20"/>
        </w:rPr>
        <w:t xml:space="preserve">. </w:t>
      </w:r>
      <w:bookmarkStart w:id="282" w:name="_DV_M316"/>
      <w:bookmarkEnd w:id="282"/>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20" w:lineRule="exact"/>
        <w:ind w:left="709"/>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3" w:name="_DV_M317"/>
      <w:bookmarkEnd w:id="283"/>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4" w:name="_DV_M318"/>
      <w:bookmarkEnd w:id="284"/>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20" w:lineRule="exact"/>
        <w:ind w:left="1080"/>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5" w:name="_DV_M319"/>
      <w:bookmarkEnd w:id="285"/>
    </w:p>
    <w:p>
      <w:pPr>
        <w:pStyle w:val="PargrafodaLista"/>
        <w:spacing w:line="320" w:lineRule="exact"/>
        <w:ind w:left="1418" w:hanging="709"/>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pPr>
        <w:pStyle w:val="PargrafodaLista"/>
        <w:spacing w:line="320" w:lineRule="exact"/>
        <w:ind w:left="108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6" w:name="_DV_M320"/>
      <w:bookmarkEnd w:id="286"/>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7" w:name="_DV_M321"/>
      <w:bookmarkStart w:id="288" w:name="_Ref314580857"/>
      <w:bookmarkEnd w:id="287"/>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9" w:name="_DV_M322"/>
      <w:bookmarkEnd w:id="288"/>
      <w:bookmarkEnd w:id="289"/>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pPr>
        <w:spacing w:after="0" w:line="320" w:lineRule="exact"/>
        <w:ind w:left="851" w:hanging="851"/>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90" w:name="_DV_M323"/>
      <w:bookmarkEnd w:id="290"/>
      <w:r>
        <w:rPr>
          <w:rFonts w:ascii="Verdana" w:hAnsi="Verdana"/>
          <w:i/>
          <w:sz w:val="20"/>
          <w:szCs w:val="20"/>
          <w:u w:val="single"/>
        </w:rPr>
        <w:t>Deveres</w:t>
      </w:r>
      <w:r>
        <w:rPr>
          <w:rFonts w:ascii="Verdana" w:hAnsi="Verdana"/>
          <w:sz w:val="20"/>
          <w:szCs w:val="20"/>
        </w:rPr>
        <w:t xml:space="preserve">. </w:t>
      </w:r>
      <w:bookmarkStart w:id="291" w:name="_DV_M324"/>
      <w:bookmarkStart w:id="292" w:name="_Ref312402766"/>
      <w:bookmarkEnd w:id="291"/>
      <w:r>
        <w:rPr>
          <w:rFonts w:ascii="Verdana" w:hAnsi="Verdana"/>
          <w:sz w:val="20"/>
          <w:szCs w:val="20"/>
        </w:rPr>
        <w:t>Além de outros previstos em lei, em ato normativo da CVM, em especial a Instrução CVM 583, ou nesta Escritura, constituem deveres e atribuições do Agente Fiduciário:</w:t>
      </w:r>
      <w:bookmarkEnd w:id="292"/>
    </w:p>
    <w:p>
      <w:pPr>
        <w:spacing w:after="0" w:line="320" w:lineRule="exact"/>
        <w:ind w:left="709"/>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3" w:name="_DV_M325"/>
      <w:bookmarkEnd w:id="293"/>
      <w:r>
        <w:rPr>
          <w:rFonts w:ascii="Verdana" w:hAnsi="Verdana"/>
          <w:sz w:val="20"/>
          <w:szCs w:val="20"/>
        </w:rPr>
        <w:t>exercer suas atividades com boa fé, transparência e lealdade para com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4" w:name="_DV_M326"/>
      <w:bookmarkEnd w:id="294"/>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5" w:name="_DV_M327"/>
      <w:bookmarkEnd w:id="295"/>
      <w:r>
        <w:rPr>
          <w:rFonts w:ascii="Verdana" w:hAnsi="Verdana"/>
          <w:sz w:val="20"/>
          <w:szCs w:val="20"/>
        </w:rPr>
        <w:t>conservar em boa guarda toda a documentação relativa ao exercício de suas funções;</w:t>
      </w:r>
    </w:p>
    <w:p>
      <w:pPr>
        <w:pStyle w:val="PargrafodaLista"/>
        <w:tabs>
          <w:tab w:val="left" w:pos="1701"/>
        </w:tabs>
        <w:spacing w:line="320" w:lineRule="exact"/>
        <w:ind w:left="1701" w:hanging="850"/>
        <w:jc w:val="both"/>
        <w:rPr>
          <w:rFonts w:ascii="Verdana" w:hAnsi="Verdana"/>
          <w:sz w:val="20"/>
          <w:szCs w:val="20"/>
        </w:rPr>
      </w:pPr>
      <w:bookmarkStart w:id="296" w:name="_DV_M328"/>
      <w:bookmarkEnd w:id="296"/>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verificar, no momento de aceitar a função, a veracidade e a consistência das demais informações contidas nesta Escritura, </w:t>
      </w:r>
      <w:r>
        <w:rPr>
          <w:rFonts w:ascii="Verdana" w:hAnsi="Verdana"/>
          <w:sz w:val="20"/>
          <w:szCs w:val="20"/>
        </w:rPr>
        <w:lastRenderedPageBreak/>
        <w:t>diligenciando para que sejam sanadas as omissões, falhas ou defeitos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7" w:name="_DV_M329"/>
      <w:bookmarkEnd w:id="297"/>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8" w:name="_DV_M330"/>
      <w:bookmarkEnd w:id="298"/>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9" w:name="_DV_M331"/>
      <w:bookmarkEnd w:id="299"/>
      <w:r>
        <w:rPr>
          <w:rFonts w:ascii="Verdana" w:hAnsi="Verdana"/>
          <w:sz w:val="20"/>
          <w:szCs w:val="20"/>
        </w:rPr>
        <w:t>opinar sobre a suficiência das informações prestadas nas propostas de modificações das condições das Debêntures;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0" w:name="_DV_M332"/>
      <w:bookmarkEnd w:id="300"/>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1" w:name="_DV_M333"/>
      <w:bookmarkEnd w:id="301"/>
      <w:r>
        <w:rPr>
          <w:rFonts w:ascii="Verdana" w:hAnsi="Verdana"/>
          <w:sz w:val="20"/>
          <w:szCs w:val="20"/>
        </w:rPr>
        <w:t xml:space="preserve">solicitar, quando considerar necessário, auditoria extraordinária na Emissora, cujos custos deverão ser arcados pela Emissora;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2" w:name="_DV_M334"/>
      <w:bookmarkEnd w:id="302"/>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3" w:name="_DV_M335"/>
      <w:bookmarkEnd w:id="303"/>
      <w:r>
        <w:rPr>
          <w:rFonts w:ascii="Verdana" w:hAnsi="Verdana"/>
          <w:sz w:val="20"/>
          <w:szCs w:val="20"/>
        </w:rPr>
        <w:t>comparecer à Assembleia Geral de Debenturistas a fim de prestar as informações que lhe forem solicitadas;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4" w:name="_DV_M336"/>
      <w:bookmarkStart w:id="305" w:name="_Ref312402759"/>
      <w:bookmarkEnd w:id="304"/>
      <w:r>
        <w:rPr>
          <w:rFonts w:ascii="Verdana" w:hAnsi="Verdana"/>
          <w:sz w:val="20"/>
          <w:szCs w:val="20"/>
        </w:rPr>
        <w:t xml:space="preserve">elaborar relatório anual destinado aos Debenturistas, nos termos do artigo 68, parágrafo 1º, alínea (b) da Lei das Sociedades por Ações e nos termos da Instrução CVM 583, a fim de descrever os fatos relevantes ocorridos durante o exercício relativos à execução das </w:t>
      </w:r>
      <w:r>
        <w:rPr>
          <w:rFonts w:ascii="Verdana" w:hAnsi="Verdana"/>
          <w:sz w:val="20"/>
          <w:szCs w:val="20"/>
        </w:rPr>
        <w:lastRenderedPageBreak/>
        <w:t>obrigações assumidas pela Emissora, o qual deverá conter, ao menos, as seguintes informações:</w:t>
      </w:r>
      <w:bookmarkEnd w:id="305"/>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6" w:name="_DV_M337"/>
      <w:bookmarkEnd w:id="306"/>
      <w:r>
        <w:rPr>
          <w:rFonts w:ascii="Verdana" w:hAnsi="Verdana"/>
          <w:sz w:val="20"/>
          <w:szCs w:val="20"/>
        </w:rPr>
        <w:t>cumprimento pela Emissora das suas obrigações de prestação de informações periódicas, indicando as inconsistências ou omissões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7" w:name="_DV_M338"/>
      <w:bookmarkEnd w:id="307"/>
      <w:r>
        <w:rPr>
          <w:rFonts w:ascii="Verdana" w:hAnsi="Verdana"/>
          <w:sz w:val="20"/>
          <w:szCs w:val="20"/>
        </w:rPr>
        <w:t>alterações estatutárias ocorridas no exercício social com efeitos relevantes para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8" w:name="_DV_M339"/>
      <w:bookmarkEnd w:id="308"/>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9" w:name="_DV_M340"/>
      <w:bookmarkEnd w:id="309"/>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0" w:name="_DV_M341"/>
      <w:bookmarkEnd w:id="310"/>
      <w:r>
        <w:rPr>
          <w:rFonts w:ascii="Verdana" w:hAnsi="Verdana"/>
          <w:sz w:val="20"/>
          <w:szCs w:val="20"/>
        </w:rPr>
        <w:t>resgate, amortização, conversão, repactuação e pagamento de Juros Remuneratórios das Debêntures realizados no período;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1" w:name="_DV_M342"/>
      <w:bookmarkEnd w:id="311"/>
      <w:r>
        <w:rPr>
          <w:rFonts w:ascii="Verdana" w:hAnsi="Verdana"/>
          <w:sz w:val="20"/>
          <w:szCs w:val="20"/>
        </w:rPr>
        <w:t>destinação dos recursos captados por meio da Emissão, conforme informações prestadas pela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2" w:name="_DV_M343"/>
      <w:bookmarkEnd w:id="312"/>
      <w:r>
        <w:rPr>
          <w:rFonts w:ascii="Verdana" w:hAnsi="Verdana"/>
          <w:sz w:val="20"/>
          <w:szCs w:val="20"/>
        </w:rPr>
        <w:t>relação dos bens e valores entregues à sua administração,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3" w:name="_DV_M344"/>
      <w:bookmarkEnd w:id="313"/>
      <w:r>
        <w:rPr>
          <w:rFonts w:ascii="Verdana" w:hAnsi="Verdana"/>
          <w:sz w:val="20"/>
          <w:szCs w:val="20"/>
        </w:rPr>
        <w:t xml:space="preserve">cumprimento de outras obrigações assumidas pela Emissora nesta Escritura;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existência de outras emissões de valores mobiliários, públicas ou privadas, feitas pela própria Emissora, por sociedade coligada, controlada, controladora ou integrante do mesmo grupo da Emissora </w:t>
      </w:r>
      <w:r>
        <w:rPr>
          <w:rFonts w:ascii="Verdana" w:hAnsi="Verdana"/>
          <w:sz w:val="20"/>
          <w:szCs w:val="20"/>
        </w:rPr>
        <w:lastRenderedPageBreak/>
        <w:t>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pPr>
        <w:pStyle w:val="PargrafodaLista"/>
        <w:spacing w:line="320" w:lineRule="exact"/>
        <w:ind w:left="72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4" w:name="_DV_M345"/>
      <w:bookmarkEnd w:id="314"/>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5" w:name="_DV_M346"/>
      <w:bookmarkStart w:id="316" w:name="_DV_M347"/>
      <w:bookmarkStart w:id="317" w:name="_DV_M348"/>
      <w:bookmarkStart w:id="318" w:name="_DV_M349"/>
      <w:bookmarkStart w:id="319" w:name="_DV_M350"/>
      <w:bookmarkStart w:id="320" w:name="_DV_M351"/>
      <w:bookmarkEnd w:id="315"/>
      <w:bookmarkEnd w:id="316"/>
      <w:bookmarkEnd w:id="317"/>
      <w:bookmarkEnd w:id="318"/>
      <w:bookmarkEnd w:id="319"/>
      <w:bookmarkEnd w:id="320"/>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1" w:name="_DV_M352"/>
      <w:bookmarkEnd w:id="321"/>
      <w:r>
        <w:rPr>
          <w:rFonts w:ascii="Verdana" w:hAnsi="Verdana"/>
          <w:sz w:val="20"/>
          <w:szCs w:val="20"/>
        </w:rPr>
        <w:t>manter atualizada a relação dos Debenturistas e seus endereços;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2" w:name="_DV_M353"/>
      <w:bookmarkStart w:id="323" w:name="_DV_M354"/>
      <w:bookmarkEnd w:id="322"/>
      <w:bookmarkEnd w:id="323"/>
      <w:r>
        <w:rPr>
          <w:rFonts w:ascii="Verdana" w:hAnsi="Verdana"/>
          <w:sz w:val="20"/>
          <w:szCs w:val="20"/>
        </w:rPr>
        <w:t xml:space="preserve">fiscalizar o cumprimento das cláusulas constantes desta Escritura, especialmente daquelas impositivas de obrigações de fazer e de não fazer;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4" w:name="_DV_M355"/>
      <w:bookmarkEnd w:id="324"/>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pPr>
        <w:pStyle w:val="PargrafodaLista"/>
        <w:spacing w:line="320" w:lineRule="exact"/>
        <w:ind w:left="1701" w:hanging="850"/>
        <w:jc w:val="both"/>
        <w:rPr>
          <w:rFonts w:ascii="Verdana" w:hAnsi="Verdana"/>
          <w:sz w:val="20"/>
          <w:szCs w:val="20"/>
        </w:rPr>
      </w:pPr>
      <w:bookmarkStart w:id="325" w:name="_DV_M356"/>
      <w:bookmarkStart w:id="326" w:name="_DV_M357"/>
      <w:bookmarkEnd w:id="325"/>
      <w:bookmarkEnd w:id="326"/>
    </w:p>
    <w:p>
      <w:pPr>
        <w:pStyle w:val="PargrafodaLista"/>
        <w:numPr>
          <w:ilvl w:val="0"/>
          <w:numId w:val="61"/>
        </w:numPr>
        <w:spacing w:line="320" w:lineRule="exact"/>
        <w:ind w:left="1701" w:hanging="850"/>
        <w:jc w:val="both"/>
        <w:rPr>
          <w:rFonts w:ascii="Verdana" w:hAnsi="Verdana"/>
          <w:sz w:val="20"/>
          <w:szCs w:val="20"/>
        </w:rPr>
      </w:pPr>
      <w:bookmarkStart w:id="327" w:name="_DV_M358"/>
      <w:bookmarkStart w:id="328" w:name="_Ref312402999"/>
      <w:bookmarkEnd w:id="327"/>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20" w:lineRule="exact"/>
        <w:ind w:left="1844"/>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9" w:name="_DV_M359"/>
      <w:bookmarkStart w:id="330" w:name="_DV_M360"/>
      <w:bookmarkStart w:id="331" w:name="_DV_M361"/>
      <w:bookmarkStart w:id="332" w:name="_DV_M362"/>
      <w:bookmarkStart w:id="333" w:name="_DV_M363"/>
      <w:bookmarkEnd w:id="328"/>
      <w:bookmarkEnd w:id="329"/>
      <w:bookmarkEnd w:id="330"/>
      <w:bookmarkEnd w:id="331"/>
      <w:bookmarkEnd w:id="332"/>
      <w:bookmarkEnd w:id="333"/>
    </w:p>
    <w:p>
      <w:pPr>
        <w:spacing w:after="0" w:line="320" w:lineRule="exact"/>
        <w:ind w:left="709"/>
        <w:jc w:val="both"/>
        <w:rPr>
          <w:rFonts w:ascii="Verdana" w:hAnsi="Verdana"/>
          <w:sz w:val="20"/>
          <w:szCs w:val="20"/>
        </w:rPr>
      </w:pPr>
    </w:p>
    <w:p>
      <w:pPr>
        <w:spacing w:after="0" w:line="320" w:lineRule="exact"/>
        <w:ind w:left="851" w:hanging="851"/>
        <w:jc w:val="both"/>
        <w:rPr>
          <w:rFonts w:ascii="Verdana" w:hAnsi="Verdana" w:cs="Arial"/>
          <w:sz w:val="20"/>
          <w:szCs w:val="20"/>
        </w:rPr>
      </w:pPr>
      <w:bookmarkStart w:id="334" w:name="_DV_M365"/>
      <w:bookmarkStart w:id="335" w:name="_Ref312254968"/>
      <w:bookmarkStart w:id="336" w:name="_Ref315349283"/>
      <w:bookmarkEnd w:id="334"/>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5"/>
      <w:r>
        <w:rPr>
          <w:rFonts w:ascii="Verdana" w:hAnsi="Verdana"/>
          <w:sz w:val="20"/>
          <w:szCs w:val="20"/>
        </w:rPr>
        <w:t xml:space="preserve">. </w:t>
      </w:r>
      <w:bookmarkStart w:id="337" w:name="_DV_M366"/>
      <w:bookmarkEnd w:id="336"/>
      <w:bookmarkEnd w:id="337"/>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pPr>
        <w:pStyle w:val="PargrafodaLista"/>
        <w:spacing w:line="320" w:lineRule="exact"/>
        <w:jc w:val="center"/>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spacing w:after="0" w:line="320" w:lineRule="exact"/>
        <w:ind w:left="851" w:hanging="851"/>
        <w:jc w:val="both"/>
        <w:rPr>
          <w:rFonts w:ascii="Verdana" w:hAnsi="Verdana"/>
          <w:sz w:val="20"/>
          <w:szCs w:val="20"/>
        </w:rPr>
      </w:pPr>
    </w:p>
    <w:p>
      <w:pPr>
        <w:pStyle w:val="PargrafodaLista"/>
        <w:numPr>
          <w:ilvl w:val="1"/>
          <w:numId w:val="44"/>
        </w:numPr>
        <w:spacing w:line="320" w:lineRule="exact"/>
        <w:ind w:left="851" w:hanging="851"/>
        <w:jc w:val="both"/>
        <w:rPr>
          <w:rFonts w:ascii="Verdana" w:hAnsi="Verdana"/>
          <w:sz w:val="20"/>
          <w:szCs w:val="20"/>
        </w:rPr>
      </w:pPr>
      <w:bookmarkStart w:id="338" w:name="_DV_M367"/>
      <w:bookmarkStart w:id="339" w:name="_DV_M373"/>
      <w:bookmarkEnd w:id="338"/>
      <w:bookmarkEnd w:id="339"/>
      <w:r>
        <w:rPr>
          <w:rFonts w:ascii="Verdana" w:hAnsi="Verdana"/>
          <w:i/>
          <w:sz w:val="20"/>
          <w:szCs w:val="20"/>
          <w:u w:val="single"/>
        </w:rPr>
        <w:t>Despesas</w:t>
      </w:r>
      <w:r>
        <w:rPr>
          <w:rFonts w:ascii="Verdana" w:hAnsi="Verdana"/>
          <w:sz w:val="20"/>
          <w:szCs w:val="20"/>
        </w:rPr>
        <w:t xml:space="preserve">. </w:t>
      </w:r>
      <w:bookmarkStart w:id="340" w:name="_DV_M374"/>
      <w:bookmarkStart w:id="341" w:name="_Ref435694205"/>
      <w:bookmarkEnd w:id="340"/>
      <w:r>
        <w:rPr>
          <w:rFonts w:ascii="Verdana" w:hAnsi="Verdana"/>
          <w:sz w:val="20"/>
          <w:szCs w:val="20"/>
        </w:rPr>
        <w:t xml:space="preserve">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w:t>
      </w:r>
      <w:r>
        <w:rPr>
          <w:rFonts w:ascii="Verdana" w:hAnsi="Verdana"/>
          <w:sz w:val="20"/>
          <w:szCs w:val="20"/>
        </w:rPr>
        <w:lastRenderedPageBreak/>
        <w:t>termos desta Escritura, devendo ser, sempre que possível, previamente aprovadas pela Emissora.</w:t>
      </w:r>
      <w:bookmarkEnd w:id="341"/>
      <w:r>
        <w:rPr>
          <w:rFonts w:ascii="Verdana" w:hAnsi="Verdana"/>
          <w:sz w:val="20"/>
          <w:szCs w:val="20"/>
        </w:rPr>
        <w:t xml:space="preserve"> </w:t>
      </w:r>
    </w:p>
    <w:p>
      <w:pPr>
        <w:spacing w:after="0" w:line="320" w:lineRule="exact"/>
        <w:ind w:left="709"/>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20" w:lineRule="exact"/>
        <w:ind w:left="709"/>
        <w:jc w:val="both"/>
        <w:rPr>
          <w:rFonts w:ascii="Verdana" w:hAnsi="Verdana"/>
          <w:sz w:val="20"/>
          <w:szCs w:val="20"/>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lastRenderedPageBreak/>
        <w:t>fotocópias, digitalizações, envio de documentos;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pPr>
        <w:pStyle w:val="Level4"/>
        <w:numPr>
          <w:ilvl w:val="0"/>
          <w:numId w:val="0"/>
        </w:numPr>
        <w:tabs>
          <w:tab w:val="left" w:pos="720"/>
          <w:tab w:val="left" w:pos="2366"/>
        </w:tabs>
        <w:spacing w:after="0" w:line="320" w:lineRule="exact"/>
        <w:ind w:left="1701" w:hanging="850"/>
        <w:rPr>
          <w:rFonts w:ascii="Verdana" w:hAnsi="Verdana"/>
          <w:lang w:val="pt-BR"/>
        </w:rPr>
      </w:pPr>
    </w:p>
    <w:p>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pPr>
        <w:spacing w:after="0"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pPr>
        <w:spacing w:after="0" w:line="320" w:lineRule="exact"/>
        <w:rPr>
          <w:rFonts w:ascii="Verdana" w:hAnsi="Verdana"/>
          <w:sz w:val="20"/>
          <w:szCs w:val="20"/>
        </w:rPr>
      </w:pPr>
    </w:p>
    <w:p>
      <w:pPr>
        <w:numPr>
          <w:ilvl w:val="0"/>
          <w:numId w:val="44"/>
        </w:numPr>
        <w:spacing w:after="0" w:line="320" w:lineRule="exact"/>
        <w:ind w:left="851" w:hanging="851"/>
        <w:jc w:val="both"/>
        <w:rPr>
          <w:rFonts w:ascii="Verdana" w:hAnsi="Verdana"/>
          <w:bCs/>
          <w:smallCaps/>
          <w:sz w:val="20"/>
          <w:szCs w:val="20"/>
          <w:u w:val="single"/>
        </w:rPr>
      </w:pPr>
      <w:bookmarkStart w:id="342" w:name="_DV_M383"/>
      <w:bookmarkStart w:id="343" w:name="_Toc499990378"/>
      <w:bookmarkStart w:id="344" w:name="_Ref314575655"/>
      <w:bookmarkStart w:id="345" w:name="_Ref314575658"/>
      <w:bookmarkEnd w:id="259"/>
      <w:bookmarkEnd w:id="342"/>
      <w:r>
        <w:rPr>
          <w:rFonts w:ascii="Verdana" w:hAnsi="Verdana"/>
          <w:bCs/>
          <w:smallCaps/>
          <w:sz w:val="20"/>
          <w:szCs w:val="20"/>
          <w:u w:val="single"/>
        </w:rPr>
        <w:t>Assembleia Geral de Debenturistas</w:t>
      </w:r>
      <w:bookmarkEnd w:id="343"/>
      <w:bookmarkEnd w:id="344"/>
      <w:bookmarkEnd w:id="345"/>
    </w:p>
    <w:p>
      <w:pPr>
        <w:spacing w:after="0" w:line="320" w:lineRule="exact"/>
        <w:ind w:left="709"/>
        <w:jc w:val="both"/>
        <w:rPr>
          <w:rFonts w:ascii="Verdana" w:hAnsi="Verdana"/>
          <w:sz w:val="20"/>
          <w:szCs w:val="20"/>
        </w:rPr>
      </w:pPr>
      <w:bookmarkStart w:id="346" w:name="_DV_M384"/>
      <w:bookmarkEnd w:id="346"/>
    </w:p>
    <w:p>
      <w:pPr>
        <w:pStyle w:val="Level2"/>
        <w:numPr>
          <w:ilvl w:val="1"/>
          <w:numId w:val="29"/>
        </w:numPr>
        <w:spacing w:after="0" w:line="320" w:lineRule="exact"/>
        <w:ind w:left="851" w:hanging="851"/>
        <w:rPr>
          <w:rFonts w:ascii="Verdana" w:hAnsi="Verdana"/>
          <w:szCs w:val="20"/>
          <w:lang w:val="pt-BR"/>
        </w:rPr>
      </w:pPr>
      <w:bookmarkStart w:id="347" w:name="_DV_M387"/>
      <w:bookmarkStart w:id="348" w:name="_Ref435698643"/>
      <w:bookmarkStart w:id="349" w:name="_Ref312399872"/>
      <w:bookmarkStart w:id="350" w:name="_Ref312404717"/>
      <w:bookmarkEnd w:id="347"/>
      <w:r>
        <w:rPr>
          <w:rFonts w:ascii="Verdana" w:hAnsi="Verdana" w:cs="Arial"/>
          <w:i/>
          <w:szCs w:val="20"/>
          <w:u w:val="single"/>
          <w:lang w:val="pt-BR"/>
        </w:rPr>
        <w:t>Convocação</w:t>
      </w:r>
      <w:bookmarkEnd w:id="348"/>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w:t>
      </w:r>
      <w:r>
        <w:rPr>
          <w:rFonts w:ascii="Verdana" w:hAnsi="Verdana"/>
          <w:szCs w:val="20"/>
          <w:lang w:val="pt-BR"/>
        </w:rPr>
        <w:lastRenderedPageBreak/>
        <w:t xml:space="preserve">disposto no artigo 71 da Lei das Sociedades por Ações, a fim de deliberar sobre matéria de interesse da comunhão de Debenturistas. </w:t>
      </w:r>
    </w:p>
    <w:p>
      <w:pPr>
        <w:pStyle w:val="Level2"/>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pPr>
        <w:pStyle w:val="Level2"/>
        <w:numPr>
          <w:ilvl w:val="0"/>
          <w:numId w:val="0"/>
        </w:numPr>
        <w:spacing w:after="0" w:line="320" w:lineRule="exact"/>
        <w:ind w:left="851" w:hanging="851"/>
        <w:rPr>
          <w:rFonts w:ascii="Verdana" w:hAnsi="Verdana"/>
          <w:szCs w:val="20"/>
          <w:lang w:val="pt-BR"/>
        </w:rPr>
      </w:pPr>
    </w:p>
    <w:bookmarkEnd w:id="349"/>
    <w:bookmarkEnd w:id="350"/>
    <w:p>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pPr>
        <w:pStyle w:val="Level2"/>
        <w:numPr>
          <w:ilvl w:val="0"/>
          <w:numId w:val="0"/>
        </w:numPr>
        <w:spacing w:after="0" w:line="320" w:lineRule="exact"/>
        <w:ind w:left="709"/>
        <w:rPr>
          <w:rFonts w:ascii="Verdana" w:hAnsi="Verdana"/>
          <w:szCs w:val="20"/>
          <w:lang w:val="pt-BR"/>
        </w:rPr>
      </w:pPr>
    </w:p>
    <w:p>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w:t>
      </w:r>
      <w:r>
        <w:rPr>
          <w:rFonts w:ascii="Verdana" w:hAnsi="Verdana"/>
          <w:szCs w:val="20"/>
          <w:lang w:val="pt-BR"/>
        </w:rPr>
        <w:lastRenderedPageBreak/>
        <w:t>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20" w:lineRule="exact"/>
        <w:ind w:left="851" w:hanging="851"/>
        <w:jc w:val="both"/>
        <w:rPr>
          <w:rFonts w:ascii="Verdana" w:hAnsi="Verdana"/>
          <w:sz w:val="20"/>
          <w:szCs w:val="20"/>
        </w:rPr>
      </w:pPr>
    </w:p>
    <w:p>
      <w:pPr>
        <w:numPr>
          <w:ilvl w:val="1"/>
          <w:numId w:val="18"/>
        </w:numPr>
        <w:spacing w:after="0" w:line="320" w:lineRule="exact"/>
        <w:ind w:left="851" w:hanging="851"/>
        <w:jc w:val="both"/>
        <w:rPr>
          <w:rFonts w:ascii="Verdana" w:hAnsi="Verdana"/>
          <w:sz w:val="20"/>
          <w:szCs w:val="20"/>
        </w:rPr>
      </w:pPr>
      <w:bookmarkStart w:id="351" w:name="_DV_M389"/>
      <w:bookmarkEnd w:id="351"/>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20" w:lineRule="exact"/>
        <w:ind w:left="851" w:hanging="851"/>
        <w:jc w:val="both"/>
        <w:rPr>
          <w:rFonts w:ascii="Verdana" w:hAnsi="Verdana"/>
          <w:sz w:val="20"/>
          <w:szCs w:val="20"/>
        </w:rPr>
      </w:pPr>
    </w:p>
    <w:p>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pPr>
        <w:pStyle w:val="PargrafodaLista"/>
        <w:spacing w:line="320" w:lineRule="exact"/>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bookmarkStart w:id="352"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25% (vinte e cinco por cento) das Debêntures em Circulação, em segunda convocação</w:t>
      </w:r>
      <w:bookmarkEnd w:id="352"/>
      <w:r>
        <w:rPr>
          <w:rFonts w:ascii="Verdana" w:hAnsi="Verdana"/>
          <w:sz w:val="20"/>
          <w:szCs w:val="20"/>
        </w:rPr>
        <w:t xml:space="preserve">.  </w:t>
      </w:r>
    </w:p>
    <w:p>
      <w:pPr>
        <w:pStyle w:val="PargrafodaLista"/>
        <w:spacing w:line="320" w:lineRule="exact"/>
        <w:ind w:left="720"/>
        <w:jc w:val="both"/>
        <w:rPr>
          <w:rFonts w:ascii="Verdana" w:hAnsi="Verdana"/>
          <w:sz w:val="20"/>
          <w:szCs w:val="20"/>
        </w:rPr>
      </w:pPr>
      <w:bookmarkStart w:id="353" w:name="_Ref436668645"/>
      <w:bookmarkStart w:id="354" w:name="_Ref436157918"/>
      <w:bookmarkStart w:id="355" w:name="_Ref449355979"/>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53"/>
      <w:bookmarkEnd w:id="354"/>
      <w:r>
        <w:rPr>
          <w:rFonts w:ascii="Verdana" w:hAnsi="Verdana"/>
          <w:sz w:val="20"/>
          <w:szCs w:val="20"/>
        </w:rPr>
        <w:t>.</w:t>
      </w:r>
      <w:bookmarkEnd w:id="355"/>
      <w:r>
        <w:rPr>
          <w:rFonts w:ascii="Verdana" w:hAnsi="Verdana"/>
          <w:sz w:val="20"/>
          <w:szCs w:val="20"/>
        </w:rPr>
        <w:t xml:space="preserve"> </w:t>
      </w:r>
    </w:p>
    <w:p>
      <w:pPr>
        <w:pStyle w:val="PargrafodaLista"/>
        <w:spacing w:line="320" w:lineRule="exact"/>
        <w:ind w:left="720"/>
        <w:jc w:val="both"/>
        <w:rPr>
          <w:rFonts w:ascii="Verdana" w:hAnsi="Verdana"/>
          <w:sz w:val="20"/>
          <w:szCs w:val="20"/>
        </w:rPr>
      </w:pPr>
    </w:p>
    <w:p>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w:t>
      </w:r>
      <w:r>
        <w:rPr>
          <w:rFonts w:ascii="Verdana" w:hAnsi="Verdana"/>
          <w:sz w:val="20"/>
          <w:szCs w:val="20"/>
        </w:rPr>
        <w:lastRenderedPageBreak/>
        <w:t>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20" w:lineRule="exact"/>
        <w:rPr>
          <w:rFonts w:ascii="Verdana" w:hAnsi="Verdana"/>
          <w:i/>
          <w:sz w:val="20"/>
          <w:szCs w:val="20"/>
          <w:u w:val="single"/>
        </w:rPr>
      </w:pPr>
    </w:p>
    <w:p>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56" w:name="_DV_M406"/>
      <w:bookmarkStart w:id="357" w:name="_Toc499990383"/>
      <w:bookmarkEnd w:id="356"/>
      <w:r>
        <w:rPr>
          <w:rFonts w:ascii="Verdana" w:hAnsi="Verdana"/>
          <w:smallCaps/>
          <w:sz w:val="20"/>
          <w:szCs w:val="20"/>
          <w:u w:val="single"/>
        </w:rPr>
        <w:t>Declarações</w:t>
      </w:r>
      <w:bookmarkStart w:id="358" w:name="_DV_M407"/>
      <w:bookmarkEnd w:id="357"/>
      <w:bookmarkEnd w:id="358"/>
      <w:r>
        <w:rPr>
          <w:rFonts w:ascii="Verdana" w:hAnsi="Verdana"/>
          <w:smallCaps/>
          <w:sz w:val="20"/>
          <w:szCs w:val="20"/>
          <w:u w:val="single"/>
        </w:rPr>
        <w:t xml:space="preserve"> </w:t>
      </w:r>
      <w:bookmarkStart w:id="359" w:name="_DV_C457"/>
      <w:r>
        <w:rPr>
          <w:rStyle w:val="DeltaViewInsertion"/>
          <w:rFonts w:ascii="Verdana" w:hAnsi="Verdana"/>
          <w:smallCaps/>
          <w:color w:val="auto"/>
          <w:sz w:val="20"/>
          <w:szCs w:val="20"/>
          <w:u w:val="single"/>
        </w:rPr>
        <w:t>da Emissora</w:t>
      </w:r>
      <w:bookmarkEnd w:id="359"/>
    </w:p>
    <w:p>
      <w:pPr>
        <w:pStyle w:val="PargrafodaLista"/>
        <w:spacing w:line="320" w:lineRule="exact"/>
        <w:ind w:left="851" w:hanging="851"/>
        <w:rPr>
          <w:rFonts w:ascii="Verdana" w:hAnsi="Verdana"/>
          <w:sz w:val="20"/>
          <w:szCs w:val="20"/>
        </w:rPr>
      </w:pPr>
    </w:p>
    <w:p>
      <w:pPr>
        <w:spacing w:after="0" w:line="320" w:lineRule="exact"/>
        <w:ind w:left="851" w:hanging="851"/>
        <w:jc w:val="both"/>
        <w:rPr>
          <w:rFonts w:ascii="Verdana" w:hAnsi="Verdana"/>
          <w:b/>
          <w:sz w:val="20"/>
          <w:szCs w:val="20"/>
        </w:rPr>
      </w:pPr>
      <w:bookmarkStart w:id="360" w:name="_DV_M408"/>
      <w:bookmarkStart w:id="361" w:name="_DV_M409"/>
      <w:bookmarkStart w:id="362" w:name="_Ref314580940"/>
      <w:bookmarkEnd w:id="360"/>
      <w:bookmarkEnd w:id="361"/>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2"/>
      <w:r>
        <w:rPr>
          <w:rFonts w:ascii="Verdana" w:hAnsi="Verdana"/>
          <w:sz w:val="20"/>
          <w:szCs w:val="20"/>
        </w:rPr>
        <w:t xml:space="preserve"> </w:t>
      </w:r>
    </w:p>
    <w:p>
      <w:pPr>
        <w:spacing w:after="0" w:line="320" w:lineRule="exact"/>
        <w:ind w:left="720" w:hanging="720"/>
        <w:jc w:val="both"/>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lastRenderedPageBreak/>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w:t>
      </w:r>
      <w:r>
        <w:rPr>
          <w:rFonts w:ascii="Verdana" w:hAnsi="Verdana"/>
          <w:lang w:val="pt-BR"/>
        </w:rPr>
        <w:lastRenderedPageBreak/>
        <w:t xml:space="preserve">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w:t>
      </w:r>
      <w:r>
        <w:rPr>
          <w:rFonts w:ascii="Verdana" w:hAnsi="Verdana"/>
          <w:lang w:val="pt-BR"/>
        </w:rPr>
        <w:lastRenderedPageBreak/>
        <w:t>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r>
        <w:rPr>
          <w:rFonts w:ascii="Verdana" w:hAnsi="Verdana"/>
          <w:i/>
          <w:lang w:val="pt-BR"/>
        </w:rPr>
        <w:t>slowdown</w:t>
      </w:r>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w:t>
      </w:r>
      <w:r>
        <w:rPr>
          <w:rFonts w:ascii="Verdana" w:hAnsi="Verdana"/>
          <w:lang w:val="pt-BR"/>
        </w:rPr>
        <w:lastRenderedPageBreak/>
        <w:t xml:space="preserve">legitimamente outorgados, estando os respectivos mandatos em pleno vigor e efeito;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63"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 xml:space="preserve">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w:t>
      </w:r>
      <w:r>
        <w:rPr>
          <w:rFonts w:ascii="Verdana" w:hAnsi="Verdana"/>
          <w:iCs/>
          <w:lang w:val="pt-BR"/>
        </w:rPr>
        <w:lastRenderedPageBreak/>
        <w:t>corretas e suficientes, permitindo aos investidores uma tomada de decisão fundamentada a respeito da Oferta</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3"/>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w:t>
      </w:r>
      <w:r>
        <w:rPr>
          <w:rFonts w:ascii="Verdana" w:hAnsi="Verdana"/>
          <w:lang w:val="pt-BR"/>
        </w:rPr>
        <w:lastRenderedPageBreak/>
        <w:t xml:space="preserve">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reputacional ou jurídica da Emissora em prejuízo dos Debenturistas;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Malha Sul foi devidamente enquadrado nos termos da Lei </w:t>
      </w:r>
      <w:r>
        <w:rPr>
          <w:rFonts w:ascii="Verdana" w:hAnsi="Verdana" w:cs="Tahoma"/>
          <w:lang w:val="pt-BR"/>
        </w:rPr>
        <w:t xml:space="preserve">nº </w:t>
      </w:r>
      <w:r>
        <w:rPr>
          <w:rFonts w:ascii="Verdana" w:hAnsi="Verdana"/>
          <w:lang w:val="pt-BR"/>
        </w:rPr>
        <w:t>12.431 e considerado como prioritário nos termos da Portaria Malha Sul;</w:t>
      </w:r>
    </w:p>
    <w:p>
      <w:pPr>
        <w:pStyle w:val="Level4"/>
        <w:numPr>
          <w:ilvl w:val="0"/>
          <w:numId w:val="0"/>
        </w:numPr>
        <w:tabs>
          <w:tab w:val="num" w:pos="1701"/>
        </w:tabs>
        <w:spacing w:after="0" w:line="320" w:lineRule="exact"/>
        <w:ind w:left="1701" w:hanging="850"/>
        <w:contextualSpacing/>
        <w:jc w:val="right"/>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 xml:space="preserve">[o Projeto Malha Central foi devidamente enquadrado nos termos da Lei </w:t>
      </w:r>
      <w:r>
        <w:rPr>
          <w:rFonts w:ascii="Verdana" w:hAnsi="Verdana" w:cs="Tahoma"/>
          <w:lang w:val="pt-BR"/>
        </w:rPr>
        <w:t xml:space="preserve">nº </w:t>
      </w:r>
      <w:r>
        <w:rPr>
          <w:rFonts w:ascii="Verdana" w:hAnsi="Verdana"/>
          <w:lang w:val="pt-BR"/>
        </w:rPr>
        <w:t xml:space="preserve">12.431 e considerado como prioritário nos termos da Portaria Malha Central]; </w:t>
      </w:r>
      <w:r>
        <w:rPr>
          <w:rFonts w:ascii="Verdana" w:hAnsi="Verdana"/>
          <w:b/>
          <w:highlight w:val="cyan"/>
          <w:lang w:val="pt-BR"/>
        </w:rPr>
        <w:t>[Nota Lefosse: pendente recebimento da Portaria Malha Central]</w:t>
      </w:r>
    </w:p>
    <w:p>
      <w:pPr>
        <w:pStyle w:val="Level4"/>
        <w:numPr>
          <w:ilvl w:val="0"/>
          <w:numId w:val="0"/>
        </w:numPr>
        <w:spacing w:after="0" w:line="320" w:lineRule="exact"/>
        <w:ind w:left="1701"/>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pPr>
        <w:spacing w:after="0" w:line="320" w:lineRule="exact"/>
        <w:ind w:left="1844"/>
        <w:jc w:val="both"/>
        <w:rPr>
          <w:rFonts w:ascii="Verdana" w:hAnsi="Verdana"/>
          <w:sz w:val="20"/>
          <w:szCs w:val="20"/>
        </w:rPr>
      </w:pPr>
    </w:p>
    <w:p>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20" w:lineRule="exact"/>
        <w:ind w:left="1844"/>
        <w:jc w:val="both"/>
        <w:rPr>
          <w:rFonts w:ascii="Verdana" w:hAnsi="Verdana"/>
          <w:sz w:val="20"/>
          <w:szCs w:val="20"/>
        </w:rPr>
      </w:pPr>
    </w:p>
    <w:p>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64" w:name="_DV_M415"/>
      <w:bookmarkStart w:id="365" w:name="_DV_M416"/>
      <w:bookmarkEnd w:id="364"/>
      <w:bookmarkEnd w:id="365"/>
      <w:r>
        <w:rPr>
          <w:rFonts w:ascii="Verdana" w:hAnsi="Verdana"/>
          <w:smallCaps/>
          <w:sz w:val="20"/>
          <w:szCs w:val="20"/>
          <w:u w:val="single"/>
        </w:rPr>
        <w:t>Comunicações</w:t>
      </w:r>
    </w:p>
    <w:p>
      <w:pPr>
        <w:spacing w:after="0" w:line="320" w:lineRule="exact"/>
        <w:ind w:left="709"/>
        <w:jc w:val="both"/>
        <w:rPr>
          <w:rFonts w:ascii="Verdana" w:hAnsi="Verdana"/>
          <w:smallCaps/>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66" w:name="_DV_M417"/>
      <w:bookmarkEnd w:id="366"/>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20" w:lineRule="exact"/>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bookmarkStart w:id="367" w:name="_DV_M418"/>
      <w:bookmarkEnd w:id="367"/>
      <w:r>
        <w:rPr>
          <w:rFonts w:ascii="Verdana" w:hAnsi="Verdana"/>
          <w:sz w:val="20"/>
          <w:szCs w:val="20"/>
        </w:rPr>
        <w:t xml:space="preserve">Para a Emissora: </w:t>
      </w:r>
    </w:p>
    <w:p>
      <w:pPr>
        <w:pStyle w:val="p3"/>
        <w:keepNext/>
        <w:keepLines/>
        <w:spacing w:line="320" w:lineRule="exact"/>
        <w:ind w:left="1701"/>
        <w:rPr>
          <w:rFonts w:ascii="Verdana" w:hAnsi="Verdana"/>
          <w:b/>
          <w:sz w:val="20"/>
        </w:rPr>
      </w:pPr>
      <w:bookmarkStart w:id="368" w:name="_DV_M419"/>
      <w:bookmarkEnd w:id="368"/>
      <w:r>
        <w:rPr>
          <w:rFonts w:ascii="Verdana" w:hAnsi="Verdana"/>
          <w:b/>
          <w:sz w:val="20"/>
        </w:rPr>
        <w:t>Rumo S.A.</w:t>
      </w:r>
    </w:p>
    <w:p>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pPr>
        <w:pStyle w:val="p3"/>
        <w:keepNext/>
        <w:keepLines/>
        <w:spacing w:line="320" w:lineRule="exact"/>
        <w:ind w:left="1701"/>
        <w:rPr>
          <w:rFonts w:ascii="Verdana" w:hAnsi="Verdana"/>
          <w:sz w:val="20"/>
        </w:rPr>
      </w:pPr>
      <w:r>
        <w:rPr>
          <w:rFonts w:ascii="Verdana" w:hAnsi="Verdana"/>
          <w:sz w:val="20"/>
        </w:rPr>
        <w:t>CEP 82920-030, Curitiba, PR</w:t>
      </w:r>
    </w:p>
    <w:p>
      <w:pPr>
        <w:pStyle w:val="p3"/>
        <w:keepNext/>
        <w:keepLines/>
        <w:spacing w:line="320" w:lineRule="exact"/>
        <w:ind w:left="1701"/>
        <w:rPr>
          <w:rFonts w:ascii="Verdana" w:hAnsi="Verdana"/>
          <w:sz w:val="20"/>
        </w:rPr>
      </w:pPr>
      <w:r>
        <w:rPr>
          <w:rFonts w:ascii="Verdana" w:hAnsi="Verdana"/>
          <w:sz w:val="20"/>
        </w:rPr>
        <w:t>At.: Gabriel Leite</w:t>
      </w:r>
    </w:p>
    <w:p>
      <w:pPr>
        <w:pStyle w:val="p3"/>
        <w:keepNext/>
        <w:keepLines/>
        <w:tabs>
          <w:tab w:val="left" w:pos="4395"/>
        </w:tabs>
        <w:spacing w:line="320" w:lineRule="exact"/>
        <w:ind w:left="1701"/>
        <w:rPr>
          <w:rFonts w:ascii="Verdana" w:hAnsi="Verdana"/>
          <w:sz w:val="20"/>
        </w:rPr>
      </w:pPr>
      <w:r>
        <w:rPr>
          <w:rFonts w:ascii="Verdana" w:hAnsi="Verdana"/>
          <w:sz w:val="20"/>
        </w:rPr>
        <w:t>Tel: (41) 2141-7520</w:t>
      </w:r>
    </w:p>
    <w:p>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w:t>
      </w:r>
      <w:r>
        <w:t>l</w:t>
      </w:r>
      <w:r>
        <w:rPr>
          <w:rFonts w:ascii="Verdana" w:hAnsi="Verdana"/>
          <w:sz w:val="20"/>
          <w:szCs w:val="20"/>
        </w:rPr>
        <w:t>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pPr>
        <w:keepNext/>
        <w:keepLines/>
        <w:spacing w:after="0" w:line="320" w:lineRule="exact"/>
        <w:ind w:left="1702"/>
        <w:jc w:val="both"/>
        <w:rPr>
          <w:rFonts w:ascii="Verdana" w:hAnsi="Verdana"/>
          <w:sz w:val="20"/>
          <w:szCs w:val="20"/>
        </w:rPr>
      </w:pPr>
      <w:bookmarkStart w:id="369" w:name="_DV_M424"/>
      <w:bookmarkEnd w:id="369"/>
    </w:p>
    <w:p>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pPr>
        <w:pStyle w:val="Body2"/>
        <w:spacing w:after="0" w:line="320" w:lineRule="exact"/>
        <w:ind w:left="1701" w:right="7"/>
        <w:rPr>
          <w:rFonts w:ascii="Verdana" w:hAnsi="Verdana"/>
          <w:b/>
          <w:bCs/>
          <w:szCs w:val="20"/>
        </w:rPr>
      </w:pPr>
      <w:bookmarkStart w:id="370" w:name="_DV_M425"/>
      <w:bookmarkStart w:id="371" w:name="_DV_M426"/>
      <w:bookmarkStart w:id="372" w:name="_DV_M427"/>
      <w:bookmarkEnd w:id="370"/>
      <w:bookmarkEnd w:id="371"/>
      <w:bookmarkEnd w:id="372"/>
      <w:r>
        <w:rPr>
          <w:rFonts w:ascii="Verdana" w:hAnsi="Verdana"/>
          <w:b/>
          <w:bCs/>
          <w:szCs w:val="20"/>
        </w:rPr>
        <w:t>Simplific Pavarini Distribuidora de Títulos e Valores Mobiliários Ltda.</w:t>
      </w:r>
    </w:p>
    <w:p>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lastRenderedPageBreak/>
        <w:t>CEP 04534-002 - São Paulo – SP</w:t>
      </w:r>
    </w:p>
    <w:p>
      <w:pPr>
        <w:pStyle w:val="Body2"/>
        <w:spacing w:after="0" w:line="320" w:lineRule="exact"/>
        <w:ind w:left="1701" w:right="7"/>
        <w:rPr>
          <w:rFonts w:ascii="Verdana" w:hAnsi="Verdana"/>
          <w:szCs w:val="20"/>
        </w:rPr>
      </w:pPr>
      <w:r>
        <w:rPr>
          <w:rFonts w:ascii="Verdana" w:hAnsi="Verdana"/>
          <w:szCs w:val="20"/>
        </w:rPr>
        <w:t>At.: Matheus Gomes Faria / Pedro de Oliveira</w:t>
      </w:r>
      <w:r>
        <w:rPr>
          <w:rFonts w:ascii="Verdana" w:hAnsi="Verdana"/>
          <w:szCs w:val="20"/>
        </w:rPr>
        <w:tab/>
      </w:r>
    </w:p>
    <w:p>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20" w:lineRule="exact"/>
        <w:ind w:left="1701"/>
        <w:jc w:val="left"/>
        <w:rPr>
          <w:rFonts w:ascii="Verdana" w:hAnsi="Verdana"/>
          <w:sz w:val="20"/>
        </w:rPr>
      </w:pPr>
    </w:p>
    <w:p>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pPr>
        <w:pStyle w:val="Body2"/>
        <w:keepNext/>
        <w:keepLines/>
        <w:spacing w:after="0" w:line="320" w:lineRule="exact"/>
        <w:ind w:left="1701"/>
        <w:rPr>
          <w:rFonts w:ascii="Verdana" w:hAnsi="Verdana"/>
          <w:bCs/>
          <w:szCs w:val="20"/>
        </w:rPr>
      </w:pPr>
      <w:r>
        <w:rPr>
          <w:rFonts w:ascii="Verdana" w:hAnsi="Verdana"/>
          <w:bCs/>
          <w:szCs w:val="20"/>
        </w:rPr>
        <w:t>Telefone: (11) 3684-9444</w:t>
      </w:r>
    </w:p>
    <w:p>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pPr>
        <w:keepNext/>
        <w:keepLines/>
        <w:spacing w:after="0" w:line="320" w:lineRule="exact"/>
        <w:ind w:left="1702"/>
        <w:jc w:val="both"/>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20" w:lineRule="exact"/>
        <w:ind w:left="1680"/>
        <w:rPr>
          <w:rFonts w:ascii="Verdana" w:hAnsi="Verdana"/>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3" w:name="_DV_M428"/>
      <w:bookmarkEnd w:id="373"/>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20" w:lineRule="exact"/>
        <w:ind w:left="709"/>
        <w:jc w:val="both"/>
        <w:rPr>
          <w:rFonts w:ascii="Verdana" w:hAnsi="Verdana"/>
          <w:sz w:val="20"/>
          <w:szCs w:val="20"/>
        </w:rPr>
      </w:pPr>
    </w:p>
    <w:p>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Disposições Gerais</w:t>
      </w:r>
    </w:p>
    <w:p>
      <w:pPr>
        <w:keepNext/>
        <w:keepLines/>
        <w:spacing w:after="0" w:line="320" w:lineRule="exact"/>
        <w:ind w:left="709"/>
        <w:jc w:val="both"/>
        <w:rPr>
          <w:rFonts w:ascii="Verdana" w:hAnsi="Verdana"/>
          <w:smallCaps/>
          <w:sz w:val="20"/>
          <w:szCs w:val="20"/>
          <w:u w:val="single"/>
        </w:rPr>
      </w:pPr>
    </w:p>
    <w:p>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74" w:name="_DV_M429"/>
      <w:bookmarkEnd w:id="374"/>
      <w:r>
        <w:rPr>
          <w:rFonts w:ascii="Verdana" w:hAnsi="Verdana"/>
          <w:i/>
          <w:sz w:val="20"/>
          <w:szCs w:val="20"/>
          <w:u w:val="single"/>
        </w:rPr>
        <w:t>Renúncia</w:t>
      </w:r>
      <w:r>
        <w:rPr>
          <w:rFonts w:ascii="Verdana" w:hAnsi="Verdana"/>
          <w:sz w:val="20"/>
          <w:szCs w:val="20"/>
        </w:rPr>
        <w:t xml:space="preserve">. </w:t>
      </w:r>
      <w:bookmarkStart w:id="375" w:name="_DV_M430"/>
      <w:bookmarkEnd w:id="375"/>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w:t>
      </w:r>
      <w:r>
        <w:rPr>
          <w:rFonts w:ascii="Verdana" w:hAnsi="Verdana"/>
          <w:sz w:val="20"/>
          <w:szCs w:val="20"/>
        </w:rPr>
        <w:lastRenderedPageBreak/>
        <w:t xml:space="preserve">aritmético, (ii) alterações a quaisquer documentos da Emissão já expressamente permitidas nos termos do(s) respectivo(s) documento(s) da Emissão, (iii) alterações a quaisquer documentos relativos à Oferta em razão de exigências formuladas pela CVM, pela B3, pela B3 – Segmento Cetip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na B3 – Segmento Cetip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tabs>
          <w:tab w:val="num" w:pos="851"/>
        </w:tabs>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w:t>
      </w:r>
      <w:r>
        <w:rPr>
          <w:rFonts w:ascii="Verdana" w:hAnsi="Verdana"/>
          <w:sz w:val="20"/>
          <w:szCs w:val="20"/>
        </w:rPr>
        <w:lastRenderedPageBreak/>
        <w:t>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76" w:name="_DV_M431"/>
      <w:bookmarkEnd w:id="376"/>
      <w:r>
        <w:rPr>
          <w:rFonts w:ascii="Verdana" w:hAnsi="Verdana"/>
          <w:smallCaps/>
          <w:sz w:val="20"/>
          <w:szCs w:val="20"/>
          <w:u w:val="single"/>
        </w:rPr>
        <w:t>Lei Aplicável</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20" w:lineRule="exact"/>
        <w:jc w:val="both"/>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(ASSINATURAS SE ENCONTRAM NAS 2 (DUAS) PÁGINAS SEGUINTES)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sectPr>
          <w:footerReference w:type="default" r:id="rId17"/>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pPr>
        <w:spacing w:after="0" w:line="320" w:lineRule="exact"/>
        <w:jc w:val="both"/>
        <w:rPr>
          <w:rFonts w:ascii="Verdana" w:hAnsi="Verdana"/>
          <w:bCs/>
          <w:i/>
          <w:iCs/>
          <w:w w:val="0"/>
          <w:sz w:val="20"/>
          <w:szCs w:val="20"/>
        </w:rPr>
      </w:pPr>
      <w:r>
        <w:rPr>
          <w:rFonts w:ascii="Verdana" w:hAnsi="Verdana"/>
          <w:sz w:val="20"/>
          <w:szCs w:val="20"/>
        </w:rPr>
        <w:br w:type="page"/>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20" w:lineRule="exact"/>
              <w:rPr>
                <w:rFonts w:ascii="Verdana" w:hAnsi="Verdana"/>
                <w:sz w:val="20"/>
                <w:szCs w:val="20"/>
              </w:rPr>
            </w:pPr>
          </w:p>
        </w:tc>
      </w:tr>
    </w:tbl>
    <w:p>
      <w:pPr>
        <w:autoSpaceDE w:val="0"/>
        <w:autoSpaceDN w:val="0"/>
        <w:adjustRightInd w:val="0"/>
        <w:spacing w:after="0" w:line="320" w:lineRule="exact"/>
        <w:jc w:val="both"/>
        <w:rPr>
          <w:rFonts w:ascii="Verdana" w:hAnsi="Verdana"/>
          <w:bCs/>
          <w:i/>
          <w:smallCaps/>
          <w:sz w:val="20"/>
          <w:szCs w:val="20"/>
        </w:rPr>
      </w:pPr>
      <w:bookmarkStart w:id="377" w:name="_DV_M443"/>
      <w:bookmarkStart w:id="378" w:name="_DV_M444"/>
      <w:bookmarkStart w:id="379" w:name="_DV_M445"/>
      <w:bookmarkStart w:id="380" w:name="_DV_M447"/>
      <w:bookmarkStart w:id="381" w:name="_DV_M448"/>
      <w:bookmarkStart w:id="382" w:name="_DV_M449"/>
      <w:bookmarkEnd w:id="377"/>
      <w:bookmarkEnd w:id="378"/>
      <w:bookmarkEnd w:id="379"/>
      <w:bookmarkEnd w:id="380"/>
      <w:bookmarkEnd w:id="381"/>
      <w:bookmarkEnd w:id="382"/>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pPr>
        <w:spacing w:after="0" w:line="320" w:lineRule="exact"/>
        <w:rPr>
          <w:rFonts w:ascii="Verdana" w:hAnsi="Verdana"/>
          <w:sz w:val="20"/>
          <w:szCs w:val="20"/>
        </w:rPr>
      </w:pPr>
    </w:p>
    <w:p>
      <w:pPr>
        <w:spacing w:line="320" w:lineRule="exact"/>
        <w:rPr>
          <w:rFonts w:ascii="Verdana" w:hAnsi="Verdana"/>
          <w:sz w:val="20"/>
          <w:szCs w:val="20"/>
        </w:rPr>
      </w:pPr>
      <w:r>
        <w:rPr>
          <w:rFonts w:ascii="Verdana" w:hAnsi="Verdana"/>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SUL</w:t>
      </w:r>
    </w:p>
    <w:p>
      <w:pPr>
        <w:rPr>
          <w:rFonts w:ascii="Verdana" w:hAnsi="Verdana" w:cs="Arial"/>
          <w:b/>
          <w:sz w:val="20"/>
          <w:szCs w:val="20"/>
        </w:rPr>
      </w:pPr>
      <w:r>
        <w:rPr>
          <w:rFonts w:ascii="Verdana" w:hAnsi="Verdana" w:cs="Arial"/>
          <w:b/>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II</w:t>
      </w:r>
    </w:p>
    <w:p>
      <w:pPr>
        <w:tabs>
          <w:tab w:val="left" w:pos="2366"/>
        </w:tabs>
        <w:spacing w:after="0" w:line="320" w:lineRule="exact"/>
        <w:jc w:val="center"/>
        <w:rPr>
          <w:rFonts w:ascii="Verdana" w:hAnsi="Verdana" w:cs="Arial"/>
          <w:b/>
          <w:sz w:val="20"/>
          <w:szCs w:val="20"/>
        </w:rPr>
      </w:pP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CENTRAL</w:t>
      </w:r>
    </w:p>
    <w:p>
      <w:pPr>
        <w:spacing w:after="0" w:line="320" w:lineRule="exact"/>
        <w:rPr>
          <w:rFonts w:ascii="Verdana" w:hAnsi="Verdana"/>
          <w:sz w:val="20"/>
          <w:szCs w:val="20"/>
        </w:rPr>
      </w:pPr>
    </w:p>
    <w:sectPr>
      <w:headerReference w:type="default" r:id="rId18"/>
      <w:footerReference w:type="default" r:id="rId19"/>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- 34456730v17 - 599032.447248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- 34456730v15 - 599032.447248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2</w:t>
        </w:r>
        <w:r>
          <w:rPr>
            <w:rFonts w:ascii="Garamond" w:hAnsi="Garamond"/>
          </w:rPr>
          <w:fldChar w:fldCharType="end"/>
        </w:r>
      </w:p>
    </w:sdtContent>
  </w:sdt>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szCs w:val="20"/>
      </w:rPr>
    </w:pPr>
    <w:r>
      <w:rPr>
        <w:rFonts w:ascii="Verdana" w:hAnsi="Verdana"/>
        <w:b/>
        <w:sz w:val="20"/>
        <w:szCs w:val="20"/>
      </w:rPr>
      <w:t>M I N U T A</w:t>
    </w:r>
  </w:p>
  <w:p>
    <w:pPr>
      <w:pStyle w:val="Cabealho"/>
      <w:jc w:val="right"/>
      <w:rPr>
        <w:rFonts w:ascii="Verdana" w:hAnsi="Verdana"/>
        <w:sz w:val="20"/>
        <w:szCs w:val="20"/>
      </w:rPr>
    </w:pPr>
    <w:r>
      <w:rPr>
        <w:rFonts w:ascii="Verdana" w:hAnsi="Verdana"/>
        <w:sz w:val="20"/>
        <w:szCs w:val="20"/>
      </w:rPr>
      <w:t>(2.9.2019)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A216-BA93-4807-BCBF-F47FFCC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23496</Words>
  <Characters>126882</Characters>
  <Application>Microsoft Office Word</Application>
  <DocSecurity>0</DocSecurity>
  <Lines>1057</Lines>
  <Paragraphs>300</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150078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Pinheiro Neto Advogados</cp:lastModifiedBy>
  <cp:revision>3</cp:revision>
  <cp:lastPrinted>2017-02-20T11:52:00Z</cp:lastPrinted>
  <dcterms:created xsi:type="dcterms:W3CDTF">2019-09-03T00:09:00Z</dcterms:created>
  <dcterms:modified xsi:type="dcterms:W3CDTF">2019-09-03T00:09:00Z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- 34456730v17 - 599032.447248</vt:lpwstr>
  </property>
</Properties>
</file>