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double" w:sz="4" w:space="1" w:color="auto"/>
        </w:pBdr>
        <w:spacing w:after="0" w:line="320" w:lineRule="exact"/>
        <w:jc w:val="center"/>
        <w:rPr>
          <w:rFonts w:ascii="Verdana" w:hAnsi="Verdana"/>
          <w:sz w:val="20"/>
          <w:szCs w:val="20"/>
        </w:rPr>
      </w:pPr>
    </w:p>
    <w:p>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pStyle w:val="c3"/>
        <w:spacing w:line="320" w:lineRule="exact"/>
        <w:rPr>
          <w:rFonts w:ascii="Verdana" w:hAnsi="Verdana"/>
          <w:sz w:val="20"/>
          <w:szCs w:val="20"/>
        </w:rPr>
      </w:pPr>
      <w:proofErr w:type="gramStart"/>
      <w:r>
        <w:rPr>
          <w:rFonts w:ascii="Verdana" w:hAnsi="Verdana"/>
          <w:sz w:val="20"/>
          <w:szCs w:val="20"/>
        </w:rPr>
        <w:t>entre</w:t>
      </w:r>
      <w:proofErr w:type="gramEnd"/>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20" w:lineRule="exact"/>
        <w:jc w:val="center"/>
        <w:rPr>
          <w:rFonts w:ascii="Verdana" w:hAnsi="Verdana"/>
          <w:i/>
          <w:iCs/>
          <w:sz w:val="20"/>
          <w:szCs w:val="20"/>
        </w:rPr>
      </w:pPr>
      <w:proofErr w:type="gramStart"/>
      <w:r>
        <w:rPr>
          <w:rFonts w:ascii="Verdana" w:hAnsi="Verdana"/>
          <w:i/>
          <w:iCs/>
          <w:sz w:val="20"/>
          <w:szCs w:val="20"/>
        </w:rPr>
        <w:t>como</w:t>
      </w:r>
      <w:proofErr w:type="gramEnd"/>
      <w:r>
        <w:rPr>
          <w:rFonts w:ascii="Verdana" w:hAnsi="Verdana"/>
          <w:i/>
          <w:iCs/>
          <w:sz w:val="20"/>
          <w:szCs w:val="20"/>
        </w:rPr>
        <w:t xml:space="preserve"> Emissora</w:t>
      </w:r>
    </w:p>
    <w:p>
      <w:pPr>
        <w:spacing w:after="0" w:line="320" w:lineRule="exact"/>
        <w:jc w:val="center"/>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roofErr w:type="gramStart"/>
      <w:r>
        <w:rPr>
          <w:rFonts w:ascii="Verdana" w:hAnsi="Verdana"/>
          <w:sz w:val="20"/>
          <w:szCs w:val="20"/>
        </w:rPr>
        <w:t>e</w:t>
      </w:r>
      <w:proofErr w:type="gramEnd"/>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20" w:lineRule="exact"/>
        <w:jc w:val="center"/>
        <w:rPr>
          <w:rFonts w:ascii="Verdana" w:hAnsi="Verdana"/>
          <w:sz w:val="20"/>
          <w:szCs w:val="20"/>
        </w:rPr>
      </w:pPr>
      <w:proofErr w:type="gramStart"/>
      <w:r>
        <w:rPr>
          <w:rFonts w:ascii="Verdana" w:hAnsi="Verdana"/>
          <w:i/>
          <w:iCs/>
          <w:sz w:val="20"/>
          <w:szCs w:val="20"/>
        </w:rPr>
        <w:t>como</w:t>
      </w:r>
      <w:proofErr w:type="gramEnd"/>
      <w:r>
        <w:rPr>
          <w:rFonts w:ascii="Verdana" w:hAnsi="Verdana"/>
          <w:i/>
          <w:iCs/>
          <w:sz w:val="20"/>
          <w:szCs w:val="20"/>
        </w:rPr>
        <w:t xml:space="preserve"> Agente Fiduciário, representando a comunhão de Debenturistas</w:t>
      </w:r>
    </w:p>
    <w:p>
      <w:pPr>
        <w:spacing w:after="0" w:line="320" w:lineRule="exact"/>
        <w:jc w:val="center"/>
        <w:rPr>
          <w:rFonts w:ascii="Verdana" w:hAnsi="Verdana"/>
          <w:sz w:val="20"/>
          <w:szCs w:val="20"/>
        </w:rPr>
      </w:pPr>
    </w:p>
    <w:p>
      <w:pPr>
        <w:spacing w:after="0" w:line="320" w:lineRule="exact"/>
        <w:jc w:val="center"/>
        <w:rPr>
          <w:rFonts w:ascii="Verdana" w:hAnsi="Verdana"/>
          <w:i/>
          <w:iCs/>
          <w:sz w:val="20"/>
          <w:szCs w:val="20"/>
        </w:rPr>
      </w:pPr>
    </w:p>
    <w:p>
      <w:pPr>
        <w:spacing w:after="0" w:line="320" w:lineRule="exact"/>
        <w:jc w:val="center"/>
        <w:rPr>
          <w:rFonts w:ascii="Verdana" w:hAnsi="Verdana"/>
          <w:i/>
          <w:iCs/>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________________________</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Datado de</w:t>
      </w:r>
    </w:p>
    <w:p>
      <w:pPr>
        <w:spacing w:after="0" w:line="320" w:lineRule="exact"/>
        <w:jc w:val="center"/>
        <w:rPr>
          <w:rFonts w:ascii="Verdana" w:hAnsi="Verdana"/>
          <w:sz w:val="20"/>
          <w:szCs w:val="20"/>
        </w:rPr>
      </w:pPr>
      <w:r>
        <w:rPr>
          <w:rFonts w:ascii="Verdana" w:hAnsi="Verdana"/>
          <w:sz w:val="20"/>
          <w:szCs w:val="20"/>
        </w:rPr>
        <w:t>12 de setembro de 2019</w:t>
      </w:r>
    </w:p>
    <w:p>
      <w:pPr>
        <w:spacing w:after="0" w:line="32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20" w:lineRule="exact"/>
        <w:jc w:val="center"/>
        <w:rPr>
          <w:rFonts w:ascii="Verdana" w:hAnsi="Verdana"/>
          <w:sz w:val="20"/>
          <w:szCs w:val="20"/>
        </w:rPr>
      </w:pPr>
    </w:p>
    <w:p>
      <w:pPr>
        <w:pBdr>
          <w:bottom w:val="double" w:sz="6" w:space="1" w:color="auto"/>
        </w:pBdr>
        <w:spacing w:after="0" w:line="320" w:lineRule="exact"/>
        <w:jc w:val="center"/>
        <w:rPr>
          <w:rFonts w:ascii="Verdana" w:hAnsi="Verdana"/>
          <w:smallCaps/>
          <w:sz w:val="20"/>
          <w:szCs w:val="20"/>
        </w:rPr>
      </w:pPr>
    </w:p>
    <w:p>
      <w:pPr>
        <w:spacing w:after="0" w:line="320" w:lineRule="exact"/>
        <w:rPr>
          <w:rFonts w:ascii="Verdana" w:hAnsi="Verdana"/>
          <w:b/>
          <w:bCs/>
          <w:sz w:val="20"/>
          <w:szCs w:val="20"/>
        </w:rPr>
        <w:sectPr>
          <w:headerReference w:type="even" r:id="rId8"/>
          <w:headerReference w:type="default" r:id="rId9"/>
          <w:footerReference w:type="even" r:id="rId10"/>
          <w:footerReference w:type="default" r:id="rId11"/>
          <w:headerReference w:type="first" r:id="rId12"/>
          <w:footerReference w:type="first" r:id="rId13"/>
          <w:pgSz w:w="11906" w:h="16838" w:code="9"/>
          <w:pgMar w:top="1537" w:right="1418" w:bottom="2835" w:left="1701"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20" w:lineRule="exact"/>
        <w:jc w:val="both"/>
        <w:rPr>
          <w:rFonts w:ascii="Verdana" w:hAnsi="Verdana"/>
          <w:sz w:val="20"/>
          <w:szCs w:val="20"/>
        </w:rPr>
      </w:pPr>
    </w:p>
    <w:p>
      <w:pPr>
        <w:spacing w:after="0" w:line="320" w:lineRule="exact"/>
        <w:jc w:val="both"/>
        <w:rPr>
          <w:rFonts w:ascii="Verdana" w:hAnsi="Verdana"/>
          <w:sz w:val="20"/>
          <w:szCs w:val="20"/>
        </w:rPr>
      </w:pPr>
      <w:r>
        <w:rPr>
          <w:rFonts w:ascii="Verdana" w:hAnsi="Verdana"/>
          <w:sz w:val="20"/>
          <w:szCs w:val="20"/>
        </w:rPr>
        <w:t xml:space="preserve">Pelo presente instrumento particular, </w:t>
      </w:r>
    </w:p>
    <w:p>
      <w:pPr>
        <w:spacing w:after="0" w:line="320" w:lineRule="exact"/>
        <w:jc w:val="both"/>
        <w:rPr>
          <w:rFonts w:ascii="Verdana" w:hAnsi="Verdana"/>
          <w:sz w:val="20"/>
          <w:szCs w:val="20"/>
        </w:rPr>
      </w:pPr>
    </w:p>
    <w:p>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proofErr w:type="gramStart"/>
      <w:r>
        <w:rPr>
          <w:rFonts w:ascii="Verdana" w:hAnsi="Verdana"/>
          <w:sz w:val="20"/>
          <w:szCs w:val="20"/>
        </w:rPr>
        <w:t>de</w:t>
      </w:r>
      <w:proofErr w:type="gramEnd"/>
      <w:r>
        <w:rPr>
          <w:rFonts w:ascii="Verdana" w:hAnsi="Verdana"/>
          <w:sz w:val="20"/>
          <w:szCs w:val="20"/>
        </w:rPr>
        <w:t xml:space="preserve"> um lado, na qualidade de emissora das Debêntures (conforme definido abaixo):</w:t>
      </w:r>
    </w:p>
    <w:p>
      <w:pPr>
        <w:spacing w:after="0" w:line="320" w:lineRule="exact"/>
        <w:ind w:left="720"/>
        <w:jc w:val="both"/>
        <w:rPr>
          <w:rFonts w:ascii="Verdana" w:hAnsi="Verdana"/>
          <w:sz w:val="20"/>
          <w:szCs w:val="20"/>
        </w:rPr>
      </w:pPr>
    </w:p>
    <w:p>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20" w:lineRule="exact"/>
        <w:jc w:val="both"/>
        <w:rPr>
          <w:rFonts w:ascii="Verdana" w:hAnsi="Verdana"/>
          <w:sz w:val="20"/>
          <w:szCs w:val="20"/>
        </w:rPr>
      </w:pPr>
    </w:p>
    <w:p>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proofErr w:type="gramStart"/>
      <w:r>
        <w:rPr>
          <w:rFonts w:ascii="Verdana" w:hAnsi="Verdana"/>
          <w:sz w:val="20"/>
          <w:szCs w:val="20"/>
        </w:rPr>
        <w:t>de</w:t>
      </w:r>
      <w:proofErr w:type="gramEnd"/>
      <w:r>
        <w:rPr>
          <w:rFonts w:ascii="Verdana" w:hAnsi="Verdana"/>
          <w:sz w:val="20"/>
          <w:szCs w:val="20"/>
        </w:rPr>
        <w:t xml:space="preserv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pPr>
        <w:spacing w:after="0" w:line="320" w:lineRule="exact"/>
        <w:jc w:val="both"/>
        <w:rPr>
          <w:rFonts w:ascii="Verdana" w:hAnsi="Verdana"/>
          <w:b/>
          <w:sz w:val="20"/>
          <w:szCs w:val="20"/>
        </w:rPr>
      </w:pPr>
    </w:p>
    <w:p>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20" w:lineRule="exact"/>
        <w:jc w:val="both"/>
        <w:rPr>
          <w:rFonts w:ascii="Verdana" w:hAnsi="Verdana"/>
          <w:sz w:val="20"/>
          <w:szCs w:val="20"/>
        </w:rPr>
      </w:pPr>
    </w:p>
    <w:p>
      <w:pPr>
        <w:spacing w:after="0" w:line="320" w:lineRule="exact"/>
        <w:jc w:val="both"/>
        <w:rPr>
          <w:rFonts w:ascii="Verdana" w:hAnsi="Verdana"/>
          <w:b/>
          <w:bCs/>
          <w:sz w:val="20"/>
          <w:szCs w:val="20"/>
        </w:rPr>
      </w:pPr>
      <w:proofErr w:type="gramStart"/>
      <w:r>
        <w:rPr>
          <w:rFonts w:ascii="Verdana" w:hAnsi="Verdana"/>
          <w:sz w:val="20"/>
          <w:szCs w:val="20"/>
        </w:rPr>
        <w:t>sendo</w:t>
      </w:r>
      <w:proofErr w:type="gramEnd"/>
      <w:r>
        <w:rPr>
          <w:rFonts w:ascii="Verdana" w:hAnsi="Verdana"/>
          <w:sz w:val="20"/>
          <w:szCs w:val="20"/>
        </w:rPr>
        <w:t xml:space="preserve">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20" w:lineRule="exact"/>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de comum acordo e na melhor forma de direito, firmar a presente “Escritura Particular da Décima Terceira Emissão de Debêntures Simples, Não </w:t>
      </w:r>
      <w:r>
        <w:rPr>
          <w:rFonts w:ascii="Verdana" w:hAnsi="Verdana"/>
          <w:sz w:val="20"/>
          <w:szCs w:val="20"/>
        </w:rPr>
        <w:lastRenderedPageBreak/>
        <w:t>Conversíveis em Ações, da Espécie Quirografária, em Até Duas Séries, para Distribuição Pública, da Rumo S.A.” (“</w:t>
      </w:r>
      <w:r>
        <w:rPr>
          <w:rFonts w:ascii="Verdana" w:hAnsi="Verdana"/>
          <w:sz w:val="20"/>
          <w:szCs w:val="20"/>
          <w:u w:val="single"/>
        </w:rPr>
        <w:t>Escritura</w:t>
      </w:r>
      <w:r>
        <w:rPr>
          <w:rFonts w:ascii="Verdana" w:hAnsi="Verdana"/>
          <w:sz w:val="20"/>
          <w:szCs w:val="20"/>
        </w:rPr>
        <w:t xml:space="preserve">”), mediante as cláusulas e condições a seguir. </w:t>
      </w:r>
    </w:p>
    <w:p>
      <w:pPr>
        <w:pStyle w:val="PargrafodaLista2"/>
        <w:spacing w:line="320" w:lineRule="exact"/>
        <w:ind w:left="0"/>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pPr>
        <w:pStyle w:val="PargrafodaLista2"/>
        <w:spacing w:line="320" w:lineRule="exact"/>
        <w:ind w:left="0"/>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89" w:name="_Hlk467837"/>
      <w:r>
        <w:rPr>
          <w:rFonts w:ascii="Verdana" w:hAnsi="Verdana"/>
          <w:sz w:val="20"/>
          <w:szCs w:val="20"/>
        </w:rPr>
        <w:t xml:space="preserve">(i) com relação a qualquer obrigação pecuniária realizada por meio da B3 – Segmento </w:t>
      </w:r>
      <w:proofErr w:type="spellStart"/>
      <w:r>
        <w:rPr>
          <w:rFonts w:ascii="Verdana" w:hAnsi="Verdana"/>
          <w:sz w:val="20"/>
          <w:szCs w:val="20"/>
        </w:rPr>
        <w:t>Cetip</w:t>
      </w:r>
      <w:proofErr w:type="spellEnd"/>
      <w:r>
        <w:rPr>
          <w:rFonts w:ascii="Verdana" w:hAnsi="Verdana"/>
          <w:sz w:val="20"/>
          <w:szCs w:val="20"/>
        </w:rPr>
        <w:t xml:space="preserve"> UTVM (conforme abaixo definida), inclusive para fins de cálculo, qualquer dia que não seja sábado, domingo ou feriado declarado nacional; (</w:t>
      </w:r>
      <w:proofErr w:type="spellStart"/>
      <w:r>
        <w:rPr>
          <w:rFonts w:ascii="Verdana" w:hAnsi="Verdana"/>
          <w:sz w:val="20"/>
          <w:szCs w:val="20"/>
        </w:rPr>
        <w:t>ii</w:t>
      </w:r>
      <w:proofErr w:type="spellEnd"/>
      <w:r>
        <w:rPr>
          <w:rFonts w:ascii="Verdana" w:hAnsi="Verdana"/>
          <w:sz w:val="20"/>
          <w:szCs w:val="20"/>
        </w:rPr>
        <w:t xml:space="preserve">) com relação a qualquer obrigação pecuniária que não seja realizada por meio da B3 – Segmento </w:t>
      </w:r>
      <w:proofErr w:type="spellStart"/>
      <w:r>
        <w:rPr>
          <w:rFonts w:ascii="Verdana" w:hAnsi="Verdana"/>
          <w:sz w:val="20"/>
          <w:szCs w:val="20"/>
        </w:rPr>
        <w:t>Cetip</w:t>
      </w:r>
      <w:proofErr w:type="spellEnd"/>
      <w:r>
        <w:rPr>
          <w:rFonts w:ascii="Verdana" w:hAnsi="Verdana"/>
          <w:sz w:val="20"/>
          <w:szCs w:val="20"/>
        </w:rPr>
        <w:t xml:space="preserve"> UTVM e/ou da B3, conforme o caso, qualquer dia no qual haja expediente nos bancos comerciais na Cidade de São Paulo, Estado de São Paulo, e na Cidade de Curitiba, Estado do Paraná, e que não seja sábado ou domingo; e (</w:t>
      </w:r>
      <w:proofErr w:type="spellStart"/>
      <w:r>
        <w:rPr>
          <w:rFonts w:ascii="Verdana" w:hAnsi="Verdana"/>
          <w:sz w:val="20"/>
          <w:szCs w:val="20"/>
        </w:rPr>
        <w:t>iii</w:t>
      </w:r>
      <w:proofErr w:type="spellEnd"/>
      <w:r>
        <w:rPr>
          <w:rFonts w:ascii="Verdana" w:hAnsi="Verdana"/>
          <w:sz w:val="20"/>
          <w:szCs w:val="20"/>
        </w:rPr>
        <w:t>) com relação a qualquer obrigação não pecuniária prevista nesta Escritura, qualquer dia que não seja sábado ou domingo ou feriado na Cidade de Osasco, Estado de São Paulo e na Cidade de Curitiba, Estado do Paraná</w:t>
      </w:r>
      <w:bookmarkEnd w:id="89"/>
      <w:r>
        <w:rPr>
          <w:rFonts w:ascii="Verdana" w:hAnsi="Verdana"/>
          <w:sz w:val="20"/>
          <w:szCs w:val="20"/>
        </w:rPr>
        <w:t>.</w:t>
      </w:r>
    </w:p>
    <w:p>
      <w:pPr>
        <w:spacing w:after="0" w:line="320" w:lineRule="exact"/>
        <w:ind w:left="709" w:hanging="709"/>
        <w:jc w:val="both"/>
        <w:rPr>
          <w:rFonts w:ascii="Verdana" w:hAnsi="Verdana"/>
          <w:sz w:val="20"/>
          <w:szCs w:val="20"/>
        </w:rPr>
      </w:pPr>
    </w:p>
    <w:p>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0" w:name="_Toc499990313"/>
      <w:r>
        <w:rPr>
          <w:rFonts w:ascii="Verdana" w:hAnsi="Verdana"/>
          <w:smallCaps/>
          <w:sz w:val="20"/>
          <w:szCs w:val="20"/>
          <w:u w:val="single"/>
        </w:rPr>
        <w:t>Autorizações</w:t>
      </w:r>
      <w:bookmarkEnd w:id="90"/>
    </w:p>
    <w:p>
      <w:pPr>
        <w:spacing w:after="0" w:line="320" w:lineRule="exact"/>
        <w:ind w:left="709" w:hanging="709"/>
        <w:jc w:val="both"/>
        <w:rPr>
          <w:rFonts w:ascii="Verdana" w:hAnsi="Verdana"/>
          <w:smallCaps/>
          <w:sz w:val="20"/>
          <w:szCs w:val="20"/>
          <w:u w:val="single"/>
        </w:rPr>
      </w:pPr>
    </w:p>
    <w:p>
      <w:pPr>
        <w:pStyle w:val="Saudao"/>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12 de setembro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pPr>
        <w:pStyle w:val="Saudao"/>
        <w:tabs>
          <w:tab w:val="left" w:pos="6120"/>
        </w:tabs>
        <w:spacing w:line="320" w:lineRule="exact"/>
        <w:ind w:left="709" w:hanging="709"/>
        <w:rPr>
          <w:rFonts w:ascii="Verdana" w:hAnsi="Verdana"/>
          <w:sz w:val="20"/>
          <w:szCs w:val="20"/>
          <w:lang w:val="pt-BR"/>
        </w:rPr>
      </w:pPr>
    </w:p>
    <w:p>
      <w:pPr>
        <w:pStyle w:val="Saudao"/>
        <w:numPr>
          <w:ilvl w:val="1"/>
          <w:numId w:val="4"/>
        </w:numPr>
        <w:spacing w:line="320" w:lineRule="exact"/>
        <w:ind w:left="851" w:hanging="851"/>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w:t>
      </w:r>
      <w:proofErr w:type="spellStart"/>
      <w:r>
        <w:rPr>
          <w:rFonts w:ascii="Verdana" w:hAnsi="Verdana"/>
          <w:sz w:val="20"/>
          <w:szCs w:val="20"/>
          <w:lang w:val="pt-BR"/>
        </w:rPr>
        <w:t>ii</w:t>
      </w:r>
      <w:proofErr w:type="spellEnd"/>
      <w:r>
        <w:rPr>
          <w:rFonts w:ascii="Verdana" w:hAnsi="Verdana"/>
          <w:sz w:val="20"/>
          <w:szCs w:val="20"/>
          <w:lang w:val="pt-BR"/>
        </w:rPr>
        <w:t xml:space="preserve">) </w:t>
      </w:r>
      <w:r>
        <w:rPr>
          <w:rFonts w:ascii="Verdana" w:hAnsi="Verdana"/>
          <w:sz w:val="20"/>
          <w:szCs w:val="20"/>
          <w:lang w:val="pt-BR"/>
        </w:rPr>
        <w:lastRenderedPageBreak/>
        <w:t xml:space="preserve">formalizar e efetivar a contratação dos Coordenadores (conforme abaixo definidos), do Agente Fiduciário e dos prestadores de serviços necessários à implementação da Emissão e da Oferta, tais como </w:t>
      </w:r>
      <w:proofErr w:type="spellStart"/>
      <w:r>
        <w:rPr>
          <w:rFonts w:ascii="Verdana" w:hAnsi="Verdana"/>
          <w:sz w:val="20"/>
          <w:szCs w:val="20"/>
          <w:lang w:val="pt-BR"/>
        </w:rPr>
        <w:t>Escriturador</w:t>
      </w:r>
      <w:proofErr w:type="spellEnd"/>
      <w:r>
        <w:rPr>
          <w:rFonts w:ascii="Verdana" w:hAnsi="Verdana"/>
          <w:sz w:val="20"/>
          <w:szCs w:val="20"/>
          <w:lang w:val="pt-BR"/>
        </w:rPr>
        <w:t xml:space="preserve"> (conforme abaixo definido), Banco Liquidante (conforme abaixo definido), a B3 (conforme abaixo definido), a B3 – Segmento </w:t>
      </w:r>
      <w:proofErr w:type="spellStart"/>
      <w:r>
        <w:rPr>
          <w:rFonts w:ascii="Verdana" w:hAnsi="Verdana"/>
          <w:sz w:val="20"/>
          <w:szCs w:val="20"/>
          <w:lang w:val="pt-BR"/>
        </w:rPr>
        <w:t>Cetip</w:t>
      </w:r>
      <w:proofErr w:type="spellEnd"/>
      <w:r>
        <w:rPr>
          <w:rFonts w:ascii="Verdana" w:hAnsi="Verdana"/>
          <w:sz w:val="20"/>
          <w:szCs w:val="20"/>
          <w:lang w:val="pt-BR"/>
        </w:rPr>
        <w:t xml:space="preserve"> UTVM, dentre outros, podendo, para tanto, negociar e assinar os respectivos instrumentos de contratação e eventuais alterações em aditamentos. </w:t>
      </w:r>
    </w:p>
    <w:p>
      <w:pPr>
        <w:pStyle w:val="p0"/>
        <w:widowControl/>
        <w:tabs>
          <w:tab w:val="clear" w:pos="720"/>
        </w:tabs>
        <w:spacing w:line="320" w:lineRule="exact"/>
        <w:ind w:left="709" w:hanging="709"/>
        <w:rPr>
          <w:rFonts w:ascii="Verdana" w:hAnsi="Verdana"/>
          <w:sz w:val="20"/>
        </w:rPr>
      </w:pPr>
    </w:p>
    <w:p>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1" w:name="_Toc499990314"/>
      <w:r>
        <w:rPr>
          <w:rFonts w:ascii="Verdana" w:hAnsi="Verdana"/>
          <w:smallCaps/>
          <w:sz w:val="20"/>
          <w:szCs w:val="20"/>
          <w:u w:val="single"/>
        </w:rPr>
        <w:t>Requisitos</w:t>
      </w:r>
      <w:bookmarkEnd w:id="91"/>
    </w:p>
    <w:p>
      <w:pPr>
        <w:spacing w:after="0" w:line="320" w:lineRule="exact"/>
        <w:rPr>
          <w:rFonts w:ascii="Verdana" w:hAnsi="Verdana"/>
          <w:sz w:val="20"/>
          <w:szCs w:val="20"/>
        </w:rPr>
      </w:pPr>
    </w:p>
    <w:p>
      <w:pPr>
        <w:pStyle w:val="PargrafodaLista"/>
        <w:numPr>
          <w:ilvl w:val="1"/>
          <w:numId w:val="70"/>
        </w:numPr>
        <w:spacing w:line="320" w:lineRule="exact"/>
        <w:ind w:left="851" w:hanging="851"/>
        <w:jc w:val="both"/>
        <w:rPr>
          <w:rFonts w:ascii="Verdana" w:hAnsi="Verdana"/>
          <w:sz w:val="20"/>
          <w:szCs w:val="20"/>
        </w:rPr>
      </w:pPr>
      <w:bookmarkStart w:id="92" w:name="_DV_M16"/>
      <w:bookmarkEnd w:id="92"/>
      <w:r>
        <w:rPr>
          <w:rFonts w:ascii="Verdana" w:hAnsi="Verdana"/>
          <w:sz w:val="20"/>
          <w:szCs w:val="20"/>
        </w:rPr>
        <w:t xml:space="preserve">A 13ª (décima terceira) emissão </w:t>
      </w:r>
      <w:bookmarkStart w:id="93" w:name="_DV_C13"/>
      <w:r>
        <w:rPr>
          <w:rStyle w:val="DeltaViewInsertion"/>
          <w:rFonts w:ascii="Verdana" w:hAnsi="Verdana"/>
          <w:color w:val="auto"/>
          <w:sz w:val="20"/>
          <w:szCs w:val="20"/>
          <w:u w:val="none"/>
        </w:rPr>
        <w:t>de debêntures simples, não conversíveis em ações, da espécie quirografária, em até duas séries,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4" w:name="_DV_M17"/>
      <w:bookmarkEnd w:id="93"/>
      <w:bookmarkEnd w:id="94"/>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5" w:name="_DV_M20"/>
      <w:bookmarkStart w:id="96" w:name="_DV_M21"/>
      <w:bookmarkEnd w:id="95"/>
      <w:bookmarkEnd w:id="96"/>
      <w:r>
        <w:rPr>
          <w:rFonts w:ascii="Verdana" w:hAnsi="Verdana"/>
          <w:sz w:val="20"/>
          <w:szCs w:val="20"/>
        </w:rPr>
        <w:t>:</w:t>
      </w:r>
    </w:p>
    <w:p>
      <w:pPr>
        <w:spacing w:after="0" w:line="320" w:lineRule="exact"/>
        <w:ind w:left="709" w:hanging="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7" w:name="_DV_M23"/>
      <w:bookmarkEnd w:id="97"/>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pPr>
        <w:spacing w:after="0" w:line="320" w:lineRule="exact"/>
        <w:ind w:left="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98"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pPr>
        <w:pStyle w:val="PargrafodaLista"/>
        <w:tabs>
          <w:tab w:val="num" w:pos="851"/>
        </w:tabs>
        <w:spacing w:line="320" w:lineRule="exact"/>
        <w:ind w:left="851" w:hanging="851"/>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99" w:name="_DV_M28"/>
      <w:bookmarkStart w:id="100" w:name="_DV_M29"/>
      <w:bookmarkEnd w:id="98"/>
      <w:bookmarkEnd w:id="99"/>
      <w:bookmarkEnd w:id="100"/>
      <w:r>
        <w:rPr>
          <w:rFonts w:ascii="Verdana" w:hAnsi="Verdana"/>
          <w:i/>
          <w:sz w:val="20"/>
          <w:szCs w:val="20"/>
          <w:u w:val="single"/>
        </w:rPr>
        <w:t>Arquivamento na Junta Comercial Competente e Publicação da RCA da Emissão</w:t>
      </w:r>
      <w:r>
        <w:rPr>
          <w:rFonts w:ascii="Verdana" w:hAnsi="Verdana"/>
          <w:sz w:val="20"/>
          <w:szCs w:val="20"/>
        </w:rPr>
        <w:t xml:space="preserve">. A ata da RCA da Emissão será arquivada na JUCEPAR e publicada no </w:t>
      </w:r>
      <w:r>
        <w:rPr>
          <w:rFonts w:ascii="Verdana" w:hAnsi="Verdana"/>
          <w:sz w:val="20"/>
          <w:szCs w:val="20"/>
        </w:rPr>
        <w:lastRenderedPageBreak/>
        <w:t>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1" w:name="_Ref312338136"/>
      <w:r>
        <w:rPr>
          <w:rFonts w:ascii="Verdana" w:hAnsi="Verdana"/>
          <w:sz w:val="20"/>
          <w:szCs w:val="20"/>
        </w:rPr>
        <w:t xml:space="preserve"> </w:t>
      </w:r>
    </w:p>
    <w:p>
      <w:pPr>
        <w:tabs>
          <w:tab w:val="num" w:pos="851"/>
        </w:tabs>
        <w:spacing w:after="0" w:line="320" w:lineRule="exact"/>
        <w:ind w:left="851" w:hanging="851"/>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102" w:name="_Ref314837495"/>
      <w:bookmarkEnd w:id="101"/>
      <w:r>
        <w:rPr>
          <w:rFonts w:ascii="Verdana" w:hAnsi="Verdana"/>
          <w:i/>
          <w:sz w:val="20"/>
          <w:szCs w:val="20"/>
          <w:u w:val="single"/>
        </w:rPr>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2"/>
      <w:r>
        <w:rPr>
          <w:rFonts w:ascii="Verdana" w:hAnsi="Verdana"/>
          <w:sz w:val="20"/>
          <w:szCs w:val="20"/>
        </w:rPr>
        <w:t xml:space="preserve"> </w:t>
      </w:r>
    </w:p>
    <w:p>
      <w:pPr>
        <w:pStyle w:val="PargrafodaLista"/>
        <w:spacing w:line="320" w:lineRule="exact"/>
        <w:rPr>
          <w:rFonts w:ascii="Verdana" w:hAnsi="Verdana"/>
          <w:sz w:val="20"/>
          <w:szCs w:val="20"/>
        </w:rPr>
      </w:pPr>
    </w:p>
    <w:p>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proofErr w:type="spellStart"/>
      <w:r>
        <w:rPr>
          <w:rFonts w:ascii="Verdana" w:hAnsi="Verdana"/>
          <w:i/>
          <w:sz w:val="20"/>
          <w:szCs w:val="20"/>
        </w:rPr>
        <w:t>Bookbuilding</w:t>
      </w:r>
      <w:proofErr w:type="spellEnd"/>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pPr>
        <w:pStyle w:val="PargrafodaLista"/>
        <w:spacing w:line="320" w:lineRule="exact"/>
        <w:ind w:left="709"/>
        <w:jc w:val="both"/>
        <w:rPr>
          <w:rFonts w:ascii="Verdana" w:hAnsi="Verdana"/>
          <w:sz w:val="20"/>
          <w:szCs w:val="20"/>
        </w:rPr>
      </w:pPr>
    </w:p>
    <w:p>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pPr>
        <w:pStyle w:val="PargrafodaLista"/>
        <w:spacing w:line="320" w:lineRule="exact"/>
        <w:ind w:left="709" w:hanging="709"/>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03" w:name="_DV_M38"/>
      <w:bookmarkStart w:id="104" w:name="_DV_M42"/>
      <w:bookmarkStart w:id="105" w:name="_Ref314822195"/>
      <w:bookmarkEnd w:id="103"/>
      <w:bookmarkEnd w:id="104"/>
      <w:r>
        <w:rPr>
          <w:rFonts w:ascii="Verdana" w:hAnsi="Verdana"/>
          <w:i/>
          <w:sz w:val="20"/>
          <w:szCs w:val="20"/>
          <w:u w:val="single"/>
        </w:rPr>
        <w:t xml:space="preserve">Depósito para </w:t>
      </w:r>
      <w:bookmarkStart w:id="106" w:name="_DV_C38"/>
      <w:r>
        <w:rPr>
          <w:rStyle w:val="DeltaViewInsertion"/>
          <w:rFonts w:ascii="Verdana" w:hAnsi="Verdana"/>
          <w:i/>
          <w:color w:val="auto"/>
          <w:sz w:val="20"/>
          <w:szCs w:val="20"/>
          <w:u w:val="single"/>
        </w:rPr>
        <w:t xml:space="preserve">Distribuição </w:t>
      </w:r>
      <w:bookmarkEnd w:id="106"/>
      <w:r>
        <w:rPr>
          <w:rFonts w:ascii="Verdana" w:hAnsi="Verdana"/>
          <w:i/>
          <w:sz w:val="20"/>
          <w:szCs w:val="20"/>
          <w:u w:val="single"/>
        </w:rPr>
        <w:t>das Debêntures</w:t>
      </w:r>
      <w:r>
        <w:rPr>
          <w:rFonts w:ascii="Verdana" w:hAnsi="Verdana"/>
          <w:sz w:val="20"/>
          <w:szCs w:val="20"/>
        </w:rPr>
        <w:t xml:space="preserve">. </w:t>
      </w:r>
      <w:bookmarkStart w:id="107" w:name="_Ref312320003"/>
      <w:bookmarkStart w:id="108"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xml:space="preserve">”), administrado e operacionalizado pela B3 S.A. – Brasil, Bolsa, Balcão – Segmento </w:t>
      </w:r>
      <w:proofErr w:type="spellStart"/>
      <w:r>
        <w:rPr>
          <w:rFonts w:ascii="Verdana" w:hAnsi="Verdana"/>
          <w:iCs/>
          <w:sz w:val="20"/>
          <w:szCs w:val="20"/>
        </w:rPr>
        <w:t>Cetip</w:t>
      </w:r>
      <w:proofErr w:type="spellEnd"/>
      <w:r>
        <w:rPr>
          <w:rFonts w:ascii="Verdana" w:hAnsi="Verdana"/>
          <w:iCs/>
          <w:sz w:val="20"/>
          <w:szCs w:val="20"/>
        </w:rPr>
        <w:t xml:space="preserve"> UTVM (“</w:t>
      </w:r>
      <w:r>
        <w:rPr>
          <w:rFonts w:ascii="Verdana" w:hAnsi="Verdana"/>
          <w:iCs/>
          <w:sz w:val="20"/>
          <w:szCs w:val="20"/>
          <w:u w:val="single"/>
        </w:rPr>
        <w:t xml:space="preserve">B3 – Segmento </w:t>
      </w:r>
      <w:proofErr w:type="spellStart"/>
      <w:r>
        <w:rPr>
          <w:rFonts w:ascii="Verdana" w:hAnsi="Verdana"/>
          <w:iCs/>
          <w:sz w:val="20"/>
          <w:szCs w:val="20"/>
          <w:u w:val="single"/>
        </w:rPr>
        <w:t>Cetip</w:t>
      </w:r>
      <w:proofErr w:type="spellEnd"/>
      <w:r>
        <w:rPr>
          <w:rFonts w:ascii="Verdana" w:hAnsi="Verdana"/>
          <w:iCs/>
          <w:sz w:val="20"/>
          <w:szCs w:val="20"/>
          <w:u w:val="single"/>
        </w:rPr>
        <w:t xml:space="preserve"> UTVM</w:t>
      </w:r>
      <w:r>
        <w:rPr>
          <w:rFonts w:ascii="Verdana" w:hAnsi="Verdana"/>
          <w:iCs/>
          <w:sz w:val="20"/>
          <w:szCs w:val="20"/>
        </w:rPr>
        <w:t xml:space="preserve">”), sendo a distribuição liquidada financeiramente por meio da B3 – Segmento </w:t>
      </w:r>
      <w:proofErr w:type="spellStart"/>
      <w:r>
        <w:rPr>
          <w:rFonts w:ascii="Verdana" w:hAnsi="Verdana"/>
          <w:iCs/>
          <w:sz w:val="20"/>
          <w:szCs w:val="20"/>
        </w:rPr>
        <w:t>Cetip</w:t>
      </w:r>
      <w:proofErr w:type="spellEnd"/>
      <w:r>
        <w:rPr>
          <w:rFonts w:ascii="Verdana" w:hAnsi="Verdana"/>
          <w:iCs/>
          <w:sz w:val="20"/>
          <w:szCs w:val="20"/>
        </w:rPr>
        <w:t xml:space="preserve">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07"/>
      <w:r>
        <w:rPr>
          <w:rFonts w:ascii="Verdana" w:hAnsi="Verdana"/>
          <w:iCs/>
          <w:sz w:val="20"/>
          <w:szCs w:val="20"/>
        </w:rPr>
        <w:t xml:space="preserve"> </w:t>
      </w:r>
      <w:bookmarkEnd w:id="105"/>
    </w:p>
    <w:p>
      <w:pPr>
        <w:pStyle w:val="PargrafodaLista"/>
        <w:spacing w:line="320" w:lineRule="exact"/>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xml:space="preserve">”), administrado e operacionalizado pela B3 – Segmento </w:t>
      </w:r>
      <w:proofErr w:type="spellStart"/>
      <w:r>
        <w:rPr>
          <w:rFonts w:ascii="Verdana" w:hAnsi="Verdana"/>
          <w:iCs/>
          <w:sz w:val="20"/>
          <w:szCs w:val="20"/>
        </w:rPr>
        <w:t>Cetip</w:t>
      </w:r>
      <w:proofErr w:type="spellEnd"/>
      <w:r>
        <w:rPr>
          <w:rFonts w:ascii="Verdana" w:hAnsi="Verdana"/>
          <w:iCs/>
          <w:sz w:val="20"/>
          <w:szCs w:val="20"/>
        </w:rPr>
        <w:t xml:space="preserve"> UTVM, sendo as negociações liquidadas e as Debêntures custodiadas eletronicamente na B3 – Segmento </w:t>
      </w:r>
      <w:proofErr w:type="spellStart"/>
      <w:r>
        <w:rPr>
          <w:rFonts w:ascii="Verdana" w:hAnsi="Verdana"/>
          <w:iCs/>
          <w:sz w:val="20"/>
          <w:szCs w:val="20"/>
        </w:rPr>
        <w:t>Cetip</w:t>
      </w:r>
      <w:proofErr w:type="spellEnd"/>
      <w:r>
        <w:rPr>
          <w:rFonts w:ascii="Verdana" w:hAnsi="Verdana"/>
          <w:iCs/>
          <w:sz w:val="20"/>
          <w:szCs w:val="20"/>
        </w:rPr>
        <w:t xml:space="preserve"> UTVM; e/ou (b) da plataforma eletrônica de negociação de </w:t>
      </w:r>
      <w:proofErr w:type="spellStart"/>
      <w:r>
        <w:rPr>
          <w:rFonts w:ascii="Verdana" w:hAnsi="Verdana"/>
          <w:iCs/>
          <w:sz w:val="20"/>
          <w:szCs w:val="20"/>
        </w:rPr>
        <w:t>multi</w:t>
      </w:r>
      <w:proofErr w:type="spellEnd"/>
      <w:r>
        <w:rPr>
          <w:rFonts w:ascii="Verdana" w:hAnsi="Verdana"/>
          <w:iCs/>
          <w:sz w:val="20"/>
          <w:szCs w:val="20"/>
        </w:rPr>
        <w:t xml:space="preserve"> ativos PUMA Trading System Plataforma Unificada de </w:t>
      </w:r>
      <w:proofErr w:type="spellStart"/>
      <w:r>
        <w:rPr>
          <w:rFonts w:ascii="Verdana" w:hAnsi="Verdana"/>
          <w:iCs/>
          <w:sz w:val="20"/>
          <w:szCs w:val="20"/>
        </w:rPr>
        <w:t>Multi</w:t>
      </w:r>
      <w:proofErr w:type="spellEnd"/>
      <w:r>
        <w:rPr>
          <w:rFonts w:ascii="Verdana" w:hAnsi="Verdana"/>
          <w:iCs/>
          <w:sz w:val="20"/>
          <w:szCs w:val="20"/>
        </w:rPr>
        <w:t xml:space="preserve"> Ativos da B3, administrada e operacionalizada </w:t>
      </w:r>
      <w:r>
        <w:rPr>
          <w:rFonts w:ascii="Verdana" w:hAnsi="Verdana"/>
          <w:iCs/>
          <w:sz w:val="20"/>
          <w:szCs w:val="20"/>
        </w:rPr>
        <w:lastRenderedPageBreak/>
        <w:t>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pPr>
        <w:tabs>
          <w:tab w:val="num" w:pos="851"/>
        </w:tabs>
        <w:spacing w:after="0" w:line="320" w:lineRule="exact"/>
        <w:ind w:left="851" w:hanging="851"/>
        <w:jc w:val="both"/>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Projeto de Infraestrutura Considerado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dos Projetos (conforme abaixo definidos) como prioritários pelo Ministério da Infraestrutura, por meio (i) da Portaria nº 269, de 9 de abril de 2018, publicada no Diário Oficial da União (“</w:t>
      </w:r>
      <w:r>
        <w:rPr>
          <w:rFonts w:ascii="Verdana" w:hAnsi="Verdana"/>
          <w:sz w:val="20"/>
          <w:szCs w:val="20"/>
          <w:u w:val="single"/>
        </w:rPr>
        <w:t>DOU</w:t>
      </w:r>
      <w:r>
        <w:rPr>
          <w:rFonts w:ascii="Verdana" w:hAnsi="Verdana"/>
          <w:sz w:val="20"/>
          <w:szCs w:val="20"/>
        </w:rPr>
        <w:t>”) em 10 de abril de 2018 (“</w:t>
      </w:r>
      <w:r>
        <w:rPr>
          <w:rFonts w:ascii="Verdana" w:hAnsi="Verdana"/>
          <w:sz w:val="20"/>
          <w:szCs w:val="20"/>
          <w:u w:val="single"/>
        </w:rPr>
        <w:t>Portaria Malha Sul</w:t>
      </w:r>
      <w:r>
        <w:rPr>
          <w:rFonts w:ascii="Verdana" w:hAnsi="Verdana"/>
          <w:sz w:val="20"/>
          <w:szCs w:val="20"/>
        </w:rPr>
        <w:t xml:space="preserve">”), </w:t>
      </w:r>
      <w:r>
        <w:rPr>
          <w:rFonts w:ascii="Verdana" w:hAnsi="Verdana"/>
          <w:iCs/>
          <w:sz w:val="20"/>
          <w:szCs w:val="20"/>
        </w:rPr>
        <w:t xml:space="preserve">anexa à presente Escritura como </w:t>
      </w:r>
      <w:r>
        <w:rPr>
          <w:rFonts w:ascii="Verdana" w:hAnsi="Verdana"/>
          <w:iCs/>
          <w:sz w:val="20"/>
          <w:szCs w:val="20"/>
          <w:u w:val="single"/>
        </w:rPr>
        <w:t>Anexo I</w:t>
      </w:r>
      <w:r>
        <w:rPr>
          <w:rFonts w:ascii="Verdana" w:hAnsi="Verdana"/>
          <w:sz w:val="20"/>
          <w:szCs w:val="20"/>
        </w:rPr>
        <w:t>; e (</w:t>
      </w:r>
      <w:proofErr w:type="spellStart"/>
      <w:r>
        <w:rPr>
          <w:rFonts w:ascii="Verdana" w:hAnsi="Verdana"/>
          <w:sz w:val="20"/>
          <w:szCs w:val="20"/>
        </w:rPr>
        <w:t>ii</w:t>
      </w:r>
      <w:proofErr w:type="spellEnd"/>
      <w:r>
        <w:rPr>
          <w:rFonts w:ascii="Verdana" w:hAnsi="Verdana"/>
          <w:sz w:val="20"/>
          <w:szCs w:val="20"/>
        </w:rPr>
        <w:t xml:space="preserve">) da Portaria nº 3.951, de 6 de setembro de 2019, publicada no </w:t>
      </w:r>
      <w:r>
        <w:rPr>
          <w:rFonts w:ascii="Verdana" w:hAnsi="Verdana"/>
          <w:sz w:val="20"/>
        </w:rPr>
        <w:t>DOU</w:t>
      </w:r>
      <w:r>
        <w:rPr>
          <w:rFonts w:ascii="Verdana" w:hAnsi="Verdana"/>
          <w:sz w:val="20"/>
          <w:szCs w:val="20"/>
        </w:rPr>
        <w:t xml:space="preserve"> em 10 de setembro de 2019 (“</w:t>
      </w:r>
      <w:r>
        <w:rPr>
          <w:rFonts w:ascii="Verdana" w:hAnsi="Verdana"/>
          <w:sz w:val="20"/>
          <w:szCs w:val="20"/>
          <w:u w:val="single"/>
        </w:rPr>
        <w:t>Portaria Malha Central</w:t>
      </w:r>
      <w:r>
        <w:rPr>
          <w:rFonts w:ascii="Verdana" w:hAnsi="Verdana"/>
          <w:sz w:val="20"/>
          <w:szCs w:val="20"/>
        </w:rPr>
        <w:t>” e, em conjunto com a Portaria Malha Sul, as “</w:t>
      </w:r>
      <w:r>
        <w:rPr>
          <w:rFonts w:ascii="Verdana" w:hAnsi="Verdana"/>
          <w:sz w:val="20"/>
          <w:szCs w:val="20"/>
          <w:u w:val="single"/>
        </w:rPr>
        <w:t>Portarias do Ministério de Infraestrutura</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II</w:t>
      </w:r>
      <w:r>
        <w:rPr>
          <w:rFonts w:ascii="Verdana" w:hAnsi="Verdana"/>
          <w:iCs/>
          <w:sz w:val="20"/>
          <w:szCs w:val="20"/>
        </w:rPr>
        <w:t>.</w:t>
      </w:r>
    </w:p>
    <w:p>
      <w:pPr>
        <w:spacing w:after="0" w:line="320" w:lineRule="exact"/>
        <w:rPr>
          <w:rFonts w:ascii="Verdana" w:hAnsi="Verdana"/>
          <w:iCs/>
          <w:sz w:val="20"/>
          <w:szCs w:val="20"/>
        </w:rPr>
      </w:pPr>
    </w:p>
    <w:p>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08"/>
      <w:r>
        <w:rPr>
          <w:rFonts w:ascii="Verdana" w:hAnsi="Verdana"/>
          <w:iCs/>
          <w:smallCaps/>
          <w:sz w:val="20"/>
          <w:szCs w:val="20"/>
          <w:u w:val="single"/>
        </w:rPr>
        <w:t>Emissão</w:t>
      </w:r>
    </w:p>
    <w:p>
      <w:pPr>
        <w:spacing w:after="0" w:line="320" w:lineRule="exact"/>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w:t>
      </w:r>
      <w:proofErr w:type="spellStart"/>
      <w:r>
        <w:rPr>
          <w:rFonts w:ascii="Verdana" w:hAnsi="Verdana"/>
          <w:bCs/>
          <w:iCs/>
          <w:sz w:val="20"/>
          <w:szCs w:val="20"/>
        </w:rPr>
        <w:t>ii</w:t>
      </w:r>
      <w:proofErr w:type="spellEnd"/>
      <w:r>
        <w:rPr>
          <w:rFonts w:ascii="Verdana" w:hAnsi="Verdana"/>
          <w:bCs/>
          <w:iCs/>
          <w:sz w:val="20"/>
          <w:szCs w:val="20"/>
        </w:rPr>
        <w:t>)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w:t>
      </w:r>
      <w:proofErr w:type="spellStart"/>
      <w:r>
        <w:rPr>
          <w:rFonts w:ascii="Verdana" w:hAnsi="Verdana"/>
          <w:bCs/>
          <w:iCs/>
          <w:sz w:val="20"/>
          <w:szCs w:val="20"/>
        </w:rPr>
        <w:t>iii</w:t>
      </w:r>
      <w:proofErr w:type="spellEnd"/>
      <w:r>
        <w:rPr>
          <w:rFonts w:ascii="Verdana" w:hAnsi="Verdana"/>
          <w:bCs/>
          <w:iCs/>
          <w:sz w:val="20"/>
          <w:szCs w:val="20"/>
        </w:rPr>
        <w:t>) importar, exportar, comprar, vender, distribuir, arrendar, locar e emprestar contêineres, locomotivas, vagões e outras máquinas, equipamentos e insumos relacionados com as atividades descritas nas alíneas anteriores; (</w:t>
      </w:r>
      <w:proofErr w:type="spellStart"/>
      <w:r>
        <w:rPr>
          <w:rFonts w:ascii="Verdana" w:hAnsi="Verdana"/>
          <w:bCs/>
          <w:iCs/>
          <w:sz w:val="20"/>
          <w:szCs w:val="20"/>
        </w:rPr>
        <w:t>iv</w:t>
      </w:r>
      <w:proofErr w:type="spellEnd"/>
      <w:r>
        <w:rPr>
          <w:rFonts w:ascii="Verdana" w:hAnsi="Verdana"/>
          <w:bCs/>
          <w:iCs/>
          <w:sz w:val="20"/>
          <w:szCs w:val="20"/>
        </w:rPr>
        <w:t xml:space="preserve">)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w:t>
      </w:r>
      <w:r>
        <w:rPr>
          <w:rFonts w:ascii="Verdana" w:hAnsi="Verdana"/>
          <w:bCs/>
          <w:iCs/>
          <w:sz w:val="20"/>
          <w:szCs w:val="20"/>
        </w:rPr>
        <w:lastRenderedPageBreak/>
        <w:t>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pPr>
        <w:spacing w:after="0" w:line="320" w:lineRule="exact"/>
        <w:ind w:left="709" w:hanging="709"/>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pPr>
        <w:pStyle w:val="PargrafodaLista"/>
        <w:tabs>
          <w:tab w:val="num" w:pos="851"/>
        </w:tabs>
        <w:spacing w:line="320" w:lineRule="exact"/>
        <w:ind w:left="851" w:hanging="851"/>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sendo que a quantidade de Debêntures a ser emitida em cada série se dará por meio de Sistema de Vasos Comunicantes e será definida no Procedimento de </w:t>
      </w:r>
      <w:proofErr w:type="spellStart"/>
      <w:r>
        <w:rPr>
          <w:rFonts w:ascii="Verdana" w:hAnsi="Verdana"/>
          <w:i/>
          <w:sz w:val="20"/>
          <w:szCs w:val="20"/>
        </w:rPr>
        <w:t>Bookbuilding</w:t>
      </w:r>
      <w:proofErr w:type="spellEnd"/>
      <w:r>
        <w:rPr>
          <w:rFonts w:ascii="Verdana" w:hAnsi="Verdana"/>
          <w:sz w:val="20"/>
          <w:szCs w:val="20"/>
        </w:rPr>
        <w:t xml:space="preserve"> (conforme definido abaixo). </w:t>
      </w:r>
    </w:p>
    <w:p>
      <w:pPr>
        <w:pStyle w:val="PargrafodaLista"/>
        <w:tabs>
          <w:tab w:val="num" w:pos="851"/>
        </w:tabs>
        <w:spacing w:line="320" w:lineRule="exact"/>
        <w:ind w:left="851" w:hanging="851"/>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pPr>
        <w:tabs>
          <w:tab w:val="num" w:pos="851"/>
        </w:tabs>
        <w:spacing w:after="0" w:line="320" w:lineRule="exact"/>
        <w:ind w:left="851" w:hanging="851"/>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Emissão será de, inicialmente, R$ 1.000.000.000,00 (um bilhão de reais)</w:t>
      </w:r>
      <w:bookmarkStart w:id="109"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pPr>
        <w:pStyle w:val="PargrafodaLista"/>
        <w:tabs>
          <w:tab w:val="num" w:pos="851"/>
        </w:tabs>
        <w:spacing w:line="320" w:lineRule="exact"/>
        <w:ind w:left="851" w:hanging="851"/>
        <w:rPr>
          <w:rStyle w:val="DeltaViewInsertion"/>
          <w:rFonts w:ascii="Verdana" w:hAnsi="Verdana"/>
          <w:color w:val="auto"/>
          <w:sz w:val="20"/>
          <w:szCs w:val="20"/>
        </w:rPr>
      </w:pPr>
    </w:p>
    <w:bookmarkEnd w:id="109"/>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0" w:name="_DV_C41"/>
      <w:r>
        <w:rPr>
          <w:rFonts w:ascii="Verdana" w:hAnsi="Verdana"/>
          <w:sz w:val="20"/>
          <w:szCs w:val="20"/>
        </w:rPr>
        <w:t xml:space="preserve">. </w:t>
      </w:r>
      <w:bookmarkEnd w:id="110"/>
      <w:r>
        <w:rPr>
          <w:rFonts w:ascii="Verdana" w:hAnsi="Verdana"/>
          <w:sz w:val="20"/>
          <w:szCs w:val="20"/>
        </w:rPr>
        <w:t>A Emissão será realizada em até 2 (duas) séries (“</w:t>
      </w:r>
      <w:r>
        <w:rPr>
          <w:rFonts w:ascii="Verdana" w:hAnsi="Verdana"/>
          <w:sz w:val="20"/>
          <w:szCs w:val="20"/>
          <w:u w:val="single"/>
        </w:rPr>
        <w:t>Primeira Série</w:t>
      </w:r>
      <w:r>
        <w:rPr>
          <w:rFonts w:ascii="Verdana" w:hAnsi="Verdana"/>
          <w:sz w:val="20"/>
          <w:szCs w:val="20"/>
        </w:rPr>
        <w:t>” e “</w:t>
      </w:r>
      <w:r>
        <w:rPr>
          <w:rFonts w:ascii="Verdana" w:hAnsi="Verdana"/>
          <w:sz w:val="20"/>
          <w:szCs w:val="20"/>
          <w:u w:val="single"/>
        </w:rPr>
        <w:t>Segunda Série</w:t>
      </w:r>
      <w:r>
        <w:rPr>
          <w:rFonts w:ascii="Verdana" w:hAnsi="Verdana"/>
          <w:sz w:val="20"/>
          <w:szCs w:val="20"/>
        </w:rPr>
        <w:t>”, respectivamente e, quando em conjunto “</w:t>
      </w:r>
      <w:r>
        <w:rPr>
          <w:rFonts w:ascii="Verdana" w:hAnsi="Verdana"/>
          <w:sz w:val="20"/>
          <w:szCs w:val="20"/>
          <w:u w:val="single"/>
        </w:rPr>
        <w:t>Séries</w:t>
      </w:r>
      <w:r>
        <w:rPr>
          <w:rFonts w:ascii="Verdana" w:hAnsi="Verdana"/>
          <w:sz w:val="20"/>
          <w:szCs w:val="20"/>
        </w:rPr>
        <w:t xml:space="preserve">”), sendo que a quantidade de séries da Emissão será definida no Procedimento de </w:t>
      </w:r>
      <w:proofErr w:type="spellStart"/>
      <w:r>
        <w:rPr>
          <w:rFonts w:ascii="Verdana" w:hAnsi="Verdana"/>
          <w:i/>
          <w:sz w:val="20"/>
          <w:szCs w:val="20"/>
        </w:rPr>
        <w:t>Bookbuilding</w:t>
      </w:r>
      <w:proofErr w:type="spellEnd"/>
      <w:r>
        <w:rPr>
          <w:rFonts w:ascii="Verdana" w:hAnsi="Verdana"/>
          <w:sz w:val="20"/>
          <w:szCs w:val="20"/>
        </w:rPr>
        <w:t xml:space="preserve"> (conforme definido abaixo). Para os fins da presente Escritura, as Debêntures emitidas na Primeira Série serão doravante referidas “</w:t>
      </w:r>
      <w:r>
        <w:rPr>
          <w:rFonts w:ascii="Verdana" w:hAnsi="Verdana"/>
          <w:sz w:val="20"/>
          <w:szCs w:val="20"/>
          <w:u w:val="single"/>
        </w:rPr>
        <w:t>Debêntures da Primeira Série</w:t>
      </w:r>
      <w:r>
        <w:rPr>
          <w:rFonts w:ascii="Verdana" w:hAnsi="Verdana"/>
          <w:sz w:val="20"/>
          <w:szCs w:val="20"/>
        </w:rPr>
        <w:t>” e as Debêntures emitidas na Segunda Série serão referidas como “</w:t>
      </w:r>
      <w:r>
        <w:rPr>
          <w:rFonts w:ascii="Verdana" w:hAnsi="Verdana"/>
          <w:sz w:val="20"/>
          <w:szCs w:val="20"/>
          <w:u w:val="single"/>
        </w:rPr>
        <w:t>Debêntures da Segunda Série</w:t>
      </w:r>
      <w:r>
        <w:rPr>
          <w:rFonts w:ascii="Verdana" w:hAnsi="Verdana"/>
          <w:sz w:val="20"/>
          <w:szCs w:val="20"/>
        </w:rPr>
        <w:t>” e, quando em conjunto com as Debêntures da Primeira Série, as “</w:t>
      </w:r>
      <w:r>
        <w:rPr>
          <w:rFonts w:ascii="Verdana" w:hAnsi="Verdana"/>
          <w:sz w:val="20"/>
          <w:szCs w:val="20"/>
          <w:u w:val="single"/>
        </w:rPr>
        <w:t>Debêntures</w:t>
      </w:r>
      <w:r>
        <w:rPr>
          <w:rFonts w:ascii="Verdana" w:hAnsi="Verdana"/>
          <w:sz w:val="20"/>
          <w:szCs w:val="20"/>
        </w:rPr>
        <w:t>”.</w:t>
      </w:r>
    </w:p>
    <w:p>
      <w:pPr>
        <w:tabs>
          <w:tab w:val="num" w:pos="851"/>
        </w:tabs>
        <w:spacing w:after="0" w:line="320" w:lineRule="exact"/>
        <w:ind w:left="851" w:hanging="851"/>
        <w:jc w:val="both"/>
        <w:rPr>
          <w:rFonts w:ascii="Verdana" w:hAnsi="Verdana"/>
          <w:sz w:val="20"/>
          <w:szCs w:val="20"/>
        </w:rPr>
      </w:pPr>
    </w:p>
    <w:p>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1" w:name="_DV_M62"/>
      <w:bookmarkEnd w:id="111"/>
      <w:r>
        <w:rPr>
          <w:rFonts w:ascii="Verdana" w:hAnsi="Verdana"/>
          <w:sz w:val="20"/>
          <w:szCs w:val="20"/>
          <w:lang w:val="pt-BR"/>
        </w:rPr>
        <w:t xml:space="preserve">As Debêntures serão objeto de distribuição pública nos termos da Instrução CVM 400, especificamente o procedimento indicado para emissoras com grande exposição no mercado, conforme artigos 6º-A e 6º-B da referida instrução, sob o regime de garantia </w:t>
      </w:r>
      <w:r>
        <w:rPr>
          <w:rFonts w:ascii="Verdana" w:hAnsi="Verdana"/>
          <w:sz w:val="20"/>
          <w:szCs w:val="20"/>
          <w:lang w:val="pt-BR"/>
        </w:rPr>
        <w:lastRenderedPageBreak/>
        <w:t>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nos termos do “Contrato de Estruturação, Coordenação e Distribuição Pública de Debêntures Simples, Não Conversíveis em Ações, da Espécie Quirografária, em Até Duas Séries, em Regime de Garantia Firme de Colocação, da Décima Terceira Emissão da Rumo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pública das Debêntures somente ocorrerá após:</w:t>
      </w:r>
    </w:p>
    <w:p>
      <w:pPr>
        <w:spacing w:after="0" w:line="320" w:lineRule="exact"/>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proofErr w:type="gramStart"/>
      <w:r>
        <w:rPr>
          <w:rFonts w:ascii="Verdana" w:hAnsi="Verdana"/>
          <w:sz w:val="20"/>
          <w:szCs w:val="20"/>
        </w:rPr>
        <w:t>a</w:t>
      </w:r>
      <w:proofErr w:type="gramEnd"/>
      <w:r>
        <w:rPr>
          <w:rFonts w:ascii="Verdana" w:hAnsi="Verdana"/>
          <w:sz w:val="20"/>
          <w:szCs w:val="20"/>
        </w:rPr>
        <w:t xml:space="preserve"> concessão do registro da Oferta pela CVM;</w:t>
      </w:r>
    </w:p>
    <w:p>
      <w:pPr>
        <w:spacing w:after="0" w:line="320" w:lineRule="exact"/>
        <w:ind w:left="709" w:hanging="1"/>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proofErr w:type="gramStart"/>
      <w:r>
        <w:rPr>
          <w:rFonts w:ascii="Verdana" w:hAnsi="Verdana"/>
          <w:sz w:val="20"/>
          <w:szCs w:val="20"/>
        </w:rPr>
        <w:t>a</w:t>
      </w:r>
      <w:proofErr w:type="gramEnd"/>
      <w:r>
        <w:rPr>
          <w:rFonts w:ascii="Verdana" w:hAnsi="Verdana"/>
          <w:sz w:val="20"/>
          <w:szCs w:val="20"/>
        </w:rPr>
        <w:t xml:space="preserve">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pPr>
        <w:spacing w:after="0" w:line="320" w:lineRule="exact"/>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proofErr w:type="gramStart"/>
      <w:r>
        <w:rPr>
          <w:rFonts w:ascii="Verdana" w:hAnsi="Verdana"/>
          <w:sz w:val="20"/>
          <w:szCs w:val="20"/>
        </w:rPr>
        <w:t>a</w:t>
      </w:r>
      <w:proofErr w:type="gramEnd"/>
      <w:r>
        <w:rPr>
          <w:rFonts w:ascii="Verdana" w:hAnsi="Verdana"/>
          <w:sz w:val="20"/>
          <w:szCs w:val="20"/>
        </w:rPr>
        <w:t xml:space="preserve"> 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pPr>
        <w:spacing w:after="0" w:line="320" w:lineRule="exact"/>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Observados os requisitos indicados nesta Escritura, as Debêntures serão subscritas e integralizadas a partir da Primeira Data de Integralização (conforme abaixo definido), dentro do prazo máximo de 6 (seis) meses </w:t>
      </w:r>
      <w:r>
        <w:rPr>
          <w:rFonts w:ascii="Verdana" w:hAnsi="Verdana"/>
          <w:sz w:val="20"/>
          <w:szCs w:val="20"/>
          <w:lang w:val="pt-BR"/>
        </w:rPr>
        <w:lastRenderedPageBreak/>
        <w:t>contados da data de divulgação do Anúncio de Início da Oferta, nos termos do artigo 18 da Instrução CVM 400.</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18"/>
          <w:szCs w:val="20"/>
          <w:lang w:val="pt-BR"/>
        </w:rPr>
      </w:pPr>
      <w:r>
        <w:rPr>
          <w:rFonts w:ascii="Verdana" w:hAnsi="Verdana"/>
          <w:sz w:val="20"/>
          <w:szCs w:val="20"/>
          <w:lang w:val="pt-BR"/>
        </w:rPr>
        <w:t>O público alvo da Oferta, levando-se sempre em conta o perfil de risco dos seus destinatários, será composto por: (i) “</w:t>
      </w:r>
      <w:r>
        <w:rPr>
          <w:rFonts w:ascii="Verdana" w:hAnsi="Verdana"/>
          <w:sz w:val="20"/>
          <w:szCs w:val="20"/>
          <w:u w:val="single"/>
          <w:lang w:val="pt-BR"/>
        </w:rPr>
        <w:t>Investidores Institucionais</w:t>
      </w:r>
      <w:r>
        <w:rPr>
          <w:rFonts w:ascii="Verdana" w:hAnsi="Verdana"/>
          <w:sz w:val="20"/>
          <w:szCs w:val="20"/>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Pr>
          <w:rFonts w:ascii="Verdana" w:hAnsi="Verdana"/>
          <w:sz w:val="20"/>
          <w:szCs w:val="20"/>
          <w:u w:val="single"/>
          <w:lang w:val="pt-BR"/>
        </w:rPr>
        <w:t>BACEN</w:t>
      </w:r>
      <w:r>
        <w:rPr>
          <w:rFonts w:ascii="Verdana" w:hAnsi="Verdana"/>
          <w:sz w:val="20"/>
          <w:szCs w:val="20"/>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e (</w:t>
      </w:r>
      <w:proofErr w:type="spellStart"/>
      <w:r>
        <w:rPr>
          <w:rFonts w:ascii="Verdana" w:hAnsi="Verdana"/>
          <w:sz w:val="20"/>
          <w:szCs w:val="20"/>
          <w:lang w:val="pt-BR"/>
        </w:rPr>
        <w:t>ii</w:t>
      </w:r>
      <w:proofErr w:type="spellEnd"/>
      <w:r>
        <w:rPr>
          <w:rFonts w:ascii="Verdana" w:hAnsi="Verdana"/>
          <w:sz w:val="20"/>
          <w:szCs w:val="20"/>
          <w:lang w:val="pt-BR"/>
        </w:rPr>
        <w:t>) “</w:t>
      </w:r>
      <w:r>
        <w:rPr>
          <w:rFonts w:ascii="Verdana" w:hAnsi="Verdana"/>
          <w:sz w:val="20"/>
          <w:szCs w:val="20"/>
          <w:u w:val="single"/>
          <w:lang w:val="pt-BR"/>
        </w:rPr>
        <w:t>Investidores Não Institucionais</w:t>
      </w:r>
      <w:r>
        <w:rPr>
          <w:rFonts w:ascii="Verdana" w:hAnsi="Verdana"/>
          <w:sz w:val="20"/>
          <w:szCs w:val="20"/>
          <w:lang w:val="pt-BR"/>
        </w:rPr>
        <w:t xml:space="preserve">”, definidos como investidores, pessoas físicas ou jurídicas, que não estejam compreendidos na definição de Investidores Institucionais (sendo os </w:t>
      </w:r>
      <w:bookmarkStart w:id="112" w:name="_GoBack"/>
      <w:bookmarkEnd w:id="112"/>
      <w:r>
        <w:rPr>
          <w:rFonts w:ascii="Verdana" w:hAnsi="Verdana"/>
          <w:sz w:val="20"/>
          <w:szCs w:val="20"/>
          <w:lang w:val="pt-BR"/>
        </w:rPr>
        <w:t>Investidores Institucionais e os Investidores Não Institucionais, em conjunto, “</w:t>
      </w:r>
      <w:r>
        <w:rPr>
          <w:rFonts w:ascii="Verdana" w:hAnsi="Verdana"/>
          <w:sz w:val="20"/>
          <w:szCs w:val="20"/>
          <w:u w:val="single"/>
          <w:lang w:val="pt-BR"/>
        </w:rPr>
        <w:t>Investidores da Oferta</w:t>
      </w:r>
      <w:r>
        <w:rPr>
          <w:rFonts w:ascii="Verdana" w:hAnsi="Verdana"/>
          <w:sz w:val="20"/>
          <w:szCs w:val="20"/>
          <w:lang w:val="pt-BR"/>
        </w:rPr>
        <w:t>”), [</w:t>
      </w:r>
      <w:r>
        <w:rPr>
          <w:rFonts w:ascii="Verdana" w:hAnsi="Verdana"/>
          <w:sz w:val="20"/>
          <w:szCs w:val="20"/>
          <w:highlight w:val="yellow"/>
          <w:lang w:val="pt-BR"/>
        </w:rPr>
        <w:t>sendo o público alvo da Segunda Série composto exclusivamente por fundos de investimento devidamente constituídos e registrados, nos termos da regulamentação aplicável, em especial, da Instrução CVM n° 555, de 17 de dezembro de 2019 // Investidores Institucionais.]</w:t>
      </w:r>
      <w:r>
        <w:rPr>
          <w:rFonts w:ascii="Verdana" w:hAnsi="Verdana"/>
          <w:sz w:val="20"/>
          <w:szCs w:val="20"/>
          <w:lang w:val="pt-BR"/>
        </w:rPr>
        <w:t xml:space="preserve"> [</w:t>
      </w:r>
      <w:r>
        <w:rPr>
          <w:rFonts w:ascii="Verdana" w:hAnsi="Verdana"/>
          <w:b/>
          <w:i/>
          <w:sz w:val="20"/>
          <w:szCs w:val="20"/>
          <w:highlight w:val="yellow"/>
          <w:lang w:val="pt-BR"/>
        </w:rPr>
        <w:t>Nota PNA</w:t>
      </w:r>
      <w:r>
        <w:rPr>
          <w:rFonts w:ascii="Verdana" w:hAnsi="Verdana"/>
          <w:i/>
          <w:sz w:val="20"/>
          <w:szCs w:val="20"/>
          <w:highlight w:val="yellow"/>
          <w:lang w:val="pt-BR"/>
        </w:rPr>
        <w:t xml:space="preserve">: A ser confirmado pelos </w:t>
      </w:r>
      <w:proofErr w:type="gramStart"/>
      <w:r>
        <w:rPr>
          <w:rFonts w:ascii="Verdana" w:hAnsi="Verdana"/>
          <w:i/>
          <w:sz w:val="20"/>
          <w:szCs w:val="20"/>
          <w:highlight w:val="yellow"/>
          <w:lang w:val="pt-BR"/>
        </w:rPr>
        <w:t>Coordenadores</w:t>
      </w:r>
      <w:r>
        <w:rPr>
          <w:rFonts w:ascii="Verdana" w:hAnsi="Verdana"/>
          <w:i/>
          <w:sz w:val="20"/>
          <w:szCs w:val="20"/>
          <w:lang w:val="pt-BR"/>
        </w:rPr>
        <w:t>.</w:t>
      </w:r>
      <w:r>
        <w:rPr>
          <w:rFonts w:ascii="Verdana" w:hAnsi="Verdana"/>
          <w:sz w:val="20"/>
          <w:szCs w:val="20"/>
          <w:lang w:val="pt-BR"/>
        </w:rPr>
        <w:t>]</w:t>
      </w:r>
      <w:proofErr w:type="gramEnd"/>
      <w:r>
        <w:rPr>
          <w:sz w:val="40"/>
          <w:szCs w:val="44"/>
          <w:highlight w:val="green"/>
        </w:rPr>
        <w:t xml:space="preserve"> </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 de demanda a ser constatado no âmbito da Oferta, mediante a emissão das Debêntures Adicionais, a critério da Emissora, nos termos do parágrafo 2º do artigo 14 da Instrução CVM 400, observado o disposto na Cláusula 3.9, abaixo.</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Caso o montante da Oferta seja aumentado nos termos da Cláusula 3.7.4, acima, os Coordenadores farão a distribuição das Debêntures Adicionais em regime de melhores esforços de colocação. </w:t>
      </w:r>
    </w:p>
    <w:p>
      <w:pPr>
        <w:tabs>
          <w:tab w:val="left" w:pos="1701"/>
        </w:tabs>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lastRenderedPageBreak/>
        <w:t>Não será permitida a distribuição parcial das Debêntures correspondentes ao Valor Total da Emissão.</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pPr>
        <w:spacing w:after="0" w:line="320" w:lineRule="exact"/>
        <w:ind w:left="709" w:hanging="709"/>
        <w:jc w:val="center"/>
        <w:rPr>
          <w:rFonts w:ascii="Verdana" w:hAnsi="Verdana"/>
          <w:sz w:val="20"/>
          <w:szCs w:val="20"/>
        </w:rPr>
      </w:pPr>
    </w:p>
    <w:p>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 xml:space="preserve">Coleta de intenções de investimento (Procedimento de </w:t>
      </w:r>
      <w:proofErr w:type="spellStart"/>
      <w:r>
        <w:rPr>
          <w:rFonts w:ascii="Verdana" w:hAnsi="Verdana"/>
          <w:sz w:val="20"/>
          <w:szCs w:val="20"/>
          <w:u w:val="single"/>
          <w:lang w:val="pt-BR"/>
        </w:rPr>
        <w:t>Bookbuilding</w:t>
      </w:r>
      <w:proofErr w:type="spellEnd"/>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3" w:name="_DV_C54"/>
      <w:r>
        <w:rPr>
          <w:rFonts w:ascii="Verdana" w:hAnsi="Verdana"/>
          <w:sz w:val="20"/>
          <w:szCs w:val="20"/>
          <w:lang w:val="pt-BR"/>
        </w:rPr>
        <w:t>observado o disposto na Cláusula 3.8.4, abaixo, para verificação da demanda pelas Debêntures em diferentes níveis de taxa de juros</w:t>
      </w:r>
      <w:bookmarkEnd w:id="113"/>
      <w:r>
        <w:rPr>
          <w:rFonts w:ascii="Verdana" w:hAnsi="Verdana"/>
          <w:sz w:val="20"/>
          <w:szCs w:val="20"/>
          <w:lang w:val="pt-BR"/>
        </w:rPr>
        <w:t>, de forma a definir, de comum acordo com a Emissora (i) a quantidade de Séries; (</w:t>
      </w:r>
      <w:proofErr w:type="spellStart"/>
      <w:r>
        <w:rPr>
          <w:rFonts w:ascii="Verdana" w:hAnsi="Verdana"/>
          <w:sz w:val="20"/>
          <w:szCs w:val="20"/>
          <w:lang w:val="pt-BR"/>
        </w:rPr>
        <w:t>ii</w:t>
      </w:r>
      <w:proofErr w:type="spellEnd"/>
      <w:r>
        <w:rPr>
          <w:rFonts w:ascii="Verdana" w:hAnsi="Verdana"/>
          <w:sz w:val="20"/>
          <w:szCs w:val="20"/>
          <w:lang w:val="pt-BR"/>
        </w:rPr>
        <w:t>) a aplicação do Sistema de Vasos Comunicantes e, por sua vez, a quantidade de Debêntures alocadas em cada série; (</w:t>
      </w:r>
      <w:proofErr w:type="spellStart"/>
      <w:r>
        <w:rPr>
          <w:rFonts w:ascii="Verdana" w:hAnsi="Verdana"/>
          <w:sz w:val="20"/>
          <w:szCs w:val="20"/>
          <w:lang w:val="pt-BR"/>
        </w:rPr>
        <w:t>iii</w:t>
      </w:r>
      <w:proofErr w:type="spellEnd"/>
      <w:r>
        <w:rPr>
          <w:rFonts w:ascii="Verdana" w:hAnsi="Verdana"/>
          <w:sz w:val="20"/>
          <w:szCs w:val="20"/>
          <w:lang w:val="pt-BR"/>
        </w:rPr>
        <w:t>) a taxa final dos Juros Remuneratórios da Primeira Série, nos termos da Cláusula 5.6.2.1, abaixo; (</w:t>
      </w:r>
      <w:proofErr w:type="spellStart"/>
      <w:r>
        <w:rPr>
          <w:rFonts w:ascii="Verdana" w:hAnsi="Verdana"/>
          <w:sz w:val="20"/>
          <w:szCs w:val="20"/>
          <w:lang w:val="pt-BR"/>
        </w:rPr>
        <w:t>iv</w:t>
      </w:r>
      <w:proofErr w:type="spellEnd"/>
      <w:r>
        <w:rPr>
          <w:rFonts w:ascii="Verdana" w:hAnsi="Verdana"/>
          <w:sz w:val="20"/>
          <w:szCs w:val="20"/>
          <w:lang w:val="pt-BR"/>
        </w:rPr>
        <w:t>) a taxa final dos Juros Remuneratórios da Segunda Série, nos termos da Cláusula 5.6.2.2, abaixo (v) a alocação das Debêntures entre os Investidores da Oferta; e (vi) a colocação, ou não, das Debêntures Adicionais, bem como a(s) respectiva(s) Série(s) na(s) qual(</w:t>
      </w:r>
      <w:proofErr w:type="spellStart"/>
      <w:r>
        <w:rPr>
          <w:rFonts w:ascii="Verdana" w:hAnsi="Verdana"/>
          <w:sz w:val="20"/>
          <w:szCs w:val="20"/>
          <w:lang w:val="pt-BR"/>
        </w:rPr>
        <w:t>is</w:t>
      </w:r>
      <w:proofErr w:type="spellEnd"/>
      <w:r>
        <w:rPr>
          <w:rFonts w:ascii="Verdana" w:hAnsi="Verdana"/>
          <w:sz w:val="20"/>
          <w:szCs w:val="20"/>
          <w:lang w:val="pt-BR"/>
        </w:rPr>
        <w:t>) será(</w:t>
      </w:r>
      <w:proofErr w:type="spellStart"/>
      <w:r>
        <w:rPr>
          <w:rFonts w:ascii="Verdana" w:hAnsi="Verdana"/>
          <w:sz w:val="20"/>
          <w:szCs w:val="20"/>
          <w:lang w:val="pt-BR"/>
        </w:rPr>
        <w:t>ão</w:t>
      </w:r>
      <w:proofErr w:type="spellEnd"/>
      <w:r>
        <w:rPr>
          <w:rFonts w:ascii="Verdana" w:hAnsi="Verdana"/>
          <w:sz w:val="20"/>
          <w:szCs w:val="20"/>
          <w:lang w:val="pt-BR"/>
        </w:rPr>
        <w:t>) alocada(s) as Debêntures Adicionais e, consequentemente, a quantidade de Debêntures a ser alocada em cada uma das Séries (“</w:t>
      </w:r>
      <w:r>
        <w:rPr>
          <w:rFonts w:ascii="Verdana" w:hAnsi="Verdana"/>
          <w:sz w:val="20"/>
          <w:szCs w:val="20"/>
          <w:u w:val="single"/>
          <w:lang w:val="pt-BR"/>
        </w:rPr>
        <w:t xml:space="preserve">Procedimento de </w:t>
      </w:r>
      <w:proofErr w:type="spellStart"/>
      <w:r>
        <w:rPr>
          <w:rFonts w:ascii="Verdana" w:hAnsi="Verdana"/>
          <w:i/>
          <w:iCs/>
          <w:sz w:val="20"/>
          <w:szCs w:val="20"/>
          <w:u w:val="single"/>
          <w:lang w:val="pt-BR"/>
        </w:rPr>
        <w:t>Bookbuilding</w:t>
      </w:r>
      <w:proofErr w:type="spellEnd"/>
      <w:r>
        <w:rPr>
          <w:rFonts w:ascii="Verdana" w:hAnsi="Verdana"/>
          <w:sz w:val="20"/>
          <w:szCs w:val="20"/>
          <w:lang w:val="pt-BR"/>
        </w:rPr>
        <w:t xml:space="preserve">”). </w:t>
      </w:r>
    </w:p>
    <w:p>
      <w:pPr>
        <w:tabs>
          <w:tab w:val="num" w:pos="851"/>
          <w:tab w:val="left" w:pos="170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observada a quantidade total de Debêntures e as Debêntures Adicionais, estas se emitidas, será definida no Procedimento de </w:t>
      </w:r>
      <w:proofErr w:type="spellStart"/>
      <w:r>
        <w:rPr>
          <w:rFonts w:ascii="Verdana" w:hAnsi="Verdana"/>
          <w:i/>
          <w:sz w:val="20"/>
          <w:szCs w:val="20"/>
        </w:rPr>
        <w:t>Bookbuilding</w:t>
      </w:r>
      <w:proofErr w:type="spellEnd"/>
      <w:r>
        <w:rPr>
          <w:rFonts w:ascii="Verdana" w:hAnsi="Verdana"/>
          <w:sz w:val="20"/>
          <w:szCs w:val="20"/>
        </w:rPr>
        <w:t>, observado que (i) uma das s</w:t>
      </w:r>
      <w:r>
        <w:rPr>
          <w:rFonts w:ascii="Verdana" w:hAnsi="Verdana"/>
          <w:sz w:val="20"/>
          <w:szCs w:val="20"/>
          <w:lang w:val="pt-BR"/>
        </w:rPr>
        <w:t>éries</w:t>
      </w:r>
      <w:r>
        <w:rPr>
          <w:rFonts w:ascii="Verdana" w:hAnsi="Verdana"/>
          <w:sz w:val="20"/>
          <w:szCs w:val="20"/>
        </w:rPr>
        <w:t xml:space="preserve"> poderá não ser emitida, hipótese na qual a Emissão será realizada em série única; e (</w:t>
      </w:r>
      <w:proofErr w:type="spellStart"/>
      <w:r>
        <w:rPr>
          <w:rFonts w:ascii="Verdana" w:hAnsi="Verdana"/>
          <w:sz w:val="20"/>
          <w:szCs w:val="20"/>
        </w:rPr>
        <w:t>ii</w:t>
      </w:r>
      <w:proofErr w:type="spellEnd"/>
      <w:r>
        <w:rPr>
          <w:rFonts w:ascii="Verdana" w:hAnsi="Verdana"/>
          <w:sz w:val="20"/>
          <w:szCs w:val="20"/>
        </w:rPr>
        <w:t>) o somatório das Debêntures da Primeira Série e das Debêntures da Segunda Série não excederá o Valor Total da Emissão, observada a possibilidade de emissão de Debêntures Adicionais (“</w:t>
      </w:r>
      <w:r>
        <w:rPr>
          <w:rFonts w:ascii="Verdana" w:hAnsi="Verdana"/>
          <w:sz w:val="20"/>
          <w:szCs w:val="20"/>
          <w:u w:val="single"/>
        </w:rPr>
        <w:t>Sistema de Vasos Comunicantes</w:t>
      </w:r>
      <w:r>
        <w:rPr>
          <w:rFonts w:ascii="Verdana" w:hAnsi="Verdana"/>
          <w:sz w:val="20"/>
          <w:szCs w:val="20"/>
        </w:rPr>
        <w:t>”).</w:t>
      </w:r>
    </w:p>
    <w:p>
      <w:pPr>
        <w:pStyle w:val="Saudao"/>
        <w:spacing w:line="320" w:lineRule="exact"/>
        <w:ind w:left="851" w:firstLine="0"/>
        <w:rPr>
          <w:rFonts w:ascii="Verdana" w:hAnsi="Verdana"/>
          <w:sz w:val="20"/>
          <w:szCs w:val="20"/>
          <w:lang w:val="pt-BR"/>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lastRenderedPageBreak/>
        <w:t xml:space="preserve">Participarão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para definição dos Juros Remuneratórios e alocação das Debêntures entre as Séries exclusivamente Investidores Institucionais. Nesse sentido, os Investidores Não Institucionais não participarão do Procedimento de </w:t>
      </w:r>
      <w:proofErr w:type="spellStart"/>
      <w:r>
        <w:rPr>
          <w:rFonts w:ascii="Verdana" w:hAnsi="Verdana"/>
          <w:sz w:val="20"/>
          <w:szCs w:val="20"/>
          <w:lang w:val="pt-BR"/>
        </w:rPr>
        <w:t>Bookbuilding</w:t>
      </w:r>
      <w:proofErr w:type="spellEnd"/>
      <w:r>
        <w:rPr>
          <w:rFonts w:ascii="Verdana" w:hAnsi="Verdana"/>
          <w:sz w:val="20"/>
          <w:szCs w:val="20"/>
          <w:lang w:val="pt-BR"/>
        </w:rPr>
        <w:t xml:space="preserve"> para a definição dos Juros Remuneratórios e alocação das Debêntures entre as Séries. </w:t>
      </w:r>
    </w:p>
    <w:p>
      <w:pPr>
        <w:tabs>
          <w:tab w:val="left" w:pos="6158"/>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Ao final do Procedimento de </w:t>
      </w:r>
      <w:proofErr w:type="spellStart"/>
      <w:r>
        <w:rPr>
          <w:rFonts w:ascii="Verdana" w:hAnsi="Verdana"/>
          <w:i/>
          <w:sz w:val="20"/>
          <w:szCs w:val="20"/>
          <w:lang w:val="pt-BR"/>
        </w:rPr>
        <w:t>Bookbuilding</w:t>
      </w:r>
      <w:proofErr w:type="spellEnd"/>
      <w:r>
        <w:rPr>
          <w:rFonts w:ascii="Verdana" w:hAnsi="Verdana"/>
          <w:sz w:val="20"/>
          <w:szCs w:val="20"/>
          <w:lang w:val="pt-BR"/>
        </w:rPr>
        <w:t>, a Emissora ratificará (i) a quantidade de séries; (</w:t>
      </w:r>
      <w:proofErr w:type="spellStart"/>
      <w:r>
        <w:rPr>
          <w:rFonts w:ascii="Verdana" w:hAnsi="Verdana"/>
          <w:sz w:val="20"/>
          <w:szCs w:val="20"/>
          <w:lang w:val="pt-BR"/>
        </w:rPr>
        <w:t>ii</w:t>
      </w:r>
      <w:proofErr w:type="spellEnd"/>
      <w:r>
        <w:rPr>
          <w:rFonts w:ascii="Verdana" w:hAnsi="Verdana"/>
          <w:sz w:val="20"/>
          <w:szCs w:val="20"/>
          <w:lang w:val="pt-BR"/>
        </w:rPr>
        <w:t>) a taxa final dos Juros Remuneratórios; (</w:t>
      </w:r>
      <w:proofErr w:type="spellStart"/>
      <w:r>
        <w:rPr>
          <w:rFonts w:ascii="Verdana" w:hAnsi="Verdana"/>
          <w:sz w:val="20"/>
          <w:szCs w:val="20"/>
          <w:lang w:val="pt-BR"/>
        </w:rPr>
        <w:t>iii</w:t>
      </w:r>
      <w:proofErr w:type="spellEnd"/>
      <w:r>
        <w:rPr>
          <w:rFonts w:ascii="Verdana" w:hAnsi="Verdana"/>
          <w:sz w:val="20"/>
          <w:szCs w:val="20"/>
          <w:lang w:val="pt-BR"/>
        </w:rPr>
        <w:t>) a alocação das Debêntures entre as Séries; e (</w:t>
      </w:r>
      <w:proofErr w:type="spellStart"/>
      <w:r>
        <w:rPr>
          <w:rFonts w:ascii="Verdana" w:hAnsi="Verdana"/>
          <w:sz w:val="20"/>
          <w:szCs w:val="20"/>
          <w:lang w:val="pt-BR"/>
        </w:rPr>
        <w:t>iv</w:t>
      </w:r>
      <w:proofErr w:type="spellEnd"/>
      <w:r>
        <w:rPr>
          <w:rFonts w:ascii="Verdana" w:hAnsi="Verdana"/>
          <w:sz w:val="20"/>
          <w:szCs w:val="20"/>
          <w:lang w:val="pt-BR"/>
        </w:rPr>
        <w:t xml:space="preserve">)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será divulgado por meio do Anúncio de Início, nos termos do artigo 23, parágrafo 2º, da Instrução CVM 400.</w:t>
      </w:r>
    </w:p>
    <w:p>
      <w:pPr>
        <w:tabs>
          <w:tab w:val="num" w:pos="85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Pr>
          <w:rFonts w:ascii="Verdana" w:hAnsi="Verdana"/>
          <w:sz w:val="20"/>
          <w:szCs w:val="20"/>
          <w:lang w:val="pt-BR"/>
        </w:rPr>
        <w:t>ii</w:t>
      </w:r>
      <w:proofErr w:type="spellEnd"/>
      <w:r>
        <w:rPr>
          <w:rFonts w:ascii="Verdana" w:hAnsi="Verdana"/>
          <w:sz w:val="20"/>
          <w:szCs w:val="20"/>
          <w:lang w:val="pt-BR"/>
        </w:rPr>
        <w:t>) controladores pessoa física ou jurídica ou administradores das Instituições Participantes da Oferta; (</w:t>
      </w:r>
      <w:proofErr w:type="spellStart"/>
      <w:r>
        <w:rPr>
          <w:rFonts w:ascii="Verdana" w:hAnsi="Verdana"/>
          <w:sz w:val="20"/>
          <w:szCs w:val="20"/>
          <w:lang w:val="pt-BR"/>
        </w:rPr>
        <w:t>iii</w:t>
      </w:r>
      <w:proofErr w:type="spellEnd"/>
      <w:r>
        <w:rPr>
          <w:rFonts w:ascii="Verdana" w:hAnsi="Verdana"/>
          <w:sz w:val="20"/>
          <w:szCs w:val="20"/>
          <w:lang w:val="pt-BR"/>
        </w:rPr>
        <w:t>) empregados, operadores e demais prepostos da Emissora e/ou das Instituições Participantes da Oferta, que desempenhem atividades de intermediação ou de suporte operacional diretamente envolvidos na Oferta; (</w:t>
      </w:r>
      <w:proofErr w:type="spellStart"/>
      <w:r>
        <w:rPr>
          <w:rFonts w:ascii="Verdana" w:hAnsi="Verdana"/>
          <w:sz w:val="20"/>
          <w:szCs w:val="20"/>
          <w:lang w:val="pt-BR"/>
        </w:rPr>
        <w:t>iv</w:t>
      </w:r>
      <w:proofErr w:type="spellEnd"/>
      <w:r>
        <w:rPr>
          <w:rFonts w:ascii="Verdana" w:hAnsi="Verdana"/>
          <w:sz w:val="20"/>
          <w:szCs w:val="20"/>
          <w:lang w:val="pt-BR"/>
        </w:rPr>
        <w:t xml:space="preserve">) agentes </w:t>
      </w:r>
      <w:r>
        <w:rPr>
          <w:rFonts w:ascii="Verdana" w:hAnsi="Verdana"/>
          <w:sz w:val="20"/>
          <w:szCs w:val="20"/>
          <w:lang w:val="pt-BR"/>
        </w:rPr>
        <w:lastRenderedPageBreak/>
        <w:t>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 vinculadas; (</w:t>
      </w:r>
      <w:proofErr w:type="spellStart"/>
      <w:r>
        <w:rPr>
          <w:rFonts w:ascii="Verdana" w:hAnsi="Verdana"/>
          <w:sz w:val="20"/>
          <w:szCs w:val="20"/>
          <w:lang w:val="pt-BR"/>
        </w:rPr>
        <w:t>vii</w:t>
      </w:r>
      <w:proofErr w:type="spellEnd"/>
      <w:r>
        <w:rPr>
          <w:rFonts w:ascii="Verdana" w:hAnsi="Verdana"/>
          <w:sz w:val="20"/>
          <w:szCs w:val="20"/>
          <w:lang w:val="pt-BR"/>
        </w:rPr>
        <w:t>) sociedades controladas, direta ou indiretamente, por pessoas vinculadas às Instituições Participantes da Oferta, desde que diretamente envolvidas na Oferta; (</w:t>
      </w:r>
      <w:proofErr w:type="spellStart"/>
      <w:r>
        <w:rPr>
          <w:rFonts w:ascii="Verdana" w:hAnsi="Verdana"/>
          <w:sz w:val="20"/>
          <w:szCs w:val="20"/>
          <w:lang w:val="pt-BR"/>
        </w:rPr>
        <w:t>viii</w:t>
      </w:r>
      <w:proofErr w:type="spellEnd"/>
      <w:r>
        <w:rPr>
          <w:rFonts w:ascii="Verdana" w:hAnsi="Verdana"/>
          <w:sz w:val="20"/>
          <w:szCs w:val="20"/>
          <w:lang w:val="pt-BR"/>
        </w:rPr>
        <w:t>) cônjuges ou companheiro e filhos menores das pessoas mencionadas nos itens “</w:t>
      </w:r>
      <w:proofErr w:type="spellStart"/>
      <w:r>
        <w:rPr>
          <w:rFonts w:ascii="Verdana" w:hAnsi="Verdana"/>
          <w:sz w:val="20"/>
          <w:szCs w:val="20"/>
          <w:lang w:val="pt-BR"/>
        </w:rPr>
        <w:t>ii</w:t>
      </w:r>
      <w:proofErr w:type="spellEnd"/>
      <w:r>
        <w:rPr>
          <w:rFonts w:ascii="Verdana" w:hAnsi="Verdana"/>
          <w:sz w:val="20"/>
          <w:szCs w:val="20"/>
          <w:lang w:val="pt-BR"/>
        </w:rPr>
        <w:t>” a “v”; e (</w:t>
      </w:r>
      <w:proofErr w:type="spellStart"/>
      <w:r>
        <w:rPr>
          <w:rFonts w:ascii="Verdana" w:hAnsi="Verdana"/>
          <w:sz w:val="20"/>
          <w:szCs w:val="20"/>
          <w:lang w:val="pt-BR"/>
        </w:rPr>
        <w:t>ix</w:t>
      </w:r>
      <w:proofErr w:type="spellEnd"/>
      <w:r>
        <w:rPr>
          <w:rFonts w:ascii="Verdana" w:hAnsi="Verdana"/>
          <w:sz w:val="20"/>
          <w:szCs w:val="20"/>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desde que o direito de subscrever e a quantidade máxima de valores mobiliários a serem subscritos, se houver tal limitação, estejam divulgados no prospecto preliminar da Oferta (“</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As intenções de investimento do Formador de Mercado serão alocadas na taxa de juros apurada no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não havendo, portanto, qualquer influência por parte do Formador de Mercado na definição dos Juros Remuneratórios das Debêntures durante 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w:t>
      </w:r>
      <w:r>
        <w:rPr>
          <w:rFonts w:ascii="Verdana" w:hAnsi="Verdana"/>
          <w:iCs/>
          <w:sz w:val="20"/>
          <w:szCs w:val="20"/>
        </w:rPr>
        <w:lastRenderedPageBreak/>
        <w:t xml:space="preserve">Definitivo pelo menos 5 (cinco) Dias Úteis antes do prazo inicial para o recebimento dos Pedidos de Reserva.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14" w:name="_DV_M127"/>
      <w:bookmarkEnd w:id="114"/>
      <w:r>
        <w:rPr>
          <w:rFonts w:ascii="Verdana" w:hAnsi="Verdana"/>
          <w:sz w:val="20"/>
          <w:szCs w:val="20"/>
        </w:rPr>
        <w:t>em até 20% (vinte por cento), ou seja, em até 200.000 (duzentas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proofErr w:type="spellStart"/>
      <w:r>
        <w:rPr>
          <w:rFonts w:ascii="Verdana" w:hAnsi="Verdana"/>
          <w:i/>
          <w:sz w:val="20"/>
          <w:szCs w:val="20"/>
        </w:rPr>
        <w:t>Bookbuilding</w:t>
      </w:r>
      <w:proofErr w:type="spellEnd"/>
      <w:r>
        <w:rPr>
          <w:rFonts w:ascii="Verdana" w:hAnsi="Verdana"/>
          <w:sz w:val="20"/>
          <w:szCs w:val="20"/>
        </w:rPr>
        <w:t xml:space="preserve">. A critério dos Coordenadores e da Emissora, em conjunto, conforme verificado pelo Procedimento de </w:t>
      </w:r>
      <w:proofErr w:type="spellStart"/>
      <w:r>
        <w:rPr>
          <w:rFonts w:ascii="Verdana" w:hAnsi="Verdana"/>
          <w:sz w:val="20"/>
          <w:szCs w:val="20"/>
        </w:rPr>
        <w:t>Bookbuilding</w:t>
      </w:r>
      <w:proofErr w:type="spellEnd"/>
      <w:r>
        <w:rPr>
          <w:rFonts w:ascii="Verdana" w:hAnsi="Verdana"/>
          <w:sz w:val="20"/>
          <w:szCs w:val="20"/>
        </w:rPr>
        <w:t>, as Debêntures Adicionais poderão ser Debêntures da Primeira Série e/ou Debêntures da Segunda Série. As Debêntures Adicionais eventualmente emitidas passarão a ter as mesmas características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pPr>
        <w:spacing w:after="0" w:line="320" w:lineRule="exact"/>
        <w:ind w:left="851" w:hanging="851"/>
        <w:jc w:val="both"/>
        <w:rPr>
          <w:rFonts w:ascii="Verdana" w:hAnsi="Verdana"/>
          <w:sz w:val="20"/>
          <w:szCs w:val="20"/>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15" w:name="_DV_M65"/>
      <w:bookmarkStart w:id="116" w:name="_DV_M68"/>
      <w:bookmarkStart w:id="117" w:name="_DV_M69"/>
      <w:bookmarkStart w:id="118" w:name="_DV_M70"/>
      <w:bookmarkStart w:id="119" w:name="_DV_M73"/>
      <w:bookmarkStart w:id="120" w:name="_DV_M74"/>
      <w:bookmarkStart w:id="121" w:name="_DV_M75"/>
      <w:bookmarkStart w:id="122" w:name="_DV_M76"/>
      <w:bookmarkEnd w:id="115"/>
      <w:bookmarkEnd w:id="116"/>
      <w:bookmarkEnd w:id="117"/>
      <w:bookmarkEnd w:id="118"/>
      <w:bookmarkEnd w:id="119"/>
      <w:bookmarkEnd w:id="120"/>
      <w:bookmarkEnd w:id="121"/>
      <w:bookmarkEnd w:id="122"/>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pPr>
        <w:spacing w:after="0" w:line="320" w:lineRule="exact"/>
        <w:ind w:left="851" w:hanging="851"/>
        <w:jc w:val="both"/>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proofErr w:type="spellStart"/>
      <w:r>
        <w:rPr>
          <w:rFonts w:ascii="Verdana" w:hAnsi="Verdana"/>
          <w:i/>
          <w:sz w:val="20"/>
          <w:szCs w:val="20"/>
          <w:u w:val="single"/>
        </w:rPr>
        <w:t>Escriturador</w:t>
      </w:r>
      <w:proofErr w:type="spellEnd"/>
      <w:r>
        <w:rPr>
          <w:rFonts w:ascii="Verdana" w:hAnsi="Verdana"/>
          <w:sz w:val="20"/>
          <w:szCs w:val="20"/>
        </w:rPr>
        <w:t>. O Banco Bradesco S.A., qualificado acima, prestará os serviços de escrituração das Debêntures (“</w:t>
      </w:r>
      <w:proofErr w:type="spellStart"/>
      <w:r>
        <w:rPr>
          <w:rFonts w:ascii="Verdana" w:hAnsi="Verdana"/>
          <w:sz w:val="20"/>
          <w:szCs w:val="20"/>
          <w:u w:val="single"/>
        </w:rPr>
        <w:t>Escriturador</w:t>
      </w:r>
      <w:proofErr w:type="spellEnd"/>
      <w:r>
        <w:rPr>
          <w:rFonts w:ascii="Verdana" w:hAnsi="Verdana"/>
          <w:sz w:val="20"/>
          <w:szCs w:val="20"/>
        </w:rPr>
        <w:t xml:space="preserve">”, cuja definição inclui quaisquer </w:t>
      </w:r>
      <w:r>
        <w:rPr>
          <w:rFonts w:ascii="Verdana" w:hAnsi="Verdana"/>
          <w:sz w:val="20"/>
          <w:szCs w:val="20"/>
        </w:rPr>
        <w:lastRenderedPageBreak/>
        <w:t xml:space="preserve">outras instituições que venham a suceder o </w:t>
      </w:r>
      <w:proofErr w:type="spellStart"/>
      <w:r>
        <w:rPr>
          <w:rFonts w:ascii="Verdana" w:hAnsi="Verdana"/>
          <w:sz w:val="20"/>
          <w:szCs w:val="20"/>
        </w:rPr>
        <w:t>Escriturador</w:t>
      </w:r>
      <w:proofErr w:type="spellEnd"/>
      <w:r>
        <w:rPr>
          <w:rFonts w:ascii="Verdana" w:hAnsi="Verdana"/>
          <w:sz w:val="20"/>
          <w:szCs w:val="20"/>
        </w:rPr>
        <w:t xml:space="preserve"> na prestação dos serviços de escrituração das Debêntures). </w:t>
      </w:r>
    </w:p>
    <w:p>
      <w:pPr>
        <w:pStyle w:val="PargrafodaLista"/>
        <w:spacing w:line="320" w:lineRule="exact"/>
        <w:ind w:left="851" w:hanging="851"/>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xml:space="preserve">. Conforme recomendação dos Coordenadores, a Emissora contratou o [Itaú Unibanco S.A.],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w:t>
      </w:r>
      <w:proofErr w:type="spellStart"/>
      <w:r>
        <w:rPr>
          <w:rFonts w:ascii="Verdana" w:hAnsi="Verdana"/>
          <w:sz w:val="20"/>
          <w:szCs w:val="20"/>
        </w:rPr>
        <w:t>Cetip</w:t>
      </w:r>
      <w:proofErr w:type="spellEnd"/>
      <w:r>
        <w:rPr>
          <w:rFonts w:ascii="Verdana" w:hAnsi="Verdana"/>
          <w:sz w:val="20"/>
          <w:szCs w:val="20"/>
        </w:rPr>
        <w:t xml:space="preserve"> UTVM, nos termos a serem previstos em contrato de Formador de Mercado.</w:t>
      </w:r>
    </w:p>
    <w:p>
      <w:pPr>
        <w:pStyle w:val="PargrafodaLista"/>
        <w:spacing w:line="320" w:lineRule="exact"/>
        <w:ind w:left="709" w:hanging="709"/>
        <w:rPr>
          <w:rFonts w:ascii="Verdana" w:hAnsi="Verdana"/>
          <w:sz w:val="20"/>
          <w:szCs w:val="20"/>
        </w:rPr>
      </w:pPr>
    </w:p>
    <w:p>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pPr>
        <w:spacing w:after="0" w:line="320" w:lineRule="exact"/>
        <w:rPr>
          <w:rFonts w:ascii="Verdana" w:hAnsi="Verdana"/>
          <w:sz w:val="20"/>
          <w:szCs w:val="20"/>
        </w:rPr>
      </w:pPr>
    </w:p>
    <w:p>
      <w:pPr>
        <w:pStyle w:val="PargrafodaLista"/>
        <w:numPr>
          <w:ilvl w:val="1"/>
          <w:numId w:val="68"/>
        </w:numPr>
        <w:spacing w:line="320" w:lineRule="exact"/>
        <w:ind w:left="851" w:hanging="851"/>
        <w:jc w:val="both"/>
        <w:rPr>
          <w:rFonts w:ascii="Verdana" w:hAnsi="Verdana"/>
          <w:sz w:val="20"/>
          <w:szCs w:val="20"/>
        </w:rPr>
      </w:pPr>
      <w:r>
        <w:rPr>
          <w:rFonts w:ascii="Verdana" w:hAnsi="Verdana"/>
          <w:sz w:val="20"/>
          <w:szCs w:val="20"/>
        </w:rPr>
        <w:t>Nos termos do artigo 2º da Lei nº 12.431, do Decreto nº 8.874, das Portarias do Ministério da Infraestrutura, da Resolução do Conselho Monetário Nacional (“</w:t>
      </w:r>
      <w:r>
        <w:rPr>
          <w:rFonts w:ascii="Verdana" w:hAnsi="Verdana"/>
          <w:sz w:val="20"/>
          <w:szCs w:val="20"/>
          <w:u w:val="single"/>
        </w:rPr>
        <w:t>CMN</w:t>
      </w:r>
      <w:r>
        <w:rPr>
          <w:rFonts w:ascii="Verdana" w:hAnsi="Verdana"/>
          <w:sz w:val="20"/>
          <w:szCs w:val="20"/>
        </w:rPr>
        <w:t xml:space="preserve">”) nº 3.947, de 27 de janeiro de 2011 e da Portaria 009/2012, a totalidade dos recursos líquidos captados pela Emissora por meio da Emissão (inclusive decorrentes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projetos de investimento em infraestrutura na área de transporte e logística no setor ferroviário da Rumo Malha Sul S.A. (“</w:t>
      </w:r>
      <w:r>
        <w:rPr>
          <w:rFonts w:ascii="Verdana" w:hAnsi="Verdana" w:cs="Arial"/>
          <w:sz w:val="20"/>
          <w:szCs w:val="20"/>
          <w:u w:val="single"/>
        </w:rPr>
        <w:t>Rumo Malha Sul</w:t>
      </w:r>
      <w:r>
        <w:rPr>
          <w:rFonts w:ascii="Verdana" w:hAnsi="Verdana" w:cs="Arial"/>
          <w:sz w:val="20"/>
          <w:szCs w:val="20"/>
        </w:rPr>
        <w:t>”) e Rumo Malha Central S.A. (“</w:t>
      </w:r>
      <w:r>
        <w:rPr>
          <w:rFonts w:ascii="Verdana" w:hAnsi="Verdana" w:cs="Arial"/>
          <w:sz w:val="20"/>
          <w:szCs w:val="20"/>
          <w:u w:val="single"/>
        </w:rPr>
        <w:t>Rumo 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 Malha Sul</w:t>
      </w:r>
      <w:r>
        <w:rPr>
          <w:rFonts w:ascii="Verdana" w:hAnsi="Verdana"/>
          <w:color w:val="000000"/>
          <w:sz w:val="20"/>
          <w:szCs w:val="20"/>
        </w:rPr>
        <w:t>” e “</w:t>
      </w:r>
      <w:r>
        <w:rPr>
          <w:rFonts w:ascii="Verdana" w:hAnsi="Verdana"/>
          <w:color w:val="000000"/>
          <w:sz w:val="20"/>
          <w:szCs w:val="20"/>
          <w:u w:val="single"/>
        </w:rPr>
        <w:t>Projeto Malha Central</w:t>
      </w:r>
      <w:r>
        <w:rPr>
          <w:rFonts w:ascii="Verdana" w:hAnsi="Verdana"/>
          <w:color w:val="000000"/>
          <w:sz w:val="20"/>
          <w:szCs w:val="20"/>
        </w:rPr>
        <w:t>”, respectivamente e, quando em conjunto, “</w:t>
      </w:r>
      <w:r>
        <w:rPr>
          <w:rFonts w:ascii="Verdana" w:hAnsi="Verdana"/>
          <w:color w:val="000000"/>
          <w:sz w:val="20"/>
          <w:szCs w:val="20"/>
          <w:u w:val="single"/>
        </w:rPr>
        <w:t>Projetos</w:t>
      </w:r>
      <w:r>
        <w:rPr>
          <w:rFonts w:ascii="Verdana" w:hAnsi="Verdana"/>
          <w:color w:val="000000"/>
          <w:sz w:val="20"/>
          <w:szCs w:val="20"/>
        </w:rPr>
        <w:t>”):</w:t>
      </w:r>
    </w:p>
    <w:p>
      <w:pPr>
        <w:pStyle w:val="PargrafodaLista"/>
        <w:spacing w:line="320" w:lineRule="exact"/>
        <w:ind w:left="851"/>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94"/>
        <w:gridCol w:w="6013"/>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Objetivo do Projeto Malha Sul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Conforme disposto na Portaria Malha Sul, melhorar os padrões de qualidade da via permanente; construção de novos pátios de cruzamento; reestruturar e modernizar o material rodante; e elevar os padrões de tecnologia da informação (TI) e tecnologia operacional (TO) empregados nas operações logísticas, nos Estados de São Paulo, Paraná, Santa Catarina e Rio Grande do Sul. A Rumo Malha Sul possui uma extensão de 7.223 Km de via férrea. Os principais Municípios são Londrina (PR), Maringá (PR), Araucária (PR), Curitiba (PR), Paranaguá (PR), São Francisco do Sul (SC), Vacaria (RS), Porto Alegre (RS), Santa Maria (RS) e Uruguaiana (RS).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lastRenderedPageBreak/>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sz w:val="20"/>
                <w:szCs w:val="20"/>
              </w:rPr>
            </w:pPr>
            <w:r>
              <w:rPr>
                <w:rFonts w:ascii="Verdana" w:eastAsia="Times New Roman" w:hAnsi="Verdana"/>
                <w:sz w:val="20"/>
                <w:szCs w:val="20"/>
              </w:rPr>
              <w:t>Início: janeiro de 2017.</w:t>
            </w:r>
          </w:p>
          <w:p>
            <w:pPr>
              <w:spacing w:line="320" w:lineRule="exact"/>
              <w:jc w:val="both"/>
              <w:rPr>
                <w:rFonts w:ascii="Verdana" w:hAnsi="Verdana"/>
                <w:sz w:val="20"/>
                <w:szCs w:val="20"/>
              </w:rPr>
            </w:pPr>
            <w:r>
              <w:rPr>
                <w:rFonts w:ascii="Verdana" w:eastAsia="Times New Roman" w:hAnsi="Verdana"/>
                <w:sz w:val="20"/>
                <w:szCs w:val="20"/>
              </w:rPr>
              <w:t>Encerramento: dezembro de 2020.</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Fase atual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 xml:space="preserve">As fases do Projeto Malha Sul de 2017 e 2018 estão concluídas. Em 2019 e 2020, as principais etapas que serão implementadas são projetos de adequação e recuperação de via permanente e manutenção de material rodante. </w:t>
            </w: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R$ 803.000.000,00 (oitocentos e três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R$203.000.000,00 (duzentos e três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Sul, observado o previsto no parágrafo 1ºC, do artigo 1º da Lei nº 12.431.</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Malha Sul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25,28% (vinte e cinco inteiros e vinte e oito centésimos por cento).</w:t>
            </w:r>
          </w:p>
        </w:tc>
      </w:tr>
    </w:tbl>
    <w:p>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94"/>
        <w:gridCol w:w="6013"/>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lastRenderedPageBreak/>
              <w:t>Objetivo do Projeto Malha Central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O projeto inicia em 2020, tendo como foco os seguintes investimentos: (i) investimentos de via, majoritariamente para a conclusão da infraestrutura e superestrutura do Tramo Sul da ferrovia e conexão com Malha Paulista,  também compreendendo construção de pátios, melhoria de sinalização, duplicações parciais, entre outros investimentos; (</w:t>
            </w:r>
            <w:proofErr w:type="spellStart"/>
            <w:r>
              <w:rPr>
                <w:rFonts w:ascii="Verdana" w:eastAsia="Times New Roman" w:hAnsi="Verdana"/>
                <w:sz w:val="20"/>
                <w:szCs w:val="20"/>
              </w:rPr>
              <w:t>ii</w:t>
            </w:r>
            <w:proofErr w:type="spellEnd"/>
            <w:r>
              <w:rPr>
                <w:rFonts w:ascii="Verdana" w:eastAsia="Times New Roman" w:hAnsi="Verdana"/>
                <w:sz w:val="20"/>
                <w:szCs w:val="20"/>
              </w:rPr>
              <w:t>) construção de um terminal de grãos no Estado de Goiás; (</w:t>
            </w:r>
            <w:proofErr w:type="spellStart"/>
            <w:r>
              <w:rPr>
                <w:rFonts w:ascii="Verdana" w:eastAsia="Times New Roman" w:hAnsi="Verdana"/>
                <w:sz w:val="20"/>
                <w:szCs w:val="20"/>
              </w:rPr>
              <w:t>iii</w:t>
            </w:r>
            <w:proofErr w:type="spellEnd"/>
            <w:r>
              <w:rPr>
                <w:rFonts w:ascii="Verdana" w:eastAsia="Times New Roman" w:hAnsi="Verdana"/>
                <w:sz w:val="20"/>
                <w:szCs w:val="20"/>
              </w:rPr>
              <w:t xml:space="preserve">) aquisição de locomotivas, representando aproximadamente 100 (cem) unidades até o final da </w:t>
            </w:r>
            <w:proofErr w:type="spellStart"/>
            <w:r>
              <w:rPr>
                <w:rFonts w:ascii="Verdana" w:eastAsia="Times New Roman" w:hAnsi="Verdana"/>
                <w:sz w:val="20"/>
                <w:szCs w:val="20"/>
              </w:rPr>
              <w:t>subconcessão</w:t>
            </w:r>
            <w:proofErr w:type="spellEnd"/>
            <w:r>
              <w:rPr>
                <w:rFonts w:ascii="Verdana" w:eastAsia="Times New Roman" w:hAnsi="Verdana"/>
                <w:sz w:val="20"/>
                <w:szCs w:val="20"/>
              </w:rPr>
              <w:t>; e (</w:t>
            </w:r>
            <w:proofErr w:type="spellStart"/>
            <w:r>
              <w:rPr>
                <w:rFonts w:ascii="Verdana" w:eastAsia="Times New Roman" w:hAnsi="Verdana"/>
                <w:sz w:val="20"/>
                <w:szCs w:val="20"/>
              </w:rPr>
              <w:t>iv</w:t>
            </w:r>
            <w:proofErr w:type="spellEnd"/>
            <w:r>
              <w:rPr>
                <w:rFonts w:ascii="Verdana" w:eastAsia="Times New Roman" w:hAnsi="Verdana"/>
                <w:sz w:val="20"/>
                <w:szCs w:val="20"/>
              </w:rPr>
              <w:t>) aquisição de aproximadamente 3.400 (três mil e quatrocentos) vagões até o final da concessão.</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sz w:val="20"/>
                <w:szCs w:val="20"/>
              </w:rPr>
            </w:pPr>
            <w:r>
              <w:rPr>
                <w:rFonts w:ascii="Verdana" w:eastAsia="Times New Roman" w:hAnsi="Verdana"/>
                <w:sz w:val="20"/>
                <w:szCs w:val="20"/>
              </w:rPr>
              <w:t>Início: 2020.</w:t>
            </w:r>
          </w:p>
          <w:p>
            <w:pPr>
              <w:spacing w:line="320" w:lineRule="exact"/>
              <w:jc w:val="both"/>
              <w:rPr>
                <w:rFonts w:ascii="Verdana" w:hAnsi="Verdana"/>
                <w:sz w:val="20"/>
                <w:szCs w:val="20"/>
              </w:rPr>
            </w:pPr>
            <w:r>
              <w:rPr>
                <w:rFonts w:ascii="Verdana" w:eastAsia="Times New Roman" w:hAnsi="Verdana"/>
                <w:sz w:val="20"/>
                <w:szCs w:val="20"/>
              </w:rPr>
              <w:t>Encerramento: 2049.</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Fase atual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 projeto se iniciará em 2020.</w:t>
            </w: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R$2.724.000.000,00 (dois bilhões e setecentos e vinte e quatro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R$797.000.000,00 (setecentos e noventa e sete milhões de reais), considerando a subscrição e integralização da totalidade das Debêntures, sem considerar a subscrição e a integralização das Debêntures Adicionais.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Central, observado o previsto no parágrafo 1ºC, do artigo 1º da Lei nº 12.431.</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 xml:space="preserve">Percentual dos recursos financeiros necessários ao Projeto </w:t>
            </w:r>
            <w:r>
              <w:rPr>
                <w:rFonts w:ascii="Verdana" w:hAnsi="Verdana"/>
                <w:b/>
                <w:bCs/>
                <w:sz w:val="20"/>
              </w:rPr>
              <w:lastRenderedPageBreak/>
              <w:t>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lastRenderedPageBreak/>
              <w:t xml:space="preserve">29,26% (vinte e nove inteiros e vinte e seis centésimos por cento), considerando a subscrição e integralização da totalidade das Debêntures, sem considerar a subscrição </w:t>
            </w:r>
            <w:r>
              <w:rPr>
                <w:rFonts w:ascii="Verdana" w:eastAsia="Times New Roman" w:hAnsi="Verdana"/>
                <w:sz w:val="20"/>
                <w:szCs w:val="20"/>
              </w:rPr>
              <w:lastRenderedPageBreak/>
              <w:t>e a integralização das Debêntures Adicionais.</w:t>
            </w:r>
          </w:p>
        </w:tc>
      </w:tr>
    </w:tbl>
    <w:p>
      <w:pPr>
        <w:spacing w:line="320" w:lineRule="exact"/>
        <w:jc w:val="both"/>
        <w:rPr>
          <w:rFonts w:ascii="Verdana" w:hAnsi="Verdana"/>
          <w:sz w:val="20"/>
          <w:szCs w:val="20"/>
        </w:rPr>
      </w:pPr>
    </w:p>
    <w:p>
      <w:pPr>
        <w:spacing w:after="0" w:line="320" w:lineRule="exact"/>
        <w:jc w:val="both"/>
        <w:rPr>
          <w:rFonts w:ascii="Verdana" w:hAnsi="Verdana"/>
          <w:b/>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4.1.2.</w:t>
      </w:r>
      <w:r>
        <w:rPr>
          <w:rFonts w:ascii="Verdana" w:hAnsi="Verdana"/>
          <w:sz w:val="20"/>
          <w:szCs w:val="20"/>
        </w:rPr>
        <w:tab/>
        <w:t>Observado o disposto no artigo 2º, parágrafo 1º-B, da Lei nº 12.431, os recursos captados pela Emissora por meio da Emissão serão transferidos às suas controladas Rumo Malha Sul e Rumo Malha Central, na seguinte proporção: (i) R$203.000.000,00 (duzentos e três milhões de reais) para a Rumo Malha Sul; e (</w:t>
      </w:r>
      <w:proofErr w:type="spellStart"/>
      <w:r>
        <w:rPr>
          <w:rFonts w:ascii="Verdana" w:hAnsi="Verdana"/>
          <w:sz w:val="20"/>
          <w:szCs w:val="20"/>
        </w:rPr>
        <w:t>ii</w:t>
      </w:r>
      <w:proofErr w:type="spellEnd"/>
      <w:r>
        <w:rPr>
          <w:rFonts w:ascii="Verdana" w:hAnsi="Verdana"/>
          <w:sz w:val="20"/>
          <w:szCs w:val="20"/>
        </w:rPr>
        <w:t>) R$797.000.000,00 (setecentos e noventa e sete milhões de reais) para a Rumo Malha Central, sendo certo que os recursos captados pela Emissora em decorrência das Debêntures Adicionais, caso emitidas, serão transferidos em sua totalidade à Rumo Malha Central, nas mesmas condições da presente Emissão, incluindo custos incorridos pela Emissora para realização e manutenção da presente Emissão, para a consequente realização dos Projetos, incluindo reembolso de gastos, despesas ou dívidas relacionadas aos Projetos.</w:t>
      </w:r>
    </w:p>
    <w:p>
      <w:pPr>
        <w:pStyle w:val="PargrafodaLista"/>
        <w:spacing w:line="320" w:lineRule="exact"/>
        <w:ind w:left="851" w:hanging="851"/>
        <w:jc w:val="both"/>
        <w:rPr>
          <w:rFonts w:ascii="Verdana" w:hAnsi="Verdana"/>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dos Projetos poderão decorrer de uma combinação de recursos próprios provenientes das atividades da Emissora e/ou de financiamentos a serem contratados, via mercados financeiro e/ou de capitais (local ou externo), dentre outros, a exclusivo critério da Emissora.</w:t>
      </w:r>
    </w:p>
    <w:p>
      <w:pPr>
        <w:pStyle w:val="PargrafodaLista"/>
        <w:spacing w:line="320" w:lineRule="exact"/>
        <w:ind w:left="851" w:hanging="851"/>
        <w:jc w:val="both"/>
        <w:rPr>
          <w:rFonts w:ascii="Verdana" w:hAnsi="Verdana"/>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4.1.4</w:t>
      </w:r>
      <w:r>
        <w:rPr>
          <w:rFonts w:ascii="Verdana" w:hAnsi="Verdana"/>
          <w:sz w:val="20"/>
          <w:szCs w:val="20"/>
        </w:rPr>
        <w:tab/>
        <w:t>Caso haja emissão das Debêntures Adicionais, o montante dos recursos líquidos obtidos com a Oferta em decorrência de tal emissão será destinado integralmente ao Projeto Malha Central, conforme condições previstas nesta Cláusula 4.</w:t>
      </w:r>
    </w:p>
    <w:p>
      <w:pPr>
        <w:spacing w:line="320" w:lineRule="exact"/>
        <w:rPr>
          <w:rFonts w:ascii="Verdana" w:hAnsi="Verdana"/>
          <w:smallCaps/>
          <w:sz w:val="20"/>
          <w:szCs w:val="20"/>
          <w:u w:val="single"/>
        </w:rPr>
      </w:pPr>
      <w:bookmarkStart w:id="123" w:name="_DV_M78"/>
      <w:bookmarkStart w:id="124" w:name="_Toc499990325"/>
      <w:bookmarkEnd w:id="123"/>
    </w:p>
    <w:p>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Características das Debêntures</w:t>
      </w:r>
      <w:bookmarkEnd w:id="124"/>
    </w:p>
    <w:p>
      <w:pPr>
        <w:keepNext/>
        <w:keepLines/>
        <w:spacing w:after="0"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125"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15 de outubro de 2019 (“</w:t>
      </w:r>
      <w:r>
        <w:rPr>
          <w:rFonts w:ascii="Verdana" w:hAnsi="Verdana"/>
          <w:sz w:val="20"/>
          <w:szCs w:val="20"/>
          <w:u w:val="single"/>
        </w:rPr>
        <w:t>Data de Emissão</w:t>
      </w:r>
      <w:r>
        <w:rPr>
          <w:rFonts w:ascii="Verdana" w:hAnsi="Verdana"/>
          <w:sz w:val="20"/>
          <w:szCs w:val="20"/>
        </w:rPr>
        <w:t xml:space="preserve">”). </w:t>
      </w:r>
    </w:p>
    <w:p>
      <w:pPr>
        <w:spacing w:after="0"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126" w:name="_DV_C80"/>
      <w:r>
        <w:rPr>
          <w:rStyle w:val="DeltaViewInsertion"/>
          <w:rFonts w:ascii="Verdana" w:hAnsi="Verdana"/>
          <w:i/>
          <w:color w:val="auto"/>
          <w:sz w:val="20"/>
          <w:szCs w:val="20"/>
          <w:u w:val="single"/>
        </w:rPr>
        <w:lastRenderedPageBreak/>
        <w:t>Conversibilidade</w:t>
      </w:r>
      <w:bookmarkEnd w:id="126"/>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t>Privilégios</w:t>
      </w:r>
      <w:r>
        <w:rPr>
          <w:rFonts w:ascii="Verdana" w:hAnsi="Verdana"/>
          <w:sz w:val="20"/>
          <w:szCs w:val="20"/>
        </w:rPr>
        <w:t>. As Debêntures não conferem qualquer privilégio especial ou geral aos Debenturistas nem especificam bens para garantir eventual execução.</w:t>
      </w:r>
    </w:p>
    <w:p>
      <w:pPr>
        <w:pStyle w:val="PargrafodaLista"/>
        <w:spacing w:line="320" w:lineRule="exact"/>
        <w:ind w:left="851" w:hanging="851"/>
        <w:rPr>
          <w:rFonts w:ascii="Verdana" w:hAnsi="Verdana"/>
          <w:i/>
          <w:sz w:val="20"/>
          <w:szCs w:val="20"/>
          <w:u w:val="single"/>
        </w:rPr>
      </w:pPr>
    </w:p>
    <w:p>
      <w:pPr>
        <w:pStyle w:val="PargrafodaLista"/>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da Primeira Série e as Debêntures da Segunda Série terão prazo de vencimento de 10 (dez) anos contados da Data de Emissão, vencendo-se, portanto, em 15 de outubro de 2029 (“</w:t>
      </w:r>
      <w:r>
        <w:rPr>
          <w:rFonts w:ascii="Verdana" w:hAnsi="Verdana"/>
          <w:sz w:val="20"/>
          <w:szCs w:val="20"/>
          <w:u w:val="single"/>
        </w:rPr>
        <w:t>Data de Vencimento</w:t>
      </w:r>
      <w:r>
        <w:rPr>
          <w:rFonts w:ascii="Verdana" w:hAnsi="Verdana"/>
          <w:sz w:val="20"/>
          <w:szCs w:val="20"/>
        </w:rPr>
        <w:t>”), ressalvadas as hipóteses de vencimento antecipado e, se permitido pelas regras expedidas pelo CMN e pela legislação e regulamentação aplicáveis, de Resgate Obrigatório, nos termos desta Escritura.</w:t>
      </w:r>
    </w:p>
    <w:p>
      <w:pPr>
        <w:spacing w:after="0" w:line="320" w:lineRule="exact"/>
        <w:ind w:left="851" w:hanging="851"/>
        <w:rPr>
          <w:rFonts w:ascii="Verdana" w:hAnsi="Verdana"/>
          <w:sz w:val="20"/>
          <w:szCs w:val="20"/>
        </w:rPr>
      </w:pPr>
    </w:p>
    <w:p>
      <w:pPr>
        <w:pStyle w:val="PargrafodaLista"/>
        <w:numPr>
          <w:ilvl w:val="1"/>
          <w:numId w:val="69"/>
        </w:numPr>
        <w:spacing w:line="320" w:lineRule="exact"/>
        <w:ind w:left="851" w:hanging="851"/>
        <w:jc w:val="both"/>
        <w:rPr>
          <w:rFonts w:ascii="Verdana" w:hAnsi="Verdana"/>
          <w:snapToGrid w:val="0"/>
          <w:sz w:val="20"/>
          <w:szCs w:val="20"/>
        </w:rPr>
      </w:pPr>
      <w:bookmarkStart w:id="127" w:name="_DV_M244"/>
      <w:bookmarkStart w:id="128" w:name="_DV_M245"/>
      <w:bookmarkStart w:id="129" w:name="_DV_M253"/>
      <w:bookmarkStart w:id="130" w:name="_DV_M262"/>
      <w:bookmarkStart w:id="131" w:name="_DV_M264"/>
      <w:bookmarkStart w:id="132" w:name="_Ref314575352"/>
      <w:bookmarkStart w:id="133" w:name="_Toc499990343"/>
      <w:bookmarkEnd w:id="125"/>
      <w:bookmarkEnd w:id="127"/>
      <w:bookmarkEnd w:id="128"/>
      <w:bookmarkEnd w:id="129"/>
      <w:bookmarkEnd w:id="130"/>
      <w:bookmarkEnd w:id="131"/>
      <w:r>
        <w:rPr>
          <w:rFonts w:ascii="Verdana" w:hAnsi="Verdana"/>
          <w:i/>
          <w:sz w:val="20"/>
          <w:szCs w:val="20"/>
          <w:u w:val="single"/>
        </w:rPr>
        <w:t>Atualização Monetária e Juros Remuneratórios das Debêntures</w:t>
      </w:r>
      <w:bookmarkStart w:id="134" w:name="_DV_M99"/>
      <w:bookmarkStart w:id="135" w:name="_Ref312336193"/>
      <w:bookmarkEnd w:id="134"/>
      <w:r>
        <w:rPr>
          <w:rFonts w:ascii="Verdana" w:hAnsi="Verdana"/>
          <w:i/>
          <w:sz w:val="20"/>
          <w:szCs w:val="20"/>
          <w:u w:val="single"/>
        </w:rPr>
        <w:t xml:space="preserve"> </w:t>
      </w:r>
    </w:p>
    <w:p>
      <w:pPr>
        <w:pStyle w:val="PargrafodaLista"/>
        <w:spacing w:line="320" w:lineRule="exact"/>
        <w:ind w:left="851" w:hanging="851"/>
        <w:rPr>
          <w:rFonts w:ascii="Verdana" w:hAnsi="Verdana"/>
          <w:snapToGrid w:val="0"/>
          <w:sz w:val="20"/>
          <w:szCs w:val="20"/>
        </w:rPr>
      </w:pPr>
    </w:p>
    <w:p>
      <w:pPr>
        <w:spacing w:after="0" w:line="320" w:lineRule="exact"/>
        <w:ind w:left="709" w:hanging="709"/>
        <w:jc w:val="both"/>
        <w:rPr>
          <w:rFonts w:ascii="Verdana" w:hAnsi="Verdana"/>
          <w:sz w:val="20"/>
          <w:szCs w:val="20"/>
        </w:rPr>
      </w:pPr>
      <w:bookmarkStart w:id="136" w:name="_DV_M101"/>
      <w:bookmarkStart w:id="137" w:name="_DV_M102"/>
      <w:bookmarkStart w:id="138" w:name="_DV_M106"/>
      <w:bookmarkStart w:id="139" w:name="_DV_M109"/>
      <w:bookmarkStart w:id="140" w:name="_DV_M111"/>
      <w:bookmarkStart w:id="141" w:name="_DV_M113"/>
      <w:bookmarkStart w:id="142" w:name="_DV_M115"/>
      <w:bookmarkStart w:id="143" w:name="_DV_M116"/>
      <w:bookmarkStart w:id="144" w:name="_DV_M117"/>
      <w:bookmarkStart w:id="145" w:name="_DV_M119"/>
      <w:bookmarkStart w:id="146" w:name="_DV_M120"/>
      <w:bookmarkStart w:id="147" w:name="_DV_M121"/>
      <w:bookmarkStart w:id="148" w:name="_DV_M122"/>
      <w:bookmarkStart w:id="149" w:name="_DV_M123"/>
      <w:bookmarkStart w:id="150" w:name="_DV_M124"/>
      <w:bookmarkStart w:id="151" w:name="_DV_M125"/>
      <w:bookmarkStart w:id="152" w:name="_DV_M126"/>
      <w:bookmarkStart w:id="153" w:name="_DV_M129"/>
      <w:bookmarkStart w:id="154" w:name="_DV_M130"/>
      <w:bookmarkStart w:id="155" w:name="_DV_M131"/>
      <w:bookmarkStart w:id="156" w:name="_DV_M132"/>
      <w:bookmarkStart w:id="157" w:name="_DV_M133"/>
      <w:bookmarkStart w:id="158" w:name="_DV_M135"/>
      <w:bookmarkStart w:id="159" w:name="_DV_M136"/>
      <w:bookmarkStart w:id="160" w:name="_DV_M138"/>
      <w:bookmarkStart w:id="161" w:name="_DV_M139"/>
      <w:bookmarkStart w:id="162" w:name="_DV_M141"/>
      <w:bookmarkStart w:id="163" w:name="_DV_M142"/>
      <w:bookmarkStart w:id="164" w:name="_DV_M144"/>
      <w:bookmarkStart w:id="165" w:name="_DV_M145"/>
      <w:bookmarkStart w:id="166" w:name="_DV_M146"/>
      <w:bookmarkStart w:id="167" w:name="_DV_M147"/>
      <w:bookmarkStart w:id="168" w:name="_DV_M148"/>
      <w:bookmarkStart w:id="169" w:name="_DV_M149"/>
      <w:bookmarkStart w:id="170" w:name="_DV_M151"/>
      <w:bookmarkStart w:id="171" w:name="_DV_M152"/>
      <w:bookmarkStart w:id="172" w:name="_DV_M153"/>
      <w:bookmarkStart w:id="173" w:name="_DV_M154"/>
      <w:bookmarkStart w:id="174" w:name="_DV_M155"/>
      <w:bookmarkStart w:id="175" w:name="_DV_M156"/>
      <w:bookmarkStart w:id="176" w:name="_DV_M157"/>
      <w:bookmarkStart w:id="177" w:name="_DV_M158"/>
      <w:bookmarkStart w:id="178" w:name="_DV_M159"/>
      <w:bookmarkStart w:id="179" w:name="_DV_M160"/>
      <w:bookmarkStart w:id="180" w:name="_DV_M161"/>
      <w:bookmarkStart w:id="181" w:name="_DV_M162"/>
      <w:bookmarkStart w:id="182" w:name="_DV_M163"/>
      <w:bookmarkStart w:id="183" w:name="_DV_M166"/>
      <w:bookmarkStart w:id="184" w:name="_DV_M167"/>
      <w:bookmarkStart w:id="185" w:name="_DV_M168"/>
      <w:bookmarkStart w:id="186" w:name="_DV_M170"/>
      <w:bookmarkStart w:id="187" w:name="_DV_M172"/>
      <w:bookmarkStart w:id="188" w:name="_DV_M173"/>
      <w:bookmarkStart w:id="189" w:name="_DV_M174"/>
      <w:bookmarkStart w:id="190" w:name="_DV_M175"/>
      <w:bookmarkStart w:id="191" w:name="_DV_M176"/>
      <w:bookmarkStart w:id="192" w:name="_DV_M177"/>
      <w:bookmarkStart w:id="193" w:name="_DV_M178"/>
      <w:bookmarkStart w:id="194" w:name="_DV_M179"/>
      <w:bookmarkStart w:id="195" w:name="_DV_M180"/>
      <w:bookmarkStart w:id="196" w:name="_DV_M181"/>
      <w:bookmarkStart w:id="197" w:name="_DV_M182"/>
      <w:bookmarkStart w:id="198" w:name="_DV_M184"/>
      <w:bookmarkStart w:id="199" w:name="_DV_M185"/>
      <w:bookmarkStart w:id="200" w:name="_DV_M186"/>
      <w:bookmarkStart w:id="201" w:name="_DV_M187"/>
      <w:bookmarkStart w:id="202" w:name="_DV_M188"/>
      <w:bookmarkStart w:id="203" w:name="_DV_M189"/>
      <w:bookmarkStart w:id="204" w:name="_DV_M190"/>
      <w:bookmarkStart w:id="205" w:name="_DV_M191"/>
      <w:bookmarkStart w:id="206" w:name="_DV_M192"/>
      <w:bookmarkEnd w:id="13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ascii="Verdana" w:hAnsi="Verdana"/>
          <w:sz w:val="20"/>
          <w:szCs w:val="20"/>
        </w:rPr>
        <w:t>5.6.1.</w:t>
      </w:r>
      <w:r>
        <w:rPr>
          <w:rFonts w:ascii="Verdana" w:hAnsi="Verdana"/>
          <w:sz w:val="20"/>
          <w:szCs w:val="20"/>
          <w:u w:val="single"/>
        </w:rPr>
        <w:tab/>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07" w:name="_Hlk469622"/>
      <w:r>
        <w:rPr>
          <w:rFonts w:ascii="Verdana" w:hAnsi="Verdana"/>
          <w:sz w:val="20"/>
          <w:szCs w:val="20"/>
        </w:rPr>
        <w:t xml:space="preserve">ou saldo do Valor Nominal Unitário das Debêntures </w:t>
      </w:r>
      <w:bookmarkEnd w:id="207"/>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pPr>
        <w:spacing w:after="0" w:line="320" w:lineRule="exact"/>
        <w:ind w:left="709" w:hanging="709"/>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A Atualização Monetária será calculada </w:t>
      </w:r>
      <w:proofErr w:type="gramStart"/>
      <w:r>
        <w:rPr>
          <w:rFonts w:ascii="Verdana" w:hAnsi="Verdana"/>
          <w:i/>
          <w:sz w:val="20"/>
          <w:szCs w:val="20"/>
        </w:rPr>
        <w:t>pro</w:t>
      </w:r>
      <w:proofErr w:type="gramEnd"/>
      <w:r>
        <w:rPr>
          <w:rFonts w:ascii="Verdana" w:hAnsi="Verdana"/>
          <w:i/>
          <w:sz w:val="20"/>
          <w:szCs w:val="20"/>
        </w:rPr>
        <w:t xml:space="preserve"> rata </w:t>
      </w:r>
      <w:proofErr w:type="spellStart"/>
      <w:r>
        <w:rPr>
          <w:rFonts w:ascii="Verdana" w:hAnsi="Verdana"/>
          <w:i/>
          <w:sz w:val="20"/>
          <w:szCs w:val="20"/>
        </w:rPr>
        <w:t>temporis</w:t>
      </w:r>
      <w:proofErr w:type="spellEnd"/>
      <w:r>
        <w:rPr>
          <w:rFonts w:ascii="Verdana" w:hAnsi="Verdana"/>
          <w:sz w:val="20"/>
          <w:szCs w:val="20"/>
        </w:rPr>
        <w:t xml:space="preserve">, por Dias Úteis decorridos, conforme a seguinte fórmula: </w:t>
      </w:r>
    </w:p>
    <w:p>
      <w:pPr>
        <w:spacing w:after="0" w:line="320" w:lineRule="exact"/>
        <w:ind w:left="709" w:hanging="709"/>
        <w:jc w:val="both"/>
        <w:rPr>
          <w:rFonts w:ascii="Verdana" w:hAnsi="Verdana"/>
          <w:sz w:val="20"/>
          <w:szCs w:val="20"/>
        </w:rPr>
      </w:pPr>
    </w:p>
    <w:p>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pPr>
        <w:spacing w:after="0" w:line="320" w:lineRule="exact"/>
        <w:ind w:left="851"/>
        <w:jc w:val="both"/>
        <w:rPr>
          <w:rFonts w:ascii="Verdana" w:hAnsi="Verdana"/>
          <w:sz w:val="20"/>
          <w:szCs w:val="20"/>
        </w:rPr>
      </w:pPr>
      <w:proofErr w:type="gramStart"/>
      <w:r>
        <w:rPr>
          <w:rFonts w:ascii="Verdana" w:hAnsi="Verdana"/>
          <w:sz w:val="20"/>
          <w:szCs w:val="20"/>
        </w:rPr>
        <w:t>onde</w:t>
      </w:r>
      <w:proofErr w:type="gramEnd"/>
      <w:r>
        <w:rPr>
          <w:rFonts w:ascii="Verdana" w:hAnsi="Verdana"/>
          <w:sz w:val="20"/>
          <w:szCs w:val="20"/>
        </w:rPr>
        <w:t>,</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r>
        <w:rPr>
          <w:rFonts w:ascii="Verdana" w:hAnsi="Verdana"/>
          <w:b/>
          <w:sz w:val="20"/>
          <w:szCs w:val="20"/>
        </w:rPr>
        <w:lastRenderedPageBreak/>
        <w:t>VNa</w:t>
      </w:r>
      <w:proofErr w:type="spellEnd"/>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sz w:val="20"/>
          <w:szCs w:val="20"/>
        </w:rPr>
      </w:pPr>
      <w:proofErr w:type="spellStart"/>
      <w:r>
        <w:rPr>
          <w:rFonts w:ascii="Verdana" w:hAnsi="Verdana"/>
          <w:b/>
          <w:sz w:val="20"/>
          <w:szCs w:val="20"/>
        </w:rPr>
        <w:t>VNe</w:t>
      </w:r>
      <w:proofErr w:type="spellEnd"/>
      <w:r>
        <w:rPr>
          <w:rFonts w:ascii="Verdana" w:hAnsi="Verdana"/>
          <w:b/>
          <w:sz w:val="20"/>
          <w:szCs w:val="20"/>
        </w:rPr>
        <w:t xml:space="preserve"> </w:t>
      </w:r>
      <w:r>
        <w:rPr>
          <w:rFonts w:ascii="Verdana" w:hAnsi="Verdana"/>
          <w:sz w:val="20"/>
          <w:szCs w:val="20"/>
        </w:rPr>
        <w:t>= Valor Nominal Unitário (ou saldo do Valor Nominal Unitário, conforme o caso), informado/calculado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59264"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320" w:lineRule="exact"/>
        <w:ind w:left="720"/>
        <w:jc w:val="center"/>
        <w:rPr>
          <w:rFonts w:ascii="Verdana" w:hAnsi="Verdana"/>
          <w:sz w:val="20"/>
          <w:szCs w:val="20"/>
        </w:rPr>
      </w:pPr>
    </w:p>
    <w:p>
      <w:pPr>
        <w:spacing w:after="0" w:line="320" w:lineRule="exact"/>
        <w:ind w:left="709"/>
        <w:jc w:val="both"/>
        <w:rPr>
          <w:rFonts w:ascii="Verdana" w:hAnsi="Verdana"/>
          <w:sz w:val="20"/>
          <w:szCs w:val="20"/>
        </w:rPr>
      </w:pPr>
    </w:p>
    <w:p>
      <w:pPr>
        <w:spacing w:after="0" w:line="320" w:lineRule="exact"/>
        <w:ind w:left="851"/>
        <w:jc w:val="both"/>
        <w:rPr>
          <w:rFonts w:ascii="Verdana" w:hAnsi="Verdana"/>
          <w:sz w:val="20"/>
          <w:szCs w:val="20"/>
        </w:rPr>
      </w:pPr>
      <w:proofErr w:type="gramStart"/>
      <w:r>
        <w:rPr>
          <w:rFonts w:ascii="Verdana" w:hAnsi="Verdana"/>
          <w:sz w:val="20"/>
          <w:szCs w:val="20"/>
        </w:rPr>
        <w:t>onde</w:t>
      </w:r>
      <w:proofErr w:type="gramEnd"/>
      <w:r>
        <w:rPr>
          <w:rFonts w:ascii="Verdana" w:hAnsi="Verdana"/>
          <w:sz w:val="20"/>
          <w:szCs w:val="20"/>
        </w:rPr>
        <w:t>,</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gramStart"/>
      <w:r>
        <w:rPr>
          <w:rFonts w:ascii="Verdana" w:hAnsi="Verdana"/>
          <w:b/>
          <w:sz w:val="20"/>
          <w:szCs w:val="20"/>
        </w:rPr>
        <w:t>n</w:t>
      </w:r>
      <w:proofErr w:type="gramEnd"/>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r>
        <w:rPr>
          <w:rFonts w:ascii="Verdana" w:hAnsi="Verdana"/>
          <w:b/>
          <w:sz w:val="20"/>
          <w:szCs w:val="20"/>
        </w:rPr>
        <w:t>NIk</w:t>
      </w:r>
      <w:proofErr w:type="spellEnd"/>
      <w:r>
        <w:rPr>
          <w:rFonts w:ascii="Verdana" w:hAnsi="Verdana"/>
          <w:b/>
          <w:sz w:val="20"/>
          <w:szCs w:val="20"/>
        </w:rPr>
        <w:t xml:space="preserve">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w:t>
      </w:r>
      <w:proofErr w:type="spellStart"/>
      <w:r>
        <w:rPr>
          <w:rFonts w:ascii="Verdana" w:hAnsi="Verdana"/>
          <w:sz w:val="20"/>
          <w:szCs w:val="20"/>
        </w:rPr>
        <w:t>NI</w:t>
      </w:r>
      <w:r>
        <w:rPr>
          <w:rFonts w:ascii="Verdana" w:hAnsi="Verdana"/>
          <w:sz w:val="20"/>
          <w:szCs w:val="20"/>
          <w:vertAlign w:val="subscript"/>
        </w:rPr>
        <w:t>k</w:t>
      </w:r>
      <w:proofErr w:type="spellEnd"/>
      <w:r>
        <w:rPr>
          <w:rFonts w:ascii="Verdana" w:hAnsi="Verdana"/>
          <w:sz w:val="20"/>
          <w:szCs w:val="20"/>
        </w:rPr>
        <w:t>” corresponderá ao valor do número-índice do IPCA do mês de atualização;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proofErr w:type="gramStart"/>
      <w:r>
        <w:rPr>
          <w:rFonts w:ascii="Verdana" w:hAnsi="Verdana"/>
          <w:b/>
          <w:sz w:val="20"/>
          <w:szCs w:val="20"/>
        </w:rPr>
        <w:t>dup</w:t>
      </w:r>
      <w:proofErr w:type="spellEnd"/>
      <w:proofErr w:type="gramEnd"/>
      <w:r>
        <w:rPr>
          <w:rFonts w:ascii="Verdana" w:hAnsi="Verdana"/>
          <w:sz w:val="20"/>
          <w:szCs w:val="20"/>
        </w:rPr>
        <w:t xml:space="preserve"> = número de Dias Úteis entre a Primeira Data de Integralização (ou a última data de aniversário das Debêntures, conforme o caso), e a data de cálculo, sendo “</w:t>
      </w:r>
      <w:proofErr w:type="spellStart"/>
      <w:r>
        <w:rPr>
          <w:rFonts w:ascii="Verdana" w:hAnsi="Verdana"/>
          <w:sz w:val="20"/>
          <w:szCs w:val="20"/>
        </w:rPr>
        <w:t>dup</w:t>
      </w:r>
      <w:proofErr w:type="spellEnd"/>
      <w:r>
        <w:rPr>
          <w:rFonts w:ascii="Verdana" w:hAnsi="Verdana"/>
          <w:sz w:val="20"/>
          <w:szCs w:val="20"/>
        </w:rPr>
        <w:t xml:space="preserve">” um número inteiro; e </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proofErr w:type="gramStart"/>
      <w:r>
        <w:rPr>
          <w:rFonts w:ascii="Verdana" w:hAnsi="Verdana"/>
          <w:b/>
          <w:sz w:val="20"/>
          <w:szCs w:val="20"/>
        </w:rPr>
        <w:t>dut</w:t>
      </w:r>
      <w:proofErr w:type="spellEnd"/>
      <w:proofErr w:type="gramEnd"/>
      <w:r>
        <w:rPr>
          <w:rFonts w:ascii="Verdana" w:hAnsi="Verdana"/>
          <w:sz w:val="20"/>
          <w:szCs w:val="20"/>
        </w:rPr>
        <w:t xml:space="preserve"> = número de Dias Úteis contidos entre a última data de aniversário das Debêntures e a próxima data de aniversário das Debêntures, sendo “</w:t>
      </w:r>
      <w:proofErr w:type="spellStart"/>
      <w:r>
        <w:rPr>
          <w:rFonts w:ascii="Verdana" w:hAnsi="Verdana"/>
          <w:sz w:val="20"/>
          <w:szCs w:val="20"/>
        </w:rPr>
        <w:t>dut</w:t>
      </w:r>
      <w:proofErr w:type="spellEnd"/>
      <w:r>
        <w:rPr>
          <w:rFonts w:ascii="Verdana" w:hAnsi="Verdana"/>
          <w:sz w:val="20"/>
          <w:szCs w:val="20"/>
        </w:rPr>
        <w:t>” um número inteiro.</w:t>
      </w:r>
    </w:p>
    <w:p>
      <w:pPr>
        <w:spacing w:after="0" w:line="320" w:lineRule="exact"/>
        <w:ind w:left="851"/>
        <w:jc w:val="both"/>
        <w:rPr>
          <w:rFonts w:ascii="Verdana" w:hAnsi="Verdana"/>
          <w:sz w:val="20"/>
          <w:szCs w:val="20"/>
        </w:rPr>
      </w:pPr>
    </w:p>
    <w:p>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t>Observações:</w:t>
      </w:r>
    </w:p>
    <w:p>
      <w:pPr>
        <w:keepNext/>
        <w:keepLines/>
        <w:spacing w:after="0" w:line="320" w:lineRule="exact"/>
        <w:rPr>
          <w:rFonts w:ascii="Verdana" w:hAnsi="Verdana"/>
          <w:sz w:val="20"/>
          <w:szCs w:val="20"/>
        </w:rPr>
      </w:pPr>
    </w:p>
    <w:p>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lastRenderedPageBreak/>
        <w:t>II.</w:t>
      </w:r>
      <w:r>
        <w:rPr>
          <w:rFonts w:ascii="Verdana" w:hAnsi="Verdana"/>
          <w:sz w:val="20"/>
          <w:szCs w:val="20"/>
        </w:rPr>
        <w:tab/>
        <w:t>A aplicação do IPCA incidirá no menor período permitido pela legislação em vigor;</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w:t>
      </w:r>
      <w:proofErr w:type="gramStart"/>
      <w:r>
        <w:rPr>
          <w:rFonts w:ascii="Verdana" w:hAnsi="Verdana"/>
          <w:sz w:val="20"/>
          <w:szCs w:val="20"/>
        </w:rPr>
        <w:t>NI(</w:t>
      </w:r>
      <w:proofErr w:type="gramEnd"/>
      <w:r>
        <w:rPr>
          <w:rFonts w:ascii="Verdana" w:hAnsi="Verdana"/>
          <w:sz w:val="20"/>
          <w:szCs w:val="20"/>
        </w:rPr>
        <w:t>k) /NI(k-1)]</w:t>
      </w:r>
      <w:r>
        <w:rPr>
          <w:rFonts w:ascii="Verdana" w:hAnsi="Verdana"/>
          <w:sz w:val="20"/>
          <w:szCs w:val="20"/>
          <w:vertAlign w:val="superscript"/>
        </w:rPr>
        <w:t>(</w:t>
      </w:r>
      <w:proofErr w:type="spellStart"/>
      <w:r>
        <w:rPr>
          <w:rFonts w:ascii="Verdana" w:hAnsi="Verdana"/>
          <w:sz w:val="20"/>
          <w:szCs w:val="20"/>
          <w:vertAlign w:val="superscript"/>
        </w:rPr>
        <w:t>dup</w:t>
      </w:r>
      <w:proofErr w:type="spellEnd"/>
      <w:r>
        <w:rPr>
          <w:rFonts w:ascii="Verdana" w:hAnsi="Verdana"/>
          <w:sz w:val="20"/>
          <w:szCs w:val="20"/>
          <w:vertAlign w:val="superscript"/>
        </w:rPr>
        <w:t>/</w:t>
      </w:r>
      <w:proofErr w:type="spellStart"/>
      <w:r>
        <w:rPr>
          <w:rFonts w:ascii="Verdana" w:hAnsi="Verdana"/>
          <w:sz w:val="20"/>
          <w:szCs w:val="20"/>
          <w:vertAlign w:val="superscript"/>
        </w:rPr>
        <w:t>dut</w:t>
      </w:r>
      <w:proofErr w:type="spellEnd"/>
      <w:r>
        <w:rPr>
          <w:rFonts w:ascii="Verdana" w:hAnsi="Verdana"/>
          <w:sz w:val="20"/>
          <w:szCs w:val="20"/>
          <w:vertAlign w:val="superscript"/>
        </w:rPr>
        <w:t>)</w:t>
      </w:r>
      <w:r>
        <w:rPr>
          <w:rFonts w:ascii="Verdana" w:hAnsi="Verdana"/>
          <w:sz w:val="20"/>
          <w:szCs w:val="20"/>
        </w:rPr>
        <w:t xml:space="preserve"> é considerado com 8 (oito) casas decimais, sem arredondamento; e</w:t>
      </w:r>
    </w:p>
    <w:p>
      <w:pPr>
        <w:spacing w:after="0" w:line="320" w:lineRule="exact"/>
        <w:ind w:left="720"/>
        <w:jc w:val="both"/>
        <w:rPr>
          <w:rFonts w:ascii="Verdana" w:hAnsi="Verdana"/>
          <w:sz w:val="20"/>
          <w:szCs w:val="20"/>
        </w:rPr>
      </w:pPr>
    </w:p>
    <w:p>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 xml:space="preserve">O </w:t>
      </w:r>
      <w:proofErr w:type="spellStart"/>
      <w:r>
        <w:rPr>
          <w:rFonts w:ascii="Verdana" w:hAnsi="Verdana"/>
          <w:sz w:val="20"/>
          <w:szCs w:val="20"/>
        </w:rPr>
        <w:t>produtório</w:t>
      </w:r>
      <w:proofErr w:type="spellEnd"/>
      <w:r>
        <w:rPr>
          <w:rFonts w:ascii="Verdana" w:hAnsi="Verdana"/>
          <w:sz w:val="20"/>
          <w:szCs w:val="20"/>
        </w:rPr>
        <w:t xml:space="preserve"> é executado a partir do fator mais recente, acrescentando-se, em seguida, os mais remotos. Os resultados intermediários são calculados com 16 (dezesseis) casas decimais, sem arredondamento.</w:t>
      </w:r>
    </w:p>
    <w:p>
      <w:pPr>
        <w:spacing w:after="0" w:line="320" w:lineRule="exact"/>
        <w:ind w:left="709" w:hanging="709"/>
        <w:jc w:val="both"/>
        <w:rPr>
          <w:rFonts w:ascii="Verdana" w:hAnsi="Verdana"/>
          <w:sz w:val="20"/>
          <w:szCs w:val="20"/>
        </w:rPr>
      </w:pPr>
    </w:p>
    <w:p>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proofErr w:type="gramStart"/>
      <w:r>
        <w:rPr>
          <w:rFonts w:ascii="Verdana" w:hAnsi="Verdana"/>
          <w:i/>
          <w:sz w:val="20"/>
          <w:szCs w:val="20"/>
        </w:rPr>
        <w:t>pro</w:t>
      </w:r>
      <w:proofErr w:type="gramEnd"/>
      <w:r>
        <w:rPr>
          <w:rFonts w:ascii="Verdana" w:hAnsi="Verdana"/>
          <w:i/>
          <w:sz w:val="20"/>
          <w:szCs w:val="20"/>
        </w:rPr>
        <w:t xml:space="preserve"> rata </w:t>
      </w:r>
      <w:proofErr w:type="spellStart"/>
      <w:r>
        <w:rPr>
          <w:rFonts w:ascii="Verdana" w:hAnsi="Verdana"/>
          <w:i/>
          <w:sz w:val="20"/>
          <w:szCs w:val="20"/>
        </w:rPr>
        <w:t>temporis</w:t>
      </w:r>
      <w:proofErr w:type="spellEnd"/>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08" w:name="_Hlk536213269"/>
      <w:r>
        <w:rPr>
          <w:rFonts w:ascii="Verdana" w:hAnsi="Verdana"/>
          <w:sz w:val="20"/>
          <w:szCs w:val="20"/>
        </w:rPr>
        <w:t xml:space="preserve">consecutivos da data esperada para sua apuração, ou, ainda, no caso de sua extinção ou impossibilidade legal de aplicação às Debêntures, ou por determinação judicial, </w:t>
      </w:r>
      <w:bookmarkEnd w:id="208"/>
      <w:r>
        <w:rPr>
          <w:rFonts w:ascii="Verdana" w:hAnsi="Verdana"/>
          <w:sz w:val="20"/>
          <w:szCs w:val="20"/>
        </w:rPr>
        <w:t xml:space="preserve">será utilizado, em sua substituição, o mesmo </w:t>
      </w:r>
      <w:bookmarkStart w:id="209"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09"/>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w:t>
      </w:r>
      <w:r>
        <w:rPr>
          <w:rFonts w:ascii="Verdana" w:hAnsi="Verdana"/>
          <w:sz w:val="20"/>
          <w:szCs w:val="20"/>
        </w:rPr>
        <w:lastRenderedPageBreak/>
        <w:t xml:space="preserve">Monetária que será aplicada às Debêntures, observado o disposto na Cláusula 5.6.1.3 abaixo. </w:t>
      </w:r>
    </w:p>
    <w:p>
      <w:pPr>
        <w:keepNext/>
        <w:spacing w:after="0" w:line="320" w:lineRule="exact"/>
        <w:ind w:left="709" w:hanging="709"/>
        <w:jc w:val="both"/>
        <w:rPr>
          <w:rFonts w:ascii="Verdana" w:hAnsi="Verdana"/>
          <w:sz w:val="20"/>
          <w:szCs w:val="20"/>
        </w:rPr>
      </w:pPr>
    </w:p>
    <w:p>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pPr>
        <w:pStyle w:val="PargrafodaLista"/>
        <w:spacing w:line="320" w:lineRule="exact"/>
        <w:ind w:left="709" w:hanging="709"/>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p>
    <w:p>
      <w:pPr>
        <w:pStyle w:val="PargrafodaLista"/>
        <w:spacing w:line="320" w:lineRule="exact"/>
        <w:ind w:left="709" w:hanging="709"/>
        <w:jc w:val="both"/>
        <w:rPr>
          <w:rFonts w:ascii="Verdana" w:hAnsi="Verdana"/>
          <w:sz w:val="20"/>
          <w:szCs w:val="20"/>
        </w:rPr>
      </w:pPr>
    </w:p>
    <w:p>
      <w:pPr>
        <w:pStyle w:val="PargrafodaLista"/>
        <w:keepLines/>
        <w:numPr>
          <w:ilvl w:val="2"/>
          <w:numId w:val="69"/>
        </w:numPr>
        <w:spacing w:line="320" w:lineRule="exact"/>
        <w:ind w:left="851" w:hanging="851"/>
        <w:jc w:val="both"/>
        <w:rPr>
          <w:rFonts w:ascii="Verdana" w:hAnsi="Verdana"/>
          <w:sz w:val="20"/>
          <w:szCs w:val="20"/>
        </w:rPr>
      </w:pPr>
      <w:bookmarkStart w:id="210" w:name="_Hlk536557912"/>
      <w:r>
        <w:rPr>
          <w:rFonts w:ascii="Verdana" w:hAnsi="Verdana"/>
          <w:sz w:val="20"/>
          <w:szCs w:val="20"/>
          <w:u w:val="single"/>
        </w:rPr>
        <w:t>Juros Remuneratórios das Debêntures</w:t>
      </w:r>
      <w:r>
        <w:rPr>
          <w:rFonts w:ascii="Verdana" w:hAnsi="Verdana"/>
          <w:sz w:val="20"/>
          <w:szCs w:val="20"/>
        </w:rPr>
        <w:t xml:space="preserve"> </w:t>
      </w:r>
    </w:p>
    <w:p>
      <w:pPr>
        <w:pStyle w:val="PargrafodaLista"/>
        <w:keepLines/>
        <w:spacing w:line="320" w:lineRule="exact"/>
        <w:ind w:left="851"/>
        <w:jc w:val="both"/>
        <w:rPr>
          <w:rFonts w:ascii="Verdana" w:hAnsi="Verdana"/>
          <w:sz w:val="20"/>
          <w:szCs w:val="20"/>
        </w:rPr>
      </w:pPr>
    </w:p>
    <w:p>
      <w:pPr>
        <w:pStyle w:val="PargrafodaLista"/>
        <w:keepLines/>
        <w:numPr>
          <w:ilvl w:val="3"/>
          <w:numId w:val="69"/>
        </w:numPr>
        <w:spacing w:line="320" w:lineRule="exact"/>
        <w:jc w:val="both"/>
        <w:rPr>
          <w:rFonts w:ascii="Verdana" w:hAnsi="Verdana"/>
          <w:sz w:val="20"/>
          <w:szCs w:val="20"/>
        </w:rPr>
      </w:pPr>
      <w:r>
        <w:rPr>
          <w:rFonts w:ascii="Verdana" w:hAnsi="Verdana"/>
          <w:i/>
          <w:sz w:val="20"/>
          <w:szCs w:val="20"/>
          <w:u w:val="single"/>
        </w:rPr>
        <w:t>Juros Remuneratórios das Debêntures da Primeira Série</w:t>
      </w:r>
      <w:r>
        <w:rPr>
          <w:rFonts w:ascii="Verdana" w:hAnsi="Verdana"/>
          <w:sz w:val="20"/>
          <w:szCs w:val="20"/>
        </w:rPr>
        <w:t xml:space="preserve">. Sobre o Valor Nominal Atualizado das Debêntures da Primeira Série incidirão juros remuneratórios correspondentes a um determinado percentual ao ano, base 252 (duzentos e cinquenta e dois) Dias Úteis, a ser definido de acordo com o Procedimento de </w:t>
      </w:r>
      <w:proofErr w:type="spellStart"/>
      <w:r>
        <w:rPr>
          <w:rFonts w:ascii="Verdana" w:hAnsi="Verdana"/>
          <w:sz w:val="20"/>
          <w:szCs w:val="20"/>
        </w:rPr>
        <w:t>Bookbuilding</w:t>
      </w:r>
      <w:proofErr w:type="spellEnd"/>
      <w:r>
        <w:rPr>
          <w:rFonts w:ascii="Verdana" w:hAnsi="Verdana"/>
          <w:sz w:val="20"/>
          <w:szCs w:val="20"/>
        </w:rPr>
        <w:t xml:space="preserve">, e, em qualquer caso, limitados a (i) 0,60% (sessenta centésimos por cento) ao ano, acrescidos exponencialmente à taxa interna de retorno do Tesouro IPCA+ com Juros Semestrais, com vencimento em 2028, que deverá ser a maior cotação indicativa entre (a) a divulgada pela ANBIMA no fechamento do Dia Útil imediatamente anterior à data de realização do Procedimento de </w:t>
      </w:r>
      <w:proofErr w:type="spellStart"/>
      <w:r>
        <w:rPr>
          <w:rFonts w:ascii="Verdana" w:hAnsi="Verdana"/>
          <w:sz w:val="20"/>
          <w:szCs w:val="20"/>
        </w:rPr>
        <w:t>Bookbuilding</w:t>
      </w:r>
      <w:proofErr w:type="spellEnd"/>
      <w:r>
        <w:rPr>
          <w:rFonts w:ascii="Verdana" w:hAnsi="Verdana"/>
          <w:sz w:val="20"/>
          <w:szCs w:val="20"/>
        </w:rPr>
        <w:t xml:space="preserve"> (“</w:t>
      </w:r>
      <w:r>
        <w:rPr>
          <w:rFonts w:ascii="Verdana" w:hAnsi="Verdana"/>
          <w:sz w:val="20"/>
          <w:szCs w:val="20"/>
          <w:u w:val="single"/>
        </w:rPr>
        <w:t>Data de Apuração</w:t>
      </w:r>
      <w:r>
        <w:rPr>
          <w:rFonts w:ascii="Verdana" w:hAnsi="Verdana"/>
          <w:sz w:val="20"/>
          <w:szCs w:val="20"/>
        </w:rPr>
        <w:t xml:space="preserve">”); e (b) a média das cotações divulgadas pela ANBIMA no fechamento dos 3 (três) últimos Dias Úteis imediatamente anteriores à data de realização do Procedimento de </w:t>
      </w:r>
      <w:proofErr w:type="spellStart"/>
      <w:r>
        <w:rPr>
          <w:rFonts w:ascii="Verdana" w:hAnsi="Verdana"/>
          <w:sz w:val="20"/>
          <w:szCs w:val="20"/>
        </w:rPr>
        <w:t>Bookbuilding</w:t>
      </w:r>
      <w:proofErr w:type="spellEnd"/>
      <w:r>
        <w:rPr>
          <w:rFonts w:ascii="Verdana" w:hAnsi="Verdana"/>
          <w:sz w:val="20"/>
          <w:szCs w:val="20"/>
        </w:rPr>
        <w:t>; ou (</w:t>
      </w:r>
      <w:proofErr w:type="spellStart"/>
      <w:r>
        <w:rPr>
          <w:rFonts w:ascii="Verdana" w:hAnsi="Verdana"/>
          <w:sz w:val="20"/>
          <w:szCs w:val="20"/>
        </w:rPr>
        <w:t>ii</w:t>
      </w:r>
      <w:proofErr w:type="spellEnd"/>
      <w:r>
        <w:rPr>
          <w:rFonts w:ascii="Verdana" w:hAnsi="Verdana"/>
          <w:sz w:val="20"/>
          <w:szCs w:val="20"/>
        </w:rPr>
        <w:t>) 4,00% (quatro por cento) ao ano, entre os itens (i) e (</w:t>
      </w:r>
      <w:proofErr w:type="spellStart"/>
      <w:r>
        <w:rPr>
          <w:rFonts w:ascii="Verdana" w:hAnsi="Verdana"/>
          <w:sz w:val="20"/>
          <w:szCs w:val="20"/>
        </w:rPr>
        <w:t>ii</w:t>
      </w:r>
      <w:proofErr w:type="spellEnd"/>
      <w:r>
        <w:rPr>
          <w:rFonts w:ascii="Verdana" w:hAnsi="Verdana"/>
          <w:sz w:val="20"/>
          <w:szCs w:val="20"/>
        </w:rPr>
        <w:t>) o que for maior na Data de Apuração (“</w:t>
      </w:r>
      <w:r>
        <w:rPr>
          <w:rFonts w:ascii="Verdana" w:hAnsi="Verdana"/>
          <w:sz w:val="20"/>
          <w:szCs w:val="20"/>
          <w:u w:val="single"/>
        </w:rPr>
        <w:t>Juros Remuneratórios da Primeira Série</w:t>
      </w:r>
      <w:r>
        <w:rPr>
          <w:rFonts w:ascii="Verdana" w:hAnsi="Verdana"/>
          <w:sz w:val="20"/>
          <w:szCs w:val="20"/>
        </w:rPr>
        <w:t xml:space="preserve">”). </w:t>
      </w:r>
      <w:bookmarkEnd w:id="210"/>
    </w:p>
    <w:p>
      <w:pPr>
        <w:pStyle w:val="PargrafodaLista"/>
        <w:keepLines/>
        <w:spacing w:line="320" w:lineRule="exact"/>
        <w:ind w:left="1080"/>
        <w:jc w:val="both"/>
        <w:rPr>
          <w:rFonts w:ascii="Verdana" w:hAnsi="Verdana"/>
          <w:sz w:val="20"/>
          <w:szCs w:val="20"/>
        </w:rPr>
      </w:pPr>
    </w:p>
    <w:p>
      <w:pPr>
        <w:pStyle w:val="PargrafodaLista"/>
        <w:keepLines/>
        <w:numPr>
          <w:ilvl w:val="3"/>
          <w:numId w:val="69"/>
        </w:numPr>
        <w:spacing w:line="320" w:lineRule="exact"/>
        <w:jc w:val="both"/>
        <w:rPr>
          <w:rFonts w:ascii="Verdana" w:hAnsi="Verdana"/>
          <w:i/>
          <w:sz w:val="20"/>
          <w:szCs w:val="20"/>
          <w:u w:val="single"/>
        </w:rPr>
      </w:pPr>
      <w:r>
        <w:rPr>
          <w:rFonts w:ascii="Verdana" w:hAnsi="Verdana"/>
          <w:i/>
          <w:sz w:val="20"/>
          <w:szCs w:val="20"/>
          <w:u w:val="single"/>
        </w:rPr>
        <w:t xml:space="preserve">Juros Remuneratórios das Debêntures da Segunda Série. </w:t>
      </w:r>
      <w:r>
        <w:rPr>
          <w:rFonts w:ascii="Verdana" w:hAnsi="Verdana"/>
          <w:sz w:val="20"/>
          <w:szCs w:val="20"/>
        </w:rPr>
        <w:t xml:space="preserve">Sobre o Valor Nominal Atualizado das Debêntures da Segunda Série incidirão juros remuneratórios correspondentes a um determinado percentual ao ano, base 252 (duzentos e cinquenta e dois) Dias Úteis, a ser definido de acordo com o Procedimento de </w:t>
      </w:r>
      <w:proofErr w:type="spellStart"/>
      <w:r>
        <w:rPr>
          <w:rFonts w:ascii="Verdana" w:hAnsi="Verdana"/>
          <w:sz w:val="20"/>
          <w:szCs w:val="20"/>
        </w:rPr>
        <w:t>Bookbuilding</w:t>
      </w:r>
      <w:proofErr w:type="spellEnd"/>
      <w:r>
        <w:rPr>
          <w:rFonts w:ascii="Verdana" w:hAnsi="Verdana"/>
          <w:sz w:val="20"/>
          <w:szCs w:val="20"/>
        </w:rPr>
        <w:t xml:space="preserve">, e, em qualquer caso, limitados a (i) 0,60% (sessenta centésimos por cento) ao ano, acrescidos exponencialmente à taxa interna de retorno do Tesouro IPCA+ com Juros Semestrais, com vencimento em 2028, que deverá ser a maior cotação indicativa entre (a) a divulgada pela ANBIMA na Data de Apuração; e (b) a média das cotações divulgadas pela ANBIMA no fechamento dos 3 (três) últimos Dias Úteis imediatamente anteriores à data de realização do Procedimento de </w:t>
      </w:r>
      <w:proofErr w:type="spellStart"/>
      <w:r>
        <w:rPr>
          <w:rFonts w:ascii="Verdana" w:hAnsi="Verdana"/>
          <w:sz w:val="20"/>
          <w:szCs w:val="20"/>
        </w:rPr>
        <w:t>Bookbuilding</w:t>
      </w:r>
      <w:proofErr w:type="spellEnd"/>
      <w:r>
        <w:rPr>
          <w:rFonts w:ascii="Verdana" w:hAnsi="Verdana"/>
          <w:sz w:val="20"/>
          <w:szCs w:val="20"/>
        </w:rPr>
        <w:t>; ou (</w:t>
      </w:r>
      <w:proofErr w:type="spellStart"/>
      <w:r>
        <w:rPr>
          <w:rFonts w:ascii="Verdana" w:hAnsi="Verdana"/>
          <w:sz w:val="20"/>
          <w:szCs w:val="20"/>
        </w:rPr>
        <w:t>ii</w:t>
      </w:r>
      <w:proofErr w:type="spellEnd"/>
      <w:r>
        <w:rPr>
          <w:rFonts w:ascii="Verdana" w:hAnsi="Verdana"/>
          <w:sz w:val="20"/>
          <w:szCs w:val="20"/>
        </w:rPr>
        <w:t>) 4,00% (quatro por cento) ao ano, entre os itens (i) e (</w:t>
      </w:r>
      <w:proofErr w:type="spellStart"/>
      <w:r>
        <w:rPr>
          <w:rFonts w:ascii="Verdana" w:hAnsi="Verdana"/>
          <w:sz w:val="20"/>
          <w:szCs w:val="20"/>
        </w:rPr>
        <w:t>ii</w:t>
      </w:r>
      <w:proofErr w:type="spellEnd"/>
      <w:r>
        <w:rPr>
          <w:rFonts w:ascii="Verdana" w:hAnsi="Verdana"/>
          <w:sz w:val="20"/>
          <w:szCs w:val="20"/>
        </w:rPr>
        <w:t>) o que for maior na Data de Apuração (“Juros Remuneratórios da Segunda Série” e, em conjunto, com os Juros Remuneratórios da Primeira Série, os “Juros Remuneratórios”).</w:t>
      </w:r>
    </w:p>
    <w:p>
      <w:pPr>
        <w:pStyle w:val="PargrafodaLista"/>
        <w:keepLines/>
        <w:spacing w:line="320" w:lineRule="exact"/>
        <w:ind w:left="1080"/>
        <w:jc w:val="both"/>
        <w:rPr>
          <w:rFonts w:ascii="Verdana" w:hAnsi="Verdana"/>
          <w:i/>
          <w:sz w:val="20"/>
          <w:szCs w:val="20"/>
          <w:u w:val="single"/>
        </w:rPr>
      </w:pPr>
    </w:p>
    <w:p>
      <w:pPr>
        <w:pStyle w:val="PargrafodaLista"/>
        <w:numPr>
          <w:ilvl w:val="3"/>
          <w:numId w:val="69"/>
        </w:numPr>
        <w:spacing w:line="320" w:lineRule="exact"/>
        <w:jc w:val="both"/>
        <w:rPr>
          <w:rFonts w:ascii="Verdana" w:hAnsi="Verdana"/>
          <w:sz w:val="20"/>
          <w:szCs w:val="20"/>
        </w:rPr>
      </w:pPr>
      <w:r>
        <w:rPr>
          <w:rFonts w:ascii="Verdana" w:hAnsi="Verdana"/>
          <w:sz w:val="20"/>
          <w:szCs w:val="20"/>
        </w:rPr>
        <w:t xml:space="preserve">A taxa final dos respectivos Juros Remuneratórios, uma vez definida em conformidade com a Cláusula 5.6.2, acima, será ratificada por meio de </w:t>
      </w:r>
      <w:r>
        <w:rPr>
          <w:rFonts w:ascii="Verdana" w:hAnsi="Verdana"/>
          <w:sz w:val="20"/>
          <w:szCs w:val="20"/>
        </w:rPr>
        <w:lastRenderedPageBreak/>
        <w:t>aditamento à presente Escritura, que deverá ser arquivado na JUCEPAR, nos termos da Cláusula 2.1.4 acima, sem necessidade de nova aprovação societária pela Emissora, nos termos da RCA da Emissão, ou de realização de Assembleia Geral de Debenturistas.</w:t>
      </w:r>
    </w:p>
    <w:p>
      <w:pPr>
        <w:spacing w:after="0" w:line="320" w:lineRule="exact"/>
        <w:ind w:left="709" w:hanging="709"/>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respectivos Juros Remuneratórios serão calculados em regime de capitalização composta de forma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por Dias Úteis decorridos desde a Primeira Data de Integralização ou da respectiva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w:t>
      </w:r>
      <w:proofErr w:type="spellStart"/>
      <w:r>
        <w:rPr>
          <w:rFonts w:ascii="Verdana" w:hAnsi="Verdana"/>
          <w:sz w:val="20"/>
          <w:szCs w:val="20"/>
        </w:rPr>
        <w:t>ii</w:t>
      </w:r>
      <w:proofErr w:type="spellEnd"/>
      <w:r>
        <w:rPr>
          <w:rFonts w:ascii="Verdana" w:hAnsi="Verdana"/>
          <w:sz w:val="20"/>
          <w:szCs w:val="20"/>
        </w:rPr>
        <w:t>) do Resgate Obrigatório, nos termos desta Escritura).</w:t>
      </w:r>
    </w:p>
    <w:p>
      <w:pPr>
        <w:spacing w:line="320" w:lineRule="exact"/>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pPr>
        <w:pStyle w:val="PargrafodaLista"/>
        <w:spacing w:line="320" w:lineRule="exact"/>
        <w:rPr>
          <w:rFonts w:ascii="Verdana" w:hAnsi="Verdana"/>
          <w:sz w:val="20"/>
          <w:szCs w:val="20"/>
        </w:rPr>
      </w:pPr>
    </w:p>
    <w:p>
      <w:pPr>
        <w:spacing w:after="0" w:line="320" w:lineRule="exact"/>
        <w:ind w:left="720"/>
        <w:jc w:val="center"/>
        <w:rPr>
          <w:rFonts w:ascii="Verdana" w:hAnsi="Verdana"/>
          <w:sz w:val="20"/>
          <w:szCs w:val="20"/>
        </w:rPr>
      </w:pPr>
      <w:r>
        <w:rPr>
          <w:rFonts w:ascii="Verdana" w:hAnsi="Verdana"/>
          <w:sz w:val="20"/>
          <w:szCs w:val="20"/>
        </w:rPr>
        <w:t>J = {</w:t>
      </w:r>
      <w:proofErr w:type="spellStart"/>
      <w:r>
        <w:rPr>
          <w:rFonts w:ascii="Verdana" w:hAnsi="Verdana"/>
          <w:sz w:val="20"/>
          <w:szCs w:val="20"/>
        </w:rPr>
        <w:t>VNa</w:t>
      </w:r>
      <w:proofErr w:type="spellEnd"/>
      <w:r>
        <w:rPr>
          <w:rFonts w:ascii="Verdana" w:hAnsi="Verdana"/>
          <w:sz w:val="20"/>
          <w:szCs w:val="20"/>
        </w:rPr>
        <w:t xml:space="preserve"> x [FatorJuros-1]}</w:t>
      </w:r>
    </w:p>
    <w:p>
      <w:pPr>
        <w:tabs>
          <w:tab w:val="num" w:pos="0"/>
        </w:tabs>
        <w:spacing w:after="0" w:line="320" w:lineRule="exact"/>
        <w:ind w:left="720"/>
        <w:jc w:val="both"/>
        <w:rPr>
          <w:rFonts w:ascii="Verdana" w:hAnsi="Verdana"/>
          <w:sz w:val="20"/>
          <w:szCs w:val="20"/>
        </w:rPr>
      </w:pPr>
    </w:p>
    <w:p>
      <w:pPr>
        <w:spacing w:after="0" w:line="320" w:lineRule="exact"/>
        <w:ind w:left="851"/>
        <w:jc w:val="both"/>
        <w:rPr>
          <w:rFonts w:ascii="Verdana" w:hAnsi="Verdana"/>
          <w:sz w:val="20"/>
          <w:szCs w:val="20"/>
        </w:rPr>
      </w:pPr>
      <w:proofErr w:type="gramStart"/>
      <w:r>
        <w:rPr>
          <w:rFonts w:ascii="Verdana" w:hAnsi="Verdana"/>
          <w:sz w:val="20"/>
          <w:szCs w:val="20"/>
        </w:rPr>
        <w:t>onde</w:t>
      </w:r>
      <w:proofErr w:type="gramEnd"/>
      <w:r>
        <w:rPr>
          <w:rFonts w:ascii="Verdana" w:hAnsi="Verdana"/>
          <w:sz w:val="20"/>
          <w:szCs w:val="20"/>
        </w:rPr>
        <w:t>,</w:t>
      </w:r>
    </w:p>
    <w:p>
      <w:pPr>
        <w:tabs>
          <w:tab w:val="num" w:pos="0"/>
        </w:tabs>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respectivos Juros Remuneratórios devidos no final de cada Período de Capitalização, calculado com 8 (oito) casas decimais, sem arredondamento;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r>
        <w:rPr>
          <w:rFonts w:ascii="Verdana" w:hAnsi="Verdana"/>
          <w:b/>
          <w:sz w:val="20"/>
          <w:szCs w:val="20"/>
        </w:rPr>
        <w:t>VNa</w:t>
      </w:r>
      <w:proofErr w:type="spellEnd"/>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r>
        <w:rPr>
          <w:rFonts w:ascii="Verdana" w:hAnsi="Verdana"/>
          <w:b/>
          <w:sz w:val="20"/>
          <w:szCs w:val="20"/>
        </w:rPr>
        <w:t>FatorJuros</w:t>
      </w:r>
      <w:proofErr w:type="spellEnd"/>
      <w:r>
        <w:rPr>
          <w:rFonts w:ascii="Verdana" w:hAnsi="Verdana"/>
          <w:sz w:val="20"/>
          <w:szCs w:val="20"/>
        </w:rPr>
        <w:t xml:space="preserve"> = fator de juros fixos, calculado com 9 (nove) casas decimais, com arredondamento, de acordo com a seguinte fórmula:</w:t>
      </w:r>
    </w:p>
    <w:p>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tabs>
          <w:tab w:val="num" w:pos="0"/>
        </w:tabs>
        <w:spacing w:after="0" w:line="320" w:lineRule="exact"/>
        <w:ind w:left="720"/>
        <w:jc w:val="center"/>
        <w:rPr>
          <w:rFonts w:ascii="Verdana" w:hAnsi="Verdana"/>
          <w:i/>
          <w:sz w:val="20"/>
          <w:szCs w:val="20"/>
        </w:rPr>
      </w:pPr>
    </w:p>
    <w:p>
      <w:pPr>
        <w:tabs>
          <w:tab w:val="num" w:pos="0"/>
        </w:tabs>
        <w:spacing w:after="0" w:line="320" w:lineRule="exact"/>
        <w:ind w:left="720"/>
        <w:jc w:val="both"/>
        <w:rPr>
          <w:rFonts w:ascii="Verdana" w:hAnsi="Verdana"/>
          <w:i/>
          <w:sz w:val="20"/>
          <w:szCs w:val="20"/>
        </w:rPr>
      </w:pPr>
    </w:p>
    <w:p>
      <w:pPr>
        <w:spacing w:after="0" w:line="320" w:lineRule="exact"/>
        <w:ind w:left="720"/>
        <w:jc w:val="both"/>
        <w:rPr>
          <w:rFonts w:ascii="Verdana" w:hAnsi="Verdana"/>
          <w:sz w:val="20"/>
          <w:szCs w:val="20"/>
        </w:rPr>
      </w:pPr>
    </w:p>
    <w:p>
      <w:pPr>
        <w:spacing w:after="0" w:line="320" w:lineRule="exact"/>
        <w:ind w:left="851"/>
        <w:jc w:val="both"/>
        <w:rPr>
          <w:rFonts w:ascii="Verdana" w:hAnsi="Verdana"/>
          <w:sz w:val="20"/>
          <w:szCs w:val="20"/>
        </w:rPr>
      </w:pPr>
      <w:proofErr w:type="gramStart"/>
      <w:r>
        <w:rPr>
          <w:rFonts w:ascii="Verdana" w:hAnsi="Verdana"/>
          <w:sz w:val="20"/>
          <w:szCs w:val="20"/>
        </w:rPr>
        <w:t>onde</w:t>
      </w:r>
      <w:proofErr w:type="gramEnd"/>
      <w:r>
        <w:rPr>
          <w:rFonts w:ascii="Verdana" w:hAnsi="Verdana"/>
          <w:sz w:val="20"/>
          <w:szCs w:val="20"/>
        </w:rPr>
        <w:t>,</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gramStart"/>
      <w:r>
        <w:rPr>
          <w:rFonts w:ascii="Verdana" w:hAnsi="Verdana"/>
          <w:b/>
          <w:sz w:val="20"/>
          <w:szCs w:val="20"/>
        </w:rPr>
        <w:t>taxa</w:t>
      </w:r>
      <w:proofErr w:type="gramEnd"/>
      <w:r>
        <w:rPr>
          <w:rFonts w:ascii="Verdana" w:hAnsi="Verdana"/>
          <w:sz w:val="20"/>
          <w:szCs w:val="20"/>
        </w:rPr>
        <w:t xml:space="preserve"> = taxa de juros fixa utilizada para cálculo dos respectivos Juros Remuneratórios a ser definida no Procedimento de </w:t>
      </w:r>
      <w:proofErr w:type="spellStart"/>
      <w:r>
        <w:rPr>
          <w:rFonts w:ascii="Verdana" w:hAnsi="Verdana"/>
          <w:i/>
          <w:sz w:val="20"/>
          <w:szCs w:val="20"/>
        </w:rPr>
        <w:t>Bookbuilding</w:t>
      </w:r>
      <w:proofErr w:type="spellEnd"/>
      <w:r>
        <w:rPr>
          <w:rFonts w:ascii="Verdana" w:hAnsi="Verdana"/>
          <w:sz w:val="20"/>
          <w:szCs w:val="20"/>
        </w:rPr>
        <w:t>, informada com 4 (quatro) casas decimais;</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respectiva Data de Pagamento de Juros Remuneratórios imediatamente anterior, conforme o caso), e a data de cálculo, sendo “DP” um número inteiro.</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Periodicidade do Pagamento dos Juros Remuneratórios. </w:t>
      </w:r>
    </w:p>
    <w:p>
      <w:pPr>
        <w:keepNext/>
        <w:keepLines/>
        <w:spacing w:after="0" w:line="320" w:lineRule="exact"/>
        <w:ind w:left="709" w:hanging="709"/>
        <w:jc w:val="both"/>
        <w:rPr>
          <w:rFonts w:ascii="Verdana" w:hAnsi="Verdana"/>
          <w:sz w:val="20"/>
          <w:szCs w:val="20"/>
        </w:rPr>
      </w:pPr>
    </w:p>
    <w:p>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r>
      <w:r>
        <w:rPr>
          <w:rFonts w:ascii="Verdana" w:hAnsi="Verdana"/>
          <w:sz w:val="20"/>
          <w:szCs w:val="20"/>
          <w:u w:val="single"/>
        </w:rPr>
        <w:t>Pagamento dos Juros Remuneratórios das Debêntures da Primeira Série</w:t>
      </w:r>
      <w:r>
        <w:rPr>
          <w:rFonts w:ascii="Verdana" w:hAnsi="Verdana"/>
          <w:sz w:val="20"/>
          <w:szCs w:val="20"/>
        </w:rPr>
        <w:t>. Ressalvadas as hipóteses de pagamento em decorrência da declaração de vencimento antecipado das Debêntures e, se permitido pelas regras expedidas pelo CMN e pela legislação e regulamentação aplicáveis, do Resgate Obrigatório, os Juros Remuneratórios da Primeira Série serão pagos pela Emissora aos Debenturistas anualmente a partir da Data de Emissão, sendo, portanto, os pagamentos devidos no dia 15 de outubro de cada ano. O primeiro pagamento ocorrerá em 15 de outubro de 2020 e o último pagamento ocorrerá na Data de Vencimento, conforme tabela abaixo (cada uma dessas datas, uma “</w:t>
      </w:r>
      <w:r>
        <w:rPr>
          <w:rFonts w:ascii="Verdana" w:hAnsi="Verdana"/>
          <w:sz w:val="20"/>
          <w:szCs w:val="20"/>
          <w:u w:val="single"/>
        </w:rPr>
        <w:t>Data de Pagamento dos Juros Remuneratórios da Primeira Série</w:t>
      </w:r>
      <w:r>
        <w:rPr>
          <w:rFonts w:ascii="Verdana" w:hAnsi="Verdana"/>
          <w:sz w:val="20"/>
          <w:szCs w:val="20"/>
        </w:rPr>
        <w:t xml:space="preserve">”): </w:t>
      </w:r>
    </w:p>
    <w:p>
      <w:pPr>
        <w:spacing w:after="0" w:line="32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lastRenderedPageBreak/>
              <w:t>Datas de Pagamento dos Juros Remuneratórios dos Juros da Primeira Série</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2020</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2021</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2022</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2023</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2024</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2025</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2026</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2027</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2028</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 de Vencimento</w:t>
            </w:r>
          </w:p>
        </w:tc>
      </w:tr>
    </w:tbl>
    <w:p>
      <w:pPr>
        <w:spacing w:after="0" w:line="320" w:lineRule="exact"/>
        <w:ind w:left="709" w:hanging="709"/>
        <w:jc w:val="both"/>
        <w:rPr>
          <w:rFonts w:ascii="Verdana" w:hAnsi="Verdana"/>
          <w:sz w:val="20"/>
          <w:szCs w:val="20"/>
        </w:rPr>
      </w:pPr>
    </w:p>
    <w:p>
      <w:pPr>
        <w:keepNext/>
        <w:keepLines/>
        <w:spacing w:after="0" w:line="320" w:lineRule="exact"/>
        <w:ind w:left="851" w:hanging="851"/>
        <w:jc w:val="both"/>
        <w:rPr>
          <w:rFonts w:ascii="Verdana" w:hAnsi="Verdana"/>
          <w:sz w:val="20"/>
          <w:szCs w:val="20"/>
        </w:rPr>
      </w:pPr>
      <w:r>
        <w:rPr>
          <w:rFonts w:ascii="Verdana" w:hAnsi="Verdana"/>
          <w:sz w:val="20"/>
          <w:szCs w:val="20"/>
          <w:u w:val="single"/>
        </w:rPr>
        <w:lastRenderedPageBreak/>
        <w:t>5.7.2</w:t>
      </w:r>
      <w:r>
        <w:rPr>
          <w:rFonts w:ascii="Verdana" w:hAnsi="Verdana"/>
          <w:sz w:val="20"/>
          <w:szCs w:val="20"/>
          <w:u w:val="single"/>
        </w:rPr>
        <w:tab/>
        <w:t>Pagamento dos Juros Remuneratórios das Debêntures da Segunda Série</w:t>
      </w:r>
      <w:r>
        <w:rPr>
          <w:rFonts w:ascii="Verdana" w:hAnsi="Verdana"/>
          <w:sz w:val="20"/>
          <w:szCs w:val="20"/>
        </w:rPr>
        <w:t>. Ressalvadas as hipóteses de pagamento em decorrência da declaração de vencimento antecipado das Debêntures e, se permitido pelas regras expedidas pelo CMN e pela legislação e regulamentação aplicáveis, do Resgate Obrigatório, os Juros Remuneratórios da Segunda Série serão pagos pela Emissora aos Debenturistas semestralmente a partir da Data de Emissão, sendo, portanto, os pagamentos devidos no dia 15 de abril e 15 de outubro de cada ano. O primeiro pagamento ocorrerá em 15 de abril de 2021 e o último pagamento ocorrerá na Data de Vencimento, conforme tabela abaixo (cada uma dessas datas, uma “</w:t>
      </w:r>
      <w:r>
        <w:rPr>
          <w:rFonts w:ascii="Verdana" w:hAnsi="Verdana"/>
          <w:sz w:val="20"/>
          <w:szCs w:val="20"/>
          <w:u w:val="single"/>
        </w:rPr>
        <w:t>Data de Pagamento dos Juros Remuneratórios da Segunda Série</w:t>
      </w:r>
      <w:r>
        <w:rPr>
          <w:rFonts w:ascii="Verdana" w:hAnsi="Verdana"/>
          <w:sz w:val="20"/>
          <w:szCs w:val="20"/>
        </w:rPr>
        <w:t xml:space="preserve">”): </w:t>
      </w:r>
    </w:p>
    <w:p>
      <w:pPr>
        <w:keepNext/>
        <w:keepLines/>
        <w:spacing w:after="0" w:line="320" w:lineRule="exact"/>
        <w:ind w:left="851" w:hanging="851"/>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Datas de Pagamento dos Juros Remuneratórios das Debêntures da Segunda Série</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2021</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2021</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2022</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2022</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2023</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2023</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2024</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2024</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2025</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2025</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2026</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2026</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2027</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2027</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2028</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2028</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abril de 2029</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 de Vencimento</w:t>
            </w:r>
          </w:p>
        </w:tc>
      </w:tr>
    </w:tbl>
    <w:p>
      <w:pPr>
        <w:spacing w:after="0" w:line="320" w:lineRule="exact"/>
        <w:ind w:left="709" w:hanging="709"/>
        <w:jc w:val="both"/>
        <w:rPr>
          <w:rFonts w:ascii="Verdana" w:hAnsi="Verdana"/>
          <w:sz w:val="20"/>
          <w:szCs w:val="20"/>
        </w:rPr>
      </w:pP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1" w:name="_DV_M193"/>
      <w:bookmarkStart w:id="212" w:name="_DV_M195"/>
      <w:bookmarkEnd w:id="133"/>
      <w:bookmarkEnd w:id="211"/>
      <w:bookmarkEnd w:id="212"/>
      <w:r>
        <w:rPr>
          <w:rFonts w:ascii="Verdana" w:hAnsi="Verdana"/>
          <w:i/>
          <w:sz w:val="20"/>
          <w:szCs w:val="20"/>
          <w:u w:val="single"/>
        </w:rPr>
        <w:lastRenderedPageBreak/>
        <w:t xml:space="preserve">Pagamento do Valor Nominal Atualizado.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13"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14" w:name="_DV_M202"/>
      <w:bookmarkEnd w:id="214"/>
      <w:r>
        <w:rPr>
          <w:rFonts w:ascii="Verdana" w:hAnsi="Verdana"/>
          <w:sz w:val="20"/>
          <w:szCs w:val="20"/>
        </w:rPr>
        <w:t>será amortizado em 3 (três) parcelas anuais e consecutivas, a partir do 8º (oitavo) ano contado da Data de Emissão, sendo a primeira parcela devida em 15 de outubro de 2027 e a última na Data de Vencimento, conforme a tabela abaixo:</w:t>
      </w:r>
    </w:p>
    <w:p>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tc>
          <w:tcPr>
            <w:tcW w:w="4132" w:type="dxa"/>
          </w:tcPr>
          <w:p>
            <w:pPr>
              <w:spacing w:after="0" w:line="320" w:lineRule="exact"/>
              <w:jc w:val="center"/>
              <w:rPr>
                <w:rFonts w:ascii="Verdana" w:hAnsi="Verdana"/>
                <w:sz w:val="20"/>
                <w:szCs w:val="20"/>
              </w:rPr>
            </w:pPr>
            <w:r>
              <w:rPr>
                <w:rFonts w:ascii="Verdana" w:hAnsi="Verdana"/>
                <w:sz w:val="20"/>
                <w:szCs w:val="20"/>
              </w:rPr>
              <w:t>15 de outubro de 2027</w:t>
            </w:r>
          </w:p>
        </w:tc>
        <w:tc>
          <w:tcPr>
            <w:tcW w:w="4588" w:type="dxa"/>
            <w:vAlign w:val="center"/>
          </w:tcPr>
          <w:p>
            <w:pPr>
              <w:spacing w:after="0" w:line="320" w:lineRule="exact"/>
              <w:jc w:val="center"/>
              <w:rPr>
                <w:rFonts w:ascii="Verdana" w:hAnsi="Verdana"/>
                <w:color w:val="000000"/>
                <w:sz w:val="20"/>
                <w:szCs w:val="20"/>
              </w:rPr>
            </w:pPr>
            <w:r>
              <w:rPr>
                <w:rFonts w:ascii="Verdana" w:hAnsi="Verdana"/>
                <w:color w:val="000000"/>
                <w:sz w:val="20"/>
                <w:szCs w:val="20"/>
              </w:rPr>
              <w:t>33,3333%</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15 de outubro de 2028</w:t>
            </w:r>
          </w:p>
        </w:tc>
        <w:tc>
          <w:tcPr>
            <w:tcW w:w="4588" w:type="dxa"/>
          </w:tcPr>
          <w:p>
            <w:pPr>
              <w:spacing w:after="0" w:line="320" w:lineRule="exact"/>
              <w:jc w:val="center"/>
              <w:rPr>
                <w:rFonts w:ascii="Verdana" w:hAnsi="Verdana" w:cs="Arial"/>
                <w:color w:val="000000"/>
                <w:sz w:val="20"/>
                <w:szCs w:val="20"/>
              </w:rPr>
            </w:pPr>
            <w:r>
              <w:rPr>
                <w:rFonts w:ascii="Verdana" w:hAnsi="Verdana"/>
                <w:sz w:val="20"/>
                <w:szCs w:val="20"/>
              </w:rPr>
              <w:t>50,0000%</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pPr>
              <w:spacing w:after="0" w:line="320" w:lineRule="exact"/>
              <w:jc w:val="center"/>
              <w:rPr>
                <w:rFonts w:ascii="Verdana" w:hAnsi="Verdana" w:cs="Arial"/>
                <w:color w:val="000000"/>
                <w:sz w:val="20"/>
                <w:szCs w:val="20"/>
              </w:rPr>
            </w:pPr>
            <w:r>
              <w:rPr>
                <w:rFonts w:ascii="Verdana" w:hAnsi="Verdana"/>
                <w:sz w:val="20"/>
                <w:szCs w:val="20"/>
              </w:rPr>
              <w:t>100,0000%</w:t>
            </w:r>
          </w:p>
        </w:tc>
      </w:tr>
    </w:tbl>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5" w:name="_Hlk536558225"/>
      <w:r>
        <w:rPr>
          <w:rFonts w:ascii="Verdana" w:hAnsi="Verdana"/>
          <w:i/>
          <w:sz w:val="20"/>
          <w:szCs w:val="20"/>
          <w:u w:val="single"/>
        </w:rPr>
        <w:t>Local de Pagamento</w:t>
      </w:r>
      <w:bookmarkEnd w:id="213"/>
      <w:r>
        <w:rPr>
          <w:rFonts w:ascii="Verdana" w:hAnsi="Verdana"/>
          <w:sz w:val="20"/>
          <w:szCs w:val="20"/>
        </w:rPr>
        <w:t>. Os pagamentos a que</w:t>
      </w:r>
      <w:r>
        <w:rPr>
          <w:rFonts w:ascii="Verdana" w:hAnsi="Verdana"/>
          <w:i/>
          <w:sz w:val="20"/>
          <w:szCs w:val="20"/>
        </w:rPr>
        <w:t xml:space="preserve"> </w:t>
      </w:r>
      <w:r>
        <w:rPr>
          <w:rFonts w:ascii="Verdana" w:hAnsi="Verdana"/>
          <w:sz w:val="20"/>
          <w:szCs w:val="20"/>
        </w:rPr>
        <w:t xml:space="preserve">fizerem jus as Debêntures serão efetuados pela Emissora no respectivo vencimento, conforme o caso: (a) utilizando-se os procedimentos adotados pela B3 ou pela B3 – Segmento </w:t>
      </w:r>
      <w:proofErr w:type="spellStart"/>
      <w:r>
        <w:rPr>
          <w:rFonts w:ascii="Verdana" w:hAnsi="Verdana"/>
          <w:sz w:val="20"/>
          <w:szCs w:val="20"/>
        </w:rPr>
        <w:t>Cetip</w:t>
      </w:r>
      <w:proofErr w:type="spellEnd"/>
      <w:r>
        <w:rPr>
          <w:rFonts w:ascii="Verdana" w:hAnsi="Verdana"/>
          <w:sz w:val="20"/>
          <w:szCs w:val="20"/>
        </w:rPr>
        <w:t xml:space="preserve"> UTVM, para as Debêntures custodiadas eletronicamente na B3 ou na B3 – Segmento </w:t>
      </w:r>
      <w:proofErr w:type="spellStart"/>
      <w:r>
        <w:rPr>
          <w:rFonts w:ascii="Verdana" w:hAnsi="Verdana"/>
          <w:sz w:val="20"/>
          <w:szCs w:val="20"/>
        </w:rPr>
        <w:t>Cetip</w:t>
      </w:r>
      <w:proofErr w:type="spellEnd"/>
      <w:r>
        <w:rPr>
          <w:rFonts w:ascii="Verdana" w:hAnsi="Verdana"/>
          <w:sz w:val="20"/>
          <w:szCs w:val="20"/>
        </w:rPr>
        <w:t xml:space="preserve"> UTVM, conforme o caso; (b) por meio do Banco Liquidante, para os Debenturistas que não tiverem suas Debêntures custodiadas eletronicamente na B3 e na B3 – Segmento </w:t>
      </w:r>
      <w:proofErr w:type="spellStart"/>
      <w:r>
        <w:rPr>
          <w:rFonts w:ascii="Verdana" w:hAnsi="Verdana"/>
          <w:sz w:val="20"/>
          <w:szCs w:val="20"/>
        </w:rPr>
        <w:t>Cetip</w:t>
      </w:r>
      <w:proofErr w:type="spellEnd"/>
      <w:r>
        <w:rPr>
          <w:rFonts w:ascii="Verdana" w:hAnsi="Verdana"/>
          <w:sz w:val="20"/>
          <w:szCs w:val="20"/>
        </w:rPr>
        <w:t xml:space="preserve"> UTVM; ou (c) na sede da Emissora, para os pagamentos que não possam ser realizados por meio do Banco Liquidante, B3 e/ou B3 – Segmento </w:t>
      </w:r>
      <w:proofErr w:type="spellStart"/>
      <w:r>
        <w:rPr>
          <w:rFonts w:ascii="Verdana" w:hAnsi="Verdana"/>
          <w:sz w:val="20"/>
          <w:szCs w:val="20"/>
        </w:rPr>
        <w:t>Cetip</w:t>
      </w:r>
      <w:proofErr w:type="spellEnd"/>
      <w:r>
        <w:rPr>
          <w:rFonts w:ascii="Verdana" w:hAnsi="Verdana"/>
          <w:sz w:val="20"/>
          <w:szCs w:val="20"/>
        </w:rPr>
        <w:t xml:space="preserve"> UTVM (“</w:t>
      </w:r>
      <w:r>
        <w:rPr>
          <w:rFonts w:ascii="Verdana" w:hAnsi="Verdana"/>
          <w:sz w:val="20"/>
          <w:szCs w:val="20"/>
          <w:u w:val="single"/>
        </w:rPr>
        <w:t>Local de Pagamento</w:t>
      </w:r>
      <w:r>
        <w:rPr>
          <w:rFonts w:ascii="Verdana" w:hAnsi="Verdana"/>
          <w:sz w:val="20"/>
          <w:szCs w:val="20"/>
        </w:rPr>
        <w:t>”).</w:t>
      </w:r>
      <w:bookmarkEnd w:id="215"/>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6" w:name="_Toc499990357"/>
      <w:bookmarkStart w:id="217" w:name="_Ref314580889"/>
      <w:r>
        <w:rPr>
          <w:rFonts w:ascii="Verdana" w:hAnsi="Verdana"/>
          <w:i/>
          <w:sz w:val="20"/>
          <w:szCs w:val="20"/>
          <w:u w:val="single"/>
        </w:rPr>
        <w:t>Prorrogação dos Prazos</w:t>
      </w:r>
      <w:bookmarkEnd w:id="216"/>
      <w:r>
        <w:rPr>
          <w:rFonts w:ascii="Verdana" w:hAnsi="Verdana"/>
          <w:i/>
          <w:sz w:val="20"/>
          <w:szCs w:val="20"/>
        </w:rPr>
        <w:t xml:space="preserve">. </w:t>
      </w:r>
      <w:bookmarkStart w:id="218" w:name="_DV_M208"/>
      <w:bookmarkEnd w:id="218"/>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19" w:name="_Toc499990358"/>
      <w:bookmarkEnd w:id="217"/>
      <w:r>
        <w:rPr>
          <w:rFonts w:ascii="Verdana" w:hAnsi="Verdana"/>
          <w:sz w:val="20"/>
          <w:szCs w:val="20"/>
        </w:rPr>
        <w:t xml:space="preserve"> </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lastRenderedPageBreak/>
        <w:t>Encargos Moratórios</w:t>
      </w:r>
      <w:bookmarkStart w:id="220" w:name="_DV_M211"/>
      <w:bookmarkEnd w:id="219"/>
      <w:bookmarkEnd w:id="220"/>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w:t>
      </w:r>
      <w:proofErr w:type="spellStart"/>
      <w:r>
        <w:rPr>
          <w:rFonts w:ascii="Verdana" w:hAnsi="Verdana"/>
          <w:sz w:val="20"/>
          <w:szCs w:val="20"/>
        </w:rPr>
        <w:t>ii</w:t>
      </w:r>
      <w:proofErr w:type="spellEnd"/>
      <w:r>
        <w:rPr>
          <w:rFonts w:ascii="Verdana" w:hAnsi="Verdana"/>
          <w:sz w:val="20"/>
          <w:szCs w:val="20"/>
        </w:rPr>
        <w:t>)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21" w:name="_Toc499990359"/>
      <w:r>
        <w:rPr>
          <w:rFonts w:ascii="Verdana" w:hAnsi="Verdana"/>
          <w:i/>
          <w:sz w:val="20"/>
          <w:szCs w:val="20"/>
          <w:u w:val="single"/>
        </w:rPr>
        <w:t>Decadência dos Direitos aos Acréscimos</w:t>
      </w:r>
      <w:bookmarkEnd w:id="221"/>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Preço de Subscrição </w:t>
      </w:r>
    </w:p>
    <w:p>
      <w:pPr>
        <w:keepNext/>
        <w:keepLines/>
        <w:spacing w:after="0" w:line="320" w:lineRule="exact"/>
        <w:ind w:left="851" w:hanging="851"/>
        <w:jc w:val="both"/>
        <w:rPr>
          <w:rFonts w:ascii="Verdana" w:hAnsi="Verdana"/>
          <w:sz w:val="20"/>
          <w:szCs w:val="20"/>
        </w:rPr>
      </w:pPr>
    </w:p>
    <w:p>
      <w:pPr>
        <w:pStyle w:val="PargrafodaLista"/>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de uma mesma Série.</w:t>
      </w:r>
    </w:p>
    <w:p>
      <w:pPr>
        <w:pStyle w:val="PargrafodaLista"/>
        <w:keepNext/>
        <w:keepLines/>
        <w:spacing w:line="320" w:lineRule="exact"/>
        <w:ind w:left="720"/>
        <w:jc w:val="both"/>
        <w:rPr>
          <w:rFonts w:ascii="Verdana" w:eastAsiaTheme="minorHAnsi" w:hAnsi="Verdana" w:cstheme="minorBidi"/>
          <w:sz w:val="20"/>
          <w:szCs w:val="20"/>
          <w:lang w:eastAsia="en-US"/>
        </w:rPr>
      </w:pPr>
    </w:p>
    <w:p>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w:t>
      </w:r>
      <w:r>
        <w:rPr>
          <w:rFonts w:ascii="Verdana" w:hAnsi="Verdana"/>
          <w:sz w:val="20"/>
          <w:szCs w:val="20"/>
        </w:rPr>
        <w:lastRenderedPageBreak/>
        <w:t xml:space="preserve">não sendo devidas quaisquer compensações financeiras entre a Emissora e os Debenturistas, se e quando o IPCA que seria aplicável for divulgado. </w:t>
      </w:r>
    </w:p>
    <w:p>
      <w:pPr>
        <w:pStyle w:val="PargrafodaLista"/>
        <w:spacing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2" w:name="_DV_M217"/>
      <w:bookmarkStart w:id="223" w:name="_DV_M218"/>
      <w:bookmarkStart w:id="224" w:name="_DV_C271"/>
      <w:bookmarkStart w:id="225" w:name="_Toc499990338"/>
      <w:bookmarkEnd w:id="222"/>
      <w:bookmarkEnd w:id="223"/>
    </w:p>
    <w:p>
      <w:pPr>
        <w:spacing w:after="0" w:line="320" w:lineRule="exact"/>
        <w:ind w:left="709"/>
        <w:jc w:val="both"/>
        <w:rPr>
          <w:rFonts w:ascii="Verdana" w:hAnsi="Verdana"/>
          <w:i/>
          <w:sz w:val="20"/>
          <w:szCs w:val="20"/>
          <w:u w:val="single"/>
        </w:rPr>
      </w:pPr>
    </w:p>
    <w:p>
      <w:pPr>
        <w:pStyle w:val="PargrafodaLista"/>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26" w:name="_DV_M219"/>
      <w:bookmarkEnd w:id="224"/>
      <w:bookmarkEnd w:id="226"/>
      <w:r>
        <w:rPr>
          <w:rFonts w:ascii="Verdana" w:hAnsi="Verdana"/>
          <w:sz w:val="20"/>
          <w:szCs w:val="20"/>
        </w:rPr>
        <w:t xml:space="preserve">em moeda corrente nacional, pelo Preço de Subscrição, de acordo com as normas de liquidação e os procedimentos aplicáveis à B3 ou à B3 – Segmento </w:t>
      </w:r>
      <w:proofErr w:type="spellStart"/>
      <w:r>
        <w:rPr>
          <w:rFonts w:ascii="Verdana" w:hAnsi="Verdana"/>
          <w:sz w:val="20"/>
          <w:szCs w:val="20"/>
        </w:rPr>
        <w:t>Cetip</w:t>
      </w:r>
      <w:proofErr w:type="spellEnd"/>
      <w:r>
        <w:rPr>
          <w:rFonts w:ascii="Verdana" w:hAnsi="Verdana"/>
          <w:sz w:val="20"/>
          <w:szCs w:val="20"/>
        </w:rPr>
        <w:t xml:space="preserve"> UTVM, conforme o caso</w:t>
      </w:r>
      <w:r>
        <w:rPr>
          <w:rFonts w:ascii="Verdana" w:hAnsi="Verdana"/>
          <w:color w:val="000000"/>
          <w:sz w:val="20"/>
          <w:szCs w:val="20"/>
        </w:rPr>
        <w:t xml:space="preserve">, sendo a liquidação realizada por meio da </w:t>
      </w:r>
      <w:r>
        <w:rPr>
          <w:rFonts w:ascii="Verdana" w:hAnsi="Verdana"/>
          <w:sz w:val="20"/>
          <w:szCs w:val="20"/>
        </w:rPr>
        <w:t xml:space="preserve">B3 ou da 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color w:val="000000"/>
          <w:sz w:val="20"/>
          <w:szCs w:val="20"/>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proofErr w:type="gramStart"/>
      <w:r>
        <w:rPr>
          <w:rFonts w:ascii="Verdana" w:hAnsi="Verdana"/>
          <w:i/>
          <w:color w:val="000000"/>
          <w:sz w:val="20"/>
          <w:szCs w:val="20"/>
        </w:rPr>
        <w:t>pro</w:t>
      </w:r>
      <w:proofErr w:type="gramEnd"/>
      <w:r>
        <w:rPr>
          <w:rFonts w:ascii="Verdana" w:hAnsi="Verdana"/>
          <w:i/>
          <w:color w:val="000000"/>
          <w:sz w:val="20"/>
          <w:szCs w:val="20"/>
        </w:rPr>
        <w:t xml:space="preserve"> rata </w:t>
      </w:r>
      <w:proofErr w:type="spellStart"/>
      <w:r>
        <w:rPr>
          <w:rFonts w:ascii="Verdana" w:hAnsi="Verdana"/>
          <w:i/>
          <w:color w:val="000000"/>
          <w:sz w:val="20"/>
          <w:szCs w:val="20"/>
        </w:rPr>
        <w:t>temporis</w:t>
      </w:r>
      <w:proofErr w:type="spellEnd"/>
      <w:r>
        <w:rPr>
          <w:rFonts w:ascii="Verdana" w:hAnsi="Verdana"/>
          <w:color w:val="000000"/>
          <w:sz w:val="20"/>
          <w:szCs w:val="20"/>
        </w:rPr>
        <w:t xml:space="preserve"> desde a Primeira Data de Integralização até a data de sua 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Debêntures</w:t>
      </w:r>
      <w:r>
        <w:rPr>
          <w:rFonts w:ascii="Verdana" w:hAnsi="Verdana"/>
          <w:sz w:val="20"/>
          <w:szCs w:val="20"/>
        </w:rPr>
        <w:t xml:space="preserve">. </w:t>
      </w:r>
    </w:p>
    <w:p>
      <w:pPr>
        <w:spacing w:after="0" w:line="320" w:lineRule="exact"/>
        <w:ind w:left="851" w:hanging="851"/>
        <w:jc w:val="both"/>
        <w:rPr>
          <w:rStyle w:val="DeltaViewInsertion"/>
          <w:rFonts w:ascii="Verdana" w:hAnsi="Verdana" w:cs="Times New Roman"/>
          <w:color w:val="auto"/>
          <w:sz w:val="20"/>
          <w:szCs w:val="20"/>
          <w:lang w:eastAsia="pt-BR"/>
        </w:rPr>
      </w:pPr>
    </w:p>
    <w:bookmarkEnd w:id="225"/>
    <w:p>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pPr>
        <w:pStyle w:val="PargrafodaLista"/>
        <w:spacing w:line="320" w:lineRule="exact"/>
        <w:ind w:left="851" w:hanging="851"/>
        <w:jc w:val="both"/>
        <w:rPr>
          <w:rFonts w:ascii="Verdana" w:hAnsi="Verdana"/>
          <w:sz w:val="20"/>
          <w:szCs w:val="20"/>
        </w:rPr>
      </w:pPr>
    </w:p>
    <w:p>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27" w:name="_Ref312338882"/>
      <w:r>
        <w:rPr>
          <w:rFonts w:ascii="Verdana" w:hAnsi="Verdana"/>
          <w:sz w:val="20"/>
          <w:szCs w:val="20"/>
        </w:rPr>
        <w:t>O Aviso ao Mercado, o Anúncio de Início da Oferta e o Anúncio de Encerramento da Oferta serão divulgados na página da Emissora na rede mundial de computadores (http://ri.rumolog.com).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(http://ri.rumolog.com)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27"/>
      <w:r>
        <w:rPr>
          <w:rFonts w:ascii="Verdana" w:hAnsi="Verdana"/>
          <w:sz w:val="20"/>
          <w:szCs w:val="20"/>
        </w:rPr>
        <w:t xml:space="preserve"> </w:t>
      </w:r>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28" w:name="_Ref312251936"/>
      <w:r>
        <w:rPr>
          <w:rFonts w:ascii="Verdana" w:hAnsi="Verdana"/>
          <w:i/>
          <w:sz w:val="20"/>
          <w:szCs w:val="20"/>
          <w:u w:val="single"/>
        </w:rPr>
        <w:lastRenderedPageBreak/>
        <w:t>Comprovação de Titularidade das Debêntures</w:t>
      </w:r>
      <w:bookmarkStart w:id="229" w:name="_DV_M232"/>
      <w:bookmarkStart w:id="230" w:name="_Ref312336031"/>
      <w:bookmarkEnd w:id="228"/>
      <w:bookmarkEnd w:id="229"/>
      <w:r>
        <w:rPr>
          <w:rFonts w:ascii="Verdana" w:hAnsi="Verdana"/>
          <w:sz w:val="20"/>
          <w:szCs w:val="20"/>
        </w:rPr>
        <w:t xml:space="preserve">. A Emissora não emitirá certificados de Debêntures. Para todos os fins de direito, a titularidade das Debêntures será comprovada pelo extrato emitido pelo </w:t>
      </w:r>
      <w:proofErr w:type="spellStart"/>
      <w:r>
        <w:rPr>
          <w:rFonts w:ascii="Verdana" w:hAnsi="Verdana"/>
          <w:sz w:val="20"/>
          <w:szCs w:val="20"/>
        </w:rPr>
        <w:t>Escriturador</w:t>
      </w:r>
      <w:proofErr w:type="spellEnd"/>
      <w:r>
        <w:rPr>
          <w:rFonts w:ascii="Verdana" w:hAnsi="Verdana"/>
          <w:sz w:val="20"/>
          <w:szCs w:val="20"/>
        </w:rPr>
        <w:t xml:space="preserve">. Adicionalmente, (i) com relação às Debêntures que estiverem custodiadas eletronicamente na B3 – Segmento </w:t>
      </w:r>
      <w:proofErr w:type="spellStart"/>
      <w:r>
        <w:rPr>
          <w:rFonts w:ascii="Verdana" w:hAnsi="Verdana"/>
          <w:sz w:val="20"/>
          <w:szCs w:val="20"/>
        </w:rPr>
        <w:t>Cetip</w:t>
      </w:r>
      <w:proofErr w:type="spellEnd"/>
      <w:r>
        <w:rPr>
          <w:rFonts w:ascii="Verdana" w:hAnsi="Verdana"/>
          <w:sz w:val="20"/>
          <w:szCs w:val="20"/>
        </w:rPr>
        <w:t xml:space="preserve"> UTVM, será expedido, por esta, extrato atualizado em nome do Debenturista, que servirá de comprovante de titularidade de tais Debêntures; e/ou (</w:t>
      </w:r>
      <w:proofErr w:type="spellStart"/>
      <w:r>
        <w:rPr>
          <w:rFonts w:ascii="Verdana" w:hAnsi="Verdana"/>
          <w:sz w:val="20"/>
          <w:szCs w:val="20"/>
        </w:rPr>
        <w:t>ii</w:t>
      </w:r>
      <w:proofErr w:type="spellEnd"/>
      <w:r>
        <w:rPr>
          <w:rFonts w:ascii="Verdana" w:hAnsi="Verdana"/>
          <w:sz w:val="20"/>
          <w:szCs w:val="20"/>
        </w:rPr>
        <w:t>) com relação às Debêntures que estiverem custodiadas eletronicamente na B3, será expedido, pela B3, extrato atualizado em nome do Debenturista, que servirá de comprovante de titularidade de tais Debêntures.</w:t>
      </w:r>
      <w:bookmarkEnd w:id="230"/>
      <w:r>
        <w:rPr>
          <w:rFonts w:ascii="Verdana" w:hAnsi="Verdana"/>
          <w:sz w:val="20"/>
          <w:szCs w:val="20"/>
        </w:rPr>
        <w:t xml:space="preserve"> </w:t>
      </w:r>
    </w:p>
    <w:p>
      <w:pPr>
        <w:pStyle w:val="PargrafodaLista"/>
        <w:spacing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1"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1"/>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 xml:space="preserve">Caso a Emissora não utilize os recursos obtidos com a colocação das Debêntures na forma prevista na Cláusula 4 acima, dando causa ao seu </w:t>
      </w:r>
      <w:proofErr w:type="spellStart"/>
      <w:r>
        <w:rPr>
          <w:rFonts w:ascii="Verdana" w:hAnsi="Verdana"/>
          <w:bCs/>
          <w:sz w:val="20"/>
          <w:szCs w:val="20"/>
        </w:rPr>
        <w:t>desenquadramento</w:t>
      </w:r>
      <w:proofErr w:type="spellEnd"/>
      <w:r>
        <w:rPr>
          <w:rFonts w:ascii="Verdana" w:hAnsi="Verdana"/>
          <w:bCs/>
          <w:sz w:val="20"/>
          <w:szCs w:val="20"/>
        </w:rPr>
        <w:t xml:space="preserve"> nos termos do parágrafo 8º do artigo 1º da Lei n° 12.431, esta será responsável pela multa a ser paga nos termos da Lei n° 12.431, equivalente a 20% (vinte por cento) do valor captado e não alocado nos Projetos.</w:t>
      </w:r>
    </w:p>
    <w:p>
      <w:pPr>
        <w:spacing w:after="0" w:line="320" w:lineRule="exact"/>
        <w:ind w:left="851" w:hanging="851"/>
        <w:jc w:val="both"/>
        <w:rPr>
          <w:rFonts w:ascii="Verdana" w:hAnsi="Verdana"/>
          <w:bCs/>
          <w:sz w:val="20"/>
          <w:szCs w:val="20"/>
        </w:rPr>
      </w:pPr>
    </w:p>
    <w:p>
      <w:pPr>
        <w:pStyle w:val="Level3"/>
        <w:numPr>
          <w:ilvl w:val="2"/>
          <w:numId w:val="72"/>
        </w:numPr>
        <w:tabs>
          <w:tab w:val="left" w:pos="1134"/>
        </w:tabs>
        <w:spacing w:after="0" w:line="320" w:lineRule="exact"/>
        <w:ind w:left="851" w:hanging="851"/>
        <w:rPr>
          <w:rFonts w:ascii="Verdana" w:hAnsi="Verdana" w:cs="Tahoma"/>
          <w:szCs w:val="20"/>
          <w:lang w:val="pt-BR"/>
        </w:rPr>
      </w:pPr>
      <w:bookmarkStart w:id="232" w:name="_Ref530738843"/>
      <w:r>
        <w:rPr>
          <w:rFonts w:ascii="Verdana" w:hAnsi="Verdana" w:cs="Tahoma"/>
          <w:szCs w:val="20"/>
          <w:lang w:val="pt-BR"/>
        </w:rPr>
        <w:t>Sem prejuízo do disposto na Cláusula 5.18.2, acima, caso, a qualquer momento durante a vigência da presente Emissão e até a data da liquidação integral das Debêntures: (i) as Debêntures deixem de gozar do tratamento tributário previsto na Lei nº 12.431; ou (</w:t>
      </w:r>
      <w:proofErr w:type="spellStart"/>
      <w:r>
        <w:rPr>
          <w:rFonts w:ascii="Verdana" w:hAnsi="Verdana" w:cs="Tahoma"/>
          <w:szCs w:val="20"/>
          <w:lang w:val="pt-BR"/>
        </w:rPr>
        <w:t>ii</w:t>
      </w:r>
      <w:proofErr w:type="spellEnd"/>
      <w:r>
        <w:rPr>
          <w:rFonts w:ascii="Verdana" w:hAnsi="Verdana" w:cs="Tahoma"/>
          <w:szCs w:val="20"/>
          <w:lang w:val="pt-BR"/>
        </w:rPr>
        <w:t xml:space="preserve">) haja qualquer retenção de tributos sobre os rendimentos das Debêntures, por qualquer motivo, inclusive mas não </w:t>
      </w:r>
      <w:r>
        <w:rPr>
          <w:rFonts w:ascii="Verdana" w:hAnsi="Verdana" w:cs="Tahoma"/>
          <w:szCs w:val="20"/>
          <w:lang w:val="pt-BR"/>
        </w:rPr>
        <w:lastRenderedPageBreak/>
        <w:t xml:space="preserve">se limitando, em razão de revogação ou alteração da Lei nº 12.431 ou edição de lei determinando a incidência de imposto de renda retido na fonte ou quaisquer outros tributos sobre os rendimentos das Debêntures, em qualquer das hipóteses, a Emissora:  </w:t>
      </w:r>
    </w:p>
    <w:p>
      <w:pPr>
        <w:pStyle w:val="Level3"/>
        <w:numPr>
          <w:ilvl w:val="0"/>
          <w:numId w:val="0"/>
        </w:numPr>
        <w:tabs>
          <w:tab w:val="left" w:pos="1134"/>
        </w:tabs>
        <w:spacing w:after="0" w:line="320" w:lineRule="exact"/>
        <w:ind w:left="720"/>
        <w:rPr>
          <w:rFonts w:ascii="Verdana" w:hAnsi="Verdana" w:cs="Tahoma"/>
          <w:szCs w:val="20"/>
          <w:lang w:val="pt-BR"/>
        </w:rPr>
      </w:pPr>
    </w:p>
    <w:p>
      <w:pPr>
        <w:pStyle w:val="Level5"/>
        <w:numPr>
          <w:ilvl w:val="4"/>
          <w:numId w:val="71"/>
        </w:numPr>
        <w:tabs>
          <w:tab w:val="clear" w:pos="2721"/>
        </w:tabs>
        <w:spacing w:after="0" w:line="320" w:lineRule="exact"/>
        <w:ind w:left="851" w:firstLine="0"/>
        <w:rPr>
          <w:rFonts w:ascii="Verdana" w:hAnsi="Verdana" w:cs="Tahoma"/>
          <w:lang w:val="pt-BR"/>
        </w:rPr>
      </w:pPr>
      <w:proofErr w:type="gramStart"/>
      <w:r>
        <w:rPr>
          <w:rFonts w:ascii="Verdana" w:hAnsi="Verdana" w:cs="Tahoma"/>
          <w:lang w:val="pt-BR"/>
        </w:rPr>
        <w:t>deverá</w:t>
      </w:r>
      <w:proofErr w:type="gramEnd"/>
      <w:r>
        <w:rPr>
          <w:rFonts w:ascii="Verdana" w:hAnsi="Verdana" w:cs="Tahoma"/>
          <w:lang w:val="pt-BR"/>
        </w:rPr>
        <w:t xml:space="preserve">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pPr>
        <w:pStyle w:val="Level5"/>
        <w:numPr>
          <w:ilvl w:val="0"/>
          <w:numId w:val="0"/>
        </w:numPr>
        <w:spacing w:after="0" w:line="320" w:lineRule="exact"/>
        <w:ind w:left="851"/>
        <w:rPr>
          <w:rFonts w:ascii="Verdana" w:hAnsi="Verdana" w:cs="Tahoma"/>
          <w:lang w:val="pt-BR"/>
        </w:rPr>
      </w:pPr>
    </w:p>
    <w:p>
      <w:pPr>
        <w:pStyle w:val="Level5"/>
        <w:numPr>
          <w:ilvl w:val="4"/>
          <w:numId w:val="71"/>
        </w:numPr>
        <w:tabs>
          <w:tab w:val="clear" w:pos="2721"/>
        </w:tabs>
        <w:spacing w:after="0" w:line="320" w:lineRule="exact"/>
        <w:ind w:left="851" w:firstLine="0"/>
        <w:rPr>
          <w:rFonts w:ascii="Verdana" w:hAnsi="Verdana"/>
          <w:bCs/>
          <w:lang w:val="pt-BR"/>
        </w:rPr>
      </w:pPr>
      <w:proofErr w:type="gramStart"/>
      <w:r>
        <w:rPr>
          <w:rFonts w:ascii="Verdana" w:hAnsi="Verdana" w:cs="Tahoma"/>
          <w:lang w:val="pt-BR"/>
        </w:rPr>
        <w:t>sem</w:t>
      </w:r>
      <w:proofErr w:type="gramEnd"/>
      <w:r>
        <w:rPr>
          <w:rFonts w:ascii="Verdana" w:hAnsi="Verdana" w:cs="Tahoma"/>
          <w:lang w:val="pt-BR"/>
        </w:rPr>
        <w:t xml:space="preserve"> prejuízo do disposto na alínea “(a)”, acima, estará autorizada, a seu exclusivo critério, a realizar resgate antecipado para a totalidade das Debêntures, independentemente de qualquer procedimento ou aprovação, desde que permitido pela legislação 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bookmarkEnd w:id="232"/>
      <w:r>
        <w:rPr>
          <w:rFonts w:ascii="Verdana" w:hAnsi="Verdana" w:cs="Tahoma"/>
          <w:lang w:val="pt-BR"/>
        </w:rPr>
        <w:t>, sendo certo que tais pagamentos serão realizados fora do âmbito da B3 ou da B3 – Segmento CETIP UTVM.</w:t>
      </w:r>
    </w:p>
    <w:p>
      <w:pPr>
        <w:tabs>
          <w:tab w:val="num" w:pos="1361"/>
        </w:tabs>
        <w:spacing w:after="0" w:line="320" w:lineRule="exact"/>
        <w:ind w:left="709"/>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 </w:t>
      </w:r>
    </w:p>
    <w:p>
      <w:pPr>
        <w:spacing w:after="0" w:line="320" w:lineRule="exact"/>
        <w:ind w:left="851" w:hanging="851"/>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bookmarkStart w:id="233" w:name="_Hlk536133970"/>
      <w:r>
        <w:rPr>
          <w:rFonts w:ascii="Verdana" w:hAnsi="Verdana"/>
          <w:bCs/>
          <w:i/>
          <w:sz w:val="20"/>
          <w:szCs w:val="20"/>
          <w:u w:val="single"/>
        </w:rPr>
        <w:t>Fundo de Liquidez e Estabilização</w:t>
      </w:r>
      <w:r>
        <w:rPr>
          <w:rFonts w:ascii="Verdana" w:hAnsi="Verdana"/>
          <w:bCs/>
          <w:sz w:val="20"/>
          <w:szCs w:val="20"/>
        </w:rPr>
        <w:t>: Não foi constituído fundo de manutenção de liquidez para as Debêntures.</w:t>
      </w:r>
      <w:r>
        <w:rPr>
          <w:rFonts w:ascii="Verdana" w:eastAsia="MS Mincho" w:hAnsi="Verdana"/>
          <w:color w:val="000000"/>
          <w:sz w:val="20"/>
          <w:szCs w:val="20"/>
        </w:rPr>
        <w:t xml:space="preserve"> </w:t>
      </w:r>
      <w:bookmarkEnd w:id="233"/>
    </w:p>
    <w:p>
      <w:pPr>
        <w:pStyle w:val="PargrafodaLista"/>
        <w:spacing w:line="320" w:lineRule="exact"/>
        <w:ind w:left="851" w:hanging="851"/>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bookmarkStart w:id="234"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u w:val="single"/>
        </w:rPr>
        <w:t>.</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34"/>
    </w:p>
    <w:p>
      <w:pPr>
        <w:spacing w:after="0" w:line="320" w:lineRule="exact"/>
        <w:ind w:left="851" w:hanging="851"/>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lastRenderedPageBreak/>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Fitch</w:t>
      </w:r>
      <w:r>
        <w:rPr>
          <w:rFonts w:ascii="Verdana" w:hAnsi="Verdana"/>
          <w:bCs/>
          <w:sz w:val="20"/>
          <w:szCs w:val="20"/>
        </w:rPr>
        <w:t xml:space="preserve"> Ratings Brasil Ltda.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pPr>
        <w:pStyle w:val="PargrafodaLista"/>
        <w:spacing w:line="320" w:lineRule="exact"/>
        <w:ind w:left="851" w:hanging="851"/>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pPr>
        <w:spacing w:line="320" w:lineRule="exact"/>
        <w:rPr>
          <w:rFonts w:ascii="Verdana" w:hAnsi="Verdana"/>
          <w:smallCaps/>
          <w:sz w:val="20"/>
          <w:szCs w:val="20"/>
          <w:u w:val="single"/>
        </w:rPr>
      </w:pPr>
      <w:bookmarkStart w:id="235" w:name="_Toc499990365"/>
    </w:p>
    <w:p>
      <w:pPr>
        <w:pStyle w:val="PargrafodaLista"/>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t xml:space="preserve">Amortização Extraordinária, Resgate Antecipado Facultativo, Aquisição Facultativa e Resgate Obrigatório </w:t>
      </w:r>
    </w:p>
    <w:p>
      <w:pPr>
        <w:keepNext/>
        <w:spacing w:after="0" w:line="320" w:lineRule="exact"/>
        <w:rPr>
          <w:rFonts w:ascii="Verdana" w:hAnsi="Verdana"/>
          <w:sz w:val="20"/>
          <w:szCs w:val="20"/>
        </w:rPr>
      </w:pPr>
      <w:bookmarkStart w:id="236" w:name="_DV_M237"/>
      <w:bookmarkEnd w:id="236"/>
    </w:p>
    <w:p>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37" w:name="_Ref312404674"/>
      <w:r>
        <w:rPr>
          <w:rFonts w:ascii="Verdana" w:hAnsi="Verdana"/>
          <w:bCs/>
          <w:i/>
          <w:sz w:val="20"/>
          <w:szCs w:val="20"/>
          <w:u w:val="single"/>
        </w:rPr>
        <w:t>Aquisição Facultativa</w:t>
      </w:r>
      <w:bookmarkEnd w:id="237"/>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w:t>
      </w:r>
      <w:proofErr w:type="spellStart"/>
      <w:r>
        <w:rPr>
          <w:rFonts w:ascii="Verdana" w:hAnsi="Verdana"/>
          <w:bCs/>
          <w:sz w:val="20"/>
          <w:szCs w:val="20"/>
        </w:rPr>
        <w:t>ii</w:t>
      </w:r>
      <w:proofErr w:type="spellEnd"/>
      <w:r>
        <w:rPr>
          <w:rFonts w:ascii="Verdana" w:hAnsi="Verdana"/>
          <w:bCs/>
          <w:sz w:val="20"/>
          <w:szCs w:val="20"/>
        </w:rPr>
        <w:t>)</w:t>
      </w:r>
      <w:r>
        <w:rPr>
          <w:rFonts w:ascii="Verdana" w:hAnsi="Verdana"/>
          <w:sz w:val="20"/>
          <w:szCs w:val="20"/>
        </w:rPr>
        <w:t xml:space="preserve"> permanecer na tesouraria da Emissora; ou </w:t>
      </w:r>
      <w:r>
        <w:rPr>
          <w:rFonts w:ascii="Verdana" w:hAnsi="Verdana"/>
          <w:bCs/>
          <w:sz w:val="20"/>
          <w:szCs w:val="20"/>
        </w:rPr>
        <w:t>(</w:t>
      </w:r>
      <w:proofErr w:type="spellStart"/>
      <w:r>
        <w:rPr>
          <w:rFonts w:ascii="Verdana" w:hAnsi="Verdana"/>
          <w:bCs/>
          <w:sz w:val="20"/>
          <w:szCs w:val="20"/>
        </w:rPr>
        <w:t>iii</w:t>
      </w:r>
      <w:proofErr w:type="spellEnd"/>
      <w:r>
        <w:rPr>
          <w:rFonts w:ascii="Verdana" w:hAnsi="Verdana"/>
          <w:bCs/>
          <w:sz w:val="20"/>
          <w:szCs w:val="20"/>
        </w:rPr>
        <w:t>)</w:t>
      </w:r>
      <w:r>
        <w:rPr>
          <w:rFonts w:ascii="Verdana" w:hAnsi="Verdana"/>
          <w:sz w:val="20"/>
          <w:szCs w:val="20"/>
        </w:rPr>
        <w:t xml:space="preserve"> ser novamente colocadas no mercado. As Debêntures adquiridas pela Emissora para permanência em tesouraria nos termos desta Cláusula, se e </w:t>
      </w:r>
      <w:r>
        <w:rPr>
          <w:rFonts w:ascii="Verdana" w:hAnsi="Verdana"/>
          <w:sz w:val="20"/>
          <w:szCs w:val="20"/>
        </w:rPr>
        <w:lastRenderedPageBreak/>
        <w:t xml:space="preserve">quando recolocadas no mercado, farão jus aos mesmos valores de atualização monetária e juros remuneratórios das demais Debêntures, conforme aplicável.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 xml:space="preserve">pro rata </w:t>
      </w:r>
      <w:proofErr w:type="spellStart"/>
      <w:r>
        <w:rPr>
          <w:rFonts w:ascii="Verdana" w:eastAsia="Arial Unicode MS" w:hAnsi="Verdana" w:cs="Arial"/>
          <w:bCs/>
          <w:i/>
          <w:iCs/>
          <w:sz w:val="20"/>
          <w:szCs w:val="20"/>
        </w:rPr>
        <w:t>temporis</w:t>
      </w:r>
      <w:proofErr w:type="spellEnd"/>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pPr>
        <w:spacing w:after="0" w:line="320" w:lineRule="exact"/>
        <w:ind w:left="709" w:hanging="709"/>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w:t>
      </w:r>
      <w:proofErr w:type="spellStart"/>
      <w:r>
        <w:rPr>
          <w:rFonts w:ascii="Verdana" w:hAnsi="Verdana"/>
          <w:sz w:val="20"/>
          <w:szCs w:val="20"/>
        </w:rPr>
        <w:t>Cetip</w:t>
      </w:r>
      <w:proofErr w:type="spellEnd"/>
      <w:r>
        <w:rPr>
          <w:rFonts w:ascii="Verdana" w:hAnsi="Verdana"/>
          <w:sz w:val="20"/>
          <w:szCs w:val="20"/>
        </w:rPr>
        <w:t xml:space="preserve">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w:t>
      </w:r>
      <w:proofErr w:type="spellStart"/>
      <w:r>
        <w:rPr>
          <w:rFonts w:ascii="Verdana" w:hAnsi="Verdana"/>
          <w:bCs/>
          <w:sz w:val="20"/>
          <w:szCs w:val="20"/>
        </w:rPr>
        <w:t>ii</w:t>
      </w:r>
      <w:proofErr w:type="spellEnd"/>
      <w:r>
        <w:rPr>
          <w:rFonts w:ascii="Verdana" w:hAnsi="Verdana"/>
          <w:bCs/>
          <w:sz w:val="20"/>
          <w:szCs w:val="20"/>
        </w:rPr>
        <w:t>) a forma de cálculo do Valor do Resgate Obrigatório; e (</w:t>
      </w:r>
      <w:proofErr w:type="spellStart"/>
      <w:r>
        <w:rPr>
          <w:rFonts w:ascii="Verdana" w:hAnsi="Verdana"/>
          <w:bCs/>
          <w:sz w:val="20"/>
          <w:szCs w:val="20"/>
        </w:rPr>
        <w:t>iii</w:t>
      </w:r>
      <w:proofErr w:type="spellEnd"/>
      <w:r>
        <w:rPr>
          <w:rFonts w:ascii="Verdana" w:hAnsi="Verdana"/>
          <w:bCs/>
          <w:sz w:val="20"/>
          <w:szCs w:val="20"/>
        </w:rPr>
        <w:t>) outras informações necessárias à operacionalização do Resgate Obrigatório e que sejam consideradas relevantes pela Emissora para conhecimento dos Debenturistas.</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w:t>
      </w:r>
      <w:proofErr w:type="spellStart"/>
      <w:r>
        <w:rPr>
          <w:rFonts w:ascii="Verdana" w:hAnsi="Verdana"/>
          <w:bCs/>
          <w:sz w:val="20"/>
          <w:szCs w:val="20"/>
        </w:rPr>
        <w:t>ii</w:t>
      </w:r>
      <w:proofErr w:type="spellEnd"/>
      <w:r>
        <w:rPr>
          <w:rFonts w:ascii="Verdana" w:hAnsi="Verdana"/>
          <w:bCs/>
          <w:sz w:val="20"/>
          <w:szCs w:val="20"/>
        </w:rPr>
        <w:t xml:space="preserve">) os procedimentos estabelecidos pela </w:t>
      </w:r>
      <w:r>
        <w:rPr>
          <w:rFonts w:ascii="Verdana" w:hAnsi="Verdana"/>
          <w:sz w:val="20"/>
          <w:szCs w:val="20"/>
        </w:rPr>
        <w:t xml:space="preserve">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bCs/>
          <w:sz w:val="20"/>
          <w:szCs w:val="20"/>
        </w:rPr>
        <w:t xml:space="preserve">, para as Debêntures que estiverem custodiadas eletronicamente na </w:t>
      </w:r>
      <w:r>
        <w:rPr>
          <w:rFonts w:ascii="Verdana" w:hAnsi="Verdana"/>
          <w:sz w:val="20"/>
          <w:szCs w:val="20"/>
        </w:rPr>
        <w:t xml:space="preserve">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bCs/>
          <w:sz w:val="20"/>
          <w:szCs w:val="20"/>
        </w:rPr>
        <w:t>; ou (</w:t>
      </w:r>
      <w:proofErr w:type="spellStart"/>
      <w:r>
        <w:rPr>
          <w:rFonts w:ascii="Verdana" w:hAnsi="Verdana"/>
          <w:bCs/>
          <w:sz w:val="20"/>
          <w:szCs w:val="20"/>
        </w:rPr>
        <w:t>iii</w:t>
      </w:r>
      <w:proofErr w:type="spellEnd"/>
      <w:r>
        <w:rPr>
          <w:rFonts w:ascii="Verdana" w:hAnsi="Verdana"/>
          <w:bCs/>
          <w:sz w:val="20"/>
          <w:szCs w:val="20"/>
        </w:rPr>
        <w:t xml:space="preserve">)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lastRenderedPageBreak/>
        <w:t>6.4.3</w:t>
      </w:r>
      <w:r>
        <w:rPr>
          <w:rFonts w:ascii="Verdana" w:hAnsi="Verdana"/>
          <w:bCs/>
          <w:sz w:val="20"/>
          <w:szCs w:val="20"/>
        </w:rPr>
        <w:tab/>
        <w:t xml:space="preserve">As Debêntures resgatadas pela Emissora, conforme previsto nesta Cláusula, serão obrigatoriamente canceladas.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pPr>
        <w:spacing w:after="0" w:line="320" w:lineRule="exact"/>
        <w:ind w:left="851" w:hanging="851"/>
        <w:rPr>
          <w:rFonts w:ascii="Verdana" w:hAnsi="Verdana"/>
          <w:sz w:val="20"/>
          <w:szCs w:val="20"/>
        </w:rPr>
      </w:pPr>
    </w:p>
    <w:p>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35"/>
      <w:r>
        <w:rPr>
          <w:rFonts w:ascii="Verdana" w:hAnsi="Verdana"/>
          <w:smallCaps/>
          <w:sz w:val="20"/>
          <w:szCs w:val="20"/>
          <w:u w:val="single"/>
        </w:rPr>
        <w:t xml:space="preserve"> </w:t>
      </w:r>
    </w:p>
    <w:p>
      <w:pPr>
        <w:spacing w:after="0" w:line="320" w:lineRule="exact"/>
        <w:ind w:left="851" w:hanging="851"/>
        <w:rPr>
          <w:rFonts w:ascii="Verdana" w:hAnsi="Verdana"/>
          <w:sz w:val="20"/>
          <w:szCs w:val="20"/>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38" w:name="_Ref435654812"/>
      <w:r>
        <w:rPr>
          <w:rFonts w:ascii="Verdana" w:eastAsia="Times New Roman" w:hAnsi="Verdana" w:cs="Arial"/>
          <w:sz w:val="20"/>
          <w:szCs w:val="20"/>
          <w:lang w:eastAsia="pt-BR"/>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Juros Remuneratórios devidos até a data do efetivo pagamento,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38"/>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39" w:name="_Ref374561026"/>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não</w:t>
      </w:r>
      <w:proofErr w:type="gramEnd"/>
      <w:r>
        <w:rPr>
          <w:rFonts w:ascii="Verdana" w:eastAsia="Times New Roman" w:hAnsi="Verdana" w:cs="Arial"/>
          <w:sz w:val="20"/>
          <w:szCs w:val="20"/>
          <w:lang w:eastAsia="pt-BR"/>
        </w:rPr>
        <w:t xml:space="preserve"> pagamento, pela Emissora, nas datas de vencimento previstas nesta Escritura, do Valor Nominal Atualizado, dos Juros Remuneratórios e/ou de quaisquer outras obrigações pecuniárias devidas aos Debenturistas, </w:t>
      </w:r>
      <w:bookmarkEnd w:id="239"/>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declaração</w:t>
      </w:r>
      <w:proofErr w:type="gramEnd"/>
      <w:r>
        <w:rPr>
          <w:rFonts w:ascii="Verdana" w:eastAsia="Times New Roman" w:hAnsi="Verdana" w:cs="Arial"/>
          <w:sz w:val="20"/>
          <w:szCs w:val="20"/>
          <w:lang w:eastAsia="pt-BR"/>
        </w:rPr>
        <w:t xml:space="preserve"> de vencimento antecipado de quaisquer obrigações pecuniárias relacionadas a operações financeiras e/ou a operações no mercado de capitais local ou internacional, da Emissora com valor </w:t>
      </w:r>
      <w:r>
        <w:rPr>
          <w:rFonts w:ascii="Verdana" w:eastAsia="Times New Roman" w:hAnsi="Verdana" w:cs="Arial"/>
          <w:sz w:val="20"/>
          <w:szCs w:val="20"/>
          <w:lang w:eastAsia="pt-BR"/>
        </w:rPr>
        <w:lastRenderedPageBreak/>
        <w:t xml:space="preserve">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redução</w:t>
      </w:r>
      <w:proofErr w:type="gramEnd"/>
      <w:r>
        <w:rPr>
          <w:rFonts w:ascii="Verdana" w:eastAsia="Times New Roman" w:hAnsi="Verdana" w:cs="Arial"/>
          <w:sz w:val="20"/>
          <w:szCs w:val="20"/>
          <w:lang w:eastAsia="pt-BR"/>
        </w:rPr>
        <w:t xml:space="preserve"> de capital da Emissora, exceto se (a) a referida redução de capital for realizada exclusivamente para absorção de prejuízos, ou (b) nos termos do artigo 174, parágrafo 3º, da Lei das Sociedades por Ações, previamente autorizada por Debenturistas reunidos em Assembleia Geral de Debenturistas especialmente convocada para tal finalidade representando, no mínimo, 50% (cinquenta por cento) mais uma das Debêntures em Circulação (conforme abaixo definido);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alteração</w:t>
      </w:r>
      <w:proofErr w:type="gramEnd"/>
      <w:r>
        <w:rPr>
          <w:rFonts w:ascii="Verdana" w:eastAsia="Times New Roman" w:hAnsi="Verdana" w:cs="Arial"/>
          <w:sz w:val="20"/>
          <w:szCs w:val="20"/>
          <w:lang w:eastAsia="pt-BR"/>
        </w:rPr>
        <w:t xml:space="preserve"> do objeto social da Emissora que altere as principais atividades atualmente por ela praticadas, exceto se previamente autorizado por Debenturistas reunidos em Assembleia Geral de Debenturistas especialmente convocada para tal finalidade;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caso</w:t>
      </w:r>
      <w:proofErr w:type="gramEnd"/>
      <w:r>
        <w:rPr>
          <w:rFonts w:ascii="Verdana" w:eastAsia="Times New Roman" w:hAnsi="Verdana" w:cs="Arial"/>
          <w:sz w:val="20"/>
          <w:szCs w:val="20"/>
          <w:lang w:eastAsia="pt-BR"/>
        </w:rPr>
        <w:t xml:space="preserve"> a Emissora transfira ou por qualquer forma ceda ou prometa ceder a terceiros os direitos e obrigações assumidos nos termos desta Escritura, sem a prévia anuência de Debenturistas reunidos em Assembleia Geral de Debenturistas, desde que respeitada a Destinação de Recursos e as regras da Lei nº 12.431 e do Decreto nº 8.874;</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transformação</w:t>
      </w:r>
      <w:proofErr w:type="gramEnd"/>
      <w:r>
        <w:rPr>
          <w:rFonts w:ascii="Verdana" w:eastAsia="Times New Roman" w:hAnsi="Verdana" w:cs="Arial"/>
          <w:sz w:val="20"/>
          <w:szCs w:val="20"/>
          <w:lang w:eastAsia="pt-BR"/>
        </w:rPr>
        <w:t xml:space="preserve"> da Emissora em outro tipo societário;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cisão</w:t>
      </w:r>
      <w:proofErr w:type="gramEnd"/>
      <w:r>
        <w:rPr>
          <w:rFonts w:ascii="Verdana" w:eastAsia="Times New Roman" w:hAnsi="Verdana" w:cs="Arial"/>
          <w:sz w:val="20"/>
          <w:szCs w:val="20"/>
          <w:lang w:eastAsia="pt-BR"/>
        </w:rPr>
        <w:t>,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w:t>
      </w:r>
      <w:r>
        <w:rPr>
          <w:rFonts w:ascii="Verdana" w:eastAsia="Times New Roman" w:hAnsi="Verdana" w:cs="Arial"/>
          <w:sz w:val="20"/>
          <w:szCs w:val="20"/>
          <w:lang w:eastAsia="pt-BR"/>
        </w:rPr>
        <w:lastRenderedPageBreak/>
        <w:t xml:space="preserve">(b) se a </w:t>
      </w:r>
      <w:proofErr w:type="spellStart"/>
      <w:r>
        <w:rPr>
          <w:rFonts w:ascii="Verdana" w:eastAsia="Times New Roman" w:hAnsi="Verdana" w:cs="Arial"/>
          <w:sz w:val="20"/>
          <w:szCs w:val="20"/>
          <w:lang w:eastAsia="pt-BR"/>
        </w:rPr>
        <w:t>Cosan</w:t>
      </w:r>
      <w:proofErr w:type="spellEnd"/>
      <w:r>
        <w:rPr>
          <w:rFonts w:ascii="Verdana" w:eastAsia="Times New Roman" w:hAnsi="Verdana" w:cs="Arial"/>
          <w:sz w:val="20"/>
          <w:szCs w:val="20"/>
          <w:lang w:eastAsia="pt-BR"/>
        </w:rPr>
        <w:t xml:space="preserve"> </w:t>
      </w:r>
      <w:proofErr w:type="spellStart"/>
      <w:r>
        <w:rPr>
          <w:rFonts w:ascii="Verdana" w:eastAsia="Times New Roman" w:hAnsi="Verdana" w:cs="Arial"/>
          <w:sz w:val="20"/>
          <w:szCs w:val="20"/>
          <w:lang w:eastAsia="pt-BR"/>
        </w:rPr>
        <w:t>Limited</w:t>
      </w:r>
      <w:proofErr w:type="spellEnd"/>
      <w:r>
        <w:rPr>
          <w:rFonts w:ascii="Verdana" w:eastAsia="Times New Roman" w:hAnsi="Verdana" w:cs="Arial"/>
          <w:sz w:val="20"/>
          <w:szCs w:val="20"/>
          <w:lang w:eastAsia="pt-BR"/>
        </w:rPr>
        <w:t xml:space="preserve">,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pPr>
        <w:tabs>
          <w:tab w:val="left" w:pos="6096"/>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b/>
      </w:r>
      <w:r>
        <w:rPr>
          <w:rFonts w:ascii="Verdana" w:eastAsia="Times New Roman" w:hAnsi="Verdana" w:cs="Arial"/>
          <w:sz w:val="20"/>
          <w:szCs w:val="20"/>
          <w:lang w:eastAsia="pt-BR"/>
        </w:rPr>
        <w:tab/>
      </w: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utilização</w:t>
      </w:r>
      <w:proofErr w:type="gramEnd"/>
      <w:r>
        <w:rPr>
          <w:rFonts w:ascii="Verdana" w:eastAsia="Times New Roman" w:hAnsi="Verdana" w:cs="Arial"/>
          <w:sz w:val="20"/>
          <w:szCs w:val="20"/>
          <w:lang w:eastAsia="pt-BR"/>
        </w:rPr>
        <w:t xml:space="preserve"> dos recursos líquidos obtidos pela Emissora por meio da integralização das Debêntures de forma diversa da prevista nesta Escritura;</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Debêntures, ou (b) não observar os índices financeiros descritos na Cláusula 7.2, item (xi), em ambos os casos, exceto se previamente autorizado por Debenturistas reunidos em Assembleia Geral de Debenturistas especialmente convocada para tal finalidade, ressalvado, entretanto, o pagamento do dividendo mínimo legal obrigatório previsto no estatuto social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w:t>
      </w:r>
      <w:r>
        <w:rPr>
          <w:rFonts w:ascii="Verdana" w:eastAsia="Times New Roman" w:hAnsi="Verdana" w:cs="Arial"/>
          <w:sz w:val="20"/>
          <w:szCs w:val="20"/>
          <w:lang w:eastAsia="pt-BR"/>
        </w:rPr>
        <w:lastRenderedPageBreak/>
        <w:t xml:space="preserve">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âmbito de garantias em favor do BNDES e/ou qualquer outra agência de fomento; e/ou (e) em financiamentos para aquisição de ativos, nos quais os próprios ativos adquiridos sejam objeto da garantia outorgada. </w:t>
      </w:r>
    </w:p>
    <w:p>
      <w:pPr>
        <w:spacing w:after="0" w:line="320" w:lineRule="exact"/>
        <w:jc w:val="both"/>
        <w:rPr>
          <w:rFonts w:ascii="Verdana" w:eastAsia="Times New Roman" w:hAnsi="Verdana" w:cs="Arial"/>
          <w:sz w:val="20"/>
          <w:szCs w:val="20"/>
          <w:lang w:eastAsia="pt-BR"/>
        </w:rPr>
      </w:pPr>
    </w:p>
    <w:p>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40" w:name="_Hlk471108"/>
      <w:r>
        <w:rPr>
          <w:rFonts w:ascii="Verdana" w:eastAsia="Times New Roman" w:hAnsi="Verdana" w:cs="Arial"/>
          <w:sz w:val="20"/>
          <w:szCs w:val="20"/>
          <w:lang w:eastAsia="pt-BR"/>
        </w:rPr>
        <w:t xml:space="preserve">sociedades, direta ou indiretamente, controladas </w:t>
      </w:r>
      <w:bookmarkEnd w:id="240"/>
      <w:r>
        <w:rPr>
          <w:rFonts w:ascii="Verdana" w:eastAsia="Times New Roman" w:hAnsi="Verdana" w:cs="Arial"/>
          <w:sz w:val="20"/>
          <w:szCs w:val="20"/>
          <w:lang w:eastAsia="pt-BR"/>
        </w:rPr>
        <w:t>pela Emissora.</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1" w:name="_Ref435660904"/>
      <w:bookmarkStart w:id="242" w:name="_Ref449343651"/>
      <w:r>
        <w:rPr>
          <w:rFonts w:ascii="Verdana" w:eastAsia="Times New Roman" w:hAnsi="Verdana" w:cs="Arial"/>
          <w:sz w:val="20"/>
          <w:szCs w:val="20"/>
          <w:lang w:eastAsia="pt-BR"/>
        </w:rPr>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da Primeira Série e Assembleia Geral de Debenturistas da Segunda Série, de acordo com a Cláusula 10 abaixo, para deliberar sobre a eventual não declaração do vencimento antecipado das Debêntures</w:t>
      </w:r>
      <w:bookmarkEnd w:id="241"/>
      <w:r>
        <w:rPr>
          <w:rFonts w:ascii="Verdana" w:eastAsia="Times New Roman" w:hAnsi="Verdana" w:cs="Arial"/>
          <w:sz w:val="20"/>
          <w:szCs w:val="20"/>
          <w:lang w:eastAsia="pt-BR"/>
        </w:rPr>
        <w:t>:</w:t>
      </w:r>
      <w:bookmarkEnd w:id="242"/>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inadimplemento</w:t>
      </w:r>
      <w:proofErr w:type="gramEnd"/>
      <w:r>
        <w:rPr>
          <w:rFonts w:ascii="Verdana" w:eastAsia="Times New Roman" w:hAnsi="Verdana" w:cs="Arial"/>
          <w:sz w:val="20"/>
          <w:szCs w:val="20"/>
          <w:lang w:eastAsia="pt-BR"/>
        </w:rPr>
        <w:t xml:space="preserve">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inadimplemento</w:t>
      </w:r>
      <w:proofErr w:type="gramEnd"/>
      <w:r>
        <w:rPr>
          <w:rFonts w:ascii="Verdana" w:eastAsia="Times New Roman" w:hAnsi="Verdana" w:cs="Arial"/>
          <w:sz w:val="20"/>
          <w:szCs w:val="20"/>
          <w:lang w:eastAsia="pt-BR"/>
        </w:rPr>
        <w:t xml:space="preserve"> de qualquer obrigação pecuniária relacionada a operações financeiras e/ou operações no mercado de capitais local ou internacional, da Emissora, com valor individual ou agregado superior a R$50.000.000,00 (cinquenta milhões de reais), exceto se o </w:t>
      </w:r>
      <w:r>
        <w:rPr>
          <w:rFonts w:ascii="Verdana" w:eastAsia="Times New Roman" w:hAnsi="Verdana" w:cs="Arial"/>
          <w:sz w:val="20"/>
          <w:szCs w:val="20"/>
          <w:lang w:eastAsia="pt-BR"/>
        </w:rPr>
        <w:lastRenderedPageBreak/>
        <w:t xml:space="preserve">inadimplemento for sanado nos prazos de cura previstos nos respectivos instrumentos, se houver, e/ou se tal inadimplemento estiver em discussão entre a Emissora e o respectivo credor;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protesto</w:t>
      </w:r>
      <w:proofErr w:type="gramEnd"/>
      <w:r>
        <w:rPr>
          <w:rFonts w:ascii="Verdana" w:eastAsia="Times New Roman" w:hAnsi="Verdana" w:cs="Arial"/>
          <w:sz w:val="20"/>
          <w:szCs w:val="20"/>
          <w:lang w:eastAsia="pt-BR"/>
        </w:rPr>
        <w:t xml:space="preserve"> de títulos contra a Emissora, com valor individual ou agregado superior a R$50.000.000,00 (cinquenta milhões de reais), não elidido no prazo legal, salvo se a Emissora, conforme aplicável, validamente comprovar ao Agente Fiduciário que (a) o respectivo protesto foi cancelado, (b) foram prestadas pela Emissora, e aceitas pelo Poder Judiciário, garantias em juízo ou (c) que o respectivo protesto foi requerido por erro ou má fé do representante;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sequestro</w:t>
      </w:r>
      <w:proofErr w:type="gramEnd"/>
      <w:r>
        <w:rPr>
          <w:rFonts w:ascii="Verdana" w:eastAsia="Times New Roman" w:hAnsi="Verdana" w:cs="Arial"/>
          <w:sz w:val="20"/>
          <w:szCs w:val="20"/>
          <w:lang w:eastAsia="pt-BR"/>
        </w:rPr>
        <w:t>, expropriação, nacionalização ou desapropriação da totalidade ou parte substancial dos ativos da Emissora, por qualquer autoridade governamental, desde que afete de forma adversa a capacidade de pagamento, pela Emissora, de suas obrigações relativas às Debêntures, exceto se tal ato for cancelado, sustado ou, por qualquer forma, suspenso, em qualquer hipótese, dentro dos prazos legais;</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não</w:t>
      </w:r>
      <w:proofErr w:type="gramEnd"/>
      <w:r>
        <w:rPr>
          <w:rFonts w:ascii="Verdana" w:eastAsia="Times New Roman" w:hAnsi="Verdana" w:cs="Arial"/>
          <w:sz w:val="20"/>
          <w:szCs w:val="20"/>
          <w:lang w:eastAsia="pt-BR"/>
        </w:rPr>
        <w:t xml:space="preserve"> cumprimento, nos prazos legais aplicáveis, de qualquer decisão ou sentença judicial transitada em julgado, condenação administrativa ou arbitral definitivas em face da Emissora, com valor 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não</w:t>
      </w:r>
      <w:proofErr w:type="gramEnd"/>
      <w:r>
        <w:rPr>
          <w:rFonts w:ascii="Verdana" w:eastAsia="Times New Roman" w:hAnsi="Verdana" w:cs="Arial"/>
          <w:sz w:val="20"/>
          <w:szCs w:val="20"/>
          <w:lang w:eastAsia="pt-BR"/>
        </w:rPr>
        <w:t xml:space="preserve"> renovação, cancelamento, revogação ou suspensão de autorização, concessão, subvenção, alvará ou licença, desde que afetem, de maneira justificada, a capacidade da Emissora de honrar tempestivamente as obrigações pecuniárias previstas na Escritura;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w:t>
      </w:r>
      <w:r>
        <w:rPr>
          <w:rFonts w:ascii="Verdana" w:eastAsia="Times New Roman" w:hAnsi="Verdana" w:cs="Arial"/>
          <w:sz w:val="20"/>
          <w:szCs w:val="20"/>
          <w:lang w:eastAsia="pt-BR"/>
        </w:rPr>
        <w:lastRenderedPageBreak/>
        <w:t xml:space="preserve">seja reinvestido na Emissora e/ou em sociedades do Grupo Econômico; ou (b) a transferência seja realizada para sociedades cujas demonstrações financeiras sejam consolidadas nas demonstrações financeiras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provarem</w:t>
      </w:r>
      <w:proofErr w:type="gramEnd"/>
      <w:r>
        <w:rPr>
          <w:rFonts w:ascii="Verdana" w:eastAsia="Times New Roman" w:hAnsi="Verdana" w:cs="Arial"/>
          <w:sz w:val="20"/>
          <w:szCs w:val="20"/>
          <w:lang w:eastAsia="pt-BR"/>
        </w:rPr>
        <w:t xml:space="preserve">-se inconsistentes, incorretas, ou incompletas, quaisquer declarações ou garantias prestadas pela Emissora nesta Escritura e/ou em qualquer dos demais documentos relacionados à Emissão e desde que tal inconsistência, incorreção, ou incompletude seja relevante e, comprovadamente, tenha acarretado prejuízo aos Debenturistas;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provarem</w:t>
      </w:r>
      <w:proofErr w:type="gramEnd"/>
      <w:r>
        <w:rPr>
          <w:rFonts w:ascii="Verdana" w:eastAsia="Times New Roman" w:hAnsi="Verdana" w:cs="Arial"/>
          <w:sz w:val="20"/>
          <w:szCs w:val="20"/>
          <w:lang w:eastAsia="pt-BR"/>
        </w:rPr>
        <w:t>-se falsas quaisquer declarações ou garantias prestadas pela Emissora nesta Escritura e/ou em qualquer dos demais documentos relacionados à Emissão;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caso</w:t>
      </w:r>
      <w:proofErr w:type="gramEnd"/>
      <w:r>
        <w:rPr>
          <w:rFonts w:ascii="Verdana" w:eastAsia="Times New Roman" w:hAnsi="Verdana" w:cs="Arial"/>
          <w:sz w:val="20"/>
          <w:szCs w:val="20"/>
          <w:lang w:eastAsia="pt-BR"/>
        </w:rPr>
        <w:t xml:space="preserve"> a existência, validade, legalidade ou exequibilidade desta Escritura venham a ser questionadas judicialmente pela Emissora ou por quaisquer das sociedades pertencentes ao Grupo Econômico; e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43" w:name="_Ref448411226"/>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não</w:t>
      </w:r>
      <w:proofErr w:type="gramEnd"/>
      <w:r>
        <w:rPr>
          <w:rFonts w:ascii="Verdana" w:eastAsia="Times New Roman" w:hAnsi="Verdana" w:cs="Arial"/>
          <w:sz w:val="20"/>
          <w:szCs w:val="20"/>
          <w:lang w:eastAsia="pt-BR"/>
        </w:rPr>
        <w:t xml:space="preserve">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43"/>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pPr>
        <w:spacing w:after="0" w:line="320" w:lineRule="exact"/>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Dívida Financeira Líquida / EBITDA ≤ 3,0x, com relação às demonstrações financeiras relativas aos períodos encerrados a partir de 31 de dezembro de 2021, inclusive.</w:t>
      </w:r>
    </w:p>
    <w:p>
      <w:pPr>
        <w:spacing w:after="0" w:line="320" w:lineRule="exact"/>
        <w:jc w:val="both"/>
        <w:rPr>
          <w:rFonts w:ascii="Verdana" w:eastAsia="Times New Roman" w:hAnsi="Verdana" w:cs="Arial"/>
          <w:sz w:val="20"/>
          <w:szCs w:val="20"/>
          <w:lang w:eastAsia="pt-BR"/>
        </w:rPr>
      </w:pPr>
    </w:p>
    <w:p>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pPr>
        <w:spacing w:after="0" w:line="320" w:lineRule="exact"/>
        <w:jc w:val="both"/>
        <w:rPr>
          <w:rFonts w:ascii="Verdana" w:eastAsia="Times New Roman" w:hAnsi="Verdana" w:cs="Arial"/>
          <w:sz w:val="20"/>
          <w:szCs w:val="20"/>
          <w:lang w:eastAsia="pt-BR"/>
        </w:rPr>
      </w:pPr>
    </w:p>
    <w:p>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pPr>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pPr>
        <w:spacing w:after="0" w:line="320" w:lineRule="exact"/>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financeiro e Certificados de Recebíveis Imobiliários – CRI, juros ativos e passivos sobre mútuos, amortização de ágio e deságio na cessão de direitos creditórios, resultado líquido de operações de derivativos e variações monetárias e cambiais ativas e passivas;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menos receitas financeiras de aplicações financeiras.</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w:t>
      </w:r>
      <w:proofErr w:type="spellStart"/>
      <w:r>
        <w:rPr>
          <w:rFonts w:ascii="Verdana" w:eastAsia="Times New Roman" w:hAnsi="Verdana" w:cs="Arial"/>
          <w:sz w:val="20"/>
          <w:szCs w:val="20"/>
          <w:lang w:eastAsia="pt-BR"/>
        </w:rPr>
        <w:t>CRIs</w:t>
      </w:r>
      <w:proofErr w:type="spellEnd"/>
      <w:r>
        <w:rPr>
          <w:rFonts w:ascii="Verdana" w:eastAsia="Times New Roman" w:hAnsi="Verdana" w:cs="Arial"/>
          <w:sz w:val="20"/>
          <w:szCs w:val="20"/>
          <w:lang w:eastAsia="pt-BR"/>
        </w:rPr>
        <w:t xml:space="preserve">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xml:space="preserve">, deduzidos de quaisquer disponibilidades, saldos de contas vinculadas </w:t>
      </w:r>
      <w:r>
        <w:rPr>
          <w:rFonts w:ascii="Verdana" w:eastAsia="Times New Roman" w:hAnsi="Verdana" w:cs="Arial"/>
          <w:sz w:val="20"/>
          <w:szCs w:val="20"/>
          <w:lang w:eastAsia="pt-BR"/>
        </w:rPr>
        <w:lastRenderedPageBreak/>
        <w:t>dadas em garantia de dívidas, ou aplicações financeiras em contas no Brasil ou no exterior;</w:t>
      </w:r>
    </w:p>
    <w:p>
      <w:pPr>
        <w:spacing w:after="0" w:line="320" w:lineRule="exact"/>
        <w:ind w:left="1701"/>
        <w:jc w:val="both"/>
        <w:rPr>
          <w:rFonts w:ascii="Verdana" w:eastAsia="Times New Roman" w:hAnsi="Verdana" w:cs="Arial"/>
          <w:iCs/>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xml:space="preserve">”, os contratos enquadrados no pronunciamento </w:t>
      </w:r>
      <w:r>
        <w:rPr>
          <w:rFonts w:ascii="Verdana" w:eastAsia="Times New Roman" w:hAnsi="Verdana" w:cs="Arial"/>
          <w:iCs/>
          <w:sz w:val="20"/>
          <w:szCs w:val="20"/>
          <w:lang w:eastAsia="pt-BR"/>
        </w:rPr>
        <w:t>IFRS 16 / CPC 06 (R2)</w:t>
      </w:r>
      <w:r>
        <w:rPr>
          <w:rFonts w:ascii="Verdana" w:eastAsia="Times New Roman" w:hAnsi="Verdana" w:cs="Arial"/>
          <w:iCs/>
          <w:sz w:val="20"/>
          <w:szCs w:val="20"/>
          <w:lang w:val="x-none" w:eastAsia="pt-BR"/>
        </w:rPr>
        <w:t xml:space="preserve"> – Operações de Arrendamento Mercantil vigentes na presente data. Os arrendamentos oriundos dos contratos de concessão celebrados com a Emissora não se enquadram no conceito de Dívida Financeira Líquida, independente</w:t>
      </w:r>
      <w:r>
        <w:rPr>
          <w:rFonts w:ascii="Verdana" w:eastAsia="Times New Roman" w:hAnsi="Verdana" w:cs="Arial"/>
          <w:iCs/>
          <w:sz w:val="20"/>
          <w:szCs w:val="20"/>
          <w:lang w:eastAsia="pt-BR"/>
        </w:rPr>
        <w:t>mente</w:t>
      </w:r>
      <w:r>
        <w:rPr>
          <w:rFonts w:ascii="Verdana" w:eastAsia="Times New Roman" w:hAnsi="Verdana" w:cs="Arial"/>
          <w:iCs/>
          <w:sz w:val="20"/>
          <w:szCs w:val="20"/>
          <w:lang w:val="x-none" w:eastAsia="pt-BR"/>
        </w:rPr>
        <w:t xml:space="preserve"> da aplicação no novo pronunciamento contábil IFRS 16 – Arrendamentos vigente a partir de 1 de janeiro de 2019.</w:t>
      </w:r>
      <w:r>
        <w:rPr>
          <w:rFonts w:ascii="Verdana" w:eastAsia="Times New Roman" w:hAnsi="Verdana" w:cs="Arial"/>
          <w:sz w:val="20"/>
          <w:szCs w:val="20"/>
          <w:lang w:eastAsia="pt-BR"/>
        </w:rPr>
        <w:t xml:space="preserve">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o faturamento líquido deduzido de (i) custo de mercadoria ou serviços incorridos para a produção das vendas;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despesas com vendas, gerais ou administrativas, e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xml:space="preserve">)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proofErr w:type="spellStart"/>
      <w:r>
        <w:rPr>
          <w:rFonts w:ascii="Verdana" w:eastAsia="Times New Roman" w:hAnsi="Verdana" w:cs="Arial"/>
          <w:i/>
          <w:sz w:val="20"/>
          <w:szCs w:val="20"/>
          <w:lang w:eastAsia="pt-BR"/>
        </w:rPr>
        <w:t>impairment</w:t>
      </w:r>
      <w:proofErr w:type="spellEnd"/>
      <w:r>
        <w:rPr>
          <w:rFonts w:ascii="Verdana" w:eastAsia="Times New Roman" w:hAnsi="Verdana" w:cs="Arial"/>
          <w:sz w:val="20"/>
          <w:szCs w:val="20"/>
          <w:lang w:eastAsia="pt-BR"/>
        </w:rPr>
        <w:t xml:space="preserve">, ganhos por valor justo/atualização de ativos (sem efeito caixa) e despesas pontuais de reestruturação. </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das Debêntures da Primeira Série e a Assembleia Geral de Debenturistas da Segunda Série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poderão determinar que o Agente Fiduciário não declare o vencimento antecipado das Debêntures das respectivas Séries por deliberação de Debenturistas detentores de, no mínimo (i) a maioria das Debêntures em Circulação da respectiva Série (conforme abaixo definido), em primeira convocação; ou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xml:space="preserve">) a maioria das Debêntures em Circulação de cada uma das Séries presentes à Assembleia Geral de Debenturistas da respectiva Série, desde que estejam presentes Debenturistas representando pelo menos 25% (vinte e cinco por cento) das Debêntures em Circulação da respectiva Série, em segunda convocação, sendo que, entre a data da ocorrência do Evento de Inadimplemento e a realização das respectivas Assembleias Gerais de </w:t>
      </w:r>
      <w:r>
        <w:rPr>
          <w:rFonts w:ascii="Verdana" w:eastAsia="Times New Roman" w:hAnsi="Verdana" w:cs="Arial"/>
          <w:sz w:val="20"/>
          <w:szCs w:val="20"/>
          <w:lang w:eastAsia="pt-BR"/>
        </w:rPr>
        <w:lastRenderedPageBreak/>
        <w:t xml:space="preserve">Debenturistas, as Debêntures não serão consideradas vencidas. Caso a Assembleia Geral de Debenturistas de determinada Série não seja instalada em segunda convocação ou não tenha quórum para deliberar a matéria, após observação das disposições da Cláusula 10 abaixo, o Agente Fiduciário deverá decretar o vencimento antecipado das Debêntures da respectiva </w:t>
      </w:r>
      <w:proofErr w:type="gramStart"/>
      <w:r>
        <w:rPr>
          <w:rFonts w:ascii="Verdana" w:eastAsia="Times New Roman" w:hAnsi="Verdana" w:cs="Arial"/>
          <w:sz w:val="20"/>
          <w:szCs w:val="20"/>
          <w:lang w:eastAsia="pt-BR"/>
        </w:rPr>
        <w:t>Série..</w:t>
      </w:r>
      <w:proofErr w:type="gramEnd"/>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w:t>
      </w:r>
      <w:proofErr w:type="spellStart"/>
      <w:r>
        <w:rPr>
          <w:rFonts w:ascii="Verdana" w:eastAsia="Times New Roman" w:hAnsi="Verdana" w:cs="Arial"/>
          <w:sz w:val="20"/>
          <w:szCs w:val="20"/>
          <w:lang w:eastAsia="pt-BR"/>
        </w:rPr>
        <w:t>Cetip</w:t>
      </w:r>
      <w:proofErr w:type="spellEnd"/>
      <w:r>
        <w:rPr>
          <w:rFonts w:ascii="Verdana" w:eastAsia="Times New Roman" w:hAnsi="Verdana" w:cs="Arial"/>
          <w:sz w:val="20"/>
          <w:szCs w:val="20"/>
          <w:lang w:eastAsia="pt-BR"/>
        </w:rPr>
        <w:t xml:space="preserve">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desde a Primeira Data de Integralização ou da última Data de Pagamento dos Juros Remuneratórios, 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pPr>
        <w:spacing w:after="0" w:line="320" w:lineRule="exact"/>
        <w:ind w:left="851" w:hanging="851"/>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quaisquer valores devidos pela Emissora, nos termos desta Escritura e/ou dos documentos da Emissão, em relação às obrigações decorrentes das Debêntures, que não sejam os valores a que se referem os itens (i), acima, e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w:t>
      </w:r>
      <w:proofErr w:type="spellStart"/>
      <w:r>
        <w:rPr>
          <w:rFonts w:ascii="Verdana" w:eastAsia="Times New Roman" w:hAnsi="Verdana" w:cs="Arial"/>
          <w:sz w:val="20"/>
          <w:szCs w:val="20"/>
          <w:lang w:eastAsia="pt-BR"/>
        </w:rPr>
        <w:t>iv</w:t>
      </w:r>
      <w:proofErr w:type="spellEnd"/>
      <w:r>
        <w:rPr>
          <w:rFonts w:ascii="Verdana" w:eastAsia="Times New Roman" w:hAnsi="Verdana" w:cs="Arial"/>
          <w:sz w:val="20"/>
          <w:szCs w:val="20"/>
          <w:lang w:eastAsia="pt-BR"/>
        </w:rPr>
        <w:t>) e (v), abaixo;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Encargos Moratórios e demais encargos devidos sob as obrigações decorrentes das Debêntures; (</w:t>
      </w:r>
      <w:proofErr w:type="spellStart"/>
      <w:r>
        <w:rPr>
          <w:rFonts w:ascii="Verdana" w:eastAsia="Times New Roman" w:hAnsi="Verdana" w:cs="Arial"/>
          <w:sz w:val="20"/>
          <w:szCs w:val="20"/>
          <w:lang w:eastAsia="pt-BR"/>
        </w:rPr>
        <w:t>iv</w:t>
      </w:r>
      <w:proofErr w:type="spellEnd"/>
      <w:r>
        <w:rPr>
          <w:rFonts w:ascii="Verdana" w:eastAsia="Times New Roman" w:hAnsi="Verdana" w:cs="Arial"/>
          <w:sz w:val="20"/>
          <w:szCs w:val="20"/>
          <w:lang w:eastAsia="pt-BR"/>
        </w:rPr>
        <w:t xml:space="preserve">) Juros Remuneratórios; e (v) saldo devedor do Valor Nominal Atualizado. A Emissora permanecerá responsável pelo saldo devedor das obrigações decorrentes das Debêntures que não tiverem sido pagas, sem prejuízo dos acréscimos dos Juros Remuneratórios, Encargos </w:t>
      </w:r>
      <w:r>
        <w:rPr>
          <w:rFonts w:ascii="Verdana" w:eastAsia="Times New Roman" w:hAnsi="Verdana" w:cs="Arial"/>
          <w:sz w:val="20"/>
          <w:szCs w:val="20"/>
          <w:lang w:eastAsia="pt-BR"/>
        </w:rPr>
        <w:lastRenderedPageBreak/>
        <w:t xml:space="preserve">Moratórios e outros encargos incidentes sobre o saldo devedor das obrigações decorrentes das Debêntures enquanto não forem pagas, declarando a Emissora, neste ato, que tal saldo devedor será considerado título executivo extrajudicial. </w:t>
      </w:r>
    </w:p>
    <w:p>
      <w:pPr>
        <w:spacing w:after="0" w:line="320" w:lineRule="exact"/>
        <w:rPr>
          <w:rFonts w:ascii="Verdana" w:hAnsi="Verdana"/>
          <w:sz w:val="20"/>
          <w:szCs w:val="20"/>
        </w:rPr>
      </w:pPr>
    </w:p>
    <w:p>
      <w:pPr>
        <w:keepNext/>
        <w:keepLines/>
        <w:numPr>
          <w:ilvl w:val="0"/>
          <w:numId w:val="23"/>
        </w:numPr>
        <w:spacing w:after="0" w:line="320" w:lineRule="exact"/>
        <w:ind w:left="851" w:hanging="851"/>
        <w:jc w:val="both"/>
        <w:rPr>
          <w:rFonts w:ascii="Verdana" w:hAnsi="Verdana"/>
          <w:smallCaps/>
          <w:sz w:val="20"/>
          <w:szCs w:val="20"/>
          <w:u w:val="single"/>
        </w:rPr>
      </w:pPr>
      <w:bookmarkStart w:id="244" w:name="_Toc499990368"/>
      <w:r>
        <w:rPr>
          <w:rFonts w:ascii="Verdana" w:hAnsi="Verdana"/>
          <w:smallCaps/>
          <w:sz w:val="20"/>
          <w:szCs w:val="20"/>
          <w:u w:val="single"/>
        </w:rPr>
        <w:t xml:space="preserve">Obrigações Adicionais da </w:t>
      </w:r>
      <w:bookmarkStart w:id="245" w:name="_DV_M268"/>
      <w:bookmarkEnd w:id="244"/>
      <w:bookmarkEnd w:id="245"/>
      <w:r>
        <w:rPr>
          <w:rFonts w:ascii="Verdana" w:hAnsi="Verdana"/>
          <w:smallCaps/>
          <w:sz w:val="20"/>
          <w:szCs w:val="20"/>
          <w:u w:val="single"/>
        </w:rPr>
        <w:t xml:space="preserve">Emissora </w:t>
      </w:r>
    </w:p>
    <w:p>
      <w:pPr>
        <w:spacing w:after="0" w:line="320" w:lineRule="exact"/>
        <w:rPr>
          <w:rFonts w:ascii="Verdana" w:hAnsi="Verdana"/>
          <w:sz w:val="20"/>
          <w:szCs w:val="20"/>
        </w:rPr>
      </w:pPr>
    </w:p>
    <w:p>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46" w:name="_DV_C376"/>
      <w:r>
        <w:rPr>
          <w:rStyle w:val="DeltaViewInsertion"/>
          <w:rFonts w:ascii="Verdana" w:hAnsi="Verdana"/>
          <w:color w:val="auto"/>
          <w:sz w:val="20"/>
          <w:szCs w:val="20"/>
          <w:u w:val="none"/>
        </w:rPr>
        <w:t>enquanto o saldo devedor das Debêntures não for integralmente pago</w:t>
      </w:r>
      <w:bookmarkEnd w:id="246"/>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pPr>
        <w:spacing w:after="0"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bookmarkStart w:id="247" w:name="_Ref435667038"/>
      <w:proofErr w:type="gramStart"/>
      <w:r>
        <w:rPr>
          <w:rFonts w:ascii="Verdana" w:hAnsi="Verdana"/>
          <w:lang w:val="pt-BR"/>
        </w:rPr>
        <w:t>fornecer</w:t>
      </w:r>
      <w:proofErr w:type="gramEnd"/>
      <w:r>
        <w:rPr>
          <w:rFonts w:ascii="Verdana" w:hAnsi="Verdana"/>
          <w:lang w:val="pt-BR"/>
        </w:rPr>
        <w:t xml:space="preserve"> ao Agente Fiduciário:</w:t>
      </w:r>
      <w:bookmarkEnd w:id="247"/>
      <w:r>
        <w:rPr>
          <w:rFonts w:ascii="Verdana" w:hAnsi="Verdana"/>
          <w:lang w:val="pt-BR"/>
        </w:rPr>
        <w:t xml:space="preserve"> </w:t>
      </w:r>
    </w:p>
    <w:p>
      <w:pPr>
        <w:pStyle w:val="Level5"/>
        <w:numPr>
          <w:ilvl w:val="0"/>
          <w:numId w:val="0"/>
        </w:numPr>
        <w:tabs>
          <w:tab w:val="num" w:pos="1418"/>
        </w:tabs>
        <w:spacing w:after="0" w:line="320" w:lineRule="exact"/>
        <w:ind w:left="1418" w:hanging="709"/>
        <w:rPr>
          <w:rFonts w:ascii="Verdana" w:hAnsi="Verdana"/>
          <w:b/>
          <w:lang w:val="pt-BR"/>
        </w:rPr>
      </w:pPr>
    </w:p>
    <w:p>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w:t>
      </w:r>
      <w:proofErr w:type="spellStart"/>
      <w:r>
        <w:rPr>
          <w:rFonts w:ascii="Verdana" w:hAnsi="Verdana"/>
          <w:lang w:val="pt-BR"/>
        </w:rPr>
        <w:t>a.i</w:t>
      </w:r>
      <w:proofErr w:type="spellEnd"/>
      <w:r>
        <w:rPr>
          <w:rFonts w:ascii="Verdana" w:hAnsi="Verdana"/>
          <w:lang w:val="pt-BR"/>
        </w:rPr>
        <w:t>) relatório consolidado da memória de cálculo, calculado pela Emissora e assinado pelo seu representante legal, obtido a partir dos números auditados da Emissora, explicitando todas as rubricas necessárias para a obtenção dos Índices Financeiros informado na Cláusula 7.2, item (xi), sob pena de impossibilidade de verificação pelo Agente Fiduciário, podendo este solicitar à Emissora todos os eventuais esclarecimentos adicionais que se façam necessários; e (</w:t>
      </w:r>
      <w:proofErr w:type="spellStart"/>
      <w:r>
        <w:rPr>
          <w:rFonts w:ascii="Verdana" w:hAnsi="Verdana"/>
          <w:lang w:val="pt-BR"/>
        </w:rPr>
        <w:t>a.ii</w:t>
      </w:r>
      <w:proofErr w:type="spellEnd"/>
      <w:r>
        <w:rPr>
          <w:rFonts w:ascii="Verdana" w:hAnsi="Verdana"/>
          <w:lang w:val="pt-BR"/>
        </w:rPr>
        <w:t xml:space="preserve">)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w:t>
      </w:r>
      <w:r>
        <w:rPr>
          <w:rFonts w:ascii="Verdana" w:hAnsi="Verdana"/>
          <w:lang w:val="pt-BR"/>
        </w:rPr>
        <w:lastRenderedPageBreak/>
        <w:t xml:space="preserve">foram praticados atos em desacordo com o estatuto social; e (4) que os bens e ativos relevantes necessários à atividade da Emissora estão devidamente segurados; </w:t>
      </w:r>
    </w:p>
    <w:p>
      <w:pPr>
        <w:pStyle w:val="Level5"/>
        <w:numPr>
          <w:ilvl w:val="0"/>
          <w:numId w:val="0"/>
        </w:numPr>
        <w:tabs>
          <w:tab w:val="num" w:pos="1418"/>
        </w:tabs>
        <w:spacing w:after="0" w:line="320" w:lineRule="exact"/>
        <w:ind w:left="1418"/>
        <w:rPr>
          <w:rFonts w:ascii="Verdana" w:hAnsi="Verdana"/>
          <w:b/>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essas demonstrações financeiras, ao sistema de contabilidade, à gestão ou às contas da Emissora;</w:t>
      </w:r>
    </w:p>
    <w:p>
      <w:pPr>
        <w:pStyle w:val="Level5"/>
        <w:numPr>
          <w:ilvl w:val="0"/>
          <w:numId w:val="0"/>
        </w:numPr>
        <w:tabs>
          <w:tab w:val="num" w:pos="1418"/>
        </w:tabs>
        <w:spacing w:after="0" w:line="320" w:lineRule="exact"/>
        <w:ind w:left="1418"/>
        <w:rPr>
          <w:rFonts w:ascii="Verdana" w:hAnsi="Verdana"/>
          <w:lang w:val="pt-BR"/>
        </w:rPr>
      </w:pPr>
      <w:bookmarkStart w:id="248" w:name="_DV_M446"/>
      <w:bookmarkStart w:id="249" w:name="_DV_M450"/>
      <w:bookmarkEnd w:id="248"/>
      <w:bookmarkEnd w:id="249"/>
    </w:p>
    <w:p>
      <w:pPr>
        <w:pStyle w:val="Level5"/>
        <w:numPr>
          <w:ilvl w:val="4"/>
          <w:numId w:val="59"/>
        </w:numPr>
        <w:tabs>
          <w:tab w:val="clear" w:pos="2721"/>
          <w:tab w:val="num" w:pos="1701"/>
        </w:tabs>
        <w:spacing w:after="0" w:line="320" w:lineRule="exact"/>
        <w:ind w:left="1701" w:hanging="850"/>
        <w:rPr>
          <w:rFonts w:ascii="Verdana" w:hAnsi="Verdana"/>
          <w:lang w:val="pt-BR"/>
        </w:rPr>
      </w:pPr>
      <w:proofErr w:type="gramStart"/>
      <w:r>
        <w:rPr>
          <w:rFonts w:ascii="Verdana" w:hAnsi="Verdana"/>
          <w:lang w:val="pt-BR"/>
        </w:rPr>
        <w:t>os</w:t>
      </w:r>
      <w:proofErr w:type="gramEnd"/>
      <w:r>
        <w:rPr>
          <w:rFonts w:ascii="Verdana" w:hAnsi="Verdana"/>
          <w:lang w:val="pt-BR"/>
        </w:rPr>
        <w:t xml:space="preserve"> Avisos aos Debenturistas, fatos relevantes e atas de assembleias que envolvam diretamente os interesses dos Debenturistas, até o 3º (terceiro) Dia Útil após respectiva divulgação ao mercado;</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proofErr w:type="gramStart"/>
      <w:r>
        <w:rPr>
          <w:rFonts w:ascii="Verdana" w:hAnsi="Verdana"/>
          <w:lang w:val="pt-BR"/>
        </w:rPr>
        <w:t>em</w:t>
      </w:r>
      <w:proofErr w:type="gramEnd"/>
      <w:r>
        <w:rPr>
          <w:rFonts w:ascii="Verdana" w:hAnsi="Verdana"/>
          <w:lang w:val="pt-BR"/>
        </w:rPr>
        <w:t xml:space="preserve">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Instrução CVM 583</w:t>
      </w:r>
      <w:r>
        <w:rPr>
          <w:rFonts w:ascii="Verdana" w:hAnsi="Verdana"/>
          <w:lang w:val="pt-BR"/>
        </w:rPr>
        <w:t xml:space="preserve">”); </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proofErr w:type="gramStart"/>
      <w:r>
        <w:rPr>
          <w:rFonts w:ascii="Verdana" w:hAnsi="Verdana"/>
          <w:lang w:val="pt-BR"/>
        </w:rPr>
        <w:t>informações</w:t>
      </w:r>
      <w:proofErr w:type="gramEnd"/>
      <w:r>
        <w:rPr>
          <w:rFonts w:ascii="Verdana" w:hAnsi="Verdana"/>
          <w:lang w:val="pt-BR"/>
        </w:rPr>
        <w:t xml:space="preserve"> sobre qualquer descumprimento não sanado, de natureza pecuniária ou não, de quaisquer cláusulas, termos ou condições desta Escritura, no prazo de até 10 (dez) Dias Uteis, contados da data do descumprimento; </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proofErr w:type="gramStart"/>
      <w:r>
        <w:rPr>
          <w:rFonts w:ascii="Verdana" w:hAnsi="Verdana"/>
          <w:lang w:val="pt-BR"/>
        </w:rPr>
        <w:t>no</w:t>
      </w:r>
      <w:proofErr w:type="gramEnd"/>
      <w:r>
        <w:rPr>
          <w:rFonts w:ascii="Verdana" w:hAnsi="Verdana"/>
          <w:lang w:val="pt-BR"/>
        </w:rPr>
        <w:t xml:space="preserve"> prazo de até 5 (cinco) Dias Úteis contados da data da respectiva celebração, comprovante do protocolo de apresentação desta Escritura e de seus aditamentos perante a JUCEPAR e os competentes cartórios de registro de títulos e documentos; </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proofErr w:type="gramStart"/>
      <w:r>
        <w:rPr>
          <w:rFonts w:ascii="Verdana" w:hAnsi="Verdana"/>
          <w:lang w:val="pt-BR"/>
        </w:rPr>
        <w:lastRenderedPageBreak/>
        <w:t>no</w:t>
      </w:r>
      <w:proofErr w:type="gramEnd"/>
      <w:r>
        <w:rPr>
          <w:rFonts w:ascii="Verdana" w:hAnsi="Verdana"/>
          <w:lang w:val="pt-BR"/>
        </w:rPr>
        <w:t xml:space="preserve"> prazo de até 5 (cinco) Dias Úteis contados da data de sua divulgação, cópia do relatório de rating enviado pela Agência de Classificação de Risco;</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proofErr w:type="gramStart"/>
      <w:r>
        <w:rPr>
          <w:rFonts w:ascii="Verdana" w:hAnsi="Verdana"/>
          <w:lang w:val="pt-BR"/>
        </w:rPr>
        <w:t>o</w:t>
      </w:r>
      <w:proofErr w:type="gramEnd"/>
      <w:r>
        <w:rPr>
          <w:rFonts w:ascii="Verdana" w:hAnsi="Verdana"/>
          <w:lang w:val="pt-BR"/>
        </w:rPr>
        <w:t xml:space="preserve"> organograma do grupo societário da Emissora, os dados financeiros e os atos societários necessários à realização do relatório mencionado na Cláusula 9.4, item (</w:t>
      </w:r>
      <w:proofErr w:type="spellStart"/>
      <w:r>
        <w:rPr>
          <w:rFonts w:ascii="Verdana" w:hAnsi="Verdana"/>
          <w:lang w:val="pt-BR"/>
        </w:rPr>
        <w:t>xiii</w:t>
      </w:r>
      <w:proofErr w:type="spellEnd"/>
      <w:r>
        <w:rPr>
          <w:rFonts w:ascii="Verdana" w:hAnsi="Verdana"/>
          <w:lang w:val="pt-BR"/>
        </w:rPr>
        <w:t>)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proofErr w:type="gramStart"/>
      <w:r>
        <w:rPr>
          <w:rFonts w:ascii="Verdana" w:hAnsi="Verdana"/>
          <w:lang w:val="pt-BR"/>
        </w:rPr>
        <w:t>via</w:t>
      </w:r>
      <w:proofErr w:type="gramEnd"/>
      <w:r>
        <w:rPr>
          <w:rFonts w:ascii="Verdana" w:hAnsi="Verdana"/>
          <w:lang w:val="pt-BR"/>
        </w:rPr>
        <w:t xml:space="preserve"> original arquivada na Junta Comercial competente das atas de Assembleias Gerais de Debenturistas.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enviar</w:t>
      </w:r>
      <w:proofErr w:type="gramEnd"/>
      <w:r>
        <w:rPr>
          <w:rFonts w:ascii="Verdana" w:hAnsi="Verdana"/>
          <w:lang w:val="pt-BR"/>
        </w:rPr>
        <w:t xml:space="preserve"> à B3 e à B3 – Segmento </w:t>
      </w:r>
      <w:proofErr w:type="spellStart"/>
      <w:r>
        <w:rPr>
          <w:rFonts w:ascii="Verdana" w:hAnsi="Verdana"/>
          <w:lang w:val="pt-BR"/>
        </w:rPr>
        <w:t>Cetip</w:t>
      </w:r>
      <w:proofErr w:type="spellEnd"/>
      <w:r>
        <w:rPr>
          <w:rFonts w:ascii="Verdana" w:hAnsi="Verdana"/>
          <w:lang w:val="pt-BR"/>
        </w:rPr>
        <w:t xml:space="preserve"> UTVM os documentos e informações exigidos por esta entidade, no prazo solicitado;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comunicar</w:t>
      </w:r>
      <w:proofErr w:type="gramEnd"/>
      <w:r>
        <w:rPr>
          <w:rFonts w:ascii="Verdana" w:hAnsi="Verdana"/>
          <w:lang w:val="pt-BR"/>
        </w:rPr>
        <w:t xml:space="preserve"> a ocorrência de um Evento de Inadimplemento ao Agente Fiduciário, em até 1 (um) Dia Útil contado do seu conhecimento sobre o mesmo;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abster</w:t>
      </w:r>
      <w:proofErr w:type="gramEnd"/>
      <w:r>
        <w:rPr>
          <w:rFonts w:ascii="Verdana" w:hAnsi="Verdana"/>
          <w:lang w:val="pt-BR"/>
        </w:rPr>
        <w:t>-se de negociar valores mobiliários de sua emissão até a divulgação do Anúncio de Encerramento da Oferta, salvo nas hipóteses previstas no inciso II do artigo 48 da Instrução CVM 400;</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manter</w:t>
      </w:r>
      <w:proofErr w:type="gramEnd"/>
      <w:r>
        <w:rPr>
          <w:rFonts w:ascii="Verdana" w:hAnsi="Verdana"/>
          <w:lang w:val="pt-BR"/>
        </w:rPr>
        <w:t xml:space="preserve"> registro de companhia aberta, pelo menos como emissor categoria B, durante todo o prazo de vigência das Debêntures;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w:t>
      </w:r>
      <w:r>
        <w:rPr>
          <w:rFonts w:ascii="Verdana" w:hAnsi="Verdana"/>
          <w:lang w:val="pt-BR"/>
        </w:rPr>
        <w:lastRenderedPageBreak/>
        <w:t xml:space="preserve">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Pr>
          <w:rFonts w:ascii="Verdana" w:hAnsi="Verdana"/>
          <w:lang w:val="pt-BR"/>
        </w:rPr>
        <w:t>Poor's</w:t>
      </w:r>
      <w:proofErr w:type="spellEnd"/>
      <w:r>
        <w:rPr>
          <w:rFonts w:ascii="Verdana" w:hAnsi="Verdana"/>
          <w:lang w:val="pt-BR"/>
        </w:rPr>
        <w:t xml:space="preserve"> ou a Moody's, ou mediante contratação de agência de classificação de risco que não as mencionadas anteriormente, conforme venha a ser aprovada pelos Debenturistas, em sede de Assembleia Geral de Debenturistas, a ser realizada nos termos desta Escritura;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manter</w:t>
      </w:r>
      <w:proofErr w:type="gramEnd"/>
      <w:r>
        <w:rPr>
          <w:rFonts w:ascii="Verdana" w:hAnsi="Verdana"/>
          <w:lang w:val="pt-BR"/>
        </w:rPr>
        <w:t xml:space="preserve"> em adequado funcionamento órgão para atender, de forma eficiente, aos Debenturistas;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notificar</w:t>
      </w:r>
      <w:proofErr w:type="gramEnd"/>
      <w:r>
        <w:rPr>
          <w:rFonts w:ascii="Verdana" w:hAnsi="Verdana"/>
          <w:lang w:val="pt-BR"/>
        </w:rPr>
        <w:t xml:space="preserve"> em até 3 (três) Dias Úteis o Agente Fiduciário sobre qualquer ato ou fato que cause interrupção ou suspensão das atividades da Emissora, ou que alterem as condições econômicas, </w:t>
      </w:r>
      <w:proofErr w:type="spellStart"/>
      <w:r>
        <w:rPr>
          <w:rFonts w:ascii="Verdana" w:hAnsi="Verdana"/>
          <w:lang w:val="pt-BR"/>
        </w:rPr>
        <w:t>reputacionais</w:t>
      </w:r>
      <w:proofErr w:type="spellEnd"/>
      <w:r>
        <w:rPr>
          <w:rFonts w:ascii="Verdana" w:hAnsi="Verdana"/>
          <w:lang w:val="pt-BR"/>
        </w:rPr>
        <w:t xml:space="preserve"> ou financeiras da Emissora;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efetuar</w:t>
      </w:r>
      <w:proofErr w:type="gramEnd"/>
      <w:r>
        <w:rPr>
          <w:rFonts w:ascii="Verdana" w:hAnsi="Verdana"/>
          <w:lang w:val="pt-BR"/>
        </w:rPr>
        <w:t xml:space="preserve"> pontualmente o pagamento dos serviços relacionados ao depósito das Debêntures custodiadas eletronicamente na B3 e/ou na B3 – Segmento </w:t>
      </w:r>
      <w:proofErr w:type="spellStart"/>
      <w:r>
        <w:rPr>
          <w:rFonts w:ascii="Verdana" w:hAnsi="Verdana"/>
          <w:lang w:val="pt-BR"/>
        </w:rPr>
        <w:t>Cetip</w:t>
      </w:r>
      <w:proofErr w:type="spellEnd"/>
      <w:r>
        <w:rPr>
          <w:rFonts w:ascii="Verdana" w:hAnsi="Verdana"/>
          <w:lang w:val="pt-BR"/>
        </w:rPr>
        <w:t xml:space="preserve"> UTVM;</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preparar</w:t>
      </w:r>
      <w:proofErr w:type="gramEnd"/>
      <w:r>
        <w:rPr>
          <w:rFonts w:ascii="Verdana" w:hAnsi="Verdana"/>
          <w:lang w:val="pt-BR"/>
        </w:rPr>
        <w:t xml:space="preserve"> e proceder à adequada publicidade dos seus dados econômico-financeiros, nos termos exigidos pela Lei das Sociedades por Ações e/ou demais regulamentações aplicáveis, promovendo a publicação das suas demonstrações financeiras anuais;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manter</w:t>
      </w:r>
      <w:proofErr w:type="gramEnd"/>
      <w:r>
        <w:rPr>
          <w:rFonts w:ascii="Verdana" w:hAnsi="Verdana"/>
          <w:lang w:val="pt-BR"/>
        </w:rPr>
        <w:t xml:space="preserve"> a sua contabilidade atualizada e efetuar os respectivos registros de acordo com as práticas contábeis adotadas no Brasil;</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convocar</w:t>
      </w:r>
      <w:proofErr w:type="gramEnd"/>
      <w:r>
        <w:rPr>
          <w:rFonts w:ascii="Verdana" w:hAnsi="Verdana"/>
          <w:lang w:val="pt-BR"/>
        </w:rPr>
        <w:t>,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lastRenderedPageBreak/>
        <w:t>notificar</w:t>
      </w:r>
      <w:proofErr w:type="gramEnd"/>
      <w:r>
        <w:rPr>
          <w:rFonts w:ascii="Verdana" w:hAnsi="Verdana"/>
          <w:lang w:val="pt-BR"/>
        </w:rPr>
        <w:t>, na mesma data, o Agente Fiduciário sobre a convocação, pela Emissora, de qualquer Assembleia Geral de Debenturistas;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comparecer</w:t>
      </w:r>
      <w:proofErr w:type="gramEnd"/>
      <w:r>
        <w:rPr>
          <w:rFonts w:ascii="Verdana" w:hAnsi="Verdana"/>
          <w:lang w:val="pt-BR"/>
        </w:rPr>
        <w:t>, por meio de seus representantes, nas Assembleias Gerais de Debenturistas, sempre que solicitado;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 (conforme abaixo definido); ou (b) o descumprimento esteja sendo discutido de boa-fé no âmbito de processos judiciais ou administrativos devidamente descritos no Formulário de Referência na data de divulgação do Aviso ao Mercado;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manter</w:t>
      </w:r>
      <w:proofErr w:type="gramEnd"/>
      <w:r>
        <w:rPr>
          <w:rFonts w:ascii="Verdana" w:hAnsi="Verdana"/>
          <w:lang w:val="pt-BR"/>
        </w:rPr>
        <w:t xml:space="preserve"> seguro adequado para seus bens e ativos relevantes, conforme práticas correntes de mercado;</w:t>
      </w:r>
    </w:p>
    <w:p>
      <w:pPr>
        <w:pStyle w:val="Level4"/>
        <w:numPr>
          <w:ilvl w:val="0"/>
          <w:numId w:val="0"/>
        </w:numPr>
        <w:spacing w:after="0" w:line="320" w:lineRule="exact"/>
        <w:ind w:left="1361"/>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cumprir</w:t>
      </w:r>
      <w:proofErr w:type="gramEnd"/>
      <w:r>
        <w:rPr>
          <w:rFonts w:ascii="Verdana" w:hAnsi="Verdana"/>
          <w:lang w:val="pt-BR"/>
        </w:rPr>
        <w:t xml:space="preserve"> com todas as determinações emanadas da CVM, com o envio de documentos, prestando, ainda, as informações que lhes forem solicitadas pela CVM, pela B3 e/ou pela B3 – Segmento </w:t>
      </w:r>
      <w:proofErr w:type="spellStart"/>
      <w:r>
        <w:rPr>
          <w:rFonts w:ascii="Verdana" w:hAnsi="Verdana"/>
          <w:lang w:val="pt-BR"/>
        </w:rPr>
        <w:t>Cetip</w:t>
      </w:r>
      <w:proofErr w:type="spellEnd"/>
      <w:r>
        <w:rPr>
          <w:rFonts w:ascii="Verdana" w:hAnsi="Verdana"/>
          <w:lang w:val="pt-BR"/>
        </w:rPr>
        <w:t xml:space="preserve"> UTVM;</w:t>
      </w:r>
    </w:p>
    <w:p>
      <w:pPr>
        <w:pStyle w:val="Level4"/>
        <w:numPr>
          <w:ilvl w:val="0"/>
          <w:numId w:val="0"/>
        </w:numPr>
        <w:tabs>
          <w:tab w:val="num" w:pos="1701"/>
        </w:tabs>
        <w:spacing w:after="0" w:line="320" w:lineRule="exact"/>
        <w:ind w:left="1701" w:hanging="850"/>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não</w:t>
      </w:r>
      <w:proofErr w:type="gramEnd"/>
      <w:r>
        <w:rPr>
          <w:rFonts w:ascii="Verdana" w:hAnsi="Verdana"/>
          <w:lang w:val="pt-BR"/>
        </w:rPr>
        <w:t xml:space="preserve"> realizar operações fora de seu objeto social e não praticar qualquer ato em desacordo com seu Estatuto Social e/ou com esta Escritura;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manter</w:t>
      </w:r>
      <w:proofErr w:type="gramEnd"/>
      <w:r>
        <w:rPr>
          <w:rFonts w:ascii="Verdana" w:hAnsi="Verdana"/>
          <w:lang w:val="pt-BR"/>
        </w:rPr>
        <w:t xml:space="preserve"> sempre válidas, eficazes, em perfeita ordem e em pleno vigor todas as autorizações necessárias à celebração desta Escritura e dos documentos da Emissão, e ao cumprimento de todas as obrigações aqui e ali previstas;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w:t>
      </w:r>
      <w:r>
        <w:rPr>
          <w:rFonts w:ascii="Verdana" w:hAnsi="Verdana"/>
          <w:lang w:val="pt-BR"/>
        </w:rPr>
        <w:lastRenderedPageBreak/>
        <w:t xml:space="preserve">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pela Emissora nas esferas administrativa e/ou judicial e cuja ausência não lhe gere um Efeito Adverso Relevante;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recolher</w:t>
      </w:r>
      <w:proofErr w:type="gramEnd"/>
      <w:r>
        <w:rPr>
          <w:rFonts w:ascii="Verdana" w:hAnsi="Verdana"/>
          <w:lang w:val="pt-BR"/>
        </w:rPr>
        <w:t>, tempestivamente, quaisquer tributos ou contribuições que incidam ou venham a incidir sobre as Debêntures e que sejam atribuídos à Emissora;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aplicar</w:t>
      </w:r>
      <w:proofErr w:type="gramEnd"/>
      <w:r>
        <w:rPr>
          <w:rFonts w:ascii="Verdana" w:hAnsi="Verdana"/>
          <w:lang w:val="pt-BR"/>
        </w:rPr>
        <w:t xml:space="preserve"> os recursos obtidos por meio da Emissão das Debêntures estritamente conforme descrito na Cláusula 4;</w:t>
      </w:r>
    </w:p>
    <w:p>
      <w:pPr>
        <w:pStyle w:val="Level4"/>
        <w:numPr>
          <w:ilvl w:val="0"/>
          <w:numId w:val="0"/>
        </w:numPr>
        <w:spacing w:after="0" w:line="320" w:lineRule="exact"/>
        <w:ind w:left="1361"/>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manter</w:t>
      </w:r>
      <w:proofErr w:type="gramEnd"/>
      <w:r>
        <w:rPr>
          <w:rFonts w:ascii="Verdana" w:hAnsi="Verdana"/>
          <w:lang w:val="pt-BR"/>
        </w:rPr>
        <w:t xml:space="preserve"> em dia o pagamento de todos os tributos devidos às Fazendas Federal, Estadual ou Municipal, exceto na hipótese de serem contestados de boa fé e desde que, neste caso, sejam provisionados de acordo com os princípios contábeis aplicáveis;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contratar</w:t>
      </w:r>
      <w:proofErr w:type="gramEnd"/>
      <w:r>
        <w:rPr>
          <w:rFonts w:ascii="Verdana" w:hAnsi="Verdana"/>
          <w:lang w:val="pt-BR"/>
        </w:rPr>
        <w:t xml:space="preserve"> e manter contratados, às suas expensas, durante todo o prazo de vigência das Debêntures, os prestadores de serviços inerentes às obrigações previstas nesta Escritura, incluindo: (a) o Agente Fiduciário; (b) o Banco Liquidante; (c) o </w:t>
      </w:r>
      <w:proofErr w:type="spellStart"/>
      <w:r>
        <w:rPr>
          <w:rFonts w:ascii="Verdana" w:hAnsi="Verdana"/>
          <w:lang w:val="pt-BR"/>
        </w:rPr>
        <w:t>Escriturador</w:t>
      </w:r>
      <w:proofErr w:type="spellEnd"/>
      <w:r>
        <w:rPr>
          <w:rFonts w:ascii="Verdana" w:hAnsi="Verdana"/>
          <w:lang w:val="pt-BR"/>
        </w:rPr>
        <w:t>; (d) os auditores independentes, (e) a Agência de Classificação de Risco; (f) o Formador de Mercado; e (g) os sistemas de distribuição e negociação das Debêntures nos mercados primário e secundário;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arcar</w:t>
      </w:r>
      <w:proofErr w:type="gramEnd"/>
      <w:r>
        <w:rPr>
          <w:rFonts w:ascii="Verdana" w:hAnsi="Verdana"/>
          <w:lang w:val="pt-BR"/>
        </w:rPr>
        <w:t xml:space="preserve"> com todos os custos decorrentes (a) da distribuição das Debêntures, incluindo todos os custos relativos ao seu registro na CVM, na ANBIMA, na B3 e na B3 – Segmento </w:t>
      </w:r>
      <w:proofErr w:type="spellStart"/>
      <w:r>
        <w:rPr>
          <w:rFonts w:ascii="Verdana" w:hAnsi="Verdana"/>
          <w:lang w:val="pt-BR"/>
        </w:rPr>
        <w:t>Cetip</w:t>
      </w:r>
      <w:proofErr w:type="spellEnd"/>
      <w:r>
        <w:rPr>
          <w:rFonts w:ascii="Verdana" w:hAnsi="Verdana"/>
          <w:lang w:val="pt-BR"/>
        </w:rPr>
        <w:t xml:space="preserve"> UTVM, conforme aplicável, (b) de registro e de publicação dos atos necessários à Emissão, tais como esta Escritura, seus eventuais aditamentos, os atos societários da Emissora, e (c) das despesas com a contratação de Agente Fiduciário, Banco Liquidante e </w:t>
      </w:r>
      <w:proofErr w:type="spellStart"/>
      <w:r>
        <w:rPr>
          <w:rFonts w:ascii="Verdana" w:hAnsi="Verdana"/>
          <w:lang w:val="pt-BR"/>
        </w:rPr>
        <w:t>Escriturador</w:t>
      </w:r>
      <w:proofErr w:type="spellEnd"/>
      <w:r>
        <w:rPr>
          <w:rFonts w:ascii="Verdana" w:hAnsi="Verdana"/>
          <w:lang w:val="pt-BR"/>
        </w:rPr>
        <w:t xml:space="preserve"> e Formador de Mercado, conforme aplicável;</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lastRenderedPageBreak/>
        <w:t>guardar</w:t>
      </w:r>
      <w:proofErr w:type="gramEnd"/>
      <w:r>
        <w:rPr>
          <w:rFonts w:ascii="Verdana" w:hAnsi="Verdana"/>
          <w:lang w:val="pt-BR"/>
        </w:rPr>
        <w:t xml:space="preserve">, pelo prazo de 5 (cinco) anos contados da presente data, toda a documentação relativa à Emissão;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manter</w:t>
      </w:r>
      <w:proofErr w:type="gramEnd"/>
      <w:r>
        <w:rPr>
          <w:rFonts w:ascii="Verdana" w:hAnsi="Verdana"/>
          <w:lang w:val="pt-BR"/>
        </w:rPr>
        <w:t xml:space="preserve"> as Debêntures depositadas para negociação junto ao CETIP21 e ao PUMA durante todo o prazo de vigência das Debêntures e efetuar pontualmente o pagamento dos serviços relacionados ao depósito das Debêntures no CETIP21 e no PUMA;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efetuar</w:t>
      </w:r>
      <w:proofErr w:type="gramEnd"/>
      <w:r>
        <w:rPr>
          <w:rFonts w:ascii="Verdana" w:hAnsi="Verdana"/>
          <w:lang w:val="pt-BR"/>
        </w:rPr>
        <w:t xml:space="preserve"> o pagamento das despesas comprovadas pelo Agente Fiduciário, em conformidade com o disposto na Cláusula 9.7 abaixo;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bookmarkStart w:id="250" w:name="_Ref130308404"/>
      <w:bookmarkStart w:id="251" w:name="_Ref140675885"/>
      <w:r>
        <w:rPr>
          <w:rFonts w:ascii="Verdana" w:hAnsi="Verdana"/>
          <w:lang w:val="pt-BR"/>
        </w:rPr>
        <w:t>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Oferta, bem como apresentá-la, em tempo hábil para cumprir com o prazo estipulado por ordem judicial, administrativa ou arbitral, ao Coordenador Líder, sempre que assim solicitada;</w:t>
      </w:r>
      <w:bookmarkEnd w:id="250"/>
      <w:bookmarkEnd w:id="251"/>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cumprir e adotar medidas para que suas controladas cumpram a </w:t>
      </w:r>
      <w:bookmarkStart w:id="252" w:name="_Hlk471323"/>
      <w:r>
        <w:rPr>
          <w:rFonts w:ascii="Verdana" w:hAnsi="Verdana"/>
          <w:lang w:val="pt-BR"/>
        </w:rPr>
        <w:t>legislação ambiental em vigor, incluindo, mas não se limitando, a legislação pertinente à Política Nacional do Meio Ambiente e Resoluções do CONAMA – Conselho Nacional do Meio Ambiente (“</w:t>
      </w:r>
      <w:r>
        <w:rPr>
          <w:rFonts w:ascii="Verdana" w:hAnsi="Verdana"/>
          <w:u w:val="single"/>
          <w:lang w:val="pt-BR"/>
        </w:rPr>
        <w:t>Leis Ambientais</w:t>
      </w:r>
      <w:r>
        <w:rPr>
          <w:rFonts w:ascii="Verdana" w:hAnsi="Verdana"/>
          <w:lang w:val="pt-BR"/>
        </w:rPr>
        <w:t>”), além da legislação trabalhista em vigor (“</w:t>
      </w:r>
      <w:r>
        <w:rPr>
          <w:rFonts w:ascii="Verdana" w:hAnsi="Verdana"/>
          <w:u w:val="single"/>
          <w:lang w:val="pt-BR"/>
        </w:rPr>
        <w:t>Leis Trabalhistas</w:t>
      </w:r>
      <w:r>
        <w:rPr>
          <w:rFonts w:ascii="Verdana" w:hAnsi="Verdana"/>
          <w:lang w:val="pt-BR"/>
        </w:rPr>
        <w:t>” e, em conjunto com Leis Ambientais, as “</w:t>
      </w:r>
      <w:r>
        <w:rPr>
          <w:rFonts w:ascii="Verdana" w:hAnsi="Verdana"/>
          <w:u w:val="single"/>
          <w:lang w:val="pt-BR"/>
        </w:rPr>
        <w:t>Leis Ambientais e Trabalhistas</w:t>
      </w:r>
      <w:r>
        <w:rPr>
          <w:rFonts w:ascii="Verdana" w:hAnsi="Verdana"/>
          <w:lang w:val="pt-BR"/>
        </w:rPr>
        <w:t>”)</w:t>
      </w:r>
      <w:bookmarkEnd w:id="252"/>
      <w:r>
        <w:rPr>
          <w:rFonts w:ascii="Verdana" w:hAnsi="Verdana"/>
          <w:lang w:val="pt-BR"/>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pStyle w:val="PargrafodaLista"/>
        <w:spacing w:line="320" w:lineRule="exact"/>
        <w:rPr>
          <w:rFonts w:ascii="Verdana" w:hAnsi="Verdana"/>
          <w:sz w:val="20"/>
          <w:szCs w:val="20"/>
        </w:rPr>
      </w:pPr>
    </w:p>
    <w:p>
      <w:pPr>
        <w:pStyle w:val="Level4"/>
        <w:numPr>
          <w:ilvl w:val="3"/>
          <w:numId w:val="59"/>
        </w:numPr>
        <w:tabs>
          <w:tab w:val="clear" w:pos="2041"/>
          <w:tab w:val="num" w:pos="1418"/>
        </w:tabs>
        <w:spacing w:after="0" w:line="320" w:lineRule="exact"/>
        <w:ind w:left="1418" w:hanging="709"/>
        <w:rPr>
          <w:rFonts w:ascii="Verdana" w:hAnsi="Verdana"/>
          <w:lang w:val="pt-BR"/>
        </w:rPr>
      </w:pPr>
      <w:proofErr w:type="gramStart"/>
      <w:r>
        <w:rPr>
          <w:rFonts w:ascii="Verdana" w:hAnsi="Verdana"/>
          <w:lang w:val="pt-BR"/>
        </w:rPr>
        <w:t>adotar</w:t>
      </w:r>
      <w:proofErr w:type="gramEnd"/>
      <w:r>
        <w:rPr>
          <w:rFonts w:ascii="Verdana" w:hAnsi="Verdana"/>
          <w:lang w:val="pt-BR"/>
        </w:rPr>
        <w:t xml:space="preserve"> e fazer com que suas controladas adotem medidas de ações preventivas ou reparatórias, destinadas a evitar e corrigir eventuais danos ao meio ambiente e/ou a seus trabalhadores decorrentes das atividades por elas realizadas, não utilizando, em suas atividades </w:t>
      </w:r>
      <w:r>
        <w:rPr>
          <w:rFonts w:ascii="Verdana" w:hAnsi="Verdana"/>
          <w:lang w:val="pt-BR"/>
        </w:rPr>
        <w:lastRenderedPageBreak/>
        <w:t xml:space="preserve">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notificar</w:t>
      </w:r>
      <w:proofErr w:type="gramEnd"/>
      <w:r>
        <w:rPr>
          <w:rFonts w:ascii="Verdana" w:hAnsi="Verdana"/>
          <w:lang w:val="pt-BR"/>
        </w:rPr>
        <w:t xml:space="preserve">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não</w:t>
      </w:r>
      <w:proofErr w:type="gramEnd"/>
      <w:r>
        <w:rPr>
          <w:rFonts w:ascii="Verdana" w:hAnsi="Verdana"/>
          <w:lang w:val="pt-BR"/>
        </w:rPr>
        <w:t xml:space="preserve"> votar, realizar ou permitir que seja votada ou realizada, por ocasião de qualquer alteração do estatuto social da Emissora, matérias que afetem de forma adversa a continuidade de seus negócios;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proofErr w:type="gramStart"/>
      <w:r>
        <w:rPr>
          <w:rFonts w:ascii="Verdana" w:hAnsi="Verdana"/>
          <w:lang w:val="pt-BR"/>
        </w:rPr>
        <w:t>não</w:t>
      </w:r>
      <w:proofErr w:type="gramEnd"/>
      <w:r>
        <w:rPr>
          <w:rFonts w:ascii="Verdana" w:hAnsi="Verdana"/>
          <w:lang w:val="pt-BR"/>
        </w:rPr>
        <w:t xml:space="preserve"> votar, realizar ou permitir que seja votada ou realizada qualquer alteração em seu Estatuto Social que implique em modificação do dividendo obrigatório em vigor nesta data, qual seja, 25% (vinte e cinco por cento) do lucro líquido do exercício, ajustado nos termos do art. 202, da Lei das Sociedades por Ações;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 xml:space="preserve">US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Corrupt</w:t>
      </w:r>
      <w:proofErr w:type="spellEnd"/>
      <w:r>
        <w:rPr>
          <w:rFonts w:ascii="Verdana" w:hAnsi="Verdana"/>
          <w:i/>
          <w:lang w:val="pt-BR"/>
        </w:rPr>
        <w:t xml:space="preserve"> </w:t>
      </w:r>
      <w:proofErr w:type="spellStart"/>
      <w:r>
        <w:rPr>
          <w:rFonts w:ascii="Verdana" w:hAnsi="Verdana"/>
          <w:i/>
          <w:lang w:val="pt-BR"/>
        </w:rPr>
        <w:t>Practices</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 xml:space="preserve">UK </w:t>
      </w:r>
      <w:proofErr w:type="spellStart"/>
      <w:r>
        <w:rPr>
          <w:rFonts w:ascii="Verdana" w:hAnsi="Verdana"/>
          <w:i/>
          <w:lang w:val="pt-BR"/>
        </w:rPr>
        <w:t>Bribery</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lang w:val="pt-BR"/>
        </w:rPr>
        <w:t xml:space="preserve"> ou qualquer legislação ou regulamentação aplicável que implemente o </w:t>
      </w:r>
      <w:r>
        <w:rPr>
          <w:rFonts w:ascii="Verdana" w:hAnsi="Verdana"/>
          <w:i/>
          <w:lang w:val="pt-BR"/>
        </w:rPr>
        <w:t xml:space="preserve">OECD </w:t>
      </w:r>
      <w:proofErr w:type="spellStart"/>
      <w:r>
        <w:rPr>
          <w:rFonts w:ascii="Verdana" w:hAnsi="Verdana"/>
          <w:i/>
          <w:lang w:val="pt-BR"/>
        </w:rPr>
        <w:t>Convention</w:t>
      </w:r>
      <w:proofErr w:type="spellEnd"/>
      <w:r>
        <w:rPr>
          <w:rFonts w:ascii="Verdana" w:hAnsi="Verdana"/>
          <w:i/>
          <w:lang w:val="pt-BR"/>
        </w:rPr>
        <w:t xml:space="preserve"> </w:t>
      </w:r>
      <w:proofErr w:type="spellStart"/>
      <w:r>
        <w:rPr>
          <w:rFonts w:ascii="Verdana" w:hAnsi="Verdana"/>
          <w:i/>
          <w:lang w:val="pt-BR"/>
        </w:rPr>
        <w:t>on</w:t>
      </w:r>
      <w:proofErr w:type="spellEnd"/>
      <w:r>
        <w:rPr>
          <w:rFonts w:ascii="Verdana" w:hAnsi="Verdana"/>
          <w:i/>
          <w:lang w:val="pt-BR"/>
        </w:rPr>
        <w:t xml:space="preserve"> </w:t>
      </w:r>
      <w:proofErr w:type="spellStart"/>
      <w:r>
        <w:rPr>
          <w:rFonts w:ascii="Verdana" w:hAnsi="Verdana"/>
          <w:i/>
          <w:lang w:val="pt-BR"/>
        </w:rPr>
        <w:t>Combating</w:t>
      </w:r>
      <w:proofErr w:type="spellEnd"/>
      <w:r>
        <w:rPr>
          <w:rFonts w:ascii="Verdana" w:hAnsi="Verdana"/>
          <w:i/>
          <w:lang w:val="pt-BR"/>
        </w:rPr>
        <w:t xml:space="preserve"> </w:t>
      </w:r>
      <w:proofErr w:type="spellStart"/>
      <w:r>
        <w:rPr>
          <w:rFonts w:ascii="Verdana" w:hAnsi="Verdana"/>
          <w:i/>
          <w:lang w:val="pt-BR"/>
        </w:rPr>
        <w:t>Bribery</w:t>
      </w:r>
      <w:proofErr w:type="spellEnd"/>
      <w:r>
        <w:rPr>
          <w:rFonts w:ascii="Verdana" w:hAnsi="Verdana"/>
          <w:i/>
          <w:lang w:val="pt-BR"/>
        </w:rPr>
        <w:t xml:space="preserve"> </w:t>
      </w:r>
      <w:proofErr w:type="spellStart"/>
      <w:r>
        <w:rPr>
          <w:rFonts w:ascii="Verdana" w:hAnsi="Verdana"/>
          <w:i/>
          <w:lang w:val="pt-BR"/>
        </w:rPr>
        <w:t>of</w:t>
      </w:r>
      <w:proofErr w:type="spellEnd"/>
      <w:r>
        <w:rPr>
          <w:rFonts w:ascii="Verdana" w:hAnsi="Verdana"/>
          <w:i/>
          <w:lang w:val="pt-BR"/>
        </w:rPr>
        <w:t xml:space="preserve">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Public</w:t>
      </w:r>
      <w:proofErr w:type="spellEnd"/>
      <w:r>
        <w:rPr>
          <w:rFonts w:ascii="Verdana" w:hAnsi="Verdana"/>
          <w:i/>
          <w:lang w:val="pt-BR"/>
        </w:rPr>
        <w:t xml:space="preserve"> </w:t>
      </w:r>
      <w:proofErr w:type="spellStart"/>
      <w:r>
        <w:rPr>
          <w:rFonts w:ascii="Verdana" w:hAnsi="Verdana"/>
          <w:i/>
          <w:lang w:val="pt-BR"/>
        </w:rPr>
        <w:t>Officials</w:t>
      </w:r>
      <w:proofErr w:type="spellEnd"/>
      <w:r>
        <w:rPr>
          <w:rFonts w:ascii="Verdana" w:hAnsi="Verdana"/>
          <w:i/>
          <w:lang w:val="pt-BR"/>
        </w:rPr>
        <w:t xml:space="preserve"> in </w:t>
      </w:r>
      <w:proofErr w:type="spellStart"/>
      <w:r>
        <w:rPr>
          <w:rFonts w:ascii="Verdana" w:hAnsi="Verdana"/>
          <w:i/>
          <w:lang w:val="pt-BR"/>
        </w:rPr>
        <w:t>International</w:t>
      </w:r>
      <w:proofErr w:type="spellEnd"/>
      <w:r>
        <w:rPr>
          <w:rFonts w:ascii="Verdana" w:hAnsi="Verdana"/>
          <w:i/>
          <w:lang w:val="pt-BR"/>
        </w:rPr>
        <w:t xml:space="preserve"> Business </w:t>
      </w:r>
      <w:proofErr w:type="spellStart"/>
      <w:r>
        <w:rPr>
          <w:rFonts w:ascii="Verdana" w:hAnsi="Verdana"/>
          <w:i/>
          <w:lang w:val="pt-BR"/>
        </w:rPr>
        <w:t>Transactions</w:t>
      </w:r>
      <w:proofErr w:type="spellEnd"/>
      <w:r>
        <w:rPr>
          <w:rFonts w:ascii="Verdana" w:hAnsi="Verdana"/>
          <w:lang w:val="pt-BR"/>
        </w:rPr>
        <w:t>, conforme aplicáveis (“</w:t>
      </w:r>
      <w:r>
        <w:rPr>
          <w:rFonts w:ascii="Verdana" w:hAnsi="Verdana"/>
          <w:u w:val="single"/>
          <w:lang w:val="pt-BR"/>
        </w:rPr>
        <w:t>Leis Anticorrupção</w:t>
      </w:r>
      <w:r>
        <w:rPr>
          <w:rFonts w:ascii="Verdana" w:hAnsi="Verdana"/>
          <w:lang w:val="pt-BR"/>
        </w:rPr>
        <w:t xml:space="preserve">”), devendo (i) manter políticas e </w:t>
      </w:r>
      <w:r>
        <w:rPr>
          <w:rFonts w:ascii="Verdana" w:hAnsi="Verdana"/>
          <w:lang w:val="pt-BR"/>
        </w:rPr>
        <w:lastRenderedPageBreak/>
        <w:t>procedimentos internos que visem assegurar integral cumprimento de tais normas; (</w:t>
      </w:r>
      <w:proofErr w:type="spellStart"/>
      <w:r>
        <w:rPr>
          <w:rFonts w:ascii="Verdana" w:hAnsi="Verdana"/>
          <w:lang w:val="pt-BR"/>
        </w:rPr>
        <w:t>ii</w:t>
      </w:r>
      <w:proofErr w:type="spellEnd"/>
      <w:r>
        <w:rPr>
          <w:rFonts w:ascii="Verdana" w:hAnsi="Verdana"/>
          <w:lang w:val="pt-BR"/>
        </w:rPr>
        <w:t>) dar conhecimento de tais normas a todos os profissionais que venham a se relacionar com a Emissora, previamente ao início de sua atuação; (</w:t>
      </w:r>
      <w:proofErr w:type="spellStart"/>
      <w:r>
        <w:rPr>
          <w:rFonts w:ascii="Verdana" w:hAnsi="Verdana"/>
          <w:lang w:val="pt-BR"/>
        </w:rPr>
        <w:t>iii</w:t>
      </w:r>
      <w:proofErr w:type="spellEnd"/>
      <w:r>
        <w:rPr>
          <w:rFonts w:ascii="Verdana" w:hAnsi="Verdana"/>
          <w:lang w:val="pt-BR"/>
        </w:rPr>
        <w:t xml:space="preserve">) abster-se de praticar atos de corrupção e de agir de forma lesiva à administração pública, nacional e estrangeira, no seu interesse ou para seu benefício, exclusivo ou não;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praticar</w:t>
      </w:r>
      <w:proofErr w:type="gramEnd"/>
      <w:r>
        <w:rPr>
          <w:rFonts w:ascii="Verdana" w:hAnsi="Verdana"/>
          <w:lang w:val="pt-BR"/>
        </w:rPr>
        <w:t xml:space="preserve"> todos os atos que se fizerem necessários para a manutenção dos Projetos como prioritários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Pr>
          <w:rFonts w:ascii="Verdana" w:hAnsi="Verdana"/>
          <w:lang w:val="pt-BR"/>
        </w:rPr>
        <w:t>desenquadramento</w:t>
      </w:r>
      <w:proofErr w:type="spellEnd"/>
      <w:r>
        <w:rPr>
          <w:rFonts w:ascii="Verdana" w:hAnsi="Verdana"/>
          <w:lang w:val="pt-BR"/>
        </w:rPr>
        <w:t xml:space="preserve"> dos Projetos como prioritários, nos termos do artigo 1º, parágrafo 8º da Lei 12.431; </w:t>
      </w:r>
    </w:p>
    <w:p>
      <w:pPr>
        <w:pStyle w:val="PargrafodaLista"/>
        <w:spacing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proofErr w:type="gramStart"/>
      <w:r>
        <w:rPr>
          <w:rFonts w:ascii="Verdana" w:hAnsi="Verdana"/>
          <w:lang w:val="pt-BR"/>
        </w:rPr>
        <w:t>realizar</w:t>
      </w:r>
      <w:proofErr w:type="gramEnd"/>
      <w:r>
        <w:rPr>
          <w:rFonts w:ascii="Verdana" w:hAnsi="Verdana"/>
          <w:lang w:val="pt-BR"/>
        </w:rPr>
        <w:t xml:space="preserve"> eventuais pagamentos devidos no âmbito desta Escritura exclusivamente por meio de transferência bancária; e</w:t>
      </w:r>
    </w:p>
    <w:p>
      <w:pPr>
        <w:pStyle w:val="PargrafodaLista"/>
        <w:spacing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pPr>
        <w:spacing w:after="0" w:line="320" w:lineRule="exact"/>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lastRenderedPageBreak/>
        <w:t xml:space="preserve">A Emissora obriga-se, neste ato, em caráter irrevogável e irretratável, a cuidar para que as operações que venha a praticar no ambiente B3 e/ou B3 </w:t>
      </w:r>
      <w:r>
        <w:rPr>
          <w:rFonts w:ascii="Verdana" w:hAnsi="Verdana"/>
          <w:sz w:val="20"/>
          <w:szCs w:val="20"/>
        </w:rPr>
        <w:t xml:space="preserve">–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pPr>
        <w:keepLines/>
        <w:spacing w:after="0" w:line="320" w:lineRule="exact"/>
        <w:ind w:left="720"/>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53" w:name="_Hlk370364"/>
      <w:r>
        <w:rPr>
          <w:rFonts w:ascii="Verdana" w:hAnsi="Verdana"/>
          <w:sz w:val="20"/>
          <w:szCs w:val="20"/>
        </w:rPr>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254" w:name="_Hlk482699"/>
      <w:r>
        <w:rPr>
          <w:rFonts w:ascii="Verdana" w:hAnsi="Verdana"/>
          <w:sz w:val="20"/>
          <w:szCs w:val="20"/>
        </w:rPr>
        <w:t xml:space="preserve">a ocorrência de alteração adversa relevante nas condições econômicas, financeiras, </w:t>
      </w:r>
      <w:proofErr w:type="spellStart"/>
      <w:r>
        <w:rPr>
          <w:rFonts w:ascii="Verdana" w:hAnsi="Verdana"/>
          <w:sz w:val="20"/>
          <w:szCs w:val="20"/>
        </w:rPr>
        <w:t>reputacionais</w:t>
      </w:r>
      <w:proofErr w:type="spellEnd"/>
      <w:r>
        <w:rPr>
          <w:rFonts w:ascii="Verdana" w:hAnsi="Verdana"/>
          <w:sz w:val="20"/>
          <w:szCs w:val="20"/>
        </w:rPr>
        <w:t xml:space="preserve"> ou operacionais da Emissora que (i) impacte de forma significativa a capacidade de cumprimento pontual das obrigações assumidas pela Emissora perante os Debenturistas, nos termos desta Escritura e/ou (</w:t>
      </w:r>
      <w:proofErr w:type="spellStart"/>
      <w:r>
        <w:rPr>
          <w:rFonts w:ascii="Verdana" w:hAnsi="Verdana"/>
          <w:sz w:val="20"/>
          <w:szCs w:val="20"/>
        </w:rPr>
        <w:t>ii</w:t>
      </w:r>
      <w:proofErr w:type="spellEnd"/>
      <w:r>
        <w:rPr>
          <w:rFonts w:ascii="Verdana" w:hAnsi="Verdana"/>
          <w:sz w:val="20"/>
          <w:szCs w:val="20"/>
        </w:rPr>
        <w:t>) impacte de forma significativa a capacidade jurídica e/ou econômico-financeira da Emissora para cumprir qualquer de suas obrigações previstas nos termos desta Escritura e/ou dos demais documentos da Oferta, conforme aplicável, e/ou (</w:t>
      </w:r>
      <w:proofErr w:type="spellStart"/>
      <w:r>
        <w:rPr>
          <w:rFonts w:ascii="Verdana" w:hAnsi="Verdana"/>
          <w:sz w:val="20"/>
          <w:szCs w:val="20"/>
        </w:rPr>
        <w:t>iii</w:t>
      </w:r>
      <w:proofErr w:type="spellEnd"/>
      <w:r>
        <w:rPr>
          <w:rFonts w:ascii="Verdana" w:hAnsi="Verdana"/>
          <w:sz w:val="20"/>
          <w:szCs w:val="20"/>
        </w:rPr>
        <w:t>) decorrente de decisão administrativa, arbitral ou judicial com efeitos imediatos, que tenha impactado de forma significativa e negativa a imagem ou a reputação da Emissora e/ou de quaisquer de suas controladas</w:t>
      </w:r>
      <w:bookmarkEnd w:id="254"/>
      <w:r>
        <w:rPr>
          <w:rFonts w:ascii="Verdana" w:hAnsi="Verdana"/>
          <w:sz w:val="20"/>
          <w:szCs w:val="20"/>
        </w:rPr>
        <w:t>;</w:t>
      </w:r>
      <w:bookmarkEnd w:id="253"/>
      <w:r>
        <w:rPr>
          <w:rFonts w:ascii="Verdana" w:hAnsi="Verdana"/>
          <w:sz w:val="20"/>
          <w:szCs w:val="20"/>
        </w:rPr>
        <w:t xml:space="preserve"> </w:t>
      </w:r>
    </w:p>
    <w:p>
      <w:pPr>
        <w:spacing w:after="0" w:line="320" w:lineRule="exact"/>
        <w:jc w:val="both"/>
        <w:rPr>
          <w:rFonts w:ascii="Verdana" w:hAnsi="Verdana"/>
          <w:sz w:val="20"/>
          <w:szCs w:val="20"/>
        </w:rPr>
      </w:pPr>
    </w:p>
    <w:p>
      <w:pPr>
        <w:keepLines/>
        <w:numPr>
          <w:ilvl w:val="0"/>
          <w:numId w:val="23"/>
        </w:numPr>
        <w:spacing w:after="0" w:line="320" w:lineRule="exact"/>
        <w:ind w:left="851" w:hanging="851"/>
        <w:jc w:val="both"/>
        <w:rPr>
          <w:rFonts w:ascii="Verdana" w:hAnsi="Verdana"/>
          <w:smallCaps/>
          <w:sz w:val="20"/>
          <w:szCs w:val="20"/>
          <w:u w:val="single"/>
        </w:rPr>
      </w:pPr>
      <w:bookmarkStart w:id="255" w:name="_DV_M298"/>
      <w:bookmarkEnd w:id="255"/>
      <w:r>
        <w:rPr>
          <w:rFonts w:ascii="Verdana" w:hAnsi="Verdana"/>
          <w:smallCaps/>
          <w:sz w:val="20"/>
          <w:szCs w:val="20"/>
          <w:u w:val="single"/>
        </w:rPr>
        <w:t xml:space="preserve">Agente Fiduciário </w:t>
      </w:r>
    </w:p>
    <w:p>
      <w:pPr>
        <w:spacing w:after="0" w:line="320" w:lineRule="exact"/>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56" w:name="_DV_M300"/>
      <w:bookmarkStart w:id="257" w:name="_Toc499990371"/>
      <w:bookmarkEnd w:id="256"/>
      <w:r>
        <w:rPr>
          <w:rFonts w:ascii="Verdana" w:hAnsi="Verdana"/>
          <w:i/>
          <w:sz w:val="20"/>
          <w:szCs w:val="20"/>
          <w:u w:val="single"/>
        </w:rPr>
        <w:t>Nomeação</w:t>
      </w:r>
      <w:r>
        <w:rPr>
          <w:rFonts w:ascii="Verdana" w:hAnsi="Verdana"/>
          <w:i/>
          <w:sz w:val="20"/>
          <w:szCs w:val="20"/>
        </w:rPr>
        <w:t xml:space="preserve">. </w:t>
      </w:r>
      <w:bookmarkStart w:id="258" w:name="_DV_M301"/>
      <w:bookmarkEnd w:id="258"/>
      <w:r>
        <w:rPr>
          <w:rFonts w:ascii="Verdana" w:hAnsi="Verdana"/>
          <w:sz w:val="20"/>
          <w:szCs w:val="20"/>
        </w:rPr>
        <w:t xml:space="preserve">A Emissora constitui e nomeia como agente fiduciário da Oferta a </w:t>
      </w:r>
      <w:proofErr w:type="spellStart"/>
      <w:r>
        <w:rPr>
          <w:rFonts w:ascii="Verdana" w:hAnsi="Verdana"/>
          <w:sz w:val="20"/>
          <w:szCs w:val="20"/>
        </w:rPr>
        <w:t>Simplific</w:t>
      </w:r>
      <w:proofErr w:type="spellEnd"/>
      <w:r>
        <w:rPr>
          <w:rFonts w:ascii="Verdana" w:hAnsi="Verdana"/>
          <w:sz w:val="20"/>
          <w:szCs w:val="20"/>
        </w:rPr>
        <w:t xml:space="preserve"> </w:t>
      </w:r>
      <w:proofErr w:type="spellStart"/>
      <w:r>
        <w:rPr>
          <w:rFonts w:ascii="Verdana" w:hAnsi="Verdana"/>
          <w:sz w:val="20"/>
          <w:szCs w:val="20"/>
        </w:rPr>
        <w:t>Pavarini</w:t>
      </w:r>
      <w:proofErr w:type="spellEnd"/>
      <w:r>
        <w:rPr>
          <w:rFonts w:ascii="Verdana" w:hAnsi="Verdana"/>
          <w:sz w:val="20"/>
          <w:szCs w:val="20"/>
        </w:rPr>
        <w:t xml:space="preserve"> Distribuidora de Títulos e Valores Mobiliários Ltda., qualificada no preâmbulo desta Escritura, a qual, neste ato e pela melhor forma de direito, aceita a nomeação para, nos termos da lei e da presente Escritura, representar a comunhão dos Debenturistas. </w:t>
      </w:r>
    </w:p>
    <w:p>
      <w:pPr>
        <w:spacing w:after="0" w:line="320" w:lineRule="exact"/>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xml:space="preserve">”), no valor de R$ 591.894.000,00 (quinhentos e noventa e um milhões, oitocentos e noventa e quatro mil reais), na data de emissão, qual seja, 15 de dezembro de 2015, </w:t>
      </w:r>
      <w:r>
        <w:rPr>
          <w:rFonts w:ascii="Verdana" w:hAnsi="Verdana"/>
          <w:iCs/>
          <w:sz w:val="20"/>
          <w:szCs w:val="20"/>
        </w:rPr>
        <w:lastRenderedPageBreak/>
        <w:t>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Pr>
          <w:rFonts w:ascii="Verdana" w:hAnsi="Verdana"/>
          <w:sz w:val="20"/>
          <w:szCs w:val="20"/>
        </w:rPr>
        <w:t xml:space="preserve"> </w:t>
      </w:r>
      <w:r>
        <w:rPr>
          <w:rFonts w:ascii="Verdana" w:hAnsi="Verdana"/>
          <w:iCs/>
          <w:sz w:val="20"/>
          <w:szCs w:val="20"/>
        </w:rPr>
        <w:t>(</w:t>
      </w:r>
      <w:proofErr w:type="spellStart"/>
      <w:r>
        <w:rPr>
          <w:rFonts w:ascii="Verdana" w:hAnsi="Verdana"/>
          <w:iCs/>
          <w:sz w:val="20"/>
          <w:szCs w:val="20"/>
        </w:rPr>
        <w:t>ii</w:t>
      </w:r>
      <w:proofErr w:type="spellEnd"/>
      <w:r>
        <w:rPr>
          <w:rFonts w:ascii="Verdana" w:hAnsi="Verdana"/>
          <w:iCs/>
          <w:sz w:val="20"/>
          <w:szCs w:val="20"/>
        </w:rPr>
        <w:t>)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w:t>
      </w:r>
      <w:proofErr w:type="spellStart"/>
      <w:r>
        <w:rPr>
          <w:rFonts w:ascii="Verdana" w:hAnsi="Verdana"/>
          <w:iCs/>
          <w:sz w:val="20"/>
          <w:szCs w:val="20"/>
        </w:rPr>
        <w:t>iii</w:t>
      </w:r>
      <w:proofErr w:type="spellEnd"/>
      <w:r>
        <w:rPr>
          <w:rFonts w:ascii="Verdana" w:hAnsi="Verdana"/>
          <w:iCs/>
          <w:sz w:val="20"/>
          <w:szCs w:val="20"/>
        </w:rPr>
        <w:t>)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w:t>
      </w:r>
      <w:proofErr w:type="spellStart"/>
      <w:r>
        <w:rPr>
          <w:rFonts w:ascii="Verdana" w:hAnsi="Verdana"/>
          <w:iCs/>
          <w:sz w:val="20"/>
          <w:szCs w:val="20"/>
        </w:rPr>
        <w:t>iv</w:t>
      </w:r>
      <w:proofErr w:type="spellEnd"/>
      <w:r>
        <w:rPr>
          <w:rFonts w:ascii="Verdana" w:hAnsi="Verdana"/>
          <w:iCs/>
          <w:sz w:val="20"/>
          <w:szCs w:val="20"/>
        </w:rPr>
        <w:t xml:space="preserve">)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w:t>
      </w:r>
      <w:r>
        <w:rPr>
          <w:rFonts w:ascii="Verdana" w:hAnsi="Verdana"/>
          <w:iCs/>
          <w:sz w:val="20"/>
          <w:szCs w:val="20"/>
        </w:rPr>
        <w:lastRenderedPageBreak/>
        <w:t>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p>
    <w:p>
      <w:pPr>
        <w:spacing w:after="0" w:line="320" w:lineRule="exact"/>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spacing w:after="0" w:line="320" w:lineRule="exact"/>
        <w:ind w:left="720" w:hanging="11"/>
        <w:jc w:val="both"/>
        <w:rPr>
          <w:rFonts w:ascii="Verdana" w:hAnsi="Verdana"/>
          <w:sz w:val="20"/>
          <w:szCs w:val="20"/>
        </w:rPr>
      </w:pPr>
    </w:p>
    <w:p>
      <w:pPr>
        <w:spacing w:after="0" w:line="320" w:lineRule="exact"/>
        <w:ind w:left="851" w:hanging="851"/>
        <w:jc w:val="both"/>
        <w:rPr>
          <w:rFonts w:ascii="Verdana" w:hAnsi="Verdana"/>
          <w:sz w:val="20"/>
          <w:szCs w:val="20"/>
        </w:rPr>
      </w:pPr>
      <w:proofErr w:type="gramStart"/>
      <w:r>
        <w:rPr>
          <w:rFonts w:ascii="Verdana" w:hAnsi="Verdana"/>
          <w:sz w:val="20"/>
          <w:szCs w:val="20"/>
        </w:rPr>
        <w:t>9.1.3</w:t>
      </w:r>
      <w:r>
        <w:rPr>
          <w:rFonts w:ascii="Verdana" w:hAnsi="Verdana"/>
          <w:sz w:val="20"/>
          <w:szCs w:val="20"/>
        </w:rPr>
        <w:tab/>
        <w:t>Sem</w:t>
      </w:r>
      <w:proofErr w:type="gramEnd"/>
      <w:r>
        <w:rPr>
          <w:rFonts w:ascii="Verdana" w:hAnsi="Verdana"/>
          <w:sz w:val="20"/>
          <w:szCs w:val="20"/>
        </w:rPr>
        <w:t xml:space="preserve">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pPr>
        <w:spacing w:after="0" w:line="320" w:lineRule="exact"/>
        <w:ind w:left="720" w:hanging="720"/>
        <w:jc w:val="both"/>
        <w:rPr>
          <w:rFonts w:ascii="Verdana" w:hAnsi="Verdana"/>
          <w:sz w:val="20"/>
          <w:szCs w:val="20"/>
        </w:rPr>
      </w:pPr>
    </w:p>
    <w:p>
      <w:pPr>
        <w:spacing w:after="0" w:line="320" w:lineRule="exact"/>
        <w:ind w:left="851" w:hanging="851"/>
        <w:jc w:val="both"/>
        <w:rPr>
          <w:rFonts w:ascii="Verdana" w:hAnsi="Verdana"/>
          <w:sz w:val="20"/>
          <w:szCs w:val="20"/>
        </w:rPr>
      </w:pPr>
      <w:proofErr w:type="gramStart"/>
      <w:r>
        <w:rPr>
          <w:rFonts w:ascii="Verdana" w:hAnsi="Verdana"/>
          <w:sz w:val="20"/>
          <w:szCs w:val="20"/>
        </w:rPr>
        <w:t>9.1.4</w:t>
      </w:r>
      <w:r>
        <w:rPr>
          <w:rFonts w:ascii="Verdana" w:hAnsi="Verdana"/>
          <w:sz w:val="20"/>
          <w:szCs w:val="20"/>
        </w:rPr>
        <w:tab/>
        <w:t>Os</w:t>
      </w:r>
      <w:proofErr w:type="gramEnd"/>
      <w:r>
        <w:rPr>
          <w:rFonts w:ascii="Verdana" w:hAnsi="Verdana"/>
          <w:sz w:val="20"/>
          <w:szCs w:val="20"/>
        </w:rPr>
        <w:t xml:space="preserve">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pPr>
        <w:spacing w:after="0" w:line="320" w:lineRule="exact"/>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59" w:name="_DV_M302"/>
      <w:bookmarkEnd w:id="259"/>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0" w:name="_DV_M303"/>
      <w:bookmarkEnd w:id="260"/>
      <w:r>
        <w:rPr>
          <w:rFonts w:ascii="Verdana" w:hAnsi="Verdana"/>
          <w:sz w:val="20"/>
          <w:szCs w:val="20"/>
        </w:rPr>
        <w:t>O Agente Fiduciário, neste ato assim nomeado, declara, sob as penas da lei:</w:t>
      </w:r>
    </w:p>
    <w:p>
      <w:pPr>
        <w:spacing w:after="0" w:line="320" w:lineRule="exact"/>
        <w:ind w:left="709"/>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1" w:name="_DV_M304"/>
      <w:bookmarkEnd w:id="261"/>
      <w:proofErr w:type="gramStart"/>
      <w:r>
        <w:rPr>
          <w:rFonts w:ascii="Verdana" w:hAnsi="Verdana"/>
          <w:sz w:val="20"/>
          <w:szCs w:val="20"/>
        </w:rPr>
        <w:t>não</w:t>
      </w:r>
      <w:proofErr w:type="gramEnd"/>
      <w:r>
        <w:rPr>
          <w:rFonts w:ascii="Verdana" w:hAnsi="Verdana"/>
          <w:sz w:val="20"/>
          <w:szCs w:val="20"/>
        </w:rPr>
        <w:t xml:space="preserve"> ter nenhum impedimento legal, conforme parágrafo 3º do artigo 66 da Lei das Sociedades por Ações e o artigo 6º da Instrução CVM 583, para exercer a função que lhe é conferida;</w:t>
      </w:r>
    </w:p>
    <w:p>
      <w:pPr>
        <w:pStyle w:val="PargrafodaLista"/>
        <w:spacing w:line="320" w:lineRule="exact"/>
        <w:ind w:left="1418" w:hanging="709"/>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2" w:name="_DV_M305"/>
      <w:bookmarkEnd w:id="262"/>
      <w:proofErr w:type="gramStart"/>
      <w:r>
        <w:rPr>
          <w:rFonts w:ascii="Verdana" w:hAnsi="Verdana"/>
          <w:sz w:val="20"/>
          <w:szCs w:val="20"/>
        </w:rPr>
        <w:t>aceitar</w:t>
      </w:r>
      <w:proofErr w:type="gramEnd"/>
      <w:r>
        <w:rPr>
          <w:rFonts w:ascii="Verdana" w:hAnsi="Verdana"/>
          <w:sz w:val="20"/>
          <w:szCs w:val="20"/>
        </w:rPr>
        <w:t xml:space="preserve"> a função que lhe é conferida, assumindo integralmente os deveres e atribuições previstos na legislação específica e nesta Escritura;</w:t>
      </w:r>
    </w:p>
    <w:p>
      <w:pPr>
        <w:pStyle w:val="PargrafodaLista"/>
        <w:spacing w:line="320" w:lineRule="exact"/>
        <w:ind w:left="1418" w:hanging="709"/>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3" w:name="_DV_M306"/>
      <w:bookmarkEnd w:id="263"/>
      <w:proofErr w:type="gramStart"/>
      <w:r>
        <w:rPr>
          <w:rFonts w:ascii="Verdana" w:hAnsi="Verdana"/>
          <w:sz w:val="20"/>
          <w:szCs w:val="20"/>
        </w:rPr>
        <w:t>estar</w:t>
      </w:r>
      <w:proofErr w:type="gramEnd"/>
      <w:r>
        <w:rPr>
          <w:rFonts w:ascii="Verdana" w:hAnsi="Verdana"/>
          <w:sz w:val="20"/>
          <w:szCs w:val="20"/>
        </w:rPr>
        <w:t xml:space="preserve"> ciente da regulamentação aplicável proferida pelo BACEN e pela CVM, incluindo, sem limitação, a Circular do BACEN nº 1.832, de 31 de outubro de 1990, conforme alterada;</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proofErr w:type="gramStart"/>
      <w:r>
        <w:rPr>
          <w:rFonts w:ascii="Verdana" w:hAnsi="Verdana"/>
          <w:sz w:val="20"/>
          <w:szCs w:val="20"/>
        </w:rPr>
        <w:t>aceitar</w:t>
      </w:r>
      <w:proofErr w:type="gramEnd"/>
      <w:r>
        <w:rPr>
          <w:rFonts w:ascii="Verdana" w:hAnsi="Verdana"/>
          <w:sz w:val="20"/>
          <w:szCs w:val="20"/>
        </w:rPr>
        <w:t xml:space="preserve"> integralmente esta Escritura, todas as suas cláusulas e condições;</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proofErr w:type="gramStart"/>
      <w:r>
        <w:rPr>
          <w:rFonts w:ascii="Verdana" w:hAnsi="Verdana"/>
          <w:sz w:val="20"/>
          <w:szCs w:val="20"/>
        </w:rPr>
        <w:t>ser</w:t>
      </w:r>
      <w:proofErr w:type="gramEnd"/>
      <w:r>
        <w:rPr>
          <w:rFonts w:ascii="Verdana" w:hAnsi="Verdana"/>
          <w:sz w:val="20"/>
          <w:szCs w:val="20"/>
        </w:rPr>
        <w:t xml:space="preserve"> uma instituição financeira, estando devidamente organizada, constituída e existente de acordo com as leis brasileiras;</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4" w:name="_DV_M307"/>
      <w:bookmarkEnd w:id="264"/>
      <w:proofErr w:type="gramStart"/>
      <w:r>
        <w:rPr>
          <w:rFonts w:ascii="Verdana" w:hAnsi="Verdana"/>
          <w:sz w:val="20"/>
          <w:szCs w:val="20"/>
        </w:rPr>
        <w:t>não</w:t>
      </w:r>
      <w:proofErr w:type="gramEnd"/>
      <w:r>
        <w:rPr>
          <w:rFonts w:ascii="Verdana" w:hAnsi="Verdana"/>
          <w:sz w:val="20"/>
          <w:szCs w:val="20"/>
        </w:rPr>
        <w:t xml:space="preserve"> ter qualquer ligação com a Emissora que o impeça de exercer suas funções;</w:t>
      </w:r>
    </w:p>
    <w:p>
      <w:pPr>
        <w:pStyle w:val="PargrafodaLista"/>
        <w:spacing w:line="320" w:lineRule="exact"/>
        <w:ind w:left="1701" w:hanging="850"/>
        <w:jc w:val="both"/>
        <w:rPr>
          <w:rFonts w:ascii="Verdana" w:hAnsi="Verdana"/>
          <w:sz w:val="20"/>
          <w:szCs w:val="20"/>
        </w:rPr>
      </w:pPr>
      <w:bookmarkStart w:id="265" w:name="_DV_M308"/>
      <w:bookmarkStart w:id="266" w:name="_DV_M309"/>
      <w:bookmarkEnd w:id="265"/>
      <w:bookmarkEnd w:id="266"/>
    </w:p>
    <w:p>
      <w:pPr>
        <w:pStyle w:val="PargrafodaLista"/>
        <w:numPr>
          <w:ilvl w:val="2"/>
          <w:numId w:val="60"/>
        </w:numPr>
        <w:spacing w:line="320" w:lineRule="exact"/>
        <w:ind w:left="1701" w:hanging="850"/>
        <w:jc w:val="both"/>
        <w:rPr>
          <w:rFonts w:ascii="Verdana" w:hAnsi="Verdana"/>
          <w:sz w:val="20"/>
          <w:szCs w:val="20"/>
        </w:rPr>
      </w:pPr>
      <w:proofErr w:type="gramStart"/>
      <w:r>
        <w:rPr>
          <w:rFonts w:ascii="Verdana" w:hAnsi="Verdana"/>
          <w:sz w:val="20"/>
          <w:szCs w:val="20"/>
        </w:rPr>
        <w:t>estar</w:t>
      </w:r>
      <w:proofErr w:type="gramEnd"/>
      <w:r>
        <w:rPr>
          <w:rFonts w:ascii="Verdana" w:hAnsi="Verdana"/>
          <w:sz w:val="20"/>
          <w:szCs w:val="20"/>
        </w:rPr>
        <w:t xml:space="preserve"> devidamente autorizado a celebrar esta Escritura e a cumprir com suas obrigações aqui previstas, tendo sido satisfeitos todos os requisitos legais e estatutários necessários para tanto;</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7" w:name="_DV_X471"/>
      <w:bookmarkStart w:id="268" w:name="_DV_C422"/>
      <w:proofErr w:type="gramStart"/>
      <w:r>
        <w:rPr>
          <w:rFonts w:ascii="Verdana" w:hAnsi="Verdana"/>
          <w:sz w:val="20"/>
          <w:szCs w:val="20"/>
        </w:rPr>
        <w:t>não</w:t>
      </w:r>
      <w:proofErr w:type="gramEnd"/>
      <w:r>
        <w:rPr>
          <w:rFonts w:ascii="Verdana" w:hAnsi="Verdana"/>
          <w:sz w:val="20"/>
          <w:szCs w:val="20"/>
        </w:rPr>
        <w:t xml:space="preserve"> se encontrar em nenhuma das situações de conflito de interesse previstas no artigo 6º da Instrução CVM 583;</w:t>
      </w:r>
      <w:bookmarkEnd w:id="267"/>
      <w:bookmarkEnd w:id="268"/>
      <w:r>
        <w:rPr>
          <w:rFonts w:ascii="Verdana" w:hAnsi="Verdana"/>
          <w:sz w:val="20"/>
          <w:szCs w:val="20"/>
        </w:rPr>
        <w:t xml:space="preserve"> </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9" w:name="_DV_C423"/>
      <w:proofErr w:type="gramStart"/>
      <w:r>
        <w:rPr>
          <w:rFonts w:ascii="Verdana" w:hAnsi="Verdana"/>
          <w:sz w:val="20"/>
          <w:szCs w:val="20"/>
        </w:rPr>
        <w:t>estar</w:t>
      </w:r>
      <w:proofErr w:type="gramEnd"/>
      <w:r>
        <w:rPr>
          <w:rFonts w:ascii="Verdana" w:hAnsi="Verdana"/>
          <w:sz w:val="20"/>
          <w:szCs w:val="20"/>
        </w:rPr>
        <w:t xml:space="preserve"> devidamente qualificado a exercer as atividades de agente fiduciário, nos termos da regulamentação aplicável vigente;</w:t>
      </w:r>
      <w:bookmarkEnd w:id="269"/>
      <w:r>
        <w:rPr>
          <w:rFonts w:ascii="Verdana" w:hAnsi="Verdana"/>
          <w:sz w:val="20"/>
          <w:szCs w:val="20"/>
        </w:rPr>
        <w:t xml:space="preserve"> </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0" w:name="_DV_C424"/>
      <w:proofErr w:type="gramStart"/>
      <w:r>
        <w:rPr>
          <w:rFonts w:ascii="Verdana" w:hAnsi="Verdana"/>
          <w:sz w:val="20"/>
          <w:szCs w:val="20"/>
        </w:rPr>
        <w:t>que</w:t>
      </w:r>
      <w:proofErr w:type="gramEnd"/>
      <w:r>
        <w:rPr>
          <w:rFonts w:ascii="Verdana" w:hAnsi="Verdana"/>
          <w:sz w:val="20"/>
          <w:szCs w:val="20"/>
        </w:rPr>
        <w:t xml:space="preserve"> </w:t>
      </w:r>
      <w:bookmarkStart w:id="271" w:name="_DV_X465"/>
      <w:bookmarkStart w:id="272" w:name="_DV_C425"/>
      <w:bookmarkEnd w:id="270"/>
      <w:r>
        <w:rPr>
          <w:rFonts w:ascii="Verdana" w:hAnsi="Verdana"/>
          <w:sz w:val="20"/>
          <w:szCs w:val="20"/>
        </w:rPr>
        <w:t>esta Escritura constitui uma obrigação legal, válida</w:t>
      </w:r>
      <w:bookmarkStart w:id="273" w:name="_DV_C426"/>
      <w:bookmarkEnd w:id="271"/>
      <w:bookmarkEnd w:id="272"/>
      <w:r>
        <w:rPr>
          <w:rFonts w:ascii="Verdana" w:hAnsi="Verdana"/>
          <w:sz w:val="20"/>
          <w:szCs w:val="20"/>
        </w:rPr>
        <w:t>, vinculativa e eficaz</w:t>
      </w:r>
      <w:bookmarkStart w:id="274" w:name="_DV_X467"/>
      <w:bookmarkStart w:id="275" w:name="_DV_C427"/>
      <w:bookmarkEnd w:id="273"/>
      <w:r>
        <w:rPr>
          <w:rFonts w:ascii="Verdana" w:hAnsi="Verdana"/>
          <w:sz w:val="20"/>
          <w:szCs w:val="20"/>
        </w:rPr>
        <w:t xml:space="preserve"> do Agente Fiduciário, exequível de acordo com os seus termos e condições;</w:t>
      </w:r>
      <w:bookmarkEnd w:id="274"/>
      <w:bookmarkEnd w:id="275"/>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6" w:name="_DV_M310"/>
      <w:bookmarkEnd w:id="276"/>
      <w:proofErr w:type="gramStart"/>
      <w:r>
        <w:rPr>
          <w:rFonts w:ascii="Verdana" w:hAnsi="Verdana"/>
          <w:sz w:val="20"/>
          <w:szCs w:val="20"/>
        </w:rPr>
        <w:lastRenderedPageBreak/>
        <w:t>que</w:t>
      </w:r>
      <w:proofErr w:type="gramEnd"/>
      <w:r>
        <w:rPr>
          <w:rFonts w:ascii="Verdana" w:hAnsi="Verdana"/>
          <w:sz w:val="20"/>
          <w:szCs w:val="20"/>
        </w:rPr>
        <w:t xml:space="preserve"> a celebração desta Escritura e o cumprimento de suas obrigações aqui previstas não infringem qualquer obrigação anteriormente assumida pelo Agente Fiduciário; </w:t>
      </w:r>
    </w:p>
    <w:p>
      <w:pPr>
        <w:pStyle w:val="PargrafodaLista"/>
        <w:spacing w:line="320" w:lineRule="exact"/>
        <w:ind w:left="1701" w:hanging="850"/>
        <w:jc w:val="both"/>
        <w:rPr>
          <w:rFonts w:ascii="Verdana" w:hAnsi="Verdana"/>
          <w:sz w:val="20"/>
          <w:szCs w:val="20"/>
        </w:rPr>
      </w:pPr>
      <w:bookmarkStart w:id="277" w:name="_DV_M313"/>
      <w:bookmarkEnd w:id="277"/>
    </w:p>
    <w:p>
      <w:pPr>
        <w:pStyle w:val="PargrafodaLista"/>
        <w:numPr>
          <w:ilvl w:val="2"/>
          <w:numId w:val="60"/>
        </w:numPr>
        <w:spacing w:line="320" w:lineRule="exact"/>
        <w:ind w:left="1701" w:hanging="850"/>
        <w:jc w:val="both"/>
        <w:rPr>
          <w:rFonts w:ascii="Verdana" w:hAnsi="Verdana"/>
          <w:sz w:val="20"/>
          <w:szCs w:val="20"/>
        </w:rPr>
      </w:pPr>
      <w:proofErr w:type="gramStart"/>
      <w:r>
        <w:rPr>
          <w:rFonts w:ascii="Verdana" w:hAnsi="Verdana"/>
          <w:sz w:val="20"/>
          <w:szCs w:val="20"/>
        </w:rPr>
        <w:t>que</w:t>
      </w:r>
      <w:proofErr w:type="gramEnd"/>
      <w:r>
        <w:rPr>
          <w:rFonts w:ascii="Verdana" w:hAnsi="Verdana"/>
          <w:sz w:val="20"/>
          <w:szCs w:val="20"/>
        </w:rPr>
        <w:t xml:space="preserve"> verificou a veracidade e a consistência das informações contidas </w:t>
      </w:r>
      <w:proofErr w:type="spellStart"/>
      <w:r>
        <w:rPr>
          <w:rFonts w:ascii="Verdana" w:hAnsi="Verdana"/>
          <w:sz w:val="20"/>
          <w:szCs w:val="20"/>
        </w:rPr>
        <w:t>nesta</w:t>
      </w:r>
      <w:proofErr w:type="spellEnd"/>
      <w:r>
        <w:rPr>
          <w:rFonts w:ascii="Verdana" w:hAnsi="Verdana"/>
          <w:sz w:val="20"/>
          <w:szCs w:val="20"/>
        </w:rPr>
        <w:t xml:space="preserve"> Escritura, na Data de Emissão, baseado nas informações prestadas pela Emissora, diligenciando no sentido de que fossem sanadas as omissões, falhas ou defeitos de que tivesse conhecimento;</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proofErr w:type="gramStart"/>
      <w:r>
        <w:rPr>
          <w:rFonts w:ascii="Verdana" w:hAnsi="Verdana"/>
          <w:sz w:val="20"/>
          <w:szCs w:val="20"/>
        </w:rPr>
        <w:t>que</w:t>
      </w:r>
      <w:proofErr w:type="gramEnd"/>
      <w:r>
        <w:rPr>
          <w:rFonts w:ascii="Verdana" w:hAnsi="Verdana"/>
          <w:sz w:val="20"/>
          <w:szCs w:val="20"/>
        </w:rPr>
        <w:t xml:space="preserv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proofErr w:type="gramStart"/>
      <w:r>
        <w:rPr>
          <w:rFonts w:ascii="Verdana" w:hAnsi="Verdana"/>
          <w:sz w:val="20"/>
          <w:szCs w:val="20"/>
        </w:rPr>
        <w:t>que</w:t>
      </w:r>
      <w:proofErr w:type="gramEnd"/>
      <w:r>
        <w:rPr>
          <w:rFonts w:ascii="Verdana" w:hAnsi="Verdana"/>
          <w:sz w:val="20"/>
          <w:szCs w:val="20"/>
        </w:rPr>
        <w:t xml:space="preserve"> cumpre em todos os aspectos materiais todas as leis, regulamentos, normas administrativas e determinações dos órgãos governamentais, autarquias ou tribunais, aplicáveis à condução de seus negócios; e</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proofErr w:type="gramStart"/>
      <w:r>
        <w:rPr>
          <w:rFonts w:ascii="Verdana" w:hAnsi="Verdana"/>
          <w:sz w:val="20"/>
          <w:szCs w:val="20"/>
        </w:rPr>
        <w:t>que</w:t>
      </w:r>
      <w:proofErr w:type="gramEnd"/>
      <w:r>
        <w:rPr>
          <w:rFonts w:ascii="Verdana" w:hAnsi="Verdana"/>
          <w:sz w:val="20"/>
          <w:szCs w:val="20"/>
        </w:rPr>
        <w:t xml:space="preserve"> assegurará tratamento equitativo a todos os debenturistas das emissões descritas na Cláusula 9.1.1 acima. </w:t>
      </w:r>
    </w:p>
    <w:p>
      <w:pPr>
        <w:pStyle w:val="PargrafodaLista"/>
        <w:spacing w:line="320" w:lineRule="exact"/>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78" w:name="_DV_M314"/>
      <w:bookmarkStart w:id="279" w:name="_DV_M315"/>
      <w:bookmarkEnd w:id="278"/>
      <w:bookmarkEnd w:id="279"/>
      <w:r>
        <w:rPr>
          <w:rFonts w:ascii="Verdana" w:hAnsi="Verdana"/>
          <w:i/>
          <w:sz w:val="20"/>
          <w:szCs w:val="20"/>
          <w:u w:val="single"/>
        </w:rPr>
        <w:t>Substituição</w:t>
      </w:r>
      <w:r>
        <w:rPr>
          <w:rFonts w:ascii="Verdana" w:hAnsi="Verdana"/>
          <w:sz w:val="20"/>
          <w:szCs w:val="20"/>
        </w:rPr>
        <w:t xml:space="preserve">. </w:t>
      </w:r>
      <w:bookmarkStart w:id="280" w:name="_DV_M316"/>
      <w:bookmarkEnd w:id="280"/>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w:t>
      </w:r>
      <w:r>
        <w:rPr>
          <w:rFonts w:ascii="Verdana" w:hAnsi="Verdana"/>
          <w:sz w:val="20"/>
          <w:szCs w:val="20"/>
        </w:rPr>
        <w:lastRenderedPageBreak/>
        <w:t xml:space="preserve">enquanto não se consumar o processo de escolha do novo Agente Fiduciário, nos termos do artigo 7º da Instrução CVM 583. </w:t>
      </w:r>
    </w:p>
    <w:p>
      <w:pPr>
        <w:spacing w:after="0" w:line="320" w:lineRule="exact"/>
        <w:ind w:left="709"/>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Pr>
          <w:rFonts w:ascii="Verdana" w:hAnsi="Verdana"/>
          <w:sz w:val="20"/>
          <w:szCs w:val="20"/>
        </w:rPr>
        <w:t>assuma</w:t>
      </w:r>
      <w:proofErr w:type="spellEnd"/>
      <w:r>
        <w:rPr>
          <w:rFonts w:ascii="Verdana" w:hAnsi="Verdana"/>
          <w:sz w:val="20"/>
          <w:szCs w:val="20"/>
        </w:rPr>
        <w:t xml:space="preserve"> efetivamente as suas funções, o que deverá ocorrer, necessariamente, em até 30 (trinta) dias contados da data da apresentação da renúncia do Agente Fiduciário. </w:t>
      </w:r>
      <w:bookmarkStart w:id="281" w:name="_DV_M317"/>
      <w:bookmarkEnd w:id="281"/>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82" w:name="_DV_M318"/>
      <w:bookmarkEnd w:id="282"/>
    </w:p>
    <w:p>
      <w:pPr>
        <w:pStyle w:val="PargrafodaLista"/>
        <w:spacing w:line="320" w:lineRule="exact"/>
        <w:ind w:left="851" w:hanging="851"/>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pPr>
        <w:pStyle w:val="PargrafodaLista"/>
        <w:spacing w:line="320" w:lineRule="exact"/>
        <w:ind w:left="1080"/>
        <w:jc w:val="both"/>
        <w:rPr>
          <w:rFonts w:ascii="Verdana" w:hAnsi="Verdana"/>
          <w:sz w:val="20"/>
          <w:szCs w:val="20"/>
        </w:rPr>
      </w:pPr>
    </w:p>
    <w:p>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Pr>
          <w:rFonts w:ascii="Verdana" w:hAnsi="Verdana"/>
          <w:sz w:val="20"/>
          <w:szCs w:val="20"/>
        </w:rPr>
        <w:t>ii</w:t>
      </w:r>
      <w:proofErr w:type="spellEnd"/>
      <w:r>
        <w:rPr>
          <w:rFonts w:ascii="Verdana" w:hAnsi="Verdana"/>
          <w:sz w:val="20"/>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83" w:name="_DV_M319"/>
      <w:bookmarkEnd w:id="283"/>
    </w:p>
    <w:p>
      <w:pPr>
        <w:pStyle w:val="PargrafodaLista"/>
        <w:spacing w:line="320" w:lineRule="exact"/>
        <w:ind w:left="1418" w:hanging="709"/>
        <w:jc w:val="both"/>
        <w:rPr>
          <w:rFonts w:ascii="Verdana" w:hAnsi="Verdana"/>
          <w:sz w:val="20"/>
          <w:szCs w:val="20"/>
        </w:rPr>
      </w:pPr>
    </w:p>
    <w:p>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lastRenderedPageBreak/>
        <w:t xml:space="preserve">A substituição do Agente Fiduciário deverá ser objeto de aditamento a esta Escritura, devendo o mesmo ser arquivado na </w:t>
      </w:r>
      <w:r>
        <w:rPr>
          <w:rStyle w:val="nfase"/>
          <w:rFonts w:ascii="Verdana" w:hAnsi="Verdana"/>
          <w:i w:val="0"/>
          <w:sz w:val="20"/>
          <w:szCs w:val="20"/>
        </w:rPr>
        <w:t>JUCEPAR</w:t>
      </w:r>
      <w:r>
        <w:rPr>
          <w:rFonts w:ascii="Verdana" w:hAnsi="Verdana"/>
          <w:sz w:val="20"/>
          <w:szCs w:val="20"/>
        </w:rPr>
        <w:t>.</w:t>
      </w:r>
    </w:p>
    <w:p>
      <w:pPr>
        <w:pStyle w:val="PargrafodaLista"/>
        <w:spacing w:line="320" w:lineRule="exact"/>
        <w:ind w:left="108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84" w:name="_DV_M320"/>
      <w:bookmarkEnd w:id="284"/>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85" w:name="_DV_M321"/>
      <w:bookmarkStart w:id="286" w:name="_Ref314580857"/>
      <w:bookmarkEnd w:id="285"/>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proofErr w:type="gramStart"/>
      <w:r>
        <w:rPr>
          <w:rFonts w:ascii="Verdana" w:hAnsi="Verdana"/>
          <w:i/>
          <w:sz w:val="20"/>
          <w:szCs w:val="20"/>
        </w:rPr>
        <w:t>pro</w:t>
      </w:r>
      <w:proofErr w:type="gramEnd"/>
      <w:r>
        <w:rPr>
          <w:rFonts w:ascii="Verdana" w:hAnsi="Verdana"/>
          <w:i/>
          <w:sz w:val="20"/>
          <w:szCs w:val="20"/>
        </w:rPr>
        <w:t xml:space="preserve"> rata </w:t>
      </w:r>
      <w:proofErr w:type="spellStart"/>
      <w:r>
        <w:rPr>
          <w:rFonts w:ascii="Verdana" w:hAnsi="Verdana"/>
          <w:i/>
          <w:sz w:val="20"/>
          <w:szCs w:val="20"/>
        </w:rPr>
        <w:t>temporis</w:t>
      </w:r>
      <w:proofErr w:type="spellEnd"/>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87" w:name="_DV_M322"/>
      <w:bookmarkEnd w:id="286"/>
      <w:bookmarkEnd w:id="287"/>
    </w:p>
    <w:p>
      <w:pPr>
        <w:pStyle w:val="PargrafodaLista"/>
        <w:spacing w:line="320" w:lineRule="exact"/>
        <w:ind w:left="851" w:hanging="851"/>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Aplicam-se às hipóteses de substituição do Agente Fiduciário as normas e preceitos a respeito baixados por </w:t>
      </w:r>
      <w:proofErr w:type="gramStart"/>
      <w:r>
        <w:rPr>
          <w:rFonts w:ascii="Verdana" w:hAnsi="Verdana"/>
          <w:sz w:val="20"/>
          <w:szCs w:val="20"/>
        </w:rPr>
        <w:t>ato(</w:t>
      </w:r>
      <w:proofErr w:type="gramEnd"/>
      <w:r>
        <w:rPr>
          <w:rFonts w:ascii="Verdana" w:hAnsi="Verdana"/>
          <w:sz w:val="20"/>
          <w:szCs w:val="20"/>
        </w:rPr>
        <w:t>s) da CVM.</w:t>
      </w:r>
    </w:p>
    <w:p>
      <w:pPr>
        <w:spacing w:after="0" w:line="320" w:lineRule="exact"/>
        <w:ind w:left="851" w:hanging="851"/>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88" w:name="_DV_M323"/>
      <w:bookmarkEnd w:id="288"/>
      <w:r>
        <w:rPr>
          <w:rFonts w:ascii="Verdana" w:hAnsi="Verdana"/>
          <w:i/>
          <w:sz w:val="20"/>
          <w:szCs w:val="20"/>
          <w:u w:val="single"/>
        </w:rPr>
        <w:t>Deveres</w:t>
      </w:r>
      <w:r>
        <w:rPr>
          <w:rFonts w:ascii="Verdana" w:hAnsi="Verdana"/>
          <w:sz w:val="20"/>
          <w:szCs w:val="20"/>
        </w:rPr>
        <w:t xml:space="preserve">. </w:t>
      </w:r>
      <w:bookmarkStart w:id="289" w:name="_DV_M324"/>
      <w:bookmarkStart w:id="290" w:name="_Ref312402766"/>
      <w:bookmarkEnd w:id="289"/>
      <w:r>
        <w:rPr>
          <w:rFonts w:ascii="Verdana" w:hAnsi="Verdana"/>
          <w:sz w:val="20"/>
          <w:szCs w:val="20"/>
        </w:rPr>
        <w:t>Além de outros previstos em lei, em ato normativo da CVM, em especial a Instrução CVM 583, ou nesta Escritura, constituem deveres e atribuições do Agente Fiduciário:</w:t>
      </w:r>
      <w:bookmarkEnd w:id="290"/>
    </w:p>
    <w:p>
      <w:pPr>
        <w:spacing w:after="0" w:line="320" w:lineRule="exact"/>
        <w:ind w:left="709"/>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1" w:name="_DV_M325"/>
      <w:bookmarkEnd w:id="291"/>
      <w:proofErr w:type="gramStart"/>
      <w:r>
        <w:rPr>
          <w:rFonts w:ascii="Verdana" w:hAnsi="Verdana"/>
          <w:sz w:val="20"/>
          <w:szCs w:val="20"/>
        </w:rPr>
        <w:t>exercer</w:t>
      </w:r>
      <w:proofErr w:type="gramEnd"/>
      <w:r>
        <w:rPr>
          <w:rFonts w:ascii="Verdana" w:hAnsi="Verdana"/>
          <w:sz w:val="20"/>
          <w:szCs w:val="20"/>
        </w:rPr>
        <w:t xml:space="preserve"> suas atividades com boa fé, transparência e lealdade para com os Debenturistas;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proofErr w:type="gramStart"/>
      <w:r>
        <w:rPr>
          <w:rFonts w:ascii="Verdana" w:hAnsi="Verdana"/>
          <w:sz w:val="20"/>
          <w:szCs w:val="20"/>
        </w:rPr>
        <w:t>proteger</w:t>
      </w:r>
      <w:proofErr w:type="gramEnd"/>
      <w:r>
        <w:rPr>
          <w:rFonts w:ascii="Verdana" w:hAnsi="Verdana"/>
          <w:sz w:val="20"/>
          <w:szCs w:val="20"/>
        </w:rPr>
        <w:t xml:space="preserve"> os direitos e interesses dos Debenturistas, empregando, no exercício da função, o cuidado e a diligência que todo homem ativo e probo costuma empregar na administração de seus próprios bens;</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2" w:name="_DV_M326"/>
      <w:bookmarkEnd w:id="292"/>
      <w:proofErr w:type="gramStart"/>
      <w:r>
        <w:rPr>
          <w:rFonts w:ascii="Verdana" w:hAnsi="Verdana"/>
          <w:sz w:val="20"/>
          <w:szCs w:val="20"/>
        </w:rPr>
        <w:lastRenderedPageBreak/>
        <w:t>renunciar</w:t>
      </w:r>
      <w:proofErr w:type="gramEnd"/>
      <w:r>
        <w:rPr>
          <w:rFonts w:ascii="Verdana" w:hAnsi="Verdana"/>
          <w:sz w:val="20"/>
          <w:szCs w:val="20"/>
        </w:rPr>
        <w:t xml:space="preserve"> à função, na hipótese de superveniência de conflitos de interesse ou de qualquer outra modalidade de inaptidão e realizar a imediata convocação de Assembleia Geral de Debenturistas para deliberar sobre sua substituição, nos termos da Cláusula 9.3 acima;</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3" w:name="_DV_M327"/>
      <w:bookmarkEnd w:id="293"/>
      <w:proofErr w:type="gramStart"/>
      <w:r>
        <w:rPr>
          <w:rFonts w:ascii="Verdana" w:hAnsi="Verdana"/>
          <w:sz w:val="20"/>
          <w:szCs w:val="20"/>
        </w:rPr>
        <w:t>conservar</w:t>
      </w:r>
      <w:proofErr w:type="gramEnd"/>
      <w:r>
        <w:rPr>
          <w:rFonts w:ascii="Verdana" w:hAnsi="Verdana"/>
          <w:sz w:val="20"/>
          <w:szCs w:val="20"/>
        </w:rPr>
        <w:t xml:space="preserve"> em boa guarda toda a documentação relativa ao exercício de suas funções;</w:t>
      </w:r>
    </w:p>
    <w:p>
      <w:pPr>
        <w:pStyle w:val="PargrafodaLista"/>
        <w:tabs>
          <w:tab w:val="left" w:pos="1701"/>
        </w:tabs>
        <w:spacing w:line="320" w:lineRule="exact"/>
        <w:ind w:left="1701" w:hanging="850"/>
        <w:jc w:val="both"/>
        <w:rPr>
          <w:rFonts w:ascii="Verdana" w:hAnsi="Verdana"/>
          <w:sz w:val="20"/>
          <w:szCs w:val="20"/>
        </w:rPr>
      </w:pPr>
      <w:bookmarkStart w:id="294" w:name="_DV_M328"/>
      <w:bookmarkEnd w:id="294"/>
    </w:p>
    <w:p>
      <w:pPr>
        <w:pStyle w:val="PargrafodaLista"/>
        <w:numPr>
          <w:ilvl w:val="0"/>
          <w:numId w:val="61"/>
        </w:numPr>
        <w:tabs>
          <w:tab w:val="left" w:pos="1701"/>
        </w:tabs>
        <w:spacing w:line="320" w:lineRule="exact"/>
        <w:ind w:left="1701" w:hanging="850"/>
        <w:jc w:val="both"/>
        <w:rPr>
          <w:rFonts w:ascii="Verdana" w:hAnsi="Verdana"/>
          <w:sz w:val="20"/>
          <w:szCs w:val="20"/>
        </w:rPr>
      </w:pPr>
      <w:proofErr w:type="gramStart"/>
      <w:r>
        <w:rPr>
          <w:rFonts w:ascii="Verdana" w:hAnsi="Verdana"/>
          <w:sz w:val="20"/>
          <w:szCs w:val="20"/>
        </w:rPr>
        <w:t>verificar</w:t>
      </w:r>
      <w:proofErr w:type="gramEnd"/>
      <w:r>
        <w:rPr>
          <w:rFonts w:ascii="Verdana" w:hAnsi="Verdana"/>
          <w:sz w:val="20"/>
          <w:szCs w:val="20"/>
        </w:rPr>
        <w:t xml:space="preserve">, no momento de aceitar a função, a veracidade e a consistência das demais informações contidas </w:t>
      </w:r>
      <w:proofErr w:type="spellStart"/>
      <w:r>
        <w:rPr>
          <w:rFonts w:ascii="Verdana" w:hAnsi="Verdana"/>
          <w:sz w:val="20"/>
          <w:szCs w:val="20"/>
        </w:rPr>
        <w:t>nesta</w:t>
      </w:r>
      <w:proofErr w:type="spellEnd"/>
      <w:r>
        <w:rPr>
          <w:rFonts w:ascii="Verdana" w:hAnsi="Verdana"/>
          <w:sz w:val="20"/>
          <w:szCs w:val="20"/>
        </w:rPr>
        <w:t xml:space="preserve"> Escritura, diligenciando para que sejam sanadas as omissões, falhas ou defeitos de que tenha conhecimento;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5" w:name="_DV_M329"/>
      <w:bookmarkEnd w:id="295"/>
      <w:proofErr w:type="gramStart"/>
      <w:r>
        <w:rPr>
          <w:rFonts w:ascii="Verdana" w:hAnsi="Verdana"/>
          <w:sz w:val="20"/>
          <w:szCs w:val="20"/>
        </w:rPr>
        <w:t>diligenciar</w:t>
      </w:r>
      <w:proofErr w:type="gramEnd"/>
      <w:r>
        <w:rPr>
          <w:rFonts w:ascii="Verdana" w:hAnsi="Verdana"/>
          <w:sz w:val="20"/>
          <w:szCs w:val="20"/>
        </w:rPr>
        <w:t xml:space="preserve"> junto à Emissora para que esta Escritura, bem como seus aditamentos, sejam registrados nos órgãos competentes, adotando, no caso de omissão da Emissora, as medidas eventualmente previstas em lei;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6" w:name="_DV_M330"/>
      <w:bookmarkEnd w:id="296"/>
      <w:proofErr w:type="gramStart"/>
      <w:r>
        <w:rPr>
          <w:rFonts w:ascii="Verdana" w:hAnsi="Verdana"/>
          <w:sz w:val="20"/>
          <w:szCs w:val="20"/>
        </w:rPr>
        <w:t>acompanhar</w:t>
      </w:r>
      <w:proofErr w:type="gramEnd"/>
      <w:r>
        <w:rPr>
          <w:rFonts w:ascii="Verdana" w:hAnsi="Verdana"/>
          <w:sz w:val="20"/>
          <w:szCs w:val="20"/>
        </w:rPr>
        <w:t xml:space="preserve"> a prestação das informações periódicas pela Emissora e alertar os Debenturistas, no relatório anual de que trata o inciso (</w:t>
      </w:r>
      <w:proofErr w:type="spellStart"/>
      <w:r>
        <w:rPr>
          <w:rFonts w:ascii="Verdana" w:hAnsi="Verdana"/>
          <w:sz w:val="20"/>
          <w:szCs w:val="20"/>
        </w:rPr>
        <w:t>xiii</w:t>
      </w:r>
      <w:proofErr w:type="spellEnd"/>
      <w:r>
        <w:rPr>
          <w:rFonts w:ascii="Verdana" w:hAnsi="Verdana"/>
          <w:sz w:val="20"/>
          <w:szCs w:val="20"/>
        </w:rPr>
        <w:t>) abaixo, sobre inconsistências ou omissões de que tenha conhecimento;</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7" w:name="_DV_M331"/>
      <w:bookmarkEnd w:id="297"/>
      <w:proofErr w:type="gramStart"/>
      <w:r>
        <w:rPr>
          <w:rFonts w:ascii="Verdana" w:hAnsi="Verdana"/>
          <w:sz w:val="20"/>
          <w:szCs w:val="20"/>
        </w:rPr>
        <w:t>opinar</w:t>
      </w:r>
      <w:proofErr w:type="gramEnd"/>
      <w:r>
        <w:rPr>
          <w:rFonts w:ascii="Verdana" w:hAnsi="Verdana"/>
          <w:sz w:val="20"/>
          <w:szCs w:val="20"/>
        </w:rPr>
        <w:t xml:space="preserve"> sobre a suficiência das informações prestadas nas propostas de modificações das condições das Debêntures;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8" w:name="_DV_M332"/>
      <w:bookmarkEnd w:id="298"/>
      <w:proofErr w:type="gramStart"/>
      <w:r>
        <w:rPr>
          <w:rFonts w:ascii="Verdana" w:hAnsi="Verdana"/>
          <w:sz w:val="20"/>
          <w:szCs w:val="20"/>
        </w:rPr>
        <w:t>solicitar</w:t>
      </w:r>
      <w:proofErr w:type="gramEnd"/>
      <w:r>
        <w:rPr>
          <w:rFonts w:ascii="Verdana" w:hAnsi="Verdana"/>
          <w:sz w:val="20"/>
          <w:szCs w:val="20"/>
        </w:rPr>
        <w:t>,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9" w:name="_DV_M333"/>
      <w:bookmarkEnd w:id="299"/>
      <w:proofErr w:type="gramStart"/>
      <w:r>
        <w:rPr>
          <w:rFonts w:ascii="Verdana" w:hAnsi="Verdana"/>
          <w:sz w:val="20"/>
          <w:szCs w:val="20"/>
        </w:rPr>
        <w:t>solicitar</w:t>
      </w:r>
      <w:proofErr w:type="gramEnd"/>
      <w:r>
        <w:rPr>
          <w:rFonts w:ascii="Verdana" w:hAnsi="Verdana"/>
          <w:sz w:val="20"/>
          <w:szCs w:val="20"/>
        </w:rPr>
        <w:t xml:space="preserve">, quando considerar necessário, auditoria extraordinária na Emissora, cujos custos deverão ser arcados pela Emissora;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0" w:name="_DV_M334"/>
      <w:bookmarkEnd w:id="300"/>
      <w:proofErr w:type="gramStart"/>
      <w:r>
        <w:rPr>
          <w:rFonts w:ascii="Verdana" w:hAnsi="Verdana"/>
          <w:sz w:val="20"/>
          <w:szCs w:val="20"/>
        </w:rPr>
        <w:t>convocar</w:t>
      </w:r>
      <w:proofErr w:type="gramEnd"/>
      <w:r>
        <w:rPr>
          <w:rFonts w:ascii="Verdana" w:hAnsi="Verdana"/>
          <w:sz w:val="20"/>
          <w:szCs w:val="20"/>
        </w:rPr>
        <w:t xml:space="preserve">, quando necessário, a Assembleia Geral de Debenturistas mediante anúncio publicado, pelo menos 3 (três) vezes, nos Jornais </w:t>
      </w:r>
      <w:r>
        <w:rPr>
          <w:rFonts w:ascii="Verdana" w:hAnsi="Verdana"/>
          <w:sz w:val="20"/>
          <w:szCs w:val="20"/>
        </w:rPr>
        <w:lastRenderedPageBreak/>
        <w:t>de Publicação, respeitadas outras regras relacionadas à publicação constantes da Lei das Sociedades por Ações e desta Escritura;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1" w:name="_DV_M335"/>
      <w:bookmarkEnd w:id="301"/>
      <w:proofErr w:type="gramStart"/>
      <w:r>
        <w:rPr>
          <w:rFonts w:ascii="Verdana" w:hAnsi="Verdana"/>
          <w:sz w:val="20"/>
          <w:szCs w:val="20"/>
        </w:rPr>
        <w:t>comparecer</w:t>
      </w:r>
      <w:proofErr w:type="gramEnd"/>
      <w:r>
        <w:rPr>
          <w:rFonts w:ascii="Verdana" w:hAnsi="Verdana"/>
          <w:sz w:val="20"/>
          <w:szCs w:val="20"/>
        </w:rPr>
        <w:t xml:space="preserve"> à Assembleia Geral de Debenturistas a fim de prestar as informações que lhe forem solicitadas;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2" w:name="_DV_M336"/>
      <w:bookmarkStart w:id="303" w:name="_Ref312402759"/>
      <w:bookmarkEnd w:id="302"/>
      <w:proofErr w:type="gramStart"/>
      <w:r>
        <w:rPr>
          <w:rFonts w:ascii="Verdana" w:hAnsi="Verdana"/>
          <w:sz w:val="20"/>
          <w:szCs w:val="20"/>
        </w:rPr>
        <w:t>elaborar</w:t>
      </w:r>
      <w:proofErr w:type="gramEnd"/>
      <w:r>
        <w:rPr>
          <w:rFonts w:ascii="Verdana" w:hAnsi="Verdana"/>
          <w:sz w:val="20"/>
          <w:szCs w:val="20"/>
        </w:rPr>
        <w:t xml:space="preserve">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03"/>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4" w:name="_DV_M337"/>
      <w:bookmarkEnd w:id="304"/>
      <w:proofErr w:type="gramStart"/>
      <w:r>
        <w:rPr>
          <w:rFonts w:ascii="Verdana" w:hAnsi="Verdana"/>
          <w:sz w:val="20"/>
          <w:szCs w:val="20"/>
        </w:rPr>
        <w:t>cumprimento</w:t>
      </w:r>
      <w:proofErr w:type="gramEnd"/>
      <w:r>
        <w:rPr>
          <w:rFonts w:ascii="Verdana" w:hAnsi="Verdana"/>
          <w:sz w:val="20"/>
          <w:szCs w:val="20"/>
        </w:rPr>
        <w:t xml:space="preserve"> pela Emissora das suas obrigações de prestação de informações periódicas, indicando as inconsistências ou omissões de que tenha conhecimento;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5" w:name="_DV_M338"/>
      <w:bookmarkEnd w:id="305"/>
      <w:proofErr w:type="gramStart"/>
      <w:r>
        <w:rPr>
          <w:rFonts w:ascii="Verdana" w:hAnsi="Verdana"/>
          <w:sz w:val="20"/>
          <w:szCs w:val="20"/>
        </w:rPr>
        <w:t>alterações</w:t>
      </w:r>
      <w:proofErr w:type="gramEnd"/>
      <w:r>
        <w:rPr>
          <w:rFonts w:ascii="Verdana" w:hAnsi="Verdana"/>
          <w:sz w:val="20"/>
          <w:szCs w:val="20"/>
        </w:rPr>
        <w:t xml:space="preserve"> estatutárias ocorridas no exercício social com efeitos relevantes para os Debenturistas;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6" w:name="_DV_M339"/>
      <w:bookmarkEnd w:id="306"/>
      <w:proofErr w:type="gramStart"/>
      <w:r>
        <w:rPr>
          <w:rFonts w:ascii="Verdana" w:hAnsi="Verdana"/>
          <w:sz w:val="20"/>
          <w:szCs w:val="20"/>
        </w:rPr>
        <w:t>comentários</w:t>
      </w:r>
      <w:proofErr w:type="gramEnd"/>
      <w:r>
        <w:rPr>
          <w:rFonts w:ascii="Verdana" w:hAnsi="Verdana"/>
          <w:sz w:val="20"/>
          <w:szCs w:val="20"/>
        </w:rPr>
        <w:t xml:space="preserve">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7" w:name="_DV_M340"/>
      <w:bookmarkEnd w:id="307"/>
      <w:proofErr w:type="gramStart"/>
      <w:r>
        <w:rPr>
          <w:rFonts w:ascii="Verdana" w:hAnsi="Verdana"/>
          <w:bCs/>
          <w:sz w:val="20"/>
          <w:szCs w:val="20"/>
        </w:rPr>
        <w:t>quantidade</w:t>
      </w:r>
      <w:proofErr w:type="gramEnd"/>
      <w:r>
        <w:rPr>
          <w:rFonts w:ascii="Verdana" w:hAnsi="Verdana"/>
          <w:bCs/>
          <w:sz w:val="20"/>
          <w:szCs w:val="20"/>
        </w:rPr>
        <w:t xml:space="preserve"> de Debêntures emitidas, quantidade de Debêntures em Circulação e saldo cancelado no período</w:t>
      </w:r>
      <w:r>
        <w:rPr>
          <w:rFonts w:ascii="Verdana" w:hAnsi="Verdana"/>
          <w:sz w:val="20"/>
          <w:szCs w:val="20"/>
        </w:rPr>
        <w:t>;</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8" w:name="_DV_M341"/>
      <w:bookmarkEnd w:id="308"/>
      <w:proofErr w:type="gramStart"/>
      <w:r>
        <w:rPr>
          <w:rFonts w:ascii="Verdana" w:hAnsi="Verdana"/>
          <w:sz w:val="20"/>
          <w:szCs w:val="20"/>
        </w:rPr>
        <w:t>resgate</w:t>
      </w:r>
      <w:proofErr w:type="gramEnd"/>
      <w:r>
        <w:rPr>
          <w:rFonts w:ascii="Verdana" w:hAnsi="Verdana"/>
          <w:sz w:val="20"/>
          <w:szCs w:val="20"/>
        </w:rPr>
        <w:t>, amortização, conversão, repactuação e pagamento de Juros Remuneratórios das Debêntures realizados no período;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proofErr w:type="gramStart"/>
      <w:r>
        <w:rPr>
          <w:rFonts w:ascii="Verdana" w:hAnsi="Verdana"/>
          <w:sz w:val="20"/>
          <w:szCs w:val="20"/>
        </w:rPr>
        <w:t>constituição</w:t>
      </w:r>
      <w:proofErr w:type="gramEnd"/>
      <w:r>
        <w:rPr>
          <w:rFonts w:ascii="Verdana" w:hAnsi="Verdana"/>
          <w:sz w:val="20"/>
          <w:szCs w:val="20"/>
        </w:rPr>
        <w:t xml:space="preserve"> e aplicações do fundo de amortização ou de outros tipos fundos, quando houver;</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9" w:name="_DV_M342"/>
      <w:bookmarkEnd w:id="309"/>
      <w:proofErr w:type="gramStart"/>
      <w:r>
        <w:rPr>
          <w:rFonts w:ascii="Verdana" w:hAnsi="Verdana"/>
          <w:sz w:val="20"/>
          <w:szCs w:val="20"/>
        </w:rPr>
        <w:t>destinação</w:t>
      </w:r>
      <w:proofErr w:type="gramEnd"/>
      <w:r>
        <w:rPr>
          <w:rFonts w:ascii="Verdana" w:hAnsi="Verdana"/>
          <w:sz w:val="20"/>
          <w:szCs w:val="20"/>
        </w:rPr>
        <w:t xml:space="preserve"> dos recursos captados por meio da Emissão, conforme informações prestadas pela Emissora;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0" w:name="_DV_M343"/>
      <w:bookmarkEnd w:id="310"/>
      <w:proofErr w:type="gramStart"/>
      <w:r>
        <w:rPr>
          <w:rFonts w:ascii="Verdana" w:hAnsi="Verdana"/>
          <w:sz w:val="20"/>
          <w:szCs w:val="20"/>
        </w:rPr>
        <w:t>relação</w:t>
      </w:r>
      <w:proofErr w:type="gramEnd"/>
      <w:r>
        <w:rPr>
          <w:rFonts w:ascii="Verdana" w:hAnsi="Verdana"/>
          <w:sz w:val="20"/>
          <w:szCs w:val="20"/>
        </w:rPr>
        <w:t xml:space="preserve"> dos bens e valores entregues à sua administração, quando houver;</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1" w:name="_DV_M344"/>
      <w:bookmarkEnd w:id="311"/>
      <w:proofErr w:type="gramStart"/>
      <w:r>
        <w:rPr>
          <w:rFonts w:ascii="Verdana" w:hAnsi="Verdana"/>
          <w:sz w:val="20"/>
          <w:szCs w:val="20"/>
        </w:rPr>
        <w:t>cumprimento</w:t>
      </w:r>
      <w:proofErr w:type="gramEnd"/>
      <w:r>
        <w:rPr>
          <w:rFonts w:ascii="Verdana" w:hAnsi="Verdana"/>
          <w:sz w:val="20"/>
          <w:szCs w:val="20"/>
        </w:rPr>
        <w:t xml:space="preserve"> de outras obrigações assumidas pela Emissora nesta Escritura;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Pr>
          <w:rFonts w:ascii="Verdana" w:hAnsi="Verdana"/>
          <w:sz w:val="20"/>
          <w:szCs w:val="20"/>
        </w:rPr>
        <w:t>ii</w:t>
      </w:r>
      <w:proofErr w:type="spellEnd"/>
      <w:r>
        <w:rPr>
          <w:rFonts w:ascii="Verdana" w:hAnsi="Verdana"/>
          <w:sz w:val="20"/>
          <w:szCs w:val="20"/>
        </w:rPr>
        <w:t>) valor da emissão; (</w:t>
      </w:r>
      <w:proofErr w:type="spellStart"/>
      <w:r>
        <w:rPr>
          <w:rFonts w:ascii="Verdana" w:hAnsi="Verdana"/>
          <w:sz w:val="20"/>
          <w:szCs w:val="20"/>
        </w:rPr>
        <w:t>iii</w:t>
      </w:r>
      <w:proofErr w:type="spellEnd"/>
      <w:r>
        <w:rPr>
          <w:rFonts w:ascii="Verdana" w:hAnsi="Verdana"/>
          <w:sz w:val="20"/>
          <w:szCs w:val="20"/>
        </w:rPr>
        <w:t>) quantidade de debêntures emitidas; (</w:t>
      </w:r>
      <w:proofErr w:type="spellStart"/>
      <w:r>
        <w:rPr>
          <w:rFonts w:ascii="Verdana" w:hAnsi="Verdana"/>
          <w:sz w:val="20"/>
          <w:szCs w:val="20"/>
        </w:rPr>
        <w:t>iv</w:t>
      </w:r>
      <w:proofErr w:type="spellEnd"/>
      <w:r>
        <w:rPr>
          <w:rFonts w:ascii="Verdana" w:hAnsi="Verdana"/>
          <w:sz w:val="20"/>
          <w:szCs w:val="20"/>
        </w:rPr>
        <w:t>) espécie e garantias envolvidas; (v) prazo de vencimento das debêntures e taxa de juros; e (vi) inadimplemento no período; e</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proofErr w:type="gramStart"/>
      <w:r>
        <w:rPr>
          <w:rFonts w:ascii="Verdana" w:hAnsi="Verdana"/>
          <w:sz w:val="20"/>
          <w:szCs w:val="20"/>
        </w:rPr>
        <w:t>declaração</w:t>
      </w:r>
      <w:proofErr w:type="gramEnd"/>
      <w:r>
        <w:rPr>
          <w:rFonts w:ascii="Verdana" w:hAnsi="Verdana"/>
          <w:sz w:val="20"/>
          <w:szCs w:val="20"/>
        </w:rPr>
        <w:t xml:space="preserve"> sobre a não existência de situação de conflito de interesses que impeça o Agente Fiduciário a continuar a exercer a função.</w:t>
      </w:r>
    </w:p>
    <w:p>
      <w:pPr>
        <w:pStyle w:val="PargrafodaLista"/>
        <w:spacing w:line="320" w:lineRule="exact"/>
        <w:ind w:left="72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2" w:name="_DV_M345"/>
      <w:bookmarkEnd w:id="312"/>
      <w:proofErr w:type="gramStart"/>
      <w:r>
        <w:rPr>
          <w:rFonts w:ascii="Verdana" w:hAnsi="Verdana"/>
          <w:sz w:val="20"/>
          <w:szCs w:val="20"/>
        </w:rPr>
        <w:t>divulgar</w:t>
      </w:r>
      <w:proofErr w:type="gramEnd"/>
      <w:r>
        <w:rPr>
          <w:rFonts w:ascii="Verdana" w:hAnsi="Verdana"/>
          <w:sz w:val="20"/>
          <w:szCs w:val="20"/>
        </w:rPr>
        <w:t>, em sua página na rede mundial de computadores, o relatório de que trata o inciso (</w:t>
      </w:r>
      <w:proofErr w:type="spellStart"/>
      <w:r>
        <w:rPr>
          <w:rFonts w:ascii="Verdana" w:hAnsi="Verdana"/>
          <w:sz w:val="20"/>
          <w:szCs w:val="20"/>
        </w:rPr>
        <w:t>xiii</w:t>
      </w:r>
      <w:proofErr w:type="spellEnd"/>
      <w:r>
        <w:rPr>
          <w:rFonts w:ascii="Verdana" w:hAnsi="Verdana"/>
          <w:sz w:val="20"/>
          <w:szCs w:val="20"/>
        </w:rPr>
        <w:t>)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3" w:name="_DV_M346"/>
      <w:bookmarkStart w:id="314" w:name="_DV_M347"/>
      <w:bookmarkStart w:id="315" w:name="_DV_M348"/>
      <w:bookmarkStart w:id="316" w:name="_DV_M349"/>
      <w:bookmarkStart w:id="317" w:name="_DV_M350"/>
      <w:bookmarkStart w:id="318" w:name="_DV_M351"/>
      <w:bookmarkEnd w:id="313"/>
      <w:bookmarkEnd w:id="314"/>
      <w:bookmarkEnd w:id="315"/>
      <w:bookmarkEnd w:id="316"/>
      <w:bookmarkEnd w:id="317"/>
      <w:bookmarkEnd w:id="318"/>
      <w:proofErr w:type="gramStart"/>
      <w:r>
        <w:rPr>
          <w:rFonts w:ascii="Verdana" w:hAnsi="Verdana"/>
          <w:sz w:val="20"/>
          <w:szCs w:val="20"/>
        </w:rPr>
        <w:t>enviar</w:t>
      </w:r>
      <w:proofErr w:type="gramEnd"/>
      <w:r>
        <w:rPr>
          <w:rFonts w:ascii="Verdana" w:hAnsi="Verdana"/>
          <w:sz w:val="20"/>
          <w:szCs w:val="20"/>
        </w:rPr>
        <w:t xml:space="preserve"> o relatório de que trata o inciso (</w:t>
      </w:r>
      <w:proofErr w:type="spellStart"/>
      <w:r>
        <w:rPr>
          <w:rFonts w:ascii="Verdana" w:hAnsi="Verdana"/>
          <w:sz w:val="20"/>
          <w:szCs w:val="20"/>
        </w:rPr>
        <w:t>xiii</w:t>
      </w:r>
      <w:proofErr w:type="spellEnd"/>
      <w:r>
        <w:rPr>
          <w:rFonts w:ascii="Verdana" w:hAnsi="Verdana"/>
          <w:sz w:val="20"/>
          <w:szCs w:val="20"/>
        </w:rPr>
        <w:t>) desta Cláusula 9.4 à Emissora, no mesmo prazo de que trata o inciso (</w:t>
      </w:r>
      <w:proofErr w:type="spellStart"/>
      <w:r>
        <w:rPr>
          <w:rFonts w:ascii="Verdana" w:hAnsi="Verdana"/>
          <w:sz w:val="20"/>
          <w:szCs w:val="20"/>
        </w:rPr>
        <w:t>xiv</w:t>
      </w:r>
      <w:proofErr w:type="spellEnd"/>
      <w:r>
        <w:rPr>
          <w:rFonts w:ascii="Verdana" w:hAnsi="Verdana"/>
          <w:sz w:val="20"/>
          <w:szCs w:val="20"/>
        </w:rPr>
        <w:t xml:space="preserve">) acima, para que esta o divulgue na forma prevista na regulamentação específica; </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9" w:name="_DV_M352"/>
      <w:bookmarkEnd w:id="319"/>
      <w:proofErr w:type="gramStart"/>
      <w:r>
        <w:rPr>
          <w:rFonts w:ascii="Verdana" w:hAnsi="Verdana"/>
          <w:sz w:val="20"/>
          <w:szCs w:val="20"/>
        </w:rPr>
        <w:t>manter</w:t>
      </w:r>
      <w:proofErr w:type="gramEnd"/>
      <w:r>
        <w:rPr>
          <w:rFonts w:ascii="Verdana" w:hAnsi="Verdana"/>
          <w:sz w:val="20"/>
          <w:szCs w:val="20"/>
        </w:rPr>
        <w:t xml:space="preserve"> atualizada a relação dos Debenturistas e seus endereços;</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0" w:name="_DV_M353"/>
      <w:bookmarkStart w:id="321" w:name="_DV_M354"/>
      <w:bookmarkEnd w:id="320"/>
      <w:bookmarkEnd w:id="321"/>
      <w:proofErr w:type="gramStart"/>
      <w:r>
        <w:rPr>
          <w:rFonts w:ascii="Verdana" w:hAnsi="Verdana"/>
          <w:sz w:val="20"/>
          <w:szCs w:val="20"/>
        </w:rPr>
        <w:lastRenderedPageBreak/>
        <w:t>fiscalizar</w:t>
      </w:r>
      <w:proofErr w:type="gramEnd"/>
      <w:r>
        <w:rPr>
          <w:rFonts w:ascii="Verdana" w:hAnsi="Verdana"/>
          <w:sz w:val="20"/>
          <w:szCs w:val="20"/>
        </w:rPr>
        <w:t xml:space="preserve"> o cumprimento das cláusulas constantes desta Escritura, especialmente daquelas impositivas de obrigações de fazer e de não fazer; </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2" w:name="_DV_M355"/>
      <w:bookmarkEnd w:id="322"/>
      <w:proofErr w:type="gramStart"/>
      <w:r>
        <w:rPr>
          <w:rFonts w:ascii="Verdana" w:hAnsi="Verdana"/>
          <w:sz w:val="20"/>
          <w:szCs w:val="20"/>
        </w:rPr>
        <w:t>comunicar</w:t>
      </w:r>
      <w:proofErr w:type="gramEnd"/>
      <w:r>
        <w:rPr>
          <w:rFonts w:ascii="Verdana" w:hAnsi="Verdana"/>
          <w:sz w:val="20"/>
          <w:szCs w:val="20"/>
        </w:rPr>
        <w:t xml:space="preserve">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proofErr w:type="gramStart"/>
      <w:r>
        <w:rPr>
          <w:rFonts w:ascii="Verdana" w:hAnsi="Verdana"/>
          <w:sz w:val="20"/>
          <w:szCs w:val="20"/>
        </w:rPr>
        <w:t>acompanhar</w:t>
      </w:r>
      <w:proofErr w:type="gramEnd"/>
      <w:r>
        <w:rPr>
          <w:rFonts w:ascii="Verdana" w:hAnsi="Verdana"/>
          <w:sz w:val="20"/>
          <w:szCs w:val="20"/>
        </w:rPr>
        <w:t xml:space="preserve"> diariamente o cálculo do saldo devedor das Debêntures, bem como o seu Valor Nominal Atualizado, disponibilizando-os aos Debenturistas e à Emissora em sua página na rede mundial de computadores (www.simplificpavarini.com.br);</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proofErr w:type="gramStart"/>
      <w:r>
        <w:rPr>
          <w:rFonts w:ascii="Verdana" w:hAnsi="Verdana"/>
          <w:sz w:val="20"/>
          <w:szCs w:val="20"/>
        </w:rPr>
        <w:t>acompanhar</w:t>
      </w:r>
      <w:proofErr w:type="gramEnd"/>
      <w:r>
        <w:rPr>
          <w:rFonts w:ascii="Verdana" w:hAnsi="Verdana"/>
          <w:sz w:val="20"/>
          <w:szCs w:val="20"/>
        </w:rPr>
        <w:t xml:space="preserve"> com o Banco Liquidante, em cada Data de Pagamento dos Juros Remuneratórios, o integral e pontual pagamento dos valores devidos pela Emissora aos Debenturistas, nos termos desta Escritura;</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proofErr w:type="gramStart"/>
      <w:r>
        <w:rPr>
          <w:rFonts w:ascii="Verdana" w:hAnsi="Verdana"/>
          <w:sz w:val="20"/>
          <w:szCs w:val="20"/>
        </w:rPr>
        <w:t>acompanhar</w:t>
      </w:r>
      <w:proofErr w:type="gramEnd"/>
      <w:r>
        <w:rPr>
          <w:rFonts w:ascii="Verdana" w:hAnsi="Verdana"/>
          <w:sz w:val="20"/>
          <w:szCs w:val="20"/>
        </w:rPr>
        <w:t xml:space="preserve"> a destinação dos recursos captados por meio da Emissão, de acordo com os dados obtidos junto aos administradores da Emissora;</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proofErr w:type="gramStart"/>
      <w:r>
        <w:rPr>
          <w:rFonts w:ascii="Verdana" w:hAnsi="Verdana"/>
          <w:sz w:val="20"/>
          <w:szCs w:val="20"/>
        </w:rPr>
        <w:t>divulgar</w:t>
      </w:r>
      <w:proofErr w:type="gramEnd"/>
      <w:r>
        <w:rPr>
          <w:rFonts w:ascii="Verdana" w:hAnsi="Verdana"/>
          <w:sz w:val="20"/>
          <w:szCs w:val="20"/>
        </w:rPr>
        <w:t xml:space="preserve"> as informações referidas na alínea (k) do inciso (</w:t>
      </w:r>
      <w:proofErr w:type="spellStart"/>
      <w:r>
        <w:rPr>
          <w:rFonts w:ascii="Verdana" w:hAnsi="Verdana"/>
          <w:sz w:val="20"/>
          <w:szCs w:val="20"/>
        </w:rPr>
        <w:t>xiii</w:t>
      </w:r>
      <w:proofErr w:type="spellEnd"/>
      <w:r>
        <w:rPr>
          <w:rFonts w:ascii="Verdana" w:hAnsi="Verdana"/>
          <w:sz w:val="20"/>
          <w:szCs w:val="20"/>
        </w:rPr>
        <w:t>) desta Cláusula 9.4 em sua página na rede mundial de computadores (www.simplificpavarini.com.br) tão logo delas tenha conhecimento; e</w:t>
      </w:r>
    </w:p>
    <w:p>
      <w:pPr>
        <w:pStyle w:val="PargrafodaLista"/>
        <w:spacing w:line="320" w:lineRule="exact"/>
        <w:ind w:left="1701" w:hanging="850"/>
        <w:jc w:val="both"/>
        <w:rPr>
          <w:rFonts w:ascii="Verdana" w:hAnsi="Verdana"/>
          <w:sz w:val="20"/>
          <w:szCs w:val="20"/>
        </w:rPr>
      </w:pPr>
      <w:bookmarkStart w:id="323" w:name="_DV_M356"/>
      <w:bookmarkStart w:id="324" w:name="_DV_M357"/>
      <w:bookmarkEnd w:id="323"/>
      <w:bookmarkEnd w:id="324"/>
    </w:p>
    <w:p>
      <w:pPr>
        <w:pStyle w:val="PargrafodaLista"/>
        <w:numPr>
          <w:ilvl w:val="0"/>
          <w:numId w:val="61"/>
        </w:numPr>
        <w:spacing w:line="320" w:lineRule="exact"/>
        <w:ind w:left="1701" w:hanging="850"/>
        <w:jc w:val="both"/>
        <w:rPr>
          <w:rFonts w:ascii="Verdana" w:hAnsi="Verdana"/>
          <w:sz w:val="20"/>
          <w:szCs w:val="20"/>
        </w:rPr>
      </w:pPr>
      <w:bookmarkStart w:id="325" w:name="_DV_M358"/>
      <w:bookmarkStart w:id="326" w:name="_Ref312402999"/>
      <w:bookmarkEnd w:id="325"/>
      <w:proofErr w:type="gramStart"/>
      <w:r>
        <w:rPr>
          <w:rFonts w:ascii="Verdana" w:hAnsi="Verdana"/>
          <w:sz w:val="20"/>
          <w:szCs w:val="20"/>
        </w:rPr>
        <w:t>manter</w:t>
      </w:r>
      <w:proofErr w:type="gramEnd"/>
      <w:r>
        <w:rPr>
          <w:rFonts w:ascii="Verdana" w:hAnsi="Verdana"/>
          <w:sz w:val="20"/>
          <w:szCs w:val="20"/>
        </w:rPr>
        <w:t xml:space="preserve">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pPr>
        <w:spacing w:after="0" w:line="320" w:lineRule="exact"/>
        <w:ind w:left="1844"/>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lastRenderedPageBreak/>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27" w:name="_DV_M359"/>
      <w:bookmarkStart w:id="328" w:name="_DV_M360"/>
      <w:bookmarkStart w:id="329" w:name="_DV_M361"/>
      <w:bookmarkStart w:id="330" w:name="_DV_M362"/>
      <w:bookmarkStart w:id="331" w:name="_DV_M363"/>
      <w:bookmarkEnd w:id="326"/>
      <w:bookmarkEnd w:id="327"/>
      <w:bookmarkEnd w:id="328"/>
      <w:bookmarkEnd w:id="329"/>
      <w:bookmarkEnd w:id="330"/>
      <w:bookmarkEnd w:id="331"/>
    </w:p>
    <w:p>
      <w:pPr>
        <w:spacing w:after="0" w:line="320" w:lineRule="exact"/>
        <w:ind w:left="709"/>
        <w:jc w:val="both"/>
        <w:rPr>
          <w:rFonts w:ascii="Verdana" w:hAnsi="Verdana"/>
          <w:sz w:val="20"/>
          <w:szCs w:val="20"/>
        </w:rPr>
      </w:pPr>
    </w:p>
    <w:p>
      <w:pPr>
        <w:spacing w:after="0" w:line="320" w:lineRule="exact"/>
        <w:ind w:left="851" w:hanging="851"/>
        <w:jc w:val="both"/>
        <w:rPr>
          <w:rFonts w:ascii="Verdana" w:hAnsi="Verdana" w:cs="Arial"/>
          <w:sz w:val="20"/>
          <w:szCs w:val="20"/>
        </w:rPr>
      </w:pPr>
      <w:bookmarkStart w:id="332" w:name="_DV_M365"/>
      <w:bookmarkStart w:id="333" w:name="_Ref312254968"/>
      <w:bookmarkStart w:id="334" w:name="_Ref315349283"/>
      <w:bookmarkEnd w:id="332"/>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33"/>
      <w:r>
        <w:rPr>
          <w:rFonts w:ascii="Verdana" w:hAnsi="Verdana"/>
          <w:sz w:val="20"/>
          <w:szCs w:val="20"/>
        </w:rPr>
        <w:t xml:space="preserve">. </w:t>
      </w:r>
      <w:bookmarkStart w:id="335" w:name="_DV_M366"/>
      <w:bookmarkEnd w:id="334"/>
      <w:bookmarkEnd w:id="335"/>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R$ 12.000,00 (doze mil reais), sendo primeiro pagamento devido no 5º (quinto) Dia Útil após a assinatura do primeiro Instrumento da Emissão, e as demais parcelas anuais no dia 15 (quinze) do mesmo mês da emissão da primeira fatura anos subsequentes.</w:t>
      </w:r>
    </w:p>
    <w:p>
      <w:pPr>
        <w:pStyle w:val="PargrafodaLista"/>
        <w:spacing w:line="320" w:lineRule="exact"/>
        <w:jc w:val="center"/>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w:t>
      </w:r>
      <w:proofErr w:type="spellStart"/>
      <w:r>
        <w:rPr>
          <w:rFonts w:ascii="Verdana" w:hAnsi="Verdana"/>
          <w:sz w:val="20"/>
          <w:szCs w:val="20"/>
        </w:rPr>
        <w:t>ii</w:t>
      </w:r>
      <w:proofErr w:type="spellEnd"/>
      <w:r>
        <w:rPr>
          <w:rFonts w:ascii="Verdana" w:hAnsi="Verdana"/>
          <w:sz w:val="20"/>
          <w:szCs w:val="20"/>
        </w:rPr>
        <w:t>) execução das garantias, caso sejam concedidas; (</w:t>
      </w:r>
      <w:proofErr w:type="spellStart"/>
      <w:r>
        <w:rPr>
          <w:rFonts w:ascii="Verdana" w:hAnsi="Verdana"/>
          <w:sz w:val="20"/>
          <w:szCs w:val="20"/>
        </w:rPr>
        <w:t>iii</w:t>
      </w:r>
      <w:proofErr w:type="spellEnd"/>
      <w:r>
        <w:rPr>
          <w:rFonts w:ascii="Verdana" w:hAnsi="Verdana"/>
          <w:sz w:val="20"/>
          <w:szCs w:val="20"/>
        </w:rPr>
        <w:t>) participação em reuniões formais ou virtuais com a Emissora e/ou com investidores; e (</w:t>
      </w:r>
      <w:proofErr w:type="spellStart"/>
      <w:r>
        <w:rPr>
          <w:rFonts w:ascii="Verdana" w:hAnsi="Verdana"/>
          <w:sz w:val="20"/>
          <w:szCs w:val="20"/>
        </w:rPr>
        <w:t>iv</w:t>
      </w:r>
      <w:proofErr w:type="spellEnd"/>
      <w:r>
        <w:rPr>
          <w:rFonts w:ascii="Verdana" w:hAnsi="Verdana"/>
          <w:sz w:val="20"/>
          <w:szCs w:val="20"/>
        </w:rPr>
        <w:t>)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w:t>
      </w:r>
      <w:proofErr w:type="spellStart"/>
      <w:r>
        <w:rPr>
          <w:rFonts w:ascii="Verdana" w:hAnsi="Verdana"/>
          <w:sz w:val="20"/>
          <w:szCs w:val="20"/>
        </w:rPr>
        <w:t>ii</w:t>
      </w:r>
      <w:proofErr w:type="spellEnd"/>
      <w:r>
        <w:rPr>
          <w:rFonts w:ascii="Verdana" w:hAnsi="Verdana"/>
          <w:sz w:val="20"/>
          <w:szCs w:val="20"/>
        </w:rPr>
        <w:t>) aos prazos de pagamento; (</w:t>
      </w:r>
      <w:proofErr w:type="spellStart"/>
      <w:r>
        <w:rPr>
          <w:rFonts w:ascii="Verdana" w:hAnsi="Verdana"/>
          <w:sz w:val="20"/>
          <w:szCs w:val="20"/>
        </w:rPr>
        <w:t>iii</w:t>
      </w:r>
      <w:proofErr w:type="spellEnd"/>
      <w:r>
        <w:rPr>
          <w:rFonts w:ascii="Verdana" w:hAnsi="Verdana"/>
          <w:sz w:val="20"/>
          <w:szCs w:val="20"/>
        </w:rPr>
        <w:t>) às condições relacionadas ao vencimento antecipado; e (</w:t>
      </w:r>
      <w:proofErr w:type="spellStart"/>
      <w:r>
        <w:rPr>
          <w:rFonts w:ascii="Verdana" w:hAnsi="Verdana"/>
          <w:sz w:val="20"/>
          <w:szCs w:val="20"/>
        </w:rPr>
        <w:t>iv</w:t>
      </w:r>
      <w:proofErr w:type="spellEnd"/>
      <w:r>
        <w:rPr>
          <w:rFonts w:ascii="Verdana" w:hAnsi="Verdana"/>
          <w:sz w:val="20"/>
          <w:szCs w:val="20"/>
        </w:rPr>
        <w:t>) a aditamentos à esta Escritura e/ou realização de Assembleias Gerais de Debenturistas.</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 remuneração do Agente Fiduciário será acrescida dos seguintes tributos: (i) ISS (Imposto sobre serviços de qualquer natureza); (</w:t>
      </w:r>
      <w:proofErr w:type="spellStart"/>
      <w:r>
        <w:rPr>
          <w:rFonts w:ascii="Verdana" w:hAnsi="Verdana"/>
          <w:sz w:val="20"/>
          <w:szCs w:val="20"/>
        </w:rPr>
        <w:t>ii</w:t>
      </w:r>
      <w:proofErr w:type="spellEnd"/>
      <w:r>
        <w:rPr>
          <w:rFonts w:ascii="Verdana" w:hAnsi="Verdana"/>
          <w:sz w:val="20"/>
          <w:szCs w:val="20"/>
        </w:rPr>
        <w:t>) PIS (Contribuição ao Programa de Integração Social); (</w:t>
      </w:r>
      <w:proofErr w:type="spellStart"/>
      <w:r>
        <w:rPr>
          <w:rFonts w:ascii="Verdana" w:hAnsi="Verdana"/>
          <w:sz w:val="20"/>
          <w:szCs w:val="20"/>
        </w:rPr>
        <w:t>iii</w:t>
      </w:r>
      <w:proofErr w:type="spellEnd"/>
      <w:r>
        <w:rPr>
          <w:rFonts w:ascii="Verdana" w:hAnsi="Verdana"/>
          <w:sz w:val="20"/>
          <w:szCs w:val="20"/>
        </w:rPr>
        <w:t xml:space="preserve">) COFINS (Contribuição para o </w:t>
      </w:r>
      <w:r>
        <w:rPr>
          <w:rFonts w:ascii="Verdana" w:hAnsi="Verdana"/>
          <w:sz w:val="20"/>
          <w:szCs w:val="20"/>
        </w:rPr>
        <w:lastRenderedPageBreak/>
        <w:t xml:space="preserve">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w:t>
      </w:r>
      <w:proofErr w:type="gramStart"/>
      <w:r>
        <w:rPr>
          <w:rFonts w:ascii="Verdana" w:hAnsi="Verdana"/>
          <w:sz w:val="20"/>
          <w:szCs w:val="20"/>
        </w:rPr>
        <w:t>remunerações devidos</w:t>
      </w:r>
      <w:proofErr w:type="gramEnd"/>
      <w:r>
        <w:rPr>
          <w:rFonts w:ascii="Verdana" w:hAnsi="Verdana"/>
          <w:sz w:val="20"/>
          <w:szCs w:val="20"/>
        </w:rPr>
        <w:t xml:space="preserve">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Verdana" w:hAnsi="Verdana"/>
          <w:i/>
          <w:sz w:val="20"/>
          <w:szCs w:val="20"/>
        </w:rPr>
        <w:t>pro</w:t>
      </w:r>
      <w:proofErr w:type="gramEnd"/>
      <w:r>
        <w:rPr>
          <w:rFonts w:ascii="Verdana" w:hAnsi="Verdana"/>
          <w:i/>
          <w:sz w:val="20"/>
          <w:szCs w:val="20"/>
        </w:rPr>
        <w:t xml:space="preserve"> rata die</w:t>
      </w:r>
      <w:r>
        <w:rPr>
          <w:rFonts w:ascii="Verdana" w:hAnsi="Verdana"/>
          <w:sz w:val="20"/>
          <w:szCs w:val="20"/>
        </w:rPr>
        <w:t>.</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lastRenderedPageBreak/>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pPr>
        <w:spacing w:after="0" w:line="320" w:lineRule="exact"/>
        <w:ind w:left="851" w:hanging="851"/>
        <w:jc w:val="both"/>
        <w:rPr>
          <w:rFonts w:ascii="Verdana" w:hAnsi="Verdana"/>
          <w:sz w:val="20"/>
          <w:szCs w:val="20"/>
        </w:rPr>
      </w:pPr>
    </w:p>
    <w:p>
      <w:pPr>
        <w:pStyle w:val="PargrafodaLista"/>
        <w:numPr>
          <w:ilvl w:val="1"/>
          <w:numId w:val="44"/>
        </w:numPr>
        <w:spacing w:line="320" w:lineRule="exact"/>
        <w:ind w:left="851" w:hanging="851"/>
        <w:jc w:val="both"/>
        <w:rPr>
          <w:rFonts w:ascii="Verdana" w:hAnsi="Verdana"/>
          <w:sz w:val="20"/>
          <w:szCs w:val="20"/>
        </w:rPr>
      </w:pPr>
      <w:bookmarkStart w:id="336" w:name="_DV_M367"/>
      <w:bookmarkStart w:id="337" w:name="_DV_M373"/>
      <w:bookmarkEnd w:id="336"/>
      <w:bookmarkEnd w:id="337"/>
      <w:r>
        <w:rPr>
          <w:rFonts w:ascii="Verdana" w:hAnsi="Verdana"/>
          <w:i/>
          <w:sz w:val="20"/>
          <w:szCs w:val="20"/>
          <w:u w:val="single"/>
        </w:rPr>
        <w:t>Despesas</w:t>
      </w:r>
      <w:r>
        <w:rPr>
          <w:rFonts w:ascii="Verdana" w:hAnsi="Verdana"/>
          <w:sz w:val="20"/>
          <w:szCs w:val="20"/>
        </w:rPr>
        <w:t xml:space="preserve">. </w:t>
      </w:r>
      <w:bookmarkStart w:id="338" w:name="_DV_M374"/>
      <w:bookmarkStart w:id="339" w:name="_Ref435694205"/>
      <w:bookmarkEnd w:id="338"/>
      <w:r>
        <w:rPr>
          <w:rFonts w:ascii="Verdana" w:hAnsi="Verdana"/>
          <w:sz w:val="20"/>
          <w:szCs w:val="20"/>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39"/>
      <w:r>
        <w:rPr>
          <w:rFonts w:ascii="Verdana" w:hAnsi="Verdana"/>
          <w:sz w:val="20"/>
          <w:szCs w:val="20"/>
        </w:rPr>
        <w:t xml:space="preserve"> </w:t>
      </w:r>
    </w:p>
    <w:p>
      <w:pPr>
        <w:spacing w:after="0" w:line="320" w:lineRule="exact"/>
        <w:ind w:left="709"/>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pPr>
        <w:spacing w:after="0" w:line="320" w:lineRule="exact"/>
        <w:ind w:left="709"/>
        <w:jc w:val="both"/>
        <w:rPr>
          <w:rFonts w:ascii="Verdana" w:hAnsi="Verdana"/>
          <w:sz w:val="20"/>
          <w:szCs w:val="20"/>
        </w:rPr>
      </w:pPr>
    </w:p>
    <w:p>
      <w:pPr>
        <w:pStyle w:val="Level4"/>
        <w:numPr>
          <w:ilvl w:val="3"/>
          <w:numId w:val="63"/>
        </w:numPr>
        <w:tabs>
          <w:tab w:val="clear" w:pos="2041"/>
          <w:tab w:val="num" w:pos="2268"/>
        </w:tabs>
        <w:spacing w:after="0" w:line="320" w:lineRule="exact"/>
        <w:ind w:left="1701" w:hanging="850"/>
        <w:rPr>
          <w:rFonts w:ascii="Verdana" w:hAnsi="Verdana"/>
          <w:lang w:val="pt-BR"/>
        </w:rPr>
      </w:pPr>
      <w:proofErr w:type="gramStart"/>
      <w:r>
        <w:rPr>
          <w:rFonts w:ascii="Verdana" w:hAnsi="Verdana"/>
          <w:lang w:val="pt-BR"/>
        </w:rPr>
        <w:t>publicação</w:t>
      </w:r>
      <w:proofErr w:type="gramEnd"/>
      <w:r>
        <w:rPr>
          <w:rFonts w:ascii="Verdana" w:hAnsi="Verdana"/>
          <w:lang w:val="pt-BR"/>
        </w:rPr>
        <w:t xml:space="preserve"> de relatórios, avisos e notificações, conforme previsto nesta Escritura, e outras que vierem a ser exigidas por regulamentos aplicáveis;</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proofErr w:type="gramStart"/>
      <w:r>
        <w:rPr>
          <w:rFonts w:ascii="Verdana" w:hAnsi="Verdana"/>
          <w:lang w:val="pt-BR"/>
        </w:rPr>
        <w:t>extração</w:t>
      </w:r>
      <w:proofErr w:type="gramEnd"/>
      <w:r>
        <w:rPr>
          <w:rFonts w:ascii="Verdana" w:hAnsi="Verdana"/>
          <w:lang w:val="pt-BR"/>
        </w:rPr>
        <w:t xml:space="preserve">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proofErr w:type="gramStart"/>
      <w:r>
        <w:rPr>
          <w:rFonts w:ascii="Verdana" w:hAnsi="Verdana"/>
          <w:w w:val="0"/>
          <w:lang w:val="pt-BR"/>
        </w:rPr>
        <w:t>fotocópias</w:t>
      </w:r>
      <w:proofErr w:type="gramEnd"/>
      <w:r>
        <w:rPr>
          <w:rFonts w:ascii="Verdana" w:hAnsi="Verdana"/>
          <w:w w:val="0"/>
          <w:lang w:val="pt-BR"/>
        </w:rPr>
        <w:t>, digitalizações, envio de documentos;</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proofErr w:type="gramStart"/>
      <w:r>
        <w:rPr>
          <w:rFonts w:ascii="Verdana" w:hAnsi="Verdana"/>
          <w:lang w:val="pt-BR"/>
        </w:rPr>
        <w:t>locomoções</w:t>
      </w:r>
      <w:proofErr w:type="gramEnd"/>
      <w:r>
        <w:rPr>
          <w:rFonts w:ascii="Verdana" w:hAnsi="Verdana"/>
          <w:lang w:val="pt-BR"/>
        </w:rPr>
        <w:t xml:space="preserve"> entre Estados da Federação e respectivas hospedagens, transportes e alimentação, quando necessárias ao desempenho das funções; </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proofErr w:type="gramStart"/>
      <w:r>
        <w:rPr>
          <w:rFonts w:ascii="Verdana" w:hAnsi="Verdana"/>
          <w:lang w:val="pt-BR"/>
        </w:rPr>
        <w:t>custos</w:t>
      </w:r>
      <w:proofErr w:type="gramEnd"/>
      <w:r>
        <w:rPr>
          <w:rFonts w:ascii="Verdana" w:hAnsi="Verdana"/>
          <w:lang w:val="pt-BR"/>
        </w:rPr>
        <w:t xml:space="preserve"> incorridos em contatos telefônicos relacionados à Emissão;</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proofErr w:type="gramStart"/>
      <w:r>
        <w:rPr>
          <w:rFonts w:ascii="Verdana" w:hAnsi="Verdana"/>
          <w:lang w:val="pt-BR"/>
        </w:rPr>
        <w:t>despesas</w:t>
      </w:r>
      <w:proofErr w:type="gramEnd"/>
      <w:r>
        <w:rPr>
          <w:rFonts w:ascii="Verdana" w:hAnsi="Verdana"/>
          <w:lang w:val="pt-BR"/>
        </w:rPr>
        <w:t xml:space="preserve">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pPr>
        <w:pStyle w:val="Level4"/>
        <w:numPr>
          <w:ilvl w:val="0"/>
          <w:numId w:val="0"/>
        </w:numPr>
        <w:tabs>
          <w:tab w:val="left" w:pos="720"/>
          <w:tab w:val="left" w:pos="2366"/>
        </w:tabs>
        <w:spacing w:after="0" w:line="320" w:lineRule="exact"/>
        <w:ind w:left="1701" w:hanging="850"/>
        <w:rPr>
          <w:rFonts w:ascii="Verdana" w:hAnsi="Verdana"/>
          <w:lang w:val="pt-BR"/>
        </w:rPr>
      </w:pPr>
    </w:p>
    <w:p>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proofErr w:type="gramStart"/>
      <w:r>
        <w:rPr>
          <w:rFonts w:ascii="Verdana" w:hAnsi="Verdana"/>
          <w:lang w:val="pt-BR"/>
        </w:rPr>
        <w:t>eventuais</w:t>
      </w:r>
      <w:proofErr w:type="gramEnd"/>
      <w:r>
        <w:rPr>
          <w:rFonts w:ascii="Verdana" w:hAnsi="Verdana"/>
          <w:lang w:val="pt-BR"/>
        </w:rPr>
        <w:t xml:space="preserve"> levantamentos adicionais e especiais ou periciais que vierem a ser imprescindíveis, a exclusivo critério dos Debenturistas e desde que justificados, se ocorrerem omissões e/ou obscuridades nas informações pertinentes aos estritos interesses dos Debenturistas.</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p>
    <w:p>
      <w:pPr>
        <w:spacing w:after="0"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lastRenderedPageBreak/>
        <w:t xml:space="preserve">O Agente Fiduciário fica, desde já, ciente e concorda com o risco de não ter as despesas mencionadas nas Cláusulas 9.7.2. </w:t>
      </w:r>
      <w:proofErr w:type="gramStart"/>
      <w:r>
        <w:rPr>
          <w:rFonts w:ascii="Verdana" w:hAnsi="Verdana"/>
          <w:sz w:val="20"/>
          <w:szCs w:val="20"/>
        </w:rPr>
        <w:t>e</w:t>
      </w:r>
      <w:proofErr w:type="gramEnd"/>
      <w:r>
        <w:rPr>
          <w:rFonts w:ascii="Verdana" w:hAnsi="Verdana"/>
          <w:sz w:val="20"/>
          <w:szCs w:val="20"/>
        </w:rPr>
        <w:t xml:space="preserve"> 9.7.3. </w:t>
      </w:r>
      <w:proofErr w:type="gramStart"/>
      <w:r>
        <w:rPr>
          <w:rFonts w:ascii="Verdana" w:hAnsi="Verdana"/>
          <w:sz w:val="20"/>
          <w:szCs w:val="20"/>
        </w:rPr>
        <w:t>acima</w:t>
      </w:r>
      <w:proofErr w:type="gramEnd"/>
      <w:r>
        <w:rPr>
          <w:rFonts w:ascii="Verdana" w:hAnsi="Verdana"/>
          <w:sz w:val="20"/>
          <w:szCs w:val="20"/>
        </w:rPr>
        <w:t xml:space="preserve"> reembolsadas caso não tenham sido previamente aprovadas e tenham sido realizadas em discordância com (i) critérios de bom senso e razoabilidade geralmente aceitos em relações comerciais do gênero, e (</w:t>
      </w:r>
      <w:proofErr w:type="spellStart"/>
      <w:r>
        <w:rPr>
          <w:rFonts w:ascii="Verdana" w:hAnsi="Verdana"/>
          <w:sz w:val="20"/>
          <w:szCs w:val="20"/>
        </w:rPr>
        <w:t>ii</w:t>
      </w:r>
      <w:proofErr w:type="spellEnd"/>
      <w:r>
        <w:rPr>
          <w:rFonts w:ascii="Verdana" w:hAnsi="Verdana"/>
          <w:sz w:val="20"/>
          <w:szCs w:val="20"/>
        </w:rPr>
        <w:t>) a função fiduciária que lhe é inerente.</w:t>
      </w:r>
    </w:p>
    <w:p>
      <w:pPr>
        <w:spacing w:after="0" w:line="320" w:lineRule="exact"/>
        <w:rPr>
          <w:rFonts w:ascii="Verdana" w:hAnsi="Verdana"/>
          <w:sz w:val="20"/>
          <w:szCs w:val="20"/>
        </w:rPr>
      </w:pPr>
    </w:p>
    <w:p>
      <w:pPr>
        <w:numPr>
          <w:ilvl w:val="0"/>
          <w:numId w:val="44"/>
        </w:numPr>
        <w:spacing w:after="0" w:line="320" w:lineRule="exact"/>
        <w:ind w:left="851" w:hanging="851"/>
        <w:jc w:val="both"/>
        <w:rPr>
          <w:rFonts w:ascii="Verdana" w:hAnsi="Verdana"/>
          <w:bCs/>
          <w:smallCaps/>
          <w:sz w:val="20"/>
          <w:szCs w:val="20"/>
          <w:u w:val="single"/>
        </w:rPr>
      </w:pPr>
      <w:bookmarkStart w:id="340" w:name="_DV_M383"/>
      <w:bookmarkStart w:id="341" w:name="_Toc499990378"/>
      <w:bookmarkStart w:id="342" w:name="_Ref314575655"/>
      <w:bookmarkStart w:id="343" w:name="_Ref314575658"/>
      <w:bookmarkEnd w:id="257"/>
      <w:bookmarkEnd w:id="340"/>
      <w:r>
        <w:rPr>
          <w:rFonts w:ascii="Verdana" w:hAnsi="Verdana"/>
          <w:bCs/>
          <w:smallCaps/>
          <w:sz w:val="20"/>
          <w:szCs w:val="20"/>
          <w:u w:val="single"/>
        </w:rPr>
        <w:t>Assembleia Geral de Debenturistas</w:t>
      </w:r>
      <w:bookmarkEnd w:id="341"/>
      <w:bookmarkEnd w:id="342"/>
      <w:bookmarkEnd w:id="343"/>
    </w:p>
    <w:p>
      <w:pPr>
        <w:spacing w:after="0" w:line="320" w:lineRule="exact"/>
        <w:ind w:left="709"/>
        <w:jc w:val="both"/>
        <w:rPr>
          <w:rFonts w:ascii="Verdana" w:hAnsi="Verdana"/>
          <w:sz w:val="20"/>
          <w:szCs w:val="20"/>
        </w:rPr>
      </w:pPr>
      <w:bookmarkStart w:id="344" w:name="_DV_M384"/>
      <w:bookmarkEnd w:id="344"/>
    </w:p>
    <w:p>
      <w:pPr>
        <w:pStyle w:val="Level2"/>
        <w:numPr>
          <w:ilvl w:val="1"/>
          <w:numId w:val="29"/>
        </w:numPr>
        <w:spacing w:after="0" w:line="320" w:lineRule="exact"/>
        <w:ind w:left="851" w:hanging="851"/>
        <w:rPr>
          <w:rFonts w:ascii="Verdana" w:hAnsi="Verdana"/>
          <w:szCs w:val="20"/>
          <w:lang w:val="pt-BR"/>
        </w:rPr>
      </w:pPr>
      <w:bookmarkStart w:id="345" w:name="_DV_M387"/>
      <w:bookmarkStart w:id="346" w:name="_Ref435698643"/>
      <w:bookmarkStart w:id="347" w:name="_Ref312399872"/>
      <w:bookmarkStart w:id="348" w:name="_Ref312404717"/>
      <w:bookmarkEnd w:id="345"/>
      <w:r>
        <w:rPr>
          <w:rFonts w:ascii="Verdana" w:hAnsi="Verdana" w:cs="Arial"/>
          <w:i/>
          <w:szCs w:val="20"/>
          <w:u w:val="single"/>
          <w:lang w:val="pt-BR"/>
        </w:rPr>
        <w:t>Convocação</w:t>
      </w:r>
      <w:bookmarkEnd w:id="346"/>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disposto no artigo 71 da Lei das Sociedades por Ações, a fim de deliberar sobre matéria de interesse da comunhão de Debenturistas. </w:t>
      </w:r>
    </w:p>
    <w:p>
      <w:pPr>
        <w:pStyle w:val="Level2"/>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as Assembleias Gerais de Debenturistas à qual comparecerem os titulares de todas as Debêntures em Circulação da cada Série (conforme abaixo definido), independentemente de publicações e/ou avisos. </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de cada Série, no âmbito de sua competência legal, observados os </w:t>
      </w:r>
      <w:proofErr w:type="spellStart"/>
      <w:r>
        <w:rPr>
          <w:rFonts w:ascii="Verdana" w:hAnsi="Verdana"/>
          <w:i/>
          <w:szCs w:val="20"/>
          <w:lang w:val="pt-BR"/>
        </w:rPr>
        <w:t>quoruns</w:t>
      </w:r>
      <w:proofErr w:type="spellEnd"/>
      <w:r>
        <w:rPr>
          <w:rFonts w:ascii="Verdana" w:hAnsi="Verdana"/>
          <w:i/>
          <w:szCs w:val="20"/>
          <w:lang w:val="pt-BR"/>
        </w:rPr>
        <w:t xml:space="preserve"> </w:t>
      </w:r>
      <w:r>
        <w:rPr>
          <w:rFonts w:ascii="Verdana" w:hAnsi="Verdana"/>
          <w:szCs w:val="20"/>
          <w:lang w:val="pt-BR"/>
        </w:rPr>
        <w:t xml:space="preserve">estabelecidos nesta Escritura, serão existentes, válidas e eficazes perante a Emissora e obrigarão a todos </w:t>
      </w:r>
      <w:r>
        <w:rPr>
          <w:rFonts w:ascii="Verdana" w:hAnsi="Verdana"/>
          <w:szCs w:val="20"/>
          <w:lang w:val="pt-BR"/>
        </w:rPr>
        <w:lastRenderedPageBreak/>
        <w:t>Debenturistas de cada Série, independentemente de terem comparecido à Assembleia Geral de Debenturistas de determinada Série ou do voto proferido na respectiva Assembleia Geral de Debenturistas.</w:t>
      </w:r>
    </w:p>
    <w:p>
      <w:pPr>
        <w:pStyle w:val="Level2"/>
        <w:numPr>
          <w:ilvl w:val="0"/>
          <w:numId w:val="0"/>
        </w:numPr>
        <w:spacing w:after="0" w:line="320" w:lineRule="exact"/>
        <w:ind w:left="851" w:hanging="851"/>
        <w:rPr>
          <w:rFonts w:ascii="Verdana" w:hAnsi="Verdana"/>
          <w:szCs w:val="20"/>
          <w:lang w:val="pt-BR"/>
        </w:rPr>
      </w:pPr>
    </w:p>
    <w:bookmarkEnd w:id="347"/>
    <w:bookmarkEnd w:id="348"/>
    <w:p>
      <w:pPr>
        <w:pStyle w:val="Level2"/>
        <w:numPr>
          <w:ilvl w:val="1"/>
          <w:numId w:val="29"/>
        </w:numPr>
        <w:spacing w:after="0" w:line="320" w:lineRule="exact"/>
        <w:ind w:left="851" w:hanging="851"/>
        <w:rPr>
          <w:rFonts w:ascii="Verdana" w:hAnsi="Verdana"/>
          <w:szCs w:val="20"/>
          <w:lang w:val="pt-BR"/>
        </w:rPr>
      </w:pPr>
      <w:proofErr w:type="spellStart"/>
      <w:r>
        <w:rPr>
          <w:rFonts w:ascii="Verdana" w:hAnsi="Verdana" w:cs="Arial"/>
          <w:i/>
          <w:szCs w:val="20"/>
          <w:u w:val="single"/>
          <w:lang w:val="pt-BR"/>
        </w:rPr>
        <w:t>Quorum</w:t>
      </w:r>
      <w:proofErr w:type="spellEnd"/>
      <w:r>
        <w:rPr>
          <w:rFonts w:ascii="Verdana" w:hAnsi="Verdana" w:cs="Arial"/>
          <w:i/>
          <w:szCs w:val="20"/>
          <w:u w:val="single"/>
          <w:lang w:val="pt-BR"/>
        </w:rPr>
        <w:t xml:space="preserve"> de Instalação</w:t>
      </w:r>
      <w:r>
        <w:rPr>
          <w:rFonts w:ascii="Verdana" w:hAnsi="Verdana" w:cs="Arial"/>
          <w:b/>
          <w:szCs w:val="20"/>
          <w:lang w:val="pt-BR"/>
        </w:rPr>
        <w:t>.</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da respectiva Série (conforme abaixo definido) e, em segunda convocação, com qualquer número de Debenturistas da respectiva Série, sendo que em qualquer caso, os quóruns aqui previstos serão computados por Série. </w:t>
      </w:r>
    </w:p>
    <w:p>
      <w:pPr>
        <w:pStyle w:val="Level2"/>
        <w:numPr>
          <w:ilvl w:val="0"/>
          <w:numId w:val="0"/>
        </w:numPr>
        <w:spacing w:after="0" w:line="320" w:lineRule="exact"/>
        <w:ind w:left="709"/>
        <w:rPr>
          <w:rFonts w:ascii="Verdana" w:hAnsi="Verdana"/>
          <w:szCs w:val="20"/>
          <w:lang w:val="pt-BR"/>
        </w:rPr>
      </w:pPr>
    </w:p>
    <w:p>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Para efeito da constituição de todos e quaisquer dos </w:t>
      </w:r>
      <w:proofErr w:type="spellStart"/>
      <w:r>
        <w:rPr>
          <w:rFonts w:ascii="Verdana" w:hAnsi="Verdana"/>
          <w:i/>
          <w:szCs w:val="20"/>
          <w:lang w:val="pt-BR"/>
        </w:rPr>
        <w:t>quoruns</w:t>
      </w:r>
      <w:proofErr w:type="spellEnd"/>
      <w:r>
        <w:rPr>
          <w:rFonts w:ascii="Verdana" w:hAnsi="Verdana"/>
          <w:szCs w:val="20"/>
          <w:lang w:val="pt-BR"/>
        </w:rPr>
        <w:t xml:space="preserve"> de instalação e/ou deliberação da Assembleia Geral de Debenturistas previstos nesta Escritura, consideram-se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pPr>
        <w:spacing w:after="0" w:line="320" w:lineRule="exact"/>
        <w:ind w:left="851" w:hanging="851"/>
        <w:jc w:val="both"/>
        <w:rPr>
          <w:rFonts w:ascii="Verdana" w:hAnsi="Verdana"/>
          <w:sz w:val="20"/>
          <w:szCs w:val="20"/>
        </w:rPr>
      </w:pPr>
    </w:p>
    <w:p>
      <w:pPr>
        <w:numPr>
          <w:ilvl w:val="1"/>
          <w:numId w:val="18"/>
        </w:numPr>
        <w:spacing w:after="0" w:line="320" w:lineRule="exact"/>
        <w:ind w:left="851" w:hanging="851"/>
        <w:jc w:val="both"/>
        <w:rPr>
          <w:rFonts w:ascii="Verdana" w:hAnsi="Verdana"/>
          <w:sz w:val="20"/>
          <w:szCs w:val="20"/>
        </w:rPr>
      </w:pPr>
      <w:bookmarkStart w:id="349" w:name="_DV_M389"/>
      <w:bookmarkEnd w:id="349"/>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pPr>
        <w:spacing w:after="0" w:line="320" w:lineRule="exact"/>
        <w:ind w:left="851" w:hanging="851"/>
        <w:jc w:val="both"/>
        <w:rPr>
          <w:rFonts w:ascii="Verdana" w:hAnsi="Verdana"/>
          <w:sz w:val="20"/>
          <w:szCs w:val="20"/>
        </w:rPr>
      </w:pPr>
    </w:p>
    <w:p>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w:t>
      </w:r>
      <w:proofErr w:type="gramStart"/>
      <w:r>
        <w:rPr>
          <w:rFonts w:ascii="Verdana" w:hAnsi="Verdana"/>
          <w:sz w:val="20"/>
          <w:szCs w:val="20"/>
        </w:rPr>
        <w:t>Debenturista</w:t>
      </w:r>
      <w:proofErr w:type="gramEnd"/>
      <w:r>
        <w:rPr>
          <w:rFonts w:ascii="Verdana" w:hAnsi="Verdana"/>
          <w:sz w:val="20"/>
          <w:szCs w:val="20"/>
        </w:rPr>
        <w:t xml:space="preserve"> ou não.</w:t>
      </w:r>
    </w:p>
    <w:p>
      <w:pPr>
        <w:pStyle w:val="PargrafodaLista"/>
        <w:spacing w:line="320" w:lineRule="exact"/>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bookmarkStart w:id="350" w:name="_Ref436157849"/>
      <w:r>
        <w:rPr>
          <w:rFonts w:ascii="Verdana" w:hAnsi="Verdana"/>
          <w:sz w:val="20"/>
          <w:szCs w:val="20"/>
        </w:rPr>
        <w:t>Todas as matérias submetidas à deliberação dos Debenturistas reunidos em Assembleia Geral de Debenturistas de cada uma das Séries, inclusive os casos de renúncia ou perdão temporário para as hipóteses de Eventos de Inadimplemento, estão sujeitas ao quórum de aprovação de Debenturistas da respectiva Série representando, no mínimo, (i) a maioria das Debêntures em Circulação da respectiva Série, em primeira convocação, ou (</w:t>
      </w:r>
      <w:proofErr w:type="spellStart"/>
      <w:r>
        <w:rPr>
          <w:rFonts w:ascii="Verdana" w:hAnsi="Verdana"/>
          <w:sz w:val="20"/>
          <w:szCs w:val="20"/>
        </w:rPr>
        <w:t>ii</w:t>
      </w:r>
      <w:proofErr w:type="spellEnd"/>
      <w:r>
        <w:rPr>
          <w:rFonts w:ascii="Verdana" w:hAnsi="Verdana"/>
          <w:sz w:val="20"/>
          <w:szCs w:val="20"/>
        </w:rPr>
        <w:t xml:space="preserve">) em segunda convocação, a maioria das Debêntures em Circulação da respectiva Série presentes à Assembleia Geral de Debenturistas, desde que estejam presentes </w:t>
      </w:r>
      <w:r>
        <w:rPr>
          <w:rFonts w:ascii="Verdana" w:hAnsi="Verdana"/>
          <w:sz w:val="20"/>
          <w:szCs w:val="20"/>
        </w:rPr>
        <w:lastRenderedPageBreak/>
        <w:t>Debenturistas da respectiva Série representando pelo menos 25% (vinte e cinco por cento) das Debêntures em Circulação da respectiva Série, em segunda convocação</w:t>
      </w:r>
      <w:bookmarkEnd w:id="350"/>
      <w:r>
        <w:rPr>
          <w:rFonts w:ascii="Verdana" w:hAnsi="Verdana"/>
          <w:sz w:val="20"/>
          <w:szCs w:val="20"/>
        </w:rPr>
        <w:t xml:space="preserve">.  </w:t>
      </w:r>
    </w:p>
    <w:p>
      <w:pPr>
        <w:pStyle w:val="PargrafodaLista"/>
        <w:spacing w:line="320" w:lineRule="exact"/>
        <w:ind w:left="720"/>
        <w:jc w:val="both"/>
        <w:rPr>
          <w:rFonts w:ascii="Verdana" w:hAnsi="Verdana"/>
          <w:sz w:val="20"/>
          <w:szCs w:val="20"/>
        </w:rPr>
      </w:pPr>
      <w:bookmarkStart w:id="351" w:name="_Ref436668645"/>
      <w:bookmarkStart w:id="352" w:name="_Ref436157918"/>
      <w:bookmarkStart w:id="353" w:name="_Ref449355979"/>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 xml:space="preserve">Sem prejuízo do disposto na Cláusula 10.4.1, estão sujeitos a um quórum mínimo de aprovação de 75% (setenta e cinco por cento) das Debêntures em Circulação de cada uma das Séries, em primeira ou segunda convocação, as alterações (a) dos Juros Remuneratórios da respectiva Série, (b) do prazo de vigência das Debêntures da respectiva Série; (e (c) quaisquer outras </w:t>
      </w:r>
      <w:proofErr w:type="spellStart"/>
      <w:r>
        <w:rPr>
          <w:rFonts w:ascii="Verdana" w:hAnsi="Verdana"/>
          <w:sz w:val="20"/>
          <w:szCs w:val="20"/>
        </w:rPr>
        <w:t>matérieas</w:t>
      </w:r>
      <w:proofErr w:type="spellEnd"/>
      <w:r>
        <w:rPr>
          <w:rFonts w:ascii="Verdana" w:hAnsi="Verdana"/>
          <w:sz w:val="20"/>
          <w:szCs w:val="20"/>
        </w:rPr>
        <w:t xml:space="preserve"> de interesse exclusivo da respectiva Série.</w:t>
      </w:r>
    </w:p>
    <w:p>
      <w:pPr>
        <w:pStyle w:val="PargrafodaLista"/>
        <w:spacing w:line="320" w:lineRule="exact"/>
        <w:ind w:left="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 xml:space="preserve">Adicionalmente, estão sujeitos a um quórum mínimo de aprovação de 75% (setenta e cinco por cento) das Debêntures em Circulação de cada uma das Séries, em primeira ou segunda convocação, as alterações (a) das disposições desta Cláusula 10.4.3 e da Cláusula 10.4.2. </w:t>
      </w:r>
      <w:proofErr w:type="gramStart"/>
      <w:r>
        <w:rPr>
          <w:rFonts w:ascii="Verdana" w:hAnsi="Verdana"/>
          <w:sz w:val="20"/>
          <w:szCs w:val="20"/>
        </w:rPr>
        <w:t>acima</w:t>
      </w:r>
      <w:proofErr w:type="gramEnd"/>
      <w:r>
        <w:rPr>
          <w:rFonts w:ascii="Verdana" w:hAnsi="Verdana"/>
          <w:sz w:val="20"/>
          <w:szCs w:val="20"/>
        </w:rPr>
        <w:t>; (b) de qualquer dos quóruns previstos nesta Escritura; (c) de quaisquer datas de pagamento de quaisquer valores previstos nesta Escritura; (d) das obrigações estabelecidas na Cláusula 8 acima; e (e) da redação de qualquer dos Eventos de Inadimplemento</w:t>
      </w:r>
      <w:bookmarkEnd w:id="351"/>
      <w:bookmarkEnd w:id="352"/>
      <w:r>
        <w:rPr>
          <w:rFonts w:ascii="Verdana" w:hAnsi="Verdana"/>
          <w:sz w:val="20"/>
          <w:szCs w:val="20"/>
        </w:rPr>
        <w:t>.</w:t>
      </w:r>
      <w:bookmarkEnd w:id="353"/>
      <w:r>
        <w:rPr>
          <w:rFonts w:ascii="Verdana" w:hAnsi="Verdana"/>
          <w:sz w:val="20"/>
          <w:szCs w:val="20"/>
        </w:rPr>
        <w:t xml:space="preserve"> </w:t>
      </w:r>
    </w:p>
    <w:p>
      <w:pPr>
        <w:pStyle w:val="PargrafodaLista"/>
        <w:spacing w:line="320" w:lineRule="exact"/>
        <w:ind w:left="720"/>
        <w:jc w:val="both"/>
        <w:rPr>
          <w:rFonts w:ascii="Verdana" w:hAnsi="Verdana"/>
          <w:sz w:val="20"/>
          <w:szCs w:val="20"/>
        </w:rPr>
      </w:pPr>
    </w:p>
    <w:p>
      <w:pPr>
        <w:pStyle w:val="PargrafodaLista"/>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pStyle w:val="PargrafodaLista"/>
        <w:spacing w:line="320" w:lineRule="exact"/>
        <w:ind w:left="851" w:hanging="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pPr>
        <w:pStyle w:val="PargrafodaLista"/>
        <w:spacing w:line="320" w:lineRule="exact"/>
        <w:ind w:left="851" w:hanging="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pPr>
        <w:pStyle w:val="PargrafodaLista"/>
        <w:spacing w:line="320" w:lineRule="exact"/>
        <w:rPr>
          <w:rFonts w:ascii="Verdana" w:hAnsi="Verdana"/>
          <w:i/>
          <w:sz w:val="20"/>
          <w:szCs w:val="20"/>
          <w:u w:val="single"/>
        </w:rPr>
      </w:pPr>
    </w:p>
    <w:p>
      <w:pPr>
        <w:pStyle w:val="PargrafodaLista"/>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354" w:name="_DV_M406"/>
      <w:bookmarkStart w:id="355" w:name="_Toc499990383"/>
      <w:bookmarkEnd w:id="354"/>
      <w:r>
        <w:rPr>
          <w:rFonts w:ascii="Verdana" w:hAnsi="Verdana"/>
          <w:smallCaps/>
          <w:sz w:val="20"/>
          <w:szCs w:val="20"/>
          <w:u w:val="single"/>
        </w:rPr>
        <w:lastRenderedPageBreak/>
        <w:t>Declarações</w:t>
      </w:r>
      <w:bookmarkStart w:id="356" w:name="_DV_M407"/>
      <w:bookmarkEnd w:id="355"/>
      <w:bookmarkEnd w:id="356"/>
      <w:r>
        <w:rPr>
          <w:rFonts w:ascii="Verdana" w:hAnsi="Verdana"/>
          <w:smallCaps/>
          <w:sz w:val="20"/>
          <w:szCs w:val="20"/>
          <w:u w:val="single"/>
        </w:rPr>
        <w:t xml:space="preserve"> </w:t>
      </w:r>
      <w:bookmarkStart w:id="357" w:name="_DV_C457"/>
      <w:r>
        <w:rPr>
          <w:rStyle w:val="DeltaViewInsertion"/>
          <w:rFonts w:ascii="Verdana" w:hAnsi="Verdana"/>
          <w:smallCaps/>
          <w:color w:val="auto"/>
          <w:sz w:val="20"/>
          <w:szCs w:val="20"/>
          <w:u w:val="single"/>
        </w:rPr>
        <w:t>da Emissora</w:t>
      </w:r>
      <w:bookmarkEnd w:id="357"/>
    </w:p>
    <w:p>
      <w:pPr>
        <w:pStyle w:val="PargrafodaLista"/>
        <w:spacing w:line="320" w:lineRule="exact"/>
        <w:ind w:left="851" w:hanging="851"/>
        <w:rPr>
          <w:rFonts w:ascii="Verdana" w:hAnsi="Verdana"/>
          <w:sz w:val="20"/>
          <w:szCs w:val="20"/>
        </w:rPr>
      </w:pPr>
    </w:p>
    <w:p>
      <w:pPr>
        <w:spacing w:after="0" w:line="320" w:lineRule="exact"/>
        <w:ind w:left="851" w:hanging="851"/>
        <w:jc w:val="both"/>
        <w:rPr>
          <w:rFonts w:ascii="Verdana" w:hAnsi="Verdana"/>
          <w:b/>
          <w:sz w:val="20"/>
          <w:szCs w:val="20"/>
        </w:rPr>
      </w:pPr>
      <w:bookmarkStart w:id="358" w:name="_DV_M408"/>
      <w:bookmarkStart w:id="359" w:name="_DV_M409"/>
      <w:bookmarkStart w:id="360" w:name="_Ref314580940"/>
      <w:bookmarkEnd w:id="358"/>
      <w:bookmarkEnd w:id="359"/>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0"/>
      <w:r>
        <w:rPr>
          <w:rFonts w:ascii="Verdana" w:hAnsi="Verdana"/>
          <w:sz w:val="20"/>
          <w:szCs w:val="20"/>
        </w:rPr>
        <w:t xml:space="preserve"> </w:t>
      </w:r>
    </w:p>
    <w:p>
      <w:pPr>
        <w:spacing w:after="0" w:line="320" w:lineRule="exact"/>
        <w:ind w:left="720" w:hanging="720"/>
        <w:jc w:val="both"/>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spellStart"/>
      <w:proofErr w:type="gramStart"/>
      <w:r>
        <w:rPr>
          <w:rFonts w:ascii="Verdana" w:hAnsi="Verdana"/>
          <w:lang w:val="pt-BR"/>
        </w:rPr>
        <w:t>é</w:t>
      </w:r>
      <w:proofErr w:type="spellEnd"/>
      <w:proofErr w:type="gramEnd"/>
      <w:r>
        <w:rPr>
          <w:rFonts w:ascii="Verdana" w:hAnsi="Verdana"/>
          <w:lang w:val="pt-BR"/>
        </w:rPr>
        <w:t xml:space="preserve"> sociedade por ações devidamente organizada, constituída e validamente existente segundo as leis da República Federativa do Brasil, autorizadas a desempenhar as atividades descritas no seu objeto social;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está</w:t>
      </w:r>
      <w:proofErr w:type="gramEnd"/>
      <w:r>
        <w:rPr>
          <w:rFonts w:ascii="Verdana" w:hAnsi="Verdana"/>
          <w:lang w:val="pt-BR"/>
        </w:rPr>
        <w:t xml:space="preserve">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w w:val="0"/>
          <w:lang w:val="pt-BR"/>
        </w:rPr>
        <w:t>as</w:t>
      </w:r>
      <w:proofErr w:type="gramEnd"/>
      <w:r>
        <w:rPr>
          <w:rFonts w:ascii="Verdana" w:hAnsi="Verdana"/>
          <w:w w:val="0"/>
          <w:lang w:val="pt-BR"/>
        </w:rPr>
        <w:t xml:space="preserve"> obrigações assumidas n</w:t>
      </w:r>
      <w:r>
        <w:rPr>
          <w:rFonts w:ascii="Verdana" w:hAnsi="Verdana"/>
          <w:lang w:val="pt-BR"/>
        </w:rPr>
        <w:t xml:space="preserve">esta Escritura e nos demais documentos da Oferta constituem </w:t>
      </w:r>
      <w:r>
        <w:rPr>
          <w:rFonts w:ascii="Verdana" w:hAnsi="Verdana"/>
          <w:w w:val="0"/>
          <w:lang w:val="pt-BR"/>
        </w:rPr>
        <w:t xml:space="preserve">obrigações legalmente válidas, lícitas, eficazes e vinculantes da Emissora, exequíveis </w:t>
      </w:r>
      <w:r>
        <w:rPr>
          <w:rFonts w:ascii="Verdana" w:hAnsi="Verdana"/>
          <w:lang w:val="pt-BR"/>
        </w:rPr>
        <w:t>de acordo com seus termos e condições, com força de título executivo extrajudicial nos termos do artigo 784 do Código de Processo Civil;</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a criação de qualquer hipoteca, penhor, usufruto, fideicomisso, encargo ou outro gravame, incluindo, sem limitação, </w:t>
      </w:r>
      <w:r>
        <w:rPr>
          <w:rFonts w:ascii="Verdana" w:hAnsi="Verdana"/>
          <w:lang w:val="pt-BR"/>
        </w:rPr>
        <w:lastRenderedPageBreak/>
        <w:t>qualquer equivalente sob a lei brasileira, sobre qualquer ativo ou bem da Emissora;</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as demonstrações financeiras da Emissora relativas ao exercício social encerrado em 31 de dezembro de 2018 apresentam,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normal de seus negócios e nenhuma alteração relevante no capital social ou aumento substancial do endividamento da Emissora;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w w:val="0"/>
          <w:lang w:val="pt-BR"/>
        </w:rPr>
        <w:t>não</w:t>
      </w:r>
      <w:proofErr w:type="gramEnd"/>
      <w:r>
        <w:rPr>
          <w:rFonts w:ascii="Verdana" w:hAnsi="Verdana"/>
          <w:w w:val="0"/>
          <w:lang w:val="pt-BR"/>
        </w:rPr>
        <w:t xml:space="preserve"> tem conhecimento da existência de qualquer </w:t>
      </w:r>
      <w:r>
        <w:rPr>
          <w:rFonts w:ascii="Verdana" w:hAnsi="Verdana"/>
          <w:lang w:val="pt-BR"/>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municipais necessárias ao exercício de suas atividades, exceto por aquelas autorizações e licenças que estejam (i) em processo regular de renovação, ou (</w:t>
      </w:r>
      <w:proofErr w:type="spellStart"/>
      <w:r>
        <w:rPr>
          <w:rFonts w:ascii="Verdana" w:hAnsi="Verdana"/>
          <w:lang w:val="pt-BR"/>
        </w:rPr>
        <w:t>ii</w:t>
      </w:r>
      <w:proofErr w:type="spellEnd"/>
      <w:r>
        <w:rPr>
          <w:rFonts w:ascii="Verdana" w:hAnsi="Verdana"/>
          <w:lang w:val="pt-BR"/>
        </w:rPr>
        <w:t xml:space="preserve">) sendo discutidas de boa-fé pela Emissora nas esferas administrativa e/ou judicial e cuja ausência não lhe gere um Efeito Adverso Relevante, sendo que, até a data da presente declaração, a Emissora não foi notificada acerca da </w:t>
      </w:r>
      <w:r>
        <w:rPr>
          <w:rFonts w:ascii="Verdana" w:hAnsi="Verdana"/>
          <w:lang w:val="pt-BR"/>
        </w:rPr>
        <w:lastRenderedPageBreak/>
        <w:t>revogação de qualquer das suas autorizações ou licenças cuja ausência possa lhe gerar um Efeito Adverso Relevante ou da existência de processo administrativo que tenha por objeto a revogação, suspensão ou cancelamento de qualquer delas;</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Formulário de Referência na data de divulgação do Aviso ao Mercado; (2) no melhor do seu conhecimento, 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e estão cumprindo todas as licenças, certificados, autorizações, concessões, aprovações, alvarás e permissões que lhes sejam exigidas pelas Leis Ambientais aplicáveis para conduzir seus negócios, exceto por aquelas que estejam em processo regular de renovação </w:t>
      </w:r>
      <w:r>
        <w:rPr>
          <w:rFonts w:ascii="Verdana" w:hAnsi="Verdana"/>
          <w:lang w:val="pt-BR"/>
        </w:rPr>
        <w:lastRenderedPageBreak/>
        <w:t xml:space="preserve">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(2) (I) não está em curso ou é iminente ou, até onde seja de conhecimento da Emissora ou qualquer de suas controladas, está contemplada, 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(II) nenhuma greve, desaceleração (</w:t>
      </w:r>
      <w:proofErr w:type="spellStart"/>
      <w:r>
        <w:rPr>
          <w:rFonts w:ascii="Verdana" w:hAnsi="Verdana"/>
          <w:i/>
          <w:lang w:val="pt-BR"/>
        </w:rPr>
        <w:t>slowdown</w:t>
      </w:r>
      <w:proofErr w:type="spellEnd"/>
      <w:r>
        <w:rPr>
          <w:rFonts w:ascii="Verdana" w:hAnsi="Verdana"/>
          <w:lang w:val="pt-BR"/>
        </w:rPr>
        <w:t xml:space="preserve">) ou paralisação está em curso ou, no conhecimento da Emissora, é contemplada ou iminente, contra a Emissora ou qualquer de suas controladas; (III) nenhuma disputa trabalhista relacionada aos sindicatos existe </w:t>
      </w:r>
      <w:r>
        <w:rPr>
          <w:rFonts w:ascii="Verdana" w:hAnsi="Verdana"/>
          <w:lang w:val="pt-BR"/>
        </w:rPr>
        <w:lastRenderedPageBreak/>
        <w:t xml:space="preserve">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os</w:t>
      </w:r>
      <w:proofErr w:type="gramEnd"/>
      <w:r>
        <w:rPr>
          <w:rFonts w:ascii="Verdana" w:hAnsi="Verdana"/>
          <w:lang w:val="pt-BR"/>
        </w:rPr>
        <w:t xml:space="preserve">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está</w:t>
      </w:r>
      <w:proofErr w:type="gramEnd"/>
      <w:r>
        <w:rPr>
          <w:rFonts w:ascii="Verdana" w:hAnsi="Verdana"/>
          <w:lang w:val="pt-BR"/>
        </w:rPr>
        <w:t xml:space="preserve">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w w:val="0"/>
          <w:lang w:val="pt-BR"/>
        </w:rPr>
        <w:t>os</w:t>
      </w:r>
      <w:proofErr w:type="gramEnd"/>
      <w:r>
        <w:rPr>
          <w:rFonts w:ascii="Verdana" w:hAnsi="Verdana"/>
          <w:w w:val="0"/>
          <w:lang w:val="pt-BR"/>
        </w:rPr>
        <w:t xml:space="preserve"> documentos e informações fornecidos ao Agente Fiduciário e/ou aos Debenturistas são verdadeiros, consistentes, precisos, completos, corretos e suficientes e estão atualizados até a data em que foram fornecidos </w:t>
      </w:r>
      <w:r>
        <w:rPr>
          <w:rFonts w:ascii="Verdana" w:hAnsi="Verdana"/>
          <w:lang w:val="pt-BR"/>
        </w:rPr>
        <w:t xml:space="preserve">(exceto, neste último caso, se informada a última data de atualização pela Emissora aos Coordenadores no âmbito da auditoria </w:t>
      </w:r>
      <w:r>
        <w:rPr>
          <w:rFonts w:ascii="Verdana" w:hAnsi="Verdana"/>
          <w:lang w:val="pt-BR"/>
        </w:rPr>
        <w:lastRenderedPageBreak/>
        <w:t>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361" w:name="_Hlk536142015"/>
      <w:proofErr w:type="gramStart"/>
      <w:r>
        <w:rPr>
          <w:rFonts w:ascii="Verdana" w:hAnsi="Verdana"/>
          <w:lang w:val="pt-BR"/>
        </w:rPr>
        <w:t>o</w:t>
      </w:r>
      <w:proofErr w:type="gramEnd"/>
      <w:r>
        <w:rPr>
          <w:rFonts w:ascii="Verdana" w:hAnsi="Verdana"/>
          <w:lang w:val="pt-BR"/>
        </w:rPr>
        <w:t xml:space="preserve"> Prospecto Preliminar e o Prospecto Definitivo, que incorporam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todas as informações atualizadas relevantes em relação à Emissora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não</w:t>
      </w:r>
      <w:proofErr w:type="gramEnd"/>
      <w:r>
        <w:rPr>
          <w:rFonts w:ascii="Verdana" w:hAnsi="Verdana"/>
          <w:lang w:val="pt-BR"/>
        </w:rPr>
        <w:t xml:space="preserve">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as</w:t>
      </w:r>
      <w:proofErr w:type="gramEnd"/>
      <w:r>
        <w:rPr>
          <w:rFonts w:ascii="Verdana" w:hAnsi="Verdana"/>
          <w:lang w:val="pt-BR"/>
        </w:rPr>
        <w:t xml:space="preserve"> opiniões, análises e previsões (se houver) expressas e que venham a ser expressas no Formulário de Referência em relação à Emissora são e serão dadas de boa-fé, consideradas todas as </w:t>
      </w:r>
      <w:r>
        <w:rPr>
          <w:rFonts w:ascii="Verdana" w:hAnsi="Verdana"/>
          <w:lang w:val="pt-BR"/>
        </w:rPr>
        <w:lastRenderedPageBreak/>
        <w:t>circunstâncias relevantes no contexto da Oferta e, com base em suposições razoáveis;</w:t>
      </w:r>
      <w:bookmarkEnd w:id="361"/>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inexiste</w:t>
      </w:r>
      <w:proofErr w:type="gramEnd"/>
      <w:r>
        <w:rPr>
          <w:rFonts w:ascii="Verdana" w:hAnsi="Verdana"/>
          <w:lang w:val="pt-BR"/>
        </w:rPr>
        <w:t xml:space="preserv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comunicará tal fato ao mercado, de acordo com a Instrução CVM 400 e a Instrução da CVM nº 358, de 03 de janeiro de 2002, conforme alterada;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lastRenderedPageBreak/>
        <w:t>nesta</w:t>
      </w:r>
      <w:proofErr w:type="gramEnd"/>
      <w:r>
        <w:rPr>
          <w:rFonts w:ascii="Verdana" w:hAnsi="Verdana"/>
          <w:lang w:val="pt-BR"/>
        </w:rPr>
        <w:t xml:space="preserve">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situação econômico-financeira, </w:t>
      </w:r>
      <w:proofErr w:type="spellStart"/>
      <w:r>
        <w:rPr>
          <w:rFonts w:ascii="Verdana" w:hAnsi="Verdana"/>
          <w:lang w:val="pt-BR"/>
        </w:rPr>
        <w:t>reputacional</w:t>
      </w:r>
      <w:proofErr w:type="spellEnd"/>
      <w:r>
        <w:rPr>
          <w:rFonts w:ascii="Verdana" w:hAnsi="Verdana"/>
          <w:lang w:val="pt-BR"/>
        </w:rPr>
        <w:t xml:space="preserve"> ou jurídica da Emissora em prejuízo dos Debenturistas;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não</w:t>
      </w:r>
      <w:proofErr w:type="gramEnd"/>
      <w:r>
        <w:rPr>
          <w:rFonts w:ascii="Verdana" w:hAnsi="Verdana"/>
          <w:lang w:val="pt-BR"/>
        </w:rPr>
        <w:t xml:space="preserve"> tem conhecimento de fato que impeça o Agente Fiduciário de exercer, plenamente, suas funções, nos termos da Lei das Sociedades por Ações e demais normas aplicáveis, inclusive regulamentares;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tem</w:t>
      </w:r>
      <w:proofErr w:type="gramEnd"/>
      <w:r>
        <w:rPr>
          <w:rFonts w:ascii="Verdana" w:hAnsi="Verdana"/>
          <w:lang w:val="pt-BR"/>
        </w:rPr>
        <w:t xml:space="preserve"> plena ciência e concorda integralmente com a forma de divulgação e apuração do IPCA, divulgado pelo IBGE, e que a forma de cálculo dos Juros Remuneratórios das Debêntures foi acordada por sua livre vontade, em observância ao princípio da boa-fé;</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o</w:t>
      </w:r>
      <w:proofErr w:type="gramEnd"/>
      <w:r>
        <w:rPr>
          <w:rFonts w:ascii="Verdana" w:hAnsi="Verdana"/>
          <w:lang w:val="pt-BR"/>
        </w:rPr>
        <w:t xml:space="preserve"> Projeto Malha Sul foi devidamente enquadrado nos termos da Lei </w:t>
      </w:r>
      <w:r>
        <w:rPr>
          <w:rFonts w:ascii="Verdana" w:hAnsi="Verdana" w:cs="Tahoma"/>
          <w:lang w:val="pt-BR"/>
        </w:rPr>
        <w:t xml:space="preserve">nº </w:t>
      </w:r>
      <w:r>
        <w:rPr>
          <w:rFonts w:ascii="Verdana" w:hAnsi="Verdana"/>
          <w:lang w:val="pt-BR"/>
        </w:rPr>
        <w:t>12.431 e considerado como prioritário nos termos da Portaria Malha Sul;</w:t>
      </w:r>
    </w:p>
    <w:p>
      <w:pPr>
        <w:pStyle w:val="Level4"/>
        <w:numPr>
          <w:ilvl w:val="0"/>
          <w:numId w:val="0"/>
        </w:numPr>
        <w:tabs>
          <w:tab w:val="num" w:pos="1701"/>
        </w:tabs>
        <w:spacing w:after="0" w:line="320" w:lineRule="exact"/>
        <w:ind w:left="1701" w:hanging="850"/>
        <w:contextualSpacing/>
        <w:jc w:val="right"/>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o</w:t>
      </w:r>
      <w:proofErr w:type="gramEnd"/>
      <w:r>
        <w:rPr>
          <w:rFonts w:ascii="Verdana" w:hAnsi="Verdana"/>
          <w:lang w:val="pt-BR"/>
        </w:rPr>
        <w:t xml:space="preserve"> Projeto Malha Central foi devidamente enquadrado nos termos da Lei </w:t>
      </w:r>
      <w:r>
        <w:rPr>
          <w:rFonts w:ascii="Verdana" w:hAnsi="Verdana" w:cs="Tahoma"/>
          <w:lang w:val="pt-BR"/>
        </w:rPr>
        <w:t xml:space="preserve">nº </w:t>
      </w:r>
      <w:r>
        <w:rPr>
          <w:rFonts w:ascii="Verdana" w:hAnsi="Verdana"/>
          <w:lang w:val="pt-BR"/>
        </w:rPr>
        <w:t>12.431 e considerado como prioritário nos termos da Portaria Malha Central;</w:t>
      </w:r>
    </w:p>
    <w:p>
      <w:pPr>
        <w:pStyle w:val="Level4"/>
        <w:numPr>
          <w:ilvl w:val="0"/>
          <w:numId w:val="0"/>
        </w:numPr>
        <w:spacing w:after="0" w:line="320" w:lineRule="exact"/>
        <w:ind w:left="1701"/>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a</w:t>
      </w:r>
      <w:proofErr w:type="gramEnd"/>
      <w:r>
        <w:rPr>
          <w:rFonts w:ascii="Verdana" w:hAnsi="Verdana"/>
          <w:lang w:val="pt-BR"/>
        </w:rPr>
        <w:t xml:space="preserve"> Emissora possui justo título de todos os seus bens imóveis e demais direitos e ativos por ela detidos; e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a</w:t>
      </w:r>
      <w:proofErr w:type="gramEnd"/>
      <w:r>
        <w:rPr>
          <w:rFonts w:ascii="Verdana" w:hAnsi="Verdana"/>
          <w:lang w:val="pt-BR"/>
        </w:rPr>
        <w:t xml:space="preserve"> Emissora mantém os seus bens adequadamente segurados, conforme práticas usualmente adotadas em seu segmento de atuação. </w:t>
      </w:r>
    </w:p>
    <w:p>
      <w:pPr>
        <w:spacing w:after="0" w:line="320" w:lineRule="exact"/>
        <w:ind w:left="1844"/>
        <w:jc w:val="both"/>
        <w:rPr>
          <w:rFonts w:ascii="Verdana" w:hAnsi="Verdana"/>
          <w:sz w:val="20"/>
          <w:szCs w:val="20"/>
        </w:rPr>
      </w:pPr>
    </w:p>
    <w:p>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 xml:space="preserve">A Emissora, de forma irrevogável e irretratável, se obriga a indenizar os Debenturistas e o Agente Fiduciário por todos e quaisquer prejuízos, danos diretos, </w:t>
      </w:r>
      <w:r>
        <w:rPr>
          <w:rFonts w:ascii="Verdana" w:hAnsi="Verdana" w:cs="Arial"/>
          <w:sz w:val="20"/>
          <w:szCs w:val="20"/>
        </w:rPr>
        <w:lastRenderedPageBreak/>
        <w:t>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pPr>
        <w:spacing w:after="0" w:line="320" w:lineRule="exact"/>
        <w:ind w:left="1844"/>
        <w:jc w:val="both"/>
        <w:rPr>
          <w:rFonts w:ascii="Verdana" w:hAnsi="Verdana"/>
          <w:sz w:val="20"/>
          <w:szCs w:val="20"/>
        </w:rPr>
      </w:pPr>
    </w:p>
    <w:p>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62" w:name="_DV_M415"/>
      <w:bookmarkStart w:id="363" w:name="_DV_M416"/>
      <w:bookmarkEnd w:id="362"/>
      <w:bookmarkEnd w:id="363"/>
      <w:r>
        <w:rPr>
          <w:rFonts w:ascii="Verdana" w:hAnsi="Verdana"/>
          <w:smallCaps/>
          <w:sz w:val="20"/>
          <w:szCs w:val="20"/>
          <w:u w:val="single"/>
        </w:rPr>
        <w:t>Comunicações</w:t>
      </w:r>
    </w:p>
    <w:p>
      <w:pPr>
        <w:spacing w:after="0" w:line="320" w:lineRule="exact"/>
        <w:ind w:left="709"/>
        <w:jc w:val="both"/>
        <w:rPr>
          <w:rFonts w:ascii="Verdana" w:hAnsi="Verdana"/>
          <w:smallCaps/>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64" w:name="_DV_M417"/>
      <w:bookmarkEnd w:id="364"/>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pPr>
        <w:spacing w:after="0" w:line="320" w:lineRule="exact"/>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bookmarkStart w:id="365" w:name="_DV_M418"/>
      <w:bookmarkEnd w:id="365"/>
      <w:r>
        <w:rPr>
          <w:rFonts w:ascii="Verdana" w:hAnsi="Verdana"/>
          <w:sz w:val="20"/>
          <w:szCs w:val="20"/>
        </w:rPr>
        <w:t xml:space="preserve">Para a Emissora: </w:t>
      </w:r>
    </w:p>
    <w:p>
      <w:pPr>
        <w:pStyle w:val="p3"/>
        <w:keepNext/>
        <w:keepLines/>
        <w:spacing w:line="320" w:lineRule="exact"/>
        <w:ind w:left="1701"/>
        <w:rPr>
          <w:rFonts w:ascii="Verdana" w:hAnsi="Verdana"/>
          <w:b/>
          <w:sz w:val="20"/>
        </w:rPr>
      </w:pPr>
      <w:bookmarkStart w:id="366" w:name="_DV_M419"/>
      <w:bookmarkEnd w:id="366"/>
      <w:r>
        <w:rPr>
          <w:rFonts w:ascii="Verdana" w:hAnsi="Verdana"/>
          <w:b/>
          <w:sz w:val="20"/>
        </w:rPr>
        <w:t>Rumo S.A.</w:t>
      </w:r>
    </w:p>
    <w:p>
      <w:pPr>
        <w:pStyle w:val="p3"/>
        <w:keepNext/>
        <w:keepLines/>
        <w:spacing w:line="320" w:lineRule="exact"/>
        <w:ind w:left="1701"/>
        <w:rPr>
          <w:rFonts w:ascii="Verdana" w:hAnsi="Verdana"/>
          <w:sz w:val="20"/>
        </w:rPr>
      </w:pPr>
      <w:r>
        <w:rPr>
          <w:rFonts w:ascii="Verdana" w:hAnsi="Verdana"/>
          <w:sz w:val="20"/>
        </w:rPr>
        <w:t xml:space="preserve">Rua Emílio Bertolini, nº 100, Cajuru, </w:t>
      </w:r>
    </w:p>
    <w:p>
      <w:pPr>
        <w:pStyle w:val="p3"/>
        <w:keepNext/>
        <w:keepLines/>
        <w:spacing w:line="320" w:lineRule="exact"/>
        <w:ind w:left="1701"/>
        <w:rPr>
          <w:rFonts w:ascii="Verdana" w:hAnsi="Verdana"/>
          <w:sz w:val="20"/>
        </w:rPr>
      </w:pPr>
      <w:r>
        <w:rPr>
          <w:rFonts w:ascii="Verdana" w:hAnsi="Verdana"/>
          <w:sz w:val="20"/>
        </w:rPr>
        <w:t>CEP 82920-030, Curitiba, PR</w:t>
      </w:r>
    </w:p>
    <w:p>
      <w:pPr>
        <w:pStyle w:val="p3"/>
        <w:keepNext/>
        <w:keepLines/>
        <w:spacing w:line="320" w:lineRule="exact"/>
        <w:ind w:left="1701"/>
        <w:rPr>
          <w:rFonts w:ascii="Verdana" w:hAnsi="Verdana"/>
          <w:sz w:val="20"/>
        </w:rPr>
      </w:pPr>
      <w:proofErr w:type="gramStart"/>
      <w:r>
        <w:rPr>
          <w:rFonts w:ascii="Verdana" w:hAnsi="Verdana"/>
          <w:sz w:val="20"/>
        </w:rPr>
        <w:t>At.:</w:t>
      </w:r>
      <w:proofErr w:type="gramEnd"/>
      <w:r>
        <w:rPr>
          <w:rFonts w:ascii="Verdana" w:hAnsi="Verdana"/>
          <w:sz w:val="20"/>
        </w:rPr>
        <w:t xml:space="preserve"> Gabriel Leite</w:t>
      </w:r>
    </w:p>
    <w:p>
      <w:pPr>
        <w:pStyle w:val="p3"/>
        <w:keepNext/>
        <w:keepLines/>
        <w:tabs>
          <w:tab w:val="left" w:pos="4395"/>
        </w:tabs>
        <w:spacing w:line="320" w:lineRule="exact"/>
        <w:ind w:left="1701"/>
        <w:rPr>
          <w:rFonts w:ascii="Verdana" w:hAnsi="Verdana"/>
          <w:sz w:val="20"/>
        </w:rPr>
      </w:pPr>
      <w:proofErr w:type="spellStart"/>
      <w:r>
        <w:rPr>
          <w:rFonts w:ascii="Verdana" w:hAnsi="Verdana"/>
          <w:sz w:val="20"/>
        </w:rPr>
        <w:t>Tel</w:t>
      </w:r>
      <w:proofErr w:type="spellEnd"/>
      <w:r>
        <w:rPr>
          <w:rFonts w:ascii="Verdana" w:hAnsi="Verdana"/>
          <w:sz w:val="20"/>
        </w:rPr>
        <w:t>: (41) 2141-7520</w:t>
      </w:r>
    </w:p>
    <w:p>
      <w:pPr>
        <w:keepNext/>
        <w:keepLines/>
        <w:spacing w:after="0" w:line="320" w:lineRule="exact"/>
        <w:ind w:left="1701"/>
        <w:rPr>
          <w:rFonts w:ascii="Verdana" w:hAnsi="Verdana"/>
          <w:sz w:val="20"/>
          <w:szCs w:val="20"/>
        </w:rPr>
      </w:pPr>
      <w:r>
        <w:rPr>
          <w:rFonts w:ascii="Verdana" w:eastAsia="Times New Roman" w:hAnsi="Verdana" w:cs="Times New Roman"/>
          <w:sz w:val="20"/>
          <w:szCs w:val="20"/>
        </w:rPr>
        <w:t xml:space="preserve">E-mail: </w:t>
      </w:r>
      <w:r>
        <w:rPr>
          <w:rFonts w:ascii="Verdana" w:hAnsi="Verdana"/>
          <w:sz w:val="20"/>
          <w:szCs w:val="20"/>
        </w:rPr>
        <w:t>gabriel.</w:t>
      </w:r>
      <w:r>
        <w:t>l</w:t>
      </w:r>
      <w:r>
        <w:rPr>
          <w:rFonts w:ascii="Verdana" w:hAnsi="Verdana"/>
          <w:sz w:val="20"/>
          <w:szCs w:val="20"/>
        </w:rPr>
        <w:t>eite@rumolog.com</w:t>
      </w:r>
      <w:r>
        <w:rPr>
          <w:rFonts w:ascii="Verdana" w:eastAsia="Times New Roman" w:hAnsi="Verdana" w:cs="Times New Roman"/>
          <w:sz w:val="20"/>
          <w:szCs w:val="20"/>
        </w:rPr>
        <w:t xml:space="preserve">; </w:t>
      </w:r>
      <w:r>
        <w:rPr>
          <w:rFonts w:ascii="Verdana" w:hAnsi="Verdana"/>
          <w:sz w:val="20"/>
          <w:szCs w:val="20"/>
        </w:rPr>
        <w:t>tesouraria@rumolog.com</w:t>
      </w:r>
      <w:r>
        <w:rPr>
          <w:rFonts w:ascii="Verdana" w:eastAsia="Times New Roman" w:hAnsi="Verdana" w:cs="Times New Roman"/>
          <w:sz w:val="20"/>
          <w:szCs w:val="20"/>
        </w:rPr>
        <w:t xml:space="preserve"> </w:t>
      </w:r>
    </w:p>
    <w:p>
      <w:pPr>
        <w:keepNext/>
        <w:keepLines/>
        <w:spacing w:after="0" w:line="320" w:lineRule="exact"/>
        <w:ind w:left="1702"/>
        <w:jc w:val="both"/>
        <w:rPr>
          <w:rFonts w:ascii="Verdana" w:hAnsi="Verdana"/>
          <w:sz w:val="20"/>
          <w:szCs w:val="20"/>
        </w:rPr>
      </w:pPr>
      <w:bookmarkStart w:id="367" w:name="_DV_M424"/>
      <w:bookmarkEnd w:id="367"/>
    </w:p>
    <w:p>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pPr>
        <w:pStyle w:val="Body2"/>
        <w:spacing w:after="0" w:line="320" w:lineRule="exact"/>
        <w:ind w:left="1701" w:right="7"/>
        <w:rPr>
          <w:rFonts w:ascii="Verdana" w:hAnsi="Verdana"/>
          <w:b/>
          <w:bCs/>
          <w:szCs w:val="20"/>
        </w:rPr>
      </w:pPr>
      <w:bookmarkStart w:id="368" w:name="_DV_M425"/>
      <w:bookmarkStart w:id="369" w:name="_DV_M426"/>
      <w:bookmarkStart w:id="370" w:name="_DV_M427"/>
      <w:bookmarkEnd w:id="368"/>
      <w:bookmarkEnd w:id="369"/>
      <w:bookmarkEnd w:id="370"/>
      <w:proofErr w:type="spellStart"/>
      <w:r>
        <w:rPr>
          <w:rFonts w:ascii="Verdana" w:hAnsi="Verdana"/>
          <w:b/>
          <w:bCs/>
          <w:szCs w:val="20"/>
        </w:rPr>
        <w:t>Simplific</w:t>
      </w:r>
      <w:proofErr w:type="spellEnd"/>
      <w:r>
        <w:rPr>
          <w:rFonts w:ascii="Verdana" w:hAnsi="Verdana"/>
          <w:b/>
          <w:bCs/>
          <w:szCs w:val="20"/>
        </w:rPr>
        <w:t xml:space="preserve"> </w:t>
      </w:r>
      <w:proofErr w:type="spellStart"/>
      <w:r>
        <w:rPr>
          <w:rFonts w:ascii="Verdana" w:hAnsi="Verdana"/>
          <w:b/>
          <w:bCs/>
          <w:szCs w:val="20"/>
        </w:rPr>
        <w:t>Pavarini</w:t>
      </w:r>
      <w:proofErr w:type="spellEnd"/>
      <w:r>
        <w:rPr>
          <w:rFonts w:ascii="Verdana" w:hAnsi="Verdana"/>
          <w:b/>
          <w:bCs/>
          <w:szCs w:val="20"/>
        </w:rPr>
        <w:t xml:space="preserve"> Distribuidora de Títulos e Valores Mobiliários Ltda.</w:t>
      </w:r>
    </w:p>
    <w:p>
      <w:pPr>
        <w:pStyle w:val="Body2"/>
        <w:spacing w:after="0" w:line="320" w:lineRule="exact"/>
        <w:ind w:left="1701" w:right="7"/>
        <w:rPr>
          <w:rFonts w:ascii="Verdana" w:hAnsi="Verdana"/>
          <w:szCs w:val="20"/>
        </w:rPr>
      </w:pPr>
      <w:r>
        <w:rPr>
          <w:rFonts w:ascii="Verdana" w:hAnsi="Verdana"/>
          <w:szCs w:val="20"/>
        </w:rPr>
        <w:t>Rua Joaquim Floriano, 466, Bloco B, Sala 1.401</w:t>
      </w:r>
      <w:r>
        <w:rPr>
          <w:rFonts w:ascii="Verdana" w:hAnsi="Verdana"/>
          <w:szCs w:val="20"/>
        </w:rPr>
        <w:tab/>
      </w:r>
    </w:p>
    <w:p>
      <w:pPr>
        <w:pStyle w:val="Body2"/>
        <w:spacing w:after="0" w:line="320" w:lineRule="exact"/>
        <w:ind w:left="1701" w:right="7"/>
        <w:rPr>
          <w:rFonts w:ascii="Verdana" w:hAnsi="Verdana"/>
          <w:szCs w:val="20"/>
        </w:rPr>
      </w:pPr>
      <w:r>
        <w:rPr>
          <w:rFonts w:ascii="Verdana" w:hAnsi="Verdana"/>
          <w:szCs w:val="20"/>
        </w:rPr>
        <w:t>CEP 04534-002 - São Paulo – SP</w:t>
      </w:r>
    </w:p>
    <w:p>
      <w:pPr>
        <w:pStyle w:val="Body2"/>
        <w:spacing w:after="0" w:line="320" w:lineRule="exact"/>
        <w:ind w:left="1701" w:right="7"/>
        <w:rPr>
          <w:rFonts w:ascii="Verdana" w:hAnsi="Verdana"/>
          <w:szCs w:val="20"/>
        </w:rPr>
      </w:pPr>
      <w:proofErr w:type="gramStart"/>
      <w:r>
        <w:rPr>
          <w:rFonts w:ascii="Verdana" w:hAnsi="Verdana"/>
          <w:szCs w:val="20"/>
        </w:rPr>
        <w:t>At.:</w:t>
      </w:r>
      <w:proofErr w:type="gramEnd"/>
      <w:r>
        <w:rPr>
          <w:rFonts w:ascii="Verdana" w:hAnsi="Verdana"/>
          <w:szCs w:val="20"/>
        </w:rPr>
        <w:t xml:space="preserve"> Matheus Gomes Faria / Pedro de Oliveira</w:t>
      </w:r>
      <w:r>
        <w:rPr>
          <w:rFonts w:ascii="Verdana" w:hAnsi="Verdana"/>
          <w:szCs w:val="20"/>
        </w:rPr>
        <w:tab/>
      </w:r>
    </w:p>
    <w:p>
      <w:pPr>
        <w:pStyle w:val="Body2"/>
        <w:tabs>
          <w:tab w:val="left" w:pos="7125"/>
        </w:tabs>
        <w:spacing w:after="0" w:line="320" w:lineRule="exact"/>
        <w:ind w:left="1701" w:right="7"/>
        <w:rPr>
          <w:rFonts w:ascii="Verdana" w:hAnsi="Verdana"/>
          <w:szCs w:val="20"/>
        </w:rPr>
      </w:pPr>
      <w:r>
        <w:rPr>
          <w:rFonts w:ascii="Verdana" w:hAnsi="Verdana"/>
          <w:szCs w:val="20"/>
        </w:rPr>
        <w:t>Telefone: (11) 3090-0447 / (21) 2507-1949</w:t>
      </w:r>
      <w:r>
        <w:rPr>
          <w:rFonts w:ascii="Verdana" w:hAnsi="Verdana"/>
          <w:szCs w:val="20"/>
        </w:rPr>
        <w:tab/>
      </w:r>
    </w:p>
    <w:p>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pPr>
        <w:pStyle w:val="p3"/>
        <w:tabs>
          <w:tab w:val="clear" w:pos="720"/>
        </w:tabs>
        <w:spacing w:line="320" w:lineRule="exact"/>
        <w:ind w:left="1701"/>
        <w:jc w:val="left"/>
        <w:rPr>
          <w:rFonts w:ascii="Verdana" w:hAnsi="Verdana"/>
          <w:sz w:val="20"/>
        </w:rPr>
      </w:pPr>
    </w:p>
    <w:p>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w:t>
      </w:r>
      <w:proofErr w:type="spellStart"/>
      <w:r>
        <w:rPr>
          <w:rFonts w:ascii="Verdana" w:hAnsi="Verdana"/>
          <w:sz w:val="20"/>
          <w:szCs w:val="20"/>
        </w:rPr>
        <w:t>Escriturador</w:t>
      </w:r>
      <w:proofErr w:type="spellEnd"/>
      <w:r>
        <w:rPr>
          <w:rFonts w:ascii="Verdana" w:hAnsi="Verdana"/>
          <w:sz w:val="20"/>
          <w:szCs w:val="20"/>
        </w:rPr>
        <w:t xml:space="preserve">: </w:t>
      </w:r>
    </w:p>
    <w:p>
      <w:pPr>
        <w:pStyle w:val="PargrafodaLista"/>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BANCO BRADESCO S.A.</w:t>
      </w:r>
    </w:p>
    <w:p>
      <w:pPr>
        <w:pStyle w:val="PargrafodaLista"/>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pPr>
        <w:pStyle w:val="Body2"/>
        <w:keepNext/>
        <w:keepLines/>
        <w:spacing w:after="0" w:line="320" w:lineRule="exact"/>
        <w:ind w:left="1701"/>
        <w:rPr>
          <w:rFonts w:ascii="Verdana" w:hAnsi="Verdana"/>
          <w:bCs/>
          <w:szCs w:val="20"/>
        </w:rPr>
      </w:pPr>
      <w:proofErr w:type="gramStart"/>
      <w:r>
        <w:rPr>
          <w:rFonts w:ascii="Verdana" w:hAnsi="Verdana"/>
          <w:bCs/>
          <w:szCs w:val="20"/>
        </w:rPr>
        <w:t>At.:</w:t>
      </w:r>
      <w:proofErr w:type="gramEnd"/>
      <w:r>
        <w:rPr>
          <w:rFonts w:ascii="Verdana" w:hAnsi="Verdana"/>
          <w:bCs/>
          <w:szCs w:val="20"/>
        </w:rPr>
        <w:t xml:space="preserve"> Rosinaldo Batista Gomes e Marcelo Ronaldo Poli </w:t>
      </w:r>
    </w:p>
    <w:p>
      <w:pPr>
        <w:pStyle w:val="Body2"/>
        <w:keepNext/>
        <w:keepLines/>
        <w:spacing w:after="0" w:line="320" w:lineRule="exact"/>
        <w:ind w:left="1701"/>
        <w:rPr>
          <w:rFonts w:ascii="Verdana" w:hAnsi="Verdana"/>
          <w:bCs/>
          <w:szCs w:val="20"/>
        </w:rPr>
      </w:pPr>
      <w:r>
        <w:rPr>
          <w:rFonts w:ascii="Verdana" w:hAnsi="Verdana"/>
          <w:bCs/>
          <w:szCs w:val="20"/>
        </w:rPr>
        <w:t>Telefone: (11) 3684-9444</w:t>
      </w:r>
    </w:p>
    <w:p>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pPr>
        <w:keepNext/>
        <w:keepLines/>
        <w:spacing w:after="0" w:line="320" w:lineRule="exact"/>
        <w:ind w:left="1702"/>
        <w:jc w:val="both"/>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pPr>
        <w:shd w:val="clear" w:color="auto" w:fill="FFFFFF"/>
        <w:spacing w:after="0" w:line="320" w:lineRule="exact"/>
        <w:ind w:left="1701"/>
        <w:rPr>
          <w:rFonts w:ascii="Verdana" w:hAnsi="Verdana"/>
          <w:sz w:val="20"/>
          <w:szCs w:val="20"/>
        </w:rPr>
      </w:pPr>
      <w:proofErr w:type="gramStart"/>
      <w:r>
        <w:rPr>
          <w:rFonts w:ascii="Verdana" w:hAnsi="Verdana"/>
          <w:sz w:val="20"/>
          <w:szCs w:val="20"/>
        </w:rPr>
        <w:t>At.:</w:t>
      </w:r>
      <w:proofErr w:type="gramEnd"/>
      <w:r>
        <w:rPr>
          <w:rFonts w:ascii="Verdana" w:hAnsi="Verdana"/>
          <w:sz w:val="20"/>
          <w:szCs w:val="20"/>
        </w:rPr>
        <w:t xml:space="preserve"> Superintendência de Ofertas de Valores Mobiliários de Renda Fixa</w:t>
      </w:r>
    </w:p>
    <w:p>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pPr>
        <w:keepNext/>
        <w:keepLines/>
        <w:shd w:val="clear" w:color="auto" w:fill="FFFFFF"/>
        <w:spacing w:after="0" w:line="320" w:lineRule="exact"/>
        <w:ind w:left="1680"/>
        <w:rPr>
          <w:rFonts w:ascii="Verdana" w:hAnsi="Verdana"/>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71" w:name="_DV_M428"/>
      <w:bookmarkEnd w:id="371"/>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pPr>
        <w:spacing w:after="0" w:line="320" w:lineRule="exact"/>
        <w:ind w:left="709"/>
        <w:jc w:val="both"/>
        <w:rPr>
          <w:rFonts w:ascii="Verdana" w:hAnsi="Verdana"/>
          <w:sz w:val="20"/>
          <w:szCs w:val="20"/>
        </w:rPr>
      </w:pPr>
    </w:p>
    <w:p>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Disposições Gerais</w:t>
      </w:r>
    </w:p>
    <w:p>
      <w:pPr>
        <w:keepNext/>
        <w:keepLines/>
        <w:spacing w:after="0" w:line="320" w:lineRule="exact"/>
        <w:ind w:left="709"/>
        <w:jc w:val="both"/>
        <w:rPr>
          <w:rFonts w:ascii="Verdana" w:hAnsi="Verdana"/>
          <w:smallCaps/>
          <w:sz w:val="20"/>
          <w:szCs w:val="20"/>
          <w:u w:val="single"/>
        </w:rPr>
      </w:pPr>
    </w:p>
    <w:p>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372" w:name="_DV_M429"/>
      <w:bookmarkEnd w:id="372"/>
      <w:r>
        <w:rPr>
          <w:rFonts w:ascii="Verdana" w:hAnsi="Verdana"/>
          <w:i/>
          <w:sz w:val="20"/>
          <w:szCs w:val="20"/>
          <w:u w:val="single"/>
        </w:rPr>
        <w:t>Renúncia</w:t>
      </w:r>
      <w:r>
        <w:rPr>
          <w:rFonts w:ascii="Verdana" w:hAnsi="Verdana"/>
          <w:sz w:val="20"/>
          <w:szCs w:val="20"/>
        </w:rPr>
        <w:t xml:space="preserve">. </w:t>
      </w:r>
      <w:bookmarkStart w:id="373" w:name="_DV_M430"/>
      <w:bookmarkEnd w:id="373"/>
      <w:r>
        <w:rPr>
          <w:rFonts w:ascii="Verdana" w:hAnsi="Verdana"/>
          <w:sz w:val="20"/>
          <w:szCs w:val="20"/>
        </w:rPr>
        <w:t xml:space="preserve">Não se presume a renúncia a qualquer dos direitos decorrentes </w:t>
      </w:r>
      <w:proofErr w:type="gramStart"/>
      <w:r>
        <w:rPr>
          <w:rFonts w:ascii="Verdana" w:hAnsi="Verdana"/>
          <w:sz w:val="20"/>
          <w:szCs w:val="20"/>
        </w:rPr>
        <w:t>da presente</w:t>
      </w:r>
      <w:proofErr w:type="gramEnd"/>
      <w:r>
        <w:rPr>
          <w:rFonts w:ascii="Verdana" w:hAnsi="Verdana"/>
          <w:sz w:val="20"/>
          <w:szCs w:val="20"/>
        </w:rPr>
        <w:t xml:space="preserv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xml:space="preserve">”), reconhecendo as Partes desde já que, independentemente de quaisquer outras medidas cabíveis, as obrigações assumidas nos termos desta Escritura comportam execução </w:t>
      </w:r>
      <w:r>
        <w:rPr>
          <w:rFonts w:ascii="Verdana" w:hAnsi="Verdana"/>
          <w:sz w:val="20"/>
          <w:szCs w:val="20"/>
        </w:rPr>
        <w:lastRenderedPageBreak/>
        <w:t>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Fica desde já dispensada a realização de Assembleia Geral de Debenturistas para deliberar sobre: (i) a correção de erros materiais, seja ele um erro grosseiro, de digitação ou aritmético, (</w:t>
      </w:r>
      <w:proofErr w:type="spellStart"/>
      <w:r>
        <w:rPr>
          <w:rFonts w:ascii="Verdana" w:hAnsi="Verdana"/>
          <w:sz w:val="20"/>
          <w:szCs w:val="20"/>
        </w:rPr>
        <w:t>ii</w:t>
      </w:r>
      <w:proofErr w:type="spellEnd"/>
      <w:r>
        <w:rPr>
          <w:rFonts w:ascii="Verdana" w:hAnsi="Verdana"/>
          <w:sz w:val="20"/>
          <w:szCs w:val="20"/>
        </w:rPr>
        <w:t>) alterações a quaisquer documentos da Emissão já expressamente permitidas nos termos do(s) respectivo(s) documento(s) da Emissão, (</w:t>
      </w:r>
      <w:proofErr w:type="spellStart"/>
      <w:r>
        <w:rPr>
          <w:rFonts w:ascii="Verdana" w:hAnsi="Verdana"/>
          <w:sz w:val="20"/>
          <w:szCs w:val="20"/>
        </w:rPr>
        <w:t>iii</w:t>
      </w:r>
      <w:proofErr w:type="spellEnd"/>
      <w:r>
        <w:rPr>
          <w:rFonts w:ascii="Verdana" w:hAnsi="Verdana"/>
          <w:sz w:val="20"/>
          <w:szCs w:val="20"/>
        </w:rPr>
        <w:t xml:space="preserve">) alterações a quaisquer documentos relativos à Oferta em razão de exigências formuladas pela CVM, pela B3, pela B3 – Segmento </w:t>
      </w:r>
      <w:proofErr w:type="spellStart"/>
      <w:r>
        <w:rPr>
          <w:rFonts w:ascii="Verdana" w:hAnsi="Verdana"/>
          <w:sz w:val="20"/>
          <w:szCs w:val="20"/>
        </w:rPr>
        <w:t>Cetip</w:t>
      </w:r>
      <w:proofErr w:type="spellEnd"/>
      <w:r>
        <w:rPr>
          <w:rFonts w:ascii="Verdana" w:hAnsi="Verdana"/>
          <w:sz w:val="20"/>
          <w:szCs w:val="20"/>
        </w:rPr>
        <w:t xml:space="preserve"> UTVM ou pela ANBIMA, ou (</w:t>
      </w:r>
      <w:proofErr w:type="spellStart"/>
      <w:r>
        <w:rPr>
          <w:rFonts w:ascii="Verdana" w:hAnsi="Verdana"/>
          <w:sz w:val="20"/>
          <w:szCs w:val="20"/>
        </w:rPr>
        <w:t>iv</w:t>
      </w:r>
      <w:proofErr w:type="spellEnd"/>
      <w:r>
        <w:rPr>
          <w:rFonts w:ascii="Verdana" w:hAnsi="Verdan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Verdana" w:hAnsi="Verdana"/>
          <w:sz w:val="20"/>
          <w:szCs w:val="20"/>
        </w:rPr>
        <w:t>ii</w:t>
      </w:r>
      <w:proofErr w:type="spellEnd"/>
      <w:r>
        <w:rPr>
          <w:rFonts w:ascii="Verdana" w:hAnsi="Verdana"/>
          <w:sz w:val="20"/>
          <w:szCs w:val="20"/>
        </w:rPr>
        <w:t>), (</w:t>
      </w:r>
      <w:proofErr w:type="spellStart"/>
      <w:r>
        <w:rPr>
          <w:rFonts w:ascii="Verdana" w:hAnsi="Verdana"/>
          <w:sz w:val="20"/>
          <w:szCs w:val="20"/>
        </w:rPr>
        <w:t>iii</w:t>
      </w:r>
      <w:proofErr w:type="spellEnd"/>
      <w:r>
        <w:rPr>
          <w:rFonts w:ascii="Verdana" w:hAnsi="Verdana"/>
          <w:sz w:val="20"/>
          <w:szCs w:val="20"/>
        </w:rPr>
        <w:t>) e (</w:t>
      </w:r>
      <w:proofErr w:type="spellStart"/>
      <w:r>
        <w:rPr>
          <w:rFonts w:ascii="Verdana" w:hAnsi="Verdana"/>
          <w:sz w:val="20"/>
          <w:szCs w:val="20"/>
        </w:rPr>
        <w:t>iv</w:t>
      </w:r>
      <w:proofErr w:type="spellEnd"/>
      <w:r>
        <w:rPr>
          <w:rFonts w:ascii="Verdana" w:hAnsi="Verdana"/>
          <w:sz w:val="20"/>
          <w:szCs w:val="20"/>
        </w:rPr>
        <w:t xml:space="preserve">) acima, não possam acarretar qualquer prejuízo aos Debenturistas ou qualquer alteração no fluxo das Debêntures, e desde que não haja qualquer custo ou despesa adicional para os Debenturistas. </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xml:space="preserve">. Exceto se de outra forma especificamente disposto nesta Escritura, os prazos estabelecidos na presente Escritura serão computados de acordo com o disposto no artigo 132 da Lei nº 10.406, de 10 de janeiro de </w:t>
      </w:r>
      <w:r>
        <w:rPr>
          <w:rFonts w:ascii="Verdana" w:hAnsi="Verdana"/>
          <w:sz w:val="20"/>
          <w:szCs w:val="20"/>
        </w:rPr>
        <w:lastRenderedPageBreak/>
        <w:t>2002, conforme alterada, sendo excluído o dia de início e incluído o do vencimento.</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xml:space="preserve">. A Emissora arcará com todos os custos: (i) decorrentes da colocação pública das Debêntures, incluindo todos os custos relativos ao seu registro na CVM, na B3, na B3 – Segmento </w:t>
      </w:r>
      <w:proofErr w:type="spellStart"/>
      <w:r>
        <w:rPr>
          <w:rFonts w:ascii="Verdana" w:hAnsi="Verdana"/>
          <w:sz w:val="20"/>
          <w:szCs w:val="20"/>
        </w:rPr>
        <w:t>Cetip</w:t>
      </w:r>
      <w:proofErr w:type="spellEnd"/>
      <w:r>
        <w:rPr>
          <w:rFonts w:ascii="Verdana" w:hAnsi="Verdana"/>
          <w:sz w:val="20"/>
          <w:szCs w:val="20"/>
        </w:rPr>
        <w:t xml:space="preserve"> UTVM e na ANBIMA; (</w:t>
      </w:r>
      <w:proofErr w:type="spellStart"/>
      <w:r>
        <w:rPr>
          <w:rFonts w:ascii="Verdana" w:hAnsi="Verdana"/>
          <w:sz w:val="20"/>
          <w:szCs w:val="20"/>
        </w:rPr>
        <w:t>ii</w:t>
      </w:r>
      <w:proofErr w:type="spellEnd"/>
      <w:r>
        <w:rPr>
          <w:rFonts w:ascii="Verdana" w:hAnsi="Verdana"/>
          <w:sz w:val="20"/>
          <w:szCs w:val="20"/>
        </w:rPr>
        <w:t>) das taxas de registro aplicáveis, inclusive aquelas referentes ao registro desta Escritura e seus aditamentos na JUCEPAR; (</w:t>
      </w:r>
      <w:proofErr w:type="spellStart"/>
      <w:r>
        <w:rPr>
          <w:rFonts w:ascii="Verdana" w:hAnsi="Verdana"/>
          <w:sz w:val="20"/>
          <w:szCs w:val="20"/>
        </w:rPr>
        <w:t>iii</w:t>
      </w:r>
      <w:proofErr w:type="spellEnd"/>
      <w:r>
        <w:rPr>
          <w:rFonts w:ascii="Verdana" w:hAnsi="Verdana"/>
          <w:sz w:val="20"/>
          <w:szCs w:val="20"/>
        </w:rPr>
        <w:t>) de registro e de publicação de todos os atos necessários à Emissão e à Oferta, como a RCA da Emissão; e (</w:t>
      </w:r>
      <w:proofErr w:type="spellStart"/>
      <w:r>
        <w:rPr>
          <w:rFonts w:ascii="Verdana" w:hAnsi="Verdana"/>
          <w:sz w:val="20"/>
          <w:szCs w:val="20"/>
        </w:rPr>
        <w:t>iv</w:t>
      </w:r>
      <w:proofErr w:type="spellEnd"/>
      <w:r>
        <w:rPr>
          <w:rFonts w:ascii="Verdana" w:hAnsi="Verdana"/>
          <w:sz w:val="20"/>
          <w:szCs w:val="20"/>
        </w:rPr>
        <w:t xml:space="preserve">) pelos honorários e despesas com a contratação de Agente Fiduciário, Agência de Classificação de Risco, Banco Liquidante e </w:t>
      </w:r>
      <w:proofErr w:type="spellStart"/>
      <w:r>
        <w:rPr>
          <w:rFonts w:ascii="Verdana" w:hAnsi="Verdana"/>
          <w:sz w:val="20"/>
          <w:szCs w:val="20"/>
        </w:rPr>
        <w:t>Escriturador</w:t>
      </w:r>
      <w:proofErr w:type="spellEnd"/>
      <w:r>
        <w:rPr>
          <w:rFonts w:ascii="Verdana" w:hAnsi="Verdana"/>
          <w:sz w:val="20"/>
          <w:szCs w:val="20"/>
        </w:rPr>
        <w:t xml:space="preserve"> e Formador de Mercado, bem como com os sistemas de distribuição e negociação das Debêntures nos mercados primário e secundário.</w:t>
      </w:r>
    </w:p>
    <w:p>
      <w:pPr>
        <w:tabs>
          <w:tab w:val="num" w:pos="851"/>
        </w:tabs>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w:t>
      </w:r>
      <w:proofErr w:type="spellStart"/>
      <w:r>
        <w:rPr>
          <w:rFonts w:ascii="Verdana" w:hAnsi="Verdana"/>
          <w:sz w:val="20"/>
          <w:szCs w:val="20"/>
        </w:rPr>
        <w:t>Escriturador</w:t>
      </w:r>
      <w:proofErr w:type="spellEnd"/>
      <w:r>
        <w:rPr>
          <w:rFonts w:ascii="Verdana" w:hAnsi="Verdana"/>
          <w:sz w:val="20"/>
          <w:szCs w:val="20"/>
        </w:rPr>
        <w:t xml:space="preserve"> e da Agência de Classificação de Risco. A substituição do Agente Fiduciário, do Banco Liquidante, do </w:t>
      </w:r>
      <w:proofErr w:type="spellStart"/>
      <w:r>
        <w:rPr>
          <w:rFonts w:ascii="Verdana" w:hAnsi="Verdana"/>
          <w:sz w:val="20"/>
          <w:szCs w:val="20"/>
        </w:rPr>
        <w:t>Escriturador</w:t>
      </w:r>
      <w:proofErr w:type="spellEnd"/>
      <w:r>
        <w:rPr>
          <w:rFonts w:ascii="Verdana" w:hAnsi="Verdana"/>
          <w:sz w:val="20"/>
          <w:szCs w:val="20"/>
        </w:rPr>
        <w:t xml:space="preserve">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374" w:name="_DV_M431"/>
      <w:bookmarkEnd w:id="374"/>
      <w:r>
        <w:rPr>
          <w:rFonts w:ascii="Verdana" w:hAnsi="Verdana"/>
          <w:smallCaps/>
          <w:sz w:val="20"/>
          <w:szCs w:val="20"/>
          <w:u w:val="single"/>
        </w:rPr>
        <w:t>Lei Aplicável</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both"/>
        <w:rPr>
          <w:rFonts w:ascii="Verdana" w:hAnsi="Verdana"/>
          <w:sz w:val="20"/>
          <w:szCs w:val="20"/>
        </w:rPr>
      </w:pPr>
      <w:r>
        <w:rPr>
          <w:rFonts w:ascii="Verdana" w:hAnsi="Verdana"/>
          <w:sz w:val="20"/>
          <w:szCs w:val="20"/>
        </w:rPr>
        <w:lastRenderedPageBreak/>
        <w:t>Estando assim as Partes certas e ajustadas, firmam o presente instrumento, em 3 (três) vias de igual teor e forma, juntamente com 2 (duas) testemunhas, que também o assinam.</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pPr>
        <w:spacing w:after="0" w:line="320" w:lineRule="exact"/>
        <w:jc w:val="both"/>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(ASSINATURAS SE ENCONTRAM NAS 2 (DUAS) PÁGINAS SEGUINTES)</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sectPr>
          <w:footerReference w:type="default" r:id="rId17"/>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1/2 da Escritura Particular da Décima Terceira Emissão de Debêntures Simples, Não Conversíveis em Ações, da Espécie Quirografária, em Até Duas Séries, para Distribuição Pública, da Rumo S.A.)</w:t>
      </w:r>
    </w:p>
    <w:p>
      <w:pPr>
        <w:spacing w:after="0" w:line="320" w:lineRule="exact"/>
        <w:jc w:val="both"/>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bCs/>
          <w:smallCaps/>
          <w:sz w:val="20"/>
          <w:szCs w:val="20"/>
        </w:rPr>
      </w:pPr>
      <w:r>
        <w:rPr>
          <w:rFonts w:ascii="Verdana" w:hAnsi="Verdana"/>
          <w:b/>
          <w:bCs/>
          <w:smallCaps/>
          <w:sz w:val="20"/>
          <w:szCs w:val="20"/>
        </w:rPr>
        <w:t>RUMO S.A.</w:t>
      </w:r>
    </w:p>
    <w:p>
      <w:pPr>
        <w:pStyle w:val="para"/>
        <w:widowControl/>
        <w:tabs>
          <w:tab w:val="left" w:pos="2366"/>
        </w:tabs>
        <w:spacing w:line="320" w:lineRule="exact"/>
        <w:jc w:val="center"/>
        <w:rPr>
          <w:rFonts w:ascii="Verdana" w:hAnsi="Verdana"/>
          <w:color w:val="auto"/>
          <w:sz w:val="20"/>
          <w:szCs w:val="20"/>
        </w:rPr>
      </w:pPr>
    </w:p>
    <w:p>
      <w:pPr>
        <w:pStyle w:val="para"/>
        <w:widowControl/>
        <w:tabs>
          <w:tab w:val="left" w:pos="2366"/>
        </w:tabs>
        <w:spacing w:line="320" w:lineRule="exact"/>
        <w:jc w:val="center"/>
        <w:rPr>
          <w:rFonts w:ascii="Verdana" w:hAnsi="Verdana"/>
          <w:color w:val="auto"/>
          <w:sz w:val="20"/>
          <w:szCs w:val="20"/>
        </w:rPr>
      </w:pPr>
    </w:p>
    <w:p>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pPr>
        <w:spacing w:after="0" w:line="320" w:lineRule="exact"/>
        <w:jc w:val="both"/>
        <w:rPr>
          <w:rFonts w:ascii="Verdana" w:hAnsi="Verdana"/>
          <w:bCs/>
          <w:i/>
          <w:iCs/>
          <w:w w:val="0"/>
          <w:sz w:val="20"/>
          <w:szCs w:val="20"/>
        </w:rPr>
      </w:pPr>
      <w:r>
        <w:rPr>
          <w:rFonts w:ascii="Verdana" w:hAnsi="Verdana"/>
          <w:sz w:val="20"/>
          <w:szCs w:val="20"/>
        </w:rPr>
        <w:br w:type="page"/>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2/2 da Escritura Particular da Décima Terceira Emissão de Debêntures Simples, Não Conversíveis em Ações, da Espécie Quirografária, em Até Duas Séries, para Distribuição Pública, da Rumo S.A.)</w:t>
      </w: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20" w:lineRule="exact"/>
              <w:rPr>
                <w:rFonts w:ascii="Verdana" w:hAnsi="Verdana"/>
                <w:sz w:val="20"/>
                <w:szCs w:val="20"/>
              </w:rPr>
            </w:pPr>
          </w:p>
        </w:tc>
      </w:tr>
    </w:tbl>
    <w:p>
      <w:pPr>
        <w:autoSpaceDE w:val="0"/>
        <w:autoSpaceDN w:val="0"/>
        <w:adjustRightInd w:val="0"/>
        <w:spacing w:after="0" w:line="320" w:lineRule="exact"/>
        <w:jc w:val="both"/>
        <w:rPr>
          <w:rFonts w:ascii="Verdana" w:hAnsi="Verdana"/>
          <w:bCs/>
          <w:i/>
          <w:smallCaps/>
          <w:sz w:val="20"/>
          <w:szCs w:val="20"/>
        </w:rPr>
      </w:pPr>
      <w:bookmarkStart w:id="375" w:name="_DV_M443"/>
      <w:bookmarkStart w:id="376" w:name="_DV_M444"/>
      <w:bookmarkStart w:id="377" w:name="_DV_M445"/>
      <w:bookmarkStart w:id="378" w:name="_DV_M447"/>
      <w:bookmarkStart w:id="379" w:name="_DV_M448"/>
      <w:bookmarkStart w:id="380" w:name="_DV_M449"/>
      <w:bookmarkEnd w:id="375"/>
      <w:bookmarkEnd w:id="376"/>
      <w:bookmarkEnd w:id="377"/>
      <w:bookmarkEnd w:id="378"/>
      <w:bookmarkEnd w:id="379"/>
      <w:bookmarkEnd w:id="380"/>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proofErr w:type="gramStart"/>
            <w:r>
              <w:rPr>
                <w:rFonts w:ascii="Verdana" w:hAnsi="Verdana"/>
                <w:sz w:val="20"/>
                <w:szCs w:val="20"/>
              </w:rPr>
              <w:t>Nome:</w:t>
            </w:r>
            <w:r>
              <w:rPr>
                <w:rFonts w:ascii="Verdana" w:hAnsi="Verdana"/>
                <w:sz w:val="20"/>
                <w:szCs w:val="20"/>
              </w:rPr>
              <w:br/>
              <w:t>RG</w:t>
            </w:r>
            <w:proofErr w:type="gramEnd"/>
            <w:r>
              <w:rPr>
                <w:rFonts w:ascii="Verdana" w:hAnsi="Verdana"/>
                <w:sz w:val="20"/>
                <w:szCs w:val="20"/>
              </w:rPr>
              <w:t>:</w:t>
            </w:r>
            <w:r>
              <w:rPr>
                <w:rFonts w:ascii="Verdana" w:hAnsi="Verdana"/>
                <w:sz w:val="20"/>
                <w:szCs w:val="20"/>
              </w:rPr>
              <w:br/>
              <w:t>CPF/ME:</w:t>
            </w:r>
          </w:p>
        </w:tc>
        <w:tc>
          <w:tcPr>
            <w:tcW w:w="567" w:type="dxa"/>
          </w:tcPr>
          <w:p>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proofErr w:type="gramStart"/>
            <w:r>
              <w:rPr>
                <w:rFonts w:ascii="Verdana" w:hAnsi="Verdana"/>
                <w:sz w:val="20"/>
                <w:szCs w:val="20"/>
              </w:rPr>
              <w:t>Nome:</w:t>
            </w:r>
            <w:r>
              <w:rPr>
                <w:rFonts w:ascii="Verdana" w:hAnsi="Verdana"/>
                <w:sz w:val="20"/>
                <w:szCs w:val="20"/>
              </w:rPr>
              <w:br/>
              <w:t>RG</w:t>
            </w:r>
            <w:proofErr w:type="gramEnd"/>
            <w:r>
              <w:rPr>
                <w:rFonts w:ascii="Verdana" w:hAnsi="Verdana"/>
                <w:sz w:val="20"/>
                <w:szCs w:val="20"/>
              </w:rPr>
              <w:t>:</w:t>
            </w:r>
            <w:r>
              <w:rPr>
                <w:rFonts w:ascii="Verdana" w:hAnsi="Verdana"/>
                <w:sz w:val="20"/>
                <w:szCs w:val="20"/>
              </w:rPr>
              <w:br/>
              <w:t>CPF/ME:</w:t>
            </w:r>
          </w:p>
        </w:tc>
      </w:tr>
    </w:tbl>
    <w:p>
      <w:pPr>
        <w:spacing w:after="0" w:line="320" w:lineRule="exact"/>
        <w:rPr>
          <w:rFonts w:ascii="Verdana" w:hAnsi="Verdana"/>
          <w:sz w:val="20"/>
          <w:szCs w:val="20"/>
        </w:rPr>
      </w:pPr>
    </w:p>
    <w:p>
      <w:pPr>
        <w:spacing w:line="320" w:lineRule="exact"/>
        <w:rPr>
          <w:rFonts w:ascii="Verdana" w:hAnsi="Verdana"/>
          <w:sz w:val="20"/>
          <w:szCs w:val="20"/>
        </w:rPr>
      </w:pPr>
      <w:r>
        <w:rPr>
          <w:rFonts w:ascii="Verdana" w:hAnsi="Verdana"/>
          <w:sz w:val="20"/>
          <w:szCs w:val="20"/>
        </w:rPr>
        <w:br w:type="page"/>
      </w:r>
    </w:p>
    <w:p>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w:t>
      </w:r>
    </w:p>
    <w:p>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SUL</w:t>
      </w:r>
    </w:p>
    <w:p>
      <w:pPr>
        <w:rPr>
          <w:rFonts w:ascii="Verdana" w:hAnsi="Verdana" w:cs="Arial"/>
          <w:b/>
          <w:sz w:val="20"/>
          <w:szCs w:val="20"/>
        </w:rPr>
      </w:pPr>
      <w:r>
        <w:rPr>
          <w:rFonts w:ascii="Verdana" w:hAnsi="Verdana" w:cs="Arial"/>
          <w:b/>
          <w:sz w:val="20"/>
          <w:szCs w:val="20"/>
        </w:rPr>
        <w:br w:type="page"/>
      </w:r>
    </w:p>
    <w:p>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II</w:t>
      </w:r>
    </w:p>
    <w:p>
      <w:pPr>
        <w:tabs>
          <w:tab w:val="left" w:pos="2366"/>
        </w:tabs>
        <w:spacing w:after="0" w:line="320" w:lineRule="exact"/>
        <w:jc w:val="center"/>
        <w:rPr>
          <w:rFonts w:ascii="Verdana" w:hAnsi="Verdana" w:cs="Arial"/>
          <w:b/>
          <w:sz w:val="20"/>
          <w:szCs w:val="20"/>
        </w:rPr>
      </w:pPr>
    </w:p>
    <w:p>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CENTRAL</w:t>
      </w:r>
    </w:p>
    <w:p>
      <w:pPr>
        <w:spacing w:after="0" w:line="320" w:lineRule="exact"/>
        <w:rPr>
          <w:rFonts w:ascii="Verdana" w:hAnsi="Verdana"/>
          <w:sz w:val="20"/>
          <w:szCs w:val="20"/>
        </w:rPr>
      </w:pPr>
    </w:p>
    <w:sectPr>
      <w:headerReference w:type="default" r:id="rId18"/>
      <w:footerReference w:type="default" r:id="rId19"/>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- 34456730v23 - 599032.447248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- 34456730v21 - 599032.447248</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- 34456730v20 - 599032.447248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67641"/>
      <w:docPartObj>
        <w:docPartGallery w:val="Page Numbers (Top of Page)"/>
        <w:docPartUnique/>
      </w:docPartObj>
    </w:sdtPr>
    <w:sdtEndPr>
      <w:rPr>
        <w:rFonts w:ascii="Garamond" w:hAnsi="Garamond"/>
      </w:rPr>
    </w:sdtEndPr>
    <w:sdtContent>
      <w:p>
        <w:pPr>
          <w:pStyle w:val="Cabealho"/>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rPr>
          <w:t>20</w:t>
        </w:r>
        <w:r>
          <w:rPr>
            <w:rFonts w:ascii="Garamond" w:hAnsi="Garamond"/>
          </w:rPr>
          <w:fldChar w:fldCharType="end"/>
        </w:r>
      </w:p>
    </w:sdtContent>
  </w:sdt>
  <w:p>
    <w:pPr>
      <w:pStyle w:val="Cabealho"/>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szCs w:val="20"/>
      </w:rPr>
    </w:pPr>
    <w:r>
      <w:rPr>
        <w:rFonts w:ascii="Verdana" w:hAnsi="Verdana"/>
        <w:b/>
        <w:sz w:val="20"/>
        <w:szCs w:val="20"/>
      </w:rPr>
      <w:t>M I N U T A</w:t>
    </w:r>
  </w:p>
  <w:p>
    <w:pPr>
      <w:pStyle w:val="Cabealho"/>
      <w:jc w:val="right"/>
      <w:rPr>
        <w:rFonts w:ascii="Verdana" w:hAnsi="Verdana"/>
        <w:sz w:val="20"/>
        <w:szCs w:val="20"/>
      </w:rPr>
    </w:pPr>
    <w:r>
      <w:rPr>
        <w:rFonts w:ascii="Verdana" w:hAnsi="Verdana"/>
        <w:sz w:val="20"/>
        <w:szCs w:val="20"/>
      </w:rPr>
      <w:t>(10.9.2019)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B772-A999-4DC6-A68D-1EA654D3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86</Pages>
  <Words>24483</Words>
  <Characters>132212</Characters>
  <Application>Microsoft Office Word</Application>
  <DocSecurity>0</DocSecurity>
  <Lines>1101</Lines>
  <Paragraphs>312</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156383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Pinheiro Neto Advogados</cp:lastModifiedBy>
  <cp:revision>7</cp:revision>
  <cp:lastPrinted>2017-02-20T11:52:00Z</cp:lastPrinted>
  <dcterms:created xsi:type="dcterms:W3CDTF">2019-09-10T21:43:00Z</dcterms:created>
  <dcterms:modified xsi:type="dcterms:W3CDTF">2019-09-10T21:51:00Z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- 34456730v23 - 599032.447248</vt:lpwstr>
  </property>
</Properties>
</file>