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CE1CD" w14:textId="77917E32" w:rsidR="009D3CD9" w:rsidRPr="00A4094B" w:rsidRDefault="00874618" w:rsidP="00FB35C3">
      <w:pPr>
        <w:widowControl/>
        <w:jc w:val="center"/>
        <w:rPr>
          <w:b/>
        </w:rPr>
      </w:pPr>
      <w:r>
        <w:rPr>
          <w:b/>
        </w:rPr>
        <w:t>SANTA LUZ</w:t>
      </w:r>
      <w:r w:rsidR="009D3CD9" w:rsidRPr="00A4094B">
        <w:rPr>
          <w:b/>
        </w:rPr>
        <w:t xml:space="preserve"> GERAÇÃO E COMÉRCIO DE ENERGIA SPE S.A.</w:t>
      </w:r>
    </w:p>
    <w:p w14:paraId="21AF1F0F" w14:textId="642CE662" w:rsidR="008E6196" w:rsidRPr="00A4094B" w:rsidRDefault="005653DF" w:rsidP="00FB35C3">
      <w:pPr>
        <w:widowControl/>
        <w:jc w:val="center"/>
      </w:pPr>
      <w:r w:rsidRPr="00A4094B">
        <w:t>CNPJ/M</w:t>
      </w:r>
      <w:r w:rsidR="0076294C" w:rsidRPr="00A4094B">
        <w:t>E</w:t>
      </w:r>
      <w:r w:rsidRPr="00A4094B">
        <w:t xml:space="preserve"> nº </w:t>
      </w:r>
      <w:bookmarkStart w:id="0" w:name="_Hlk60688756"/>
      <w:r w:rsidR="00874618">
        <w:t>34.745.410/0001-83</w:t>
      </w:r>
      <w:bookmarkEnd w:id="0"/>
    </w:p>
    <w:p w14:paraId="56475505" w14:textId="7EF6AE83" w:rsidR="005653DF" w:rsidRPr="00874618" w:rsidRDefault="005653DF" w:rsidP="00FB35C3">
      <w:pPr>
        <w:widowControl/>
        <w:jc w:val="center"/>
      </w:pPr>
      <w:r w:rsidRPr="00874618">
        <w:t xml:space="preserve">NIRE </w:t>
      </w:r>
      <w:bookmarkStart w:id="1" w:name="_Hlk72449187"/>
      <w:r w:rsidR="00874618" w:rsidRPr="00874618">
        <w:t>143.000.011-79</w:t>
      </w:r>
      <w:bookmarkEnd w:id="1"/>
    </w:p>
    <w:p w14:paraId="0995811A" w14:textId="77777777" w:rsidR="00D645F1" w:rsidRPr="00874618" w:rsidRDefault="00D645F1" w:rsidP="00FB35C3">
      <w:pPr>
        <w:widowControl/>
      </w:pPr>
    </w:p>
    <w:p w14:paraId="47868595" w14:textId="7A919B2E" w:rsidR="005653DF" w:rsidRPr="00874618" w:rsidRDefault="002B1EA9" w:rsidP="00FB35C3">
      <w:pPr>
        <w:widowControl/>
        <w:rPr>
          <w:b/>
        </w:rPr>
      </w:pPr>
      <w:r w:rsidRPr="00874618">
        <w:rPr>
          <w:b/>
        </w:rPr>
        <w:t>ASSEMBLEIA GERAL DOS TITULARES DE DEBÊNTURES DA 1ª (PRIMEIRA) SÉRIE DA 2ª</w:t>
      </w:r>
      <w:r w:rsidR="00655CC8" w:rsidRPr="00874618">
        <w:rPr>
          <w:b/>
        </w:rPr>
        <w:t> </w:t>
      </w:r>
      <w:r w:rsidRPr="00874618">
        <w:rPr>
          <w:b/>
        </w:rPr>
        <w:t xml:space="preserve">(SEGUNDA) EMISSÃO DE DEBÊNTURES SIMPLES, NÃO CONVERSÍVEIS EM AÇÕES, DA ESPÉCIE COM GARANTIA REAL, EM 2 (DUAS) SÉRIES, PARA DISTRIBUIÇÃO PÚBLICA, COM ESFORÇOS RESTRITOS DE DISTRIBUIÇÃO, DA </w:t>
      </w:r>
      <w:r w:rsidR="00753E00" w:rsidRPr="00874618">
        <w:rPr>
          <w:b/>
        </w:rPr>
        <w:t xml:space="preserve">SANTA LUZ </w:t>
      </w:r>
      <w:r w:rsidRPr="00874618">
        <w:rPr>
          <w:b/>
        </w:rPr>
        <w:t xml:space="preserve">GERAÇÃO E COMÉRCIO DE ENERGIA SPE S.A. REALIZADA EM </w:t>
      </w:r>
      <w:r w:rsidR="00874618" w:rsidRPr="00874618">
        <w:rPr>
          <w:b/>
        </w:rPr>
        <w:t>21</w:t>
      </w:r>
      <w:r w:rsidR="00655CC8" w:rsidRPr="00874618">
        <w:rPr>
          <w:b/>
        </w:rPr>
        <w:t xml:space="preserve"> </w:t>
      </w:r>
      <w:r w:rsidRPr="00874618">
        <w:rPr>
          <w:b/>
        </w:rPr>
        <w:t>DE MAIO DE 2021</w:t>
      </w:r>
    </w:p>
    <w:p w14:paraId="0EBF7561" w14:textId="77777777" w:rsidR="00D645F1" w:rsidRPr="00874618" w:rsidRDefault="00D645F1" w:rsidP="00FB35C3">
      <w:pPr>
        <w:widowControl/>
      </w:pPr>
    </w:p>
    <w:p w14:paraId="6206D251" w14:textId="55A61856" w:rsidR="005653DF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874618">
        <w:rPr>
          <w:b/>
        </w:rPr>
        <w:t>DATA, HORA E LOCAL:</w:t>
      </w:r>
      <w:r w:rsidRPr="00874618">
        <w:t xml:space="preserve"> Realizada aos </w:t>
      </w:r>
      <w:r w:rsidR="00874618" w:rsidRPr="00874618">
        <w:t>21</w:t>
      </w:r>
      <w:r w:rsidR="00655CC8" w:rsidRPr="00874618">
        <w:t xml:space="preserve"> (vinte e um) </w:t>
      </w:r>
      <w:r w:rsidRPr="00874618">
        <w:t xml:space="preserve">dias do mês de </w:t>
      </w:r>
      <w:r w:rsidR="00E043AF" w:rsidRPr="00874618">
        <w:t>maio</w:t>
      </w:r>
      <w:r w:rsidR="00502901" w:rsidRPr="00874618">
        <w:t xml:space="preserve"> </w:t>
      </w:r>
      <w:r w:rsidRPr="00874618">
        <w:t xml:space="preserve">de </w:t>
      </w:r>
      <w:r w:rsidR="008E6196" w:rsidRPr="00874618">
        <w:t>202</w:t>
      </w:r>
      <w:r w:rsidR="001761FC" w:rsidRPr="00874618">
        <w:t>1</w:t>
      </w:r>
      <w:r w:rsidRPr="00874618">
        <w:t xml:space="preserve">, às </w:t>
      </w:r>
      <w:r w:rsidR="00AB2390">
        <w:t>1</w:t>
      </w:r>
      <w:r w:rsidR="00AB2390">
        <w:t>3</w:t>
      </w:r>
      <w:r w:rsidR="002F08EB" w:rsidRPr="00874618">
        <w:t>:</w:t>
      </w:r>
      <w:r w:rsidR="00AB2390">
        <w:t>3</w:t>
      </w:r>
      <w:r w:rsidR="00AB2390" w:rsidRPr="00874618">
        <w:t xml:space="preserve">0 </w:t>
      </w:r>
      <w:r w:rsidRPr="00874618">
        <w:t xml:space="preserve">horas, </w:t>
      </w:r>
      <w:r w:rsidR="00E043AF" w:rsidRPr="00874618">
        <w:t xml:space="preserve">na </w:t>
      </w:r>
      <w:r w:rsidR="00E752F3" w:rsidRPr="00874618">
        <w:t xml:space="preserve">sede </w:t>
      </w:r>
      <w:r w:rsidR="00E043AF" w:rsidRPr="00874618">
        <w:t xml:space="preserve">social </w:t>
      </w:r>
      <w:r w:rsidR="00E752F3" w:rsidRPr="00874618">
        <w:t xml:space="preserve">da </w:t>
      </w:r>
      <w:r w:rsidR="00874618" w:rsidRPr="00874618">
        <w:rPr>
          <w:b/>
        </w:rPr>
        <w:t>Santa Luz</w:t>
      </w:r>
      <w:r w:rsidR="00395829" w:rsidRPr="00874618">
        <w:rPr>
          <w:b/>
        </w:rPr>
        <w:t xml:space="preserve"> Geração e Comércio de Energia SPE S.A.</w:t>
      </w:r>
      <w:r w:rsidR="00E752F3" w:rsidRPr="00874618">
        <w:t xml:space="preserve">, </w:t>
      </w:r>
      <w:r w:rsidR="00E043AF" w:rsidRPr="00874618">
        <w:t>localizada na Cidade</w:t>
      </w:r>
      <w:r w:rsidR="00E043AF" w:rsidRPr="00A4094B">
        <w:t xml:space="preserve"> do Boa Vista, Estado de Roraima, </w:t>
      </w:r>
      <w:r w:rsidR="00FF5517" w:rsidRPr="00A4094B">
        <w:t xml:space="preserve">na </w:t>
      </w:r>
      <w:r w:rsidR="008E6196" w:rsidRPr="00A4094B">
        <w:t xml:space="preserve">Rua </w:t>
      </w:r>
      <w:proofErr w:type="spellStart"/>
      <w:r w:rsidR="008E6196" w:rsidRPr="00A4094B">
        <w:t>Levindo</w:t>
      </w:r>
      <w:proofErr w:type="spellEnd"/>
      <w:r w:rsidR="008E6196" w:rsidRPr="00A4094B">
        <w:t xml:space="preserve"> Inácio de Oliveira</w:t>
      </w:r>
      <w:r w:rsidR="00A54B79" w:rsidRPr="00A4094B">
        <w:t xml:space="preserve">, </w:t>
      </w:r>
      <w:r w:rsidR="00E043AF" w:rsidRPr="00A4094B">
        <w:t xml:space="preserve">nº </w:t>
      </w:r>
      <w:r w:rsidR="008E6196" w:rsidRPr="00A4094B">
        <w:t>1.117</w:t>
      </w:r>
      <w:r w:rsidR="00A54B79" w:rsidRPr="00A4094B">
        <w:t xml:space="preserve">, </w:t>
      </w:r>
      <w:r w:rsidR="008E6196" w:rsidRPr="00A4094B">
        <w:t xml:space="preserve">Sala </w:t>
      </w:r>
      <w:r w:rsidR="00874618">
        <w:t>4</w:t>
      </w:r>
      <w:r w:rsidR="00A54B79" w:rsidRPr="00A4094B">
        <w:t xml:space="preserve">, </w:t>
      </w:r>
      <w:proofErr w:type="spellStart"/>
      <w:r w:rsidR="008E6196" w:rsidRPr="00A4094B">
        <w:t>Paraviana</w:t>
      </w:r>
      <w:proofErr w:type="spellEnd"/>
      <w:r w:rsidR="00A54B79" w:rsidRPr="00A4094B">
        <w:t>, CEP</w:t>
      </w:r>
      <w:r w:rsidR="00AB2390">
        <w:t> </w:t>
      </w:r>
      <w:r w:rsidR="00DD4BFA" w:rsidRPr="00A4094B">
        <w:t>69.307-272</w:t>
      </w:r>
      <w:r w:rsidR="00E043AF" w:rsidRPr="00A4094B">
        <w:t xml:space="preserve"> (“</w:t>
      </w:r>
      <w:r w:rsidR="00E043AF" w:rsidRPr="00A4094B">
        <w:rPr>
          <w:b/>
        </w:rPr>
        <w:t>Emissora</w:t>
      </w:r>
      <w:r w:rsidR="00E043AF" w:rsidRPr="00A4094B">
        <w:t>”)</w:t>
      </w:r>
      <w:r w:rsidR="00E752F3" w:rsidRPr="00A4094B">
        <w:t>.</w:t>
      </w:r>
    </w:p>
    <w:p w14:paraId="3ABF6397" w14:textId="77777777" w:rsidR="00D645F1" w:rsidRPr="00A4094B" w:rsidRDefault="00D645F1" w:rsidP="00FB35C3">
      <w:pPr>
        <w:widowControl/>
      </w:pPr>
    </w:p>
    <w:p w14:paraId="5B5C5C7D" w14:textId="14419CB9" w:rsidR="00EB62B1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  <w:rPr>
          <w:rFonts w:eastAsiaTheme="minorHAnsi"/>
        </w:rPr>
      </w:pPr>
      <w:r w:rsidRPr="00A4094B">
        <w:rPr>
          <w:rFonts w:eastAsiaTheme="minorHAnsi"/>
          <w:b/>
        </w:rPr>
        <w:t>CONVOCAÇÃO:</w:t>
      </w:r>
      <w:r w:rsidRPr="00A4094B">
        <w:rPr>
          <w:rFonts w:eastAsiaTheme="minorHAnsi"/>
        </w:rPr>
        <w:t xml:space="preserve"> </w:t>
      </w:r>
      <w:r w:rsidR="008F67E2" w:rsidRPr="00A4094B">
        <w:rPr>
          <w:rFonts w:eastAsiaTheme="minorHAnsi"/>
        </w:rPr>
        <w:t xml:space="preserve">Dispensadas as publicações de editais de convocação e demais anúncios, conforme o disposto nos artigos 71, </w:t>
      </w:r>
      <w:r w:rsidR="00E043AF" w:rsidRPr="00A4094B">
        <w:rPr>
          <w:rFonts w:eastAsiaTheme="minorHAnsi"/>
        </w:rPr>
        <w:t xml:space="preserve">parágrafo </w:t>
      </w:r>
      <w:r w:rsidR="008F67E2" w:rsidRPr="00A4094B">
        <w:rPr>
          <w:rFonts w:eastAsiaTheme="minorHAnsi"/>
        </w:rPr>
        <w:t>2º</w:t>
      </w:r>
      <w:r w:rsidR="00E043AF" w:rsidRPr="00A4094B">
        <w:rPr>
          <w:rFonts w:eastAsiaTheme="minorHAnsi"/>
        </w:rPr>
        <w:t>,</w:t>
      </w:r>
      <w:r w:rsidR="008F67E2" w:rsidRPr="00A4094B">
        <w:rPr>
          <w:rFonts w:eastAsiaTheme="minorHAnsi"/>
        </w:rPr>
        <w:t xml:space="preserve"> e 124, </w:t>
      </w:r>
      <w:r w:rsidR="00E043AF" w:rsidRPr="00A4094B">
        <w:rPr>
          <w:rFonts w:eastAsiaTheme="minorHAnsi"/>
        </w:rPr>
        <w:t xml:space="preserve">parágrafo </w:t>
      </w:r>
      <w:r w:rsidR="008F67E2" w:rsidRPr="00A4094B">
        <w:rPr>
          <w:rFonts w:eastAsiaTheme="minorHAnsi"/>
        </w:rPr>
        <w:t xml:space="preserve">4º, da Lei </w:t>
      </w:r>
      <w:r w:rsidR="00E043AF" w:rsidRPr="00A4094B">
        <w:rPr>
          <w:rFonts w:eastAsiaTheme="minorHAnsi"/>
        </w:rPr>
        <w:t xml:space="preserve">nº </w:t>
      </w:r>
      <w:r w:rsidR="008F67E2" w:rsidRPr="00A4094B">
        <w:rPr>
          <w:rFonts w:eastAsiaTheme="minorHAnsi"/>
        </w:rPr>
        <w:t xml:space="preserve">6.404, de 15 de dezembro de 1976, conforme alterada, </w:t>
      </w:r>
      <w:r w:rsidR="000E3770" w:rsidRPr="00A4094B">
        <w:rPr>
          <w:rFonts w:eastAsiaTheme="minorHAnsi"/>
        </w:rPr>
        <w:t xml:space="preserve">e da Cláusula </w:t>
      </w:r>
      <w:r w:rsidR="00F10325" w:rsidRPr="00A4094B">
        <w:rPr>
          <w:rFonts w:eastAsiaTheme="minorHAnsi"/>
        </w:rPr>
        <w:t>8.2</w:t>
      </w:r>
      <w:r w:rsidR="000E3770" w:rsidRPr="00A4094B">
        <w:rPr>
          <w:rFonts w:eastAsiaTheme="minorHAnsi"/>
        </w:rPr>
        <w:t xml:space="preserve"> do “</w:t>
      </w:r>
      <w:r w:rsidR="000E3770" w:rsidRPr="00A4094B">
        <w:rPr>
          <w:rFonts w:eastAsiaTheme="minorHAnsi"/>
          <w:i/>
        </w:rPr>
        <w:t xml:space="preserve">Instrumento Particular de Escritura da </w:t>
      </w:r>
      <w:r w:rsidR="001761FC" w:rsidRPr="00A4094B">
        <w:rPr>
          <w:rFonts w:eastAsiaTheme="minorHAnsi"/>
          <w:i/>
        </w:rPr>
        <w:t>2</w:t>
      </w:r>
      <w:r w:rsidR="000E3770" w:rsidRPr="00A4094B">
        <w:rPr>
          <w:rFonts w:eastAsiaTheme="minorHAnsi"/>
          <w:i/>
        </w:rPr>
        <w:t>ª</w:t>
      </w:r>
      <w:r w:rsidR="003C342D">
        <w:rPr>
          <w:rFonts w:eastAsiaTheme="minorHAnsi"/>
          <w:i/>
        </w:rPr>
        <w:t> </w:t>
      </w:r>
      <w:r w:rsidR="00E043AF" w:rsidRPr="00A4094B">
        <w:rPr>
          <w:rFonts w:eastAsiaTheme="minorHAnsi"/>
          <w:i/>
        </w:rPr>
        <w:t xml:space="preserve">(Segunda) </w:t>
      </w:r>
      <w:r w:rsidR="000E3770" w:rsidRPr="00A4094B">
        <w:rPr>
          <w:rFonts w:eastAsiaTheme="minorHAnsi"/>
          <w:i/>
        </w:rPr>
        <w:t>Emissão de Deb</w:t>
      </w:r>
      <w:bookmarkStart w:id="2" w:name="_GoBack"/>
      <w:bookmarkEnd w:id="2"/>
      <w:r w:rsidR="000E3770" w:rsidRPr="00A4094B">
        <w:rPr>
          <w:rFonts w:eastAsiaTheme="minorHAnsi"/>
          <w:i/>
        </w:rPr>
        <w:t>êntures Simples, Não Conversíveis em Ações, da Espécie Quirografária</w:t>
      </w:r>
      <w:r w:rsidR="001761FC" w:rsidRPr="00A4094B">
        <w:rPr>
          <w:rFonts w:eastAsiaTheme="minorHAnsi"/>
          <w:i/>
        </w:rPr>
        <w:t>, a ser Convolada em d</w:t>
      </w:r>
      <w:r w:rsidR="002542A0" w:rsidRPr="00A4094B">
        <w:rPr>
          <w:rFonts w:eastAsiaTheme="minorHAnsi"/>
          <w:i/>
        </w:rPr>
        <w:t>a</w:t>
      </w:r>
      <w:r w:rsidR="001761FC" w:rsidRPr="00A4094B">
        <w:rPr>
          <w:rFonts w:eastAsiaTheme="minorHAnsi"/>
          <w:i/>
        </w:rPr>
        <w:t xml:space="preserve"> </w:t>
      </w:r>
      <w:r w:rsidR="001761FC" w:rsidRPr="00A4094B">
        <w:rPr>
          <w:i/>
        </w:rPr>
        <w:t>Espécie</w:t>
      </w:r>
      <w:r w:rsidR="000E3770" w:rsidRPr="00A4094B">
        <w:rPr>
          <w:rFonts w:eastAsiaTheme="minorHAnsi"/>
          <w:i/>
        </w:rPr>
        <w:t xml:space="preserve"> com Garantia Real, em </w:t>
      </w:r>
      <w:r w:rsidR="00E043AF" w:rsidRPr="00A4094B">
        <w:rPr>
          <w:rFonts w:eastAsiaTheme="minorHAnsi"/>
          <w:i/>
        </w:rPr>
        <w:t>2 (</w:t>
      </w:r>
      <w:r w:rsidR="000E3770" w:rsidRPr="00A4094B">
        <w:rPr>
          <w:rFonts w:eastAsiaTheme="minorHAnsi"/>
          <w:i/>
        </w:rPr>
        <w:t>Duas</w:t>
      </w:r>
      <w:r w:rsidR="00E043AF" w:rsidRPr="00A4094B">
        <w:rPr>
          <w:rFonts w:eastAsiaTheme="minorHAnsi"/>
          <w:i/>
        </w:rPr>
        <w:t>)</w:t>
      </w:r>
      <w:r w:rsidR="000E3770" w:rsidRPr="00A4094B">
        <w:rPr>
          <w:rFonts w:eastAsiaTheme="minorHAnsi"/>
          <w:i/>
        </w:rPr>
        <w:t xml:space="preserve"> Séries, para Distribuição Pública, com Esforços Restritos de Distribuição, da</w:t>
      </w:r>
      <w:r w:rsidR="009D3CD9" w:rsidRPr="00A4094B">
        <w:rPr>
          <w:rFonts w:eastAsiaTheme="minorHAnsi"/>
          <w:i/>
        </w:rPr>
        <w:t xml:space="preserve"> </w:t>
      </w:r>
      <w:r w:rsidR="00874618">
        <w:rPr>
          <w:rFonts w:eastAsiaTheme="minorHAnsi"/>
          <w:i/>
        </w:rPr>
        <w:t>Santa Luz</w:t>
      </w:r>
      <w:r w:rsidR="009D3CD9" w:rsidRPr="00A4094B">
        <w:rPr>
          <w:rFonts w:eastAsiaTheme="minorHAnsi"/>
          <w:i/>
        </w:rPr>
        <w:t xml:space="preserve"> Geração e Comércio de Energia SPE S.A.</w:t>
      </w:r>
      <w:r w:rsidR="000E3770" w:rsidRPr="00A4094B">
        <w:rPr>
          <w:rFonts w:eastAsiaTheme="minorHAnsi"/>
        </w:rPr>
        <w:t>” celebrado</w:t>
      </w:r>
      <w:r w:rsidR="00E043AF" w:rsidRPr="00A4094B">
        <w:rPr>
          <w:rFonts w:eastAsiaTheme="minorHAnsi"/>
        </w:rPr>
        <w:t xml:space="preserve"> </w:t>
      </w:r>
      <w:r w:rsidR="000E3770" w:rsidRPr="00A4094B">
        <w:rPr>
          <w:rFonts w:eastAsiaTheme="minorHAnsi"/>
        </w:rPr>
        <w:t>entre a Emissora e a Simplific Pavarini Distribuidora de Títulos e Valores Mobiliários Ltda., na qualidade de agente fiduciário</w:t>
      </w:r>
      <w:r w:rsidR="00E043AF" w:rsidRPr="00A4094B">
        <w:rPr>
          <w:rFonts w:eastAsiaTheme="minorHAnsi"/>
        </w:rPr>
        <w:t xml:space="preserve"> (“</w:t>
      </w:r>
      <w:r w:rsidR="00E043AF" w:rsidRPr="00A4094B">
        <w:rPr>
          <w:rFonts w:eastAsiaTheme="minorHAnsi"/>
          <w:b/>
        </w:rPr>
        <w:t>Agente Fiduciário</w:t>
      </w:r>
      <w:r w:rsidR="00E043AF" w:rsidRPr="00A4094B">
        <w:rPr>
          <w:rFonts w:eastAsiaTheme="minorHAnsi"/>
        </w:rPr>
        <w:t>”)</w:t>
      </w:r>
      <w:r w:rsidR="009165BE" w:rsidRPr="00A4094B">
        <w:rPr>
          <w:rFonts w:eastAsiaTheme="minorHAnsi"/>
        </w:rPr>
        <w:t xml:space="preserve">, </w:t>
      </w:r>
      <w:r w:rsidR="00E043AF" w:rsidRPr="00A4094B">
        <w:rPr>
          <w:rFonts w:eastAsiaTheme="minorHAnsi"/>
        </w:rPr>
        <w:t xml:space="preserve">em 30 de dezembro de 2020, </w:t>
      </w:r>
      <w:r w:rsidR="009165BE" w:rsidRPr="00A4094B">
        <w:rPr>
          <w:rFonts w:eastAsiaTheme="minorHAnsi"/>
        </w:rPr>
        <w:t xml:space="preserve">conforme </w:t>
      </w:r>
      <w:r w:rsidR="00E043AF" w:rsidRPr="00A4094B">
        <w:rPr>
          <w:rFonts w:eastAsiaTheme="minorHAnsi"/>
        </w:rPr>
        <w:t>alterado de tempos em tempos (</w:t>
      </w:r>
      <w:r w:rsidR="000E3770" w:rsidRPr="00A4094B">
        <w:rPr>
          <w:rFonts w:eastAsiaTheme="minorHAnsi"/>
        </w:rPr>
        <w:t>“</w:t>
      </w:r>
      <w:r w:rsidR="000E3770" w:rsidRPr="00A4094B">
        <w:rPr>
          <w:rFonts w:eastAsiaTheme="minorHAnsi"/>
          <w:b/>
        </w:rPr>
        <w:t>Escritura de Emissão</w:t>
      </w:r>
      <w:r w:rsidR="000E3770" w:rsidRPr="00A4094B">
        <w:rPr>
          <w:rFonts w:eastAsiaTheme="minorHAnsi"/>
        </w:rPr>
        <w:t xml:space="preserve">”), </w:t>
      </w:r>
      <w:r w:rsidR="008F67E2" w:rsidRPr="00A4094B">
        <w:rPr>
          <w:rFonts w:eastAsiaTheme="minorHAnsi"/>
        </w:rPr>
        <w:t xml:space="preserve">em razão da presença </w:t>
      </w:r>
      <w:r w:rsidR="004C2B6C" w:rsidRPr="00A4094B">
        <w:rPr>
          <w:rFonts w:eastAsiaTheme="minorHAnsi"/>
        </w:rPr>
        <w:t>dos</w:t>
      </w:r>
      <w:r w:rsidR="00CD4984" w:rsidRPr="00A4094B">
        <w:rPr>
          <w:rFonts w:eastAsiaTheme="minorHAnsi"/>
        </w:rPr>
        <w:t xml:space="preserve"> </w:t>
      </w:r>
      <w:r w:rsidR="000E3770" w:rsidRPr="00A4094B">
        <w:rPr>
          <w:rFonts w:eastAsiaTheme="minorHAnsi"/>
        </w:rPr>
        <w:t xml:space="preserve">titulares </w:t>
      </w:r>
      <w:r w:rsidR="004C2B6C" w:rsidRPr="00A4094B">
        <w:rPr>
          <w:rFonts w:eastAsiaTheme="minorHAnsi"/>
        </w:rPr>
        <w:t xml:space="preserve">de </w:t>
      </w:r>
      <w:r w:rsidR="006F516C" w:rsidRPr="00A4094B">
        <w:rPr>
          <w:rFonts w:eastAsiaTheme="minorHAnsi"/>
        </w:rPr>
        <w:t>d</w:t>
      </w:r>
      <w:r w:rsidR="000E3770" w:rsidRPr="00A4094B">
        <w:rPr>
          <w:rFonts w:eastAsiaTheme="minorHAnsi"/>
        </w:rPr>
        <w:t>ebêntures</w:t>
      </w:r>
      <w:r w:rsidR="009165BE" w:rsidRPr="00A4094B">
        <w:rPr>
          <w:rFonts w:eastAsiaTheme="minorHAnsi"/>
        </w:rPr>
        <w:t xml:space="preserve"> da 1ª</w:t>
      </w:r>
      <w:r w:rsidR="002212D7" w:rsidRPr="00A4094B">
        <w:rPr>
          <w:rFonts w:eastAsiaTheme="minorHAnsi"/>
        </w:rPr>
        <w:t> </w:t>
      </w:r>
      <w:r w:rsidR="00CD4984" w:rsidRPr="00A4094B">
        <w:rPr>
          <w:rFonts w:eastAsiaTheme="minorHAnsi"/>
        </w:rPr>
        <w:t>(primeira) s</w:t>
      </w:r>
      <w:r w:rsidR="009165BE" w:rsidRPr="00A4094B">
        <w:rPr>
          <w:rFonts w:eastAsiaTheme="minorHAnsi"/>
        </w:rPr>
        <w:t>érie</w:t>
      </w:r>
      <w:r w:rsidR="000E3770" w:rsidRPr="00A4094B">
        <w:rPr>
          <w:rFonts w:eastAsiaTheme="minorHAnsi"/>
        </w:rPr>
        <w:t xml:space="preserve"> </w:t>
      </w:r>
      <w:r w:rsidR="00CD4984" w:rsidRPr="00A4094B">
        <w:rPr>
          <w:rFonts w:eastAsiaTheme="minorHAnsi"/>
        </w:rPr>
        <w:t>da 2ª (segunda) emissão da Emissora (“</w:t>
      </w:r>
      <w:r w:rsidR="00CD4984" w:rsidRPr="00A4094B">
        <w:rPr>
          <w:rFonts w:eastAsiaTheme="minorHAnsi"/>
          <w:b/>
        </w:rPr>
        <w:t>Debenturistas da 1ª Série</w:t>
      </w:r>
      <w:r w:rsidR="00CD4984" w:rsidRPr="00A4094B">
        <w:rPr>
          <w:rFonts w:eastAsiaTheme="minorHAnsi"/>
        </w:rPr>
        <w:t>”</w:t>
      </w:r>
      <w:r w:rsidR="007D7834" w:rsidRPr="00A4094B">
        <w:rPr>
          <w:rFonts w:eastAsiaTheme="minorHAnsi"/>
        </w:rPr>
        <w:t>, “</w:t>
      </w:r>
      <w:r w:rsidR="007D7834" w:rsidRPr="00A4094B">
        <w:rPr>
          <w:rFonts w:eastAsiaTheme="minorHAnsi"/>
          <w:b/>
        </w:rPr>
        <w:t>Debêntures da 1ª Série</w:t>
      </w:r>
      <w:r w:rsidR="007D7834" w:rsidRPr="00A4094B">
        <w:rPr>
          <w:rFonts w:eastAsiaTheme="minorHAnsi"/>
        </w:rPr>
        <w:t xml:space="preserve">” </w:t>
      </w:r>
      <w:r w:rsidR="00CD4984" w:rsidRPr="00A4094B">
        <w:rPr>
          <w:rFonts w:eastAsiaTheme="minorHAnsi"/>
        </w:rPr>
        <w:t>e “</w:t>
      </w:r>
      <w:r w:rsidR="00CD4984" w:rsidRPr="00A4094B">
        <w:rPr>
          <w:rFonts w:eastAsiaTheme="minorHAnsi"/>
          <w:b/>
        </w:rPr>
        <w:t>Emissão</w:t>
      </w:r>
      <w:r w:rsidR="00CD4984" w:rsidRPr="00A4094B">
        <w:rPr>
          <w:rFonts w:eastAsiaTheme="minorHAnsi"/>
        </w:rPr>
        <w:t>”, respectivamente)</w:t>
      </w:r>
      <w:r w:rsidR="004C2B6C" w:rsidRPr="00A4094B">
        <w:rPr>
          <w:rFonts w:eastAsiaTheme="minorHAnsi"/>
        </w:rPr>
        <w:t>,</w:t>
      </w:r>
      <w:r w:rsidR="00CD4984" w:rsidRPr="00A4094B">
        <w:rPr>
          <w:rFonts w:eastAsiaTheme="minorHAnsi"/>
        </w:rPr>
        <w:t xml:space="preserve"> </w:t>
      </w:r>
      <w:r w:rsidR="008F67E2" w:rsidRPr="00A4094B">
        <w:rPr>
          <w:rFonts w:eastAsiaTheme="minorHAnsi"/>
        </w:rPr>
        <w:t xml:space="preserve">representando 100% (cem por cento) das </w:t>
      </w:r>
      <w:r w:rsidR="000E3770" w:rsidRPr="00A4094B">
        <w:rPr>
          <w:rFonts w:eastAsiaTheme="minorHAnsi"/>
        </w:rPr>
        <w:t>D</w:t>
      </w:r>
      <w:r w:rsidR="008F67E2" w:rsidRPr="00A4094B">
        <w:rPr>
          <w:rFonts w:eastAsiaTheme="minorHAnsi"/>
        </w:rPr>
        <w:t xml:space="preserve">ebêntures em </w:t>
      </w:r>
      <w:r w:rsidR="000E3770" w:rsidRPr="00A4094B">
        <w:rPr>
          <w:rFonts w:eastAsiaTheme="minorHAnsi"/>
        </w:rPr>
        <w:t>C</w:t>
      </w:r>
      <w:r w:rsidR="008F67E2" w:rsidRPr="00A4094B">
        <w:rPr>
          <w:rFonts w:eastAsiaTheme="minorHAnsi"/>
        </w:rPr>
        <w:t>irculação</w:t>
      </w:r>
      <w:r w:rsidR="0091728B" w:rsidRPr="00A4094B">
        <w:rPr>
          <w:rFonts w:eastAsiaTheme="minorHAnsi"/>
        </w:rPr>
        <w:t xml:space="preserve"> </w:t>
      </w:r>
      <w:bookmarkStart w:id="3" w:name="_Hlk59522766"/>
      <w:r w:rsidR="0091728B" w:rsidRPr="00A4094B">
        <w:rPr>
          <w:rFonts w:eastAsiaTheme="minorHAnsi"/>
        </w:rPr>
        <w:t>(conforme definid</w:t>
      </w:r>
      <w:r w:rsidR="00CD4984" w:rsidRPr="00A4094B">
        <w:rPr>
          <w:rFonts w:eastAsiaTheme="minorHAnsi"/>
        </w:rPr>
        <w:t>o</w:t>
      </w:r>
      <w:r w:rsidR="0091728B" w:rsidRPr="00A4094B">
        <w:rPr>
          <w:rFonts w:eastAsiaTheme="minorHAnsi"/>
        </w:rPr>
        <w:t xml:space="preserve"> na Escritura de Emissão)</w:t>
      </w:r>
      <w:r w:rsidR="00404FE6">
        <w:rPr>
          <w:rFonts w:eastAsiaTheme="minorHAnsi"/>
        </w:rPr>
        <w:t xml:space="preserve">, sendo </w:t>
      </w:r>
      <w:r w:rsidR="004F5280">
        <w:rPr>
          <w:rFonts w:eastAsiaTheme="minorHAnsi"/>
        </w:rPr>
        <w:t xml:space="preserve">certo </w:t>
      </w:r>
      <w:r w:rsidR="00404FE6">
        <w:rPr>
          <w:rFonts w:eastAsiaTheme="minorHAnsi"/>
        </w:rPr>
        <w:t>que</w:t>
      </w:r>
      <w:r w:rsidR="00103A18">
        <w:rPr>
          <w:rFonts w:eastAsiaTheme="minorHAnsi"/>
        </w:rPr>
        <w:t xml:space="preserve">, até a presente data, não foram subscritas e/ou integralizadas quaisquer debêntures da </w:t>
      </w:r>
      <w:r w:rsidR="00404FE6">
        <w:rPr>
          <w:rFonts w:eastAsiaTheme="minorHAnsi"/>
        </w:rPr>
        <w:t xml:space="preserve">2ª (segunda) série da </w:t>
      </w:r>
      <w:r w:rsidR="004F5280">
        <w:rPr>
          <w:rFonts w:eastAsiaTheme="minorHAnsi"/>
        </w:rPr>
        <w:t>E</w:t>
      </w:r>
      <w:r w:rsidR="00404FE6">
        <w:rPr>
          <w:rFonts w:eastAsiaTheme="minorHAnsi"/>
        </w:rPr>
        <w:t>missão</w:t>
      </w:r>
      <w:r w:rsidR="00355FFE">
        <w:rPr>
          <w:rFonts w:eastAsiaTheme="minorHAnsi"/>
        </w:rPr>
        <w:t xml:space="preserve"> (“</w:t>
      </w:r>
      <w:r w:rsidR="00355FFE" w:rsidRPr="00173B2D">
        <w:rPr>
          <w:rFonts w:eastAsiaTheme="minorHAnsi"/>
          <w:b/>
        </w:rPr>
        <w:t>Debêntures da 2ª Série</w:t>
      </w:r>
      <w:r w:rsidR="00355FFE">
        <w:rPr>
          <w:rFonts w:eastAsiaTheme="minorHAnsi"/>
        </w:rPr>
        <w:t>”)</w:t>
      </w:r>
      <w:r w:rsidR="00CD4984" w:rsidRPr="00A4094B">
        <w:rPr>
          <w:rFonts w:eastAsiaTheme="minorHAnsi"/>
        </w:rPr>
        <w:t>.</w:t>
      </w:r>
    </w:p>
    <w:p w14:paraId="01550FF0" w14:textId="77777777" w:rsidR="00D645F1" w:rsidRPr="00A4094B" w:rsidRDefault="00D645F1" w:rsidP="00FB35C3">
      <w:pPr>
        <w:widowControl/>
        <w:rPr>
          <w:rFonts w:eastAsiaTheme="minorHAnsi"/>
        </w:rPr>
      </w:pPr>
    </w:p>
    <w:bookmarkEnd w:id="3"/>
    <w:p w14:paraId="37512C93" w14:textId="77777777" w:rsidR="00866033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PRESENÇA:</w:t>
      </w:r>
      <w:r w:rsidRPr="00A4094B">
        <w:t xml:space="preserve"> </w:t>
      </w:r>
      <w:r w:rsidR="00CD4984" w:rsidRPr="00A4094B">
        <w:t>Presentes r</w:t>
      </w:r>
      <w:r w:rsidR="000E3770" w:rsidRPr="00A4094B">
        <w:t>epresentantes</w:t>
      </w:r>
      <w:r w:rsidR="002541C9">
        <w:t>:</w:t>
      </w:r>
      <w:r w:rsidR="000E3770" w:rsidRPr="00A4094B">
        <w:t xml:space="preserve"> (i) </w:t>
      </w:r>
      <w:r w:rsidR="003A3C5E" w:rsidRPr="00A4094B">
        <w:t>da Emissora</w:t>
      </w:r>
      <w:r w:rsidR="002541C9">
        <w:t>;</w:t>
      </w:r>
      <w:r w:rsidR="003A3C5E" w:rsidRPr="00A4094B">
        <w:t xml:space="preserve"> (</w:t>
      </w:r>
      <w:proofErr w:type="spellStart"/>
      <w:r w:rsidR="003A3C5E" w:rsidRPr="00A4094B">
        <w:t>ii</w:t>
      </w:r>
      <w:proofErr w:type="spellEnd"/>
      <w:r w:rsidR="003A3C5E" w:rsidRPr="00A4094B">
        <w:t>)</w:t>
      </w:r>
      <w:r w:rsidR="004C2B6C" w:rsidRPr="00A4094B">
        <w:t xml:space="preserve"> </w:t>
      </w:r>
      <w:r w:rsidR="003746E9" w:rsidRPr="00A4094B">
        <w:t xml:space="preserve">do </w:t>
      </w:r>
      <w:r w:rsidR="00866033" w:rsidRPr="00A4094B">
        <w:t>Agente Fiduciário</w:t>
      </w:r>
      <w:r w:rsidR="002541C9">
        <w:t>;</w:t>
      </w:r>
      <w:r w:rsidR="004C2B6C" w:rsidRPr="00A4094B">
        <w:t xml:space="preserve"> e (</w:t>
      </w:r>
      <w:proofErr w:type="spellStart"/>
      <w:r w:rsidR="004C2B6C" w:rsidRPr="00A4094B">
        <w:t>iii</w:t>
      </w:r>
      <w:proofErr w:type="spellEnd"/>
      <w:r w:rsidR="004C2B6C" w:rsidRPr="00A4094B">
        <w:t xml:space="preserve">) dos Debenturistas </w:t>
      </w:r>
      <w:r w:rsidR="004C2B6C" w:rsidRPr="00A4094B">
        <w:rPr>
          <w:rFonts w:eastAsiaTheme="minorHAnsi"/>
        </w:rPr>
        <w:t>da 1ª Série,</w:t>
      </w:r>
      <w:r w:rsidR="004C2B6C" w:rsidRPr="00A4094B">
        <w:t xml:space="preserve"> representando 100% (cem por cento) das Debêntures em Circulação (conforme definido na Escritura de Emissão), conforme verificou-se da Lista de Presença constante do </w:t>
      </w:r>
      <w:r w:rsidR="004C2B6C" w:rsidRPr="00A4094B">
        <w:rPr>
          <w:b/>
        </w:rPr>
        <w:t>Anexo I</w:t>
      </w:r>
      <w:r w:rsidR="004C2B6C" w:rsidRPr="00A4094B">
        <w:t xml:space="preserve"> da presente ata.</w:t>
      </w:r>
    </w:p>
    <w:p w14:paraId="4027DAB2" w14:textId="77777777" w:rsidR="00D645F1" w:rsidRPr="00A4094B" w:rsidRDefault="00D645F1" w:rsidP="00FB35C3">
      <w:pPr>
        <w:widowControl/>
      </w:pPr>
    </w:p>
    <w:p w14:paraId="53FDB50E" w14:textId="7E6D4066" w:rsidR="005653DF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MESA:</w:t>
      </w:r>
      <w:r w:rsidRPr="00A4094B">
        <w:t xml:space="preserve"> Presidida pel</w:t>
      </w:r>
      <w:r w:rsidR="00417AB5" w:rsidRPr="00A4094B">
        <w:t>o</w:t>
      </w:r>
      <w:r w:rsidR="005C52F0" w:rsidRPr="00A4094B">
        <w:t xml:space="preserve"> Sr.</w:t>
      </w:r>
      <w:r w:rsidRPr="00A4094B">
        <w:t xml:space="preserve"> </w:t>
      </w:r>
      <w:r w:rsidR="006F572D" w:rsidRPr="006F572D">
        <w:t>Amarildo da Silva Junior</w:t>
      </w:r>
      <w:r w:rsidR="002962D1" w:rsidRPr="00A4094B">
        <w:t xml:space="preserve"> </w:t>
      </w:r>
      <w:r w:rsidRPr="00A4094B">
        <w:t>e secretariad</w:t>
      </w:r>
      <w:r w:rsidR="00417AB5" w:rsidRPr="00A4094B">
        <w:t>o</w:t>
      </w:r>
      <w:r w:rsidRPr="00A4094B">
        <w:t xml:space="preserve"> pelo</w:t>
      </w:r>
      <w:r w:rsidR="005C52F0" w:rsidRPr="00A4094B">
        <w:t xml:space="preserve"> Sr.</w:t>
      </w:r>
      <w:r w:rsidRPr="00A4094B">
        <w:t xml:space="preserve"> </w:t>
      </w:r>
      <w:r w:rsidR="00502901" w:rsidRPr="00A4094B">
        <w:t>[</w:t>
      </w:r>
      <w:r w:rsidR="00502901" w:rsidRPr="00A4094B">
        <w:rPr>
          <w:highlight w:val="yellow"/>
        </w:rPr>
        <w:t>•</w:t>
      </w:r>
      <w:r w:rsidR="00502901" w:rsidRPr="00A4094B">
        <w:t>]</w:t>
      </w:r>
      <w:r w:rsidR="00D17E8F" w:rsidRPr="00A4094B">
        <w:t>.</w:t>
      </w:r>
    </w:p>
    <w:p w14:paraId="4717C47C" w14:textId="77777777" w:rsidR="00D645F1" w:rsidRPr="00A4094B" w:rsidRDefault="00D645F1" w:rsidP="00FB35C3">
      <w:pPr>
        <w:widowControl/>
      </w:pPr>
    </w:p>
    <w:p w14:paraId="75D9A02F" w14:textId="2F7A7FBC" w:rsidR="00014B43" w:rsidRPr="00A4094B" w:rsidRDefault="005653DF" w:rsidP="00FB35C3">
      <w:pPr>
        <w:pStyle w:val="PargrafodaLista"/>
        <w:widowControl/>
        <w:numPr>
          <w:ilvl w:val="0"/>
          <w:numId w:val="24"/>
        </w:numPr>
        <w:ind w:left="0" w:firstLine="0"/>
      </w:pPr>
      <w:r w:rsidRPr="00A4094B">
        <w:rPr>
          <w:b/>
        </w:rPr>
        <w:t>ORDEM DO DIA:</w:t>
      </w:r>
      <w:r w:rsidRPr="00A4094B">
        <w:t xml:space="preserve"> </w:t>
      </w:r>
      <w:r w:rsidR="005C52F0" w:rsidRPr="00A4094B">
        <w:t>E</w:t>
      </w:r>
      <w:r w:rsidR="000A5637" w:rsidRPr="00A4094B">
        <w:t>xaminar, discutir e deliberar sobre:</w:t>
      </w:r>
    </w:p>
    <w:p w14:paraId="38E334CB" w14:textId="77777777" w:rsidR="00AD161D" w:rsidRPr="00A4094B" w:rsidRDefault="00AD161D" w:rsidP="00FB35C3">
      <w:pPr>
        <w:widowControl/>
      </w:pPr>
    </w:p>
    <w:p w14:paraId="0062E362" w14:textId="072E1F16" w:rsidR="00BD3D61" w:rsidRPr="00A21699" w:rsidRDefault="00BD3D61" w:rsidP="00FB35C3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rPr>
          <w:color w:val="000000"/>
        </w:rPr>
        <w:t>a</w:t>
      </w:r>
      <w:r>
        <w:rPr>
          <w:color w:val="000000"/>
        </w:rPr>
        <w:t xml:space="preserve"> proposta da Emissora, aprovada na assembleia geral extraordinária da Emissora realizada nesta data, para:</w:t>
      </w:r>
    </w:p>
    <w:p w14:paraId="5E5CE6D8" w14:textId="77777777" w:rsidR="00BD3D61" w:rsidRPr="00A21699" w:rsidRDefault="00BD3D61" w:rsidP="00A21699"/>
    <w:p w14:paraId="7F6D2430" w14:textId="68DB3044" w:rsidR="00F12524" w:rsidRPr="00A4094B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A4094B">
        <w:t xml:space="preserve">inclusão </w:t>
      </w:r>
      <w:r w:rsidRPr="00A4094B">
        <w:rPr>
          <w:rFonts w:cs="Arial"/>
        </w:rPr>
        <w:t>da OXE Participações S.A. (“</w:t>
      </w:r>
      <w:r w:rsidRPr="00A4094B">
        <w:rPr>
          <w:rFonts w:cs="Arial"/>
          <w:b/>
        </w:rPr>
        <w:t>OXE</w:t>
      </w:r>
      <w:r w:rsidRPr="00A4094B">
        <w:rPr>
          <w:rFonts w:cs="Arial"/>
        </w:rPr>
        <w:t xml:space="preserve">”), da </w:t>
      </w:r>
      <w:r w:rsidR="00874618">
        <w:rPr>
          <w:rFonts w:cs="Arial"/>
        </w:rPr>
        <w:t>Bonfim</w:t>
      </w:r>
      <w:r w:rsidRPr="00A4094B">
        <w:rPr>
          <w:rFonts w:cs="Arial"/>
        </w:rPr>
        <w:t xml:space="preserve"> Geração e Comércio de Energia SPE S.A. (“</w:t>
      </w:r>
      <w:r w:rsidR="00874618">
        <w:rPr>
          <w:rFonts w:cs="Arial"/>
          <w:b/>
        </w:rPr>
        <w:t>Bonfim</w:t>
      </w:r>
      <w:r w:rsidRPr="00A4094B">
        <w:rPr>
          <w:rFonts w:cs="Arial"/>
        </w:rPr>
        <w:t xml:space="preserve">”), da </w:t>
      </w:r>
      <w:proofErr w:type="spellStart"/>
      <w:r w:rsidR="00874618">
        <w:rPr>
          <w:rFonts w:cs="Arial"/>
        </w:rPr>
        <w:t>Cantá</w:t>
      </w:r>
      <w:proofErr w:type="spellEnd"/>
      <w:r w:rsidRPr="00A4094B">
        <w:rPr>
          <w:rFonts w:cs="Arial"/>
        </w:rPr>
        <w:t xml:space="preserve"> Geração e Comércio de Energia SPE S.A. (“</w:t>
      </w:r>
      <w:proofErr w:type="spellStart"/>
      <w:r w:rsidR="00874618">
        <w:rPr>
          <w:rFonts w:cs="Arial"/>
          <w:b/>
        </w:rPr>
        <w:t>Cantá</w:t>
      </w:r>
      <w:proofErr w:type="spellEnd"/>
      <w:r w:rsidRPr="00A4094B">
        <w:rPr>
          <w:rFonts w:cs="Arial"/>
        </w:rPr>
        <w:t xml:space="preserve">”) e da </w:t>
      </w:r>
      <w:r w:rsidR="00874618">
        <w:rPr>
          <w:rFonts w:cs="Arial"/>
        </w:rPr>
        <w:t>Pau Rainha</w:t>
      </w:r>
      <w:r w:rsidRPr="00A4094B">
        <w:rPr>
          <w:rFonts w:cs="Arial"/>
        </w:rPr>
        <w:t xml:space="preserve"> Geração e Comércio de Energia SPE S.A. (“</w:t>
      </w:r>
      <w:r w:rsidR="00874618">
        <w:rPr>
          <w:rFonts w:cs="Arial"/>
          <w:b/>
        </w:rPr>
        <w:t>Pau Rainha</w:t>
      </w:r>
      <w:r w:rsidRPr="00A4094B">
        <w:rPr>
          <w:rFonts w:cs="Arial"/>
        </w:rPr>
        <w:t xml:space="preserve">” e, em conjunto com a OXE, a </w:t>
      </w:r>
      <w:r w:rsidR="00874618">
        <w:rPr>
          <w:rFonts w:cs="Arial"/>
        </w:rPr>
        <w:t>Bonfim</w:t>
      </w:r>
      <w:r w:rsidRPr="00A4094B">
        <w:rPr>
          <w:rFonts w:cs="Arial"/>
        </w:rPr>
        <w:t xml:space="preserve"> e a </w:t>
      </w:r>
      <w:proofErr w:type="spellStart"/>
      <w:r w:rsidR="00874618">
        <w:rPr>
          <w:rFonts w:cs="Arial"/>
        </w:rPr>
        <w:t>Cantá</w:t>
      </w:r>
      <w:proofErr w:type="spellEnd"/>
      <w:r w:rsidRPr="00A4094B">
        <w:rPr>
          <w:rFonts w:cs="Arial"/>
        </w:rPr>
        <w:t>, “</w:t>
      </w:r>
      <w:r w:rsidRPr="00A4094B">
        <w:rPr>
          <w:rFonts w:cs="Arial"/>
          <w:b/>
        </w:rPr>
        <w:t>Fiadoras</w:t>
      </w:r>
      <w:r w:rsidRPr="00A4094B">
        <w:rPr>
          <w:rFonts w:cs="Arial"/>
        </w:rPr>
        <w:t xml:space="preserve">”) </w:t>
      </w:r>
      <w:r w:rsidRPr="00A4094B">
        <w:t xml:space="preserve">como partes da Escritura </w:t>
      </w:r>
      <w:r w:rsidRPr="00A4094B">
        <w:lastRenderedPageBreak/>
        <w:t>de Emissão, na qualidade de fiadoras, principais pagadoras e solidariamente responsáveis por todas as obrigações da Emissora nos termos e decorrentes da Escritura de Emissão e pelo pagamento integral das Obrigações Garantidas (conforme definido na Escritura de Emissão);</w:t>
      </w:r>
    </w:p>
    <w:p w14:paraId="19123A7A" w14:textId="77777777" w:rsidR="00F12524" w:rsidRPr="00A4094B" w:rsidRDefault="00F12524" w:rsidP="00FB35C3">
      <w:pPr>
        <w:widowControl/>
      </w:pPr>
    </w:p>
    <w:p w14:paraId="6B5A29AB" w14:textId="7CDDD98C" w:rsidR="00F12524" w:rsidRPr="00A4094B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A4094B">
        <w:rPr>
          <w:color w:val="000000"/>
        </w:rPr>
        <w:t xml:space="preserve">emissão de 42.500 (quarenta e duas mil e quinhentas) Debêntures da 1ª Série adicionais e o cancelamento de 42.500 (quarenta e duas mil e quinhentas) </w:t>
      </w:r>
      <w:r w:rsidRPr="00173B2D">
        <w:rPr>
          <w:color w:val="000000"/>
        </w:rPr>
        <w:t>Debêntures da 2ª Série</w:t>
      </w:r>
      <w:r w:rsidRPr="00A4094B">
        <w:rPr>
          <w:color w:val="000000"/>
        </w:rPr>
        <w:t>,</w:t>
      </w:r>
      <w:r w:rsidRPr="00A4094B">
        <w:t xml:space="preserve"> passando a Emissão a ser composta por 72.500 (setenta e duas mil e quinhentas) </w:t>
      </w:r>
      <w:r w:rsidRPr="00A4094B">
        <w:rPr>
          <w:color w:val="000000"/>
        </w:rPr>
        <w:t>Debêntures da 1ª Série e 15.000 (quinze mil) Debêntures da 2ª Série</w:t>
      </w:r>
      <w:r w:rsidR="00753B1E" w:rsidRPr="00A4094B">
        <w:rPr>
          <w:color w:val="000000"/>
        </w:rPr>
        <w:t>;</w:t>
      </w:r>
    </w:p>
    <w:p w14:paraId="7CFD6CAB" w14:textId="77777777" w:rsidR="00F12524" w:rsidRPr="00A4094B" w:rsidRDefault="00F12524" w:rsidP="00FB35C3">
      <w:pPr>
        <w:widowControl/>
      </w:pPr>
    </w:p>
    <w:p w14:paraId="213EDD86" w14:textId="0B08AFE5" w:rsidR="00F12524" w:rsidRPr="00A4094B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A21699">
        <w:rPr>
          <w:color w:val="000000"/>
        </w:rPr>
        <w:t>alteração</w:t>
      </w:r>
      <w:r w:rsidRPr="00A4094B">
        <w:t xml:space="preserve"> da condição para o </w:t>
      </w:r>
      <w:proofErr w:type="spellStart"/>
      <w:r w:rsidRPr="00A4094B">
        <w:t>Completion</w:t>
      </w:r>
      <w:proofErr w:type="spellEnd"/>
      <w:r w:rsidRPr="00A4094B">
        <w:t xml:space="preserve"> Financeiro do Projeto </w:t>
      </w:r>
      <w:r w:rsidR="00DD0CA1" w:rsidRPr="00A4094B">
        <w:t xml:space="preserve">(conforme definido na Escritura de Emissão) </w:t>
      </w:r>
      <w:r w:rsidRPr="00A4094B">
        <w:t xml:space="preserve">referente à manutenção, pela Emissora, de ICSD </w:t>
      </w:r>
      <w:bookmarkStart w:id="4" w:name="_Hlk71826724"/>
      <w:r w:rsidRPr="00A4094B">
        <w:t xml:space="preserve">(conforme definido na Escritura de Emissão) </w:t>
      </w:r>
      <w:bookmarkEnd w:id="4"/>
      <w:r w:rsidRPr="00A4094B">
        <w:t>de, no mínimo, 1,3 (um inteiro de três décimos);</w:t>
      </w:r>
    </w:p>
    <w:p w14:paraId="03C52BD5" w14:textId="77777777" w:rsidR="00F12524" w:rsidRPr="00A4094B" w:rsidRDefault="00F12524" w:rsidP="00FB35C3">
      <w:pPr>
        <w:widowControl/>
      </w:pPr>
    </w:p>
    <w:p w14:paraId="3E2F4F2A" w14:textId="3BAEEBE7" w:rsidR="00F12524" w:rsidRPr="00B924A3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B924A3">
        <w:t>inclusão de nova</w:t>
      </w:r>
      <w:r w:rsidR="00BD3D61" w:rsidRPr="00B924A3">
        <w:t>s</w:t>
      </w:r>
      <w:r w:rsidRPr="00B924A3">
        <w:t xml:space="preserve"> hipótese</w:t>
      </w:r>
      <w:r w:rsidR="00BD3D61" w:rsidRPr="00B924A3">
        <w:t>s</w:t>
      </w:r>
      <w:r w:rsidRPr="00B924A3">
        <w:t xml:space="preserve"> de vencimento antecipado das Debêntures referente</w:t>
      </w:r>
      <w:r w:rsidR="00BD3D61" w:rsidRPr="00B924A3">
        <w:t>s</w:t>
      </w:r>
      <w:r w:rsidRPr="00B924A3">
        <w:t xml:space="preserve"> </w:t>
      </w:r>
      <w:r w:rsidR="00BD3D61" w:rsidRPr="00A21699">
        <w:rPr>
          <w:b/>
        </w:rPr>
        <w:t>(1)</w:t>
      </w:r>
      <w:r w:rsidR="008F226E">
        <w:t> </w:t>
      </w:r>
      <w:r w:rsidRPr="00B924A3">
        <w:t xml:space="preserve">ao </w:t>
      </w:r>
      <w:r w:rsidRPr="00A21699">
        <w:rPr>
          <w:color w:val="000000"/>
        </w:rPr>
        <w:t>pagamento</w:t>
      </w:r>
      <w:r w:rsidRPr="00B924A3">
        <w:t xml:space="preserve"> antecipado das debêntures da 1ª Emissão (conforme definido na Escritura de Emissão)</w:t>
      </w:r>
      <w:r w:rsidR="00BD3D61" w:rsidRPr="00B924A3">
        <w:t xml:space="preserve"> e </w:t>
      </w:r>
      <w:r w:rsidR="00BD3D61" w:rsidRPr="00A21699">
        <w:rPr>
          <w:b/>
        </w:rPr>
        <w:t>(2)</w:t>
      </w:r>
      <w:r w:rsidR="00BD3D61" w:rsidRPr="00B924A3">
        <w:t xml:space="preserve"> </w:t>
      </w:r>
      <w:r w:rsidR="00A96422" w:rsidRPr="000C1944">
        <w:t>à contratação de agência de classificação de risco</w:t>
      </w:r>
      <w:r w:rsidR="00A96422">
        <w:t xml:space="preserve"> para atribuir rating às Debêntures</w:t>
      </w:r>
      <w:r w:rsidR="00A96422" w:rsidRPr="000C1944">
        <w:t xml:space="preserve">, à obtenção e manutenção de rating mínimo para as Debêntures e à </w:t>
      </w:r>
      <w:r w:rsidR="00A96422">
        <w:t>elaboração e divulgação de demonstrações financeiras de encerramento de semestre da Emissora</w:t>
      </w:r>
      <w:r w:rsidRPr="00B924A3">
        <w:t>;</w:t>
      </w:r>
    </w:p>
    <w:p w14:paraId="37FCCE5B" w14:textId="77777777" w:rsidR="00F12524" w:rsidRPr="00A4094B" w:rsidRDefault="00F12524" w:rsidP="00FB35C3">
      <w:pPr>
        <w:widowControl/>
      </w:pPr>
    </w:p>
    <w:p w14:paraId="3C029BE3" w14:textId="21CDDC31" w:rsidR="00A96422" w:rsidRDefault="00F12524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A4094B">
        <w:t xml:space="preserve">alteração de determinadas hipóteses de vencimento antecipado das Debêntures previstas na Escritura de Emissão para inclusão de referências à </w:t>
      </w:r>
      <w:r w:rsidR="00874618">
        <w:t>Bonfim</w:t>
      </w:r>
      <w:r w:rsidRPr="00A4094B">
        <w:t xml:space="preserve"> e à </w:t>
      </w:r>
      <w:proofErr w:type="spellStart"/>
      <w:r w:rsidR="00874618">
        <w:t>Cantá</w:t>
      </w:r>
      <w:proofErr w:type="spellEnd"/>
      <w:r w:rsidRPr="00A4094B">
        <w:t>;</w:t>
      </w:r>
    </w:p>
    <w:p w14:paraId="4B232FA0" w14:textId="77777777" w:rsidR="00A96422" w:rsidRPr="00A96422" w:rsidRDefault="00A96422" w:rsidP="00173B2D"/>
    <w:p w14:paraId="78855990" w14:textId="2F6BCEE3" w:rsidR="00F12524" w:rsidRPr="00A4094B" w:rsidRDefault="00A96422" w:rsidP="00A21699">
      <w:pPr>
        <w:pStyle w:val="PargrafodaLista"/>
        <w:widowControl/>
        <w:numPr>
          <w:ilvl w:val="0"/>
          <w:numId w:val="27"/>
        </w:numPr>
        <w:ind w:left="1418" w:hanging="709"/>
      </w:pPr>
      <w:r>
        <w:t>limitação dos prestadores de serviços de auditoria independente que poderão ser contratados pela Emissora para todos os fins da Escritura de Emissão;</w:t>
      </w:r>
      <w:r w:rsidR="0094477C">
        <w:t xml:space="preserve"> e</w:t>
      </w:r>
    </w:p>
    <w:p w14:paraId="2EC9E7B8" w14:textId="77777777" w:rsidR="00F12524" w:rsidRPr="00A4094B" w:rsidRDefault="00F12524" w:rsidP="00FB35C3">
      <w:pPr>
        <w:widowControl/>
      </w:pPr>
    </w:p>
    <w:p w14:paraId="12CB41CF" w14:textId="0C1E62A5" w:rsidR="00F12524" w:rsidRPr="00B924A3" w:rsidRDefault="00A96422" w:rsidP="00A21699">
      <w:pPr>
        <w:pStyle w:val="PargrafodaLista"/>
        <w:widowControl/>
        <w:numPr>
          <w:ilvl w:val="0"/>
          <w:numId w:val="27"/>
        </w:numPr>
        <w:ind w:left="1418" w:hanging="709"/>
      </w:pPr>
      <w:r w:rsidRPr="000C1944">
        <w:t>inclusão de novas obrigações da Emissora na Escritura de Emissão referentes à apresentação de determinadas informações gerenciais da Emissora ao Agente Fiduciário</w:t>
      </w:r>
      <w:r w:rsidR="00945C9D" w:rsidRPr="00B924A3">
        <w:t>;</w:t>
      </w:r>
    </w:p>
    <w:p w14:paraId="1AA84C03" w14:textId="77777777" w:rsidR="00945C9D" w:rsidRPr="00A4094B" w:rsidRDefault="00945C9D" w:rsidP="00FB35C3">
      <w:pPr>
        <w:widowControl/>
      </w:pPr>
    </w:p>
    <w:p w14:paraId="4578D034" w14:textId="0C42316E" w:rsidR="00945C9D" w:rsidRPr="00A4094B" w:rsidRDefault="00945C9D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t>o consentimento prévio (</w:t>
      </w:r>
      <w:proofErr w:type="spellStart"/>
      <w:r w:rsidRPr="00A4094B">
        <w:rPr>
          <w:i/>
        </w:rPr>
        <w:t>waiver</w:t>
      </w:r>
      <w:proofErr w:type="spellEnd"/>
      <w:r w:rsidRPr="00A4094B">
        <w:t xml:space="preserve">) para a prestação, pela Emissora, de garantia </w:t>
      </w:r>
      <w:bookmarkStart w:id="5" w:name="_Hlk64471752"/>
      <w:r w:rsidRPr="00A4094B">
        <w:t>fidejussória na modalidade de fiança, nos termos dos artigos 818 e seguintes da Lei nº 10.406, de 10 de janeiro de 2002, conforme alterada</w:t>
      </w:r>
      <w:bookmarkStart w:id="6" w:name="_Hlk64471777"/>
      <w:bookmarkEnd w:id="5"/>
      <w:r w:rsidRPr="00A4094B">
        <w:t xml:space="preserve"> (“</w:t>
      </w:r>
      <w:r w:rsidRPr="00A4094B">
        <w:rPr>
          <w:b/>
        </w:rPr>
        <w:t>Código Civil</w:t>
      </w:r>
      <w:r w:rsidRPr="00A4094B">
        <w:t xml:space="preserve">”), e do </w:t>
      </w:r>
      <w:r w:rsidRPr="00A4094B">
        <w:rPr>
          <w:rFonts w:cs="Arial"/>
        </w:rPr>
        <w:t>“</w:t>
      </w:r>
      <w:r w:rsidRPr="00A4094B">
        <w:rPr>
          <w:rFonts w:cs="Arial"/>
          <w:i/>
          <w:iCs/>
        </w:rPr>
        <w:t>Instrumento Particular de Escritura da 2ª</w:t>
      </w:r>
      <w:r w:rsidR="006B4713" w:rsidRPr="00A4094B">
        <w:rPr>
          <w:rFonts w:cs="Arial"/>
          <w:i/>
          <w:iCs/>
        </w:rPr>
        <w:t> </w:t>
      </w:r>
      <w:r w:rsidRPr="00A4094B">
        <w:rPr>
          <w:rFonts w:cs="Arial"/>
          <w:i/>
          <w:iCs/>
        </w:rPr>
        <w:t xml:space="preserve">(Segunda) Emissão de Debêntures Simples, Não Conversíveis em Ações, da Espécie Quirografária, a Ser Convolada em da Espécie com Garantia Real, em 2 (Duas) Séries, para Distribuição Pública, com Esforços Restritos de Distribuição, da </w:t>
      </w:r>
      <w:r w:rsidR="00874618">
        <w:rPr>
          <w:rFonts w:cs="Arial"/>
          <w:i/>
          <w:iCs/>
        </w:rPr>
        <w:t>Bonfim</w:t>
      </w:r>
      <w:r w:rsidRPr="00A4094B">
        <w:rPr>
          <w:rFonts w:cs="Arial"/>
          <w:i/>
          <w:iCs/>
        </w:rPr>
        <w:t xml:space="preserve"> Geração e Comércio de Energia SPE S.A.</w:t>
      </w:r>
      <w:r w:rsidRPr="00A4094B">
        <w:rPr>
          <w:rFonts w:cs="Arial"/>
        </w:rPr>
        <w:t xml:space="preserve">”, celebrado entre a </w:t>
      </w:r>
      <w:r w:rsidR="00874618">
        <w:rPr>
          <w:rFonts w:cs="Arial"/>
        </w:rPr>
        <w:t>Bonfim</w:t>
      </w:r>
      <w:r w:rsidRPr="00A4094B">
        <w:rPr>
          <w:rFonts w:cs="Arial"/>
        </w:rPr>
        <w:t xml:space="preserve"> e a </w:t>
      </w:r>
      <w:r w:rsidRPr="00A4094B">
        <w:rPr>
          <w:rFonts w:cs="Arial"/>
          <w:bCs/>
        </w:rPr>
        <w:t>Simplific Pavarini Distribuidora de Títulos e Valores Mobiliários Ltda.</w:t>
      </w:r>
      <w:r w:rsidRPr="00A4094B">
        <w:rPr>
          <w:rFonts w:cs="Arial"/>
        </w:rPr>
        <w:t xml:space="preserve"> em 30 de dezembro de 2020, conforme alterado de tempos em tempos (“</w:t>
      </w:r>
      <w:r w:rsidRPr="00A4094B">
        <w:rPr>
          <w:rFonts w:cs="Arial"/>
          <w:b/>
        </w:rPr>
        <w:t xml:space="preserve">Escritura de Emissão da </w:t>
      </w:r>
      <w:r w:rsidR="00874618">
        <w:rPr>
          <w:rFonts w:cs="Arial"/>
          <w:b/>
        </w:rPr>
        <w:t>Bonfim</w:t>
      </w:r>
      <w:r w:rsidRPr="00A4094B">
        <w:rPr>
          <w:rFonts w:cs="Arial"/>
        </w:rPr>
        <w:t xml:space="preserve">”), </w:t>
      </w:r>
      <w:bookmarkEnd w:id="6"/>
      <w:r w:rsidRPr="00A4094B">
        <w:t xml:space="preserve">para assegurar o fiel, pontual e integral pagamento das debêntures emitidas pela </w:t>
      </w:r>
      <w:r w:rsidR="00874618">
        <w:t>Bonfim</w:t>
      </w:r>
      <w:r w:rsidRPr="00A4094B">
        <w:t xml:space="preserve"> nos termos da Escritura de Emissão da </w:t>
      </w:r>
      <w:r w:rsidR="00874618">
        <w:t>Bonfim</w:t>
      </w:r>
      <w:r w:rsidRPr="00A4094B">
        <w:t xml:space="preserve"> (“</w:t>
      </w:r>
      <w:r w:rsidRPr="00A4094B">
        <w:rPr>
          <w:b/>
        </w:rPr>
        <w:t xml:space="preserve">Fiança Corporativa da </w:t>
      </w:r>
      <w:r w:rsidR="00874618">
        <w:rPr>
          <w:b/>
        </w:rPr>
        <w:t>Bonfim</w:t>
      </w:r>
      <w:r w:rsidRPr="00A4094B">
        <w:t>”), de forma que não seja configurado um Evento de Vencimento Antecipado Automático (conforme definido na Escritura de Emissão), nos termos do item “</w:t>
      </w:r>
      <w:proofErr w:type="spellStart"/>
      <w:r w:rsidRPr="00A4094B">
        <w:t>vii</w:t>
      </w:r>
      <w:proofErr w:type="spellEnd"/>
      <w:r w:rsidRPr="00A4094B">
        <w:t>” da Cláusula 5.1.1 da Escritura de Emissão;</w:t>
      </w:r>
    </w:p>
    <w:p w14:paraId="46D82ECF" w14:textId="77777777" w:rsidR="00945C9D" w:rsidRPr="00A4094B" w:rsidRDefault="00945C9D" w:rsidP="00FB35C3">
      <w:pPr>
        <w:widowControl/>
      </w:pPr>
    </w:p>
    <w:p w14:paraId="6E88A5D2" w14:textId="25627487" w:rsidR="00945C9D" w:rsidRPr="00A4094B" w:rsidRDefault="00945C9D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lastRenderedPageBreak/>
        <w:t>o consentimento prévio (</w:t>
      </w:r>
      <w:proofErr w:type="spellStart"/>
      <w:r w:rsidRPr="00A4094B">
        <w:rPr>
          <w:i/>
        </w:rPr>
        <w:t>waiver</w:t>
      </w:r>
      <w:proofErr w:type="spellEnd"/>
      <w:r w:rsidRPr="00A4094B">
        <w:t xml:space="preserve">) para a prestação, pela Emissora, de garantia fidejussória na modalidade de fiança, nos termos dos artigos 818 e seguintes do Código Civil e do </w:t>
      </w:r>
      <w:r w:rsidRPr="00A4094B">
        <w:rPr>
          <w:rFonts w:cs="Arial"/>
        </w:rPr>
        <w:t>“</w:t>
      </w:r>
      <w:r w:rsidRPr="00A4094B">
        <w:rPr>
          <w:rFonts w:cs="Arial"/>
          <w:i/>
          <w:iCs/>
        </w:rPr>
        <w:t>Instrumento Particular de Escritura da 2ª (Segunda) Emissão de Debêntures Simples, Não Conversíveis em Ações, da Espécie Quirografária, a Ser Convolada em da Espécie com Garantia Real, em 2</w:t>
      </w:r>
      <w:r w:rsidR="006B4713" w:rsidRPr="00A4094B">
        <w:rPr>
          <w:rFonts w:cs="Arial"/>
          <w:i/>
          <w:iCs/>
        </w:rPr>
        <w:t> </w:t>
      </w:r>
      <w:r w:rsidRPr="00A4094B">
        <w:rPr>
          <w:rFonts w:cs="Arial"/>
          <w:i/>
          <w:iCs/>
        </w:rPr>
        <w:t xml:space="preserve">(Duas) Séries, para Distribuição Pública, com Esforços Restritos de Distribuição, da </w:t>
      </w:r>
      <w:proofErr w:type="spellStart"/>
      <w:r w:rsidR="00874618">
        <w:rPr>
          <w:rFonts w:cs="Arial"/>
          <w:i/>
          <w:iCs/>
        </w:rPr>
        <w:t>Cantá</w:t>
      </w:r>
      <w:proofErr w:type="spellEnd"/>
      <w:r w:rsidRPr="00A4094B">
        <w:rPr>
          <w:rFonts w:cs="Arial"/>
          <w:i/>
          <w:iCs/>
        </w:rPr>
        <w:t xml:space="preserve"> Geração e Comércio de Energia SPE S.A.</w:t>
      </w:r>
      <w:r w:rsidRPr="00A4094B">
        <w:rPr>
          <w:rFonts w:cs="Arial"/>
        </w:rPr>
        <w:t xml:space="preserve">”, celebrado entre a </w:t>
      </w:r>
      <w:proofErr w:type="spellStart"/>
      <w:r w:rsidR="00874618">
        <w:rPr>
          <w:rFonts w:cs="Arial"/>
        </w:rPr>
        <w:t>Cantá</w:t>
      </w:r>
      <w:proofErr w:type="spellEnd"/>
      <w:r w:rsidRPr="00A4094B">
        <w:rPr>
          <w:rFonts w:cs="Arial"/>
        </w:rPr>
        <w:t xml:space="preserve"> e a </w:t>
      </w:r>
      <w:r w:rsidRPr="00A4094B">
        <w:rPr>
          <w:rFonts w:cs="Arial"/>
          <w:bCs/>
        </w:rPr>
        <w:t>Simplific Pavarini Distribuidora de Títulos e Valores Mobiliários Ltda.</w:t>
      </w:r>
      <w:r w:rsidRPr="00A4094B">
        <w:rPr>
          <w:rFonts w:cs="Arial"/>
        </w:rPr>
        <w:t xml:space="preserve"> em 30 de dezembro de 2020, conforme alterado de tempos em tempos (“</w:t>
      </w:r>
      <w:r w:rsidRPr="00A4094B">
        <w:rPr>
          <w:rFonts w:cs="Arial"/>
          <w:b/>
        </w:rPr>
        <w:t xml:space="preserve">Escritura de Emissão da </w:t>
      </w:r>
      <w:proofErr w:type="spellStart"/>
      <w:r w:rsidR="00874618">
        <w:rPr>
          <w:rFonts w:cs="Arial"/>
          <w:b/>
        </w:rPr>
        <w:t>Cantá</w:t>
      </w:r>
      <w:proofErr w:type="spellEnd"/>
      <w:r w:rsidRPr="00A4094B">
        <w:rPr>
          <w:rFonts w:cs="Arial"/>
        </w:rPr>
        <w:t xml:space="preserve">”), </w:t>
      </w:r>
      <w:r w:rsidRPr="00A4094B">
        <w:t xml:space="preserve">para assegurar o fiel, pontual e integral pagamento das debêntures emitidas pela </w:t>
      </w:r>
      <w:proofErr w:type="spellStart"/>
      <w:r w:rsidR="00874618">
        <w:t>Cantá</w:t>
      </w:r>
      <w:proofErr w:type="spellEnd"/>
      <w:r w:rsidRPr="00A4094B">
        <w:t xml:space="preserve"> nos termos da Escritura de Emissão da </w:t>
      </w:r>
      <w:proofErr w:type="spellStart"/>
      <w:r w:rsidR="00874618">
        <w:t>Cantá</w:t>
      </w:r>
      <w:proofErr w:type="spellEnd"/>
      <w:r w:rsidRPr="00A4094B">
        <w:t xml:space="preserve"> (“</w:t>
      </w:r>
      <w:r w:rsidRPr="00A4094B">
        <w:rPr>
          <w:b/>
        </w:rPr>
        <w:t xml:space="preserve">Fiança Corporativa da </w:t>
      </w:r>
      <w:proofErr w:type="spellStart"/>
      <w:r w:rsidR="00874618">
        <w:rPr>
          <w:b/>
        </w:rPr>
        <w:t>Cantá</w:t>
      </w:r>
      <w:proofErr w:type="spellEnd"/>
      <w:r w:rsidRPr="00A4094B">
        <w:t>”), de forma que não seja configurado um Evento de Vencimento Antecipado Automático (conforme definido na Escritura de Emissão), nos termos do item</w:t>
      </w:r>
      <w:r w:rsidR="006B4713" w:rsidRPr="00A4094B">
        <w:t xml:space="preserve"> </w:t>
      </w:r>
      <w:r w:rsidRPr="00A4094B">
        <w:t>“</w:t>
      </w:r>
      <w:proofErr w:type="spellStart"/>
      <w:r w:rsidRPr="00A4094B">
        <w:t>vii</w:t>
      </w:r>
      <w:proofErr w:type="spellEnd"/>
      <w:r w:rsidRPr="00A4094B">
        <w:t>” da Cláusula 5.1.1 da Escritura de Emissão;</w:t>
      </w:r>
    </w:p>
    <w:p w14:paraId="0B4E5557" w14:textId="77777777" w:rsidR="00945C9D" w:rsidRPr="00A4094B" w:rsidRDefault="00945C9D" w:rsidP="00FB35C3">
      <w:pPr>
        <w:widowControl/>
      </w:pPr>
    </w:p>
    <w:p w14:paraId="572C9B62" w14:textId="600075FB" w:rsidR="00945C9D" w:rsidRPr="00A4094B" w:rsidRDefault="001412F1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t>o consentimento prévio (</w:t>
      </w:r>
      <w:proofErr w:type="spellStart"/>
      <w:r w:rsidRPr="00A4094B">
        <w:rPr>
          <w:i/>
        </w:rPr>
        <w:t>waiver</w:t>
      </w:r>
      <w:proofErr w:type="spellEnd"/>
      <w:r w:rsidRPr="00A4094B">
        <w:t xml:space="preserve">) para a prestação, pela Emissora, de </w:t>
      </w:r>
      <w:r w:rsidR="00945C9D" w:rsidRPr="00A4094B">
        <w:t xml:space="preserve">garantia fidejussória na modalidade de fiança, nos termos dos artigos 818 e seguintes do Código Civil e do </w:t>
      </w:r>
      <w:r w:rsidR="00945C9D" w:rsidRPr="00A4094B">
        <w:rPr>
          <w:rFonts w:cs="Arial"/>
        </w:rPr>
        <w:t>“</w:t>
      </w:r>
      <w:r w:rsidR="00945C9D" w:rsidRPr="00A4094B">
        <w:rPr>
          <w:rFonts w:cs="Arial"/>
          <w:i/>
          <w:iCs/>
        </w:rPr>
        <w:t>Instrumento Particular de Escritura da 2ª (Segunda) Emissão de Debêntures Simples, Não Conversíveis em Ações, da Espécie Quirografária, a Ser Convolada em da Espécie com Garantia Real, em 2</w:t>
      </w:r>
      <w:r w:rsidR="006B4713" w:rsidRPr="00A4094B">
        <w:rPr>
          <w:rFonts w:cs="Arial"/>
          <w:i/>
          <w:iCs/>
        </w:rPr>
        <w:t> </w:t>
      </w:r>
      <w:r w:rsidR="00945C9D" w:rsidRPr="00A4094B">
        <w:rPr>
          <w:rFonts w:cs="Arial"/>
          <w:i/>
          <w:iCs/>
        </w:rPr>
        <w:t xml:space="preserve">(Duas) Séries, para Distribuição Pública, com Esforços Restritos de Distribuição, da </w:t>
      </w:r>
      <w:r w:rsidR="00874618">
        <w:rPr>
          <w:rFonts w:cs="Arial"/>
          <w:i/>
          <w:iCs/>
        </w:rPr>
        <w:t>Pau Rainha</w:t>
      </w:r>
      <w:r w:rsidR="00945C9D" w:rsidRPr="00A4094B">
        <w:rPr>
          <w:rFonts w:cs="Arial"/>
          <w:i/>
          <w:iCs/>
        </w:rPr>
        <w:t xml:space="preserve"> Geração e Comércio de Energia SPE S.A.</w:t>
      </w:r>
      <w:r w:rsidR="00945C9D" w:rsidRPr="00A4094B">
        <w:rPr>
          <w:rFonts w:cs="Arial"/>
        </w:rPr>
        <w:t xml:space="preserve">”, celebrado entre a </w:t>
      </w:r>
      <w:r w:rsidR="00874618">
        <w:rPr>
          <w:rFonts w:cs="Arial"/>
        </w:rPr>
        <w:t>Pau Rainha</w:t>
      </w:r>
      <w:r w:rsidR="00945C9D" w:rsidRPr="00A4094B">
        <w:rPr>
          <w:rFonts w:cs="Arial"/>
        </w:rPr>
        <w:t xml:space="preserve"> e a </w:t>
      </w:r>
      <w:r w:rsidR="00945C9D" w:rsidRPr="00A4094B">
        <w:rPr>
          <w:rFonts w:cs="Arial"/>
          <w:bCs/>
        </w:rPr>
        <w:t>Simplific Pavarini Distribuidora de Títulos e Valores Mobiliários Ltda.</w:t>
      </w:r>
      <w:r w:rsidR="00945C9D" w:rsidRPr="00A4094B">
        <w:rPr>
          <w:rFonts w:cs="Arial"/>
        </w:rPr>
        <w:t xml:space="preserve"> em 30 de dezembro de 2020, conforme alterado de tempos em tempos (“</w:t>
      </w:r>
      <w:r w:rsidR="00945C9D" w:rsidRPr="00A4094B">
        <w:rPr>
          <w:rFonts w:cs="Arial"/>
          <w:b/>
        </w:rPr>
        <w:t xml:space="preserve">Escritura de Emissão da </w:t>
      </w:r>
      <w:r w:rsidR="00874618">
        <w:rPr>
          <w:rFonts w:cs="Arial"/>
          <w:b/>
        </w:rPr>
        <w:t>Pau Rainha</w:t>
      </w:r>
      <w:r w:rsidR="00945C9D" w:rsidRPr="00A4094B">
        <w:rPr>
          <w:rFonts w:cs="Arial"/>
        </w:rPr>
        <w:t xml:space="preserve">”), </w:t>
      </w:r>
      <w:r w:rsidR="00945C9D" w:rsidRPr="00A4094B">
        <w:t xml:space="preserve">para assegurar o fiel, pontual e integral pagamento das debêntures emitidas pela </w:t>
      </w:r>
      <w:r w:rsidR="00874618">
        <w:t>Pau Rainha</w:t>
      </w:r>
      <w:r w:rsidR="00945C9D" w:rsidRPr="00A4094B">
        <w:t xml:space="preserve"> nos termos da Escritura de Emissão da </w:t>
      </w:r>
      <w:r w:rsidR="00874618">
        <w:t>Pau Rainha</w:t>
      </w:r>
      <w:r w:rsidRPr="00A4094B">
        <w:t xml:space="preserve"> </w:t>
      </w:r>
      <w:r w:rsidR="00945C9D" w:rsidRPr="00A4094B">
        <w:t>(“</w:t>
      </w:r>
      <w:r w:rsidR="00945C9D" w:rsidRPr="00A4094B">
        <w:rPr>
          <w:b/>
        </w:rPr>
        <w:t xml:space="preserve">Fiança Corporativa da </w:t>
      </w:r>
      <w:r w:rsidR="00874618">
        <w:rPr>
          <w:b/>
        </w:rPr>
        <w:t>Pau Rainha</w:t>
      </w:r>
      <w:r w:rsidR="00945C9D" w:rsidRPr="00A4094B">
        <w:t xml:space="preserve">” e, em conjunto com a Fiança Corporativa da </w:t>
      </w:r>
      <w:r w:rsidR="00874618">
        <w:t>Bonfim</w:t>
      </w:r>
      <w:r w:rsidR="00945C9D" w:rsidRPr="00A4094B">
        <w:t xml:space="preserve"> e a Fiança Corporativa da </w:t>
      </w:r>
      <w:proofErr w:type="spellStart"/>
      <w:r w:rsidR="00874618">
        <w:t>Cantá</w:t>
      </w:r>
      <w:proofErr w:type="spellEnd"/>
      <w:r w:rsidR="00945C9D" w:rsidRPr="00A4094B">
        <w:t>, “</w:t>
      </w:r>
      <w:r w:rsidR="00945C9D" w:rsidRPr="00A4094B">
        <w:rPr>
          <w:b/>
        </w:rPr>
        <w:t>Fianças Corporativas</w:t>
      </w:r>
      <w:r w:rsidR="00945C9D" w:rsidRPr="00A4094B">
        <w:t>”)</w:t>
      </w:r>
      <w:r w:rsidRPr="00A4094B">
        <w:t>, de forma que não seja configurado um Evento de Vencimento Antecipado Automático (conforme definido na Escritura de Emissão), nos termos do item “</w:t>
      </w:r>
      <w:proofErr w:type="spellStart"/>
      <w:r w:rsidRPr="00A4094B">
        <w:t>vii</w:t>
      </w:r>
      <w:proofErr w:type="spellEnd"/>
      <w:r w:rsidRPr="00A4094B">
        <w:t>” da Cláusula</w:t>
      </w:r>
      <w:r w:rsidR="00753E00">
        <w:t> </w:t>
      </w:r>
      <w:r w:rsidRPr="00A4094B">
        <w:t>5.1.1 da Escritura de Emissão</w:t>
      </w:r>
      <w:r w:rsidR="00950695" w:rsidRPr="00A4094B">
        <w:t>;</w:t>
      </w:r>
      <w:r w:rsidR="00431F3C" w:rsidRPr="00A4094B">
        <w:t xml:space="preserve"> e</w:t>
      </w:r>
    </w:p>
    <w:p w14:paraId="6551E1F4" w14:textId="77777777" w:rsidR="00950695" w:rsidRPr="00A4094B" w:rsidRDefault="00950695" w:rsidP="00FB35C3">
      <w:pPr>
        <w:widowControl/>
      </w:pPr>
    </w:p>
    <w:p w14:paraId="1156484D" w14:textId="331DD3CD" w:rsidR="00950695" w:rsidRPr="00A4094B" w:rsidRDefault="00950695">
      <w:pPr>
        <w:pStyle w:val="PargrafodaLista"/>
        <w:widowControl/>
        <w:numPr>
          <w:ilvl w:val="0"/>
          <w:numId w:val="25"/>
        </w:numPr>
        <w:ind w:left="709" w:hanging="709"/>
      </w:pPr>
      <w:r w:rsidRPr="00A4094B">
        <w:t>a autorização para que a Emissora</w:t>
      </w:r>
      <w:r w:rsidR="0046471C" w:rsidRPr="00A4094B">
        <w:t xml:space="preserve"> e o Agente Fiduciário </w:t>
      </w:r>
      <w:r w:rsidRPr="00A4094B">
        <w:t xml:space="preserve">pratiquem </w:t>
      </w:r>
      <w:r w:rsidR="0046471C" w:rsidRPr="00A4094B">
        <w:rPr>
          <w:rFonts w:cs="Arial"/>
        </w:rPr>
        <w:t xml:space="preserve">todos e quaisquer atos necessários à </w:t>
      </w:r>
      <w:r w:rsidR="0046471C" w:rsidRPr="00A4094B">
        <w:t xml:space="preserve">realização, formalização, implementação e aperfeiçoamento </w:t>
      </w:r>
      <w:r w:rsidR="0046471C" w:rsidRPr="00A4094B">
        <w:rPr>
          <w:rFonts w:cs="Arial"/>
        </w:rPr>
        <w:t>das matérias acima</w:t>
      </w:r>
      <w:r w:rsidRPr="00A4094B">
        <w:t xml:space="preserve">, incluindo, mas não se limitando a, celebrar o </w:t>
      </w:r>
      <w:r w:rsidR="0046471C" w:rsidRPr="00A4094B">
        <w:t>“</w:t>
      </w:r>
      <w:r w:rsidR="0046471C" w:rsidRPr="00A4094B">
        <w:rPr>
          <w:i/>
        </w:rPr>
        <w:t>3º (Terceiro) Aditamento ao Instrumento Particular de Escritura da 2ª (Segunda) Emissão de Debêntures Simples, Não Conversíveis em Ações, da Espécie com Garantia Real,</w:t>
      </w:r>
      <w:r w:rsidR="0046471C" w:rsidRPr="00A4094B">
        <w:t xml:space="preserve"> </w:t>
      </w:r>
      <w:r w:rsidR="0046471C" w:rsidRPr="00A4094B">
        <w:rPr>
          <w:i/>
        </w:rPr>
        <w:t>em 2</w:t>
      </w:r>
      <w:r w:rsidR="00CA0C00" w:rsidRPr="00A4094B">
        <w:rPr>
          <w:i/>
        </w:rPr>
        <w:t xml:space="preserve"> </w:t>
      </w:r>
      <w:r w:rsidR="0046471C" w:rsidRPr="00A4094B">
        <w:rPr>
          <w:i/>
        </w:rPr>
        <w:t xml:space="preserve">(Duas) Séries, para Distribuição Pública, com Esforços Restritos de Distribuição, da </w:t>
      </w:r>
      <w:r w:rsidR="00874618">
        <w:rPr>
          <w:i/>
        </w:rPr>
        <w:t>Santa Luz</w:t>
      </w:r>
      <w:r w:rsidR="0046471C" w:rsidRPr="00A4094B">
        <w:rPr>
          <w:i/>
        </w:rPr>
        <w:t xml:space="preserve"> Geração e Comércio de Energia SPE S.A.</w:t>
      </w:r>
      <w:r w:rsidR="0046471C" w:rsidRPr="00A4094B">
        <w:t xml:space="preserve">”, na forma do </w:t>
      </w:r>
      <w:r w:rsidR="0046471C" w:rsidRPr="00A4094B">
        <w:rPr>
          <w:b/>
        </w:rPr>
        <w:t>Anexo II</w:t>
      </w:r>
      <w:r w:rsidR="0046471C" w:rsidRPr="00A4094B">
        <w:t xml:space="preserve"> da presente ata</w:t>
      </w:r>
      <w:r w:rsidR="001B2119" w:rsidRPr="00A4094B">
        <w:t xml:space="preserve"> (“</w:t>
      </w:r>
      <w:r w:rsidR="001B2119" w:rsidRPr="00A4094B">
        <w:rPr>
          <w:b/>
        </w:rPr>
        <w:t>Terceiro Aditamento</w:t>
      </w:r>
      <w:r w:rsidR="0054531C" w:rsidRPr="00A4094B">
        <w:rPr>
          <w:b/>
        </w:rPr>
        <w:t xml:space="preserve"> à Escritura de Emissão</w:t>
      </w:r>
      <w:r w:rsidR="001B2119" w:rsidRPr="00A4094B">
        <w:t>”)</w:t>
      </w:r>
      <w:r w:rsidRPr="00A4094B">
        <w:t xml:space="preserve">, a fim de refletir </w:t>
      </w:r>
      <w:r w:rsidR="00431F3C" w:rsidRPr="00A4094B">
        <w:t xml:space="preserve">na Escritura de Emissão </w:t>
      </w:r>
      <w:r w:rsidRPr="00A4094B">
        <w:t xml:space="preserve">todos os ajustes que se fizerem necessários para </w:t>
      </w:r>
      <w:r w:rsidR="00431F3C" w:rsidRPr="00A4094B">
        <w:t xml:space="preserve">o </w:t>
      </w:r>
      <w:r w:rsidRPr="00A4094B">
        <w:t xml:space="preserve">integral </w:t>
      </w:r>
      <w:r w:rsidR="00431F3C" w:rsidRPr="00A4094B">
        <w:t xml:space="preserve">cumprimento das matérias </w:t>
      </w:r>
      <w:r w:rsidRPr="00A4094B">
        <w:t>acima</w:t>
      </w:r>
      <w:r w:rsidR="00431F3C" w:rsidRPr="00A4094B">
        <w:t>.</w:t>
      </w:r>
    </w:p>
    <w:p w14:paraId="362072B6" w14:textId="77777777" w:rsidR="00371B60" w:rsidRPr="00A4094B" w:rsidRDefault="00371B60" w:rsidP="00FB35C3">
      <w:pPr>
        <w:widowControl/>
      </w:pPr>
    </w:p>
    <w:p w14:paraId="15DD8790" w14:textId="28670D06" w:rsidR="00E74484" w:rsidRPr="00A4094B" w:rsidRDefault="005653DF" w:rsidP="00A21699">
      <w:pPr>
        <w:pStyle w:val="PargrafodaLista"/>
        <w:keepNext/>
        <w:widowControl/>
        <w:numPr>
          <w:ilvl w:val="0"/>
          <w:numId w:val="24"/>
        </w:numPr>
        <w:ind w:left="0" w:firstLine="0"/>
      </w:pPr>
      <w:bookmarkStart w:id="7" w:name="_Ref451893764"/>
      <w:r w:rsidRPr="00A4094B">
        <w:rPr>
          <w:b/>
        </w:rPr>
        <w:t>DELIBERAÇÕES:</w:t>
      </w:r>
      <w:r w:rsidRPr="00A4094B">
        <w:t xml:space="preserve"> Examinadas e debatidas as matérias constantes da Ordem do Dia, </w:t>
      </w:r>
      <w:bookmarkEnd w:id="7"/>
      <w:r w:rsidR="00E752F3" w:rsidRPr="00A4094B">
        <w:t>a totalidade d</w:t>
      </w:r>
      <w:r w:rsidR="00E74484" w:rsidRPr="00A4094B">
        <w:t>os</w:t>
      </w:r>
      <w:r w:rsidR="00FF5517" w:rsidRPr="00A4094B">
        <w:t xml:space="preserve"> </w:t>
      </w:r>
      <w:r w:rsidR="0076294C" w:rsidRPr="00A4094B">
        <w:t>D</w:t>
      </w:r>
      <w:r w:rsidR="00FF5517" w:rsidRPr="00A4094B">
        <w:t>ebenturistas</w:t>
      </w:r>
      <w:r w:rsidR="00F10325" w:rsidRPr="00A4094B">
        <w:t xml:space="preserve"> </w:t>
      </w:r>
      <w:r w:rsidR="00F10325" w:rsidRPr="00A4094B">
        <w:rPr>
          <w:rFonts w:eastAsiaTheme="minorHAnsi"/>
        </w:rPr>
        <w:t xml:space="preserve">da 1ª </w:t>
      </w:r>
      <w:r w:rsidR="00966C68" w:rsidRPr="00A4094B">
        <w:rPr>
          <w:rFonts w:eastAsiaTheme="minorHAnsi"/>
        </w:rPr>
        <w:t>S</w:t>
      </w:r>
      <w:r w:rsidR="00F10325" w:rsidRPr="00A4094B">
        <w:rPr>
          <w:rFonts w:eastAsiaTheme="minorHAnsi"/>
        </w:rPr>
        <w:t>érie</w:t>
      </w:r>
      <w:r w:rsidR="00E74484" w:rsidRPr="00A4094B">
        <w:t xml:space="preserve">, sem quaisquer restrições, </w:t>
      </w:r>
      <w:r w:rsidR="0060512E">
        <w:t xml:space="preserve">reservas, ressalvas, impugnações, oposições e/ou pleitos em relação às matérias </w:t>
      </w:r>
      <w:r w:rsidR="00AF460C">
        <w:t>constantes da Ordem do Dia</w:t>
      </w:r>
      <w:r w:rsidR="0060512E">
        <w:t xml:space="preserve">, </w:t>
      </w:r>
      <w:r w:rsidR="00E74484" w:rsidRPr="00A4094B">
        <w:t xml:space="preserve">aprovaram </w:t>
      </w:r>
      <w:r w:rsidR="0030712E">
        <w:t>por unanimidade</w:t>
      </w:r>
      <w:r w:rsidR="00E74484" w:rsidRPr="00A4094B">
        <w:t>:</w:t>
      </w:r>
    </w:p>
    <w:p w14:paraId="6EA651D0" w14:textId="77777777" w:rsidR="00E06755" w:rsidRPr="00A4094B" w:rsidRDefault="00E06755" w:rsidP="00A21699">
      <w:pPr>
        <w:keepNext/>
        <w:widowControl/>
      </w:pPr>
    </w:p>
    <w:p w14:paraId="7D9D82BC" w14:textId="7DCA7612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bookmarkStart w:id="8" w:name="_Hlk64030483"/>
      <w:r w:rsidRPr="00A4094B">
        <w:t xml:space="preserve">a inclusão </w:t>
      </w:r>
      <w:r w:rsidRPr="00A4094B">
        <w:rPr>
          <w:rFonts w:cs="Arial"/>
        </w:rPr>
        <w:t xml:space="preserve">das Fiadoras </w:t>
      </w:r>
      <w:r w:rsidRPr="00A4094B">
        <w:t xml:space="preserve">como partes da Escritura de Emissão, na qualidade de fiadoras, principais pagadoras e solidariamente responsáveis por todas as obrigações da Emissora nos </w:t>
      </w:r>
      <w:r w:rsidRPr="00A4094B">
        <w:lastRenderedPageBreak/>
        <w:t>termos e decorrentes da Escritura de Emissão e pelo pagamento integral das Obrigações Garantidas (conforme definido na Escritura de Emissão);</w:t>
      </w:r>
    </w:p>
    <w:p w14:paraId="1EAD4EF9" w14:textId="77777777" w:rsidR="00753B1E" w:rsidRPr="00A4094B" w:rsidRDefault="00753B1E" w:rsidP="00FB35C3">
      <w:pPr>
        <w:widowControl/>
      </w:pPr>
    </w:p>
    <w:p w14:paraId="79BB76DA" w14:textId="77777777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rPr>
          <w:color w:val="000000"/>
        </w:rPr>
        <w:t>a emissão de 42.500 (quarenta e duas mil e quinhentas) Debêntures da 1ª Série adicionais e o cancelamento de 42.500 (quarenta e duas mil e quinhentas) Debêntures da 2ª Série,</w:t>
      </w:r>
      <w:r w:rsidRPr="00A4094B">
        <w:t xml:space="preserve"> passando a Emissão a ser composta por 72.500 (setenta e duas mil e quinhentas) </w:t>
      </w:r>
      <w:r w:rsidRPr="00A4094B">
        <w:rPr>
          <w:color w:val="000000"/>
        </w:rPr>
        <w:t>Debêntures da 1ª Série e 15.000 (quinze mil) Debêntures da 2ª Série</w:t>
      </w:r>
      <w:r w:rsidRPr="00A4094B">
        <w:t>;</w:t>
      </w:r>
    </w:p>
    <w:p w14:paraId="27CB8594" w14:textId="77777777" w:rsidR="00753B1E" w:rsidRPr="00A4094B" w:rsidRDefault="00753B1E" w:rsidP="00FB35C3">
      <w:pPr>
        <w:widowControl/>
      </w:pPr>
    </w:p>
    <w:p w14:paraId="45D04652" w14:textId="77777777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t xml:space="preserve">a alteração da condição para o </w:t>
      </w:r>
      <w:proofErr w:type="spellStart"/>
      <w:r w:rsidRPr="00A4094B">
        <w:t>Completion</w:t>
      </w:r>
      <w:proofErr w:type="spellEnd"/>
      <w:r w:rsidRPr="00A4094B">
        <w:t xml:space="preserve"> Financeiro do Projeto (conforme definido na Escritura de Emissão) referente à manutenção, pela Emissora, de ICSD (conforme definido na Escritura de Emissão) de, no mínimo, 1,3 (um inteiro de três décimos);</w:t>
      </w:r>
    </w:p>
    <w:p w14:paraId="6226A389" w14:textId="77777777" w:rsidR="00753B1E" w:rsidRPr="00A4094B" w:rsidRDefault="00753B1E" w:rsidP="00FB35C3">
      <w:pPr>
        <w:widowControl/>
      </w:pPr>
    </w:p>
    <w:p w14:paraId="7F5CA03F" w14:textId="18F56491" w:rsidR="00753B1E" w:rsidRPr="00A4094B" w:rsidRDefault="00787E5A" w:rsidP="00FB35C3">
      <w:pPr>
        <w:pStyle w:val="PargrafodaLista"/>
        <w:widowControl/>
        <w:numPr>
          <w:ilvl w:val="0"/>
          <w:numId w:val="26"/>
        </w:numPr>
        <w:ind w:left="709" w:hanging="709"/>
      </w:pPr>
      <w:r>
        <w:t xml:space="preserve">a </w:t>
      </w:r>
      <w:r w:rsidRPr="00B924A3">
        <w:t xml:space="preserve">inclusão de novas hipóteses de vencimento antecipado das Debêntures referentes </w:t>
      </w:r>
      <w:r w:rsidRPr="00A21699">
        <w:rPr>
          <w:b/>
        </w:rPr>
        <w:t>(</w:t>
      </w:r>
      <w:r>
        <w:rPr>
          <w:b/>
        </w:rPr>
        <w:t>a</w:t>
      </w:r>
      <w:r w:rsidRPr="00A21699">
        <w:rPr>
          <w:b/>
        </w:rPr>
        <w:t>)</w:t>
      </w:r>
      <w:r w:rsidRPr="00173B2D">
        <w:t xml:space="preserve"> </w:t>
      </w:r>
      <w:r w:rsidRPr="00B924A3">
        <w:t xml:space="preserve">ao </w:t>
      </w:r>
      <w:r w:rsidRPr="00A21699">
        <w:rPr>
          <w:color w:val="000000"/>
        </w:rPr>
        <w:t>pagamento</w:t>
      </w:r>
      <w:r w:rsidRPr="00B924A3">
        <w:t xml:space="preserve"> antecipado das debêntures da 1ª Emissão (conforme definido na Escritura de Emissão) e </w:t>
      </w:r>
      <w:r w:rsidRPr="00A21699">
        <w:rPr>
          <w:b/>
        </w:rPr>
        <w:t>(</w:t>
      </w:r>
      <w:r>
        <w:rPr>
          <w:b/>
        </w:rPr>
        <w:t>b</w:t>
      </w:r>
      <w:r w:rsidRPr="00A21699">
        <w:rPr>
          <w:b/>
        </w:rPr>
        <w:t>)</w:t>
      </w:r>
      <w:r w:rsidRPr="00B924A3">
        <w:t xml:space="preserve"> </w:t>
      </w:r>
      <w:r w:rsidRPr="000C1944">
        <w:t>à contratação de agência de classificação de risco</w:t>
      </w:r>
      <w:r>
        <w:t xml:space="preserve"> para atribuir rating às Debêntures</w:t>
      </w:r>
      <w:r w:rsidRPr="000C1944">
        <w:t xml:space="preserve">, à obtenção e manutenção de rating mínimo para as Debêntures e à </w:t>
      </w:r>
      <w:r>
        <w:t>elaboração e divulgação de demonstrações financeiras de encerramento de semestre da Emissora</w:t>
      </w:r>
      <w:r w:rsidR="00753B1E" w:rsidRPr="00A4094B">
        <w:t>;</w:t>
      </w:r>
    </w:p>
    <w:p w14:paraId="1F7C9D28" w14:textId="77777777" w:rsidR="00753B1E" w:rsidRPr="00A4094B" w:rsidRDefault="00753B1E" w:rsidP="00FB35C3">
      <w:pPr>
        <w:widowControl/>
      </w:pPr>
    </w:p>
    <w:p w14:paraId="0AA5BC36" w14:textId="6A95B7ED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t xml:space="preserve">a alteração de determinadas hipóteses de vencimento antecipado das Debêntures previstas na Escritura de Emissão para inclusão de referências à </w:t>
      </w:r>
      <w:r w:rsidR="00874618">
        <w:t>Bonfim</w:t>
      </w:r>
      <w:r w:rsidRPr="00A4094B">
        <w:t xml:space="preserve"> e à </w:t>
      </w:r>
      <w:proofErr w:type="spellStart"/>
      <w:r w:rsidR="00874618">
        <w:t>Cantá</w:t>
      </w:r>
      <w:proofErr w:type="spellEnd"/>
      <w:r w:rsidRPr="00A4094B">
        <w:t>;</w:t>
      </w:r>
    </w:p>
    <w:p w14:paraId="13320B55" w14:textId="52307DCA" w:rsidR="00753B1E" w:rsidRDefault="00753B1E" w:rsidP="00FB35C3">
      <w:pPr>
        <w:widowControl/>
      </w:pPr>
    </w:p>
    <w:p w14:paraId="29569BDB" w14:textId="6BC87112" w:rsidR="00787E5A" w:rsidRDefault="00787E5A" w:rsidP="00173B2D">
      <w:pPr>
        <w:pStyle w:val="PargrafodaLista"/>
        <w:widowControl/>
        <w:numPr>
          <w:ilvl w:val="0"/>
          <w:numId w:val="26"/>
        </w:numPr>
        <w:ind w:left="709" w:hanging="709"/>
      </w:pPr>
      <w:r>
        <w:t xml:space="preserve">a </w:t>
      </w:r>
      <w:r w:rsidRPr="00787E5A">
        <w:t>limitação dos prestadores de serviços de auditoria independente que poderão ser contratados pela Emissora para todos os fins da Escritura de Emissão;</w:t>
      </w:r>
    </w:p>
    <w:p w14:paraId="48EEF5FB" w14:textId="77777777" w:rsidR="00787E5A" w:rsidRPr="00A4094B" w:rsidRDefault="00787E5A" w:rsidP="00FB35C3">
      <w:pPr>
        <w:widowControl/>
      </w:pPr>
    </w:p>
    <w:p w14:paraId="01E979B3" w14:textId="75D4DC64" w:rsidR="00753B1E" w:rsidRPr="00A4094B" w:rsidRDefault="00787E5A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0C1944">
        <w:t>inclusão de novas obrigações da Emissora na Escritura de Emissão referentes à apresentação de determinadas informações gerenciais da Emissora ao Agente Fiduciário</w:t>
      </w:r>
      <w:r w:rsidR="00753B1E" w:rsidRPr="00A4094B">
        <w:t>;</w:t>
      </w:r>
    </w:p>
    <w:p w14:paraId="74EE75E1" w14:textId="77777777" w:rsidR="00753B1E" w:rsidRPr="00A4094B" w:rsidRDefault="00753B1E" w:rsidP="00FB35C3">
      <w:pPr>
        <w:widowControl/>
      </w:pPr>
    </w:p>
    <w:p w14:paraId="7B2D3F3C" w14:textId="77777777" w:rsidR="00753B1E" w:rsidRPr="00A4094B" w:rsidRDefault="00753B1E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t>o consentimento prévio (</w:t>
      </w:r>
      <w:proofErr w:type="spellStart"/>
      <w:r w:rsidRPr="00A4094B">
        <w:rPr>
          <w:i/>
        </w:rPr>
        <w:t>waiver</w:t>
      </w:r>
      <w:proofErr w:type="spellEnd"/>
      <w:r w:rsidRPr="00A4094B">
        <w:t xml:space="preserve">) para a prestação, pela Emissora, </w:t>
      </w:r>
      <w:r w:rsidR="00F523DD" w:rsidRPr="00A4094B">
        <w:t>das Fianças Corporativas</w:t>
      </w:r>
      <w:r w:rsidRPr="00A4094B">
        <w:t>, de forma que não seja configurado um Evento de Vencimento Antecipado Automático (conforme definido na Escritura de Emissão), nos termos do item “</w:t>
      </w:r>
      <w:proofErr w:type="spellStart"/>
      <w:r w:rsidRPr="00A4094B">
        <w:t>vii</w:t>
      </w:r>
      <w:proofErr w:type="spellEnd"/>
      <w:r w:rsidRPr="00A4094B">
        <w:t>” da Cláusula 5.1.1 da Escritura de Emissão;</w:t>
      </w:r>
      <w:r w:rsidR="004E79F2" w:rsidRPr="00A4094B">
        <w:t xml:space="preserve"> e</w:t>
      </w:r>
    </w:p>
    <w:p w14:paraId="11DFD35E" w14:textId="77777777" w:rsidR="00753B1E" w:rsidRPr="00A4094B" w:rsidRDefault="00753B1E" w:rsidP="00FB35C3">
      <w:pPr>
        <w:widowControl/>
      </w:pPr>
    </w:p>
    <w:p w14:paraId="52BC6649" w14:textId="77777777" w:rsidR="00431F3C" w:rsidRPr="00A4094B" w:rsidRDefault="00431F3C" w:rsidP="00FB35C3">
      <w:pPr>
        <w:pStyle w:val="PargrafodaLista"/>
        <w:widowControl/>
        <w:numPr>
          <w:ilvl w:val="0"/>
          <w:numId w:val="26"/>
        </w:numPr>
        <w:ind w:left="709" w:hanging="709"/>
      </w:pPr>
      <w:r w:rsidRPr="00A4094B">
        <w:t xml:space="preserve">a autorização para que a Emissora e o Agente Fiduciário pratiquem </w:t>
      </w:r>
      <w:r w:rsidRPr="00A4094B">
        <w:rPr>
          <w:rFonts w:cs="Arial"/>
        </w:rPr>
        <w:t xml:space="preserve">todos e quaisquer atos </w:t>
      </w:r>
      <w:r w:rsidRPr="00A4094B">
        <w:t>necessários</w:t>
      </w:r>
      <w:r w:rsidRPr="00A4094B">
        <w:rPr>
          <w:rFonts w:cs="Arial"/>
        </w:rPr>
        <w:t xml:space="preserve"> à </w:t>
      </w:r>
      <w:r w:rsidRPr="00A4094B">
        <w:t xml:space="preserve">realização, formalização, implementação e aperfeiçoamento </w:t>
      </w:r>
      <w:r w:rsidRPr="00A4094B">
        <w:rPr>
          <w:rFonts w:cs="Arial"/>
        </w:rPr>
        <w:t>das matérias acima</w:t>
      </w:r>
      <w:r w:rsidRPr="00A4094B">
        <w:t xml:space="preserve">, incluindo, mas não se limitando a, celebrar o </w:t>
      </w:r>
      <w:r w:rsidR="0054531C" w:rsidRPr="00A4094B">
        <w:t>Terceiro Aditamento à Escritura de Emissão</w:t>
      </w:r>
      <w:r w:rsidRPr="00A4094B">
        <w:t xml:space="preserve">, a fim de refletir na Escritura de Emissão todos os ajustes que se fizerem necessários para o integral cumprimento das </w:t>
      </w:r>
      <w:r w:rsidR="00FF7406" w:rsidRPr="00A4094B">
        <w:t>deliberações</w:t>
      </w:r>
      <w:r w:rsidRPr="00A4094B">
        <w:t xml:space="preserve"> acima.</w:t>
      </w:r>
    </w:p>
    <w:bookmarkEnd w:id="8"/>
    <w:p w14:paraId="20ACCDA5" w14:textId="77777777" w:rsidR="00A75605" w:rsidRPr="00A4094B" w:rsidRDefault="00A75605" w:rsidP="00FB35C3">
      <w:pPr>
        <w:widowControl/>
      </w:pPr>
    </w:p>
    <w:p w14:paraId="205A0597" w14:textId="77777777" w:rsidR="000A5637" w:rsidRPr="00A4094B" w:rsidRDefault="000A5637" w:rsidP="00A21699">
      <w:pPr>
        <w:pStyle w:val="PargrafodaLista"/>
        <w:keepNext/>
        <w:widowControl/>
        <w:numPr>
          <w:ilvl w:val="0"/>
          <w:numId w:val="24"/>
        </w:numPr>
        <w:ind w:left="0" w:firstLine="0"/>
        <w:rPr>
          <w:rFonts w:eastAsia="Arial"/>
        </w:rPr>
      </w:pPr>
      <w:r w:rsidRPr="00A4094B">
        <w:rPr>
          <w:b/>
        </w:rPr>
        <w:lastRenderedPageBreak/>
        <w:t>ENCERRAMENTO</w:t>
      </w:r>
      <w:r w:rsidRPr="00A4094B">
        <w:rPr>
          <w:rFonts w:eastAsia="Arial"/>
          <w:b/>
        </w:rPr>
        <w:t>:</w:t>
      </w:r>
      <w:r w:rsidRPr="00A4094B">
        <w:rPr>
          <w:rFonts w:eastAsia="Arial"/>
        </w:rPr>
        <w:t xml:space="preserve"> Nada mais havendo a ser tratado, foi encerrada a presente </w:t>
      </w:r>
      <w:r w:rsidR="00753B1E" w:rsidRPr="00A4094B">
        <w:rPr>
          <w:rFonts w:eastAsia="Arial"/>
        </w:rPr>
        <w:t>assembleia</w:t>
      </w:r>
      <w:r w:rsidRPr="00A4094B">
        <w:rPr>
          <w:rFonts w:eastAsia="Arial"/>
        </w:rPr>
        <w:t xml:space="preserve">, da qual se </w:t>
      </w:r>
      <w:r w:rsidRPr="00A4094B">
        <w:t>lavrou</w:t>
      </w:r>
      <w:r w:rsidRPr="00A4094B">
        <w:rPr>
          <w:rFonts w:eastAsia="Arial"/>
        </w:rPr>
        <w:t xml:space="preserve"> a presente ata que, lida e achada conforme, foi assinada pelo Presidente, pelo Secretário, pelos Debenturistas</w:t>
      </w:r>
      <w:r w:rsidR="00966C68" w:rsidRPr="00A4094B">
        <w:rPr>
          <w:rFonts w:eastAsia="Arial"/>
        </w:rPr>
        <w:t xml:space="preserve"> da 1ª Série</w:t>
      </w:r>
      <w:r w:rsidRPr="00A4094B">
        <w:rPr>
          <w:rFonts w:eastAsia="Arial"/>
        </w:rPr>
        <w:t>, pela Emissora e pelo Agente Fiduciário.</w:t>
      </w:r>
    </w:p>
    <w:p w14:paraId="389532BF" w14:textId="77777777" w:rsidR="00A75605" w:rsidRPr="00A4094B" w:rsidRDefault="00A75605" w:rsidP="00A21699">
      <w:pPr>
        <w:pStyle w:val="PargrafodaLista"/>
        <w:keepNext/>
        <w:widowControl/>
        <w:ind w:left="0"/>
        <w:rPr>
          <w:rFonts w:eastAsia="Arial"/>
        </w:rPr>
      </w:pPr>
    </w:p>
    <w:p w14:paraId="4EC88867" w14:textId="77777777" w:rsidR="00866033" w:rsidRPr="00A4094B" w:rsidRDefault="00866033" w:rsidP="00A21699">
      <w:pPr>
        <w:keepNext/>
        <w:widowControl/>
        <w:jc w:val="center"/>
      </w:pPr>
      <w:r w:rsidRPr="00A4094B">
        <w:t>Esta ata é cópia fiel da que se encontra lavrada em livro próprio.</w:t>
      </w:r>
    </w:p>
    <w:p w14:paraId="7E25A80A" w14:textId="77777777" w:rsidR="00A75605" w:rsidRPr="00A4094B" w:rsidRDefault="00A75605" w:rsidP="00A21699">
      <w:pPr>
        <w:keepNext/>
        <w:widowControl/>
      </w:pPr>
    </w:p>
    <w:p w14:paraId="05AC728F" w14:textId="2DDF57BD" w:rsidR="0041243E" w:rsidRPr="00A4094B" w:rsidRDefault="00395829" w:rsidP="00A21699">
      <w:pPr>
        <w:keepNext/>
        <w:widowControl/>
        <w:jc w:val="center"/>
      </w:pPr>
      <w:r w:rsidRPr="00A4094B">
        <w:t>Boa Vista</w:t>
      </w:r>
      <w:r w:rsidR="00A75605" w:rsidRPr="00A4094B">
        <w:t>/RR</w:t>
      </w:r>
      <w:r w:rsidR="005653DF" w:rsidRPr="00A4094B">
        <w:t xml:space="preserve">, </w:t>
      </w:r>
      <w:r w:rsidR="00874618">
        <w:t>21</w:t>
      </w:r>
      <w:r w:rsidR="00B924A3" w:rsidRPr="00A4094B">
        <w:t xml:space="preserve"> </w:t>
      </w:r>
      <w:r w:rsidR="005653DF" w:rsidRPr="00A4094B">
        <w:t xml:space="preserve">de </w:t>
      </w:r>
      <w:r w:rsidR="00A75605" w:rsidRPr="00A4094B">
        <w:t>maio</w:t>
      </w:r>
      <w:r w:rsidR="00502901" w:rsidRPr="00A4094B">
        <w:t xml:space="preserve"> </w:t>
      </w:r>
      <w:r w:rsidR="005653DF" w:rsidRPr="00A4094B">
        <w:t xml:space="preserve">de </w:t>
      </w:r>
      <w:r w:rsidR="001761FC" w:rsidRPr="00A4094B">
        <w:t>2021</w:t>
      </w:r>
      <w:r w:rsidR="005653DF" w:rsidRPr="00A4094B">
        <w:t>.</w:t>
      </w:r>
    </w:p>
    <w:p w14:paraId="43B39338" w14:textId="77777777" w:rsidR="00606D0D" w:rsidRPr="00A4094B" w:rsidRDefault="00606D0D" w:rsidP="00A21699">
      <w:pPr>
        <w:keepNext/>
        <w:widowControl/>
      </w:pPr>
    </w:p>
    <w:p w14:paraId="5B2398D1" w14:textId="77777777" w:rsidR="005653DF" w:rsidRPr="00A4094B" w:rsidRDefault="008D2013" w:rsidP="00A21699">
      <w:pPr>
        <w:keepNext/>
        <w:widowControl/>
      </w:pPr>
      <w:r w:rsidRPr="00A4094B">
        <w:rPr>
          <w:u w:val="single"/>
        </w:rPr>
        <w:t>Mesa</w:t>
      </w:r>
      <w:r w:rsidRPr="00A4094B">
        <w:t>:</w:t>
      </w:r>
    </w:p>
    <w:p w14:paraId="7FAA8315" w14:textId="77777777" w:rsidR="00866033" w:rsidRPr="00A4094B" w:rsidRDefault="00866033" w:rsidP="00A21699">
      <w:pPr>
        <w:keepNext/>
        <w:widowControl/>
      </w:pPr>
    </w:p>
    <w:p w14:paraId="4B73B1D1" w14:textId="77777777" w:rsidR="00A75605" w:rsidRPr="00A4094B" w:rsidRDefault="00A75605" w:rsidP="00A21699">
      <w:pPr>
        <w:keepNext/>
        <w:widowControl/>
      </w:pPr>
    </w:p>
    <w:p w14:paraId="30797C10" w14:textId="77777777" w:rsidR="008A265B" w:rsidRPr="00A4094B" w:rsidRDefault="008A265B" w:rsidP="00A21699">
      <w:pPr>
        <w:keepNext/>
        <w:widowControl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8A265B" w:rsidRPr="00A4094B" w14:paraId="6B23B3FD" w14:textId="77777777" w:rsidTr="000676DF">
        <w:tc>
          <w:tcPr>
            <w:tcW w:w="2500" w:type="pct"/>
            <w:hideMark/>
          </w:tcPr>
          <w:p w14:paraId="3F99432F" w14:textId="77777777" w:rsidR="008A265B" w:rsidRPr="00A4094B" w:rsidRDefault="008A265B" w:rsidP="00FB35C3">
            <w:pPr>
              <w:widowControl/>
            </w:pPr>
            <w:bookmarkStart w:id="9" w:name="_Hlk71828182"/>
            <w:r w:rsidRPr="00A4094B">
              <w:t>________________________________</w:t>
            </w:r>
            <w:r w:rsidR="000676DF" w:rsidRPr="00A4094B">
              <w:t>______</w:t>
            </w:r>
          </w:p>
          <w:p w14:paraId="75B345F3" w14:textId="4214A550" w:rsidR="008A265B" w:rsidRPr="00A4094B" w:rsidRDefault="008A265B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798F8059" w14:textId="77777777" w:rsidR="008A265B" w:rsidRPr="00A4094B" w:rsidRDefault="000B381A" w:rsidP="00FB35C3">
            <w:pPr>
              <w:widowControl/>
            </w:pPr>
            <w:r w:rsidRPr="00A4094B">
              <w:t>Presidente</w:t>
            </w:r>
          </w:p>
        </w:tc>
        <w:tc>
          <w:tcPr>
            <w:tcW w:w="2500" w:type="pct"/>
            <w:hideMark/>
          </w:tcPr>
          <w:p w14:paraId="113BC6F4" w14:textId="77777777" w:rsidR="008A265B" w:rsidRPr="00A4094B" w:rsidRDefault="008A265B" w:rsidP="00FB35C3">
            <w:pPr>
              <w:widowControl/>
            </w:pPr>
            <w:r w:rsidRPr="00A4094B">
              <w:t>_________________________________</w:t>
            </w:r>
            <w:r w:rsidR="000676DF" w:rsidRPr="00A4094B">
              <w:t>_____</w:t>
            </w:r>
          </w:p>
          <w:p w14:paraId="3D4C326B" w14:textId="3835697D" w:rsidR="008A265B" w:rsidRPr="00A4094B" w:rsidRDefault="008A265B" w:rsidP="00FB35C3">
            <w:pPr>
              <w:widowControl/>
            </w:pPr>
            <w:r w:rsidRPr="00A4094B">
              <w:t>Nome:</w:t>
            </w:r>
            <w:r w:rsidR="0054262D">
              <w:t xml:space="preserve"> [</w:t>
            </w:r>
            <w:r w:rsidR="0054262D" w:rsidRPr="0054262D">
              <w:rPr>
                <w:rFonts w:cs="Arial"/>
                <w:highlight w:val="yellow"/>
              </w:rPr>
              <w:t>•</w:t>
            </w:r>
            <w:r w:rsidR="0054262D">
              <w:t>]</w:t>
            </w:r>
          </w:p>
          <w:p w14:paraId="2F36FA0E" w14:textId="77777777" w:rsidR="008A265B" w:rsidRPr="00A4094B" w:rsidRDefault="000B381A" w:rsidP="00FB35C3">
            <w:pPr>
              <w:widowControl/>
            </w:pPr>
            <w:r w:rsidRPr="00A4094B">
              <w:t>Secretário</w:t>
            </w:r>
          </w:p>
        </w:tc>
      </w:tr>
      <w:bookmarkEnd w:id="9"/>
    </w:tbl>
    <w:p w14:paraId="53BCE6FF" w14:textId="77777777" w:rsidR="008A265B" w:rsidRPr="00A4094B" w:rsidRDefault="008A265B" w:rsidP="00FB35C3">
      <w:pPr>
        <w:widowControl/>
      </w:pPr>
    </w:p>
    <w:p w14:paraId="10F6A8AB" w14:textId="77777777" w:rsidR="00743CF6" w:rsidRPr="00A4094B" w:rsidRDefault="00743CF6" w:rsidP="00FB35C3">
      <w:pPr>
        <w:widowControl/>
      </w:pPr>
      <w:r w:rsidRPr="00A4094B">
        <w:br w:type="page"/>
      </w:r>
    </w:p>
    <w:p w14:paraId="61B16E67" w14:textId="651F5796" w:rsidR="002B1EA9" w:rsidRPr="00A4094B" w:rsidRDefault="000A5637" w:rsidP="00FB35C3">
      <w:pPr>
        <w:widowControl/>
      </w:pPr>
      <w:r w:rsidRPr="00A4094B">
        <w:lastRenderedPageBreak/>
        <w:t>(</w:t>
      </w:r>
      <w:r w:rsidRPr="00A4094B">
        <w:rPr>
          <w:i/>
        </w:rPr>
        <w:t>Página de assinatura</w:t>
      </w:r>
      <w:r w:rsidR="002B1EA9" w:rsidRPr="00A4094B">
        <w:rPr>
          <w:i/>
        </w:rPr>
        <w:t xml:space="preserve"> 1/</w:t>
      </w:r>
      <w:r w:rsidR="00F126AE" w:rsidRPr="00A4094B">
        <w:rPr>
          <w:i/>
        </w:rPr>
        <w:t xml:space="preserve">2 </w:t>
      </w:r>
      <w:r w:rsidRPr="00A4094B">
        <w:rPr>
          <w:i/>
        </w:rPr>
        <w:t xml:space="preserve">da </w:t>
      </w:r>
      <w:r w:rsidR="002B1EA9" w:rsidRPr="00A4094B">
        <w:rPr>
          <w:i/>
        </w:rPr>
        <w:t>assembleia geral dos titulares de debêntures da 1ª (primeira) série da 2ª</w:t>
      </w:r>
      <w:r w:rsidR="004C2B6C" w:rsidRPr="00A4094B">
        <w:rPr>
          <w:i/>
        </w:rPr>
        <w:t> </w:t>
      </w:r>
      <w:r w:rsidR="002B1EA9" w:rsidRPr="00A4094B">
        <w:rPr>
          <w:i/>
        </w:rPr>
        <w:t xml:space="preserve">(segunda) emissão de debêntures simples, não conversíveis em ações, da espécie com garantia real, em 2 (duas) séries, para distribuição pública, com esforços restritos de distribuição, da </w:t>
      </w:r>
      <w:r w:rsidR="00874618">
        <w:rPr>
          <w:i/>
        </w:rPr>
        <w:t>Santa Luz</w:t>
      </w:r>
      <w:r w:rsidR="002B1EA9" w:rsidRPr="00A4094B">
        <w:rPr>
          <w:i/>
        </w:rPr>
        <w:t xml:space="preserve"> </w:t>
      </w:r>
      <w:r w:rsidR="004C2B6C" w:rsidRPr="00A4094B">
        <w:rPr>
          <w:i/>
        </w:rPr>
        <w:t xml:space="preserve">Geração e Comércio de Energia SPE S.A. realizada em </w:t>
      </w:r>
      <w:r w:rsidR="00874618">
        <w:rPr>
          <w:i/>
        </w:rPr>
        <w:t>21</w:t>
      </w:r>
      <w:r w:rsidR="00B924A3" w:rsidRPr="00A4094B">
        <w:rPr>
          <w:i/>
        </w:rPr>
        <w:t xml:space="preserve"> </w:t>
      </w:r>
      <w:r w:rsidR="004C2B6C" w:rsidRPr="00A4094B">
        <w:rPr>
          <w:i/>
        </w:rPr>
        <w:t>de maio de 2021</w:t>
      </w:r>
      <w:r w:rsidR="002B1EA9" w:rsidRPr="00A4094B">
        <w:t>)</w:t>
      </w:r>
    </w:p>
    <w:p w14:paraId="6EE54DCA" w14:textId="77777777" w:rsidR="000A5637" w:rsidRPr="00A4094B" w:rsidRDefault="000A5637" w:rsidP="00FB35C3">
      <w:pPr>
        <w:widowControl/>
      </w:pPr>
    </w:p>
    <w:p w14:paraId="6DE63F8F" w14:textId="77777777" w:rsidR="0008637B" w:rsidRPr="00A4094B" w:rsidRDefault="0008637B" w:rsidP="00FB35C3">
      <w:pPr>
        <w:widowControl/>
      </w:pPr>
    </w:p>
    <w:p w14:paraId="3521307C" w14:textId="77777777" w:rsidR="002B1EA9" w:rsidRPr="00A4094B" w:rsidRDefault="002B1EA9" w:rsidP="00FB35C3">
      <w:pPr>
        <w:widowControl/>
      </w:pPr>
    </w:p>
    <w:p w14:paraId="554DCF4D" w14:textId="77777777" w:rsidR="002B1EA9" w:rsidRPr="00A4094B" w:rsidRDefault="002B1EA9" w:rsidP="00FB35C3">
      <w:pPr>
        <w:widowControl/>
      </w:pPr>
      <w:r w:rsidRPr="00A4094B">
        <w:t>Agente Fiduciário:</w:t>
      </w:r>
    </w:p>
    <w:p w14:paraId="2516970A" w14:textId="77777777" w:rsidR="002B1EA9" w:rsidRPr="00A4094B" w:rsidRDefault="002B1EA9" w:rsidP="00FB35C3">
      <w:pPr>
        <w:widowControl/>
      </w:pPr>
    </w:p>
    <w:p w14:paraId="6EAD1AD8" w14:textId="77777777" w:rsidR="002B1EA9" w:rsidRPr="00A4094B" w:rsidRDefault="002B1EA9" w:rsidP="00FB35C3">
      <w:pPr>
        <w:widowControl/>
      </w:pPr>
    </w:p>
    <w:p w14:paraId="01EBC3DD" w14:textId="77777777" w:rsidR="0008637B" w:rsidRPr="00A4094B" w:rsidRDefault="0008637B" w:rsidP="00FB35C3">
      <w:pPr>
        <w:widowControl/>
      </w:pPr>
    </w:p>
    <w:p w14:paraId="4CC59E45" w14:textId="77777777" w:rsidR="002B1EA9" w:rsidRPr="00A4094B" w:rsidRDefault="002B1EA9" w:rsidP="00FB35C3">
      <w:pPr>
        <w:widowControl/>
        <w:jc w:val="center"/>
        <w:rPr>
          <w:b/>
        </w:rPr>
      </w:pPr>
      <w:r w:rsidRPr="00A4094B">
        <w:rPr>
          <w:b/>
        </w:rPr>
        <w:t>SIMPLIFIC PAVARINI DISTRIBUIDORA DE TÍTULOS E VALORES MOBILIÁRIOS LTDA.</w:t>
      </w:r>
    </w:p>
    <w:p w14:paraId="5455A49E" w14:textId="77777777" w:rsidR="002B1EA9" w:rsidRPr="00A4094B" w:rsidRDefault="002B1EA9" w:rsidP="00FB35C3">
      <w:pPr>
        <w:widowControl/>
      </w:pPr>
    </w:p>
    <w:p w14:paraId="74993349" w14:textId="77777777" w:rsidR="002B1EA9" w:rsidRPr="00A4094B" w:rsidRDefault="002B1EA9" w:rsidP="00FB35C3">
      <w:pPr>
        <w:widowControl/>
      </w:pPr>
    </w:p>
    <w:p w14:paraId="34517B52" w14:textId="77777777" w:rsidR="0008637B" w:rsidRPr="00A4094B" w:rsidRDefault="0008637B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0676DF" w:rsidRPr="00A4094B" w14:paraId="0B172DA7" w14:textId="77777777" w:rsidTr="000676DF">
        <w:trPr>
          <w:jc w:val="center"/>
        </w:trPr>
        <w:tc>
          <w:tcPr>
            <w:tcW w:w="5000" w:type="pct"/>
          </w:tcPr>
          <w:p w14:paraId="34F4BFBF" w14:textId="77777777" w:rsidR="000676DF" w:rsidRPr="00A4094B" w:rsidRDefault="000676DF" w:rsidP="00FB35C3">
            <w:pPr>
              <w:widowControl/>
            </w:pPr>
            <w:r w:rsidRPr="00A4094B">
              <w:t>______________________________________</w:t>
            </w:r>
          </w:p>
          <w:p w14:paraId="2C6CDCC0" w14:textId="5F684D3D" w:rsidR="000676DF" w:rsidRPr="00A4094B" w:rsidRDefault="000676DF" w:rsidP="00FB35C3">
            <w:pPr>
              <w:widowControl/>
            </w:pPr>
            <w:r w:rsidRPr="00A4094B">
              <w:t>Nome:</w:t>
            </w:r>
            <w:r w:rsidR="0030712E">
              <w:t xml:space="preserve"> </w:t>
            </w:r>
            <w:r w:rsidR="0030712E" w:rsidRPr="0030712E">
              <w:t>Matheus Gomes Faria</w:t>
            </w:r>
          </w:p>
          <w:p w14:paraId="675D8DD6" w14:textId="769FC211" w:rsidR="000676DF" w:rsidRPr="00A4094B" w:rsidRDefault="000676DF" w:rsidP="00FB35C3">
            <w:pPr>
              <w:widowControl/>
            </w:pPr>
            <w:r w:rsidRPr="00A4094B">
              <w:t>Cargo:</w:t>
            </w:r>
            <w:r w:rsidR="0030712E">
              <w:t xml:space="preserve"> </w:t>
            </w:r>
            <w:r w:rsidR="0030712E" w:rsidRPr="0030712E">
              <w:t>Diretor</w:t>
            </w:r>
          </w:p>
        </w:tc>
      </w:tr>
    </w:tbl>
    <w:p w14:paraId="133F0A28" w14:textId="77777777" w:rsidR="002B1EA9" w:rsidRPr="00A4094B" w:rsidRDefault="002B1EA9" w:rsidP="00FB35C3">
      <w:pPr>
        <w:widowControl/>
      </w:pPr>
    </w:p>
    <w:p w14:paraId="747553A1" w14:textId="77777777" w:rsidR="000A5637" w:rsidRPr="00A4094B" w:rsidRDefault="000A5637" w:rsidP="00FB35C3">
      <w:pPr>
        <w:widowControl/>
      </w:pPr>
      <w:r w:rsidRPr="00A4094B">
        <w:br w:type="page"/>
      </w:r>
    </w:p>
    <w:p w14:paraId="5416430B" w14:textId="28FDCD61" w:rsidR="0008637B" w:rsidRPr="00A4094B" w:rsidRDefault="0008637B" w:rsidP="00FB35C3">
      <w:pPr>
        <w:widowControl/>
      </w:pPr>
      <w:r w:rsidRPr="00A4094B">
        <w:lastRenderedPageBreak/>
        <w:t>(</w:t>
      </w:r>
      <w:r w:rsidRPr="00A4094B">
        <w:rPr>
          <w:i/>
        </w:rPr>
        <w:t xml:space="preserve">Página de assinatura </w:t>
      </w:r>
      <w:r w:rsidR="004E79F2" w:rsidRPr="00A4094B">
        <w:rPr>
          <w:i/>
        </w:rPr>
        <w:t>2</w:t>
      </w:r>
      <w:r w:rsidRPr="00A4094B">
        <w:rPr>
          <w:i/>
        </w:rPr>
        <w:t xml:space="preserve">/2 da assembleia geral dos titulares de debêntures da 1ª (primeira) série da 2ª (segunda) emissão de debêntures simples, não conversíveis em ações, da espécie com garantia real, em 2 (duas) séries, para distribuição pública, com esforços restritos de distribuição, da </w:t>
      </w:r>
      <w:r w:rsidR="00874618">
        <w:rPr>
          <w:i/>
        </w:rPr>
        <w:t>Santa Luz</w:t>
      </w:r>
      <w:r w:rsidRPr="00A4094B">
        <w:rPr>
          <w:i/>
        </w:rPr>
        <w:t xml:space="preserve"> Geração e Comércio de Energia SPE S.A. realizada em </w:t>
      </w:r>
      <w:r w:rsidR="00874618">
        <w:rPr>
          <w:i/>
        </w:rPr>
        <w:t>21</w:t>
      </w:r>
      <w:r w:rsidR="00B924A3" w:rsidRPr="00A4094B">
        <w:rPr>
          <w:i/>
        </w:rPr>
        <w:t xml:space="preserve"> </w:t>
      </w:r>
      <w:r w:rsidRPr="00A4094B">
        <w:rPr>
          <w:i/>
        </w:rPr>
        <w:t>de maio de 2021</w:t>
      </w:r>
      <w:r w:rsidRPr="00A4094B">
        <w:t>)</w:t>
      </w:r>
    </w:p>
    <w:p w14:paraId="7516EB10" w14:textId="77777777" w:rsidR="0008637B" w:rsidRPr="00A4094B" w:rsidRDefault="0008637B" w:rsidP="00FB35C3">
      <w:pPr>
        <w:widowControl/>
      </w:pPr>
    </w:p>
    <w:p w14:paraId="0B44BE80" w14:textId="77777777" w:rsidR="0008637B" w:rsidRPr="00A4094B" w:rsidRDefault="0008637B" w:rsidP="00FB35C3">
      <w:pPr>
        <w:widowControl/>
      </w:pPr>
    </w:p>
    <w:p w14:paraId="674CE760" w14:textId="77777777" w:rsidR="0008637B" w:rsidRPr="00A4094B" w:rsidRDefault="0008637B" w:rsidP="00FB35C3">
      <w:pPr>
        <w:widowControl/>
      </w:pPr>
    </w:p>
    <w:p w14:paraId="0C553488" w14:textId="77777777" w:rsidR="000818FD" w:rsidRPr="00A4094B" w:rsidRDefault="000818FD" w:rsidP="00FB35C3">
      <w:pPr>
        <w:widowControl/>
      </w:pPr>
      <w:r w:rsidRPr="00A4094B">
        <w:t>Emissora:</w:t>
      </w:r>
    </w:p>
    <w:p w14:paraId="3BCCF30A" w14:textId="77777777" w:rsidR="000818FD" w:rsidRPr="00A4094B" w:rsidRDefault="000818FD" w:rsidP="00FB35C3">
      <w:pPr>
        <w:widowControl/>
      </w:pPr>
    </w:p>
    <w:p w14:paraId="409491DC" w14:textId="77777777" w:rsidR="0008637B" w:rsidRPr="00A4094B" w:rsidRDefault="0008637B" w:rsidP="00FB35C3">
      <w:pPr>
        <w:widowControl/>
      </w:pPr>
    </w:p>
    <w:p w14:paraId="1EAC8CDA" w14:textId="77777777" w:rsidR="0008637B" w:rsidRPr="00A4094B" w:rsidRDefault="0008637B" w:rsidP="00FB35C3">
      <w:pPr>
        <w:widowControl/>
      </w:pPr>
    </w:p>
    <w:p w14:paraId="5CA43832" w14:textId="23D966C4" w:rsidR="000818FD" w:rsidRPr="00A4094B" w:rsidRDefault="00753E00" w:rsidP="00FB35C3">
      <w:pPr>
        <w:widowControl/>
        <w:jc w:val="center"/>
        <w:rPr>
          <w:rFonts w:eastAsia="Arial Unicode MS"/>
          <w:b/>
        </w:rPr>
      </w:pPr>
      <w:r>
        <w:rPr>
          <w:b/>
        </w:rPr>
        <w:t>SANTA LUZ</w:t>
      </w:r>
      <w:r w:rsidRPr="00A4094B">
        <w:rPr>
          <w:b/>
        </w:rPr>
        <w:t xml:space="preserve"> GERAÇÃO E COMÉRCIO DE ENERGIA SPE S.A.</w:t>
      </w:r>
    </w:p>
    <w:p w14:paraId="230CCE6D" w14:textId="77777777" w:rsidR="0008637B" w:rsidRPr="00A4094B" w:rsidRDefault="0008637B" w:rsidP="00FB35C3">
      <w:pPr>
        <w:widowControl/>
      </w:pPr>
    </w:p>
    <w:p w14:paraId="3D57F388" w14:textId="77777777" w:rsidR="0008637B" w:rsidRPr="00A4094B" w:rsidRDefault="0008637B" w:rsidP="00FB35C3">
      <w:pPr>
        <w:widowControl/>
      </w:pPr>
    </w:p>
    <w:p w14:paraId="72266A44" w14:textId="77777777" w:rsidR="0008637B" w:rsidRPr="00A4094B" w:rsidRDefault="0008637B" w:rsidP="00FB35C3">
      <w:pPr>
        <w:widowControl/>
      </w:pPr>
    </w:p>
    <w:tbl>
      <w:tblPr>
        <w:tblW w:w="4970" w:type="pct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0676DF" w:rsidRPr="00A4094B" w14:paraId="13974C67" w14:textId="77777777" w:rsidTr="0008637B">
        <w:trPr>
          <w:jc w:val="center"/>
        </w:trPr>
        <w:tc>
          <w:tcPr>
            <w:tcW w:w="2500" w:type="pct"/>
            <w:hideMark/>
          </w:tcPr>
          <w:p w14:paraId="46C7A5F1" w14:textId="77777777" w:rsidR="000676DF" w:rsidRPr="00A4094B" w:rsidRDefault="000676DF" w:rsidP="00FB35C3">
            <w:pPr>
              <w:widowControl/>
            </w:pPr>
            <w:r w:rsidRPr="00A4094B">
              <w:t>______________________________________</w:t>
            </w:r>
          </w:p>
          <w:p w14:paraId="7435F679" w14:textId="335EF86F" w:rsidR="000676DF" w:rsidRPr="00A4094B" w:rsidRDefault="000676DF" w:rsidP="00FB35C3">
            <w:pPr>
              <w:widowControl/>
            </w:pPr>
            <w:r w:rsidRPr="00A4094B">
              <w:t>Nome:</w:t>
            </w:r>
            <w:r w:rsidR="0030712E">
              <w:t xml:space="preserve"> </w:t>
            </w:r>
            <w:r w:rsidR="0030712E" w:rsidRPr="0030712E">
              <w:t xml:space="preserve">Tulio </w:t>
            </w:r>
            <w:proofErr w:type="spellStart"/>
            <w:r w:rsidR="0030712E" w:rsidRPr="0030712E">
              <w:t>Azevêdo</w:t>
            </w:r>
            <w:proofErr w:type="spellEnd"/>
            <w:r w:rsidR="0030712E" w:rsidRPr="0030712E">
              <w:t xml:space="preserve"> Machado</w:t>
            </w:r>
          </w:p>
          <w:p w14:paraId="553D7DB0" w14:textId="303E20F4" w:rsidR="000676DF" w:rsidRPr="00A4094B" w:rsidRDefault="000676DF" w:rsidP="00FB35C3">
            <w:pPr>
              <w:widowControl/>
            </w:pPr>
            <w:r w:rsidRPr="00A4094B">
              <w:t>Cargo:</w:t>
            </w:r>
            <w:r w:rsidR="0030712E">
              <w:t xml:space="preserve"> </w:t>
            </w:r>
            <w:r w:rsidR="0030712E" w:rsidRPr="0030712E">
              <w:t>Diretor</w:t>
            </w:r>
          </w:p>
        </w:tc>
        <w:tc>
          <w:tcPr>
            <w:tcW w:w="2500" w:type="pct"/>
          </w:tcPr>
          <w:p w14:paraId="330B9AFC" w14:textId="77777777" w:rsidR="000676DF" w:rsidRPr="00A4094B" w:rsidRDefault="000676DF" w:rsidP="00FB35C3">
            <w:pPr>
              <w:widowControl/>
            </w:pPr>
            <w:r w:rsidRPr="00A4094B">
              <w:t>______________________________________</w:t>
            </w:r>
          </w:p>
          <w:p w14:paraId="5F458B6A" w14:textId="15102CE7" w:rsidR="000676DF" w:rsidRPr="00A4094B" w:rsidRDefault="000676DF" w:rsidP="00FB35C3">
            <w:pPr>
              <w:widowControl/>
            </w:pPr>
            <w:r w:rsidRPr="00A4094B">
              <w:t>Nome:</w:t>
            </w:r>
            <w:r w:rsidR="0030712E">
              <w:t xml:space="preserve"> </w:t>
            </w:r>
            <w:r w:rsidR="0030712E" w:rsidRPr="0030712E">
              <w:t xml:space="preserve">Nilton </w:t>
            </w:r>
            <w:proofErr w:type="spellStart"/>
            <w:r w:rsidR="0030712E" w:rsidRPr="0030712E">
              <w:t>Bertuchi</w:t>
            </w:r>
            <w:proofErr w:type="spellEnd"/>
          </w:p>
          <w:p w14:paraId="0A02417F" w14:textId="4421FFA7" w:rsidR="000676DF" w:rsidRPr="00A4094B" w:rsidRDefault="000676DF" w:rsidP="00FB35C3">
            <w:pPr>
              <w:widowControl/>
            </w:pPr>
            <w:r w:rsidRPr="00A4094B">
              <w:t>Cargo:</w:t>
            </w:r>
            <w:r w:rsidR="0030712E">
              <w:t xml:space="preserve"> </w:t>
            </w:r>
            <w:r w:rsidR="0030712E" w:rsidRPr="0030712E">
              <w:t>Diretor</w:t>
            </w:r>
          </w:p>
        </w:tc>
      </w:tr>
    </w:tbl>
    <w:p w14:paraId="2E5AC5CA" w14:textId="77777777" w:rsidR="008D2013" w:rsidRPr="00A4094B" w:rsidRDefault="008D2013" w:rsidP="00FB35C3">
      <w:pPr>
        <w:widowControl/>
      </w:pPr>
    </w:p>
    <w:p w14:paraId="6B629CF7" w14:textId="77777777" w:rsidR="008D2013" w:rsidRPr="00A4094B" w:rsidRDefault="008D2013" w:rsidP="00FB35C3">
      <w:pPr>
        <w:widowControl/>
      </w:pPr>
      <w:r w:rsidRPr="00A4094B">
        <w:br w:type="page"/>
      </w:r>
    </w:p>
    <w:p w14:paraId="412C8D9E" w14:textId="77777777" w:rsidR="00191BAC" w:rsidRPr="00A4094B" w:rsidRDefault="00866033" w:rsidP="00FB35C3">
      <w:pPr>
        <w:widowControl/>
        <w:pBdr>
          <w:bottom w:val="single" w:sz="4" w:space="1" w:color="auto"/>
        </w:pBdr>
        <w:jc w:val="center"/>
        <w:rPr>
          <w:b/>
        </w:rPr>
      </w:pPr>
      <w:r w:rsidRPr="00A4094B">
        <w:rPr>
          <w:b/>
        </w:rPr>
        <w:lastRenderedPageBreak/>
        <w:t>ANEXO I</w:t>
      </w:r>
      <w:r w:rsidR="00191BAC" w:rsidRPr="00A4094B">
        <w:rPr>
          <w:b/>
        </w:rPr>
        <w:br/>
        <w:t>LISTA DE PRESENÇA</w:t>
      </w:r>
    </w:p>
    <w:p w14:paraId="6541B0CD" w14:textId="77777777" w:rsidR="00191BAC" w:rsidRPr="00A4094B" w:rsidRDefault="00191BAC" w:rsidP="00FB35C3">
      <w:pPr>
        <w:widowControl/>
      </w:pPr>
    </w:p>
    <w:p w14:paraId="2428907A" w14:textId="77777777" w:rsidR="00F3548E" w:rsidRPr="00A4094B" w:rsidRDefault="00F3548E" w:rsidP="00FB35C3">
      <w:pPr>
        <w:widowControl/>
        <w:autoSpaceDE w:val="0"/>
        <w:autoSpaceDN w:val="0"/>
        <w:adjustRightInd w:val="0"/>
        <w:contextualSpacing/>
        <w:jc w:val="center"/>
      </w:pPr>
      <w:r w:rsidRPr="00A4094B">
        <w:t>(</w:t>
      </w:r>
      <w:r w:rsidRPr="00A4094B">
        <w:rPr>
          <w:i/>
        </w:rPr>
        <w:t>Assinaturas seguem nas páginas seguintes</w:t>
      </w:r>
      <w:r w:rsidRPr="00A4094B">
        <w:t>)</w:t>
      </w:r>
    </w:p>
    <w:p w14:paraId="433B504B" w14:textId="77777777" w:rsidR="00F3548E" w:rsidRPr="00A4094B" w:rsidRDefault="00F3548E" w:rsidP="00FB35C3">
      <w:pPr>
        <w:widowControl/>
        <w:autoSpaceDE w:val="0"/>
        <w:autoSpaceDN w:val="0"/>
        <w:adjustRightInd w:val="0"/>
        <w:contextualSpacing/>
        <w:jc w:val="center"/>
      </w:pPr>
      <w:r w:rsidRPr="00A4094B">
        <w:t>(</w:t>
      </w:r>
      <w:r w:rsidRPr="00A4094B">
        <w:rPr>
          <w:i/>
        </w:rPr>
        <w:t>Restante da página intencionalmente deixado em branco</w:t>
      </w:r>
      <w:r w:rsidRPr="00A4094B">
        <w:t>)</w:t>
      </w:r>
    </w:p>
    <w:p w14:paraId="55841B05" w14:textId="77777777" w:rsidR="00F3548E" w:rsidRPr="00A4094B" w:rsidRDefault="00F3548E" w:rsidP="00FB35C3">
      <w:pPr>
        <w:widowControl/>
      </w:pPr>
    </w:p>
    <w:p w14:paraId="480D7D7C" w14:textId="77777777" w:rsidR="00F3548E" w:rsidRPr="00A4094B" w:rsidRDefault="00F3548E" w:rsidP="00FB35C3">
      <w:pPr>
        <w:widowControl/>
        <w:spacing w:after="160" w:line="259" w:lineRule="auto"/>
        <w:jc w:val="left"/>
      </w:pPr>
      <w:r w:rsidRPr="00A4094B">
        <w:br w:type="page"/>
      </w:r>
    </w:p>
    <w:p w14:paraId="4893E2C0" w14:textId="02ECEFA3" w:rsidR="00191BAC" w:rsidRPr="00A4094B" w:rsidRDefault="00191BAC" w:rsidP="00FB35C3">
      <w:pPr>
        <w:widowControl/>
      </w:pPr>
      <w:r w:rsidRPr="00A4094B">
        <w:lastRenderedPageBreak/>
        <w:t>(</w:t>
      </w:r>
      <w:r w:rsidRPr="00A4094B">
        <w:rPr>
          <w:i/>
        </w:rPr>
        <w:t>Página de assinatura 1/</w:t>
      </w:r>
      <w:r w:rsidR="005210D0">
        <w:rPr>
          <w:i/>
        </w:rPr>
        <w:t>4</w:t>
      </w:r>
      <w:r w:rsidR="005210D0" w:rsidRPr="00A4094B">
        <w:rPr>
          <w:i/>
        </w:rPr>
        <w:t xml:space="preserve"> </w:t>
      </w:r>
      <w:r w:rsidRPr="00A4094B">
        <w:rPr>
          <w:i/>
        </w:rPr>
        <w:t>da lista de presença da assembleia geral dos titulares de debêntures da 1ª</w:t>
      </w:r>
      <w:r w:rsidR="00B924A3">
        <w:rPr>
          <w:i/>
        </w:rPr>
        <w:t> </w:t>
      </w:r>
      <w:r w:rsidRPr="00A4094B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restritos de distribuição, da </w:t>
      </w:r>
      <w:r w:rsidR="00874618">
        <w:rPr>
          <w:i/>
        </w:rPr>
        <w:t>Santa Luz</w:t>
      </w:r>
      <w:r w:rsidRPr="00A4094B">
        <w:rPr>
          <w:i/>
        </w:rPr>
        <w:t xml:space="preserve"> Geração e Comércio de Energia SPE S.A. realizada em </w:t>
      </w:r>
      <w:r w:rsidR="00874618">
        <w:rPr>
          <w:i/>
        </w:rPr>
        <w:t>21</w:t>
      </w:r>
      <w:r w:rsidR="00B924A3" w:rsidRPr="00A4094B">
        <w:rPr>
          <w:i/>
        </w:rPr>
        <w:t xml:space="preserve"> </w:t>
      </w:r>
      <w:r w:rsidRPr="00A4094B">
        <w:rPr>
          <w:i/>
        </w:rPr>
        <w:t>de maio de 2021</w:t>
      </w:r>
      <w:r w:rsidRPr="00A4094B">
        <w:t>)</w:t>
      </w:r>
    </w:p>
    <w:p w14:paraId="6C6EBE62" w14:textId="77777777" w:rsidR="00191BAC" w:rsidRPr="00A4094B" w:rsidRDefault="00191BAC" w:rsidP="00FB35C3">
      <w:pPr>
        <w:widowControl/>
      </w:pPr>
    </w:p>
    <w:p w14:paraId="6F8A9F3F" w14:textId="77777777" w:rsidR="00191BAC" w:rsidRPr="00A4094B" w:rsidRDefault="00191BAC" w:rsidP="00FB35C3">
      <w:pPr>
        <w:widowControl/>
      </w:pPr>
    </w:p>
    <w:p w14:paraId="340C3896" w14:textId="77777777" w:rsidR="00C44DCE" w:rsidRPr="00A4094B" w:rsidRDefault="00C44DCE" w:rsidP="00FB35C3">
      <w:pPr>
        <w:widowControl/>
      </w:pPr>
    </w:p>
    <w:p w14:paraId="53E3A057" w14:textId="77777777" w:rsidR="00E318B4" w:rsidRPr="00A4094B" w:rsidRDefault="00FB7472" w:rsidP="00FB35C3">
      <w:pPr>
        <w:widowControl/>
      </w:pPr>
      <w:r w:rsidRPr="00A4094B">
        <w:t>Debenturista</w:t>
      </w:r>
      <w:r w:rsidR="00D85864" w:rsidRPr="00A4094B">
        <w:t>:</w:t>
      </w:r>
    </w:p>
    <w:p w14:paraId="5E8B1F3E" w14:textId="77777777" w:rsidR="00C44DCE" w:rsidRPr="00A4094B" w:rsidRDefault="00C44DCE" w:rsidP="00FB35C3">
      <w:pPr>
        <w:widowControl/>
      </w:pPr>
    </w:p>
    <w:p w14:paraId="1A3A6E1C" w14:textId="77777777" w:rsidR="00191BAC" w:rsidRPr="00A4094B" w:rsidRDefault="00191BAC" w:rsidP="00FB35C3">
      <w:pPr>
        <w:widowControl/>
      </w:pPr>
    </w:p>
    <w:p w14:paraId="4E9EE0D1" w14:textId="77777777" w:rsidR="00191BAC" w:rsidRPr="00A4094B" w:rsidRDefault="00191BAC" w:rsidP="00FB35C3">
      <w:pPr>
        <w:widowControl/>
      </w:pPr>
    </w:p>
    <w:p w14:paraId="308D1AAB" w14:textId="167BFA0E" w:rsidR="00191BAC" w:rsidRPr="00A4094B" w:rsidRDefault="001E7C4A" w:rsidP="00A21699">
      <w:pPr>
        <w:widowControl/>
        <w:jc w:val="center"/>
      </w:pPr>
      <w:r w:rsidRPr="00015456">
        <w:rPr>
          <w:b/>
        </w:rPr>
        <w:t>XP CORPORATE PLUS MASTER FUNDO DE INVESTIMENTO MULTIMERCADO CRÉDITO PRIVADO</w:t>
      </w:r>
    </w:p>
    <w:p w14:paraId="3044D3D6" w14:textId="77777777" w:rsidR="00191BAC" w:rsidRPr="00A4094B" w:rsidRDefault="00191BAC" w:rsidP="00FB35C3">
      <w:pPr>
        <w:widowControl/>
      </w:pPr>
    </w:p>
    <w:p w14:paraId="5B7F77AE" w14:textId="77777777" w:rsidR="00191BAC" w:rsidRPr="00A4094B" w:rsidRDefault="00191BAC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A4094B" w14:paraId="7106E7F2" w14:textId="77777777" w:rsidTr="009D05D5">
        <w:trPr>
          <w:jc w:val="center"/>
        </w:trPr>
        <w:tc>
          <w:tcPr>
            <w:tcW w:w="5000" w:type="pct"/>
          </w:tcPr>
          <w:p w14:paraId="441F3E3B" w14:textId="77777777" w:rsidR="009D05D5" w:rsidRPr="00A4094B" w:rsidRDefault="009D05D5" w:rsidP="00FB35C3">
            <w:pPr>
              <w:widowControl/>
            </w:pPr>
            <w:r w:rsidRPr="00A4094B">
              <w:t>______________________________________</w:t>
            </w:r>
          </w:p>
          <w:p w14:paraId="7DA3261C" w14:textId="405B1738" w:rsidR="009D05D5" w:rsidRPr="00A4094B" w:rsidRDefault="009D05D5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76FA07B7" w14:textId="658D5490" w:rsidR="009D05D5" w:rsidRPr="00A4094B" w:rsidRDefault="009D05D5" w:rsidP="00FB35C3">
            <w:pPr>
              <w:widowControl/>
            </w:pPr>
            <w:r w:rsidRPr="00A4094B">
              <w:t>Cargo:</w:t>
            </w:r>
            <w:r w:rsidR="0054262D">
              <w:t xml:space="preserve"> [</w:t>
            </w:r>
            <w:r w:rsidR="0054262D" w:rsidRPr="0054262D">
              <w:rPr>
                <w:rFonts w:cs="Arial"/>
                <w:highlight w:val="yellow"/>
              </w:rPr>
              <w:t>•</w:t>
            </w:r>
            <w:r w:rsidR="0054262D">
              <w:t>]</w:t>
            </w:r>
          </w:p>
        </w:tc>
      </w:tr>
    </w:tbl>
    <w:p w14:paraId="30FD217B" w14:textId="77777777" w:rsidR="00191BAC" w:rsidRPr="00A4094B" w:rsidRDefault="00191BAC" w:rsidP="00FB35C3">
      <w:pPr>
        <w:widowControl/>
      </w:pPr>
    </w:p>
    <w:p w14:paraId="79FA3B2E" w14:textId="77777777" w:rsidR="00D85864" w:rsidRPr="00A4094B" w:rsidRDefault="00D85864" w:rsidP="00FB35C3">
      <w:pPr>
        <w:widowControl/>
      </w:pPr>
      <w:r w:rsidRPr="00A4094B">
        <w:br w:type="page"/>
      </w:r>
    </w:p>
    <w:p w14:paraId="0FBD4934" w14:textId="046E5883" w:rsidR="00191BAC" w:rsidRPr="00A4094B" w:rsidRDefault="00191BAC" w:rsidP="00FB35C3">
      <w:pPr>
        <w:widowControl/>
      </w:pPr>
      <w:r w:rsidRPr="00A4094B">
        <w:lastRenderedPageBreak/>
        <w:t>(</w:t>
      </w:r>
      <w:r w:rsidRPr="00A4094B">
        <w:rPr>
          <w:i/>
        </w:rPr>
        <w:t>Página de assinatura 2/</w:t>
      </w:r>
      <w:r w:rsidR="005210D0">
        <w:rPr>
          <w:i/>
        </w:rPr>
        <w:t>4</w:t>
      </w:r>
      <w:r w:rsidR="005210D0" w:rsidRPr="00A4094B">
        <w:rPr>
          <w:i/>
        </w:rPr>
        <w:t xml:space="preserve"> </w:t>
      </w:r>
      <w:r w:rsidRPr="00A4094B">
        <w:rPr>
          <w:i/>
        </w:rPr>
        <w:t>da lista de presença da assembleia geral dos titulares de debêntures da 1ª</w:t>
      </w:r>
      <w:r w:rsidR="00B924A3">
        <w:rPr>
          <w:i/>
        </w:rPr>
        <w:t> </w:t>
      </w:r>
      <w:r w:rsidRPr="00A4094B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restritos de distribuição, da </w:t>
      </w:r>
      <w:r w:rsidR="00874618">
        <w:rPr>
          <w:i/>
        </w:rPr>
        <w:t>Santa Luz</w:t>
      </w:r>
      <w:r w:rsidRPr="00A4094B">
        <w:rPr>
          <w:i/>
        </w:rPr>
        <w:t xml:space="preserve"> Geração e Comércio de Energia SPE S.A. realizada em </w:t>
      </w:r>
      <w:r w:rsidR="00874618">
        <w:rPr>
          <w:i/>
        </w:rPr>
        <w:t>21</w:t>
      </w:r>
      <w:r w:rsidR="00B924A3" w:rsidRPr="00A4094B">
        <w:rPr>
          <w:i/>
        </w:rPr>
        <w:t xml:space="preserve"> </w:t>
      </w:r>
      <w:r w:rsidRPr="00A4094B">
        <w:rPr>
          <w:i/>
        </w:rPr>
        <w:t>de maio de 2021</w:t>
      </w:r>
      <w:r w:rsidRPr="00A4094B">
        <w:t>)</w:t>
      </w:r>
    </w:p>
    <w:p w14:paraId="6BADFC2C" w14:textId="77777777" w:rsidR="00191BAC" w:rsidRPr="00A4094B" w:rsidRDefault="00191BAC" w:rsidP="00FB35C3">
      <w:pPr>
        <w:widowControl/>
      </w:pPr>
    </w:p>
    <w:p w14:paraId="0CB00B3D" w14:textId="77777777" w:rsidR="00191BAC" w:rsidRPr="00A4094B" w:rsidRDefault="00191BAC" w:rsidP="00FB35C3">
      <w:pPr>
        <w:widowControl/>
      </w:pPr>
    </w:p>
    <w:p w14:paraId="58ABE253" w14:textId="77777777" w:rsidR="00191BAC" w:rsidRPr="00A4094B" w:rsidRDefault="00191BAC" w:rsidP="00FB35C3">
      <w:pPr>
        <w:widowControl/>
      </w:pPr>
    </w:p>
    <w:p w14:paraId="551668B6" w14:textId="77777777" w:rsidR="00191BAC" w:rsidRPr="00A4094B" w:rsidRDefault="00191BAC" w:rsidP="00FB35C3">
      <w:pPr>
        <w:widowControl/>
      </w:pPr>
      <w:r w:rsidRPr="00A4094B">
        <w:t>Debenturista:</w:t>
      </w:r>
    </w:p>
    <w:p w14:paraId="57BBF0CC" w14:textId="77777777" w:rsidR="00191BAC" w:rsidRPr="00A4094B" w:rsidRDefault="00191BAC" w:rsidP="00FB35C3">
      <w:pPr>
        <w:widowControl/>
      </w:pPr>
    </w:p>
    <w:p w14:paraId="6011A46A" w14:textId="77777777" w:rsidR="00191BAC" w:rsidRPr="00A4094B" w:rsidRDefault="00191BAC" w:rsidP="00FB35C3">
      <w:pPr>
        <w:widowControl/>
      </w:pPr>
    </w:p>
    <w:p w14:paraId="1FDD5C56" w14:textId="77777777" w:rsidR="00191BAC" w:rsidRPr="00A4094B" w:rsidRDefault="00191BAC" w:rsidP="00FB35C3">
      <w:pPr>
        <w:widowControl/>
      </w:pPr>
    </w:p>
    <w:p w14:paraId="5A538642" w14:textId="7F46B133" w:rsidR="00191BAC" w:rsidRPr="00A4094B" w:rsidRDefault="001E7C4A" w:rsidP="00A21699">
      <w:pPr>
        <w:widowControl/>
        <w:jc w:val="center"/>
      </w:pPr>
      <w:r w:rsidRPr="00015456">
        <w:rPr>
          <w:rFonts w:cs="Arial"/>
          <w:b/>
        </w:rPr>
        <w:t>XP DEBENTURES INCENTIVADAS CRÉDITO PRIVADO MASTER FUNDO DE INVESTIMENTO MULTIMERCADO</w:t>
      </w:r>
    </w:p>
    <w:p w14:paraId="515275C8" w14:textId="77777777" w:rsidR="00191BAC" w:rsidRPr="00A4094B" w:rsidRDefault="00191BAC" w:rsidP="00FB35C3">
      <w:pPr>
        <w:widowControl/>
      </w:pPr>
    </w:p>
    <w:p w14:paraId="637D5165" w14:textId="77777777" w:rsidR="00191BAC" w:rsidRPr="00A4094B" w:rsidRDefault="00191BAC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A4094B" w14:paraId="2406040D" w14:textId="77777777" w:rsidTr="009D05D5">
        <w:trPr>
          <w:jc w:val="center"/>
        </w:trPr>
        <w:tc>
          <w:tcPr>
            <w:tcW w:w="5000" w:type="pct"/>
          </w:tcPr>
          <w:p w14:paraId="59A8846E" w14:textId="77777777" w:rsidR="009D05D5" w:rsidRPr="00A4094B" w:rsidRDefault="009D05D5" w:rsidP="00FB35C3">
            <w:pPr>
              <w:widowControl/>
            </w:pPr>
            <w:r w:rsidRPr="00A4094B">
              <w:t>______________________________________</w:t>
            </w:r>
          </w:p>
          <w:p w14:paraId="30ED49A7" w14:textId="074EEAF8" w:rsidR="009D05D5" w:rsidRPr="00A4094B" w:rsidRDefault="009D05D5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1A2F4F68" w14:textId="53FFFB87" w:rsidR="009D05D5" w:rsidRPr="00A4094B" w:rsidRDefault="009D05D5" w:rsidP="00FB35C3">
            <w:pPr>
              <w:widowControl/>
            </w:pPr>
            <w:r w:rsidRPr="00A4094B">
              <w:t>Cargo:</w:t>
            </w:r>
            <w:r w:rsidR="0054262D">
              <w:t xml:space="preserve"> [</w:t>
            </w:r>
            <w:r w:rsidR="0054262D" w:rsidRPr="0054262D">
              <w:rPr>
                <w:rFonts w:cs="Arial"/>
                <w:highlight w:val="yellow"/>
              </w:rPr>
              <w:t>•</w:t>
            </w:r>
            <w:r w:rsidR="0054262D">
              <w:t>]</w:t>
            </w:r>
          </w:p>
        </w:tc>
      </w:tr>
    </w:tbl>
    <w:p w14:paraId="15D63434" w14:textId="77777777" w:rsidR="00191BAC" w:rsidRPr="00A4094B" w:rsidRDefault="00191BAC" w:rsidP="00FB35C3">
      <w:pPr>
        <w:widowControl/>
      </w:pPr>
    </w:p>
    <w:p w14:paraId="559D5B52" w14:textId="77777777" w:rsidR="00D85864" w:rsidRPr="00A4094B" w:rsidRDefault="00D85864" w:rsidP="00FB35C3">
      <w:pPr>
        <w:widowControl/>
      </w:pPr>
      <w:r w:rsidRPr="00A4094B">
        <w:br w:type="page"/>
      </w:r>
    </w:p>
    <w:p w14:paraId="10C54DFB" w14:textId="5D46687E" w:rsidR="00191BAC" w:rsidRPr="00A4094B" w:rsidRDefault="00191BAC" w:rsidP="00FB35C3">
      <w:pPr>
        <w:widowControl/>
      </w:pPr>
      <w:r w:rsidRPr="00A4094B">
        <w:lastRenderedPageBreak/>
        <w:t>(</w:t>
      </w:r>
      <w:r w:rsidRPr="00A4094B">
        <w:rPr>
          <w:i/>
        </w:rPr>
        <w:t>Página de assinatura 3/</w:t>
      </w:r>
      <w:r w:rsidR="005210D0">
        <w:rPr>
          <w:i/>
        </w:rPr>
        <w:t>4</w:t>
      </w:r>
      <w:r w:rsidR="005210D0" w:rsidRPr="00A4094B">
        <w:rPr>
          <w:i/>
        </w:rPr>
        <w:t xml:space="preserve"> </w:t>
      </w:r>
      <w:r w:rsidRPr="00A4094B">
        <w:rPr>
          <w:i/>
        </w:rPr>
        <w:t>da lista de presença da assembleia geral dos titulares de debêntures da 1ª</w:t>
      </w:r>
      <w:r w:rsidR="00B924A3">
        <w:rPr>
          <w:i/>
        </w:rPr>
        <w:t> </w:t>
      </w:r>
      <w:r w:rsidRPr="00A4094B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restritos de distribuição, da </w:t>
      </w:r>
      <w:r w:rsidR="00874618">
        <w:rPr>
          <w:i/>
        </w:rPr>
        <w:t>Santa Luz</w:t>
      </w:r>
      <w:r w:rsidRPr="00A4094B">
        <w:rPr>
          <w:i/>
        </w:rPr>
        <w:t xml:space="preserve"> Geração e Comércio de Energia SPE S.A. realizada em </w:t>
      </w:r>
      <w:r w:rsidR="00874618">
        <w:rPr>
          <w:i/>
        </w:rPr>
        <w:t>21</w:t>
      </w:r>
      <w:r w:rsidR="00B924A3" w:rsidRPr="00A4094B">
        <w:rPr>
          <w:i/>
        </w:rPr>
        <w:t xml:space="preserve"> </w:t>
      </w:r>
      <w:r w:rsidRPr="00A4094B">
        <w:rPr>
          <w:i/>
        </w:rPr>
        <w:t>de maio de 2021</w:t>
      </w:r>
      <w:r w:rsidRPr="00A4094B">
        <w:t>)</w:t>
      </w:r>
    </w:p>
    <w:p w14:paraId="7C4D4CF4" w14:textId="77777777" w:rsidR="00191BAC" w:rsidRPr="00A4094B" w:rsidRDefault="00191BAC" w:rsidP="00FB35C3">
      <w:pPr>
        <w:widowControl/>
      </w:pPr>
    </w:p>
    <w:p w14:paraId="3C8E2460" w14:textId="77777777" w:rsidR="00191BAC" w:rsidRPr="00A4094B" w:rsidRDefault="00191BAC" w:rsidP="00FB35C3">
      <w:pPr>
        <w:widowControl/>
      </w:pPr>
    </w:p>
    <w:p w14:paraId="34165AE8" w14:textId="77777777" w:rsidR="00191BAC" w:rsidRPr="00A4094B" w:rsidRDefault="00191BAC" w:rsidP="00FB35C3">
      <w:pPr>
        <w:widowControl/>
      </w:pPr>
    </w:p>
    <w:p w14:paraId="58AA3C90" w14:textId="77777777" w:rsidR="00191BAC" w:rsidRPr="00A4094B" w:rsidRDefault="00191BAC" w:rsidP="00FB35C3">
      <w:pPr>
        <w:widowControl/>
      </w:pPr>
      <w:r w:rsidRPr="00A4094B">
        <w:t>Debenturista:</w:t>
      </w:r>
    </w:p>
    <w:p w14:paraId="15E248B1" w14:textId="77777777" w:rsidR="00191BAC" w:rsidRPr="00A4094B" w:rsidRDefault="00191BAC" w:rsidP="00FB35C3">
      <w:pPr>
        <w:widowControl/>
      </w:pPr>
    </w:p>
    <w:p w14:paraId="250B62C1" w14:textId="77777777" w:rsidR="00191BAC" w:rsidRPr="00A4094B" w:rsidRDefault="00191BAC" w:rsidP="00FB35C3">
      <w:pPr>
        <w:widowControl/>
      </w:pPr>
    </w:p>
    <w:p w14:paraId="40D83F49" w14:textId="77777777" w:rsidR="00191BAC" w:rsidRPr="00A4094B" w:rsidRDefault="00191BAC" w:rsidP="00FB35C3">
      <w:pPr>
        <w:widowControl/>
      </w:pPr>
    </w:p>
    <w:p w14:paraId="09AEAF20" w14:textId="44267960" w:rsidR="00191BAC" w:rsidRPr="00A4094B" w:rsidRDefault="001E7C4A" w:rsidP="00A21699">
      <w:pPr>
        <w:widowControl/>
        <w:jc w:val="center"/>
      </w:pPr>
      <w:r w:rsidRPr="00015456">
        <w:rPr>
          <w:b/>
        </w:rPr>
        <w:t xml:space="preserve">XP DEBENTURES INCENTIVADAS HEDGE MASTER I CRÉDITO PRIVADO </w:t>
      </w:r>
      <w:r w:rsidRPr="00015456">
        <w:rPr>
          <w:rFonts w:cs="Arial"/>
          <w:b/>
        </w:rPr>
        <w:t xml:space="preserve">FUNDO DE INVESTIMENTO </w:t>
      </w:r>
      <w:r w:rsidRPr="00015456">
        <w:rPr>
          <w:b/>
        </w:rPr>
        <w:t>MULTIMERCADO LONGO PRAZO</w:t>
      </w:r>
    </w:p>
    <w:p w14:paraId="0D8122F7" w14:textId="77777777" w:rsidR="00191BAC" w:rsidRPr="00A4094B" w:rsidRDefault="00191BAC" w:rsidP="00FB35C3">
      <w:pPr>
        <w:widowControl/>
      </w:pPr>
    </w:p>
    <w:p w14:paraId="2E270405" w14:textId="77777777" w:rsidR="00191BAC" w:rsidRPr="00A4094B" w:rsidRDefault="00191BAC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A4094B" w14:paraId="30B19D06" w14:textId="77777777" w:rsidTr="009D05D5">
        <w:trPr>
          <w:jc w:val="center"/>
        </w:trPr>
        <w:tc>
          <w:tcPr>
            <w:tcW w:w="5000" w:type="pct"/>
          </w:tcPr>
          <w:p w14:paraId="29D206B0" w14:textId="77777777" w:rsidR="009D05D5" w:rsidRPr="00A4094B" w:rsidRDefault="009D05D5" w:rsidP="00FB35C3">
            <w:pPr>
              <w:widowControl/>
            </w:pPr>
            <w:r w:rsidRPr="00A4094B">
              <w:t>______________________________________</w:t>
            </w:r>
          </w:p>
          <w:p w14:paraId="795763BA" w14:textId="614C6D1C" w:rsidR="009D05D5" w:rsidRPr="00A4094B" w:rsidRDefault="009D05D5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2899D5F3" w14:textId="134B143A" w:rsidR="009D05D5" w:rsidRPr="00A4094B" w:rsidRDefault="009D05D5" w:rsidP="00FB35C3">
            <w:pPr>
              <w:widowControl/>
            </w:pPr>
            <w:r w:rsidRPr="00A4094B">
              <w:t>Cargo:</w:t>
            </w:r>
            <w:r w:rsidR="0054262D">
              <w:t xml:space="preserve"> [</w:t>
            </w:r>
            <w:r w:rsidR="0054262D" w:rsidRPr="0054262D">
              <w:rPr>
                <w:rFonts w:cs="Arial"/>
                <w:highlight w:val="yellow"/>
              </w:rPr>
              <w:t>•</w:t>
            </w:r>
            <w:r w:rsidR="0054262D">
              <w:t>]</w:t>
            </w:r>
          </w:p>
        </w:tc>
      </w:tr>
    </w:tbl>
    <w:p w14:paraId="28E1CF8A" w14:textId="77777777" w:rsidR="00D85864" w:rsidRPr="00A4094B" w:rsidRDefault="00D85864" w:rsidP="00FB35C3">
      <w:pPr>
        <w:widowControl/>
      </w:pPr>
    </w:p>
    <w:p w14:paraId="79E3AB3C" w14:textId="77777777" w:rsidR="00D85864" w:rsidRPr="00A4094B" w:rsidRDefault="00D85864" w:rsidP="00FB35C3">
      <w:pPr>
        <w:widowControl/>
      </w:pPr>
      <w:r w:rsidRPr="00A4094B">
        <w:br w:type="page"/>
      </w:r>
    </w:p>
    <w:p w14:paraId="4DFEE2B8" w14:textId="7ADBCB70" w:rsidR="001B2119" w:rsidRPr="00A4094B" w:rsidRDefault="001B2119" w:rsidP="00FB35C3">
      <w:pPr>
        <w:widowControl/>
        <w:rPr>
          <w:b/>
        </w:rPr>
      </w:pPr>
      <w:r w:rsidRPr="00A4094B">
        <w:lastRenderedPageBreak/>
        <w:t>(</w:t>
      </w:r>
      <w:r w:rsidRPr="00A4094B">
        <w:rPr>
          <w:i/>
        </w:rPr>
        <w:t xml:space="preserve">Página de assinatura </w:t>
      </w:r>
      <w:r w:rsidR="005210D0">
        <w:rPr>
          <w:i/>
        </w:rPr>
        <w:t>4</w:t>
      </w:r>
      <w:r w:rsidRPr="00A4094B">
        <w:rPr>
          <w:i/>
        </w:rPr>
        <w:t>/</w:t>
      </w:r>
      <w:r w:rsidR="005210D0">
        <w:rPr>
          <w:i/>
        </w:rPr>
        <w:t>4</w:t>
      </w:r>
      <w:r w:rsidR="005210D0" w:rsidRPr="00A4094B">
        <w:rPr>
          <w:i/>
        </w:rPr>
        <w:t xml:space="preserve"> </w:t>
      </w:r>
      <w:r w:rsidRPr="00A4094B">
        <w:rPr>
          <w:i/>
        </w:rPr>
        <w:t>da lista de presença da assembleia geral dos titulares de debêntures da 1ª</w:t>
      </w:r>
      <w:r w:rsidR="00B924A3">
        <w:rPr>
          <w:i/>
        </w:rPr>
        <w:t> </w:t>
      </w:r>
      <w:r w:rsidRPr="00A4094B">
        <w:rPr>
          <w:i/>
        </w:rPr>
        <w:t xml:space="preserve">(primeira) série da 2ª (segunda) emissão de debêntures simples, não conversíveis em ações, da espécie com garantia real, em 2 (duas) séries, para distribuição pública, com esforços restritos de distribuição, da </w:t>
      </w:r>
      <w:r w:rsidR="00874618">
        <w:rPr>
          <w:i/>
        </w:rPr>
        <w:t>Santa Luz</w:t>
      </w:r>
      <w:r w:rsidRPr="00A4094B">
        <w:rPr>
          <w:i/>
        </w:rPr>
        <w:t xml:space="preserve"> Geração e Comércio de Energia SPE S.A. realizada em </w:t>
      </w:r>
      <w:r w:rsidR="00874618">
        <w:rPr>
          <w:i/>
        </w:rPr>
        <w:t>21</w:t>
      </w:r>
      <w:r w:rsidR="00B924A3" w:rsidRPr="00A4094B">
        <w:rPr>
          <w:i/>
        </w:rPr>
        <w:t xml:space="preserve"> </w:t>
      </w:r>
      <w:r w:rsidRPr="00A4094B">
        <w:rPr>
          <w:i/>
        </w:rPr>
        <w:t>de maio de 2021</w:t>
      </w:r>
      <w:r w:rsidRPr="00A4094B">
        <w:rPr>
          <w:b/>
        </w:rPr>
        <w:t>)</w:t>
      </w:r>
    </w:p>
    <w:p w14:paraId="464C8110" w14:textId="77777777" w:rsidR="001B2119" w:rsidRPr="00A4094B" w:rsidRDefault="001B2119" w:rsidP="00FB35C3">
      <w:pPr>
        <w:widowControl/>
      </w:pPr>
    </w:p>
    <w:p w14:paraId="000022F3" w14:textId="77777777" w:rsidR="001B2119" w:rsidRPr="00A4094B" w:rsidRDefault="001B2119" w:rsidP="00FB35C3">
      <w:pPr>
        <w:widowControl/>
      </w:pPr>
    </w:p>
    <w:p w14:paraId="2049797B" w14:textId="77777777" w:rsidR="001B2119" w:rsidRPr="00A4094B" w:rsidRDefault="001B2119" w:rsidP="00FB35C3">
      <w:pPr>
        <w:widowControl/>
      </w:pPr>
    </w:p>
    <w:p w14:paraId="3DC615D0" w14:textId="77777777" w:rsidR="001B2119" w:rsidRPr="00A4094B" w:rsidRDefault="001B2119" w:rsidP="00FB35C3">
      <w:pPr>
        <w:widowControl/>
      </w:pPr>
      <w:r w:rsidRPr="00A4094B">
        <w:t>Debenturista:</w:t>
      </w:r>
    </w:p>
    <w:p w14:paraId="733FA1AE" w14:textId="77777777" w:rsidR="001B2119" w:rsidRPr="00A4094B" w:rsidRDefault="001B2119" w:rsidP="00FB35C3">
      <w:pPr>
        <w:widowControl/>
      </w:pPr>
    </w:p>
    <w:p w14:paraId="6B2A773C" w14:textId="77777777" w:rsidR="001B2119" w:rsidRPr="00A4094B" w:rsidRDefault="001B2119" w:rsidP="00FB35C3">
      <w:pPr>
        <w:widowControl/>
      </w:pPr>
    </w:p>
    <w:p w14:paraId="572D2FB5" w14:textId="77777777" w:rsidR="001B2119" w:rsidRPr="001E7C4A" w:rsidRDefault="001B2119" w:rsidP="00A21699"/>
    <w:p w14:paraId="7B8C16C8" w14:textId="78CA02EF" w:rsidR="008A6098" w:rsidRPr="001E7C4A" w:rsidRDefault="001E7C4A" w:rsidP="00A21699">
      <w:pPr>
        <w:jc w:val="center"/>
        <w:rPr>
          <w:b/>
        </w:rPr>
      </w:pPr>
      <w:r w:rsidRPr="00A21699">
        <w:rPr>
          <w:b/>
        </w:rPr>
        <w:t>XP MASTER I FUNDO INCENTIVADO DE INVESTIMENTO EM INFRAESTRUTURA RENDA FIXA</w:t>
      </w:r>
    </w:p>
    <w:p w14:paraId="4852E34D" w14:textId="77777777" w:rsidR="008A6098" w:rsidRPr="001E7C4A" w:rsidRDefault="008A6098" w:rsidP="00A21699">
      <w:pPr>
        <w:rPr>
          <w:rFonts w:eastAsia="Arial Unicode MS"/>
        </w:rPr>
      </w:pPr>
    </w:p>
    <w:p w14:paraId="2EE6E980" w14:textId="77777777" w:rsidR="00154B50" w:rsidRPr="00A4094B" w:rsidRDefault="00154B50" w:rsidP="00FB35C3">
      <w:pPr>
        <w:widowControl/>
        <w:rPr>
          <w:rFonts w:eastAsia="Arial Unicode MS"/>
        </w:rPr>
      </w:pPr>
    </w:p>
    <w:p w14:paraId="6B9895E2" w14:textId="77777777" w:rsidR="00154B50" w:rsidRPr="00A4094B" w:rsidRDefault="00154B50" w:rsidP="00FB35C3">
      <w:pPr>
        <w:widowControl/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508"/>
      </w:tblGrid>
      <w:tr w:rsidR="009D05D5" w:rsidRPr="00A4094B" w14:paraId="37B6EB1F" w14:textId="77777777" w:rsidTr="009D05D5">
        <w:trPr>
          <w:jc w:val="center"/>
        </w:trPr>
        <w:tc>
          <w:tcPr>
            <w:tcW w:w="5000" w:type="pct"/>
          </w:tcPr>
          <w:p w14:paraId="57BAFCC1" w14:textId="77777777" w:rsidR="009D05D5" w:rsidRPr="00A4094B" w:rsidRDefault="009D05D5" w:rsidP="00FB35C3">
            <w:pPr>
              <w:widowControl/>
            </w:pPr>
            <w:r w:rsidRPr="00A4094B">
              <w:t>______________________________________</w:t>
            </w:r>
          </w:p>
          <w:p w14:paraId="3B7F697B" w14:textId="69E4E0D0" w:rsidR="009D05D5" w:rsidRPr="00A4094B" w:rsidRDefault="009D05D5" w:rsidP="00FB35C3">
            <w:pPr>
              <w:widowControl/>
            </w:pPr>
            <w:r w:rsidRPr="00A4094B">
              <w:t>Nome:</w:t>
            </w:r>
            <w:r w:rsidR="00B924A3">
              <w:t xml:space="preserve"> </w:t>
            </w:r>
            <w:r w:rsidR="00B924A3" w:rsidRPr="006F572D">
              <w:t>Amarildo da Silva Junior</w:t>
            </w:r>
          </w:p>
          <w:p w14:paraId="21FE66B5" w14:textId="1F6189EE" w:rsidR="009D05D5" w:rsidRPr="00A4094B" w:rsidRDefault="009D05D5" w:rsidP="00FB35C3">
            <w:pPr>
              <w:widowControl/>
            </w:pPr>
            <w:r w:rsidRPr="00A4094B">
              <w:t>Cargo:</w:t>
            </w:r>
            <w:r w:rsidR="0054262D">
              <w:t xml:space="preserve"> [</w:t>
            </w:r>
            <w:r w:rsidR="0054262D" w:rsidRPr="0054262D">
              <w:rPr>
                <w:rFonts w:cs="Arial"/>
                <w:highlight w:val="yellow"/>
              </w:rPr>
              <w:t>•</w:t>
            </w:r>
            <w:r w:rsidR="0054262D">
              <w:t>]</w:t>
            </w:r>
          </w:p>
        </w:tc>
      </w:tr>
    </w:tbl>
    <w:p w14:paraId="7F66D508" w14:textId="77777777" w:rsidR="00154B50" w:rsidRPr="00A4094B" w:rsidRDefault="00154B50" w:rsidP="00FB35C3">
      <w:pPr>
        <w:widowControl/>
      </w:pPr>
    </w:p>
    <w:p w14:paraId="27078CC4" w14:textId="77777777" w:rsidR="004129D3" w:rsidRPr="00A4094B" w:rsidRDefault="004129D3" w:rsidP="00FB35C3">
      <w:pPr>
        <w:widowControl/>
      </w:pPr>
      <w:r w:rsidRPr="00A4094B">
        <w:br w:type="page"/>
      </w:r>
    </w:p>
    <w:p w14:paraId="67B01497" w14:textId="77777777" w:rsidR="001B2119" w:rsidRPr="00A4094B" w:rsidRDefault="001B2119" w:rsidP="00FB35C3">
      <w:pPr>
        <w:widowControl/>
        <w:pBdr>
          <w:bottom w:val="single" w:sz="4" w:space="1" w:color="auto"/>
        </w:pBdr>
        <w:jc w:val="center"/>
        <w:rPr>
          <w:b/>
        </w:rPr>
      </w:pPr>
      <w:r w:rsidRPr="00A4094B">
        <w:rPr>
          <w:b/>
        </w:rPr>
        <w:lastRenderedPageBreak/>
        <w:t>ANEXO II</w:t>
      </w:r>
      <w:r w:rsidRPr="00A4094B">
        <w:rPr>
          <w:b/>
        </w:rPr>
        <w:br/>
      </w:r>
      <w:r w:rsidR="00154B50" w:rsidRPr="00A4094B">
        <w:rPr>
          <w:b/>
        </w:rPr>
        <w:t>TERCEIRO ADITAMENTO À ESCRITURA DE EMISSÃO</w:t>
      </w:r>
    </w:p>
    <w:p w14:paraId="6912D971" w14:textId="77777777" w:rsidR="001B2119" w:rsidRPr="00A4094B" w:rsidRDefault="001B2119" w:rsidP="00FB35C3">
      <w:pPr>
        <w:widowControl/>
      </w:pPr>
    </w:p>
    <w:p w14:paraId="132CB62B" w14:textId="77777777" w:rsidR="00471302" w:rsidRPr="00A4094B" w:rsidRDefault="00471302" w:rsidP="00FB35C3">
      <w:pPr>
        <w:widowControl/>
        <w:autoSpaceDE w:val="0"/>
        <w:autoSpaceDN w:val="0"/>
        <w:adjustRightInd w:val="0"/>
        <w:contextualSpacing/>
        <w:jc w:val="center"/>
      </w:pPr>
      <w:r w:rsidRPr="00A4094B">
        <w:t>(S</w:t>
      </w:r>
      <w:r w:rsidRPr="00A4094B">
        <w:rPr>
          <w:i/>
        </w:rPr>
        <w:t>egue nas páginas seguintes</w:t>
      </w:r>
      <w:r w:rsidRPr="00A4094B">
        <w:t>)</w:t>
      </w:r>
    </w:p>
    <w:p w14:paraId="35555B99" w14:textId="77777777" w:rsidR="009D05D5" w:rsidRPr="00A4094B" w:rsidRDefault="00471302" w:rsidP="00FB35C3">
      <w:pPr>
        <w:widowControl/>
        <w:autoSpaceDE w:val="0"/>
        <w:autoSpaceDN w:val="0"/>
        <w:adjustRightInd w:val="0"/>
        <w:contextualSpacing/>
        <w:jc w:val="center"/>
      </w:pPr>
      <w:r w:rsidRPr="00A4094B">
        <w:t>(</w:t>
      </w:r>
      <w:r w:rsidRPr="00A4094B">
        <w:rPr>
          <w:i/>
        </w:rPr>
        <w:t>Restante da página intencionalmente deixado em branco</w:t>
      </w:r>
      <w:r w:rsidRPr="00A4094B">
        <w:t>)</w:t>
      </w:r>
    </w:p>
    <w:sectPr w:rsidR="009D05D5" w:rsidRPr="00A4094B" w:rsidSect="008A2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9474F" w14:textId="77777777" w:rsidR="006F516C" w:rsidRDefault="006F516C" w:rsidP="000C2886">
      <w:pPr>
        <w:spacing w:line="240" w:lineRule="auto"/>
      </w:pPr>
      <w:r>
        <w:separator/>
      </w:r>
    </w:p>
  </w:endnote>
  <w:endnote w:type="continuationSeparator" w:id="0">
    <w:p w14:paraId="6C2C1F7D" w14:textId="77777777" w:rsidR="006F516C" w:rsidRDefault="006F516C" w:rsidP="000C2886">
      <w:pPr>
        <w:spacing w:line="240" w:lineRule="auto"/>
      </w:pPr>
      <w:r>
        <w:continuationSeparator/>
      </w:r>
    </w:p>
  </w:endnote>
  <w:endnote w:type="continuationNotice" w:id="1">
    <w:p w14:paraId="4D8A43A4" w14:textId="77777777" w:rsidR="006F516C" w:rsidRDefault="006F51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2E0A" w14:textId="77777777" w:rsidR="008D7E30" w:rsidRDefault="008D7E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738751"/>
      <w:docPartObj>
        <w:docPartGallery w:val="Page Numbers (Bottom of Page)"/>
        <w:docPartUnique/>
      </w:docPartObj>
    </w:sdtPr>
    <w:sdtEndPr/>
    <w:sdtContent>
      <w:p w14:paraId="2E69B23D" w14:textId="77777777" w:rsidR="00FB35C3" w:rsidRPr="00FB35C3" w:rsidRDefault="00FB35C3" w:rsidP="00FB35C3">
        <w:pPr>
          <w:jc w:val="right"/>
        </w:pPr>
        <w:r w:rsidRPr="00FB35C3">
          <w:fldChar w:fldCharType="begin"/>
        </w:r>
        <w:r w:rsidRPr="00FB35C3">
          <w:instrText>PAGE   \* MERGEFORMAT</w:instrText>
        </w:r>
        <w:r w:rsidRPr="00FB35C3">
          <w:fldChar w:fldCharType="separate"/>
        </w:r>
        <w:r w:rsidRPr="00FB35C3">
          <w:t>2</w:t>
        </w:r>
        <w:r w:rsidRPr="00FB35C3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CE7E" w14:textId="77777777" w:rsidR="008D7E30" w:rsidRDefault="008D7E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7DD77" w14:textId="77777777" w:rsidR="006F516C" w:rsidRDefault="006F516C" w:rsidP="000C2886">
      <w:pPr>
        <w:spacing w:line="240" w:lineRule="auto"/>
      </w:pPr>
      <w:r>
        <w:separator/>
      </w:r>
    </w:p>
  </w:footnote>
  <w:footnote w:type="continuationSeparator" w:id="0">
    <w:p w14:paraId="2D588565" w14:textId="77777777" w:rsidR="006F516C" w:rsidRDefault="006F516C" w:rsidP="000C2886">
      <w:pPr>
        <w:spacing w:line="240" w:lineRule="auto"/>
      </w:pPr>
      <w:r>
        <w:continuationSeparator/>
      </w:r>
    </w:p>
  </w:footnote>
  <w:footnote w:type="continuationNotice" w:id="1">
    <w:p w14:paraId="492EE58E" w14:textId="77777777" w:rsidR="006F516C" w:rsidRDefault="006F51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9AEC" w14:textId="77777777" w:rsidR="008D7E30" w:rsidRDefault="008D7E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4BD4" w14:textId="7B98F20C" w:rsidR="006F516C" w:rsidRPr="00753E00" w:rsidRDefault="006F516C" w:rsidP="004814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3BC9D" w14:textId="77777777" w:rsidR="008D7E30" w:rsidRDefault="008D7E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1D77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5B16"/>
    <w:multiLevelType w:val="hybridMultilevel"/>
    <w:tmpl w:val="560A3A0E"/>
    <w:lvl w:ilvl="0" w:tplc="7BE6CC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44FD"/>
    <w:multiLevelType w:val="multilevel"/>
    <w:tmpl w:val="CE203EBE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426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2064" w:hanging="504"/>
      </w:pPr>
      <w:rPr>
        <w:rFonts w:hint="default"/>
        <w:b/>
      </w:rPr>
    </w:lvl>
    <w:lvl w:ilvl="3">
      <w:start w:val="1"/>
      <w:numFmt w:val="decimal"/>
      <w:pStyle w:val="Subsubclusula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4B69CE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C61F1"/>
    <w:multiLevelType w:val="multilevel"/>
    <w:tmpl w:val="FBBC1FA0"/>
    <w:name w:val="House_Style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EC323A"/>
    <w:multiLevelType w:val="hybridMultilevel"/>
    <w:tmpl w:val="E2D6EE8A"/>
    <w:lvl w:ilvl="0" w:tplc="A946793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1475"/>
    <w:multiLevelType w:val="hybridMultilevel"/>
    <w:tmpl w:val="9E326368"/>
    <w:lvl w:ilvl="0" w:tplc="24E84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1C7A"/>
    <w:multiLevelType w:val="hybridMultilevel"/>
    <w:tmpl w:val="597ED420"/>
    <w:lvl w:ilvl="0" w:tplc="C8203230">
      <w:start w:val="1"/>
      <w:numFmt w:val="lowerRoman"/>
      <w:lvlText w:val="(%1)"/>
      <w:lvlJc w:val="left"/>
      <w:pPr>
        <w:ind w:left="270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54544"/>
    <w:multiLevelType w:val="hybridMultilevel"/>
    <w:tmpl w:val="DB5269E6"/>
    <w:lvl w:ilvl="0" w:tplc="E7C061F8">
      <w:start w:val="1"/>
      <w:numFmt w:val="lowerRoman"/>
      <w:lvlText w:val="(%1)"/>
      <w:lvlJc w:val="left"/>
      <w:pPr>
        <w:ind w:left="1080" w:hanging="720"/>
      </w:pPr>
      <w:rPr>
        <w:rFonts w:eastAsia="Times New Roman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40D7"/>
    <w:multiLevelType w:val="hybridMultilevel"/>
    <w:tmpl w:val="E35865FC"/>
    <w:lvl w:ilvl="0" w:tplc="FD4AC0F2">
      <w:start w:val="1"/>
      <w:numFmt w:val="lowerRoman"/>
      <w:pStyle w:val="Item"/>
      <w:lvlText w:val="(%1)"/>
      <w:lvlJc w:val="left"/>
      <w:pPr>
        <w:ind w:left="710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D7CEC"/>
    <w:multiLevelType w:val="hybridMultilevel"/>
    <w:tmpl w:val="A70E3C3A"/>
    <w:lvl w:ilvl="0" w:tplc="F1640C20">
      <w:start w:val="1"/>
      <w:numFmt w:val="upperLetter"/>
      <w:lvlText w:val="(%1)"/>
      <w:lvlJc w:val="left"/>
      <w:pPr>
        <w:ind w:left="790" w:hanging="4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60C5F"/>
    <w:multiLevelType w:val="multilevel"/>
    <w:tmpl w:val="C65A19DC"/>
    <w:lvl w:ilvl="0">
      <w:start w:val="1"/>
      <w:numFmt w:val="decimal"/>
      <w:lvlRestart w:val="0"/>
      <w:pStyle w:val="Level1coluna1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851"/>
        </w:tabs>
        <w:ind w:left="851" w:hanging="34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7E6AE7"/>
    <w:multiLevelType w:val="multilevel"/>
    <w:tmpl w:val="EFC4D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1D1232"/>
    <w:multiLevelType w:val="multilevel"/>
    <w:tmpl w:val="19A2A9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/>
        <w:bCs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0F7825"/>
    <w:multiLevelType w:val="hybridMultilevel"/>
    <w:tmpl w:val="64523818"/>
    <w:lvl w:ilvl="0" w:tplc="6E4CF472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i w:val="0"/>
        <w:sz w:val="20"/>
        <w:szCs w:val="20"/>
      </w:rPr>
    </w:lvl>
    <w:lvl w:ilvl="1" w:tplc="AF248A7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203230">
      <w:start w:val="1"/>
      <w:numFmt w:val="lowerRoman"/>
      <w:lvlText w:val="(%3)"/>
      <w:lvlJc w:val="left"/>
      <w:pPr>
        <w:ind w:left="2700" w:hanging="720"/>
      </w:pPr>
      <w:rPr>
        <w:rFonts w:hint="default"/>
        <w:b w:val="0"/>
        <w:bCs/>
      </w:rPr>
    </w:lvl>
    <w:lvl w:ilvl="3" w:tplc="A15CCBE0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CA62AD"/>
    <w:multiLevelType w:val="hybridMultilevel"/>
    <w:tmpl w:val="F66E6076"/>
    <w:lvl w:ilvl="0" w:tplc="F0A0CCA4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1"/>
  </w:num>
  <w:num w:numId="21">
    <w:abstractNumId w:val="10"/>
  </w:num>
  <w:num w:numId="22">
    <w:abstractNumId w:val="12"/>
  </w:num>
  <w:num w:numId="23">
    <w:abstractNumId w:val="9"/>
    <w:lvlOverride w:ilvl="0">
      <w:startOverride w:val="1"/>
    </w:lvlOverride>
  </w:num>
  <w:num w:numId="24">
    <w:abstractNumId w:val="6"/>
  </w:num>
  <w:num w:numId="25">
    <w:abstractNumId w:val="5"/>
  </w:num>
  <w:num w:numId="26">
    <w:abstractNumId w:val="3"/>
  </w:num>
  <w:num w:numId="2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DF"/>
    <w:rsid w:val="000005F7"/>
    <w:rsid w:val="00012540"/>
    <w:rsid w:val="00014B43"/>
    <w:rsid w:val="000250CD"/>
    <w:rsid w:val="000262A7"/>
    <w:rsid w:val="00054733"/>
    <w:rsid w:val="00067222"/>
    <w:rsid w:val="000676DF"/>
    <w:rsid w:val="00070147"/>
    <w:rsid w:val="000716CF"/>
    <w:rsid w:val="00074177"/>
    <w:rsid w:val="00076067"/>
    <w:rsid w:val="000818FD"/>
    <w:rsid w:val="0008420A"/>
    <w:rsid w:val="0008637B"/>
    <w:rsid w:val="000A5637"/>
    <w:rsid w:val="000B0B5A"/>
    <w:rsid w:val="000B381A"/>
    <w:rsid w:val="000C19A1"/>
    <w:rsid w:val="000C2886"/>
    <w:rsid w:val="000C63CC"/>
    <w:rsid w:val="000C775E"/>
    <w:rsid w:val="000E3770"/>
    <w:rsid w:val="000E443B"/>
    <w:rsid w:val="000E770C"/>
    <w:rsid w:val="000F02F3"/>
    <w:rsid w:val="000F6BEA"/>
    <w:rsid w:val="00100573"/>
    <w:rsid w:val="00103A18"/>
    <w:rsid w:val="001136B7"/>
    <w:rsid w:val="00130A3D"/>
    <w:rsid w:val="00140E9B"/>
    <w:rsid w:val="001412F1"/>
    <w:rsid w:val="00142A88"/>
    <w:rsid w:val="00144D79"/>
    <w:rsid w:val="00145533"/>
    <w:rsid w:val="001504F5"/>
    <w:rsid w:val="00154B50"/>
    <w:rsid w:val="00166D2F"/>
    <w:rsid w:val="00173B2D"/>
    <w:rsid w:val="00175F8A"/>
    <w:rsid w:val="001761FC"/>
    <w:rsid w:val="00182520"/>
    <w:rsid w:val="00191BAC"/>
    <w:rsid w:val="00192FF2"/>
    <w:rsid w:val="00197EEF"/>
    <w:rsid w:val="001A03F2"/>
    <w:rsid w:val="001B2119"/>
    <w:rsid w:val="001C1F38"/>
    <w:rsid w:val="001C4289"/>
    <w:rsid w:val="001E310F"/>
    <w:rsid w:val="001E3F58"/>
    <w:rsid w:val="001E7C4A"/>
    <w:rsid w:val="002026E1"/>
    <w:rsid w:val="00206394"/>
    <w:rsid w:val="002212D7"/>
    <w:rsid w:val="002277DA"/>
    <w:rsid w:val="002309E3"/>
    <w:rsid w:val="00230AAB"/>
    <w:rsid w:val="00232436"/>
    <w:rsid w:val="00234C2A"/>
    <w:rsid w:val="00243ADE"/>
    <w:rsid w:val="00247A18"/>
    <w:rsid w:val="002541C9"/>
    <w:rsid w:val="002542A0"/>
    <w:rsid w:val="00262898"/>
    <w:rsid w:val="002657F6"/>
    <w:rsid w:val="00274FE4"/>
    <w:rsid w:val="002761EA"/>
    <w:rsid w:val="0028485D"/>
    <w:rsid w:val="0029081A"/>
    <w:rsid w:val="002933EE"/>
    <w:rsid w:val="002962D1"/>
    <w:rsid w:val="002A29DF"/>
    <w:rsid w:val="002B1EA9"/>
    <w:rsid w:val="002D2972"/>
    <w:rsid w:val="002D3F2D"/>
    <w:rsid w:val="002D6430"/>
    <w:rsid w:val="002E2125"/>
    <w:rsid w:val="002E330A"/>
    <w:rsid w:val="002F08EB"/>
    <w:rsid w:val="002F572C"/>
    <w:rsid w:val="002F6DF3"/>
    <w:rsid w:val="0030712E"/>
    <w:rsid w:val="00330346"/>
    <w:rsid w:val="00334DBA"/>
    <w:rsid w:val="00336C3C"/>
    <w:rsid w:val="003426ED"/>
    <w:rsid w:val="00345475"/>
    <w:rsid w:val="0034628C"/>
    <w:rsid w:val="0035023A"/>
    <w:rsid w:val="00355A5F"/>
    <w:rsid w:val="00355FFE"/>
    <w:rsid w:val="00371B60"/>
    <w:rsid w:val="003746E9"/>
    <w:rsid w:val="003832E4"/>
    <w:rsid w:val="00390D47"/>
    <w:rsid w:val="0039141C"/>
    <w:rsid w:val="0039290C"/>
    <w:rsid w:val="00395829"/>
    <w:rsid w:val="00395FC0"/>
    <w:rsid w:val="003A1BCD"/>
    <w:rsid w:val="003A3C5E"/>
    <w:rsid w:val="003B3AC5"/>
    <w:rsid w:val="003B6521"/>
    <w:rsid w:val="003C12B8"/>
    <w:rsid w:val="003C342D"/>
    <w:rsid w:val="003E5A1F"/>
    <w:rsid w:val="003F621A"/>
    <w:rsid w:val="003F6FF8"/>
    <w:rsid w:val="0040478C"/>
    <w:rsid w:val="00404FE6"/>
    <w:rsid w:val="00405750"/>
    <w:rsid w:val="0041243E"/>
    <w:rsid w:val="004129D3"/>
    <w:rsid w:val="00413B82"/>
    <w:rsid w:val="00417AB5"/>
    <w:rsid w:val="00421F73"/>
    <w:rsid w:val="004307A8"/>
    <w:rsid w:val="00431F3C"/>
    <w:rsid w:val="0044382A"/>
    <w:rsid w:val="004501FD"/>
    <w:rsid w:val="00454D4F"/>
    <w:rsid w:val="0046312A"/>
    <w:rsid w:val="0046471C"/>
    <w:rsid w:val="00471302"/>
    <w:rsid w:val="00474434"/>
    <w:rsid w:val="004746BB"/>
    <w:rsid w:val="0047727B"/>
    <w:rsid w:val="00481440"/>
    <w:rsid w:val="004A3FFC"/>
    <w:rsid w:val="004B0C77"/>
    <w:rsid w:val="004C2B6C"/>
    <w:rsid w:val="004D228E"/>
    <w:rsid w:val="004E6031"/>
    <w:rsid w:val="004E79F2"/>
    <w:rsid w:val="004F10FF"/>
    <w:rsid w:val="004F5280"/>
    <w:rsid w:val="004F5D49"/>
    <w:rsid w:val="00502901"/>
    <w:rsid w:val="00506D8E"/>
    <w:rsid w:val="0051183F"/>
    <w:rsid w:val="005123AA"/>
    <w:rsid w:val="005210D0"/>
    <w:rsid w:val="00522C5A"/>
    <w:rsid w:val="0054143C"/>
    <w:rsid w:val="0054262D"/>
    <w:rsid w:val="0054531C"/>
    <w:rsid w:val="00550DDB"/>
    <w:rsid w:val="00551E14"/>
    <w:rsid w:val="00553C78"/>
    <w:rsid w:val="00553E06"/>
    <w:rsid w:val="00555DFC"/>
    <w:rsid w:val="00556268"/>
    <w:rsid w:val="0056236E"/>
    <w:rsid w:val="005653DF"/>
    <w:rsid w:val="0057299A"/>
    <w:rsid w:val="00583D59"/>
    <w:rsid w:val="005A12F5"/>
    <w:rsid w:val="005A4A28"/>
    <w:rsid w:val="005A4A99"/>
    <w:rsid w:val="005B7786"/>
    <w:rsid w:val="005C0DA6"/>
    <w:rsid w:val="005C199C"/>
    <w:rsid w:val="005C3BDC"/>
    <w:rsid w:val="005C4FF6"/>
    <w:rsid w:val="005C52F0"/>
    <w:rsid w:val="005D52FF"/>
    <w:rsid w:val="005E284E"/>
    <w:rsid w:val="00601949"/>
    <w:rsid w:val="0060512E"/>
    <w:rsid w:val="00605A8E"/>
    <w:rsid w:val="00606D0D"/>
    <w:rsid w:val="006120C2"/>
    <w:rsid w:val="006143DD"/>
    <w:rsid w:val="006156F8"/>
    <w:rsid w:val="00621EC5"/>
    <w:rsid w:val="006222BB"/>
    <w:rsid w:val="00623E7E"/>
    <w:rsid w:val="0063026B"/>
    <w:rsid w:val="0063038B"/>
    <w:rsid w:val="00634128"/>
    <w:rsid w:val="00640612"/>
    <w:rsid w:val="00655CC8"/>
    <w:rsid w:val="00664450"/>
    <w:rsid w:val="00665129"/>
    <w:rsid w:val="00672261"/>
    <w:rsid w:val="00675087"/>
    <w:rsid w:val="00681A00"/>
    <w:rsid w:val="00692323"/>
    <w:rsid w:val="00692863"/>
    <w:rsid w:val="0069305C"/>
    <w:rsid w:val="006A5496"/>
    <w:rsid w:val="006A7472"/>
    <w:rsid w:val="006B4713"/>
    <w:rsid w:val="006C6D1D"/>
    <w:rsid w:val="006C77E6"/>
    <w:rsid w:val="006E1EFE"/>
    <w:rsid w:val="006F516C"/>
    <w:rsid w:val="006F572D"/>
    <w:rsid w:val="00707161"/>
    <w:rsid w:val="007075A9"/>
    <w:rsid w:val="0071459A"/>
    <w:rsid w:val="00743CF6"/>
    <w:rsid w:val="0075044A"/>
    <w:rsid w:val="00753B1E"/>
    <w:rsid w:val="00753E00"/>
    <w:rsid w:val="0076294C"/>
    <w:rsid w:val="00767925"/>
    <w:rsid w:val="00772E7D"/>
    <w:rsid w:val="0077709C"/>
    <w:rsid w:val="00786F99"/>
    <w:rsid w:val="00787E5A"/>
    <w:rsid w:val="00792F8C"/>
    <w:rsid w:val="007A0794"/>
    <w:rsid w:val="007A7CF2"/>
    <w:rsid w:val="007D2290"/>
    <w:rsid w:val="007D2351"/>
    <w:rsid w:val="007D3C90"/>
    <w:rsid w:val="007D428C"/>
    <w:rsid w:val="007D7834"/>
    <w:rsid w:val="007E3754"/>
    <w:rsid w:val="00817EE3"/>
    <w:rsid w:val="00824574"/>
    <w:rsid w:val="00832593"/>
    <w:rsid w:val="00844187"/>
    <w:rsid w:val="008505E8"/>
    <w:rsid w:val="00866033"/>
    <w:rsid w:val="0086706F"/>
    <w:rsid w:val="00870030"/>
    <w:rsid w:val="00873E70"/>
    <w:rsid w:val="00874084"/>
    <w:rsid w:val="00874618"/>
    <w:rsid w:val="008770FD"/>
    <w:rsid w:val="00881F85"/>
    <w:rsid w:val="00883271"/>
    <w:rsid w:val="008845CE"/>
    <w:rsid w:val="0088664E"/>
    <w:rsid w:val="0089480E"/>
    <w:rsid w:val="00896FCF"/>
    <w:rsid w:val="008A265B"/>
    <w:rsid w:val="008A6098"/>
    <w:rsid w:val="008B7A6D"/>
    <w:rsid w:val="008C47D4"/>
    <w:rsid w:val="008D2013"/>
    <w:rsid w:val="008D7E30"/>
    <w:rsid w:val="008E6196"/>
    <w:rsid w:val="008F1FCD"/>
    <w:rsid w:val="008F226E"/>
    <w:rsid w:val="008F67E2"/>
    <w:rsid w:val="00901901"/>
    <w:rsid w:val="00903AEE"/>
    <w:rsid w:val="0091634C"/>
    <w:rsid w:val="009165BE"/>
    <w:rsid w:val="0091728B"/>
    <w:rsid w:val="0092489F"/>
    <w:rsid w:val="0094477C"/>
    <w:rsid w:val="00945C9D"/>
    <w:rsid w:val="009500F5"/>
    <w:rsid w:val="00950695"/>
    <w:rsid w:val="00961070"/>
    <w:rsid w:val="00962679"/>
    <w:rsid w:val="00965B67"/>
    <w:rsid w:val="00966C68"/>
    <w:rsid w:val="00973B8C"/>
    <w:rsid w:val="0097638B"/>
    <w:rsid w:val="00986914"/>
    <w:rsid w:val="00993773"/>
    <w:rsid w:val="009C4573"/>
    <w:rsid w:val="009D0338"/>
    <w:rsid w:val="009D05D5"/>
    <w:rsid w:val="009D2895"/>
    <w:rsid w:val="009D3CD9"/>
    <w:rsid w:val="009D5A8A"/>
    <w:rsid w:val="009E4845"/>
    <w:rsid w:val="009F33C4"/>
    <w:rsid w:val="009F418D"/>
    <w:rsid w:val="009F56EB"/>
    <w:rsid w:val="00A21699"/>
    <w:rsid w:val="00A268ED"/>
    <w:rsid w:val="00A279AC"/>
    <w:rsid w:val="00A32159"/>
    <w:rsid w:val="00A4094B"/>
    <w:rsid w:val="00A54B79"/>
    <w:rsid w:val="00A61AAB"/>
    <w:rsid w:val="00A62CAB"/>
    <w:rsid w:val="00A66AAC"/>
    <w:rsid w:val="00A71FC8"/>
    <w:rsid w:val="00A73B9E"/>
    <w:rsid w:val="00A75605"/>
    <w:rsid w:val="00A76C1B"/>
    <w:rsid w:val="00A772DD"/>
    <w:rsid w:val="00A82E74"/>
    <w:rsid w:val="00A914DC"/>
    <w:rsid w:val="00A96422"/>
    <w:rsid w:val="00AA7D4C"/>
    <w:rsid w:val="00AB2390"/>
    <w:rsid w:val="00AC1023"/>
    <w:rsid w:val="00AC6E84"/>
    <w:rsid w:val="00AC7277"/>
    <w:rsid w:val="00AD0847"/>
    <w:rsid w:val="00AD161D"/>
    <w:rsid w:val="00AD44ED"/>
    <w:rsid w:val="00AE0574"/>
    <w:rsid w:val="00AE7AA7"/>
    <w:rsid w:val="00AF3C71"/>
    <w:rsid w:val="00AF460C"/>
    <w:rsid w:val="00B00A92"/>
    <w:rsid w:val="00B014CA"/>
    <w:rsid w:val="00B359D9"/>
    <w:rsid w:val="00B45D7B"/>
    <w:rsid w:val="00B56CEA"/>
    <w:rsid w:val="00B81A63"/>
    <w:rsid w:val="00B8208B"/>
    <w:rsid w:val="00B831AC"/>
    <w:rsid w:val="00B919FA"/>
    <w:rsid w:val="00B924A3"/>
    <w:rsid w:val="00B93447"/>
    <w:rsid w:val="00B94426"/>
    <w:rsid w:val="00B94D61"/>
    <w:rsid w:val="00BA1143"/>
    <w:rsid w:val="00BA24D5"/>
    <w:rsid w:val="00BA619F"/>
    <w:rsid w:val="00BD3D61"/>
    <w:rsid w:val="00BD60B1"/>
    <w:rsid w:val="00BE0269"/>
    <w:rsid w:val="00BE5570"/>
    <w:rsid w:val="00BF2717"/>
    <w:rsid w:val="00C018BD"/>
    <w:rsid w:val="00C26AE3"/>
    <w:rsid w:val="00C30B0A"/>
    <w:rsid w:val="00C31B45"/>
    <w:rsid w:val="00C31DA7"/>
    <w:rsid w:val="00C33FD4"/>
    <w:rsid w:val="00C44DCE"/>
    <w:rsid w:val="00C45F6C"/>
    <w:rsid w:val="00C46D12"/>
    <w:rsid w:val="00C51665"/>
    <w:rsid w:val="00C61F20"/>
    <w:rsid w:val="00C73613"/>
    <w:rsid w:val="00C76F17"/>
    <w:rsid w:val="00C926C6"/>
    <w:rsid w:val="00C95854"/>
    <w:rsid w:val="00CA0C00"/>
    <w:rsid w:val="00CA525A"/>
    <w:rsid w:val="00CA5E2C"/>
    <w:rsid w:val="00CA7A81"/>
    <w:rsid w:val="00CA7D58"/>
    <w:rsid w:val="00CB58BA"/>
    <w:rsid w:val="00CC4F49"/>
    <w:rsid w:val="00CD31F8"/>
    <w:rsid w:val="00CD4984"/>
    <w:rsid w:val="00CF6F97"/>
    <w:rsid w:val="00D004F2"/>
    <w:rsid w:val="00D02017"/>
    <w:rsid w:val="00D13398"/>
    <w:rsid w:val="00D17E8F"/>
    <w:rsid w:val="00D3371B"/>
    <w:rsid w:val="00D5001C"/>
    <w:rsid w:val="00D50BD4"/>
    <w:rsid w:val="00D52BC5"/>
    <w:rsid w:val="00D55BDB"/>
    <w:rsid w:val="00D57047"/>
    <w:rsid w:val="00D645F1"/>
    <w:rsid w:val="00D705C2"/>
    <w:rsid w:val="00D744AF"/>
    <w:rsid w:val="00D76A33"/>
    <w:rsid w:val="00D833DC"/>
    <w:rsid w:val="00D854CE"/>
    <w:rsid w:val="00D85864"/>
    <w:rsid w:val="00D92B99"/>
    <w:rsid w:val="00DC0ADF"/>
    <w:rsid w:val="00DC1754"/>
    <w:rsid w:val="00DC584A"/>
    <w:rsid w:val="00DD0CA1"/>
    <w:rsid w:val="00DD4BFA"/>
    <w:rsid w:val="00DD51CC"/>
    <w:rsid w:val="00DD77BC"/>
    <w:rsid w:val="00DE5306"/>
    <w:rsid w:val="00DE57A4"/>
    <w:rsid w:val="00DE5BE9"/>
    <w:rsid w:val="00DF0BBD"/>
    <w:rsid w:val="00DF38C7"/>
    <w:rsid w:val="00DF6B7A"/>
    <w:rsid w:val="00DF70F0"/>
    <w:rsid w:val="00E043AF"/>
    <w:rsid w:val="00E06755"/>
    <w:rsid w:val="00E11CEF"/>
    <w:rsid w:val="00E11F72"/>
    <w:rsid w:val="00E318B4"/>
    <w:rsid w:val="00E35750"/>
    <w:rsid w:val="00E42E39"/>
    <w:rsid w:val="00E54B1E"/>
    <w:rsid w:val="00E74484"/>
    <w:rsid w:val="00E752F3"/>
    <w:rsid w:val="00E9394A"/>
    <w:rsid w:val="00E94C20"/>
    <w:rsid w:val="00E94CC3"/>
    <w:rsid w:val="00EB62B1"/>
    <w:rsid w:val="00EC1B08"/>
    <w:rsid w:val="00EC2814"/>
    <w:rsid w:val="00EC4014"/>
    <w:rsid w:val="00ED0B80"/>
    <w:rsid w:val="00ED2FC5"/>
    <w:rsid w:val="00ED3F48"/>
    <w:rsid w:val="00ED4E34"/>
    <w:rsid w:val="00EE0908"/>
    <w:rsid w:val="00EE0C42"/>
    <w:rsid w:val="00EE2891"/>
    <w:rsid w:val="00EE2A2A"/>
    <w:rsid w:val="00EE3963"/>
    <w:rsid w:val="00EE7E15"/>
    <w:rsid w:val="00F02E0E"/>
    <w:rsid w:val="00F0692C"/>
    <w:rsid w:val="00F06ED7"/>
    <w:rsid w:val="00F10325"/>
    <w:rsid w:val="00F12524"/>
    <w:rsid w:val="00F126AE"/>
    <w:rsid w:val="00F3548E"/>
    <w:rsid w:val="00F473E4"/>
    <w:rsid w:val="00F523DD"/>
    <w:rsid w:val="00F7137B"/>
    <w:rsid w:val="00F80027"/>
    <w:rsid w:val="00F81562"/>
    <w:rsid w:val="00F81A8E"/>
    <w:rsid w:val="00F91E95"/>
    <w:rsid w:val="00FA5386"/>
    <w:rsid w:val="00FB05B6"/>
    <w:rsid w:val="00FB35C3"/>
    <w:rsid w:val="00FB7472"/>
    <w:rsid w:val="00FD6E17"/>
    <w:rsid w:val="00FE6B88"/>
    <w:rsid w:val="00FE6BB2"/>
    <w:rsid w:val="00FF336D"/>
    <w:rsid w:val="00FF5517"/>
    <w:rsid w:val="00FF5AEC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053A"/>
  <w15:chartTrackingRefBased/>
  <w15:docId w15:val="{7C691D14-5077-42C8-8F81-1EDC1E1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73"/>
    <w:pPr>
      <w:widowControl w:val="0"/>
      <w:spacing w:after="0" w:line="300" w:lineRule="exact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,Itemização,Vitor T"/>
    <w:basedOn w:val="Normal"/>
    <w:link w:val="PargrafodaListaChar"/>
    <w:uiPriority w:val="34"/>
    <w:qFormat/>
    <w:rsid w:val="005653DF"/>
    <w:pPr>
      <w:ind w:left="720"/>
    </w:pPr>
  </w:style>
  <w:style w:type="paragraph" w:customStyle="1" w:styleId="p0">
    <w:name w:val="p0"/>
    <w:basedOn w:val="Normal"/>
    <w:rsid w:val="005653DF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Subttulo">
    <w:name w:val="Subtitle"/>
    <w:basedOn w:val="Normal"/>
    <w:link w:val="SubttuloChar"/>
    <w:qFormat/>
    <w:rsid w:val="005653DF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5653D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653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653DF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1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19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Level1">
    <w:name w:val="Level 1"/>
    <w:basedOn w:val="Normal"/>
    <w:rsid w:val="00A54B79"/>
    <w:pPr>
      <w:keepNext/>
      <w:widowControl/>
      <w:numPr>
        <w:numId w:val="2"/>
      </w:numPr>
      <w:spacing w:before="280" w:after="140" w:line="290" w:lineRule="auto"/>
      <w:outlineLvl w:val="0"/>
    </w:pPr>
    <w:rPr>
      <w:rFonts w:eastAsiaTheme="minorHAnsi"/>
      <w:b/>
      <w:bCs/>
      <w:sz w:val="22"/>
      <w:szCs w:val="32"/>
      <w:lang w:val="en-GB" w:eastAsia="en-GB"/>
    </w:rPr>
  </w:style>
  <w:style w:type="paragraph" w:customStyle="1" w:styleId="Level2">
    <w:name w:val="Level 2"/>
    <w:basedOn w:val="Normal"/>
    <w:qFormat/>
    <w:rsid w:val="0034628C"/>
    <w:pPr>
      <w:widowControl/>
      <w:numPr>
        <w:ilvl w:val="1"/>
        <w:numId w:val="2"/>
      </w:numPr>
      <w:spacing w:after="140" w:line="290" w:lineRule="auto"/>
      <w:outlineLvl w:val="1"/>
    </w:pPr>
    <w:rPr>
      <w:rFonts w:eastAsiaTheme="minorHAnsi"/>
      <w:kern w:val="20"/>
      <w:szCs w:val="28"/>
      <w:lang w:val="en-GB" w:eastAsia="en-GB"/>
    </w:rPr>
  </w:style>
  <w:style w:type="paragraph" w:customStyle="1" w:styleId="Level3">
    <w:name w:val="Level 3"/>
    <w:basedOn w:val="Normal"/>
    <w:rsid w:val="0034628C"/>
    <w:pPr>
      <w:widowControl/>
      <w:numPr>
        <w:ilvl w:val="2"/>
        <w:numId w:val="2"/>
      </w:numPr>
      <w:spacing w:after="140" w:line="290" w:lineRule="auto"/>
      <w:outlineLvl w:val="2"/>
    </w:pPr>
    <w:rPr>
      <w:rFonts w:eastAsiaTheme="minorHAnsi"/>
      <w:kern w:val="20"/>
      <w:szCs w:val="28"/>
      <w:lang w:val="en-GB" w:eastAsia="en-GB"/>
    </w:rPr>
  </w:style>
  <w:style w:type="paragraph" w:customStyle="1" w:styleId="Level4">
    <w:name w:val="Level 4"/>
    <w:basedOn w:val="Normal"/>
    <w:rsid w:val="0034628C"/>
    <w:pPr>
      <w:widowControl/>
      <w:numPr>
        <w:ilvl w:val="3"/>
        <w:numId w:val="2"/>
      </w:numPr>
      <w:spacing w:after="140" w:line="290" w:lineRule="auto"/>
      <w:outlineLvl w:val="3"/>
    </w:pPr>
    <w:rPr>
      <w:rFonts w:eastAsiaTheme="minorHAnsi"/>
      <w:lang w:val="en-GB" w:eastAsia="en-GB"/>
    </w:rPr>
  </w:style>
  <w:style w:type="paragraph" w:customStyle="1" w:styleId="Level5">
    <w:name w:val="Level 5"/>
    <w:basedOn w:val="Normal"/>
    <w:rsid w:val="00A54B79"/>
    <w:pPr>
      <w:widowControl/>
      <w:numPr>
        <w:ilvl w:val="4"/>
        <w:numId w:val="2"/>
      </w:numPr>
      <w:spacing w:after="140" w:line="290" w:lineRule="auto"/>
    </w:pPr>
    <w:rPr>
      <w:rFonts w:eastAsiaTheme="minorHAnsi"/>
      <w:lang w:val="en-GB" w:eastAsia="en-GB"/>
    </w:rPr>
  </w:style>
  <w:style w:type="paragraph" w:customStyle="1" w:styleId="Level6">
    <w:name w:val="Level 6"/>
    <w:basedOn w:val="Normal"/>
    <w:rsid w:val="00A54B79"/>
    <w:pPr>
      <w:widowControl/>
      <w:numPr>
        <w:ilvl w:val="5"/>
        <w:numId w:val="2"/>
      </w:numPr>
      <w:spacing w:after="140" w:line="290" w:lineRule="auto"/>
    </w:pPr>
    <w:rPr>
      <w:rFonts w:eastAsiaTheme="minorHAnsi"/>
      <w:kern w:val="20"/>
      <w:lang w:val="en-GB" w:eastAsia="en-GB"/>
    </w:rPr>
  </w:style>
  <w:style w:type="paragraph" w:styleId="Cabealho">
    <w:name w:val="header"/>
    <w:basedOn w:val="Normal"/>
    <w:link w:val="Cabealho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8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886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viso">
    <w:name w:val="Revision"/>
    <w:hidden/>
    <w:uiPriority w:val="99"/>
    <w:semiHidden/>
    <w:rsid w:val="00DF70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076067"/>
    <w:pPr>
      <w:widowControl/>
      <w:numPr>
        <w:numId w:val="3"/>
      </w:numPr>
      <w:spacing w:line="312" w:lineRule="auto"/>
      <w:jc w:val="center"/>
      <w:outlineLvl w:val="0"/>
    </w:pPr>
    <w:rPr>
      <w:rFonts w:ascii="Verdana" w:hAnsi="Verdana"/>
      <w:b/>
    </w:rPr>
  </w:style>
  <w:style w:type="paragraph" w:customStyle="1" w:styleId="Clusula">
    <w:name w:val="Cláusula"/>
    <w:basedOn w:val="Normal"/>
    <w:next w:val="Normal"/>
    <w:qFormat/>
    <w:rsid w:val="00076067"/>
    <w:pPr>
      <w:widowControl/>
      <w:numPr>
        <w:ilvl w:val="1"/>
        <w:numId w:val="3"/>
      </w:numPr>
      <w:spacing w:line="312" w:lineRule="auto"/>
      <w:ind w:left="0"/>
      <w:outlineLvl w:val="1"/>
    </w:pPr>
    <w:rPr>
      <w:rFonts w:ascii="Verdana" w:hAnsi="Verdana"/>
    </w:rPr>
  </w:style>
  <w:style w:type="paragraph" w:customStyle="1" w:styleId="Subclusula">
    <w:name w:val="Subcláusula"/>
    <w:basedOn w:val="Clusula"/>
    <w:link w:val="SubclusulaChar"/>
    <w:qFormat/>
    <w:rsid w:val="00076067"/>
    <w:pPr>
      <w:numPr>
        <w:ilvl w:val="2"/>
      </w:numPr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link w:val="SubsubclusulaChar"/>
    <w:qFormat/>
    <w:rsid w:val="00076067"/>
    <w:pPr>
      <w:widowControl/>
      <w:numPr>
        <w:ilvl w:val="3"/>
        <w:numId w:val="3"/>
      </w:numPr>
      <w:spacing w:line="312" w:lineRule="auto"/>
      <w:outlineLvl w:val="3"/>
    </w:pPr>
    <w:rPr>
      <w:rFonts w:ascii="Verdana" w:hAnsi="Verdana"/>
    </w:rPr>
  </w:style>
  <w:style w:type="character" w:customStyle="1" w:styleId="SubclusulaChar">
    <w:name w:val="Subcláusula Char"/>
    <w:basedOn w:val="Fontepargpadro"/>
    <w:link w:val="Subclusula"/>
    <w:rsid w:val="00076067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Body">
    <w:name w:val="Body"/>
    <w:basedOn w:val="Normal"/>
    <w:link w:val="BodyChar"/>
    <w:rsid w:val="00076067"/>
    <w:pPr>
      <w:spacing w:after="140" w:line="290" w:lineRule="auto"/>
    </w:pPr>
    <w:rPr>
      <w:rFonts w:cs="Arial"/>
    </w:rPr>
  </w:style>
  <w:style w:type="character" w:customStyle="1" w:styleId="BodyChar">
    <w:name w:val="Body Char"/>
    <w:link w:val="Body"/>
    <w:locked/>
    <w:rsid w:val="00076067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SubsubclusulaChar">
    <w:name w:val="Subsubcláusula Char"/>
    <w:basedOn w:val="Fontepargpadro"/>
    <w:link w:val="Subsubclusula"/>
    <w:rsid w:val="00EC1B08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Item">
    <w:name w:val="Item"/>
    <w:basedOn w:val="Normal"/>
    <w:next w:val="Normal"/>
    <w:link w:val="ItemChar"/>
    <w:qFormat/>
    <w:rsid w:val="00961070"/>
    <w:pPr>
      <w:widowControl/>
      <w:numPr>
        <w:numId w:val="4"/>
      </w:numPr>
      <w:spacing w:line="312" w:lineRule="auto"/>
    </w:pPr>
    <w:rPr>
      <w:rFonts w:ascii="Verdana" w:hAnsi="Verdana"/>
    </w:rPr>
  </w:style>
  <w:style w:type="character" w:customStyle="1" w:styleId="ItemChar">
    <w:name w:val="Item Char"/>
    <w:basedOn w:val="Fontepargpadro"/>
    <w:link w:val="Item"/>
    <w:rsid w:val="00961070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Level1coluna1">
    <w:name w:val="Level 1 coluna1"/>
    <w:basedOn w:val="Normal"/>
    <w:rsid w:val="0039141C"/>
    <w:pPr>
      <w:widowControl/>
      <w:numPr>
        <w:numId w:val="6"/>
      </w:numPr>
      <w:spacing w:before="60" w:after="60" w:line="312" w:lineRule="auto"/>
    </w:pPr>
    <w:rPr>
      <w:rFonts w:ascii="Verdana" w:hAnsi="Verdana"/>
      <w:b/>
      <w:sz w:val="16"/>
      <w:lang w:val="en-GB" w:eastAsia="en-GB"/>
    </w:rPr>
  </w:style>
  <w:style w:type="paragraph" w:customStyle="1" w:styleId="Level2coluna1">
    <w:name w:val="Level 2 coluna1"/>
    <w:basedOn w:val="Normal"/>
    <w:rsid w:val="0039141C"/>
    <w:pPr>
      <w:widowControl/>
      <w:numPr>
        <w:ilvl w:val="1"/>
        <w:numId w:val="6"/>
      </w:numPr>
      <w:spacing w:before="60" w:after="60" w:line="312" w:lineRule="auto"/>
    </w:pPr>
    <w:rPr>
      <w:rFonts w:ascii="Verdana" w:hAnsi="Verdana"/>
      <w:sz w:val="16"/>
      <w:lang w:val="en-GB" w:eastAsia="en-GB"/>
    </w:rPr>
  </w:style>
  <w:style w:type="paragraph" w:customStyle="1" w:styleId="Level3coluna1">
    <w:name w:val="Level 3 coluna1"/>
    <w:basedOn w:val="Normal"/>
    <w:rsid w:val="0039141C"/>
    <w:pPr>
      <w:widowControl/>
      <w:numPr>
        <w:ilvl w:val="2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4coluna1">
    <w:name w:val="Level 4 coluna1"/>
    <w:basedOn w:val="Normal"/>
    <w:rsid w:val="0039141C"/>
    <w:pPr>
      <w:widowControl/>
      <w:numPr>
        <w:ilvl w:val="3"/>
        <w:numId w:val="6"/>
      </w:numPr>
      <w:spacing w:before="60" w:after="60" w:line="312" w:lineRule="auto"/>
    </w:pPr>
    <w:rPr>
      <w:rFonts w:ascii="Verdana" w:hAnsi="Verdana"/>
      <w:i/>
      <w:sz w:val="16"/>
      <w:lang w:val="en-GB" w:eastAsia="en-GB"/>
    </w:rPr>
  </w:style>
  <w:style w:type="paragraph" w:customStyle="1" w:styleId="Level5coluna1">
    <w:name w:val="Level 5 coluna1"/>
    <w:basedOn w:val="Normal"/>
    <w:rsid w:val="0039141C"/>
    <w:pPr>
      <w:widowControl/>
      <w:numPr>
        <w:ilvl w:val="4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paragraph" w:customStyle="1" w:styleId="Level6coluna1">
    <w:name w:val="Level 6 coluna1"/>
    <w:basedOn w:val="Normal"/>
    <w:rsid w:val="0039141C"/>
    <w:pPr>
      <w:widowControl/>
      <w:numPr>
        <w:ilvl w:val="5"/>
        <w:numId w:val="6"/>
      </w:numPr>
      <w:spacing w:after="140" w:line="290" w:lineRule="auto"/>
    </w:pPr>
    <w:rPr>
      <w:rFonts w:ascii="Verdana" w:hAnsi="Verdana"/>
      <w:lang w:val="en-GB" w:eastAsia="en-GB"/>
    </w:rPr>
  </w:style>
  <w:style w:type="character" w:customStyle="1" w:styleId="PargrafodaListaChar">
    <w:name w:val="Parágrafo da Lista Char"/>
    <w:aliases w:val="Vitor Título Char,Vitor T?tulo Char,Vitor T’tulo Char,Itemização Char,Vitor T Char"/>
    <w:link w:val="PargrafodaLista"/>
    <w:uiPriority w:val="34"/>
    <w:qFormat/>
    <w:locked/>
    <w:rsid w:val="0039141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Recitals">
    <w:name w:val="Recitals"/>
    <w:basedOn w:val="Normal"/>
    <w:rsid w:val="0039141C"/>
    <w:pPr>
      <w:widowControl/>
      <w:spacing w:line="240" w:lineRule="auto"/>
    </w:pPr>
    <w:rPr>
      <w:rFonts w:eastAsia="MS Mincho"/>
      <w:sz w:val="24"/>
      <w:szCs w:val="24"/>
    </w:rPr>
  </w:style>
  <w:style w:type="character" w:customStyle="1" w:styleId="TtulodaClusulaChar">
    <w:name w:val="Título da Cláusula Char"/>
    <w:basedOn w:val="PargrafodaListaChar"/>
    <w:link w:val="TtulodaClusula"/>
    <w:rsid w:val="00E11CEF"/>
    <w:rPr>
      <w:rFonts w:ascii="Verdana" w:eastAsia="Times New Roman" w:hAnsi="Verdana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 T E X T ! 5 4 1 8 9 4 4 4 . 3 < / d o c u m e n t i d >  
     < s e n d e r i d > T E U < / s e n d e r i d >  
     < s e n d e r e m a i l > M M A I A @ M A C H A D O M E Y E R . C O M . B R < / s e n d e r e m a i l >  
     < l a s t m o d i f i e d > 2 0 2 1 - 0 5 - 2 1 T 0 4 : 5 0 : 0 0 . 0 0 0 0 0 0 0 - 0 3 : 0 0 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2415</Words>
  <Characters>13458</Characters>
  <Application>Microsoft Office Word</Application>
  <DocSecurity>0</DocSecurity>
  <Lines>336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Reis</dc:creator>
  <cp:keywords/>
  <dc:description/>
  <cp:lastModifiedBy>Mateus Maia De Souza | Machado Meyer Advogados</cp:lastModifiedBy>
  <cp:revision>4</cp:revision>
  <dcterms:created xsi:type="dcterms:W3CDTF">2021-05-21T07:49:00Z</dcterms:created>
  <dcterms:modified xsi:type="dcterms:W3CDTF">2021-05-21T07:50:00Z</dcterms:modified>
</cp:coreProperties>
</file>