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666CB5D2" w:rsidR="001B57F4" w:rsidRPr="00BA1CD0" w:rsidRDefault="006D167E" w:rsidP="001B57F4">
      <w:pPr>
        <w:tabs>
          <w:tab w:val="left" w:pos="851"/>
        </w:tabs>
        <w:spacing w:line="320" w:lineRule="exact"/>
        <w:jc w:val="center"/>
        <w:rPr>
          <w:rFonts w:asciiTheme="minorHAnsi" w:hAnsiTheme="minorHAnsi" w:cstheme="minorHAnsi"/>
          <w:sz w:val="24"/>
        </w:rPr>
      </w:pPr>
      <w:r>
        <w:rPr>
          <w:rFonts w:asciiTheme="minorHAnsi" w:hAnsiTheme="minorHAnsi" w:cstheme="minorHAnsi"/>
          <w:sz w:val="24"/>
        </w:rPr>
        <w:t>13</w:t>
      </w:r>
      <w:r w:rsidR="001B57F4" w:rsidRPr="00774EE9">
        <w:rPr>
          <w:rFonts w:asciiTheme="minorHAnsi" w:hAnsiTheme="minorHAnsi" w:cstheme="minorHAnsi"/>
          <w:sz w:val="24"/>
        </w:rPr>
        <w:t xml:space="preserve"> de </w:t>
      </w:r>
      <w:r>
        <w:rPr>
          <w:rFonts w:asciiTheme="minorHAnsi" w:hAnsiTheme="minorHAnsi" w:cstheme="minorHAnsi"/>
          <w:sz w:val="24"/>
        </w:rPr>
        <w:t>dezembro</w:t>
      </w:r>
      <w:r w:rsidR="001B57F4" w:rsidRPr="00774EE9">
        <w:rPr>
          <w:rFonts w:asciiTheme="minorHAnsi" w:hAnsiTheme="minorHAnsi" w:cstheme="minorHAnsi"/>
          <w:sz w:val="24"/>
        </w:rPr>
        <w:t xml:space="preserve">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5" w:name="_Hlk89970093"/>
      <w:r w:rsidR="00091253">
        <w:rPr>
          <w:rFonts w:asciiTheme="minorHAnsi" w:hAnsiTheme="minorHAnsi"/>
          <w:sz w:val="24"/>
        </w:rPr>
        <w:t>Agente de Liquidação</w:t>
      </w:r>
      <w:bookmarkEnd w:id="5"/>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6" w:name="_Ref333863978"/>
      <w:bookmarkEnd w:id="4"/>
      <w:r w:rsidRPr="00951478">
        <w:rPr>
          <w:rFonts w:asciiTheme="minorHAnsi" w:hAnsiTheme="minorHAnsi"/>
          <w:b/>
          <w:sz w:val="24"/>
        </w:rPr>
        <w:t>REQUISITOS</w:t>
      </w:r>
      <w:bookmarkEnd w:id="6"/>
    </w:p>
    <w:p w14:paraId="2CA12D21" w14:textId="663555A9" w:rsidR="00AD621E" w:rsidRPr="00951478" w:rsidRDefault="00EF1AA2" w:rsidP="004A58DC">
      <w:pPr>
        <w:pStyle w:val="Level2"/>
        <w:rPr>
          <w:rFonts w:asciiTheme="minorHAnsi" w:hAnsiTheme="minorHAnsi"/>
          <w:sz w:val="24"/>
        </w:rPr>
      </w:pPr>
      <w:bookmarkStart w:id="7"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7"/>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8"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8"/>
      <w:r w:rsidR="00FB461F" w:rsidRPr="00951478">
        <w:rPr>
          <w:rFonts w:asciiTheme="minorHAnsi" w:hAnsiTheme="minorHAnsi"/>
          <w:sz w:val="24"/>
        </w:rPr>
        <w:t>Nos termos do artigo 62, inciso I, e 289 da Lei das Sociedades por Ações</w:t>
      </w:r>
      <w:bookmarkStart w:id="9"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9"/>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0" w:name="_Ref45610884"/>
      <w:bookmarkEnd w:id="10"/>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1"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1"/>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2"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2"/>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3"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135D8014"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03740F32"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w:t>
      </w:r>
      <w:r w:rsidR="00D21834" w:rsidRPr="00FB461F">
        <w:rPr>
          <w:rFonts w:asciiTheme="minorHAnsi" w:hAnsiTheme="minorHAnsi" w:cstheme="minorHAnsi"/>
          <w:bCs/>
          <w:sz w:val="24"/>
        </w:rPr>
        <w:t xml:space="preserve">Fase atual do Projeto </w:t>
      </w:r>
      <w:proofErr w:type="spellStart"/>
      <w:r w:rsidR="00D21834" w:rsidRPr="00FB461F">
        <w:rPr>
          <w:rFonts w:asciiTheme="minorHAnsi" w:hAnsiTheme="minorHAnsi" w:cstheme="minorHAnsi"/>
          <w:bCs/>
          <w:sz w:val="24"/>
        </w:rPr>
        <w:t>Capex</w:t>
      </w:r>
      <w:proofErr w:type="spellEnd"/>
      <w:r w:rsidR="00D21834" w:rsidRPr="00FB461F">
        <w:rPr>
          <w:rFonts w:asciiTheme="minorHAnsi" w:hAnsiTheme="minorHAnsi" w:cstheme="minorHAnsi"/>
          <w:bCs/>
          <w:sz w:val="24"/>
        </w:rPr>
        <w:t xml:space="preserve"> Boa Vista: </w:t>
      </w:r>
      <w:r w:rsidR="00D21834" w:rsidRPr="00FB461F">
        <w:rPr>
          <w:rFonts w:asciiTheme="minorHAnsi" w:hAnsiTheme="minorHAnsi" w:cstheme="minorHAnsi"/>
          <w:sz w:val="24"/>
        </w:rPr>
        <w:t xml:space="preserve">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encontra-se na fase de </w:t>
      </w:r>
      <w:r w:rsidR="00D21834">
        <w:rPr>
          <w:rFonts w:asciiTheme="minorHAnsi" w:hAnsiTheme="minorHAnsi" w:cstheme="minorHAnsi"/>
          <w:sz w:val="24"/>
        </w:rPr>
        <w:t>execução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16779E59"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00D21834" w:rsidRPr="00FB461F">
        <w:rPr>
          <w:rFonts w:asciiTheme="minorHAnsi" w:hAnsiTheme="minorHAnsi" w:cstheme="minorHAnsi"/>
          <w:sz w:val="24"/>
        </w:rPr>
        <w:t xml:space="preserve">Valor da Emissão que será destinado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R$ </w:t>
      </w:r>
      <w:r w:rsidR="00D21834" w:rsidRPr="00E825C3">
        <w:rPr>
          <w:rFonts w:asciiTheme="minorHAnsi" w:hAnsiTheme="minorHAnsi" w:cstheme="minorHAnsi"/>
          <w:sz w:val="24"/>
        </w:rPr>
        <w:t>95.443.564,00 (noventa e cinco milhões e quatrocentos e quarenta e três mil e quinhentos e sessenta e quatro reais)</w:t>
      </w:r>
      <w:r w:rsidRPr="00FB461F">
        <w:rPr>
          <w:rFonts w:asciiTheme="minorHAnsi" w:hAnsiTheme="minorHAnsi" w:cstheme="minorHAnsi"/>
          <w:sz w:val="24"/>
        </w:rPr>
        <w:t xml:space="preserve">;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29932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00D21834" w:rsidRPr="00FB461F">
        <w:rPr>
          <w:rFonts w:asciiTheme="minorHAnsi" w:hAnsiTheme="minorHAnsi" w:cstheme="minorHAnsi"/>
          <w:sz w:val="24"/>
        </w:rPr>
        <w:t xml:space="preserve">Percentual dos recursos financeiros necessários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provenientes da Emissão: os recursos provenientes da Emissão correspondem a aproximadamente </w:t>
      </w:r>
      <w:r w:rsidR="00D21834">
        <w:rPr>
          <w:rFonts w:asciiTheme="minorHAnsi" w:hAnsiTheme="minorHAnsi" w:cstheme="minorHAnsi"/>
          <w:sz w:val="24"/>
        </w:rPr>
        <w:t>19,10</w:t>
      </w:r>
      <w:r w:rsidR="00D21834" w:rsidRPr="00FB461F">
        <w:rPr>
          <w:rFonts w:asciiTheme="minorHAnsi" w:hAnsiTheme="minorHAnsi" w:cstheme="minorHAnsi"/>
          <w:sz w:val="24"/>
        </w:rPr>
        <w:t>% (</w:t>
      </w:r>
      <w:r w:rsidR="00D21834">
        <w:rPr>
          <w:rFonts w:asciiTheme="minorHAnsi" w:hAnsiTheme="minorHAnsi" w:cstheme="minorHAnsi"/>
          <w:sz w:val="24"/>
        </w:rPr>
        <w:t>dezenove inteiros e dez centésimos por cento</w:t>
      </w:r>
      <w:r w:rsidR="00D21834" w:rsidRPr="00FB461F">
        <w:rPr>
          <w:rFonts w:asciiTheme="minorHAnsi" w:hAnsiTheme="minorHAnsi" w:cstheme="minorHAnsi"/>
          <w:sz w:val="24"/>
        </w:rPr>
        <w:t xml:space="preserve">) do valor total de recursos financeiros necessários a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w:t>
      </w:r>
      <w:r w:rsidRPr="00FB461F">
        <w:rPr>
          <w:rFonts w:asciiTheme="minorHAnsi" w:hAnsiTheme="minorHAnsi" w:cstheme="minorHAnsi"/>
          <w:sz w:val="24"/>
        </w:rPr>
        <w:t>.</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4" w:name="_Hlk71619028"/>
      <w:bookmarkEnd w:id="13"/>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0D4541C6"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w:t>
      </w:r>
      <w:r w:rsidR="00D21834" w:rsidRPr="003F65CF">
        <w:rPr>
          <w:rFonts w:asciiTheme="minorHAnsi" w:hAnsiTheme="minorHAnsi" w:cstheme="minorHAnsi"/>
          <w:sz w:val="24"/>
        </w:rPr>
        <w:t xml:space="preserve">Data estimada para início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01 de abril de 2021</w:t>
      </w:r>
      <w:r w:rsidRPr="003F65CF">
        <w:rPr>
          <w:rFonts w:asciiTheme="minorHAnsi" w:hAnsiTheme="minorHAnsi" w:cstheme="minorHAnsi"/>
          <w:sz w:val="24"/>
        </w:rPr>
        <w:t>;</w:t>
      </w:r>
    </w:p>
    <w:p w14:paraId="4A12812F" w14:textId="34F90998"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w:t>
      </w:r>
      <w:r w:rsidR="00D21834" w:rsidRPr="003F65CF">
        <w:rPr>
          <w:rFonts w:asciiTheme="minorHAnsi" w:hAnsiTheme="minorHAnsi" w:cstheme="minorHAnsi"/>
          <w:sz w:val="24"/>
        </w:rPr>
        <w:t xml:space="preserve">Fase atual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sidRPr="00E825C3">
        <w:rPr>
          <w:rFonts w:asciiTheme="minorHAnsi" w:hAnsiTheme="minorHAnsi" w:cstheme="minorHAnsi"/>
          <w:sz w:val="24"/>
        </w:rPr>
        <w:t xml:space="preserve">o Projeto </w:t>
      </w:r>
      <w:proofErr w:type="spellStart"/>
      <w:r w:rsidR="00D21834" w:rsidRPr="00E825C3">
        <w:rPr>
          <w:rFonts w:asciiTheme="minorHAnsi" w:hAnsiTheme="minorHAnsi" w:cstheme="minorHAnsi"/>
          <w:sz w:val="24"/>
        </w:rPr>
        <w:t>Capex</w:t>
      </w:r>
      <w:proofErr w:type="spellEnd"/>
      <w:r w:rsidR="00D21834" w:rsidRPr="00E825C3">
        <w:rPr>
          <w:rFonts w:asciiTheme="minorHAnsi" w:hAnsiTheme="minorHAnsi" w:cstheme="minorHAnsi"/>
          <w:sz w:val="24"/>
        </w:rPr>
        <w:t xml:space="preserve"> Usinas encontra-se na fase de execução</w:t>
      </w:r>
      <w:r w:rsidRPr="003F65CF">
        <w:rPr>
          <w:rFonts w:asciiTheme="minorHAnsi" w:hAnsiTheme="minorHAnsi" w:cstheme="minorHAnsi"/>
          <w:sz w:val="24"/>
        </w:rPr>
        <w:t>;</w:t>
      </w:r>
    </w:p>
    <w:p w14:paraId="42F2B939" w14:textId="50F1DCB1"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w:t>
      </w:r>
      <w:r w:rsidR="00D21834" w:rsidRPr="003F65CF">
        <w:rPr>
          <w:rFonts w:asciiTheme="minorHAnsi" w:hAnsiTheme="minorHAnsi" w:cstheme="minorHAnsi"/>
          <w:sz w:val="24"/>
        </w:rPr>
        <w:t xml:space="preserve">Data estimada para encerramento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31</w:t>
      </w:r>
      <w:r w:rsidR="00D21834" w:rsidRPr="003F65CF">
        <w:rPr>
          <w:rFonts w:asciiTheme="minorHAnsi" w:hAnsiTheme="minorHAnsi" w:cstheme="minorHAnsi"/>
          <w:sz w:val="24"/>
        </w:rPr>
        <w:t xml:space="preserve"> de março de 2023</w:t>
      </w:r>
      <w:r w:rsidRPr="003F65CF">
        <w:rPr>
          <w:rFonts w:asciiTheme="minorHAnsi" w:hAnsiTheme="minorHAnsi" w:cstheme="minorHAnsi"/>
          <w:sz w:val="24"/>
        </w:rPr>
        <w:t>;</w:t>
      </w:r>
    </w:p>
    <w:p w14:paraId="74B88EAE" w14:textId="69AC4F49"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w:t>
      </w:r>
      <w:r w:rsidR="00D21834" w:rsidRPr="003F65CF">
        <w:rPr>
          <w:rFonts w:asciiTheme="minorHAnsi" w:hAnsiTheme="minorHAnsi" w:cstheme="minorHAnsi"/>
          <w:sz w:val="24"/>
        </w:rPr>
        <w:t xml:space="preserve">Volume estimado de recursos financeiros necessários para a realização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w:t>
      </w:r>
      <w:r w:rsidR="00D21834" w:rsidRPr="00E825C3">
        <w:rPr>
          <w:rFonts w:asciiTheme="minorHAnsi" w:hAnsiTheme="minorHAnsi" w:cstheme="minorHAnsi"/>
          <w:sz w:val="24"/>
        </w:rPr>
        <w:t>1.104.556.436,00 (um bilhão e cento e quatro milhões e quinhentos e cinquenta e seis mil e quatrocentos e trinta e seis reais)</w:t>
      </w:r>
      <w:r w:rsidRPr="003F65CF">
        <w:rPr>
          <w:rFonts w:asciiTheme="minorHAnsi" w:hAnsiTheme="minorHAnsi" w:cstheme="minorHAnsi"/>
          <w:sz w:val="24"/>
        </w:rPr>
        <w:t>;</w:t>
      </w:r>
    </w:p>
    <w:p w14:paraId="67469448" w14:textId="126A8D52"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00D21834" w:rsidRPr="003F65CF">
        <w:rPr>
          <w:rFonts w:asciiTheme="minorHAnsi" w:hAnsiTheme="minorHAnsi" w:cstheme="minorHAnsi"/>
          <w:sz w:val="24"/>
        </w:rPr>
        <w:t xml:space="preserve">Valor da Emissão que será destinado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 </w:t>
      </w:r>
      <w:r w:rsidR="00D21834" w:rsidRPr="00E825C3">
        <w:rPr>
          <w:rFonts w:asciiTheme="minorHAnsi" w:hAnsiTheme="minorHAnsi" w:cstheme="minorHAnsi"/>
          <w:sz w:val="24"/>
        </w:rPr>
        <w:t>904.556.436,00 (novecentos e quatro milhões e quinhentos e cinquenta e seis mil e quatrocentos e trinta e seis reais)</w:t>
      </w:r>
      <w:r w:rsidR="00D21834" w:rsidRPr="003F65CF">
        <w:rPr>
          <w:rFonts w:asciiTheme="minorHAnsi" w:hAnsiTheme="minorHAnsi" w:cstheme="minorHAnsi"/>
          <w:sz w:val="24"/>
        </w:rPr>
        <w:t>;</w:t>
      </w:r>
      <w:r w:rsidRPr="003F65CF">
        <w:rPr>
          <w:rFonts w:asciiTheme="minorHAnsi" w:hAnsiTheme="minorHAnsi" w:cstheme="minorHAnsi"/>
          <w:sz w:val="24"/>
        </w:rPr>
        <w:t xml:space="preserve">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lastRenderedPageBreak/>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7E3800D1"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00D21834" w:rsidRPr="003F65CF">
        <w:rPr>
          <w:rFonts w:asciiTheme="minorHAnsi" w:hAnsiTheme="minorHAnsi" w:cstheme="minorHAnsi"/>
          <w:sz w:val="24"/>
        </w:rPr>
        <w:t xml:space="preserve">Percentual dos recursos financeiros necessários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provenientes da Emissão: os recursos provenientes da Emissão correspondem a aproximadamente </w:t>
      </w:r>
      <w:r w:rsidR="00D21834">
        <w:rPr>
          <w:rFonts w:asciiTheme="minorHAnsi" w:hAnsiTheme="minorHAnsi" w:cstheme="minorHAnsi"/>
          <w:sz w:val="24"/>
        </w:rPr>
        <w:t>81,90</w:t>
      </w:r>
      <w:r w:rsidR="00D21834" w:rsidRPr="003F65CF">
        <w:rPr>
          <w:rFonts w:asciiTheme="minorHAnsi" w:hAnsiTheme="minorHAnsi" w:cstheme="minorHAnsi"/>
          <w:sz w:val="24"/>
        </w:rPr>
        <w:t>% (</w:t>
      </w:r>
      <w:r w:rsidR="00D21834">
        <w:rPr>
          <w:rFonts w:asciiTheme="minorHAnsi" w:hAnsiTheme="minorHAnsi" w:cstheme="minorHAnsi"/>
          <w:sz w:val="24"/>
        </w:rPr>
        <w:t>oitenta e um inteiros e noventa centésimos por cento</w:t>
      </w:r>
      <w:r w:rsidR="00D21834" w:rsidRPr="003F65CF">
        <w:rPr>
          <w:rFonts w:asciiTheme="minorHAnsi" w:hAnsiTheme="minorHAnsi" w:cstheme="minorHAnsi"/>
          <w:sz w:val="24"/>
        </w:rPr>
        <w:t xml:space="preserve">) do valor total de recursos financeiros necessários a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w:t>
      </w:r>
      <w:r w:rsidRPr="003F65CF">
        <w:rPr>
          <w:rFonts w:asciiTheme="minorHAnsi" w:hAnsiTheme="minorHAnsi" w:cstheme="minorHAnsi"/>
          <w:sz w:val="24"/>
        </w:rPr>
        <w:t>.</w:t>
      </w:r>
    </w:p>
    <w:bookmarkEnd w:id="14"/>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w:t>
      </w:r>
      <w:bookmarkStart w:id="15" w:name="_GoBack"/>
      <w:bookmarkEnd w:id="15"/>
      <w:r w:rsidR="00BE5AE8" w:rsidRPr="00951478">
        <w:rPr>
          <w:rFonts w:asciiTheme="minorHAnsi" w:hAnsiTheme="minorHAnsi"/>
          <w:sz w:val="24"/>
        </w:rPr>
        <w:t>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r>
        <w:rPr>
          <w:rFonts w:asciiTheme="minorHAnsi" w:hAnsiTheme="minorHAnsi"/>
          <w:sz w:val="24"/>
        </w:rPr>
        <w:t>.</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xml:space="preserve">. </w:t>
      </w:r>
      <w:r w:rsidR="009C189B" w:rsidRPr="00CC7343">
        <w:rPr>
          <w:rFonts w:asciiTheme="minorHAnsi" w:hAnsiTheme="minorHAnsi" w:cstheme="minorHAnsi"/>
          <w:sz w:val="24"/>
          <w:szCs w:val="24"/>
        </w:rPr>
        <w:lastRenderedPageBreak/>
        <w:t>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6" w:name="_Hlk89969792"/>
      <w:r>
        <w:rPr>
          <w:rFonts w:asciiTheme="minorHAnsi" w:hAnsiTheme="minorHAnsi"/>
          <w:sz w:val="24"/>
          <w:u w:val="single"/>
        </w:rPr>
        <w:t>Agente de Liquidação</w:t>
      </w:r>
      <w:bookmarkEnd w:id="16"/>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 xml:space="preserve">Haverá possibilidade de aumento de até 20% (vinte por cento) da quantidade total de Debêntures inicialmente ofertada, em virtude de excesso de demanda a ser contratado no âmbito da Oferta, mediante a emissão das </w:t>
      </w:r>
      <w:r>
        <w:rPr>
          <w:rFonts w:asciiTheme="minorHAnsi" w:hAnsiTheme="minorHAnsi" w:cstheme="minorHAnsi"/>
          <w:sz w:val="24"/>
          <w:szCs w:val="24"/>
        </w:rPr>
        <w:lastRenderedPageBreak/>
        <w:t>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w:t>
      </w:r>
      <w:r w:rsidR="006E06FC" w:rsidRPr="00CC7343">
        <w:rPr>
          <w:rFonts w:asciiTheme="minorHAnsi" w:hAnsiTheme="minorHAnsi" w:cstheme="minorHAnsi"/>
          <w:sz w:val="24"/>
        </w:rPr>
        <w:lastRenderedPageBreak/>
        <w:t xml:space="preserve">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 xml:space="preserve">as Debêntures Adicionais poderão ser Debêntures da Primeira Série e/ou Debêntures da Segunda Série. As Debêntures Adicionais eventualmente emitidas passarão a ter </w:t>
      </w:r>
      <w:r w:rsidR="008F77DB">
        <w:rPr>
          <w:rFonts w:asciiTheme="minorHAnsi" w:hAnsiTheme="minorHAnsi" w:cstheme="minorHAnsi"/>
          <w:sz w:val="24"/>
          <w:szCs w:val="24"/>
        </w:rPr>
        <w:lastRenderedPageBreak/>
        <w:t>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w:t>
      </w:r>
      <w:r w:rsidRPr="00CC7343">
        <w:rPr>
          <w:rFonts w:asciiTheme="minorHAnsi" w:hAnsiTheme="minorHAnsi" w:cstheme="minorHAnsi"/>
          <w:sz w:val="24"/>
          <w:szCs w:val="24"/>
        </w:rPr>
        <w:lastRenderedPageBreak/>
        <w:t>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7" w:name="_Ref264653840"/>
      <w:bookmarkStart w:id="18"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7"/>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9"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9"/>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lastRenderedPageBreak/>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621743"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621744"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lastRenderedPageBreak/>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700621745"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 xml:space="preserve">divulgado até a data do cálculo, não sendo devidas quaisquer compensações financeiras, tanto por parte da </w:t>
      </w:r>
      <w:r w:rsidR="00E82507" w:rsidRPr="00951478">
        <w:rPr>
          <w:rFonts w:asciiTheme="minorHAnsi" w:hAnsiTheme="minorHAnsi"/>
          <w:kern w:val="0"/>
          <w:sz w:val="24"/>
        </w:rPr>
        <w:lastRenderedPageBreak/>
        <w:t>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 xml:space="preserve">4.751 e das demais disposições legais </w:t>
      </w:r>
      <w:r w:rsidRPr="00951478">
        <w:rPr>
          <w:rFonts w:asciiTheme="minorHAnsi" w:hAnsiTheme="minorHAnsi"/>
          <w:sz w:val="24"/>
        </w:rPr>
        <w:lastRenderedPageBreak/>
        <w:t>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44F0CB10"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20" w:name="_Hlk88490504"/>
      <w:r w:rsidR="00BC50C6" w:rsidRPr="00951478">
        <w:rPr>
          <w:rFonts w:asciiTheme="minorHAnsi" w:hAnsiTheme="minorHAnsi"/>
          <w:kern w:val="0"/>
          <w:sz w:val="24"/>
        </w:rPr>
        <w:t>Valor Nominal</w:t>
      </w:r>
      <w:r w:rsidR="00091253">
        <w:rPr>
          <w:rFonts w:asciiTheme="minorHAnsi" w:hAnsiTheme="minorHAnsi"/>
          <w:kern w:val="0"/>
          <w:sz w:val="24"/>
        </w:rPr>
        <w:t xml:space="preserve"> Unitário</w:t>
      </w:r>
      <w:r w:rsidR="00BC50C6" w:rsidRPr="00951478">
        <w:rPr>
          <w:rFonts w:asciiTheme="minorHAnsi" w:hAnsiTheme="minorHAnsi"/>
          <w:kern w:val="0"/>
          <w:sz w:val="24"/>
        </w:rPr>
        <w:t xml:space="preserve"> Atualizado das Debêntures</w:t>
      </w:r>
      <w:r w:rsidR="00BC50C6" w:rsidRPr="00CC7343">
        <w:rPr>
          <w:rFonts w:asciiTheme="minorHAnsi" w:hAnsiTheme="minorHAnsi" w:cstheme="minorHAnsi"/>
          <w:bCs/>
          <w:iCs/>
          <w:kern w:val="0"/>
          <w:sz w:val="24"/>
          <w:szCs w:val="24"/>
        </w:rPr>
        <w:t xml:space="preserve"> da Primeira Série</w:t>
      </w:r>
      <w:bookmarkEnd w:id="20"/>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 ao ano</w:t>
      </w:r>
      <w:r w:rsidR="00091253">
        <w:rPr>
          <w:rFonts w:asciiTheme="minorHAnsi" w:hAnsiTheme="minorHAnsi" w:cstheme="minorHAnsi"/>
          <w:bCs/>
          <w:iCs/>
          <w:kern w:val="0"/>
          <w:sz w:val="24"/>
          <w:szCs w:val="24"/>
        </w:rPr>
        <w:t>, base 252 Dias Úteis</w:t>
      </w:r>
      <w:r w:rsidRPr="00CC7343">
        <w:rPr>
          <w:rFonts w:asciiTheme="minorHAnsi" w:hAnsiTheme="minorHAnsi" w:cstheme="minorHAnsi"/>
          <w:bCs/>
          <w:iCs/>
          <w:kern w:val="0"/>
          <w:sz w:val="24"/>
          <w:szCs w:val="24"/>
        </w:rPr>
        <w:t xml:space="preserve">,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p>
    <w:p w14:paraId="37DBCCBB" w14:textId="7914AA72"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 xml:space="preserve">obre o Valor Nominal </w:t>
      </w:r>
      <w:r w:rsidR="00091253">
        <w:rPr>
          <w:rFonts w:asciiTheme="minorHAnsi" w:hAnsiTheme="minorHAnsi" w:cstheme="minorHAnsi"/>
          <w:bCs/>
          <w:iCs/>
          <w:kern w:val="0"/>
          <w:sz w:val="24"/>
          <w:szCs w:val="24"/>
        </w:rPr>
        <w:t xml:space="preserve">Unitário </w:t>
      </w:r>
      <w:r w:rsidR="00BC50C6" w:rsidRPr="00CC7343">
        <w:rPr>
          <w:rFonts w:asciiTheme="minorHAnsi" w:hAnsiTheme="minorHAnsi" w:cstheme="minorHAnsi"/>
          <w:bCs/>
          <w:iCs/>
          <w:kern w:val="0"/>
          <w:sz w:val="24"/>
          <w:szCs w:val="24"/>
        </w:rPr>
        <w:t>Atualizado das Debêntures da Segunda Série,</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sidRPr="00CC7343">
        <w:rPr>
          <w:rFonts w:asciiTheme="minorHAnsi" w:hAnsiTheme="minorHAnsi" w:cstheme="minorHAnsi"/>
          <w:bCs/>
          <w:iCs/>
          <w:kern w:val="0"/>
          <w:sz w:val="24"/>
          <w:szCs w:val="24"/>
        </w:rPr>
        <w:t>0,65% (sessenta e cinco centésimos por cento)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 ao ano</w:t>
      </w:r>
      <w:r w:rsidR="00091253">
        <w:rPr>
          <w:rFonts w:asciiTheme="minorHAnsi" w:hAnsiTheme="minorHAnsi" w:cstheme="minorHAnsi"/>
          <w:bCs/>
          <w:iCs/>
          <w:kern w:val="0"/>
          <w:sz w:val="24"/>
          <w:szCs w:val="24"/>
        </w:rPr>
        <w:t>, base 252 Dias Úteis</w:t>
      </w:r>
      <w:r w:rsidR="002A2F78" w:rsidRPr="00CC7343">
        <w:rPr>
          <w:rFonts w:asciiTheme="minorHAnsi" w:hAnsiTheme="minorHAnsi" w:cstheme="minorHAnsi"/>
          <w:bCs/>
          <w:iCs/>
          <w:kern w:val="0"/>
          <w:sz w:val="24"/>
          <w:szCs w:val="24"/>
        </w:rPr>
        <w:t xml:space="preserve">, entre os itens (i) e (ii)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 xml:space="preserve">Remuneração da Segunda </w:t>
      </w:r>
      <w:r w:rsidR="002A2F78" w:rsidRPr="00D802ED">
        <w:rPr>
          <w:rFonts w:asciiTheme="minorHAnsi" w:hAnsiTheme="minorHAnsi" w:cstheme="minorHAnsi"/>
          <w:bCs/>
          <w:iCs/>
          <w:kern w:val="0"/>
          <w:sz w:val="24"/>
          <w:szCs w:val="24"/>
          <w:u w:val="single"/>
        </w:rPr>
        <w:lastRenderedPageBreak/>
        <w:t>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1" w:name="_Toc375090256"/>
      <w:bookmarkStart w:id="22" w:name="_Toc375090257"/>
      <w:bookmarkStart w:id="23" w:name="_Toc375090258"/>
      <w:bookmarkEnd w:id="21"/>
      <w:bookmarkEnd w:id="22"/>
      <w:bookmarkEnd w:id="23"/>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w:t>
      </w:r>
      <w:r w:rsidRPr="00951478">
        <w:rPr>
          <w:rFonts w:asciiTheme="minorHAnsi" w:hAnsiTheme="minorHAnsi"/>
          <w:sz w:val="24"/>
        </w:rPr>
        <w:lastRenderedPageBreak/>
        <w:t xml:space="preserve">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24"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lastRenderedPageBreak/>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w:t>
      </w:r>
      <w:r w:rsidR="00254DC6" w:rsidRPr="00CC7343">
        <w:rPr>
          <w:rFonts w:asciiTheme="minorHAnsi" w:hAnsiTheme="minorHAnsi" w:cstheme="minorHAnsi"/>
          <w:sz w:val="24"/>
          <w:szCs w:val="24"/>
        </w:rPr>
        <w:lastRenderedPageBreak/>
        <w:t xml:space="preserve">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25" w:name="_Hlk89966003"/>
      <w:r w:rsidRPr="00091253">
        <w:t>Farão jus ao recebimento de qualquer valor devido aos Debenturistas nos termos desta Escritura de Emissão aqueles que sejam Debenturistas ao final do Dia Útil imediatamente anterior à respectiva data do pagamento</w:t>
      </w:r>
      <w:bookmarkEnd w:id="25"/>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lastRenderedPageBreak/>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6"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6"/>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7"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7"/>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xml:space="preserve">. acima, caso, a qualquer tempo durante a vigência da Emissão, (i) as Debêntures deixem de gozar de </w:t>
      </w:r>
      <w:r w:rsidRPr="00951478">
        <w:rPr>
          <w:rFonts w:asciiTheme="minorHAnsi" w:hAnsiTheme="minorHAnsi"/>
          <w:sz w:val="24"/>
        </w:rPr>
        <w:lastRenderedPageBreak/>
        <w:t>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8" w:name="_DV_M86"/>
      <w:bookmarkStart w:id="29" w:name="_Ref534176584"/>
      <w:bookmarkEnd w:id="24"/>
      <w:bookmarkEnd w:id="28"/>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30" w:name="_Ref534176672"/>
      <w:bookmarkStart w:id="31" w:name="_Ref338165196"/>
      <w:bookmarkStart w:id="32" w:name="_Ref54678169"/>
      <w:bookmarkStart w:id="33" w:name="_Ref45613728"/>
      <w:bookmarkEnd w:id="29"/>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77DA2AF6"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w:t>
      </w:r>
      <w:r w:rsidR="002F1094" w:rsidRPr="001D0833">
        <w:rPr>
          <w:rFonts w:asciiTheme="minorHAnsi" w:hAnsiTheme="minorHAnsi" w:cstheme="minorHAnsi"/>
          <w:sz w:val="24"/>
          <w:szCs w:val="36"/>
        </w:rPr>
        <w:lastRenderedPageBreak/>
        <w:t>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w:t>
      </w:r>
      <w:r w:rsidR="00A7576A" w:rsidRPr="00A7576A">
        <w:rPr>
          <w:rFonts w:asciiTheme="minorHAnsi" w:hAnsiTheme="minorHAnsi" w:cstheme="minorHAnsi"/>
          <w:sz w:val="24"/>
          <w:szCs w:val="36"/>
        </w:rPr>
        <w:t xml:space="preserve">, </w:t>
      </w:r>
      <w:r w:rsidR="002F1094" w:rsidRPr="001D0833">
        <w:rPr>
          <w:rFonts w:asciiTheme="minorHAnsi" w:hAnsiTheme="minorHAnsi" w:cstheme="minorHAnsi"/>
          <w:sz w:val="24"/>
          <w:szCs w:val="36"/>
        </w:rPr>
        <w:t>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3108BC39"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o valor do prêmio de resgate, à critério da Emissora, que caso existente não poderá ser negativo; (</w:t>
      </w:r>
      <w:r w:rsidR="002D4988">
        <w:rPr>
          <w:rFonts w:asciiTheme="minorHAnsi" w:hAnsiTheme="minorHAnsi"/>
          <w:sz w:val="24"/>
        </w:rPr>
        <w:t>b</w:t>
      </w:r>
      <w:r w:rsidRPr="00D1351C">
        <w:rPr>
          <w:rFonts w:asciiTheme="minorHAnsi" w:hAnsiTheme="minorHAnsi"/>
          <w:sz w:val="24"/>
        </w:rPr>
        <w:t>) forma de manifestação, à Emissora, pelo Debenturista que aceitar a Oferta de Resgate Antecipado; (</w:t>
      </w:r>
      <w:r w:rsidR="002D4988">
        <w:rPr>
          <w:rFonts w:asciiTheme="minorHAnsi" w:hAnsiTheme="minorHAnsi"/>
          <w:sz w:val="24"/>
        </w:rPr>
        <w:t>c</w:t>
      </w:r>
      <w:r w:rsidRPr="00D1351C">
        <w:rPr>
          <w:rFonts w:asciiTheme="minorHAnsi" w:hAnsiTheme="minorHAnsi"/>
          <w:sz w:val="24"/>
        </w:rPr>
        <w:t>)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lastRenderedPageBreak/>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4CE3D13E" w:rsidR="00224004" w:rsidRPr="00951478" w:rsidRDefault="001E6770" w:rsidP="004A58DC">
      <w:pPr>
        <w:pStyle w:val="Level3"/>
        <w:rPr>
          <w:rFonts w:asciiTheme="minorHAnsi" w:hAnsiTheme="minorHAnsi"/>
          <w:sz w:val="24"/>
        </w:rPr>
      </w:pPr>
      <w:r w:rsidRPr="00D1351C">
        <w:rPr>
          <w:rFonts w:asciiTheme="minorHAnsi" w:hAnsiTheme="minorHAnsi"/>
          <w:sz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0BEA847E"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xml:space="preserve">, ser canceladas, permanecer </w:t>
      </w:r>
      <w:r w:rsidR="00E349AF" w:rsidRPr="006B76F5">
        <w:rPr>
          <w:rFonts w:asciiTheme="minorHAnsi" w:hAnsiTheme="minorHAnsi" w:cstheme="minorHAnsi"/>
          <w:sz w:val="24"/>
          <w:szCs w:val="24"/>
        </w:rPr>
        <w:lastRenderedPageBreak/>
        <w:t>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34"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34"/>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lastRenderedPageBreak/>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lastRenderedPageBreak/>
        <w:t>Vencimento Antecipado</w:t>
      </w:r>
      <w:bookmarkStart w:id="35" w:name="_Ref130283570"/>
      <w:bookmarkStart w:id="36" w:name="_Ref130301134"/>
      <w:bookmarkStart w:id="37" w:name="_Ref137104995"/>
      <w:bookmarkStart w:id="38" w:name="_Ref137475230"/>
      <w:bookmarkEnd w:id="30"/>
      <w:bookmarkEnd w:id="31"/>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2"/>
    </w:p>
    <w:p w14:paraId="4FF46975" w14:textId="69C78A22" w:rsidR="00AE3DED" w:rsidRPr="00951478" w:rsidRDefault="00EF1AA2" w:rsidP="004A58DC">
      <w:pPr>
        <w:pStyle w:val="Level3"/>
        <w:ind w:left="1276"/>
        <w:rPr>
          <w:rFonts w:asciiTheme="minorHAnsi" w:hAnsiTheme="minorHAnsi"/>
          <w:sz w:val="24"/>
        </w:rPr>
      </w:pPr>
      <w:bookmarkStart w:id="39"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9"/>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w:t>
      </w:r>
      <w:r w:rsidRPr="00951478">
        <w:rPr>
          <w:rFonts w:asciiTheme="minorHAnsi" w:hAnsiTheme="minorHAnsi"/>
          <w:sz w:val="24"/>
        </w:rPr>
        <w:lastRenderedPageBreak/>
        <w:t>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 xml:space="preserve">na hipótese de a Emissora ou qualquer de suas controladas, controladoras, sociedades sob controle comum e/ou Subsidiárias </w:t>
      </w:r>
      <w:r w:rsidRPr="00C0150A">
        <w:rPr>
          <w:rFonts w:asciiTheme="minorHAnsi" w:hAnsiTheme="minorHAnsi" w:cstheme="minorHAnsi"/>
          <w:sz w:val="24"/>
          <w:szCs w:val="24"/>
        </w:rPr>
        <w:lastRenderedPageBreak/>
        <w:t>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40"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40"/>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 xml:space="preserve">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w:t>
      </w:r>
      <w:r w:rsidRPr="00951478">
        <w:rPr>
          <w:rFonts w:asciiTheme="minorHAnsi" w:hAnsiTheme="minorHAnsi"/>
          <w:sz w:val="24"/>
        </w:rPr>
        <w:lastRenderedPageBreak/>
        <w:t>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r w:rsidRPr="00951478">
        <w:rPr>
          <w:rFonts w:asciiTheme="minorHAnsi" w:hAnsiTheme="minorHAnsi"/>
          <w:sz w:val="24"/>
        </w:rPr>
        <w:lastRenderedPageBreak/>
        <w:t>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w:t>
      </w:r>
      <w:r w:rsidRPr="00951478">
        <w:rPr>
          <w:rFonts w:asciiTheme="minorHAnsi" w:hAnsiTheme="minorHAnsi"/>
          <w:sz w:val="24"/>
        </w:rPr>
        <w:lastRenderedPageBreak/>
        <w:t xml:space="preserve">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 xml:space="preserve">não obtenção, não renovação, cancelamento, revogação ou suspensão das autorizações, concessões, subvenções, alvarás ou licenças, necessárias para o regular exercício das atividades desenvolvidas pela Emissora ou qualquer de suas controladas que </w:t>
      </w:r>
      <w:r w:rsidRPr="00951478">
        <w:rPr>
          <w:rFonts w:asciiTheme="minorHAnsi" w:hAnsiTheme="minorHAnsi"/>
          <w:sz w:val="24"/>
        </w:rPr>
        <w:lastRenderedPageBreak/>
        <w:t>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xml:space="preserve">, </w:t>
      </w:r>
      <w:proofErr w:type="spellStart"/>
      <w:r w:rsidR="00537EB2" w:rsidRPr="00951478">
        <w:rPr>
          <w:rFonts w:asciiTheme="minorHAnsi" w:hAnsiTheme="minorHAnsi"/>
          <w:sz w:val="24"/>
        </w:rPr>
        <w:t>reputacional</w:t>
      </w:r>
      <w:proofErr w:type="spellEnd"/>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 xml:space="preserve">impossibilitem a Emissora de honrar tempestivamente com suas </w:t>
      </w:r>
      <w:r w:rsidRPr="00951478">
        <w:rPr>
          <w:rFonts w:asciiTheme="minorHAnsi" w:hAnsiTheme="minorHAnsi"/>
          <w:sz w:val="24"/>
        </w:rPr>
        <w:lastRenderedPageBreak/>
        <w:t>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41"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41"/>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42"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w:t>
      </w:r>
      <w:r w:rsidR="001A573B" w:rsidRPr="00951478">
        <w:rPr>
          <w:rFonts w:asciiTheme="minorHAnsi" w:hAnsiTheme="minorHAnsi"/>
          <w:sz w:val="24"/>
        </w:rPr>
        <w:lastRenderedPageBreak/>
        <w:t>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42"/>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43" w:name="_Ref509502323"/>
      <w:bookmarkStart w:id="44" w:name="_Ref69337004"/>
      <w:bookmarkEnd w:id="18"/>
      <w:bookmarkEnd w:id="33"/>
      <w:bookmarkEnd w:id="35"/>
      <w:bookmarkEnd w:id="36"/>
      <w:bookmarkEnd w:id="37"/>
      <w:bookmarkEnd w:id="38"/>
      <w:r w:rsidRPr="00951478">
        <w:rPr>
          <w:rFonts w:asciiTheme="minorHAnsi" w:hAnsiTheme="minorHAnsi"/>
          <w:sz w:val="24"/>
        </w:rPr>
        <w:lastRenderedPageBreak/>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43"/>
      <w:bookmarkEnd w:id="44"/>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45"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5"/>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46" w:name="_Ref61907769"/>
      <w:r w:rsidRPr="00951478">
        <w:rPr>
          <w:rFonts w:asciiTheme="minorHAnsi" w:hAnsiTheme="minorHAnsi"/>
          <w:b/>
          <w:sz w:val="24"/>
        </w:rPr>
        <w:lastRenderedPageBreak/>
        <w:t xml:space="preserve">OBRIGAÇÕES ADICIONAIS DA </w:t>
      </w:r>
      <w:bookmarkEnd w:id="46"/>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7" w:name="_Ref510003222"/>
      <w:bookmarkStart w:id="48" w:name="_Ref262552287"/>
      <w:bookmarkStart w:id="49" w:name="_Ref168844178"/>
      <w:r w:rsidRPr="00951478">
        <w:rPr>
          <w:rFonts w:asciiTheme="minorHAnsi" w:eastAsia="MS Mincho" w:hAnsiTheme="minorHAnsi"/>
          <w:sz w:val="24"/>
        </w:rPr>
        <w:t>Sem prejuízo das demais obrigações constantes desta Escritura de Emissão, a Emissora está adicionalmente obrigada a:</w:t>
      </w:r>
      <w:bookmarkStart w:id="50" w:name="_DV_M196"/>
      <w:bookmarkEnd w:id="47"/>
      <w:bookmarkEnd w:id="50"/>
    </w:p>
    <w:p w14:paraId="7986488D" w14:textId="46B53CF4" w:rsidR="00C80176" w:rsidRPr="00951478" w:rsidRDefault="00D21834" w:rsidP="007F4A7B">
      <w:pPr>
        <w:pStyle w:val="roman3"/>
        <w:rPr>
          <w:rFonts w:asciiTheme="minorHAnsi" w:hAnsiTheme="minorHAnsi"/>
          <w:sz w:val="24"/>
        </w:rPr>
      </w:pPr>
      <w:bookmarkStart w:id="51" w:name="_DV_M198"/>
      <w:bookmarkStart w:id="52" w:name="_DV_M199"/>
      <w:bookmarkStart w:id="53" w:name="_Ref510009055"/>
      <w:bookmarkEnd w:id="48"/>
      <w:bookmarkEnd w:id="49"/>
      <w:bookmarkEnd w:id="51"/>
      <w:bookmarkEnd w:id="52"/>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53"/>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54" w:name="_DV_M200"/>
      <w:bookmarkEnd w:id="54"/>
    </w:p>
    <w:p w14:paraId="2A97D5E8" w14:textId="77777777" w:rsidR="00A7358D" w:rsidRPr="00951478" w:rsidRDefault="00EF1AA2" w:rsidP="007F4A7B">
      <w:pPr>
        <w:pStyle w:val="roman3"/>
        <w:rPr>
          <w:rFonts w:asciiTheme="minorHAnsi" w:hAnsiTheme="minorHAnsi"/>
          <w:sz w:val="24"/>
        </w:rPr>
      </w:pPr>
      <w:bookmarkStart w:id="55" w:name="_DV_M201"/>
      <w:bookmarkStart w:id="56" w:name="_DV_M202"/>
      <w:bookmarkStart w:id="57" w:name="_DV_M203"/>
      <w:bookmarkStart w:id="58" w:name="_DV_M204"/>
      <w:bookmarkEnd w:id="55"/>
      <w:bookmarkEnd w:id="56"/>
      <w:bookmarkEnd w:id="57"/>
      <w:bookmarkEnd w:id="58"/>
      <w:r w:rsidRPr="00951478">
        <w:rPr>
          <w:rFonts w:asciiTheme="minorHAnsi" w:hAnsiTheme="minorHAnsi"/>
          <w:sz w:val="24"/>
        </w:rPr>
        <w:lastRenderedPageBreak/>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9" w:name="_DV_M205"/>
      <w:bookmarkEnd w:id="59"/>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60" w:name="_DV_M206"/>
      <w:bookmarkEnd w:id="60"/>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61" w:name="_DV_M208"/>
      <w:bookmarkEnd w:id="61"/>
    </w:p>
    <w:p w14:paraId="171C454D" w14:textId="77777777" w:rsidR="001374F2" w:rsidRPr="00951478" w:rsidRDefault="001374F2" w:rsidP="001374F2">
      <w:pPr>
        <w:pStyle w:val="roman3"/>
        <w:rPr>
          <w:rFonts w:asciiTheme="minorHAnsi" w:hAnsiTheme="minorHAnsi"/>
          <w:sz w:val="24"/>
        </w:rPr>
      </w:pPr>
      <w:bookmarkStart w:id="62" w:name="_DV_M209"/>
      <w:bookmarkStart w:id="63" w:name="_DV_M210"/>
      <w:bookmarkEnd w:id="62"/>
      <w:bookmarkEnd w:id="63"/>
      <w:r w:rsidRPr="00951478">
        <w:rPr>
          <w:rFonts w:asciiTheme="minorHAnsi" w:hAnsiTheme="minorHAnsi"/>
          <w:sz w:val="24"/>
        </w:rPr>
        <w:t>notificar, em até 2 (dois) Dias Úteis, o Agente Fiduciário da convocação, pela Emissora, de qualquer Assembleia Geral de Debenturistas;</w:t>
      </w:r>
      <w:bookmarkStart w:id="64" w:name="_DV_M226"/>
      <w:bookmarkEnd w:id="64"/>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5" w:name="_DV_M227"/>
      <w:bookmarkEnd w:id="65"/>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6" w:name="_DV_M211"/>
      <w:bookmarkEnd w:id="66"/>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7" w:name="_DV_M212"/>
      <w:bookmarkEnd w:id="67"/>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8" w:name="_DV_M213"/>
      <w:bookmarkEnd w:id="68"/>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69" w:name="_DV_M214"/>
      <w:bookmarkEnd w:id="69"/>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lastRenderedPageBreak/>
        <w:t xml:space="preserve">efetuar o pagamento das despesas comprovadas pelo Agente Fiduciário por meio de cópia do respectivo comprovante fiscal que venham a ser necessárias, para </w:t>
      </w:r>
      <w:bookmarkStart w:id="70" w:name="_Hlk71558564"/>
      <w:r w:rsidRPr="00951478">
        <w:rPr>
          <w:rFonts w:asciiTheme="minorHAnsi" w:hAnsiTheme="minorHAnsi"/>
          <w:sz w:val="24"/>
        </w:rPr>
        <w:t xml:space="preserve">proteger os direitos e interesses dos Debenturistas </w:t>
      </w:r>
      <w:bookmarkEnd w:id="70"/>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71" w:name="_Hlk71558597"/>
      <w:r w:rsidRPr="00951478">
        <w:rPr>
          <w:rFonts w:asciiTheme="minorHAnsi" w:hAnsiTheme="minorHAnsi"/>
          <w:sz w:val="24"/>
        </w:rPr>
        <w:t xml:space="preserve">honorários advocatícios </w:t>
      </w:r>
      <w:bookmarkEnd w:id="71"/>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72" w:name="_DV_M215"/>
      <w:bookmarkStart w:id="73" w:name="_DV_M216"/>
      <w:bookmarkStart w:id="74" w:name="_DV_M217"/>
      <w:bookmarkEnd w:id="72"/>
      <w:bookmarkEnd w:id="73"/>
      <w:bookmarkEnd w:id="74"/>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5" w:name="_DV_M218"/>
      <w:bookmarkEnd w:id="75"/>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6" w:name="_DV_M219"/>
      <w:bookmarkEnd w:id="76"/>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77" w:name="_DV_M220"/>
      <w:bookmarkStart w:id="78" w:name="_DV_M221"/>
      <w:bookmarkEnd w:id="77"/>
      <w:bookmarkEnd w:id="78"/>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9" w:name="_DV_M224"/>
      <w:bookmarkEnd w:id="79"/>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80"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80"/>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lastRenderedPageBreak/>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81" w:name="_DV_M225"/>
      <w:bookmarkEnd w:id="81"/>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w:t>
      </w:r>
      <w:r w:rsidR="009E0A37" w:rsidRPr="00951478">
        <w:rPr>
          <w:rFonts w:asciiTheme="minorHAnsi" w:hAnsiTheme="minorHAnsi"/>
          <w:sz w:val="24"/>
        </w:rPr>
        <w:lastRenderedPageBreak/>
        <w:t xml:space="preserve">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82"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82"/>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lastRenderedPageBreak/>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83"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83"/>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4"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4"/>
    </w:p>
    <w:p w14:paraId="29176F2D" w14:textId="51BCB4B8" w:rsidR="00001FD8" w:rsidRPr="00951478" w:rsidRDefault="00EF1AA2" w:rsidP="007A78BC">
      <w:pPr>
        <w:pStyle w:val="Level2"/>
        <w:numPr>
          <w:ilvl w:val="1"/>
          <w:numId w:val="1"/>
        </w:numPr>
        <w:rPr>
          <w:rFonts w:asciiTheme="minorHAnsi" w:hAnsiTheme="minorHAnsi"/>
          <w:sz w:val="24"/>
        </w:rPr>
      </w:pPr>
      <w:bookmarkStart w:id="85" w:name="_Ref130284025"/>
      <w:r w:rsidRPr="00951478">
        <w:rPr>
          <w:rFonts w:asciiTheme="minorHAnsi" w:hAnsiTheme="minorHAnsi"/>
          <w:sz w:val="24"/>
        </w:rPr>
        <w:t xml:space="preserve">O Agente Fiduciário exercerá suas funções a partir da data de celebração desta Escritura de Emissão ou de eventual aditamento relativo à sua substituição, devendo </w:t>
      </w:r>
      <w:r w:rsidRPr="00951478">
        <w:rPr>
          <w:rFonts w:asciiTheme="minorHAnsi" w:hAnsiTheme="minorHAnsi"/>
          <w:sz w:val="24"/>
        </w:rPr>
        <w:lastRenderedPageBreak/>
        <w:t>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6" w:name="_DV_M316"/>
      <w:bookmarkStart w:id="87" w:name="_DV_M323"/>
      <w:bookmarkEnd w:id="86"/>
      <w:bookmarkEnd w:id="87"/>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8"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8"/>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9" w:name="_Ref164589409"/>
      <w:bookmarkEnd w:id="85"/>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w:t>
      </w:r>
      <w:r w:rsidRPr="00951478">
        <w:rPr>
          <w:rFonts w:asciiTheme="minorHAnsi" w:hAnsiTheme="minorHAnsi"/>
          <w:sz w:val="24"/>
        </w:rPr>
        <w:lastRenderedPageBreak/>
        <w:t>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90"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90"/>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lastRenderedPageBreak/>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91"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9"/>
      <w:bookmarkEnd w:id="91"/>
    </w:p>
    <w:p w14:paraId="3B10BF01" w14:textId="77777777" w:rsidR="00F571E3" w:rsidRPr="00951478" w:rsidRDefault="00EF1AA2" w:rsidP="007A78BC">
      <w:pPr>
        <w:pStyle w:val="roman3"/>
        <w:numPr>
          <w:ilvl w:val="0"/>
          <w:numId w:val="46"/>
        </w:numPr>
        <w:rPr>
          <w:rFonts w:asciiTheme="minorHAnsi" w:hAnsiTheme="minorHAnsi"/>
          <w:sz w:val="24"/>
        </w:rPr>
      </w:pPr>
      <w:bookmarkStart w:id="92" w:name="_Ref130283640"/>
      <w:bookmarkStart w:id="93"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4"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4"/>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5"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5"/>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r w:rsidRPr="00951478">
        <w:rPr>
          <w:rFonts w:asciiTheme="minorHAnsi" w:hAnsiTheme="minorHAnsi"/>
          <w:sz w:val="24"/>
        </w:rPr>
        <w:lastRenderedPageBreak/>
        <w:t xml:space="preserve">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6" w:name="_Ref336632692"/>
      <w:bookmarkEnd w:id="92"/>
      <w:bookmarkEnd w:id="93"/>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6"/>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w:t>
      </w:r>
      <w:r w:rsidRPr="00951478">
        <w:rPr>
          <w:rFonts w:asciiTheme="minorHAnsi" w:hAnsiTheme="minorHAnsi"/>
          <w:sz w:val="24"/>
        </w:rPr>
        <w:lastRenderedPageBreak/>
        <w:t>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7" w:name="_Ref272246430"/>
      <w:r w:rsidRPr="00951478">
        <w:rPr>
          <w:rFonts w:asciiTheme="minorHAnsi" w:hAnsiTheme="minorHAnsi"/>
          <w:b/>
          <w:sz w:val="24"/>
        </w:rPr>
        <w:t>ASSEMBLEIA GERAL DE DEBENTURISTAS</w:t>
      </w:r>
      <w:bookmarkEnd w:id="97"/>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lastRenderedPageBreak/>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8"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8"/>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w:t>
      </w:r>
      <w:r w:rsidRPr="00951478">
        <w:rPr>
          <w:rFonts w:asciiTheme="minorHAnsi" w:hAnsiTheme="minorHAnsi"/>
          <w:sz w:val="24"/>
        </w:rPr>
        <w:lastRenderedPageBreak/>
        <w:t>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99"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 xml:space="preserve">em Circulação, seja em primeira convocação da Assembleia Geral de Debenturistas ou em segunda </w:t>
      </w:r>
      <w:r w:rsidR="00DF3C75" w:rsidRPr="006A7DEB">
        <w:rPr>
          <w:rStyle w:val="DeltaViewInsertion"/>
          <w:rFonts w:asciiTheme="minorHAnsi" w:hAnsiTheme="minorHAnsi"/>
          <w:color w:val="auto"/>
          <w:w w:val="0"/>
          <w:sz w:val="24"/>
          <w:u w:val="none"/>
        </w:rPr>
        <w:lastRenderedPageBreak/>
        <w:t>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99"/>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00" w:name="_Ref147910921"/>
      <w:bookmarkStart w:id="101" w:name="_Ref534176609"/>
      <w:r w:rsidRPr="00951478">
        <w:rPr>
          <w:rFonts w:asciiTheme="minorHAnsi" w:hAnsiTheme="minorHAnsi"/>
          <w:b/>
          <w:sz w:val="24"/>
        </w:rPr>
        <w:t>DECLARAÇÕES DA COMPANHIA</w:t>
      </w:r>
      <w:bookmarkEnd w:id="100"/>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02"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01"/>
      <w:bookmarkEnd w:id="102"/>
    </w:p>
    <w:p w14:paraId="047A3A9C" w14:textId="07ADD6D5" w:rsidR="0027728B" w:rsidRPr="00951478" w:rsidRDefault="00EF1AA2" w:rsidP="007A78BC">
      <w:pPr>
        <w:pStyle w:val="roman3"/>
        <w:numPr>
          <w:ilvl w:val="0"/>
          <w:numId w:val="47"/>
        </w:numPr>
        <w:rPr>
          <w:rFonts w:asciiTheme="minorHAnsi" w:hAnsiTheme="minorHAnsi"/>
          <w:sz w:val="24"/>
        </w:rPr>
      </w:pPr>
      <w:bookmarkStart w:id="103"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w:t>
      </w:r>
      <w:r w:rsidRPr="00951478">
        <w:rPr>
          <w:rFonts w:asciiTheme="minorHAnsi" w:hAnsiTheme="minorHAnsi"/>
          <w:sz w:val="24"/>
        </w:rPr>
        <w:lastRenderedPageBreak/>
        <w:t xml:space="preserve">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 xml:space="preserve">não prestou declarações falsas, imprecisas ou incompletas aos Debenturistas e/ou ao Agente Fiduciário e não há pendências, judiciais ou administrativas, de qualquer natureza, no Brasil ou no exterior, que causem </w:t>
      </w:r>
      <w:r w:rsidRPr="00951478">
        <w:rPr>
          <w:rFonts w:asciiTheme="minorHAnsi" w:hAnsiTheme="minorHAnsi"/>
          <w:sz w:val="24"/>
        </w:rPr>
        <w:lastRenderedPageBreak/>
        <w:t>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4" w:name="OLE_LINK9"/>
      <w:bookmarkStart w:id="105" w:name="OLE_LINK10"/>
      <w:bookmarkStart w:id="106" w:name="_Ref264567062"/>
      <w:bookmarkEnd w:id="103"/>
      <w:bookmarkEnd w:id="104"/>
      <w:bookmarkEnd w:id="105"/>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6"/>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7"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7"/>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lastRenderedPageBreak/>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w:t>
      </w:r>
      <w:r w:rsidRPr="00951478">
        <w:rPr>
          <w:rFonts w:asciiTheme="minorHAnsi" w:hAnsiTheme="minorHAnsi"/>
          <w:sz w:val="24"/>
        </w:rPr>
        <w:lastRenderedPageBreak/>
        <w:t xml:space="preserve">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717A555"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D167E">
        <w:rPr>
          <w:rFonts w:asciiTheme="minorHAnsi" w:hAnsiTheme="minorHAnsi" w:cstheme="minorHAnsi"/>
          <w:bCs/>
          <w:sz w:val="24"/>
        </w:rPr>
        <w:t>13</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6D167E">
        <w:rPr>
          <w:rFonts w:asciiTheme="minorHAnsi" w:hAnsiTheme="minorHAnsi" w:cstheme="minorHAnsi"/>
          <w:bCs/>
          <w:sz w:val="24"/>
        </w:rPr>
        <w:t>dezembro</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F80C7A">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091253" w:rsidRDefault="00091253">
      <w:r>
        <w:separator/>
      </w:r>
    </w:p>
  </w:endnote>
  <w:endnote w:type="continuationSeparator" w:id="0">
    <w:p w14:paraId="2DBB9EEC" w14:textId="77777777" w:rsidR="00091253" w:rsidRDefault="00091253">
      <w:r>
        <w:continuationSeparator/>
      </w:r>
    </w:p>
  </w:endnote>
  <w:endnote w:type="continuationNotice" w:id="1">
    <w:p w14:paraId="6F9DFAE7" w14:textId="77777777" w:rsidR="00091253" w:rsidRDefault="0009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BA5067" w:rsidRDefault="00BA50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BA5067" w:rsidRDefault="00BA50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091253" w:rsidRDefault="00091253">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E9A815E" w:rsidR="00091253" w:rsidRPr="00AE1863" w:rsidRDefault="00F80C7A" w:rsidP="00AE1863">
                          <w:pPr>
                            <w:spacing w:line="220" w:lineRule="auto"/>
                            <w:rPr>
                              <w:rFonts w:ascii="Calibri" w:hAnsi="Calibri" w:cs="Calibri"/>
                              <w:sz w:val="12"/>
                            </w:rPr>
                          </w:pPr>
                          <w:r>
                            <w:rPr>
                              <w:rFonts w:ascii="Calibri" w:hAnsi="Calibri" w:cs="Calibri"/>
                              <w:sz w:val="12"/>
                            </w:rPr>
                            <w:t>DA #11746386 v27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3E9A815E" w:rsidR="00091253" w:rsidRPr="00AE1863" w:rsidRDefault="00F80C7A" w:rsidP="00AE1863">
                    <w:pPr>
                      <w:spacing w:line="220" w:lineRule="auto"/>
                      <w:rPr>
                        <w:rFonts w:ascii="Calibri" w:hAnsi="Calibri" w:cs="Calibri"/>
                        <w:sz w:val="12"/>
                      </w:rPr>
                    </w:pPr>
                    <w:r>
                      <w:rPr>
                        <w:rFonts w:ascii="Calibri" w:hAnsi="Calibri" w:cs="Calibri"/>
                        <w:sz w:val="12"/>
                      </w:rPr>
                      <w:t>DA #11746386 v27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091253" w:rsidRDefault="00091253">
      <w:r>
        <w:separator/>
      </w:r>
    </w:p>
  </w:footnote>
  <w:footnote w:type="continuationSeparator" w:id="0">
    <w:p w14:paraId="105E0B15" w14:textId="77777777" w:rsidR="00091253" w:rsidRDefault="00091253">
      <w:r>
        <w:continuationSeparator/>
      </w:r>
    </w:p>
  </w:footnote>
  <w:footnote w:type="continuationNotice" w:id="1">
    <w:p w14:paraId="4803E9B6" w14:textId="77777777" w:rsidR="00091253" w:rsidRDefault="00091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091253" w:rsidRDefault="00091253">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091253" w:rsidRDefault="00091253">
    <w:pPr>
      <w:ind w:right="360"/>
    </w:pPr>
  </w:p>
  <w:p w14:paraId="70737F70" w14:textId="77777777" w:rsidR="00091253" w:rsidRDefault="00091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091253" w:rsidRPr="00774BD7" w:rsidRDefault="00091253">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091253" w:rsidRDefault="00091253"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091253" w14:paraId="4ABB90EF" w14:textId="77777777" w:rsidTr="005B02AE">
      <w:tc>
        <w:tcPr>
          <w:tcW w:w="5000" w:type="pct"/>
        </w:tcPr>
        <w:p w14:paraId="1474CCC7" w14:textId="77777777" w:rsidR="00091253" w:rsidRDefault="00091253"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091253" w:rsidRPr="000B5A08" w:rsidRDefault="00091253"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5905C7F8" w:rsidR="00091253" w:rsidRPr="00007E92" w:rsidRDefault="00BA5067" w:rsidP="001B57F4">
    <w:pPr>
      <w:pStyle w:val="Cabealho"/>
      <w:jc w:val="right"/>
    </w:pPr>
    <w:r>
      <w:rPr>
        <w:rFonts w:asciiTheme="minorHAnsi" w:hAnsiTheme="minorHAnsi" w:cstheme="minorHAnsi"/>
        <w:bCs/>
        <w:i/>
        <w:iCs/>
        <w:szCs w:val="20"/>
      </w:rPr>
      <w:t>10</w:t>
    </w:r>
    <w:r w:rsidR="00091253" w:rsidRPr="000B5A08">
      <w:rPr>
        <w:rFonts w:asciiTheme="minorHAnsi" w:hAnsiTheme="minorHAnsi" w:cstheme="minorHAnsi"/>
        <w:bCs/>
        <w:i/>
        <w:iCs/>
        <w:szCs w:val="20"/>
      </w:rPr>
      <w:t>.1</w:t>
    </w:r>
    <w:r w:rsidR="00091253">
      <w:rPr>
        <w:rFonts w:asciiTheme="minorHAnsi" w:hAnsiTheme="minorHAnsi" w:cstheme="minorHAnsi"/>
        <w:bCs/>
        <w:i/>
        <w:iCs/>
        <w:szCs w:val="20"/>
      </w:rPr>
      <w:t>2</w:t>
    </w:r>
    <w:r w:rsidR="00091253"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484D8557-348F-44A8-8257-7A585C53E198}">
  <ds:schemaRefs>
    <ds:schemaRef ds:uri="http://www.imanage.com/work/xmlschema"/>
  </ds:schemaRefs>
</ds:datastoreItem>
</file>

<file path=customXml/itemProps3.xml><?xml version="1.0" encoding="utf-8"?>
<ds:datastoreItem xmlns:ds="http://schemas.openxmlformats.org/officeDocument/2006/customXml" ds:itemID="{033CE048-A110-4120-BF1E-CDE12AD5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21839</Words>
  <Characters>124759</Characters>
  <Application>Microsoft Office Word</Application>
  <DocSecurity>0</DocSecurity>
  <Lines>1039</Lines>
  <Paragraphs>292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5</cp:revision>
  <dcterms:created xsi:type="dcterms:W3CDTF">2021-12-10T08:49:00Z</dcterms:created>
  <dcterms:modified xsi:type="dcterms:W3CDTF">2021-12-10T09:09:00Z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