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B2DB2" w14:textId="245A14C1"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bookmarkStart w:id="0" w:name="_Hlk69114797"/>
      <w:bookmarkStart w:id="1" w:name="_Hlk90021503"/>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A76">
        <w:rPr>
          <w:rFonts w:ascii="Calibri" w:eastAsia="Arial Unicode MS" w:hAnsi="Calibri" w:cs="Calibri"/>
          <w:sz w:val="22"/>
          <w:szCs w:val="22"/>
          <w:lang w:eastAsia="pt-BR"/>
        </w:rPr>
        <w:t xml:space="preserve"> </w:t>
      </w:r>
    </w:p>
    <w:p w14:paraId="4074D0BE" w14:textId="22D573AB" w:rsidR="00BF2104" w:rsidRPr="00BF2104" w:rsidRDefault="00BF2104" w:rsidP="00A91001">
      <w:pPr>
        <w:tabs>
          <w:tab w:val="left" w:pos="993"/>
          <w:tab w:val="left" w:pos="7030"/>
        </w:tabs>
        <w:suppressAutoHyphens/>
        <w:spacing w:line="320" w:lineRule="exact"/>
        <w:rPr>
          <w:rFonts w:ascii="Calibri" w:hAnsi="Calibri" w:cs="Calibri"/>
          <w:b/>
          <w:bCs/>
          <w:caps/>
          <w:sz w:val="22"/>
          <w:szCs w:val="22"/>
        </w:rPr>
      </w:pPr>
    </w:p>
    <w:p w14:paraId="5C78E303"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r w:rsidRPr="00BF2104">
        <w:rPr>
          <w:rFonts w:ascii="Calibri" w:hAnsi="Calibri" w:cs="Calibri"/>
          <w:b/>
          <w:sz w:val="22"/>
          <w:szCs w:val="22"/>
        </w:rPr>
        <w:t xml:space="preserve">INSTRUMENTO PARTICULAR DE ESCRITURA DA </w:t>
      </w:r>
      <w:r w:rsidRPr="00BF2104">
        <w:rPr>
          <w:rFonts w:ascii="Calibri" w:hAnsi="Calibri" w:cs="Calibri"/>
          <w:b/>
          <w:bCs/>
          <w:sz w:val="22"/>
          <w:szCs w:val="22"/>
        </w:rPr>
        <w:t>4ª (QUARTA</w:t>
      </w:r>
      <w:r w:rsidRPr="00BF2104">
        <w:rPr>
          <w:rFonts w:ascii="Calibri" w:hAnsi="Calibri" w:cs="Calibri"/>
          <w:b/>
          <w:sz w:val="22"/>
          <w:szCs w:val="22"/>
        </w:rPr>
        <w:t xml:space="preserve">) EMISSÃO DE DEBÊNTURES SIMPLES, NÃO CONVERSÍVEIS EM AÇÕES, DA ESPÉCIE QUIROGRAFÁRIA, EM </w:t>
      </w:r>
      <w:r w:rsidRPr="00BF2104">
        <w:rPr>
          <w:rFonts w:ascii="Calibri" w:hAnsi="Calibri" w:cs="Calibri"/>
          <w:b/>
          <w:bCs/>
          <w:sz w:val="22"/>
          <w:szCs w:val="22"/>
        </w:rPr>
        <w:t>ATÉ DUAS SÉRIES</w:t>
      </w:r>
      <w:r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BF2104" w:rsidRDefault="00BF2104" w:rsidP="00BF2104">
      <w:pPr>
        <w:shd w:val="clear" w:color="auto" w:fill="FFFFFF"/>
        <w:spacing w:line="320" w:lineRule="exact"/>
        <w:jc w:val="center"/>
        <w:rPr>
          <w:rFonts w:ascii="Calibri" w:hAnsi="Calibri" w:cs="Calibri"/>
          <w:i/>
          <w:iCs/>
          <w:sz w:val="22"/>
          <w:szCs w:val="22"/>
          <w:lang w:val="es-ES"/>
        </w:rPr>
      </w:pPr>
      <w:r w:rsidRPr="00BF2104">
        <w:rPr>
          <w:rFonts w:ascii="Calibri" w:hAnsi="Calibri" w:cs="Calibri"/>
          <w:i/>
          <w:iCs/>
          <w:sz w:val="22"/>
          <w:szCs w:val="22"/>
          <w:lang w:val="es-ES"/>
        </w:rPr>
        <w:t>celebrado entre</w:t>
      </w:r>
    </w:p>
    <w:p w14:paraId="5AF2200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15C2C04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B570535"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46FC2E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3007FA2" w14:textId="77777777" w:rsidR="00BF2104" w:rsidRPr="00BF2104" w:rsidRDefault="00BF2104" w:rsidP="00BF2104">
      <w:pPr>
        <w:shd w:val="clear" w:color="auto" w:fill="FFFFFF"/>
        <w:tabs>
          <w:tab w:val="left" w:pos="6045"/>
        </w:tabs>
        <w:spacing w:line="320" w:lineRule="exact"/>
        <w:jc w:val="center"/>
        <w:rPr>
          <w:rFonts w:ascii="Calibri" w:hAnsi="Calibri" w:cs="Calibri"/>
          <w:sz w:val="22"/>
          <w:szCs w:val="22"/>
          <w:lang w:val="es-ES"/>
        </w:rPr>
      </w:pPr>
    </w:p>
    <w:p w14:paraId="252D502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667E4F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r w:rsidRPr="00BF2104">
        <w:rPr>
          <w:rFonts w:ascii="Calibri" w:hAnsi="Calibri" w:cs="Calibri"/>
          <w:sz w:val="22"/>
          <w:szCs w:val="22"/>
          <w:lang w:val="es-ES"/>
        </w:rPr>
        <w:t>e</w:t>
      </w:r>
    </w:p>
    <w:p w14:paraId="6AC7D5E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F6620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C0C5F8D"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436AA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204ABD5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E4EC87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F6D3B7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0F9DA038" w:rsidR="00BF2104" w:rsidRPr="00BF2104" w:rsidRDefault="00BC05E5" w:rsidP="00BF2104">
      <w:pPr>
        <w:tabs>
          <w:tab w:val="left" w:pos="851"/>
        </w:tabs>
        <w:spacing w:line="320" w:lineRule="exact"/>
        <w:jc w:val="center"/>
        <w:rPr>
          <w:rFonts w:ascii="Calibri" w:hAnsi="Calibri" w:cs="Calibri"/>
          <w:sz w:val="22"/>
          <w:szCs w:val="22"/>
        </w:rPr>
      </w:pPr>
      <w:r>
        <w:rPr>
          <w:rFonts w:ascii="Calibri" w:hAnsi="Calibri" w:cs="Calibri"/>
          <w:sz w:val="22"/>
          <w:szCs w:val="22"/>
        </w:rPr>
        <w:t>17</w:t>
      </w:r>
      <w:r w:rsidR="00BF2104" w:rsidRPr="00BF2104">
        <w:rPr>
          <w:rFonts w:ascii="Calibri" w:hAnsi="Calibri" w:cs="Calibri"/>
          <w:sz w:val="22"/>
          <w:szCs w:val="22"/>
        </w:rPr>
        <w:t xml:space="preserve"> de</w:t>
      </w:r>
      <w:r w:rsidR="00681C28">
        <w:rPr>
          <w:rFonts w:ascii="Calibri" w:hAnsi="Calibri" w:cs="Calibri"/>
          <w:sz w:val="22"/>
          <w:szCs w:val="22"/>
        </w:rPr>
        <w:t xml:space="preserve"> </w:t>
      </w:r>
      <w:r>
        <w:rPr>
          <w:rFonts w:ascii="Calibri" w:hAnsi="Calibri" w:cs="Calibri"/>
          <w:sz w:val="22"/>
          <w:szCs w:val="22"/>
        </w:rPr>
        <w:t>janeiro</w:t>
      </w:r>
      <w:r w:rsidRPr="00BF2104">
        <w:rPr>
          <w:rFonts w:ascii="Calibri" w:hAnsi="Calibri" w:cs="Calibri"/>
          <w:sz w:val="22"/>
          <w:szCs w:val="22"/>
        </w:rPr>
        <w:t xml:space="preserve"> </w:t>
      </w:r>
      <w:r w:rsidR="00BF2104" w:rsidRPr="00BF2104">
        <w:rPr>
          <w:rFonts w:ascii="Calibri" w:hAnsi="Calibri" w:cs="Calibri"/>
          <w:sz w:val="22"/>
          <w:szCs w:val="22"/>
        </w:rPr>
        <w:t>de 2022</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77777777" w:rsidR="00BF2104" w:rsidRPr="00BF2104" w:rsidRDefault="00BF2104" w:rsidP="00CA7AFA">
      <w:pPr>
        <w:spacing w:after="140" w:line="290" w:lineRule="auto"/>
        <w:jc w:val="both"/>
        <w:rPr>
          <w:rFonts w:ascii="Calibri" w:hAnsi="Calibri" w:cs="Calibri"/>
          <w:b/>
          <w:smallCaps/>
          <w:sz w:val="22"/>
          <w:szCs w:val="22"/>
          <w:lang w:eastAsia="pt-BR"/>
        </w:rPr>
      </w:pPr>
      <w:r w:rsidRPr="00BF2104">
        <w:rPr>
          <w:rFonts w:ascii="Calibri" w:hAnsi="Calibri" w:cs="Calibri"/>
          <w:b/>
          <w:smallCaps/>
          <w:sz w:val="22"/>
          <w:szCs w:val="22"/>
          <w:lang w:eastAsia="pt-BR"/>
        </w:rPr>
        <w:lastRenderedPageBreak/>
        <w:t>PRIMEIRO ADITAMENTO AO INSTRUMENTO PARTICULAR DE ESCRITURA DA 4ª (QUARTA) EMISSÃO DE DEBÊNTURES SIMPLES, NÃO CONVERSÍVEIS EM AÇÕES, EM ATÉ DUAS SÉRIES, DA ESPÉCIE QUIROGRAFÁRIA, PARA DISTRIBUIÇÃO PÚBLICA, DA SÃO MARTINHO S.A.</w:t>
      </w:r>
    </w:p>
    <w:p w14:paraId="4F4CAE5C"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Pr="00BF2104">
        <w:rPr>
          <w:rFonts w:ascii="Calibri" w:hAnsi="Calibri" w:cs="Calibri"/>
          <w:i/>
          <w:sz w:val="22"/>
          <w:szCs w:val="22"/>
          <w:lang w:eastAsia="pt-BR"/>
        </w:rPr>
        <w:t>Primeiro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Pr="00BF2104">
        <w:rPr>
          <w:rFonts w:ascii="Calibri" w:hAnsi="Calibri" w:cs="Calibri"/>
          <w:sz w:val="22"/>
          <w:szCs w:val="22"/>
          <w:u w:val="single"/>
          <w:lang w:eastAsia="pt-BR"/>
        </w:rPr>
        <w:t>Primeiro Aditamento</w:t>
      </w:r>
      <w:r w:rsidRPr="00BF2104">
        <w:rPr>
          <w:rFonts w:ascii="Calibri" w:hAnsi="Calibri" w:cs="Calibri"/>
          <w:sz w:val="22"/>
          <w:szCs w:val="22"/>
          <w:lang w:eastAsia="pt-BR"/>
        </w:rPr>
        <w:t>”):</w:t>
      </w:r>
    </w:p>
    <w:p w14:paraId="4BC9D118"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como emissora e ofertante das debêntures objeto deste Primeiro Aditamento:</w:t>
      </w:r>
    </w:p>
    <w:p w14:paraId="18675F1C" w14:textId="77777777"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com sede na Cidade de Pradópolis, Estado de São Paulo, na Fazenda São Martinho, s/nº, inscrita no Cadastro Nacional da Pessoa Jurídica do Ministério da Economia (“</w:t>
      </w:r>
      <w:r w:rsidRPr="00BF2104">
        <w:rPr>
          <w:rFonts w:ascii="Calibri" w:eastAsia="MS Mincho" w:hAnsi="Calibri" w:cs="Calibri"/>
          <w:bCs/>
          <w:color w:val="000000"/>
          <w:sz w:val="22"/>
          <w:szCs w:val="22"/>
          <w:u w:val="single"/>
          <w:lang w:eastAsia="pt-BR"/>
        </w:rPr>
        <w:t>CNPJ/ME</w:t>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3E5CED6C"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/ME</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6414A90E"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a Escritura de Emissão foi, e este Primeiro Aditamento é, celebrado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as quais serão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w:t>
      </w:r>
      <w:r w:rsidR="00774325">
        <w:rPr>
          <w:rFonts w:ascii="Calibri" w:hAnsi="Calibri" w:cs="Calibri"/>
          <w:sz w:val="22"/>
          <w:szCs w:val="22"/>
          <w:lang w:eastAsia="pt-BR"/>
        </w:rPr>
        <w:t xml:space="preserve"> e </w:t>
      </w:r>
      <w:r w:rsidRPr="00CA7AFA">
        <w:rPr>
          <w:rFonts w:ascii="Calibri" w:hAnsi="Calibri" w:cs="Calibri"/>
          <w:sz w:val="22"/>
          <w:szCs w:val="22"/>
          <w:lang w:eastAsia="pt-BR"/>
        </w:rPr>
        <w:t>“</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r w:rsidR="00774325">
        <w:rPr>
          <w:rFonts w:ascii="Calibri" w:hAnsi="Calibri" w:cs="Calibri"/>
          <w:sz w:val="22"/>
          <w:szCs w:val="22"/>
          <w:lang w:eastAsia="pt-BR"/>
        </w:rPr>
        <w:t>, respectivamente</w:t>
      </w:r>
      <w:r w:rsidRPr="00CA7AFA">
        <w:rPr>
          <w:rFonts w:ascii="Calibri" w:hAnsi="Calibri" w:cs="Calibri"/>
          <w:sz w:val="22"/>
          <w:szCs w:val="22"/>
          <w:lang w:eastAsia="pt-BR"/>
        </w:rPr>
        <w:t>);</w:t>
      </w:r>
    </w:p>
    <w:p w14:paraId="0D41A3FE" w14:textId="77777777" w:rsidR="00FF2006" w:rsidRPr="00990E68" w:rsidRDefault="00FF2006" w:rsidP="00990E68">
      <w:pPr>
        <w:pStyle w:val="PargrafodaLista"/>
        <w:autoSpaceDE w:val="0"/>
        <w:autoSpaceDN w:val="0"/>
        <w:adjustRightInd w:val="0"/>
        <w:spacing w:after="140" w:line="290" w:lineRule="auto"/>
        <w:ind w:left="680"/>
        <w:jc w:val="both"/>
        <w:rPr>
          <w:rFonts w:ascii="Calibri" w:hAnsi="Calibri" w:cs="Calibri"/>
          <w:sz w:val="22"/>
          <w:szCs w:val="22"/>
          <w:lang w:eastAsia="pt-BR"/>
        </w:rPr>
      </w:pPr>
    </w:p>
    <w:p w14:paraId="69C0912E" w14:textId="6ED9F493"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990E68">
        <w:rPr>
          <w:rFonts w:ascii="Calibri" w:hAnsi="Calibri" w:cs="Calibri"/>
          <w:i/>
          <w:iCs/>
          <w:sz w:val="22"/>
          <w:szCs w:val="22"/>
          <w:lang w:eastAsia="pt-BR"/>
        </w:rPr>
        <w:t xml:space="preserve">Instrumento Particular de Escritura da 4ª (Quarta) Emissão de </w:t>
      </w:r>
      <w:r w:rsidRPr="00990E68">
        <w:rPr>
          <w:rFonts w:ascii="Calibri" w:hAnsi="Calibri" w:cs="Calibri"/>
          <w:i/>
          <w:iCs/>
          <w:sz w:val="22"/>
          <w:szCs w:val="22"/>
          <w:lang w:eastAsia="pt-BR"/>
        </w:rPr>
        <w:lastRenderedPageBreak/>
        <w:t>Debêntures Simples, Não Conversíveis em Ações, da Espécie Quirografária, em até duas séries, para Distribuição Pública, da São Martinho S.A.</w:t>
      </w:r>
      <w:r w:rsidRPr="00990E68">
        <w:rPr>
          <w:rFonts w:ascii="Calibri" w:hAnsi="Calibri" w:cs="Calibri"/>
          <w:sz w:val="22"/>
          <w:szCs w:val="22"/>
          <w:lang w:eastAsia="pt-BR"/>
        </w:rPr>
        <w:t xml:space="preserve">”, o qual foi devidamente inscrito na JUCESP, em </w:t>
      </w:r>
      <w:r w:rsidR="00681C28">
        <w:rPr>
          <w:rFonts w:ascii="Calibri" w:hAnsi="Calibri" w:cs="Calibri"/>
          <w:sz w:val="22"/>
          <w:szCs w:val="22"/>
          <w:lang w:eastAsia="pt-BR"/>
        </w:rPr>
        <w:t>20</w:t>
      </w:r>
      <w:r w:rsidRPr="00990E68">
        <w:rPr>
          <w:rFonts w:ascii="Calibri" w:hAnsi="Calibri" w:cs="Calibri"/>
          <w:sz w:val="22"/>
          <w:szCs w:val="22"/>
          <w:lang w:eastAsia="pt-BR"/>
        </w:rPr>
        <w:t xml:space="preserve"> de dezembro de 2021, sob o nº </w:t>
      </w:r>
      <w:r w:rsidR="00681C28">
        <w:rPr>
          <w:rFonts w:ascii="Calibri" w:hAnsi="Calibri" w:cs="Calibri"/>
          <w:sz w:val="22"/>
          <w:szCs w:val="22"/>
          <w:lang w:eastAsia="pt-BR"/>
        </w:rPr>
        <w:t>ED004311-4/000</w:t>
      </w:r>
      <w:r w:rsidRPr="00990E68">
        <w:rPr>
          <w:rFonts w:ascii="Calibri" w:hAnsi="Calibri" w:cs="Calibri"/>
          <w:sz w:val="22"/>
          <w:szCs w:val="22"/>
          <w:lang w:eastAsia="pt-BR"/>
        </w:rPr>
        <w:t xml:space="preserve">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52774F7" w14:textId="77777777" w:rsidR="00782960" w:rsidRPr="00A91001" w:rsidRDefault="00782960" w:rsidP="00A91001">
      <w:pPr>
        <w:pStyle w:val="PargrafodaLista"/>
        <w:rPr>
          <w:rFonts w:ascii="Calibri" w:hAnsi="Calibri" w:cs="Calibri"/>
          <w:sz w:val="22"/>
          <w:szCs w:val="22"/>
          <w:lang w:eastAsia="pt-BR"/>
        </w:rPr>
      </w:pPr>
    </w:p>
    <w:p w14:paraId="7EEF15E2" w14:textId="6BFFAB54" w:rsidR="00782960" w:rsidRDefault="00782960"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782960">
        <w:rPr>
          <w:rFonts w:ascii="Calibri" w:hAnsi="Calibri" w:cs="Calibri"/>
          <w:sz w:val="22"/>
          <w:szCs w:val="22"/>
          <w:lang w:eastAsia="pt-BR"/>
        </w:rPr>
        <w:t xml:space="preserve">as Partes, nos termos do artigo 27º da Instrução CVM 400, modificaram a Oferta para o rito de análise ordinário, </w:t>
      </w:r>
      <w:r w:rsidR="0075411D">
        <w:rPr>
          <w:rFonts w:ascii="Calibri" w:hAnsi="Calibri" w:cs="Calibri"/>
          <w:sz w:val="22"/>
          <w:szCs w:val="22"/>
          <w:lang w:eastAsia="pt-BR"/>
        </w:rPr>
        <w:t>o qual transcorreu conforme</w:t>
      </w:r>
      <w:r w:rsidRPr="00782960">
        <w:rPr>
          <w:rFonts w:ascii="Calibri" w:hAnsi="Calibri" w:cs="Calibri"/>
          <w:sz w:val="22"/>
          <w:szCs w:val="22"/>
          <w:lang w:eastAsia="pt-BR"/>
        </w:rPr>
        <w:t xml:space="preserve"> o prazo previsto no art. 8º, da Instrução CVM 400, contados da data do protocolo do pedido de registro da Oferta</w:t>
      </w:r>
      <w:r>
        <w:rPr>
          <w:rFonts w:ascii="Calibri" w:hAnsi="Calibri" w:cs="Calibri"/>
          <w:sz w:val="22"/>
          <w:szCs w:val="22"/>
          <w:lang w:eastAsia="pt-BR"/>
        </w:rPr>
        <w:t xml:space="preserve">, </w:t>
      </w:r>
      <w:r w:rsidR="0075411D">
        <w:rPr>
          <w:rFonts w:ascii="Calibri" w:hAnsi="Calibri" w:cs="Calibri"/>
          <w:sz w:val="22"/>
          <w:szCs w:val="22"/>
          <w:lang w:eastAsia="pt-BR"/>
        </w:rPr>
        <w:t xml:space="preserve">ou seja, 13 de dezembro de 2021, </w:t>
      </w:r>
      <w:r>
        <w:rPr>
          <w:rFonts w:ascii="Calibri" w:hAnsi="Calibri" w:cs="Calibri"/>
          <w:sz w:val="22"/>
          <w:szCs w:val="22"/>
          <w:lang w:eastAsia="pt-BR"/>
        </w:rPr>
        <w:t>conforme comunicado ao mercado divulgado em 22 de dezembro de 2021 (“</w:t>
      </w:r>
      <w:r w:rsidRPr="00A91001">
        <w:rPr>
          <w:rFonts w:ascii="Calibri" w:hAnsi="Calibri" w:cs="Calibri"/>
          <w:sz w:val="22"/>
          <w:szCs w:val="22"/>
          <w:u w:val="single"/>
          <w:lang w:eastAsia="pt-BR"/>
        </w:rPr>
        <w:t>Comunicado ao Mercado</w:t>
      </w:r>
      <w:r>
        <w:rPr>
          <w:rFonts w:ascii="Calibri" w:hAnsi="Calibri" w:cs="Calibri"/>
          <w:sz w:val="22"/>
          <w:szCs w:val="22"/>
          <w:lang w:eastAsia="pt-BR"/>
        </w:rPr>
        <w:t>”);</w:t>
      </w:r>
    </w:p>
    <w:p w14:paraId="345DC606" w14:textId="77777777" w:rsidR="00FF2006" w:rsidRPr="00990E68" w:rsidRDefault="00FF2006" w:rsidP="00990E68">
      <w:pPr>
        <w:pStyle w:val="PargrafodaLista"/>
        <w:rPr>
          <w:rFonts w:ascii="Calibri" w:hAnsi="Calibri" w:cs="Calibri"/>
          <w:sz w:val="22"/>
          <w:szCs w:val="22"/>
          <w:lang w:eastAsia="pt-BR"/>
        </w:rPr>
      </w:pPr>
    </w:p>
    <w:p w14:paraId="1B8E77C4" w14:textId="51B7CF25"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w:t>
      </w:r>
      <w:r w:rsidR="000C75DB">
        <w:rPr>
          <w:rFonts w:ascii="Calibri" w:hAnsi="Calibri" w:cs="Calibri"/>
          <w:sz w:val="22"/>
          <w:szCs w:val="22"/>
          <w:lang w:eastAsia="pt-BR"/>
        </w:rPr>
        <w:t>4</w:t>
      </w:r>
      <w:r w:rsidRPr="00990E68">
        <w:rPr>
          <w:rFonts w:ascii="Calibri" w:hAnsi="Calibri" w:cs="Calibri"/>
          <w:sz w:val="22"/>
          <w:szCs w:val="22"/>
          <w:lang w:eastAsia="pt-BR"/>
        </w:rPr>
        <w:t xml:space="preserve"> de janeiro de 2022, o Procedimento de </w:t>
      </w:r>
      <w:r w:rsidRPr="00990E68">
        <w:rPr>
          <w:rFonts w:ascii="Calibri" w:hAnsi="Calibri" w:cs="Calibri"/>
          <w:i/>
          <w:iCs/>
          <w:sz w:val="22"/>
          <w:szCs w:val="22"/>
          <w:lang w:eastAsia="pt-BR"/>
        </w:rPr>
        <w:t>Bookbuilding</w:t>
      </w:r>
      <w:r w:rsidRPr="00990E68">
        <w:rPr>
          <w:rFonts w:ascii="Calibri" w:hAnsi="Calibri" w:cs="Calibri"/>
          <w:sz w:val="22"/>
          <w:szCs w:val="22"/>
          <w:lang w:eastAsia="pt-BR"/>
        </w:rPr>
        <w:t xml:space="preserve"> (conforme definido na Escritura de Emissão) foi concluído e definiu:</w:t>
      </w:r>
    </w:p>
    <w:p w14:paraId="43BA8B97" w14:textId="77777777" w:rsidR="00FF2006" w:rsidRPr="00990E68" w:rsidRDefault="00FF2006" w:rsidP="00990E68">
      <w:pPr>
        <w:pStyle w:val="PargrafodaLista"/>
        <w:rPr>
          <w:rFonts w:ascii="Calibri" w:hAnsi="Calibri" w:cs="Calibri"/>
          <w:sz w:val="22"/>
          <w:szCs w:val="22"/>
          <w:lang w:eastAsia="pt-BR"/>
        </w:rPr>
      </w:pPr>
    </w:p>
    <w:p w14:paraId="43955CD1" w14:textId="1D3B1DD1" w:rsidR="006B3C85" w:rsidRP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Remunerações (conforme definido na Escritura de Emissão), observado os limites indicados na Escritura de Emissão; e</w:t>
      </w:r>
    </w:p>
    <w:p w14:paraId="541683C2" w14:textId="5575EDC8" w:rsid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o exercício da opção de Debêntures Adicionais (conforme definido na Escritura de Emissão), de acordo com a demanda verificada no Procedimento de </w:t>
      </w:r>
      <w:proofErr w:type="spellStart"/>
      <w:r w:rsidRPr="006B3C85">
        <w:rPr>
          <w:rFonts w:ascii="Calibri" w:hAnsi="Calibri" w:cs="Calibri"/>
          <w:i/>
          <w:iCs/>
          <w:sz w:val="22"/>
          <w:szCs w:val="22"/>
          <w:lang w:eastAsia="pt-BR"/>
        </w:rPr>
        <w:t>Bookbulding</w:t>
      </w:r>
      <w:proofErr w:type="spellEnd"/>
      <w:r w:rsidRPr="006B3C85">
        <w:rPr>
          <w:rFonts w:ascii="Calibri" w:hAnsi="Calibri" w:cs="Calibri"/>
          <w:i/>
          <w:iCs/>
          <w:sz w:val="22"/>
          <w:szCs w:val="22"/>
          <w:lang w:eastAsia="pt-BR"/>
        </w:rPr>
        <w:t xml:space="preserve"> </w:t>
      </w:r>
      <w:r w:rsidRPr="006B3C85">
        <w:rPr>
          <w:rFonts w:ascii="Calibri" w:hAnsi="Calibri" w:cs="Calibri"/>
          <w:sz w:val="22"/>
          <w:szCs w:val="22"/>
          <w:lang w:eastAsia="pt-BR"/>
        </w:rPr>
        <w:t>(conforme definido na Escritura de Emissão) e, por consequência, o Valor Total da Emissão (conforme definido na Escritura de Emissão).</w:t>
      </w:r>
    </w:p>
    <w:p w14:paraId="2FBF0E75" w14:textId="00817576" w:rsidR="00FF2006" w:rsidRPr="00990E68"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50B21">
        <w:rPr>
          <w:rFonts w:ascii="Calibri" w:eastAsia="MS Mincho" w:hAnsi="Calibri" w:cs="Calibri"/>
          <w:sz w:val="22"/>
          <w:szCs w:val="22"/>
          <w:lang w:eastAsia="pt-BR"/>
        </w:rPr>
        <w:t xml:space="preserve">as Debêntures não foram subscritas e integralizadas, de modo que não se faz necessária a realização de Assembleia Geral de Debenturistas (conforme definido na Escritura de Emissão), bem como não necessitam de nova aprovação societária pela Emissora, para ratificar o resultado do Procedimento de </w:t>
      </w:r>
      <w:r w:rsidRPr="00950B21">
        <w:rPr>
          <w:rFonts w:ascii="Calibri" w:eastAsia="MS Mincho" w:hAnsi="Calibri" w:cs="Calibri"/>
          <w:i/>
          <w:iCs/>
          <w:sz w:val="22"/>
          <w:szCs w:val="22"/>
          <w:lang w:eastAsia="pt-BR"/>
        </w:rPr>
        <w:t>Bookbuilding</w:t>
      </w:r>
      <w:r w:rsidRPr="00950B21">
        <w:rPr>
          <w:rFonts w:ascii="Calibri" w:eastAsia="MS Mincho" w:hAnsi="Calibri" w:cs="Calibri"/>
          <w:sz w:val="22"/>
          <w:szCs w:val="22"/>
          <w:lang w:eastAsia="pt-BR"/>
        </w:rPr>
        <w:t xml:space="preserve"> e celebrar o presente Primeiro Aditamento, nos termos das Cláusulas 1.2, 5.6.3 e 5.7.1 da Escritura de Emissão; e</w:t>
      </w:r>
    </w:p>
    <w:p w14:paraId="0183D3D6" w14:textId="77777777" w:rsidR="00FF2006" w:rsidRPr="00990E68" w:rsidRDefault="00FF2006" w:rsidP="00A91001">
      <w:pPr>
        <w:pStyle w:val="PargrafodaLista"/>
        <w:rPr>
          <w:rFonts w:ascii="Calibri" w:hAnsi="Calibri" w:cs="Calibri"/>
          <w:sz w:val="22"/>
          <w:szCs w:val="22"/>
          <w:lang w:eastAsia="pt-BR"/>
        </w:rPr>
      </w:pPr>
    </w:p>
    <w:p w14:paraId="4CC018BA" w14:textId="6110AF93" w:rsidR="00FF2006" w:rsidRPr="00950B21"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 xml:space="preserve">as Partes desejam aditar a Escritura de Emissão para </w:t>
      </w:r>
      <w:r w:rsidRPr="006B3C85">
        <w:rPr>
          <w:rFonts w:ascii="Calibri" w:hAnsi="Calibri" w:cs="Calibri"/>
          <w:b/>
          <w:bCs/>
          <w:sz w:val="22"/>
          <w:szCs w:val="22"/>
          <w:lang w:eastAsia="pt-BR"/>
        </w:rPr>
        <w:t>(i)</w:t>
      </w:r>
      <w:r w:rsidRPr="006B3C85">
        <w:rPr>
          <w:rFonts w:ascii="Calibri" w:hAnsi="Calibri" w:cs="Calibri"/>
          <w:sz w:val="22"/>
          <w:szCs w:val="22"/>
          <w:lang w:eastAsia="pt-BR"/>
        </w:rPr>
        <w:t xml:space="preserve"> refletir o resultado do Procedimento de </w:t>
      </w:r>
      <w:r w:rsidRPr="006B3C85">
        <w:rPr>
          <w:rFonts w:ascii="Calibri" w:hAnsi="Calibri" w:cs="Calibri"/>
          <w:i/>
          <w:iCs/>
          <w:sz w:val="22"/>
          <w:szCs w:val="22"/>
          <w:lang w:eastAsia="pt-BR"/>
        </w:rPr>
        <w:t>Bookbuilding</w:t>
      </w:r>
      <w:r w:rsidRPr="006B3C85">
        <w:rPr>
          <w:rFonts w:ascii="Calibri" w:hAnsi="Calibri" w:cs="Calibri"/>
          <w:sz w:val="22"/>
          <w:szCs w:val="22"/>
          <w:lang w:eastAsia="pt-BR"/>
        </w:rPr>
        <w:t xml:space="preserve">, nos termos da Cláusula 5.6 da Escritura de Emissão; </w:t>
      </w:r>
      <w:r w:rsidRPr="006B3C85">
        <w:rPr>
          <w:rFonts w:ascii="Calibri" w:hAnsi="Calibri" w:cs="Calibri"/>
          <w:b/>
          <w:bCs/>
          <w:sz w:val="22"/>
          <w:szCs w:val="22"/>
          <w:lang w:eastAsia="pt-BR"/>
        </w:rPr>
        <w:t>(ii)</w:t>
      </w:r>
      <w:r w:rsidRPr="006B3C85">
        <w:rPr>
          <w:rFonts w:ascii="Calibri" w:hAnsi="Calibri" w:cs="Calibri"/>
          <w:sz w:val="22"/>
          <w:szCs w:val="22"/>
          <w:lang w:eastAsia="pt-BR"/>
        </w:rPr>
        <w:t xml:space="preserve"> alterar o tempo verbal de determinadas cláusulas em decorrência de eventos já realizados, conforme alterações previstas na Cláusula 2 abaixo</w:t>
      </w:r>
      <w:r w:rsidR="00782960">
        <w:rPr>
          <w:rFonts w:ascii="Calibri" w:hAnsi="Calibri" w:cs="Calibri"/>
          <w:sz w:val="22"/>
          <w:szCs w:val="22"/>
          <w:lang w:eastAsia="pt-BR"/>
        </w:rPr>
        <w:t xml:space="preserve">; e </w:t>
      </w:r>
      <w:r w:rsidR="00782960" w:rsidRPr="00A91001">
        <w:rPr>
          <w:rFonts w:ascii="Calibri" w:hAnsi="Calibri" w:cs="Calibri"/>
          <w:b/>
          <w:bCs/>
          <w:sz w:val="22"/>
          <w:szCs w:val="22"/>
          <w:lang w:eastAsia="pt-BR"/>
        </w:rPr>
        <w:t>(iii)</w:t>
      </w:r>
      <w:r w:rsidR="00782960" w:rsidRPr="00A91001">
        <w:rPr>
          <w:rFonts w:ascii="Calibri" w:hAnsi="Calibri" w:cs="Calibri"/>
          <w:sz w:val="22"/>
          <w:szCs w:val="22"/>
          <w:lang w:eastAsia="pt-BR"/>
        </w:rPr>
        <w:t xml:space="preserve"> refletir a modificação do item “c” acim</w:t>
      </w:r>
      <w:r w:rsidR="00782960">
        <w:rPr>
          <w:rFonts w:ascii="Calibri" w:hAnsi="Calibri" w:cs="Calibri"/>
          <w:sz w:val="22"/>
          <w:szCs w:val="22"/>
          <w:lang w:eastAsia="pt-BR"/>
        </w:rPr>
        <w:t>a.</w:t>
      </w:r>
    </w:p>
    <w:p w14:paraId="544DFE85" w14:textId="15F7133F"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Vêm, por esta e na melhor forma de direito, firmar o presente Primeiro Aditamento, mediante as seguintes cláusulas e condições a seguir.</w:t>
      </w:r>
    </w:p>
    <w:p w14:paraId="14F08B2C" w14:textId="77777777"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PargrafodaLista"/>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8090DE4" w14:textId="77777777" w:rsidR="00990E68" w:rsidRDefault="00990E68" w:rsidP="00990E68">
      <w:pPr>
        <w:pStyle w:val="PargrafodaLista"/>
        <w:autoSpaceDE w:val="0"/>
        <w:autoSpaceDN w:val="0"/>
        <w:adjustRightInd w:val="0"/>
        <w:spacing w:after="140" w:line="290" w:lineRule="auto"/>
        <w:ind w:left="142"/>
        <w:jc w:val="both"/>
        <w:rPr>
          <w:rFonts w:ascii="Calibri" w:eastAsia="MS Mincho" w:hAnsi="Calibri" w:cs="Calibri"/>
          <w:b/>
          <w:color w:val="000000"/>
          <w:sz w:val="22"/>
          <w:szCs w:val="22"/>
          <w:lang w:eastAsia="pt-BR"/>
        </w:rPr>
      </w:pPr>
    </w:p>
    <w:p w14:paraId="0DA19C0D" w14:textId="0BEC556C" w:rsidR="00990E68"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lastRenderedPageBreak/>
        <w:t>O presente Primeiro Aditamento é firmado pela Emissora, com base nas deliberações aprovadas pela RCA.</w:t>
      </w:r>
    </w:p>
    <w:p w14:paraId="0495DAA4" w14:textId="77777777" w:rsidR="00990E68" w:rsidRPr="00990E68" w:rsidRDefault="00990E68" w:rsidP="00990E68">
      <w:pPr>
        <w:pStyle w:val="PargrafodaLista"/>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20222525" w:rsidR="006B3C85"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Este Primeiro Aditamento deverá ser arquivado na JUCESP, conforme disposto no artigo 62, inciso II e parágrafo 3º, da Lei das Sociedades por Ações.</w:t>
      </w:r>
    </w:p>
    <w:p w14:paraId="32F64718" w14:textId="77777777" w:rsidR="00990E68" w:rsidRPr="00990E68" w:rsidRDefault="00990E68" w:rsidP="00990E68">
      <w:pPr>
        <w:pStyle w:val="PargrafodaLista"/>
        <w:rPr>
          <w:rFonts w:ascii="Calibri" w:eastAsia="MS Mincho" w:hAnsi="Calibri" w:cs="Calibri"/>
          <w:b/>
          <w:color w:val="000000"/>
          <w:sz w:val="22"/>
          <w:szCs w:val="22"/>
          <w:lang w:eastAsia="pt-BR"/>
        </w:rPr>
      </w:pPr>
    </w:p>
    <w:p w14:paraId="69CAFA23" w14:textId="0A22C62C" w:rsidR="006B3C85"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A Emissora deverá realizar o protocolo deste Primeiro Aditamento na JUCESP em até 5 (cinco) Dias Úteis contados da data de assinatura deste Primeiro Aditamento.</w:t>
      </w:r>
    </w:p>
    <w:p w14:paraId="2A005291" w14:textId="77777777" w:rsidR="00CA7AFA" w:rsidRPr="00CA7AFA" w:rsidRDefault="00CA7AFA" w:rsidP="00CA7AFA">
      <w:pPr>
        <w:pStyle w:val="PargrafodaLista"/>
        <w:rPr>
          <w:rFonts w:ascii="Calibri" w:eastAsia="MS Mincho" w:hAnsi="Calibri" w:cs="Calibri"/>
          <w:sz w:val="22"/>
          <w:szCs w:val="22"/>
          <w:lang w:eastAsia="pt-BR"/>
        </w:rPr>
      </w:pPr>
    </w:p>
    <w:p w14:paraId="6A2C93DC" w14:textId="47649F05" w:rsidR="00BF2104" w:rsidRDefault="006B3C85" w:rsidP="00A91001">
      <w:pPr>
        <w:pStyle w:val="PargrafodaLista"/>
        <w:numPr>
          <w:ilvl w:val="1"/>
          <w:numId w:val="93"/>
        </w:numPr>
        <w:spacing w:after="140" w:line="290" w:lineRule="auto"/>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 xml:space="preserve">A ata da RCA que deliberou a Emissão e a Oferta foi arquivada na JUCESP em </w:t>
      </w:r>
      <w:r w:rsidR="00681C28">
        <w:rPr>
          <w:rFonts w:asciiTheme="minorHAnsi" w:eastAsia="MS Mincho" w:hAnsiTheme="minorHAnsi" w:cstheme="minorHAnsi"/>
          <w:sz w:val="22"/>
          <w:szCs w:val="22"/>
          <w:lang w:eastAsia="pt-BR"/>
        </w:rPr>
        <w:t>20</w:t>
      </w:r>
      <w:r w:rsidRPr="00CA7AFA">
        <w:rPr>
          <w:rFonts w:asciiTheme="minorHAnsi" w:eastAsia="MS Mincho" w:hAnsiTheme="minorHAnsi" w:cstheme="minorHAnsi"/>
          <w:sz w:val="22"/>
          <w:szCs w:val="22"/>
          <w:lang w:eastAsia="pt-BR"/>
        </w:rPr>
        <w:t xml:space="preserve"> de dezembro de 2021 sob o nº </w:t>
      </w:r>
      <w:r w:rsidR="00681C28">
        <w:rPr>
          <w:rFonts w:asciiTheme="minorHAnsi" w:eastAsia="MS Mincho" w:hAnsiTheme="minorHAnsi" w:cstheme="minorHAnsi"/>
          <w:sz w:val="22"/>
          <w:szCs w:val="22"/>
          <w:lang w:eastAsia="pt-BR"/>
        </w:rPr>
        <w:t>596.724/21-4</w:t>
      </w:r>
      <w:r w:rsidRPr="00CA7AFA">
        <w:rPr>
          <w:rFonts w:asciiTheme="minorHAnsi" w:eastAsia="MS Mincho" w:hAnsiTheme="minorHAnsi" w:cstheme="minorHAnsi"/>
          <w:sz w:val="22"/>
          <w:szCs w:val="22"/>
          <w:lang w:eastAsia="pt-BR"/>
        </w:rPr>
        <w:t xml:space="preserve">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xml:space="preserve">”) e (ii) no jornal “Valor Econômico”, em </w:t>
      </w:r>
      <w:r w:rsidR="00B00A76">
        <w:rPr>
          <w:rFonts w:asciiTheme="minorHAnsi" w:eastAsia="MS Mincho" w:hAnsiTheme="minorHAnsi" w:cstheme="minorHAnsi"/>
          <w:sz w:val="22"/>
          <w:szCs w:val="22"/>
          <w:lang w:eastAsia="pt-BR"/>
        </w:rPr>
        <w:t>14</w:t>
      </w:r>
      <w:r w:rsidRPr="00CA7AFA">
        <w:rPr>
          <w:rFonts w:asciiTheme="minorHAnsi" w:eastAsia="MS Mincho" w:hAnsiTheme="minorHAnsi" w:cstheme="minorHAnsi"/>
          <w:sz w:val="22"/>
          <w:szCs w:val="22"/>
          <w:lang w:eastAsia="pt-BR"/>
        </w:rPr>
        <w:t xml:space="preserve"> de dezembro de 2021, em atendimento ao disposto no inciso I do artigo 62 e no artigo 289 da Lei das Sociedades por Ações. </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PargrafodaLista"/>
        <w:numPr>
          <w:ilvl w:val="0"/>
          <w:numId w:val="93"/>
        </w:numPr>
        <w:ind w:hanging="720"/>
        <w:rPr>
          <w:rFonts w:asciiTheme="minorHAnsi" w:eastAsia="MS Mincho" w:hAnsiTheme="minorHAnsi" w:cstheme="minorHAnsi"/>
          <w:b/>
          <w:bCs/>
          <w:sz w:val="22"/>
          <w:szCs w:val="22"/>
          <w:lang w:eastAsia="pt-BR"/>
        </w:rPr>
      </w:pPr>
      <w:bookmarkStart w:id="2"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7A4CA290" w:rsidR="006B3C85" w:rsidRPr="00CA7AFA"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w:t>
      </w:r>
      <w:r w:rsidR="00BC05E5">
        <w:rPr>
          <w:rFonts w:ascii="Calibri" w:eastAsia="MS Mincho" w:hAnsi="Calibri" w:cs="Calibri"/>
          <w:sz w:val="22"/>
          <w:szCs w:val="22"/>
          <w:lang w:eastAsia="pt-BR"/>
        </w:rPr>
        <w:t>s</w:t>
      </w:r>
      <w:r w:rsidRPr="00CA7AFA">
        <w:rPr>
          <w:rFonts w:ascii="Calibri" w:eastAsia="MS Mincho" w:hAnsi="Calibri" w:cs="Calibri"/>
          <w:sz w:val="22"/>
          <w:szCs w:val="22"/>
          <w:lang w:eastAsia="pt-BR"/>
        </w:rPr>
        <w:t xml:space="preserve"> Cláusula</w:t>
      </w:r>
      <w:r w:rsidR="00BC05E5">
        <w:rPr>
          <w:rFonts w:ascii="Calibri" w:eastAsia="MS Mincho" w:hAnsi="Calibri" w:cs="Calibri"/>
          <w:sz w:val="22"/>
          <w:szCs w:val="22"/>
          <w:lang w:eastAsia="pt-BR"/>
        </w:rPr>
        <w:t>s 2.1.1 e</w:t>
      </w:r>
      <w:r w:rsidRPr="00CA7AFA">
        <w:rPr>
          <w:rFonts w:ascii="Calibri" w:eastAsia="MS Mincho" w:hAnsi="Calibri" w:cs="Calibri"/>
          <w:sz w:val="22"/>
          <w:szCs w:val="22"/>
          <w:lang w:eastAsia="pt-BR"/>
        </w:rPr>
        <w:t xml:space="preserve"> 2.1.2 da Escritura de Emissão, a</w:t>
      </w:r>
      <w:r w:rsidR="00BC05E5">
        <w:rPr>
          <w:rFonts w:ascii="Calibri" w:eastAsia="MS Mincho" w:hAnsi="Calibri" w:cs="Calibri"/>
          <w:sz w:val="22"/>
          <w:szCs w:val="22"/>
          <w:lang w:eastAsia="pt-BR"/>
        </w:rPr>
        <w:t>s</w:t>
      </w:r>
      <w:r w:rsidRPr="00CA7AFA">
        <w:rPr>
          <w:rFonts w:ascii="Calibri" w:eastAsia="MS Mincho" w:hAnsi="Calibri" w:cs="Calibri"/>
          <w:sz w:val="22"/>
          <w:szCs w:val="22"/>
          <w:lang w:eastAsia="pt-BR"/>
        </w:rPr>
        <w:t xml:space="preserve"> qua</w:t>
      </w:r>
      <w:r w:rsidR="00BC05E5">
        <w:rPr>
          <w:rFonts w:ascii="Calibri" w:eastAsia="MS Mincho" w:hAnsi="Calibri" w:cs="Calibri"/>
          <w:sz w:val="22"/>
          <w:szCs w:val="22"/>
          <w:lang w:eastAsia="pt-BR"/>
        </w:rPr>
        <w:t>is</w:t>
      </w:r>
      <w:r w:rsidRPr="00CA7AFA">
        <w:rPr>
          <w:rFonts w:ascii="Calibri" w:eastAsia="MS Mincho" w:hAnsi="Calibri" w:cs="Calibri"/>
          <w:sz w:val="22"/>
          <w:szCs w:val="22"/>
          <w:lang w:eastAsia="pt-BR"/>
        </w:rPr>
        <w:t xml:space="preserve"> passar</w:t>
      </w:r>
      <w:r w:rsidR="00BC05E5">
        <w:rPr>
          <w:rFonts w:ascii="Calibri" w:eastAsia="MS Mincho" w:hAnsi="Calibri" w:cs="Calibri"/>
          <w:sz w:val="22"/>
          <w:szCs w:val="22"/>
          <w:lang w:eastAsia="pt-BR"/>
        </w:rPr>
        <w:t>ão</w:t>
      </w:r>
      <w:r w:rsidRPr="00CA7AFA">
        <w:rPr>
          <w:rFonts w:ascii="Calibri" w:eastAsia="MS Mincho" w:hAnsi="Calibri" w:cs="Calibri"/>
          <w:sz w:val="22"/>
          <w:szCs w:val="22"/>
          <w:lang w:eastAsia="pt-BR"/>
        </w:rPr>
        <w:t xml:space="preserve"> a vigorar com a seguinte redação:</w:t>
      </w:r>
    </w:p>
    <w:p w14:paraId="16FA3AF8" w14:textId="73C8859C" w:rsidR="00BC05E5" w:rsidRDefault="006B3C85" w:rsidP="00944307">
      <w:pPr>
        <w:keepNext/>
        <w:keepLines/>
        <w:tabs>
          <w:tab w:val="num" w:pos="851"/>
        </w:tabs>
        <w:spacing w:before="280" w:after="140" w:line="290" w:lineRule="auto"/>
        <w:ind w:left="709"/>
        <w:jc w:val="both"/>
        <w:outlineLvl w:val="0"/>
        <w:rPr>
          <w:rFonts w:ascii="Calibri" w:eastAsia="MS Mincho" w:hAnsi="Calibri" w:cs="Calibri"/>
          <w:b/>
          <w:color w:val="000000"/>
          <w:sz w:val="22"/>
          <w:szCs w:val="22"/>
          <w:lang w:eastAsia="pt-BR"/>
        </w:rPr>
      </w:pPr>
      <w:r w:rsidRPr="006B3C85">
        <w:rPr>
          <w:rFonts w:ascii="Calibri" w:eastAsia="MS Mincho" w:hAnsi="Calibri" w:cs="Calibri"/>
          <w:b/>
          <w:color w:val="000000"/>
          <w:sz w:val="22"/>
          <w:szCs w:val="22"/>
          <w:lang w:eastAsia="pt-BR"/>
        </w:rPr>
        <w:t>“</w:t>
      </w:r>
      <w:r w:rsidR="00BC05E5" w:rsidRPr="00BC05E5">
        <w:rPr>
          <w:rFonts w:ascii="Calibri" w:eastAsia="MS Mincho" w:hAnsi="Calibri" w:cs="Calibri"/>
          <w:b/>
          <w:color w:val="000000"/>
          <w:sz w:val="22"/>
          <w:szCs w:val="22"/>
          <w:lang w:eastAsia="pt-BR"/>
        </w:rPr>
        <w:t>2.1.1.</w:t>
      </w:r>
      <w:r w:rsidR="00BC05E5" w:rsidRPr="00BC05E5">
        <w:rPr>
          <w:rFonts w:ascii="Calibri" w:eastAsia="MS Mincho" w:hAnsi="Calibri" w:cs="Calibri"/>
          <w:b/>
          <w:color w:val="000000"/>
          <w:sz w:val="22"/>
          <w:szCs w:val="22"/>
          <w:lang w:eastAsia="pt-BR"/>
        </w:rPr>
        <w:tab/>
      </w:r>
      <w:r w:rsidR="00BC05E5" w:rsidRPr="006B7920">
        <w:rPr>
          <w:rFonts w:ascii="Calibri" w:eastAsia="MS Mincho" w:hAnsi="Calibri" w:cs="Calibri"/>
          <w:bCs/>
          <w:color w:val="000000"/>
          <w:sz w:val="22"/>
          <w:szCs w:val="22"/>
          <w:lang w:eastAsia="pt-BR"/>
        </w:rPr>
        <w:t>Arquivamento e publicação das atas dos atos societários. Nos termos do artigo 62, inciso I, e 289 da Lei das Sociedades por Ações, a ata da RCA da Emissora foi arquivada na JUCESP e publicada no Diário Oficial do Estado de São Paulo (“</w:t>
      </w:r>
      <w:r w:rsidR="00BC05E5" w:rsidRPr="006B7920">
        <w:rPr>
          <w:rFonts w:ascii="Calibri" w:eastAsia="MS Mincho" w:hAnsi="Calibri" w:cs="Calibri"/>
          <w:bCs/>
          <w:color w:val="000000"/>
          <w:sz w:val="22"/>
          <w:szCs w:val="22"/>
          <w:u w:val="single"/>
          <w:lang w:eastAsia="pt-BR"/>
        </w:rPr>
        <w:t>DOESP</w:t>
      </w:r>
      <w:r w:rsidR="00BC05E5" w:rsidRPr="006B7920">
        <w:rPr>
          <w:rFonts w:ascii="Calibri" w:eastAsia="MS Mincho" w:hAnsi="Calibri" w:cs="Calibri"/>
          <w:bCs/>
          <w:color w:val="000000"/>
          <w:sz w:val="22"/>
          <w:szCs w:val="22"/>
          <w:lang w:eastAsia="pt-BR"/>
        </w:rPr>
        <w:t xml:space="preserve">”) e no jornal “Valor Econômico” </w:t>
      </w:r>
      <w:r w:rsidR="00BC05E5" w:rsidRPr="00BC05E5">
        <w:rPr>
          <w:rFonts w:ascii="Calibri" w:eastAsia="MS Mincho" w:hAnsi="Calibri" w:cs="Calibri"/>
          <w:b/>
          <w:color w:val="000000"/>
          <w:sz w:val="22"/>
          <w:szCs w:val="22"/>
          <w:lang w:eastAsia="pt-BR"/>
        </w:rPr>
        <w:t>(“</w:t>
      </w:r>
      <w:r w:rsidR="00BC05E5" w:rsidRPr="006B7920">
        <w:rPr>
          <w:rFonts w:ascii="Calibri" w:eastAsia="MS Mincho" w:hAnsi="Calibri" w:cs="Calibri"/>
          <w:bCs/>
          <w:color w:val="000000"/>
          <w:sz w:val="22"/>
          <w:szCs w:val="22"/>
          <w:u w:val="single"/>
          <w:lang w:eastAsia="pt-BR"/>
        </w:rPr>
        <w:t>Jornais de Publicação</w:t>
      </w:r>
      <w:r w:rsidR="00BC05E5" w:rsidRPr="006B7920">
        <w:rPr>
          <w:rFonts w:ascii="Calibri" w:eastAsia="MS Mincho" w:hAnsi="Calibri" w:cs="Calibri"/>
          <w:bCs/>
          <w:color w:val="000000"/>
          <w:sz w:val="22"/>
          <w:szCs w:val="22"/>
          <w:lang w:eastAsia="pt-BR"/>
        </w:rPr>
        <w:t>”).</w:t>
      </w:r>
    </w:p>
    <w:p w14:paraId="34D73895" w14:textId="4B5D2F5E" w:rsidR="006B3C85" w:rsidRPr="006B3C85" w:rsidRDefault="006B3C85" w:rsidP="00944307">
      <w:pPr>
        <w:keepNext/>
        <w:keepLines/>
        <w:tabs>
          <w:tab w:val="num" w:pos="851"/>
        </w:tabs>
        <w:spacing w:before="280" w:after="140" w:line="290" w:lineRule="auto"/>
        <w:ind w:left="709"/>
        <w:jc w:val="both"/>
        <w:outlineLvl w:val="0"/>
        <w:rPr>
          <w:rFonts w:ascii="Calibri" w:eastAsia="MS Mincho" w:hAnsi="Calibri" w:cs="Calibri"/>
          <w:b/>
          <w:i/>
          <w:color w:val="000000"/>
          <w:sz w:val="22"/>
          <w:szCs w:val="22"/>
          <w:lang w:eastAsia="pt-BR"/>
        </w:rPr>
      </w:pPr>
      <w:r w:rsidRPr="006B3C85">
        <w:rPr>
          <w:rFonts w:ascii="Calibri" w:eastAsia="MS Mincho" w:hAnsi="Calibri" w:cs="Calibri"/>
          <w:b/>
          <w:color w:val="000000"/>
          <w:sz w:val="22"/>
          <w:szCs w:val="22"/>
          <w:lang w:eastAsia="pt-BR"/>
        </w:rPr>
        <w:t>2.1.2</w:t>
      </w:r>
      <w:r w:rsidRPr="006B3C85">
        <w:rPr>
          <w:rFonts w:ascii="Calibri" w:eastAsia="MS Mincho" w:hAnsi="Calibri" w:cs="Calibri"/>
          <w:b/>
          <w:color w:val="000000"/>
          <w:sz w:val="22"/>
          <w:szCs w:val="22"/>
          <w:lang w:eastAsia="pt-BR"/>
        </w:rPr>
        <w:tab/>
      </w:r>
      <w:r w:rsidRPr="006B3C85">
        <w:rPr>
          <w:rFonts w:ascii="Calibri" w:eastAsia="MS Mincho" w:hAnsi="Calibri" w:cs="Calibri"/>
          <w:bCs/>
          <w:color w:val="000000"/>
          <w:sz w:val="22"/>
          <w:szCs w:val="22"/>
          <w:u w:val="single"/>
          <w:lang w:eastAsia="pt-BR"/>
        </w:rPr>
        <w:t>Inscrição e registro desta Escritura de Emissão e seus eventuais aditamentos</w:t>
      </w:r>
      <w:r w:rsidRPr="006B3C85">
        <w:rPr>
          <w:rFonts w:ascii="Calibri" w:eastAsia="MS Mincho" w:hAnsi="Calibri" w:cs="Calibri"/>
          <w:bCs/>
          <w:color w:val="000000"/>
          <w:sz w:val="22"/>
          <w:szCs w:val="22"/>
          <w:lang w:eastAsia="pt-BR"/>
        </w:rPr>
        <w:t>. Nos termos do artigo 62, inciso II e parágrafo 3º, da Lei das Sociedades por Ações,</w:t>
      </w:r>
      <w:r w:rsidRPr="006B3C85">
        <w:rPr>
          <w:rFonts w:ascii="Arial" w:eastAsia="MS Mincho" w:hAnsi="Arial" w:cs="Arial"/>
          <w:b/>
          <w:color w:val="000000"/>
          <w:sz w:val="22"/>
          <w:szCs w:val="22"/>
          <w:lang w:eastAsia="pt-BR"/>
        </w:rPr>
        <w:t xml:space="preserve"> </w:t>
      </w:r>
      <w:r w:rsidRPr="006B3C85">
        <w:rPr>
          <w:rFonts w:ascii="Calibri" w:eastAsia="MS Mincho" w:hAnsi="Calibri" w:cs="Calibri"/>
          <w:bCs/>
          <w:color w:val="000000"/>
          <w:sz w:val="22"/>
          <w:szCs w:val="22"/>
          <w:lang w:eastAsia="pt-BR"/>
        </w:rPr>
        <w:t xml:space="preserve">esta Escritura de Emissão foi inscrita na JUCESP, em </w:t>
      </w:r>
      <w:r w:rsidR="00681C28">
        <w:rPr>
          <w:rFonts w:ascii="Calibri" w:eastAsia="MS Mincho" w:hAnsi="Calibri" w:cs="Calibri"/>
          <w:bCs/>
          <w:color w:val="000000"/>
          <w:sz w:val="22"/>
          <w:szCs w:val="22"/>
          <w:lang w:eastAsia="pt-BR"/>
        </w:rPr>
        <w:t>20</w:t>
      </w:r>
      <w:r w:rsidRPr="006B3C85">
        <w:rPr>
          <w:rFonts w:ascii="Calibri" w:eastAsia="MS Mincho" w:hAnsi="Calibri" w:cs="Calibri"/>
          <w:bCs/>
          <w:color w:val="000000"/>
          <w:sz w:val="22"/>
          <w:szCs w:val="22"/>
          <w:lang w:eastAsia="pt-BR"/>
        </w:rPr>
        <w:t xml:space="preserve"> de dezembro de 2021, sob o nº </w:t>
      </w:r>
      <w:r w:rsidR="00681C28">
        <w:rPr>
          <w:rFonts w:ascii="Calibri" w:eastAsia="MS Mincho" w:hAnsi="Calibri" w:cs="Calibri"/>
          <w:bCs/>
          <w:color w:val="000000"/>
          <w:sz w:val="22"/>
          <w:szCs w:val="22"/>
          <w:lang w:eastAsia="pt-BR"/>
        </w:rPr>
        <w:t>ED004311-4/000</w:t>
      </w:r>
      <w:r w:rsidRPr="006B3C85">
        <w:rPr>
          <w:rFonts w:ascii="Calibri" w:eastAsia="MS Mincho" w:hAnsi="Calibri" w:cs="Calibri"/>
          <w:bCs/>
          <w:color w:val="000000"/>
          <w:sz w:val="22"/>
          <w:szCs w:val="22"/>
          <w:lang w:eastAsia="pt-BR"/>
        </w:rPr>
        <w:t xml:space="preserve"> e seus eventuais aditamentos serão inscritos na JUCESP de acordo com o inciso II e o parágrafo 3º do artigo 62 da Lei das Sociedades por Ações.</w:t>
      </w:r>
    </w:p>
    <w:p w14:paraId="3FA28C30" w14:textId="048F7899"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2.1.2.1</w:t>
      </w:r>
      <w:r w:rsidRPr="006B3C85">
        <w:rPr>
          <w:rFonts w:ascii="Calibri" w:hAnsi="Calibri" w:cs="Calibri"/>
          <w:i/>
          <w:sz w:val="22"/>
          <w:szCs w:val="22"/>
          <w:lang w:eastAsia="pt-BR"/>
        </w:rPr>
        <w:tab/>
      </w:r>
      <w:r w:rsidR="0056725D">
        <w:rPr>
          <w:rFonts w:ascii="Calibri" w:hAnsi="Calibri" w:cs="Calibri"/>
          <w:i/>
          <w:sz w:val="22"/>
          <w:szCs w:val="22"/>
          <w:lang w:eastAsia="pt-BR"/>
        </w:rPr>
        <w:t>E</w:t>
      </w:r>
      <w:r w:rsidRPr="006B3C85">
        <w:rPr>
          <w:rFonts w:ascii="Calibri" w:hAnsi="Calibri" w:cs="Calibri"/>
          <w:i/>
          <w:sz w:val="22"/>
          <w:szCs w:val="22"/>
          <w:lang w:eastAsia="pt-BR"/>
        </w:rPr>
        <w:t>sta Escritura de Emissão foi objeto de aditamento para refletir o resultado do Procedimento de Bookbuilding, o qual definiu a taxa final das Remunerações e a quantidade de Debêntures efetivamente emitidas, em razão do exercício da Opção de Debêntures Adicionais, nos termos e condições aprovados na RCA, e, portanto, sem a necessidade de nova aprovação societária pela Emissora. O aditamento de que trata esta Cláusula 2.2 será inscrito na JUCESP, nos termos da Cláusula 2.</w:t>
      </w:r>
      <w:r w:rsidR="0056725D">
        <w:rPr>
          <w:rFonts w:ascii="Calibri" w:hAnsi="Calibri" w:cs="Calibri"/>
          <w:i/>
          <w:sz w:val="22"/>
          <w:szCs w:val="22"/>
          <w:lang w:eastAsia="pt-BR"/>
        </w:rPr>
        <w:t>1.</w:t>
      </w:r>
      <w:r w:rsidRPr="006B3C85">
        <w:rPr>
          <w:rFonts w:ascii="Calibri" w:hAnsi="Calibri" w:cs="Calibri"/>
          <w:i/>
          <w:sz w:val="22"/>
          <w:szCs w:val="22"/>
          <w:lang w:eastAsia="pt-BR"/>
        </w:rPr>
        <w:t>2 acima.</w:t>
      </w:r>
    </w:p>
    <w:p w14:paraId="56342984" w14:textId="3559ECA9"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w:t>
      </w:r>
      <w:r w:rsidR="0056725D">
        <w:rPr>
          <w:rFonts w:ascii="Calibri" w:hAnsi="Calibri" w:cs="Calibri"/>
          <w:i/>
          <w:sz w:val="22"/>
          <w:szCs w:val="22"/>
          <w:lang w:eastAsia="pt-BR"/>
        </w:rPr>
        <w:t>2</w:t>
      </w:r>
      <w:r w:rsidRPr="006B3C85">
        <w:rPr>
          <w:rFonts w:ascii="Calibri" w:hAnsi="Calibri" w:cs="Calibri"/>
          <w:i/>
          <w:sz w:val="22"/>
          <w:szCs w:val="22"/>
          <w:lang w:eastAsia="pt-BR"/>
        </w:rPr>
        <w:tab/>
        <w:t xml:space="preserve">A Emissora deverá entregar ao Agente Fiduciário 1 (uma) via eletrônica (formato </w:t>
      </w:r>
      <w:proofErr w:type="spellStart"/>
      <w:r w:rsidRPr="006B3C85">
        <w:rPr>
          <w:rFonts w:ascii="Calibri" w:hAnsi="Calibri" w:cs="Calibri"/>
          <w:i/>
          <w:sz w:val="22"/>
          <w:szCs w:val="22"/>
          <w:lang w:eastAsia="pt-BR"/>
        </w:rPr>
        <w:t>pdf</w:t>
      </w:r>
      <w:proofErr w:type="spellEnd"/>
      <w:r w:rsidRPr="006B3C85">
        <w:rPr>
          <w:rFonts w:ascii="Calibri" w:hAnsi="Calibri" w:cs="Calibri"/>
          <w:i/>
          <w:sz w:val="22"/>
          <w:szCs w:val="22"/>
          <w:lang w:eastAsia="pt-BR"/>
        </w:rPr>
        <w:t>), contendo a chancela digital da JUCESP, do respectivo documento e eventuais aditamentos inscritos na JUCESP, no prazo de até 5 (cinco) Dias Úteis contados da data do efetivo registro.</w:t>
      </w:r>
    </w:p>
    <w:p w14:paraId="0796D882" w14:textId="33BC033B" w:rsidR="00782960" w:rsidRDefault="00782960" w:rsidP="00782960">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lastRenderedPageBreak/>
        <w:t xml:space="preserve">As partes decidem alterar as Cláusulas </w:t>
      </w:r>
      <w:r>
        <w:rPr>
          <w:rFonts w:ascii="Calibri" w:eastAsia="MS Mincho" w:hAnsi="Calibri" w:cs="Calibri"/>
          <w:sz w:val="22"/>
          <w:szCs w:val="22"/>
          <w:lang w:eastAsia="pt-BR"/>
        </w:rPr>
        <w:t>2</w:t>
      </w:r>
      <w:r w:rsidRPr="006B3C85">
        <w:rPr>
          <w:rFonts w:ascii="Calibri" w:eastAsia="MS Mincho" w:hAnsi="Calibri" w:cs="Calibri"/>
          <w:sz w:val="22"/>
          <w:szCs w:val="22"/>
          <w:lang w:eastAsia="pt-BR"/>
        </w:rPr>
        <w:t>.1</w:t>
      </w:r>
      <w:r>
        <w:rPr>
          <w:rFonts w:ascii="Calibri" w:eastAsia="MS Mincho" w:hAnsi="Calibri" w:cs="Calibri"/>
          <w:sz w:val="22"/>
          <w:szCs w:val="22"/>
          <w:lang w:eastAsia="pt-BR"/>
        </w:rPr>
        <w:t>.</w:t>
      </w:r>
      <w:r w:rsidRPr="006B3C85">
        <w:rPr>
          <w:rFonts w:ascii="Calibri" w:eastAsia="MS Mincho" w:hAnsi="Calibri" w:cs="Calibri"/>
          <w:sz w:val="22"/>
          <w:szCs w:val="22"/>
          <w:lang w:eastAsia="pt-BR"/>
        </w:rPr>
        <w:t>5</w:t>
      </w:r>
      <w:r w:rsidR="0075411D">
        <w:rPr>
          <w:rFonts w:ascii="Calibri" w:eastAsia="MS Mincho" w:hAnsi="Calibri" w:cs="Calibri"/>
          <w:sz w:val="22"/>
          <w:szCs w:val="22"/>
          <w:lang w:eastAsia="pt-BR"/>
        </w:rPr>
        <w:t>,</w:t>
      </w:r>
      <w:r>
        <w:rPr>
          <w:rFonts w:ascii="Calibri" w:eastAsia="MS Mincho" w:hAnsi="Calibri" w:cs="Calibri"/>
          <w:sz w:val="22"/>
          <w:szCs w:val="22"/>
          <w:lang w:eastAsia="pt-BR"/>
        </w:rPr>
        <w:t xml:space="preserve"> 5.5</w:t>
      </w:r>
      <w:r w:rsidRPr="006B3C85">
        <w:rPr>
          <w:rFonts w:ascii="Calibri" w:eastAsia="MS Mincho" w:hAnsi="Calibri" w:cs="Calibri"/>
          <w:sz w:val="22"/>
          <w:szCs w:val="22"/>
          <w:lang w:eastAsia="pt-BR"/>
        </w:rPr>
        <w:t xml:space="preserve"> </w:t>
      </w:r>
      <w:r w:rsidR="0075411D">
        <w:rPr>
          <w:rFonts w:ascii="Calibri" w:eastAsia="MS Mincho" w:hAnsi="Calibri" w:cs="Calibri"/>
          <w:sz w:val="22"/>
          <w:szCs w:val="22"/>
          <w:lang w:eastAsia="pt-BR"/>
        </w:rPr>
        <w:t xml:space="preserve">e 5.5.1 </w:t>
      </w:r>
      <w:r w:rsidRPr="006B3C85">
        <w:rPr>
          <w:rFonts w:ascii="Calibri" w:eastAsia="MS Mincho" w:hAnsi="Calibri" w:cs="Calibri"/>
          <w:sz w:val="22"/>
          <w:szCs w:val="22"/>
          <w:lang w:eastAsia="pt-BR"/>
        </w:rPr>
        <w:t xml:space="preserve">da Escritura de Emissão, de forma a refletir </w:t>
      </w:r>
      <w:r>
        <w:rPr>
          <w:rFonts w:ascii="Calibri" w:eastAsia="MS Mincho" w:hAnsi="Calibri" w:cs="Calibri"/>
          <w:sz w:val="22"/>
          <w:szCs w:val="22"/>
          <w:lang w:eastAsia="pt-BR"/>
        </w:rPr>
        <w:t xml:space="preserve">a </w:t>
      </w:r>
      <w:r w:rsidRPr="00782960">
        <w:rPr>
          <w:rFonts w:ascii="Calibri" w:hAnsi="Calibri" w:cs="Calibri"/>
          <w:sz w:val="22"/>
          <w:szCs w:val="22"/>
          <w:lang w:eastAsia="pt-BR"/>
        </w:rPr>
        <w:t>modifica</w:t>
      </w:r>
      <w:r>
        <w:rPr>
          <w:rFonts w:ascii="Calibri" w:hAnsi="Calibri" w:cs="Calibri"/>
          <w:sz w:val="22"/>
          <w:szCs w:val="22"/>
          <w:lang w:eastAsia="pt-BR"/>
        </w:rPr>
        <w:t>ção d</w:t>
      </w:r>
      <w:r w:rsidRPr="00782960">
        <w:rPr>
          <w:rFonts w:ascii="Calibri" w:hAnsi="Calibri" w:cs="Calibri"/>
          <w:sz w:val="22"/>
          <w:szCs w:val="22"/>
          <w:lang w:eastAsia="pt-BR"/>
        </w:rPr>
        <w:t xml:space="preserve">a Oferta para o rito de análise ordinário, </w:t>
      </w:r>
      <w:r w:rsidR="0075411D">
        <w:rPr>
          <w:rFonts w:ascii="Calibri" w:hAnsi="Calibri" w:cs="Calibri"/>
          <w:sz w:val="22"/>
          <w:szCs w:val="22"/>
          <w:lang w:eastAsia="pt-BR"/>
        </w:rPr>
        <w:t>nos termos</w:t>
      </w:r>
      <w:r w:rsidRPr="00782960">
        <w:rPr>
          <w:rFonts w:ascii="Calibri" w:hAnsi="Calibri" w:cs="Calibri"/>
          <w:sz w:val="22"/>
          <w:szCs w:val="22"/>
          <w:lang w:eastAsia="pt-BR"/>
        </w:rPr>
        <w:t xml:space="preserve"> previsto</w:t>
      </w:r>
      <w:r w:rsidR="0075411D">
        <w:rPr>
          <w:rFonts w:ascii="Calibri" w:hAnsi="Calibri" w:cs="Calibri"/>
          <w:sz w:val="22"/>
          <w:szCs w:val="22"/>
          <w:lang w:eastAsia="pt-BR"/>
        </w:rPr>
        <w:t>s</w:t>
      </w:r>
      <w:r w:rsidRPr="00782960">
        <w:rPr>
          <w:rFonts w:ascii="Calibri" w:hAnsi="Calibri" w:cs="Calibri"/>
          <w:sz w:val="22"/>
          <w:szCs w:val="22"/>
          <w:lang w:eastAsia="pt-BR"/>
        </w:rPr>
        <w:t xml:space="preserve"> no art. 8º, da Instrução CVM 400</w:t>
      </w:r>
      <w:r>
        <w:rPr>
          <w:rFonts w:ascii="Calibri" w:hAnsi="Calibri" w:cs="Calibri"/>
          <w:sz w:val="22"/>
          <w:szCs w:val="22"/>
          <w:lang w:eastAsia="pt-BR"/>
        </w:rPr>
        <w:t xml:space="preserve">, </w:t>
      </w:r>
      <w:r w:rsidRPr="006B3C85">
        <w:rPr>
          <w:rFonts w:ascii="Calibri" w:eastAsia="MS Mincho" w:hAnsi="Calibri" w:cs="Calibri"/>
          <w:sz w:val="22"/>
          <w:szCs w:val="22"/>
          <w:lang w:eastAsia="pt-BR"/>
        </w:rPr>
        <w:t>que passarão a vigorar com as seguintes redações:</w:t>
      </w:r>
    </w:p>
    <w:p w14:paraId="7A39831F" w14:textId="41CFC27B" w:rsidR="00782960" w:rsidRPr="006E6128" w:rsidRDefault="00782960" w:rsidP="00782960">
      <w:pPr>
        <w:keepNext/>
        <w:keepLines/>
        <w:tabs>
          <w:tab w:val="num" w:pos="851"/>
        </w:tabs>
        <w:spacing w:before="280" w:after="140" w:line="290" w:lineRule="auto"/>
        <w:ind w:left="709"/>
        <w:jc w:val="both"/>
        <w:outlineLvl w:val="0"/>
        <w:rPr>
          <w:rFonts w:asciiTheme="minorHAnsi" w:hAnsiTheme="minorHAnsi" w:cstheme="minorHAnsi"/>
          <w:i/>
          <w:iCs/>
          <w:sz w:val="22"/>
          <w:szCs w:val="22"/>
        </w:rPr>
      </w:pPr>
      <w:r w:rsidRPr="006E6128">
        <w:rPr>
          <w:rFonts w:ascii="Calibri" w:eastAsia="MS Mincho" w:hAnsi="Calibri" w:cs="Calibri"/>
          <w:b/>
          <w:i/>
          <w:iCs/>
          <w:color w:val="000000"/>
          <w:sz w:val="22"/>
          <w:szCs w:val="22"/>
          <w:lang w:eastAsia="pt-BR"/>
        </w:rPr>
        <w:t>“2.1.5</w:t>
      </w:r>
      <w:r w:rsidRPr="006E6128">
        <w:rPr>
          <w:rFonts w:ascii="Calibri" w:eastAsia="MS Mincho" w:hAnsi="Calibri" w:cs="Calibri"/>
          <w:b/>
          <w:i/>
          <w:iCs/>
          <w:color w:val="000000"/>
          <w:sz w:val="22"/>
          <w:szCs w:val="22"/>
          <w:lang w:eastAsia="pt-BR"/>
        </w:rPr>
        <w:tab/>
      </w:r>
      <w:r w:rsidRPr="006E6128">
        <w:rPr>
          <w:rFonts w:asciiTheme="minorHAnsi" w:hAnsiTheme="minorHAnsi"/>
          <w:i/>
          <w:iCs/>
          <w:sz w:val="22"/>
          <w:szCs w:val="22"/>
          <w:u w:val="single"/>
        </w:rPr>
        <w:t>Registro na CVM</w:t>
      </w:r>
      <w:r w:rsidRPr="006E6128">
        <w:rPr>
          <w:rFonts w:asciiTheme="minorHAnsi" w:hAnsiTheme="minorHAnsi"/>
          <w:i/>
          <w:iCs/>
          <w:sz w:val="22"/>
          <w:szCs w:val="22"/>
        </w:rPr>
        <w:t xml:space="preserve">. </w:t>
      </w:r>
      <w:r w:rsidRPr="006E6128">
        <w:rPr>
          <w:rFonts w:asciiTheme="minorHAnsi" w:hAnsiTheme="minorHAnsi" w:cstheme="minorHAnsi"/>
          <w:i/>
          <w:iCs/>
          <w:sz w:val="22"/>
          <w:szCs w:val="22"/>
        </w:rPr>
        <w:t>A Oferta será devidamente registrada pela CVM, na forma</w:t>
      </w:r>
      <w:r w:rsidRPr="006E6128">
        <w:rPr>
          <w:rFonts w:asciiTheme="minorHAnsi" w:hAnsiTheme="minorHAnsi"/>
          <w:i/>
          <w:iCs/>
          <w:sz w:val="22"/>
          <w:szCs w:val="22"/>
        </w:rPr>
        <w:t xml:space="preserve"> da Lei do Mercado de </w:t>
      </w:r>
      <w:r w:rsidRPr="006E6128">
        <w:rPr>
          <w:rFonts w:asciiTheme="minorHAnsi" w:hAnsiTheme="minorHAnsi" w:cstheme="minorHAnsi"/>
          <w:i/>
          <w:iCs/>
          <w:sz w:val="22"/>
          <w:szCs w:val="22"/>
        </w:rPr>
        <w:t>Valores Mobiliários</w:t>
      </w:r>
      <w:r w:rsidRPr="006E6128">
        <w:rPr>
          <w:rFonts w:asciiTheme="minorHAnsi" w:hAnsiTheme="minorHAnsi"/>
          <w:i/>
          <w:iCs/>
          <w:sz w:val="22"/>
          <w:szCs w:val="22"/>
        </w:rPr>
        <w:t xml:space="preserve"> e da Instrução CVM </w:t>
      </w:r>
      <w:r w:rsidRPr="006E6128">
        <w:rPr>
          <w:rFonts w:asciiTheme="minorHAnsi" w:hAnsiTheme="minorHAnsi" w:cstheme="minorHAnsi"/>
          <w:i/>
          <w:iCs/>
          <w:sz w:val="22"/>
          <w:szCs w:val="22"/>
        </w:rPr>
        <w:t>400.”</w:t>
      </w:r>
    </w:p>
    <w:p w14:paraId="65DAE81C" w14:textId="0F123CBC" w:rsidR="00782960" w:rsidRDefault="00782960" w:rsidP="00A91001">
      <w:pPr>
        <w:keepNext/>
        <w:keepLines/>
        <w:tabs>
          <w:tab w:val="num" w:pos="851"/>
        </w:tabs>
        <w:spacing w:before="280" w:after="140" w:line="290" w:lineRule="auto"/>
        <w:ind w:left="709"/>
        <w:jc w:val="both"/>
        <w:outlineLvl w:val="0"/>
        <w:rPr>
          <w:rFonts w:asciiTheme="minorHAnsi" w:hAnsiTheme="minorHAnsi" w:cstheme="minorHAnsi"/>
          <w:i/>
          <w:iCs/>
          <w:sz w:val="22"/>
          <w:szCs w:val="22"/>
        </w:rPr>
      </w:pPr>
      <w:r w:rsidRPr="006E6128">
        <w:rPr>
          <w:rFonts w:ascii="Calibri" w:eastAsia="MS Mincho" w:hAnsi="Calibri" w:cs="Calibri"/>
          <w:b/>
          <w:i/>
          <w:iCs/>
          <w:color w:val="000000"/>
          <w:sz w:val="22"/>
          <w:szCs w:val="22"/>
          <w:lang w:eastAsia="pt-BR"/>
        </w:rPr>
        <w:t>“5.5</w:t>
      </w:r>
      <w:r w:rsidRPr="006E6128">
        <w:rPr>
          <w:rFonts w:ascii="Calibri" w:eastAsia="MS Mincho" w:hAnsi="Calibri" w:cs="Calibri"/>
          <w:b/>
          <w:i/>
          <w:iCs/>
          <w:color w:val="000000"/>
          <w:sz w:val="22"/>
          <w:szCs w:val="22"/>
          <w:lang w:eastAsia="pt-BR"/>
        </w:rPr>
        <w:tab/>
      </w:r>
      <w:r w:rsidRPr="006E6128">
        <w:rPr>
          <w:rFonts w:asciiTheme="minorHAnsi" w:hAnsiTheme="minorHAnsi"/>
          <w:i/>
          <w:iCs/>
          <w:sz w:val="22"/>
          <w:szCs w:val="22"/>
          <w:u w:val="single"/>
        </w:rPr>
        <w:t>Colocação</w:t>
      </w:r>
      <w:r w:rsidRPr="006E6128">
        <w:rPr>
          <w:rFonts w:asciiTheme="minorHAnsi" w:hAnsiTheme="minorHAnsi" w:cstheme="minorHAnsi"/>
          <w:i/>
          <w:iCs/>
          <w:sz w:val="22"/>
          <w:szCs w:val="22"/>
          <w:u w:val="single"/>
        </w:rPr>
        <w:t xml:space="preserve"> e Procedimento de Distribuição</w:t>
      </w:r>
      <w:r w:rsidRPr="006E6128">
        <w:rPr>
          <w:rFonts w:asciiTheme="minorHAnsi" w:hAnsiTheme="minorHAnsi" w:cstheme="minorHAnsi"/>
          <w:i/>
          <w:iCs/>
          <w:sz w:val="22"/>
          <w:szCs w:val="22"/>
        </w:rPr>
        <w:t>.</w:t>
      </w:r>
      <w:r w:rsidRPr="006E6128">
        <w:rPr>
          <w:rFonts w:asciiTheme="minorHAnsi" w:hAnsiTheme="minorHAnsi"/>
          <w:i/>
          <w:iCs/>
          <w:sz w:val="22"/>
          <w:szCs w:val="22"/>
        </w:rPr>
        <w:t xml:space="preserve"> As Debêntures serão objeto de oferta pública de distribuição, nos termos da Instrução CVM </w:t>
      </w:r>
      <w:r w:rsidRPr="006E6128">
        <w:rPr>
          <w:rFonts w:asciiTheme="minorHAnsi" w:hAnsiTheme="minorHAnsi" w:cstheme="minorHAnsi"/>
          <w:i/>
          <w:iCs/>
          <w:sz w:val="22"/>
          <w:szCs w:val="22"/>
        </w:rPr>
        <w:t>400, sob regime de garantia firme de colocação (exceto pelas Debêntures Adicionais, as quais, serão colocadas</w:t>
      </w:r>
      <w:r w:rsidRPr="006E6128">
        <w:rPr>
          <w:rFonts w:asciiTheme="minorHAnsi" w:hAnsiTheme="minorHAnsi"/>
          <w:i/>
          <w:iCs/>
          <w:sz w:val="22"/>
          <w:szCs w:val="22"/>
        </w:rPr>
        <w:t xml:space="preserve"> sob o regime de </w:t>
      </w:r>
      <w:r w:rsidRPr="006E6128">
        <w:rPr>
          <w:rFonts w:asciiTheme="minorHAnsi" w:hAnsiTheme="minorHAnsi" w:cstheme="minorHAnsi"/>
          <w:i/>
          <w:iCs/>
          <w:sz w:val="22"/>
          <w:szCs w:val="22"/>
        </w:rPr>
        <w:t>melhores esforços</w:t>
      </w:r>
      <w:r w:rsidRPr="006E6128">
        <w:rPr>
          <w:rFonts w:asciiTheme="minorHAnsi" w:hAnsiTheme="minorHAnsi"/>
          <w:i/>
          <w:iCs/>
          <w:sz w:val="22"/>
          <w:szCs w:val="22"/>
        </w:rPr>
        <w:t xml:space="preserve"> de colocação</w:t>
      </w:r>
      <w:r w:rsidRPr="006E6128">
        <w:rPr>
          <w:rFonts w:asciiTheme="minorHAnsi" w:hAnsiTheme="minorHAnsi" w:cstheme="minorHAnsi"/>
          <w:i/>
          <w:iCs/>
          <w:sz w:val="22"/>
          <w:szCs w:val="22"/>
        </w:rPr>
        <w:t>),</w:t>
      </w:r>
      <w:r w:rsidRPr="006E6128">
        <w:rPr>
          <w:rFonts w:asciiTheme="minorHAnsi" w:hAnsiTheme="minorHAnsi"/>
          <w:i/>
          <w:iCs/>
          <w:sz w:val="22"/>
          <w:szCs w:val="22"/>
        </w:rPr>
        <w:t xml:space="preserve"> para a totalidade das Debêntures, nos termos do “</w:t>
      </w:r>
      <w:r w:rsidRPr="0075411D">
        <w:rPr>
          <w:rFonts w:asciiTheme="minorHAnsi" w:hAnsiTheme="minorHAnsi"/>
          <w:i/>
          <w:iCs/>
          <w:sz w:val="22"/>
          <w:szCs w:val="22"/>
        </w:rPr>
        <w:t xml:space="preserve">Contrato de Coordenação, </w:t>
      </w:r>
      <w:r w:rsidRPr="0075411D">
        <w:rPr>
          <w:rFonts w:asciiTheme="minorHAnsi" w:hAnsiTheme="minorHAnsi" w:cstheme="minorHAnsi"/>
          <w:i/>
          <w:iCs/>
          <w:sz w:val="22"/>
          <w:szCs w:val="22"/>
        </w:rPr>
        <w:t>Colocação</w:t>
      </w:r>
      <w:r w:rsidRPr="0075411D">
        <w:rPr>
          <w:rFonts w:asciiTheme="minorHAnsi" w:hAnsiTheme="minorHAnsi"/>
          <w:i/>
          <w:iCs/>
          <w:sz w:val="22"/>
          <w:szCs w:val="22"/>
        </w:rPr>
        <w:t xml:space="preserve"> e Distribuição Pública, sob o Regime de Garantia Firme de Colocação, de Debêntures Simples, Não Conversíveis em Ações, da Espécie Quirografária, em </w:t>
      </w:r>
      <w:r w:rsidRPr="0075411D">
        <w:rPr>
          <w:rFonts w:asciiTheme="minorHAnsi" w:hAnsiTheme="minorHAnsi" w:cstheme="minorHAnsi"/>
          <w:i/>
          <w:iCs/>
          <w:sz w:val="22"/>
          <w:szCs w:val="22"/>
        </w:rPr>
        <w:t>até Duas Séries</w:t>
      </w:r>
      <w:r w:rsidRPr="0075411D">
        <w:rPr>
          <w:rFonts w:asciiTheme="minorHAnsi" w:hAnsiTheme="minorHAnsi"/>
          <w:i/>
          <w:iCs/>
          <w:sz w:val="22"/>
          <w:szCs w:val="22"/>
        </w:rPr>
        <w:t xml:space="preserve">, da </w:t>
      </w:r>
      <w:r w:rsidRPr="0075411D">
        <w:rPr>
          <w:rFonts w:asciiTheme="minorHAnsi" w:hAnsiTheme="minorHAnsi" w:cstheme="minorHAnsi"/>
          <w:i/>
          <w:iCs/>
          <w:sz w:val="22"/>
          <w:szCs w:val="22"/>
        </w:rPr>
        <w:t>4ª</w:t>
      </w:r>
      <w:r w:rsidRPr="0075411D">
        <w:rPr>
          <w:rFonts w:asciiTheme="minorHAnsi" w:hAnsiTheme="minorHAnsi"/>
          <w:i/>
          <w:iCs/>
          <w:sz w:val="22"/>
          <w:szCs w:val="22"/>
        </w:rPr>
        <w:t xml:space="preserve"> (quarta) Emissão da São Martinho S.A.</w:t>
      </w:r>
      <w:r w:rsidRPr="006E6128">
        <w:rPr>
          <w:rFonts w:asciiTheme="minorHAnsi" w:hAnsiTheme="minorHAnsi"/>
          <w:i/>
          <w:iCs/>
          <w:sz w:val="22"/>
          <w:szCs w:val="22"/>
        </w:rPr>
        <w:t>” (“</w:t>
      </w:r>
      <w:r w:rsidRPr="006E6128">
        <w:rPr>
          <w:rFonts w:asciiTheme="minorHAnsi" w:hAnsiTheme="minorHAnsi"/>
          <w:i/>
          <w:iCs/>
          <w:sz w:val="22"/>
          <w:szCs w:val="22"/>
          <w:u w:val="single"/>
        </w:rPr>
        <w:t>Contrato de Distribuição</w:t>
      </w:r>
      <w:r w:rsidRPr="006E6128">
        <w:rPr>
          <w:rFonts w:asciiTheme="minorHAnsi" w:hAnsiTheme="minorHAnsi"/>
          <w:i/>
          <w:iCs/>
          <w:sz w:val="22"/>
          <w:szCs w:val="22"/>
        </w:rPr>
        <w:t>”), com a intermediação de instituição financeira integrante do sistema de distribuição de valores mobiliários (“</w:t>
      </w:r>
      <w:r w:rsidRPr="006E6128">
        <w:rPr>
          <w:rFonts w:asciiTheme="minorHAnsi" w:hAnsiTheme="minorHAnsi"/>
          <w:i/>
          <w:iCs/>
          <w:sz w:val="22"/>
          <w:szCs w:val="22"/>
          <w:u w:val="single"/>
        </w:rPr>
        <w:t>Coordenador Líder</w:t>
      </w:r>
      <w:r w:rsidRPr="006E6128">
        <w:rPr>
          <w:rFonts w:asciiTheme="minorHAnsi" w:hAnsiTheme="minorHAnsi"/>
          <w:i/>
          <w:iCs/>
          <w:sz w:val="22"/>
          <w:szCs w:val="22"/>
        </w:rPr>
        <w:t xml:space="preserve">”), </w:t>
      </w:r>
      <w:r w:rsidRPr="006E6128">
        <w:rPr>
          <w:rFonts w:asciiTheme="minorHAnsi" w:hAnsiTheme="minorHAnsi" w:cstheme="minorHAnsi"/>
          <w:i/>
          <w:iCs/>
          <w:sz w:val="22"/>
          <w:szCs w:val="22"/>
        </w:rPr>
        <w:t>com a participação de outras instituições financeiras autorizadas a operar no mercado de capitais para participar da colocação das Debêntures junto a potenciais investidores e clientes (“</w:t>
      </w:r>
      <w:r w:rsidRPr="006E6128">
        <w:rPr>
          <w:rFonts w:asciiTheme="minorHAnsi" w:hAnsiTheme="minorHAnsi" w:cstheme="minorHAnsi"/>
          <w:i/>
          <w:iCs/>
          <w:sz w:val="22"/>
          <w:szCs w:val="22"/>
          <w:u w:val="single"/>
        </w:rPr>
        <w:t>Participantes Especiais</w:t>
      </w:r>
      <w:r w:rsidRPr="006E6128">
        <w:rPr>
          <w:rFonts w:asciiTheme="minorHAnsi" w:hAnsiTheme="minorHAnsi" w:cstheme="minorHAnsi"/>
          <w:i/>
          <w:iCs/>
          <w:sz w:val="22"/>
          <w:szCs w:val="22"/>
        </w:rPr>
        <w:t>” e, em conjunto com o Coordenador Líder, “</w:t>
      </w:r>
      <w:r w:rsidRPr="006E6128">
        <w:rPr>
          <w:rFonts w:asciiTheme="minorHAnsi" w:hAnsiTheme="minorHAnsi" w:cstheme="minorHAnsi"/>
          <w:i/>
          <w:iCs/>
          <w:sz w:val="22"/>
          <w:szCs w:val="22"/>
          <w:u w:val="single"/>
        </w:rPr>
        <w:t>Instituições Participantes da Oferta</w:t>
      </w:r>
      <w:r w:rsidRPr="006E6128">
        <w:rPr>
          <w:rFonts w:asciiTheme="minorHAnsi" w:hAnsiTheme="minorHAnsi" w:cstheme="minorHAnsi"/>
          <w:i/>
          <w:iCs/>
          <w:sz w:val="22"/>
          <w:szCs w:val="22"/>
        </w:rPr>
        <w:t>”), observado o procedimento previsto no parágrafo 3º do artigo 33 da Instrução CVM 400 (“</w:t>
      </w:r>
      <w:r w:rsidRPr="006E6128">
        <w:rPr>
          <w:rFonts w:asciiTheme="minorHAnsi" w:hAnsiTheme="minorHAnsi" w:cstheme="minorHAnsi"/>
          <w:i/>
          <w:iCs/>
          <w:sz w:val="22"/>
          <w:szCs w:val="22"/>
          <w:u w:val="single"/>
        </w:rPr>
        <w:t>Plano de Distribuição</w:t>
      </w:r>
      <w:r w:rsidRPr="006E6128">
        <w:rPr>
          <w:rFonts w:asciiTheme="minorHAnsi" w:hAnsiTheme="minorHAnsi" w:cstheme="minorHAnsi"/>
          <w:i/>
          <w:iCs/>
          <w:sz w:val="22"/>
          <w:szCs w:val="22"/>
        </w:rPr>
        <w:t>”). Os termos e condições do Plano de Distribuição seguem descritos no Contrato de Distribuição e nos demais documentos da Oferta. A Oferta não contará com esforços de colocação no exterior.”</w:t>
      </w:r>
    </w:p>
    <w:p w14:paraId="48B17ACA" w14:textId="1C1D9F3C" w:rsidR="0075411D" w:rsidRPr="006E6128" w:rsidRDefault="0075411D" w:rsidP="00A91001">
      <w:pPr>
        <w:keepNext/>
        <w:keepLines/>
        <w:tabs>
          <w:tab w:val="num" w:pos="851"/>
        </w:tabs>
        <w:spacing w:before="280" w:after="140" w:line="290" w:lineRule="auto"/>
        <w:ind w:left="709"/>
        <w:jc w:val="both"/>
        <w:outlineLvl w:val="0"/>
        <w:rPr>
          <w:rFonts w:asciiTheme="minorHAnsi" w:hAnsiTheme="minorHAnsi"/>
          <w:i/>
          <w:iCs/>
          <w:sz w:val="22"/>
          <w:szCs w:val="22"/>
        </w:rPr>
      </w:pPr>
      <w:r>
        <w:rPr>
          <w:rFonts w:ascii="Calibri" w:eastAsia="MS Mincho" w:hAnsi="Calibri" w:cs="Calibri"/>
          <w:b/>
          <w:i/>
          <w:iCs/>
          <w:color w:val="000000"/>
          <w:sz w:val="22"/>
          <w:szCs w:val="22"/>
          <w:lang w:eastAsia="pt-BR"/>
        </w:rPr>
        <w:t>“</w:t>
      </w:r>
      <w:r w:rsidRPr="0075411D">
        <w:rPr>
          <w:rFonts w:ascii="Calibri" w:eastAsia="MS Mincho" w:hAnsi="Calibri" w:cs="Calibri"/>
          <w:b/>
          <w:i/>
          <w:iCs/>
          <w:color w:val="000000"/>
          <w:sz w:val="22"/>
          <w:szCs w:val="22"/>
          <w:lang w:eastAsia="pt-BR"/>
        </w:rPr>
        <w:t>5.5.1.</w:t>
      </w:r>
      <w:r w:rsidRPr="0075411D">
        <w:rPr>
          <w:rFonts w:ascii="Calibri" w:eastAsia="MS Mincho" w:hAnsi="Calibri" w:cs="Calibri"/>
          <w:b/>
          <w:i/>
          <w:iCs/>
          <w:color w:val="000000"/>
          <w:sz w:val="22"/>
          <w:szCs w:val="22"/>
          <w:lang w:eastAsia="pt-BR"/>
        </w:rPr>
        <w:tab/>
      </w:r>
      <w:r w:rsidRPr="006E6128">
        <w:rPr>
          <w:rFonts w:ascii="Calibri" w:eastAsia="MS Mincho" w:hAnsi="Calibri" w:cs="Calibri"/>
          <w:bCs/>
          <w:i/>
          <w:iCs/>
          <w:color w:val="000000"/>
          <w:sz w:val="22"/>
          <w:szCs w:val="22"/>
          <w:lang w:eastAsia="pt-BR"/>
        </w:rPr>
        <w:t>Nos termos da Instrução CVM 400, a Oferta somente ocorrerá após: (i) a concessão do registro da Oferta pela CVM; (ii) a divulgação do anúncio de início de distribuição pública das Debêntures (“</w:t>
      </w:r>
      <w:r w:rsidRPr="006E6128">
        <w:rPr>
          <w:rFonts w:ascii="Calibri" w:eastAsia="MS Mincho" w:hAnsi="Calibri" w:cs="Calibri"/>
          <w:bCs/>
          <w:i/>
          <w:iCs/>
          <w:color w:val="000000"/>
          <w:sz w:val="22"/>
          <w:szCs w:val="22"/>
          <w:u w:val="single"/>
          <w:lang w:eastAsia="pt-BR"/>
        </w:rPr>
        <w:t>Anúncio de Início da Oferta</w:t>
      </w:r>
      <w:r w:rsidRPr="006E6128">
        <w:rPr>
          <w:rFonts w:ascii="Calibri" w:eastAsia="MS Mincho" w:hAnsi="Calibri" w:cs="Calibri"/>
          <w:bCs/>
          <w:i/>
          <w:iCs/>
          <w:color w:val="000000"/>
          <w:sz w:val="22"/>
          <w:szCs w:val="22"/>
          <w:lang w:eastAsia="pt-BR"/>
        </w:rPr>
        <w:t>”), nos termos do artigo 54-A da Instrução CVM 400; e (iii) a disponibilização de prospecto definitivo contendo informações sobre a Oferta (“</w:t>
      </w:r>
      <w:r w:rsidRPr="006E6128">
        <w:rPr>
          <w:rFonts w:ascii="Calibri" w:eastAsia="MS Mincho" w:hAnsi="Calibri" w:cs="Calibri"/>
          <w:bCs/>
          <w:i/>
          <w:iCs/>
          <w:color w:val="000000"/>
          <w:sz w:val="22"/>
          <w:szCs w:val="22"/>
          <w:u w:val="single"/>
          <w:lang w:eastAsia="pt-BR"/>
        </w:rPr>
        <w:t>Prospecto Definitivo</w:t>
      </w:r>
      <w:r w:rsidRPr="006E6128">
        <w:rPr>
          <w:rFonts w:ascii="Calibri" w:eastAsia="MS Mincho" w:hAnsi="Calibri" w:cs="Calibri"/>
          <w:bCs/>
          <w:i/>
          <w:iCs/>
          <w:color w:val="000000"/>
          <w:sz w:val="22"/>
          <w:szCs w:val="22"/>
          <w:lang w:eastAsia="pt-BR"/>
        </w:rPr>
        <w:t>”) aos investidores e seu envio à CVM, nos termos do artigo 42 da Instrução CVM 400.</w:t>
      </w:r>
      <w:r>
        <w:rPr>
          <w:rFonts w:ascii="Calibri" w:eastAsia="MS Mincho" w:hAnsi="Calibri" w:cs="Calibri"/>
          <w:bCs/>
          <w:i/>
          <w:iCs/>
          <w:color w:val="000000"/>
          <w:sz w:val="22"/>
          <w:szCs w:val="22"/>
          <w:lang w:eastAsia="pt-BR"/>
        </w:rPr>
        <w:t>”</w:t>
      </w:r>
    </w:p>
    <w:p w14:paraId="064E10F0" w14:textId="17EEB14C" w:rsidR="006B3C85"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t>As partes decidem alterar as seguintes Cláusulas 4.1, 5.3, 5.6, 5.6.1, 5.6.2, 5.6.</w:t>
      </w:r>
      <w:r w:rsidR="00EA4083">
        <w:rPr>
          <w:rFonts w:ascii="Calibri" w:eastAsia="MS Mincho" w:hAnsi="Calibri" w:cs="Calibri"/>
          <w:sz w:val="22"/>
          <w:szCs w:val="22"/>
          <w:lang w:eastAsia="pt-BR"/>
        </w:rPr>
        <w:t>4</w:t>
      </w:r>
      <w:r w:rsidRPr="006B3C85">
        <w:rPr>
          <w:rFonts w:ascii="Calibri" w:eastAsia="MS Mincho" w:hAnsi="Calibri" w:cs="Calibri"/>
          <w:sz w:val="22"/>
          <w:szCs w:val="22"/>
          <w:lang w:eastAsia="pt-BR"/>
        </w:rPr>
        <w:t xml:space="preserve">, 5.7, 5.7.1 e 6.9.5, 6.9.6, 6.9.7 e 6.9.8, incluir a Cláusula 4.2, e excluir a Cláusula 5.6.3 da Escritura de Emissão, de forma a refletir a conclusão e o resultado do Procedimento de </w:t>
      </w:r>
      <w:r w:rsidRPr="00CA7AFA">
        <w:rPr>
          <w:rFonts w:ascii="Calibri" w:eastAsia="MS Mincho" w:hAnsi="Calibri" w:cs="Calibri"/>
          <w:i/>
          <w:iCs/>
          <w:sz w:val="22"/>
          <w:szCs w:val="22"/>
          <w:lang w:eastAsia="pt-BR"/>
        </w:rPr>
        <w:t>Bookbuilding</w:t>
      </w:r>
      <w:r w:rsidRPr="006B3C85">
        <w:rPr>
          <w:rFonts w:ascii="Calibri" w:eastAsia="MS Mincho" w:hAnsi="Calibri" w:cs="Calibri"/>
          <w:sz w:val="22"/>
          <w:szCs w:val="22"/>
          <w:lang w:eastAsia="pt-BR"/>
        </w:rPr>
        <w:t xml:space="preserve"> que passarão a vigorar com as seguintes redações:</w:t>
      </w:r>
    </w:p>
    <w:p w14:paraId="6E40683B" w14:textId="062F7B5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
          <w:i/>
          <w:sz w:val="22"/>
          <w:szCs w:val="22"/>
          <w:lang w:eastAsia="pt-BR"/>
        </w:rPr>
        <w:t xml:space="preserve"> “</w:t>
      </w:r>
      <w:bookmarkStart w:id="3" w:name="_Hlk90026279"/>
      <w:r w:rsidRPr="006B3C85">
        <w:rPr>
          <w:rFonts w:ascii="Calibri" w:hAnsi="Calibri" w:cs="Calibri"/>
          <w:b/>
          <w:i/>
          <w:sz w:val="22"/>
          <w:szCs w:val="22"/>
          <w:lang w:eastAsia="pt-BR"/>
        </w:rPr>
        <w:t>4</w:t>
      </w:r>
      <w:r w:rsidRPr="006B3C85">
        <w:rPr>
          <w:rFonts w:ascii="Calibri" w:hAnsi="Calibri" w:cs="Calibri"/>
          <w:b/>
          <w:i/>
          <w:sz w:val="22"/>
          <w:szCs w:val="22"/>
          <w:lang w:eastAsia="pt-BR"/>
        </w:rPr>
        <w:tab/>
        <w:t>DESTINAÇÃO DOS RECURSOS</w:t>
      </w:r>
    </w:p>
    <w:p w14:paraId="37EB94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4.1.</w:t>
      </w:r>
      <w:r w:rsidRPr="006B3C85">
        <w:rPr>
          <w:rFonts w:ascii="Calibri" w:hAnsi="Calibri" w:cs="Calibri"/>
          <w:i/>
          <w:sz w:val="22"/>
          <w:szCs w:val="22"/>
          <w:lang w:eastAsia="pt-BR"/>
        </w:rPr>
        <w:tab/>
        <w:t xml:space="preserve">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w:t>
      </w:r>
      <w:r w:rsidRPr="006B3C85">
        <w:rPr>
          <w:rFonts w:ascii="Calibri" w:hAnsi="Calibri" w:cs="Calibri"/>
          <w:i/>
          <w:sz w:val="22"/>
          <w:szCs w:val="22"/>
          <w:lang w:eastAsia="pt-BR"/>
        </w:rPr>
        <w:lastRenderedPageBreak/>
        <w:t>de Minas e Energia, respectivamente, que aprovaram o enquadramento dos Projetos de Investimento (conforme definido abaixo) como prioritários, conforme detalhado abaixo:</w:t>
      </w:r>
    </w:p>
    <w:p w14:paraId="63A8D55C"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Pr="006B3C85">
        <w:rPr>
          <w:rFonts w:ascii="Calibri" w:hAnsi="Calibri" w:cs="Calibri"/>
          <w:b/>
          <w:i/>
          <w:sz w:val="22"/>
          <w:szCs w:val="22"/>
          <w:lang w:eastAsia="pt-BR"/>
        </w:rPr>
        <w:t>I.</w:t>
      </w:r>
      <w:r w:rsidRPr="006B3C85">
        <w:rPr>
          <w:rFonts w:ascii="Calibri" w:hAnsi="Calibri" w:cs="Calibri"/>
          <w:b/>
          <w:i/>
          <w:sz w:val="22"/>
          <w:szCs w:val="22"/>
          <w:lang w:eastAsia="pt-BR"/>
        </w:rPr>
        <w:tab/>
        <w:t>Portaria nº 21, de 04 de maio de 2021:</w:t>
      </w:r>
    </w:p>
    <w:p w14:paraId="5F0E0F2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projeto de investimento na atividade de produção e estocagem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e Melhoria Operacional para produção de biocombustível na Usina Boa Vista” (“</w:t>
      </w:r>
      <w:r w:rsidRPr="00990E68">
        <w:rPr>
          <w:rFonts w:ascii="Calibri" w:hAnsi="Calibri" w:cs="Calibri"/>
          <w:bCs/>
          <w:i/>
          <w:sz w:val="22"/>
          <w:szCs w:val="22"/>
          <w:u w:val="single"/>
          <w:lang w:eastAsia="pt-BR"/>
        </w:rPr>
        <w:t xml:space="preserve">Projeto </w:t>
      </w:r>
      <w:proofErr w:type="spellStart"/>
      <w:r w:rsidRPr="00990E68">
        <w:rPr>
          <w:rFonts w:ascii="Calibri" w:hAnsi="Calibri" w:cs="Calibri"/>
          <w:bCs/>
          <w:i/>
          <w:sz w:val="22"/>
          <w:szCs w:val="22"/>
          <w:u w:val="single"/>
          <w:lang w:eastAsia="pt-BR"/>
        </w:rPr>
        <w:t>Capex</w:t>
      </w:r>
      <w:proofErr w:type="spellEnd"/>
      <w:r w:rsidRPr="00990E68">
        <w:rPr>
          <w:rFonts w:ascii="Calibri" w:hAnsi="Calibri" w:cs="Calibri"/>
          <w:bCs/>
          <w:i/>
          <w:sz w:val="22"/>
          <w:szCs w:val="22"/>
          <w:u w:val="single"/>
          <w:lang w:eastAsia="pt-BR"/>
        </w:rPr>
        <w:t xml:space="preserve"> Boa Vista</w:t>
      </w:r>
      <w:r w:rsidRPr="006B3C85">
        <w:rPr>
          <w:rFonts w:ascii="Calibri" w:hAnsi="Calibri" w:cs="Calibri"/>
          <w:bCs/>
          <w:i/>
          <w:sz w:val="22"/>
          <w:szCs w:val="22"/>
          <w:lang w:eastAsia="pt-BR"/>
        </w:rPr>
        <w:t>”);</w:t>
      </w:r>
    </w:p>
    <w:p w14:paraId="39671D43"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01 de abril de 2021;</w:t>
      </w:r>
    </w:p>
    <w:p w14:paraId="43DA56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encontra-se na fase de execução;</w:t>
      </w:r>
    </w:p>
    <w:p w14:paraId="2A3A165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22 de novembro de 2023;</w:t>
      </w:r>
    </w:p>
    <w:p w14:paraId="1176BAE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R$ 500.000.000,00 (quinhentos milhões de reais);</w:t>
      </w:r>
    </w:p>
    <w:p w14:paraId="12ED0078" w14:textId="6F3AC978"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w:t>
      </w:r>
      <w:r w:rsidR="0024019D" w:rsidRPr="00DF6CDF">
        <w:rPr>
          <w:rFonts w:ascii="Calibri" w:hAnsi="Calibri" w:cs="Calibri"/>
          <w:bCs/>
          <w:i/>
          <w:sz w:val="22"/>
          <w:szCs w:val="22"/>
          <w:lang w:eastAsia="pt-BR"/>
        </w:rPr>
        <w:t>95.443.564,00 (noventa e cinco milhões e quatrocentos e quarenta e três mil e quinhentos e sessenta e quatro reais)</w:t>
      </w:r>
      <w:r w:rsidR="0024019D" w:rsidRPr="006B3C85">
        <w:rPr>
          <w:rFonts w:ascii="Calibri" w:hAnsi="Calibri" w:cs="Calibri"/>
          <w:bCs/>
          <w:i/>
          <w:sz w:val="22"/>
          <w:szCs w:val="22"/>
          <w:lang w:eastAsia="pt-BR"/>
        </w:rPr>
        <w:t>;</w:t>
      </w:r>
    </w:p>
    <w:p w14:paraId="2937B930" w14:textId="19A44AF4"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59C825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6E5D233E" w14:textId="7711A76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i</w:t>
      </w:r>
      <w:r w:rsidRPr="006B3C85">
        <w:rPr>
          <w:rFonts w:ascii="Calibri" w:hAnsi="Calibri" w:cs="Calibri"/>
          <w:bCs/>
          <w:i/>
          <w:sz w:val="22"/>
          <w:szCs w:val="22"/>
          <w:lang w:eastAsia="pt-BR"/>
        </w:rPr>
        <w:t>) Alocação dos recursos a serem captados por meio da Emissão: plantio de cana-de-açúcar, manutenção de entressafra, novos equipamentos, reposição de equipamentos tratos culturais, gatos ambientais e legais;</w:t>
      </w:r>
    </w:p>
    <w:p w14:paraId="061E0254" w14:textId="52F23601"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j</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provenientes da Emissão: os recursos provenientes da Emissão correspondem a aproximadamente </w:t>
      </w:r>
      <w:r w:rsidR="0024019D" w:rsidRPr="00DF6CDF">
        <w:rPr>
          <w:rFonts w:ascii="Calibri" w:hAnsi="Calibri" w:cs="Calibri"/>
          <w:bCs/>
          <w:i/>
          <w:sz w:val="22"/>
          <w:szCs w:val="22"/>
          <w:lang w:eastAsia="pt-BR"/>
        </w:rPr>
        <w:t>19,10% (dezenove inteiros e dez centésimos por cento)</w:t>
      </w:r>
      <w:r w:rsidRPr="006B3C85">
        <w:rPr>
          <w:rFonts w:ascii="Calibri" w:hAnsi="Calibri" w:cs="Calibri"/>
          <w:bCs/>
          <w:i/>
          <w:sz w:val="22"/>
          <w:szCs w:val="22"/>
          <w:lang w:eastAsia="pt-BR"/>
        </w:rPr>
        <w:t xml:space="preserve"> do valor total de recursos financeiros necessários a</w:t>
      </w:r>
      <w:r w:rsidR="00990E68">
        <w:rPr>
          <w:rFonts w:ascii="Calibri" w:hAnsi="Calibri" w:cs="Calibri"/>
          <w:bCs/>
          <w:i/>
          <w:sz w:val="22"/>
          <w:szCs w:val="22"/>
          <w:lang w:eastAsia="pt-BR"/>
        </w:rPr>
        <w:t>o</w:t>
      </w:r>
      <w:r w:rsidRPr="006B3C85">
        <w:rPr>
          <w:rFonts w:ascii="Calibri" w:hAnsi="Calibri" w:cs="Calibri"/>
          <w:bCs/>
          <w:i/>
          <w:sz w:val="22"/>
          <w:szCs w:val="22"/>
          <w:lang w:eastAsia="pt-BR"/>
        </w:rPr>
        <w:t xml:space="preserve">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484C0D4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II.</w:t>
      </w:r>
      <w:r w:rsidRPr="006B3C85">
        <w:rPr>
          <w:rFonts w:ascii="Calibri" w:hAnsi="Calibri" w:cs="Calibri"/>
          <w:bCs/>
          <w:i/>
          <w:sz w:val="22"/>
          <w:szCs w:val="22"/>
          <w:lang w:eastAsia="pt-BR"/>
        </w:rPr>
        <w:tab/>
      </w:r>
      <w:r w:rsidRPr="0024019D">
        <w:rPr>
          <w:rFonts w:ascii="Calibri" w:hAnsi="Calibri" w:cs="Calibri"/>
          <w:b/>
          <w:i/>
          <w:sz w:val="22"/>
          <w:szCs w:val="22"/>
          <w:lang w:eastAsia="pt-BR"/>
        </w:rPr>
        <w:t>Portaria nº 35/SPG/MME, de 18 de outubro de 2021:</w:t>
      </w:r>
    </w:p>
    <w:p w14:paraId="28A668E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projeto de investimento na atividade de produção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para produção de Biocombustível na Usina São Martinho, Usina Santa Cruz e Usina Iracema”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 em conjunto com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os “Projetos de Investimento”);</w:t>
      </w:r>
    </w:p>
    <w:p w14:paraId="13137F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01 de abril de 2021;</w:t>
      </w:r>
    </w:p>
    <w:p w14:paraId="6E1898B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lastRenderedPageBreak/>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encontra-se na fase de execução;</w:t>
      </w:r>
    </w:p>
    <w:p w14:paraId="40A714D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31 de março de 2023;</w:t>
      </w:r>
    </w:p>
    <w:p w14:paraId="64D697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R$1.104.556.436,00 (um bilhão e cento e quatro milhões e quinhentos e cinquenta e seis mil e quatrocentos e trinta e seis reais);</w:t>
      </w:r>
    </w:p>
    <w:p w14:paraId="1783BF14" w14:textId="1C8403BD"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w:t>
      </w:r>
      <w:r w:rsidR="0024019D" w:rsidRPr="006B3C85">
        <w:rPr>
          <w:rFonts w:ascii="Calibri" w:hAnsi="Calibri" w:cs="Calibri"/>
          <w:bCs/>
          <w:i/>
          <w:sz w:val="22"/>
          <w:szCs w:val="22"/>
          <w:lang w:eastAsia="pt-BR"/>
        </w:rPr>
        <w:t xml:space="preserve">Usinas: R$ </w:t>
      </w:r>
      <w:r w:rsidR="0024019D" w:rsidRPr="00DF6CDF">
        <w:rPr>
          <w:rFonts w:ascii="Calibri" w:hAnsi="Calibri" w:cs="Calibri"/>
          <w:bCs/>
          <w:i/>
          <w:sz w:val="22"/>
          <w:szCs w:val="22"/>
          <w:lang w:eastAsia="pt-BR"/>
        </w:rPr>
        <w:t>1.104.556.436,00</w:t>
      </w:r>
      <w:r w:rsidR="0024019D">
        <w:rPr>
          <w:rFonts w:ascii="Calibri" w:hAnsi="Calibri" w:cs="Calibri"/>
          <w:bCs/>
          <w:i/>
          <w:sz w:val="22"/>
          <w:szCs w:val="22"/>
          <w:lang w:eastAsia="pt-BR"/>
        </w:rPr>
        <w:t xml:space="preserve"> </w:t>
      </w:r>
      <w:r w:rsidR="0024019D" w:rsidRPr="00DF6CDF">
        <w:rPr>
          <w:rFonts w:ascii="Calibri" w:hAnsi="Calibri" w:cs="Calibri"/>
          <w:bCs/>
          <w:i/>
          <w:sz w:val="22"/>
          <w:szCs w:val="22"/>
          <w:lang w:eastAsia="pt-BR"/>
        </w:rPr>
        <w:t>(</w:t>
      </w:r>
      <w:r w:rsidR="0024019D">
        <w:rPr>
          <w:rFonts w:ascii="Calibri" w:hAnsi="Calibri" w:cs="Calibri"/>
          <w:bCs/>
          <w:i/>
          <w:sz w:val="22"/>
          <w:szCs w:val="22"/>
          <w:lang w:eastAsia="pt-BR"/>
        </w:rPr>
        <w:t xml:space="preserve">um bilhão cento </w:t>
      </w:r>
      <w:r w:rsidR="0024019D" w:rsidRPr="00DF6CDF">
        <w:rPr>
          <w:rFonts w:ascii="Calibri" w:hAnsi="Calibri" w:cs="Calibri"/>
          <w:bCs/>
          <w:i/>
          <w:sz w:val="22"/>
          <w:szCs w:val="22"/>
          <w:lang w:eastAsia="pt-BR"/>
        </w:rPr>
        <w:t>e quatro milhões e quinhentos e cinquenta e seis mil e quatrocentos e trinta e seis reais)</w:t>
      </w:r>
      <w:r w:rsidRPr="006B3C85">
        <w:rPr>
          <w:rFonts w:ascii="Calibri" w:hAnsi="Calibri" w:cs="Calibri"/>
          <w:bCs/>
          <w:i/>
          <w:sz w:val="22"/>
          <w:szCs w:val="22"/>
          <w:lang w:eastAsia="pt-BR"/>
        </w:rPr>
        <w:t xml:space="preserve">; </w:t>
      </w:r>
    </w:p>
    <w:p w14:paraId="34460F99" w14:textId="3BD040E6"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a emissão das Debêntures Adicionais, que se estima alocar no </w:t>
      </w:r>
      <w:bookmarkStart w:id="4" w:name="_Hlk93314029"/>
      <w:r w:rsidR="0024019D" w:rsidRPr="006B3C85">
        <w:rPr>
          <w:rFonts w:ascii="Calibri" w:hAnsi="Calibri" w:cs="Calibri"/>
          <w:bCs/>
          <w:i/>
          <w:sz w:val="22"/>
          <w:szCs w:val="22"/>
          <w:lang w:eastAsia="pt-BR"/>
        </w:rPr>
        <w:t xml:space="preserve">Projeto </w:t>
      </w:r>
      <w:proofErr w:type="spellStart"/>
      <w:r w:rsidR="0024019D" w:rsidRPr="006B3C85">
        <w:rPr>
          <w:rFonts w:ascii="Calibri" w:hAnsi="Calibri" w:cs="Calibri"/>
          <w:bCs/>
          <w:i/>
          <w:sz w:val="22"/>
          <w:szCs w:val="22"/>
          <w:lang w:eastAsia="pt-BR"/>
        </w:rPr>
        <w:t>Capex</w:t>
      </w:r>
      <w:proofErr w:type="spellEnd"/>
      <w:r w:rsidR="0024019D" w:rsidRPr="006B3C85">
        <w:rPr>
          <w:rFonts w:ascii="Calibri" w:hAnsi="Calibri" w:cs="Calibri"/>
          <w:bCs/>
          <w:i/>
          <w:sz w:val="22"/>
          <w:szCs w:val="22"/>
          <w:lang w:eastAsia="pt-BR"/>
        </w:rPr>
        <w:t xml:space="preserve"> Usinas</w:t>
      </w:r>
      <w:bookmarkEnd w:id="4"/>
      <w:r w:rsidRPr="006B3C85">
        <w:rPr>
          <w:rFonts w:ascii="Calibri" w:hAnsi="Calibri" w:cs="Calibri"/>
          <w:bCs/>
          <w:i/>
          <w:sz w:val="22"/>
          <w:szCs w:val="22"/>
          <w:lang w:eastAsia="pt-BR"/>
        </w:rPr>
        <w:t>;</w:t>
      </w:r>
    </w:p>
    <w:p w14:paraId="7ED1364C" w14:textId="5D419E3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w:t>
      </w:r>
      <w:bookmarkStart w:id="5" w:name="_Hlk93314061"/>
      <w:r w:rsidR="0024019D" w:rsidRPr="006B3C85">
        <w:rPr>
          <w:rFonts w:ascii="Calibri" w:hAnsi="Calibri" w:cs="Calibri"/>
          <w:bCs/>
          <w:i/>
          <w:sz w:val="22"/>
          <w:szCs w:val="22"/>
          <w:lang w:eastAsia="pt-BR"/>
        </w:rPr>
        <w:t xml:space="preserve">Percentual que a Emissora estima captar para o Projeto </w:t>
      </w:r>
      <w:proofErr w:type="spellStart"/>
      <w:r w:rsidR="0024019D" w:rsidRPr="006B3C85">
        <w:rPr>
          <w:rFonts w:ascii="Calibri" w:hAnsi="Calibri" w:cs="Calibri"/>
          <w:bCs/>
          <w:i/>
          <w:sz w:val="22"/>
          <w:szCs w:val="22"/>
          <w:lang w:eastAsia="pt-BR"/>
        </w:rPr>
        <w:t>Capex</w:t>
      </w:r>
      <w:proofErr w:type="spellEnd"/>
      <w:r w:rsidR="0024019D" w:rsidRPr="006B3C85">
        <w:rPr>
          <w:rFonts w:ascii="Calibri" w:hAnsi="Calibri" w:cs="Calibri"/>
          <w:bCs/>
          <w:i/>
          <w:sz w:val="22"/>
          <w:szCs w:val="22"/>
          <w:lang w:eastAsia="pt-BR"/>
        </w:rPr>
        <w:t xml:space="preserve"> Usinas, nos termos da alínea (f) acima, frente às necessidades do Projeto </w:t>
      </w:r>
      <w:proofErr w:type="spellStart"/>
      <w:r w:rsidR="0024019D" w:rsidRPr="006B3C85">
        <w:rPr>
          <w:rFonts w:ascii="Calibri" w:hAnsi="Calibri" w:cs="Calibri"/>
          <w:bCs/>
          <w:i/>
          <w:sz w:val="22"/>
          <w:szCs w:val="22"/>
          <w:lang w:eastAsia="pt-BR"/>
        </w:rPr>
        <w:t>Capex</w:t>
      </w:r>
      <w:proofErr w:type="spellEnd"/>
      <w:r w:rsidR="0024019D" w:rsidRPr="006B3C85">
        <w:rPr>
          <w:rFonts w:ascii="Calibri" w:hAnsi="Calibri" w:cs="Calibri"/>
          <w:bCs/>
          <w:i/>
          <w:sz w:val="22"/>
          <w:szCs w:val="22"/>
          <w:lang w:eastAsia="pt-BR"/>
        </w:rPr>
        <w:t xml:space="preserve"> Usinas indicadas na alínea (e)</w:t>
      </w:r>
      <w:bookmarkEnd w:id="5"/>
      <w:r w:rsidRPr="006B3C85">
        <w:rPr>
          <w:rFonts w:ascii="Calibri" w:hAnsi="Calibri" w:cs="Calibri"/>
          <w:bCs/>
          <w:i/>
          <w:sz w:val="22"/>
          <w:szCs w:val="22"/>
          <w:lang w:eastAsia="pt-BR"/>
        </w:rPr>
        <w:t>;</w:t>
      </w:r>
    </w:p>
    <w:p w14:paraId="3B1CFA05"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 Alocação dos recursos a serem captados por meio da Emissão: plantio de cana-de-açúcar, manutenção de entressafra, novos equipamentos, reposição de equipamentos tratos culturais, gatos ambientais e legais;</w:t>
      </w:r>
    </w:p>
    <w:p w14:paraId="61B067C2" w14:textId="219E199D"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(j) Valor da Emissão que será destinado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 </w:t>
      </w:r>
      <w:r w:rsidR="0024019D" w:rsidRPr="000D62CB">
        <w:rPr>
          <w:rFonts w:ascii="Calibri" w:hAnsi="Calibri" w:cs="Calibri"/>
          <w:bCs/>
          <w:i/>
          <w:sz w:val="22"/>
          <w:szCs w:val="22"/>
          <w:lang w:eastAsia="pt-BR"/>
        </w:rPr>
        <w:t>1.104.556.436,00 (um bilhão cento e quatro milhões e quinhentos e cinquenta e seis mil e quatrocentos e trinta e seis reais)</w:t>
      </w:r>
      <w:r w:rsidRPr="006B3C85">
        <w:rPr>
          <w:rFonts w:ascii="Calibri" w:hAnsi="Calibri" w:cs="Calibri"/>
          <w:bCs/>
          <w:i/>
          <w:sz w:val="22"/>
          <w:szCs w:val="22"/>
          <w:lang w:eastAsia="pt-BR"/>
        </w:rPr>
        <w:t xml:space="preserve">; </w:t>
      </w:r>
    </w:p>
    <w:p w14:paraId="4789646E"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(k) Alocação dos recursos a serem captados por meio da Emissão: manutenção dos canaviais e das indústrias, especificamente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CDE9976" w14:textId="0F90362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 xml:space="preserve">(l)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w:t>
      </w:r>
      <w:r w:rsidR="0024019D">
        <w:rPr>
          <w:rFonts w:ascii="Calibri" w:hAnsi="Calibri" w:cs="Calibri"/>
          <w:bCs/>
          <w:i/>
          <w:sz w:val="22"/>
          <w:szCs w:val="22"/>
          <w:lang w:eastAsia="pt-BR"/>
        </w:rPr>
        <w:t>Usinas</w:t>
      </w:r>
      <w:r w:rsidR="0024019D" w:rsidRPr="006B3C85">
        <w:rPr>
          <w:rFonts w:ascii="Calibri" w:hAnsi="Calibri" w:cs="Calibri"/>
          <w:bCs/>
          <w:i/>
          <w:sz w:val="22"/>
          <w:szCs w:val="22"/>
          <w:lang w:eastAsia="pt-BR"/>
        </w:rPr>
        <w:t xml:space="preserve"> </w:t>
      </w:r>
      <w:r w:rsidRPr="006B3C85">
        <w:rPr>
          <w:rFonts w:ascii="Calibri" w:hAnsi="Calibri" w:cs="Calibri"/>
          <w:bCs/>
          <w:i/>
          <w:sz w:val="22"/>
          <w:szCs w:val="22"/>
          <w:lang w:eastAsia="pt-BR"/>
        </w:rPr>
        <w:t xml:space="preserve">provenientes da Emissão: os recursos provenientes da Emissão correspondem a aproximadamente </w:t>
      </w:r>
      <w:r w:rsidR="0024019D">
        <w:rPr>
          <w:rFonts w:ascii="Calibri" w:hAnsi="Calibri" w:cs="Calibri"/>
          <w:bCs/>
          <w:i/>
          <w:sz w:val="22"/>
          <w:szCs w:val="22"/>
          <w:lang w:eastAsia="pt-BR"/>
        </w:rPr>
        <w:t>100</w:t>
      </w:r>
      <w:r w:rsidR="0024019D" w:rsidRPr="006B3C85">
        <w:rPr>
          <w:rFonts w:ascii="Calibri" w:hAnsi="Calibri" w:cs="Calibri"/>
          <w:bCs/>
          <w:i/>
          <w:sz w:val="22"/>
          <w:szCs w:val="22"/>
          <w:lang w:eastAsia="pt-BR"/>
        </w:rPr>
        <w:t>% (</w:t>
      </w:r>
      <w:r w:rsidR="0024019D">
        <w:rPr>
          <w:rFonts w:ascii="Calibri" w:hAnsi="Calibri" w:cs="Calibri"/>
          <w:bCs/>
          <w:i/>
          <w:sz w:val="22"/>
          <w:szCs w:val="22"/>
          <w:lang w:eastAsia="pt-BR"/>
        </w:rPr>
        <w:t>cem por cento</w:t>
      </w:r>
      <w:r w:rsidRPr="006B3C85">
        <w:rPr>
          <w:rFonts w:ascii="Calibri" w:hAnsi="Calibri" w:cs="Calibri"/>
          <w:bCs/>
          <w:i/>
          <w:sz w:val="22"/>
          <w:szCs w:val="22"/>
          <w:lang w:eastAsia="pt-BR"/>
        </w:rPr>
        <w:t>)</w:t>
      </w:r>
      <w:r w:rsidR="00671173">
        <w:rPr>
          <w:rFonts w:ascii="Calibri" w:hAnsi="Calibri" w:cs="Calibri"/>
          <w:bCs/>
          <w:i/>
          <w:sz w:val="22"/>
          <w:szCs w:val="22"/>
          <w:lang w:eastAsia="pt-BR"/>
        </w:rPr>
        <w:t xml:space="preserve"> </w:t>
      </w:r>
      <w:r w:rsidRPr="006B3C85">
        <w:rPr>
          <w:rFonts w:ascii="Calibri" w:hAnsi="Calibri" w:cs="Calibri"/>
          <w:bCs/>
          <w:i/>
          <w:sz w:val="22"/>
          <w:szCs w:val="22"/>
          <w:lang w:eastAsia="pt-BR"/>
        </w:rPr>
        <w:t xml:space="preserve">do valor total de recursos financeiros necessários 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w:t>
      </w:r>
    </w:p>
    <w:p w14:paraId="02B24B57" w14:textId="584C20D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4.2.</w:t>
      </w:r>
      <w:r w:rsidRPr="006B3C85">
        <w:rPr>
          <w:rFonts w:ascii="Calibri" w:hAnsi="Calibri" w:cs="Calibri"/>
          <w:i/>
          <w:sz w:val="22"/>
          <w:szCs w:val="22"/>
          <w:lang w:eastAsia="pt-BR"/>
        </w:rPr>
        <w:tab/>
      </w:r>
      <w:r w:rsidR="00C81589">
        <w:rPr>
          <w:rFonts w:ascii="Calibri" w:hAnsi="Calibri" w:cs="Calibri"/>
          <w:i/>
          <w:sz w:val="22"/>
          <w:szCs w:val="22"/>
          <w:lang w:eastAsia="pt-BR"/>
        </w:rPr>
        <w:t>C</w:t>
      </w:r>
      <w:r w:rsidRPr="006B3C85">
        <w:rPr>
          <w:rFonts w:ascii="Calibri" w:hAnsi="Calibri" w:cs="Calibri"/>
          <w:i/>
          <w:sz w:val="22"/>
          <w:szCs w:val="22"/>
          <w:lang w:eastAsia="pt-BR"/>
        </w:rPr>
        <w:t xml:space="preserve">onsiderando a emissão das Debêntures Adicionais, no valor de R$ </w:t>
      </w:r>
      <w:r w:rsidR="00C81589">
        <w:rPr>
          <w:rFonts w:ascii="Calibri" w:hAnsi="Calibri" w:cs="Calibri"/>
          <w:i/>
          <w:sz w:val="22"/>
          <w:szCs w:val="22"/>
          <w:lang w:eastAsia="pt-BR"/>
        </w:rPr>
        <w:t>200.000.000,00</w:t>
      </w:r>
      <w:r w:rsidRPr="006B3C85">
        <w:rPr>
          <w:rFonts w:ascii="Calibri" w:hAnsi="Calibri" w:cs="Calibri"/>
          <w:i/>
          <w:sz w:val="22"/>
          <w:szCs w:val="22"/>
          <w:lang w:eastAsia="pt-BR"/>
        </w:rPr>
        <w:t xml:space="preserve"> </w:t>
      </w:r>
      <w:r w:rsidR="00C81589" w:rsidRPr="006B3C85">
        <w:rPr>
          <w:rFonts w:ascii="Calibri" w:hAnsi="Calibri" w:cs="Calibri"/>
          <w:i/>
          <w:sz w:val="22"/>
          <w:szCs w:val="22"/>
          <w:lang w:eastAsia="pt-BR"/>
        </w:rPr>
        <w:t>(</w:t>
      </w:r>
      <w:r w:rsidR="00C81589">
        <w:rPr>
          <w:rFonts w:ascii="Calibri" w:hAnsi="Calibri" w:cs="Calibri"/>
          <w:i/>
          <w:sz w:val="22"/>
          <w:szCs w:val="22"/>
          <w:lang w:eastAsia="pt-BR"/>
        </w:rPr>
        <w:t>duzentos milhões de reais</w:t>
      </w:r>
      <w:r w:rsidR="00C81589" w:rsidRPr="006B3C85">
        <w:rPr>
          <w:rFonts w:ascii="Calibri" w:hAnsi="Calibri" w:cs="Calibri"/>
          <w:i/>
          <w:sz w:val="22"/>
          <w:szCs w:val="22"/>
          <w:lang w:eastAsia="pt-BR"/>
        </w:rPr>
        <w:t xml:space="preserve">), </w:t>
      </w:r>
      <w:r w:rsidRPr="006B3C85">
        <w:rPr>
          <w:rFonts w:ascii="Calibri" w:hAnsi="Calibri" w:cs="Calibri"/>
          <w:i/>
          <w:sz w:val="22"/>
          <w:szCs w:val="22"/>
          <w:lang w:eastAsia="pt-BR"/>
        </w:rPr>
        <w:t>a totalidade dos recursos líquidos captados pela Emissora por meio da colocação de Debêntures Adicionais será destinada integralmente para os Projetos de Investimento, conforme condições previstas nesta Cláusula 4ª.</w:t>
      </w:r>
    </w:p>
    <w:p w14:paraId="0D010BAB"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sidDel="00406966">
        <w:rPr>
          <w:rFonts w:ascii="Calibri" w:hAnsi="Calibri" w:cs="Calibri"/>
          <w:sz w:val="22"/>
          <w:szCs w:val="22"/>
          <w:lang w:eastAsia="pt-BR"/>
        </w:rPr>
        <w:t xml:space="preserve"> </w:t>
      </w:r>
      <w:r w:rsidRPr="006B3C85">
        <w:rPr>
          <w:rFonts w:ascii="Calibri" w:hAnsi="Calibri" w:cs="Calibri"/>
          <w:b/>
          <w:i/>
          <w:sz w:val="22"/>
          <w:szCs w:val="22"/>
          <w:lang w:eastAsia="pt-BR"/>
        </w:rPr>
        <w:t>“5. CARACTERÍSTICAS DA EMISSÃO E DAS DEBÊNTURES</w:t>
      </w:r>
    </w:p>
    <w:p w14:paraId="7C2968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p>
    <w:p w14:paraId="5B971A9D" w14:textId="15459D74"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Cs/>
          <w:i/>
          <w:sz w:val="22"/>
          <w:szCs w:val="22"/>
          <w:lang w:eastAsia="pt-BR"/>
        </w:rPr>
        <w:lastRenderedPageBreak/>
        <w:t>5.3.</w:t>
      </w:r>
      <w:r w:rsidRPr="006B3C85">
        <w:rPr>
          <w:rFonts w:ascii="Calibri" w:hAnsi="Calibri" w:cs="Calibri"/>
          <w:b/>
          <w:i/>
          <w:sz w:val="22"/>
          <w:szCs w:val="22"/>
          <w:lang w:eastAsia="pt-BR"/>
        </w:rPr>
        <w:tab/>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O valor total da Emissão será</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w:t>
      </w:r>
      <w:r w:rsidR="00C81589">
        <w:rPr>
          <w:rFonts w:ascii="Calibri" w:hAnsi="Calibri" w:cs="Calibri"/>
          <w:i/>
          <w:sz w:val="22"/>
          <w:szCs w:val="22"/>
          <w:lang w:eastAsia="pt-BR"/>
        </w:rPr>
        <w:t xml:space="preserve"> 1.200.000.000,00</w:t>
      </w:r>
      <w:r w:rsidRPr="006B3C85">
        <w:rPr>
          <w:rFonts w:ascii="Calibri" w:hAnsi="Calibri" w:cs="Calibri"/>
          <w:bCs/>
          <w:i/>
          <w:sz w:val="22"/>
          <w:szCs w:val="22"/>
          <w:lang w:eastAsia="pt-BR"/>
        </w:rPr>
        <w:t xml:space="preserve"> </w:t>
      </w:r>
      <w:r w:rsidR="00C81589" w:rsidRPr="006B3C85">
        <w:rPr>
          <w:rFonts w:ascii="Calibri" w:hAnsi="Calibri" w:cs="Calibri"/>
          <w:bCs/>
          <w:i/>
          <w:sz w:val="22"/>
          <w:szCs w:val="22"/>
          <w:lang w:eastAsia="pt-BR"/>
        </w:rPr>
        <w:t>(</w:t>
      </w:r>
      <w:r w:rsidR="00C81589">
        <w:rPr>
          <w:rFonts w:ascii="Calibri" w:hAnsi="Calibri" w:cs="Calibri"/>
          <w:i/>
          <w:sz w:val="22"/>
          <w:szCs w:val="22"/>
          <w:lang w:eastAsia="pt-BR"/>
        </w:rPr>
        <w:t>um bilhão e duzentos milhões</w:t>
      </w:r>
      <w:r w:rsidR="00C81589"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reais),</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na Data de Emissão (“</w:t>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considerando as Debêntures Adicionais (conforme abaixo definido).</w:t>
      </w:r>
    </w:p>
    <w:p w14:paraId="4EE4D69F"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r w:rsidRPr="006B3C85">
        <w:rPr>
          <w:rFonts w:ascii="Calibri" w:hAnsi="Calibri" w:cs="Calibri"/>
          <w:i/>
          <w:sz w:val="22"/>
          <w:szCs w:val="22"/>
          <w:lang w:eastAsia="pt-BR"/>
        </w:rPr>
        <w:t>...)</w:t>
      </w:r>
    </w:p>
    <w:p w14:paraId="3C0A6695" w14:textId="5E7300A0"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Pr="006B3C85">
        <w:rPr>
          <w:rFonts w:ascii="Calibri" w:hAnsi="Calibri" w:cs="Calibri"/>
          <w:i/>
          <w:sz w:val="22"/>
          <w:szCs w:val="22"/>
          <w:lang w:eastAsia="pt-BR"/>
        </w:rPr>
        <w:tab/>
      </w:r>
      <w:r w:rsidRPr="006B3C85">
        <w:rPr>
          <w:rFonts w:ascii="Calibri" w:hAnsi="Calibri" w:cs="Calibri"/>
          <w:i/>
          <w:sz w:val="22"/>
          <w:szCs w:val="22"/>
          <w:u w:val="single"/>
          <w:lang w:eastAsia="pt-BR"/>
        </w:rPr>
        <w:t>Coleta de Intenções de Investimento (Procedimento de Bookbuilding)</w:t>
      </w:r>
      <w:r w:rsidRPr="006B3C85">
        <w:rPr>
          <w:rFonts w:ascii="Calibri" w:hAnsi="Calibri" w:cs="Calibri"/>
          <w:i/>
          <w:sz w:val="22"/>
          <w:szCs w:val="22"/>
          <w:lang w:eastAsia="pt-BR"/>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w:t>
      </w:r>
      <w:r w:rsidR="00C81589">
        <w:rPr>
          <w:rFonts w:ascii="Calibri" w:hAnsi="Calibri" w:cs="Calibri"/>
          <w:i/>
          <w:sz w:val="22"/>
          <w:szCs w:val="22"/>
          <w:lang w:eastAsia="pt-BR"/>
        </w:rPr>
        <w:t>,</w:t>
      </w:r>
      <w:r w:rsidR="00C81589" w:rsidRPr="006B3C85" w:rsidDel="00C81589">
        <w:rPr>
          <w:rFonts w:ascii="Calibri" w:hAnsi="Calibri" w:cs="Calibri"/>
          <w:i/>
          <w:sz w:val="22"/>
          <w:szCs w:val="22"/>
          <w:lang w:eastAsia="pt-BR"/>
        </w:rPr>
        <w:t xml:space="preserve"> </w:t>
      </w:r>
      <w:r w:rsidRPr="006B3C85">
        <w:rPr>
          <w:rFonts w:ascii="Calibri" w:hAnsi="Calibri" w:cs="Calibri"/>
          <w:i/>
          <w:sz w:val="22"/>
          <w:szCs w:val="22"/>
          <w:lang w:eastAsia="pt-BR"/>
        </w:rPr>
        <w:t>considerando as Debêntures Adicionais, e, sendo verificada tal demanda, definiu sobre a realização da Emissão em 2 (duas) séries; (ii) definiu sobre a emissão e a quantidade de Debêntures, observado o disposto na Cláusula 6.8 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das Debêntures Adicionais, bem como as respectivas Séries nas quais foram alocadas as Debêntures Adicionais e, consequentemente, a quantidade de Debêntures alocada em cada uma das Séries.</w:t>
      </w:r>
    </w:p>
    <w:p w14:paraId="760E2D4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5.6.1.</w:t>
      </w:r>
      <w:r w:rsidRPr="006B3C85">
        <w:rPr>
          <w:rFonts w:ascii="Calibri" w:hAnsi="Calibri" w:cs="Calibri"/>
          <w:i/>
          <w:sz w:val="22"/>
          <w:szCs w:val="22"/>
          <w:lang w:eastAsia="pt-BR"/>
        </w:rPr>
        <w:tab/>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6B3C85">
        <w:rPr>
          <w:rFonts w:ascii="Calibri" w:hAnsi="Calibri" w:cs="Calibri"/>
          <w:i/>
          <w:sz w:val="22"/>
          <w:szCs w:val="22"/>
          <w:u w:val="single"/>
          <w:lang w:eastAsia="pt-BR"/>
        </w:rPr>
        <w:t>Sistema de Vasos Comunicantes</w:t>
      </w:r>
      <w:r w:rsidRPr="006B3C85">
        <w:rPr>
          <w:rFonts w:ascii="Calibri" w:hAnsi="Calibri" w:cs="Calibri"/>
          <w:i/>
          <w:sz w:val="22"/>
          <w:szCs w:val="22"/>
          <w:lang w:eastAsia="pt-BR"/>
        </w:rPr>
        <w:t>”).</w:t>
      </w:r>
    </w:p>
    <w:p w14:paraId="18EC041E"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5.6.2.</w:t>
      </w:r>
      <w:r w:rsidRPr="006B3C85">
        <w:rPr>
          <w:rFonts w:ascii="Calibri" w:hAnsi="Calibri" w:cs="Calibri"/>
          <w:i/>
          <w:sz w:val="22"/>
          <w:szCs w:val="22"/>
          <w:lang w:eastAsia="pt-BR"/>
        </w:rPr>
        <w:tab/>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p>
    <w:p w14:paraId="3166A82C" w14:textId="4507BE4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5.6.3.</w:t>
      </w:r>
      <w:r w:rsidRPr="006B3C85">
        <w:rPr>
          <w:rFonts w:ascii="Calibri" w:hAnsi="Calibri" w:cs="Calibri"/>
          <w:i/>
          <w:sz w:val="22"/>
          <w:szCs w:val="22"/>
          <w:lang w:eastAsia="pt-BR"/>
        </w:rPr>
        <w:tab/>
        <w:t>Nos termos do artigo 55 da Instrução CVM 400, fo</w:t>
      </w:r>
      <w:r w:rsidR="00551B8D">
        <w:rPr>
          <w:rFonts w:ascii="Calibri" w:hAnsi="Calibri" w:cs="Calibri"/>
          <w:i/>
          <w:sz w:val="22"/>
          <w:szCs w:val="22"/>
          <w:lang w:eastAsia="pt-BR"/>
        </w:rPr>
        <w:t>i</w:t>
      </w:r>
      <w:r w:rsidRPr="006B3C85">
        <w:rPr>
          <w:rFonts w:ascii="Calibri" w:hAnsi="Calibri" w:cs="Calibri"/>
          <w:i/>
          <w:sz w:val="22"/>
          <w:szCs w:val="22"/>
          <w:lang w:eastAsia="pt-BR"/>
        </w:rPr>
        <w:t xml:space="preserve"> aceita a participação de Investidores da Oferta que sejam Pessoas Vinculadas (conforme abaixo definido). Caso fosse verificado excesso de demanda superior em 1/3 (um terço) à quantidade de Debêntures inicialmente ofertada (sem considerar as Debêntures Adicionais), não seria</w:t>
      </w:r>
      <w:r w:rsidR="00551B8D">
        <w:rPr>
          <w:rFonts w:ascii="Calibri" w:hAnsi="Calibri" w:cs="Calibri"/>
          <w:i/>
          <w:sz w:val="22"/>
          <w:szCs w:val="22"/>
          <w:lang w:eastAsia="pt-BR"/>
        </w:rPr>
        <w:t xml:space="preserve"> </w:t>
      </w:r>
      <w:r w:rsidRPr="006B3C85">
        <w:rPr>
          <w:rFonts w:ascii="Calibri" w:hAnsi="Calibri" w:cs="Calibri"/>
          <w:i/>
          <w:sz w:val="22"/>
          <w:szCs w:val="22"/>
          <w:lang w:eastAsia="pt-BR"/>
        </w:rPr>
        <w:t>permitida a colocação de Debêntures junto aos Investidores da Oferta que sejam Pessoas Vinculadas sendo suas ordens de investimento ou Pedidos de Reserva, conforme o caso, automaticamente cancelados.</w:t>
      </w:r>
    </w:p>
    <w:p w14:paraId="4A4E7F71" w14:textId="77777777" w:rsidR="006B3C85" w:rsidRPr="006B3C85" w:rsidRDefault="006B3C85" w:rsidP="00CA7AFA">
      <w:pPr>
        <w:autoSpaceDE w:val="0"/>
        <w:autoSpaceDN w:val="0"/>
        <w:adjustRightInd w:val="0"/>
        <w:spacing w:after="140" w:line="290" w:lineRule="auto"/>
        <w:ind w:left="680"/>
        <w:jc w:val="both"/>
        <w:rPr>
          <w:rFonts w:ascii="Calibri" w:hAnsi="Calibri" w:cs="Calibri"/>
          <w:b/>
          <w:bCs/>
          <w:i/>
          <w:sz w:val="22"/>
          <w:szCs w:val="22"/>
          <w:lang w:eastAsia="pt-BR"/>
        </w:rPr>
      </w:pPr>
      <w:r w:rsidRPr="006B3C85" w:rsidDel="00406966">
        <w:rPr>
          <w:rFonts w:ascii="Calibri" w:hAnsi="Calibri" w:cs="Calibri"/>
          <w:i/>
          <w:sz w:val="22"/>
          <w:szCs w:val="22"/>
          <w:lang w:eastAsia="pt-BR"/>
        </w:rPr>
        <w:t xml:space="preserve"> </w:t>
      </w:r>
      <w:r w:rsidRPr="006B3C85">
        <w:rPr>
          <w:rFonts w:ascii="Calibri" w:hAnsi="Calibri" w:cs="Calibri"/>
          <w:b/>
          <w:bCs/>
          <w:i/>
          <w:sz w:val="22"/>
          <w:szCs w:val="22"/>
          <w:lang w:eastAsia="pt-BR"/>
        </w:rPr>
        <w:t>(...)</w:t>
      </w:r>
    </w:p>
    <w:p w14:paraId="407BFBA0" w14:textId="2C21FBF3"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lastRenderedPageBreak/>
        <w:t>5.6.</w:t>
      </w:r>
      <w:r w:rsidR="00EA4083">
        <w:rPr>
          <w:rFonts w:ascii="Calibri" w:hAnsi="Calibri" w:cs="Calibri"/>
          <w:i/>
          <w:sz w:val="22"/>
          <w:szCs w:val="22"/>
          <w:lang w:eastAsia="pt-BR"/>
        </w:rPr>
        <w:t>4</w:t>
      </w:r>
      <w:r w:rsidRPr="006B3C85">
        <w:rPr>
          <w:rFonts w:ascii="Calibri" w:hAnsi="Calibri" w:cs="Calibri"/>
          <w:i/>
          <w:sz w:val="22"/>
          <w:szCs w:val="22"/>
          <w:lang w:eastAsia="pt-BR"/>
        </w:rPr>
        <w:t>.</w:t>
      </w:r>
      <w:r w:rsidRPr="006B3C85">
        <w:rPr>
          <w:rFonts w:ascii="Calibri" w:hAnsi="Calibri" w:cs="Calibri"/>
          <w:i/>
          <w:sz w:val="22"/>
          <w:szCs w:val="22"/>
          <w:lang w:eastAsia="pt-BR"/>
        </w:rPr>
        <w:tab/>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Os Investidores da Oferta, inclusive aqueles considerados Pessoas Vinculadas, apresentaram suas ordens de investimento por meio de um ou mais pedidos de reserva (“</w:t>
      </w:r>
      <w:r w:rsidRPr="006B3C85">
        <w:rPr>
          <w:rFonts w:ascii="Calibri" w:hAnsi="Calibri" w:cs="Calibri"/>
          <w:i/>
          <w:sz w:val="22"/>
          <w:szCs w:val="22"/>
          <w:u w:val="single"/>
          <w:lang w:eastAsia="pt-BR"/>
        </w:rPr>
        <w:t>Pedido de Reserva</w:t>
      </w:r>
      <w:r w:rsidRPr="006B3C85">
        <w:rPr>
          <w:rFonts w:ascii="Calibri" w:hAnsi="Calibri" w:cs="Calibri"/>
          <w:i/>
          <w:sz w:val="22"/>
          <w:szCs w:val="22"/>
          <w:lang w:eastAsia="pt-BR"/>
        </w:rPr>
        <w:t>”), durante um período de reserva específico no âmbito da Oferta (“</w:t>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 prospecto preliminar foi disponibilizado nos mesmos locais em que será disponibilizado o Prospecto Definitivo pelo menos 5 (cinco) Dias Úteis antes do prazo inicial para o recebimento dos Pedidos de Reserva.</w:t>
      </w:r>
    </w:p>
    <w:p w14:paraId="6F710057" w14:textId="29657C09"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w:t>
      </w:r>
      <w:r w:rsidRPr="006B3C85">
        <w:rPr>
          <w:rFonts w:ascii="Calibri" w:hAnsi="Calibri" w:cs="Calibri"/>
          <w:i/>
          <w:sz w:val="22"/>
          <w:szCs w:val="22"/>
          <w:lang w:eastAsia="pt-BR"/>
        </w:rPr>
        <w:tab/>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xml:space="preserve">. Nos termos do parágrafo 2º do artigo 14 da Instrução CVM 400, a quantidade de Debêntures inicialmente ofertada foi aumentada em </w:t>
      </w:r>
      <w:r w:rsidR="00C81589" w:rsidRPr="00063142">
        <w:rPr>
          <w:rFonts w:ascii="Calibri" w:hAnsi="Calibri" w:cs="Calibri"/>
          <w:iCs/>
          <w:sz w:val="22"/>
          <w:szCs w:val="22"/>
          <w:lang w:eastAsia="pt-BR"/>
        </w:rPr>
        <w:t>20</w:t>
      </w:r>
      <w:r w:rsidR="00C81589" w:rsidRPr="006B3C85">
        <w:rPr>
          <w:rFonts w:ascii="Calibri" w:hAnsi="Calibri" w:cs="Calibri"/>
          <w:iCs/>
          <w:sz w:val="22"/>
          <w:szCs w:val="22"/>
          <w:lang w:eastAsia="pt-BR"/>
        </w:rPr>
        <w:t>% (</w:t>
      </w:r>
      <w:r w:rsidR="00C81589" w:rsidRPr="00063142">
        <w:rPr>
          <w:rFonts w:ascii="Calibri" w:hAnsi="Calibri" w:cs="Calibri"/>
          <w:iCs/>
          <w:sz w:val="22"/>
          <w:szCs w:val="22"/>
          <w:lang w:eastAsia="pt-BR"/>
        </w:rPr>
        <w:t>vinte por cento)</w:t>
      </w:r>
      <w:r w:rsidR="00C81589" w:rsidRPr="006B3C85">
        <w:rPr>
          <w:rFonts w:ascii="Calibri" w:hAnsi="Calibri" w:cs="Calibri"/>
          <w:iCs/>
          <w:sz w:val="22"/>
          <w:szCs w:val="22"/>
          <w:lang w:eastAsia="pt-BR"/>
        </w:rPr>
        <w:t xml:space="preserve">, </w:t>
      </w:r>
      <w:r w:rsidRPr="006B3C85">
        <w:rPr>
          <w:rFonts w:ascii="Calibri" w:hAnsi="Calibri" w:cs="Calibri"/>
          <w:iCs/>
          <w:sz w:val="22"/>
          <w:szCs w:val="22"/>
          <w:lang w:eastAsia="pt-BR"/>
        </w:rPr>
        <w:t xml:space="preserve">ou seja, em </w:t>
      </w:r>
      <w:r w:rsidR="00C81589">
        <w:rPr>
          <w:rFonts w:ascii="Calibri" w:hAnsi="Calibri" w:cs="Calibri"/>
          <w:iCs/>
          <w:sz w:val="22"/>
          <w:szCs w:val="22"/>
          <w:lang w:eastAsia="pt-BR"/>
        </w:rPr>
        <w:t>200.000</w:t>
      </w:r>
      <w:r w:rsidR="00C81589" w:rsidRPr="006B3C85">
        <w:rPr>
          <w:rFonts w:ascii="Calibri" w:hAnsi="Calibri" w:cs="Calibri"/>
          <w:b/>
          <w:bCs/>
          <w:iCs/>
          <w:sz w:val="22"/>
          <w:szCs w:val="22"/>
          <w:lang w:eastAsia="pt-BR"/>
        </w:rPr>
        <w:t xml:space="preserve"> </w:t>
      </w:r>
      <w:r w:rsidR="00C81589" w:rsidRPr="006B3C85">
        <w:rPr>
          <w:rFonts w:ascii="Calibri" w:hAnsi="Calibri" w:cs="Calibri"/>
          <w:iCs/>
          <w:sz w:val="22"/>
          <w:szCs w:val="22"/>
          <w:lang w:eastAsia="pt-BR"/>
        </w:rPr>
        <w:t>(</w:t>
      </w:r>
      <w:r w:rsidR="00C81589" w:rsidRPr="00063142">
        <w:rPr>
          <w:rFonts w:ascii="Calibri" w:hAnsi="Calibri" w:cs="Calibri"/>
          <w:iCs/>
          <w:sz w:val="22"/>
          <w:szCs w:val="22"/>
          <w:lang w:eastAsia="pt-BR"/>
        </w:rPr>
        <w:t>duzent</w:t>
      </w:r>
      <w:r w:rsidR="00C81589">
        <w:rPr>
          <w:rFonts w:ascii="Calibri" w:hAnsi="Calibri" w:cs="Calibri"/>
          <w:iCs/>
          <w:sz w:val="22"/>
          <w:szCs w:val="22"/>
          <w:lang w:eastAsia="pt-BR"/>
        </w:rPr>
        <w:t>a</w:t>
      </w:r>
      <w:r w:rsidR="00C81589" w:rsidRPr="00063142">
        <w:rPr>
          <w:rFonts w:ascii="Calibri" w:hAnsi="Calibri" w:cs="Calibri"/>
          <w:iCs/>
          <w:sz w:val="22"/>
          <w:szCs w:val="22"/>
          <w:lang w:eastAsia="pt-BR"/>
        </w:rPr>
        <w:t>s mil</w:t>
      </w:r>
      <w:r w:rsidR="00C81589" w:rsidRPr="006B3C85">
        <w:rPr>
          <w:rFonts w:ascii="Calibri" w:hAnsi="Calibri" w:cs="Calibri"/>
          <w:iCs/>
          <w:sz w:val="22"/>
          <w:szCs w:val="22"/>
          <w:lang w:eastAsia="pt-BR"/>
        </w:rPr>
        <w:t xml:space="preserve">] </w:t>
      </w:r>
      <w:r w:rsidRPr="006B3C85">
        <w:rPr>
          <w:rFonts w:ascii="Calibri" w:hAnsi="Calibri" w:cs="Calibri"/>
          <w:iCs/>
          <w:sz w:val="22"/>
          <w:szCs w:val="22"/>
          <w:lang w:eastAsia="pt-BR"/>
        </w:rPr>
        <w:t>Debêntures adicionais, nas mesmas condições das Debêntures inicialmente ofertadas (“</w:t>
      </w:r>
      <w:r w:rsidRPr="006B3C85">
        <w:rPr>
          <w:rFonts w:ascii="Calibri" w:hAnsi="Calibri" w:cs="Calibri"/>
          <w:iCs/>
          <w:sz w:val="22"/>
          <w:szCs w:val="22"/>
          <w:u w:val="single"/>
          <w:lang w:eastAsia="pt-BR"/>
        </w:rPr>
        <w:t>Debêntures Adicionais</w:t>
      </w:r>
      <w:r w:rsidRPr="006B3C85">
        <w:rPr>
          <w:rFonts w:ascii="Calibri" w:hAnsi="Calibri" w:cs="Calibri"/>
          <w:iCs/>
          <w:sz w:val="22"/>
          <w:szCs w:val="22"/>
          <w:lang w:eastAsia="pt-BR"/>
        </w:rPr>
        <w:t xml:space="preserve">”), que foram emitidas pela Emissora até a data da conclusão do Procedimento de </w:t>
      </w:r>
      <w:r w:rsidRPr="006B3C85">
        <w:rPr>
          <w:rFonts w:ascii="Calibri" w:hAnsi="Calibri" w:cs="Calibri"/>
          <w:i/>
          <w:sz w:val="22"/>
          <w:szCs w:val="22"/>
          <w:lang w:eastAsia="pt-BR"/>
        </w:rPr>
        <w:t xml:space="preserve">Bookbuilding, sem a necessidade de novo pedido de registro à CVM ou modificação dos termos da Oferta. A critério do Coordenador Líder e da Emissora, em conjunto, conforme verificado pelo Procedimento de </w:t>
      </w:r>
      <w:proofErr w:type="spellStart"/>
      <w:r w:rsidRPr="006B3C85">
        <w:rPr>
          <w:rFonts w:ascii="Calibri" w:hAnsi="Calibri" w:cs="Calibri"/>
          <w:i/>
          <w:sz w:val="22"/>
          <w:szCs w:val="22"/>
          <w:lang w:eastAsia="pt-BR"/>
        </w:rPr>
        <w:t>Bookbuiling</w:t>
      </w:r>
      <w:proofErr w:type="spellEnd"/>
      <w:r w:rsidRPr="006B3C85">
        <w:rPr>
          <w:rFonts w:ascii="Calibri" w:hAnsi="Calibri" w:cs="Calibri"/>
          <w:i/>
          <w:sz w:val="22"/>
          <w:szCs w:val="22"/>
          <w:lang w:eastAsia="pt-BR"/>
        </w:rPr>
        <w:t>, as Debêntures Adicionais foram Debêntures da Primeira Série e Debêntures da Segunda Série. As Debêntures Adicionais emitidas passarão a ter as mesmas características da Debêntures inicialmente ofertadas e passarão a integrar o conceito de “Debêntures” e foram colocadas sob o regime de melhores esforços de colocação pelo Coordenador Líder.</w:t>
      </w:r>
    </w:p>
    <w:p w14:paraId="5D26F3ED" w14:textId="3AF3DD2A"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5.7.1.</w:t>
      </w:r>
      <w:r w:rsidRPr="006B3C85">
        <w:rPr>
          <w:rFonts w:ascii="Calibri" w:hAnsi="Calibri" w:cs="Calibri"/>
          <w:i/>
          <w:sz w:val="22"/>
          <w:szCs w:val="22"/>
          <w:lang w:eastAsia="pt-BR"/>
        </w:rPr>
        <w:tab/>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3A68C1B6"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w:t>
      </w:r>
    </w:p>
    <w:p w14:paraId="4227C714" w14:textId="022E49F7" w:rsidR="00FF2006" w:rsidRDefault="006B3C85" w:rsidP="00FF2006">
      <w:pPr>
        <w:autoSpaceDE w:val="0"/>
        <w:autoSpaceDN w:val="0"/>
        <w:adjustRightInd w:val="0"/>
        <w:spacing w:after="140" w:line="276"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“6.9.5.</w:t>
      </w:r>
      <w:r w:rsidRPr="006B3C85">
        <w:rPr>
          <w:rFonts w:ascii="Calibri" w:hAnsi="Calibri" w:cs="Calibri"/>
          <w:bCs/>
          <w:i/>
          <w:sz w:val="22"/>
          <w:szCs w:val="22"/>
          <w:lang w:eastAsia="pt-BR"/>
        </w:rPr>
        <w:tab/>
      </w:r>
      <w:r w:rsidRPr="006B3C85">
        <w:rPr>
          <w:rFonts w:ascii="Calibri" w:hAnsi="Calibri" w:cs="Calibri"/>
          <w:bCs/>
          <w:i/>
          <w:sz w:val="22"/>
          <w:szCs w:val="22"/>
          <w:u w:val="single"/>
          <w:lang w:eastAsia="pt-BR"/>
        </w:rPr>
        <w:t>Remuneração das Debêntures da Primeira Série</w:t>
      </w:r>
      <w:r w:rsidRPr="006B3C85">
        <w:rPr>
          <w:rFonts w:ascii="Calibri" w:hAnsi="Calibri" w:cs="Calibri"/>
          <w:bCs/>
          <w:i/>
          <w:sz w:val="22"/>
          <w:szCs w:val="22"/>
          <w:lang w:eastAsia="pt-BR"/>
        </w:rPr>
        <w:t xml:space="preserve">. Sobre o Valor Nominal Atualizado das Debêntures da Primeira Série (ou o saldo do Valor Nominal Atualizado das Debêntures da Primeira Série, conforme aplicável), incidirão juros remuneratórios correspondentes a </w:t>
      </w:r>
      <w:r w:rsidR="00C81589">
        <w:rPr>
          <w:rFonts w:ascii="Calibri" w:hAnsi="Calibri" w:cs="Calibri"/>
          <w:bCs/>
          <w:iCs/>
          <w:sz w:val="22"/>
          <w:szCs w:val="22"/>
          <w:lang w:eastAsia="pt-BR"/>
        </w:rPr>
        <w:t>5,9741</w:t>
      </w:r>
      <w:r w:rsidR="00C81589" w:rsidRPr="00063142">
        <w:rPr>
          <w:rFonts w:ascii="Calibri" w:hAnsi="Calibri" w:cs="Calibri"/>
          <w:bCs/>
          <w:i/>
          <w:sz w:val="22"/>
          <w:szCs w:val="22"/>
          <w:lang w:eastAsia="pt-BR"/>
        </w:rPr>
        <w:t>%</w:t>
      </w:r>
      <w:r w:rsidR="00C81589" w:rsidRPr="00C81589">
        <w:rPr>
          <w:rFonts w:ascii="Calibri" w:hAnsi="Calibri" w:cs="Calibri"/>
          <w:bCs/>
          <w:i/>
          <w:sz w:val="22"/>
          <w:szCs w:val="22"/>
          <w:lang w:eastAsia="pt-BR"/>
        </w:rPr>
        <w:t xml:space="preserve"> </w:t>
      </w:r>
      <w:r w:rsidRPr="00063142">
        <w:rPr>
          <w:rFonts w:ascii="Calibri" w:hAnsi="Calibri" w:cs="Calibri"/>
          <w:bCs/>
          <w:i/>
          <w:sz w:val="22"/>
          <w:szCs w:val="22"/>
          <w:lang w:eastAsia="pt-BR"/>
        </w:rPr>
        <w:t>(</w:t>
      </w:r>
      <w:r w:rsidR="00C81589" w:rsidRPr="00063142">
        <w:rPr>
          <w:rFonts w:ascii="Calibri" w:hAnsi="Calibri" w:cs="Calibri"/>
          <w:bCs/>
          <w:iCs/>
          <w:sz w:val="22"/>
          <w:szCs w:val="22"/>
          <w:lang w:eastAsia="pt-BR"/>
        </w:rPr>
        <w:t xml:space="preserve">cinco inteiros </w:t>
      </w:r>
      <w:r w:rsidR="00BC05E5">
        <w:rPr>
          <w:rFonts w:ascii="Calibri" w:hAnsi="Calibri" w:cs="Calibri"/>
          <w:bCs/>
          <w:iCs/>
          <w:sz w:val="22"/>
          <w:szCs w:val="22"/>
          <w:lang w:eastAsia="pt-BR"/>
        </w:rPr>
        <w:t xml:space="preserve">e </w:t>
      </w:r>
      <w:r w:rsidR="00C81589" w:rsidRPr="00063142">
        <w:rPr>
          <w:rFonts w:ascii="Calibri" w:hAnsi="Calibri" w:cs="Calibri"/>
          <w:bCs/>
          <w:iCs/>
          <w:sz w:val="22"/>
          <w:szCs w:val="22"/>
          <w:lang w:eastAsia="pt-BR"/>
        </w:rPr>
        <w:t>nove</w:t>
      </w:r>
      <w:r w:rsidR="00BC05E5">
        <w:rPr>
          <w:rFonts w:ascii="Calibri" w:hAnsi="Calibri" w:cs="Calibri"/>
          <w:bCs/>
          <w:iCs/>
          <w:sz w:val="22"/>
          <w:szCs w:val="22"/>
          <w:lang w:eastAsia="pt-BR"/>
        </w:rPr>
        <w:t xml:space="preserve"> </w:t>
      </w:r>
      <w:r w:rsidR="00C81589" w:rsidRPr="00063142">
        <w:rPr>
          <w:rFonts w:ascii="Calibri" w:hAnsi="Calibri" w:cs="Calibri"/>
          <w:bCs/>
          <w:iCs/>
          <w:sz w:val="22"/>
          <w:szCs w:val="22"/>
          <w:lang w:eastAsia="pt-BR"/>
        </w:rPr>
        <w:t>mil</w:t>
      </w:r>
      <w:r w:rsidR="00BC05E5">
        <w:rPr>
          <w:rFonts w:ascii="Calibri" w:hAnsi="Calibri" w:cs="Calibri"/>
          <w:bCs/>
          <w:iCs/>
          <w:sz w:val="22"/>
          <w:szCs w:val="22"/>
          <w:lang w:eastAsia="pt-BR"/>
        </w:rPr>
        <w:t>,</w:t>
      </w:r>
      <w:r w:rsidR="00C81589" w:rsidRPr="00063142">
        <w:rPr>
          <w:rFonts w:ascii="Calibri" w:hAnsi="Calibri" w:cs="Calibri"/>
          <w:bCs/>
          <w:iCs/>
          <w:sz w:val="22"/>
          <w:szCs w:val="22"/>
          <w:lang w:eastAsia="pt-BR"/>
        </w:rPr>
        <w:t xml:space="preserve"> setecentos e quarenta e um décimos de milésimos por cento</w:t>
      </w:r>
      <w:r w:rsidRPr="00063142">
        <w:rPr>
          <w:rFonts w:ascii="Calibri" w:hAnsi="Calibri" w:cs="Calibri"/>
          <w:bCs/>
          <w:i/>
          <w:sz w:val="22"/>
          <w:szCs w:val="22"/>
          <w:lang w:eastAsia="pt-BR"/>
        </w:rPr>
        <w:t>)</w:t>
      </w:r>
      <w:r w:rsidRPr="006B3C85">
        <w:rPr>
          <w:rFonts w:ascii="Calibri" w:hAnsi="Calibri" w:cs="Calibri"/>
          <w:bCs/>
          <w:i/>
          <w:sz w:val="22"/>
          <w:szCs w:val="22"/>
          <w:lang w:eastAsia="pt-BR"/>
        </w:rPr>
        <w:t xml:space="preserve"> ao ano, base 252 Dias Úteis, que foi definido de acordo com o Procedimento de Bookbuilding (“</w:t>
      </w:r>
      <w:r w:rsidRPr="006B3C85">
        <w:rPr>
          <w:rFonts w:ascii="Calibri" w:hAnsi="Calibri" w:cs="Calibri"/>
          <w:bCs/>
          <w:i/>
          <w:sz w:val="22"/>
          <w:szCs w:val="22"/>
          <w:u w:val="single"/>
          <w:lang w:eastAsia="pt-BR"/>
        </w:rPr>
        <w:t>Juros Remuneratórios da Primeira Série</w:t>
      </w:r>
      <w:r w:rsidRPr="006B3C85">
        <w:rPr>
          <w:rFonts w:ascii="Calibri" w:hAnsi="Calibri" w:cs="Calibri"/>
          <w:bCs/>
          <w:i/>
          <w:sz w:val="22"/>
          <w:szCs w:val="22"/>
          <w:lang w:eastAsia="pt-BR"/>
        </w:rPr>
        <w:t>” e, em conjunto com a Atualização Monetária, a “</w:t>
      </w:r>
      <w:r w:rsidRPr="006B3C85">
        <w:rPr>
          <w:rFonts w:ascii="Calibri" w:hAnsi="Calibri" w:cs="Calibri"/>
          <w:bCs/>
          <w:i/>
          <w:sz w:val="22"/>
          <w:szCs w:val="22"/>
          <w:u w:val="single"/>
          <w:lang w:eastAsia="pt-BR"/>
        </w:rPr>
        <w:t>Remuneração da Primeira Série</w:t>
      </w:r>
      <w:r w:rsidRPr="006B3C85">
        <w:rPr>
          <w:rFonts w:ascii="Calibri" w:hAnsi="Calibri" w:cs="Calibri"/>
          <w:bCs/>
          <w:i/>
          <w:sz w:val="22"/>
          <w:szCs w:val="22"/>
          <w:lang w:eastAsia="pt-BR"/>
        </w:rPr>
        <w:t>”).</w:t>
      </w:r>
    </w:p>
    <w:p w14:paraId="7D104F4C" w14:textId="46F614E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6.9.6.</w:t>
      </w:r>
      <w:r w:rsidRPr="006B3C85">
        <w:rPr>
          <w:rFonts w:ascii="Calibri" w:eastAsia="MS Mincho" w:hAnsi="Calibri" w:cs="Calibri"/>
          <w:i/>
          <w:color w:val="000000"/>
          <w:sz w:val="22"/>
          <w:szCs w:val="22"/>
          <w:lang w:eastAsia="pt-BR"/>
        </w:rPr>
        <w:tab/>
      </w:r>
      <w:r w:rsidRPr="00CA7AFA">
        <w:rPr>
          <w:rFonts w:ascii="Calibri" w:eastAsia="MS Mincho" w:hAnsi="Calibri" w:cs="Calibri"/>
          <w:i/>
          <w:color w:val="000000"/>
          <w:sz w:val="22"/>
          <w:szCs w:val="22"/>
          <w:u w:val="single"/>
          <w:lang w:eastAsia="pt-BR"/>
        </w:rPr>
        <w:t>Remuneração das Debêntures da Segunda Série</w:t>
      </w:r>
      <w:r w:rsidRPr="006B3C85">
        <w:rPr>
          <w:rFonts w:ascii="Calibri" w:eastAsia="MS Mincho" w:hAnsi="Calibri" w:cs="Calibri"/>
          <w:i/>
          <w:color w:val="000000"/>
          <w:sz w:val="22"/>
          <w:szCs w:val="22"/>
          <w:lang w:eastAsia="pt-BR"/>
        </w:rPr>
        <w:t>. Sobre o Valor Nominal</w:t>
      </w:r>
      <w:r w:rsidRPr="006B3C85">
        <w:rPr>
          <w:rFonts w:ascii="Arial" w:eastAsia="MS Mincho" w:hAnsi="Arial" w:cs="Arial"/>
          <w:b/>
          <w:color w:val="000000"/>
          <w:sz w:val="22"/>
          <w:szCs w:val="22"/>
          <w:lang w:eastAsia="pt-BR"/>
        </w:rPr>
        <w:t xml:space="preserve"> </w:t>
      </w:r>
      <w:r w:rsidRPr="006B3C85">
        <w:rPr>
          <w:rFonts w:ascii="Calibri" w:eastAsia="MS Mincho" w:hAnsi="Calibri" w:cs="Calibri"/>
          <w:i/>
          <w:color w:val="000000"/>
          <w:sz w:val="22"/>
          <w:szCs w:val="22"/>
          <w:lang w:eastAsia="pt-BR"/>
        </w:rPr>
        <w:t xml:space="preserve">Atualizado das Debêntures da Segunda Série (ou o saldo do Valor Nominal Atualizado das Debêntures da Segunda Série, conforme aplicável), incidirão juros remuneratórios correspondentes a </w:t>
      </w:r>
      <w:r w:rsidR="00C81589" w:rsidRPr="00063142">
        <w:rPr>
          <w:rFonts w:ascii="Calibri" w:eastAsia="MS Mincho" w:hAnsi="Calibri" w:cs="Calibri"/>
          <w:i/>
          <w:color w:val="000000"/>
          <w:sz w:val="22"/>
          <w:szCs w:val="22"/>
          <w:lang w:eastAsia="pt-BR"/>
        </w:rPr>
        <w:t>6,1076</w:t>
      </w:r>
      <w:r w:rsidRPr="00063142">
        <w:rPr>
          <w:rFonts w:ascii="Calibri" w:eastAsia="MS Mincho" w:hAnsi="Calibri" w:cs="Calibri"/>
          <w:i/>
          <w:color w:val="000000"/>
          <w:sz w:val="22"/>
          <w:szCs w:val="22"/>
          <w:lang w:eastAsia="pt-BR"/>
        </w:rPr>
        <w:t>%</w:t>
      </w:r>
      <w:r w:rsidRPr="006B3C85">
        <w:rPr>
          <w:rFonts w:ascii="Calibri" w:eastAsia="MS Mincho" w:hAnsi="Calibri" w:cs="Calibri"/>
          <w:b/>
          <w:bCs/>
          <w:i/>
          <w:color w:val="000000"/>
          <w:sz w:val="22"/>
          <w:szCs w:val="22"/>
          <w:lang w:eastAsia="pt-BR"/>
        </w:rPr>
        <w:t xml:space="preserve"> </w:t>
      </w:r>
      <w:r w:rsidRPr="006B3C85">
        <w:rPr>
          <w:rFonts w:ascii="Calibri" w:eastAsia="MS Mincho" w:hAnsi="Calibri" w:cs="Calibri"/>
          <w:i/>
          <w:color w:val="000000"/>
          <w:sz w:val="22"/>
          <w:szCs w:val="22"/>
          <w:lang w:eastAsia="pt-BR"/>
        </w:rPr>
        <w:t>(</w:t>
      </w:r>
      <w:r w:rsidR="00C81589" w:rsidRPr="00C81589">
        <w:rPr>
          <w:rFonts w:ascii="Calibri" w:eastAsia="MS Mincho" w:hAnsi="Calibri" w:cs="Calibri"/>
          <w:i/>
          <w:color w:val="000000"/>
          <w:sz w:val="22"/>
          <w:szCs w:val="22"/>
          <w:lang w:eastAsia="pt-BR"/>
        </w:rPr>
        <w:t xml:space="preserve">seis inteiros </w:t>
      </w:r>
      <w:r w:rsidR="00BC05E5">
        <w:rPr>
          <w:rFonts w:ascii="Calibri" w:eastAsia="MS Mincho" w:hAnsi="Calibri" w:cs="Calibri"/>
          <w:i/>
          <w:color w:val="000000"/>
          <w:sz w:val="22"/>
          <w:szCs w:val="22"/>
          <w:lang w:eastAsia="pt-BR"/>
        </w:rPr>
        <w:t xml:space="preserve">e </w:t>
      </w:r>
      <w:r w:rsidR="00C81589" w:rsidRPr="00C81589">
        <w:rPr>
          <w:rFonts w:ascii="Calibri" w:eastAsia="MS Mincho" w:hAnsi="Calibri" w:cs="Calibri"/>
          <w:i/>
          <w:color w:val="000000"/>
          <w:sz w:val="22"/>
          <w:szCs w:val="22"/>
          <w:lang w:eastAsia="pt-BR"/>
        </w:rPr>
        <w:t>mil e setenta e seis décimos de milésimos por cento</w:t>
      </w:r>
      <w:r w:rsidRPr="006B3C85">
        <w:rPr>
          <w:rFonts w:ascii="Calibri" w:eastAsia="MS Mincho" w:hAnsi="Calibri" w:cs="Calibri"/>
          <w:i/>
          <w:color w:val="000000"/>
          <w:sz w:val="22"/>
          <w:szCs w:val="22"/>
          <w:lang w:eastAsia="pt-BR"/>
        </w:rPr>
        <w:t>) ao ano, base 252 Dias Úteis, que foi definido de acordo com o Procedimento de Bookbuilding (“</w:t>
      </w:r>
      <w:r w:rsidRPr="006B3C85">
        <w:rPr>
          <w:rFonts w:ascii="Calibri" w:eastAsia="MS Mincho" w:hAnsi="Calibri" w:cs="Calibri"/>
          <w:i/>
          <w:color w:val="000000"/>
          <w:sz w:val="22"/>
          <w:szCs w:val="22"/>
          <w:u w:val="single"/>
          <w:lang w:eastAsia="pt-BR"/>
        </w:rPr>
        <w:t>Juros Remuneratórios da Segunda Série</w:t>
      </w:r>
      <w:r w:rsidRPr="006B3C85">
        <w:rPr>
          <w:rFonts w:ascii="Calibri" w:eastAsia="MS Mincho" w:hAnsi="Calibri" w:cs="Calibri"/>
          <w:i/>
          <w:color w:val="000000"/>
          <w:sz w:val="22"/>
          <w:szCs w:val="22"/>
          <w:lang w:eastAsia="pt-BR"/>
        </w:rPr>
        <w:t>” e, em conjunto com a Atualização Monetária, a “</w:t>
      </w:r>
      <w:r w:rsidRPr="006B3C85">
        <w:rPr>
          <w:rFonts w:ascii="Calibri" w:eastAsia="MS Mincho" w:hAnsi="Calibri" w:cs="Calibri"/>
          <w:i/>
          <w:color w:val="000000"/>
          <w:sz w:val="22"/>
          <w:szCs w:val="22"/>
          <w:u w:val="single"/>
          <w:lang w:eastAsia="pt-BR"/>
        </w:rPr>
        <w:t>Remuneração da Segunda Série</w:t>
      </w:r>
      <w:r w:rsidRPr="006B3C85">
        <w:rPr>
          <w:rFonts w:ascii="Calibri" w:eastAsia="MS Mincho" w:hAnsi="Calibri" w:cs="Calibri"/>
          <w:i/>
          <w:color w:val="000000"/>
          <w:sz w:val="22"/>
          <w:szCs w:val="22"/>
          <w:lang w:eastAsia="pt-BR"/>
        </w:rPr>
        <w:t xml:space="preserve">”). Para fins da presente Escritura de Emissão, a Remuneração da Primeira Série e a Remuneração da Segunda Série, </w:t>
      </w:r>
      <w:r w:rsidRPr="006B3C85">
        <w:rPr>
          <w:rFonts w:ascii="Calibri" w:eastAsia="MS Mincho" w:hAnsi="Calibri" w:cs="Calibri"/>
          <w:i/>
          <w:color w:val="000000"/>
          <w:sz w:val="22"/>
          <w:szCs w:val="22"/>
          <w:lang w:eastAsia="pt-BR"/>
        </w:rPr>
        <w:lastRenderedPageBreak/>
        <w:t>quando consideradas em conjunto, serão referidas apenas como “</w:t>
      </w:r>
      <w:r w:rsidRPr="006B3C85">
        <w:rPr>
          <w:rFonts w:ascii="Calibri" w:eastAsia="MS Mincho" w:hAnsi="Calibri" w:cs="Calibri"/>
          <w:i/>
          <w:color w:val="000000"/>
          <w:sz w:val="22"/>
          <w:szCs w:val="22"/>
          <w:u w:val="single"/>
          <w:lang w:eastAsia="pt-BR"/>
        </w:rPr>
        <w:t>Remuneração</w:t>
      </w:r>
      <w:r w:rsidRPr="006B3C85">
        <w:rPr>
          <w:rFonts w:ascii="Calibri" w:eastAsia="MS Mincho" w:hAnsi="Calibri" w:cs="Calibri"/>
          <w:i/>
          <w:color w:val="000000"/>
          <w:sz w:val="22"/>
          <w:szCs w:val="22"/>
          <w:lang w:eastAsia="pt-BR"/>
        </w:rPr>
        <w:t>” ou “</w:t>
      </w:r>
      <w:r w:rsidRPr="006B3C85">
        <w:rPr>
          <w:rFonts w:ascii="Calibri" w:eastAsia="MS Mincho" w:hAnsi="Calibri" w:cs="Calibri"/>
          <w:i/>
          <w:color w:val="000000"/>
          <w:sz w:val="22"/>
          <w:szCs w:val="22"/>
          <w:u w:val="single"/>
          <w:lang w:eastAsia="pt-BR"/>
        </w:rPr>
        <w:t>Remunerações</w:t>
      </w:r>
      <w:r w:rsidRPr="006B3C85">
        <w:rPr>
          <w:rFonts w:ascii="Calibri" w:eastAsia="MS Mincho" w:hAnsi="Calibri" w:cs="Calibri"/>
          <w:i/>
          <w:color w:val="000000"/>
          <w:sz w:val="22"/>
          <w:szCs w:val="22"/>
          <w:lang w:eastAsia="pt-BR"/>
        </w:rPr>
        <w:t xml:space="preserve">”.  </w:t>
      </w:r>
    </w:p>
    <w:p w14:paraId="5280BC41" w14:textId="0EC9E296"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6.9.7.</w:t>
      </w:r>
      <w:r w:rsidRPr="006B3C85">
        <w:rPr>
          <w:rFonts w:ascii="Calibri" w:eastAsia="MS Mincho" w:hAnsi="Calibri" w:cs="Calibri"/>
          <w:i/>
          <w:color w:val="000000"/>
          <w:sz w:val="22"/>
          <w:szCs w:val="22"/>
          <w:lang w:eastAsia="pt-BR"/>
        </w:rPr>
        <w:tab/>
      </w:r>
      <w:r w:rsidR="00740396">
        <w:rPr>
          <w:rFonts w:ascii="Calibri" w:eastAsia="MS Mincho" w:hAnsi="Calibri" w:cs="Calibri"/>
          <w:i/>
          <w:color w:val="000000"/>
          <w:sz w:val="22"/>
          <w:szCs w:val="22"/>
          <w:lang w:eastAsia="pt-BR"/>
        </w:rPr>
        <w:t>A</w:t>
      </w:r>
      <w:r w:rsidRPr="006B3C85">
        <w:rPr>
          <w:rFonts w:ascii="Calibri" w:eastAsia="MS Mincho" w:hAnsi="Calibri" w:cs="Calibri"/>
          <w:i/>
          <w:color w:val="000000"/>
          <w:sz w:val="22"/>
          <w:szCs w:val="22"/>
          <w:lang w:eastAsia="pt-BR"/>
        </w:rPr>
        <w:t xml:space="preserve">s respectivos </w:t>
      </w:r>
      <w:r w:rsidR="00740396">
        <w:rPr>
          <w:rFonts w:ascii="Calibri" w:eastAsia="MS Mincho" w:hAnsi="Calibri" w:cs="Calibri"/>
          <w:i/>
          <w:color w:val="000000"/>
          <w:sz w:val="22"/>
          <w:szCs w:val="22"/>
          <w:lang w:eastAsia="pt-BR"/>
        </w:rPr>
        <w:t>Remunerações</w:t>
      </w:r>
      <w:r w:rsidRPr="006B3C85">
        <w:rPr>
          <w:rFonts w:ascii="Calibri" w:eastAsia="MS Mincho" w:hAnsi="Calibri" w:cs="Calibri"/>
          <w:i/>
          <w:color w:val="000000"/>
          <w:sz w:val="22"/>
          <w:szCs w:val="22"/>
          <w:lang w:eastAsia="pt-BR"/>
        </w:rPr>
        <w:t xml:space="preserve"> serão calculados em regime de capitalização composta por forma pro rata temporis por Dias Úteis decorridos desde a Primeira Data de Integralização ou a respectiva Data de Pagamento de Juros Remuneratórios (conforme abaixo definido) imediatamente anterior, conforme o caso, até a data de seu efetivo pagamento.</w:t>
      </w:r>
    </w:p>
    <w:p w14:paraId="0AB46BD7" w14:textId="752C3076"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6.9.8.</w:t>
      </w:r>
      <w:r w:rsidRPr="006B3C85">
        <w:rPr>
          <w:rFonts w:ascii="Calibri" w:eastAsia="MS Mincho" w:hAnsi="Calibri" w:cs="Calibri"/>
          <w:i/>
          <w:color w:val="000000"/>
          <w:sz w:val="22"/>
          <w:szCs w:val="22"/>
          <w:lang w:eastAsia="pt-BR"/>
        </w:rPr>
        <w:tab/>
        <w:t>O cálculo d</w:t>
      </w:r>
      <w:r w:rsidR="00740396">
        <w:rPr>
          <w:rFonts w:ascii="Calibri" w:eastAsia="MS Mincho" w:hAnsi="Calibri" w:cs="Calibri"/>
          <w:i/>
          <w:color w:val="000000"/>
          <w:sz w:val="22"/>
          <w:szCs w:val="22"/>
          <w:lang w:eastAsia="pt-BR"/>
        </w:rPr>
        <w:t>a</w:t>
      </w:r>
      <w:r w:rsidRPr="006B3C85">
        <w:rPr>
          <w:rFonts w:ascii="Calibri" w:eastAsia="MS Mincho" w:hAnsi="Calibri" w:cs="Calibri"/>
          <w:i/>
          <w:color w:val="000000"/>
          <w:sz w:val="22"/>
          <w:szCs w:val="22"/>
          <w:lang w:eastAsia="pt-BR"/>
        </w:rPr>
        <w:t xml:space="preserve">s </w:t>
      </w:r>
      <w:r w:rsidR="00740396">
        <w:rPr>
          <w:rFonts w:ascii="Calibri" w:eastAsia="MS Mincho" w:hAnsi="Calibri" w:cs="Calibri"/>
          <w:i/>
          <w:color w:val="000000"/>
          <w:sz w:val="22"/>
          <w:szCs w:val="22"/>
          <w:lang w:eastAsia="pt-BR"/>
        </w:rPr>
        <w:t>Remunerações</w:t>
      </w:r>
      <w:r w:rsidRPr="006B3C85">
        <w:rPr>
          <w:rFonts w:ascii="Calibri" w:eastAsia="MS Mincho" w:hAnsi="Calibri" w:cs="Calibri"/>
          <w:i/>
          <w:color w:val="000000"/>
          <w:sz w:val="22"/>
          <w:szCs w:val="22"/>
          <w:lang w:eastAsia="pt-BR"/>
        </w:rPr>
        <w:t xml:space="preserve"> obedecerá à seguinte fórmula</w:t>
      </w:r>
      <w:r w:rsidR="00FF2006">
        <w:rPr>
          <w:rFonts w:ascii="Calibri" w:eastAsia="MS Mincho" w:hAnsi="Calibri" w:cs="Calibri"/>
          <w:i/>
          <w:color w:val="000000"/>
          <w:sz w:val="22"/>
          <w:szCs w:val="22"/>
          <w:lang w:eastAsia="pt-BR"/>
        </w:rPr>
        <w:t>:</w:t>
      </w:r>
    </w:p>
    <w:p w14:paraId="6F285013"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J = </w:t>
      </w: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x (</w:t>
      </w: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- 1)</w:t>
      </w:r>
    </w:p>
    <w:p w14:paraId="06706CF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5918A46A" w14:textId="3B4C20DE"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J = valor unitário d</w:t>
      </w:r>
      <w:r w:rsidR="00740396">
        <w:rPr>
          <w:rFonts w:ascii="Calibri" w:eastAsia="MS Mincho" w:hAnsi="Calibri" w:cs="Calibri"/>
          <w:i/>
          <w:color w:val="000000"/>
          <w:sz w:val="22"/>
          <w:szCs w:val="22"/>
          <w:lang w:eastAsia="pt-BR"/>
        </w:rPr>
        <w:t>as Remunerações</w:t>
      </w:r>
      <w:r w:rsidRPr="006B3C85">
        <w:rPr>
          <w:rFonts w:ascii="Calibri" w:eastAsia="MS Mincho" w:hAnsi="Calibri" w:cs="Calibri"/>
          <w:i/>
          <w:color w:val="000000"/>
          <w:sz w:val="22"/>
          <w:szCs w:val="22"/>
          <w:lang w:eastAsia="pt-BR"/>
        </w:rPr>
        <w:t xml:space="preserve"> devidos ao final do Período de Capitalização (conforme definido abaixo), calculado com 8 (oito) casas decimais, sem arredondamento;</w:t>
      </w:r>
    </w:p>
    <w:p w14:paraId="5AC37CF2"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 Valor Nominal Unitário Atualizado das Debêntures, informado/calculado com 8 (oito) casas decimais, sem arredondamento;</w:t>
      </w:r>
    </w:p>
    <w:p w14:paraId="4022A74F"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FatorJuros = fator de juros fixo, calculado com 9 (nove) casas decimais, com arredondamento, apurado da seguinte forma:</w:t>
      </w:r>
    </w:p>
    <w:p w14:paraId="08CBC9A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67544CFE" w14:textId="2C804DE2"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taxa = </w:t>
      </w:r>
      <w:r w:rsidR="0071595C">
        <w:rPr>
          <w:rFonts w:ascii="Calibri" w:hAnsi="Calibri" w:cs="Calibri"/>
          <w:bCs/>
          <w:iCs/>
          <w:sz w:val="22"/>
          <w:szCs w:val="22"/>
          <w:lang w:eastAsia="pt-BR"/>
        </w:rPr>
        <w:t>5,9741</w:t>
      </w:r>
      <w:r w:rsidR="0071595C" w:rsidRPr="005A5AAC">
        <w:rPr>
          <w:rFonts w:ascii="Calibri" w:hAnsi="Calibri" w:cs="Calibri"/>
          <w:bCs/>
          <w:i/>
          <w:sz w:val="22"/>
          <w:szCs w:val="22"/>
          <w:lang w:eastAsia="pt-BR"/>
        </w:rPr>
        <w:t>%</w:t>
      </w:r>
      <w:r w:rsidR="00EC0F6E">
        <w:rPr>
          <w:rFonts w:ascii="Calibri" w:eastAsia="MS Mincho" w:hAnsi="Calibri" w:cs="Calibri"/>
          <w:i/>
          <w:color w:val="000000"/>
          <w:sz w:val="22"/>
          <w:szCs w:val="22"/>
          <w:lang w:eastAsia="pt-BR"/>
        </w:rPr>
        <w:t xml:space="preserve"> para as Debêntures da Primeira Série, e </w:t>
      </w:r>
      <w:r w:rsidR="0071595C" w:rsidRPr="00063142">
        <w:rPr>
          <w:rFonts w:ascii="Calibri" w:eastAsia="MS Mincho" w:hAnsi="Calibri" w:cs="Calibri"/>
          <w:iCs/>
          <w:color w:val="000000"/>
          <w:sz w:val="22"/>
          <w:szCs w:val="22"/>
          <w:lang w:eastAsia="pt-BR"/>
        </w:rPr>
        <w:t>6,1076%</w:t>
      </w:r>
      <w:r w:rsidR="00EC0F6E">
        <w:rPr>
          <w:rFonts w:ascii="Calibri" w:eastAsia="MS Mincho" w:hAnsi="Calibri" w:cs="Calibri"/>
          <w:i/>
          <w:color w:val="000000"/>
          <w:sz w:val="22"/>
          <w:szCs w:val="22"/>
          <w:lang w:eastAsia="pt-BR"/>
        </w:rPr>
        <w:t xml:space="preserve"> para as Debêntures da Segunda Série</w:t>
      </w:r>
      <w:r w:rsidRPr="006B3C85">
        <w:rPr>
          <w:rFonts w:ascii="Calibri" w:eastAsia="MS Mincho" w:hAnsi="Calibri" w:cs="Calibri"/>
          <w:i/>
          <w:color w:val="000000"/>
          <w:sz w:val="22"/>
          <w:szCs w:val="22"/>
          <w:lang w:eastAsia="pt-BR"/>
        </w:rPr>
        <w:t>;</w:t>
      </w:r>
    </w:p>
    <w:p w14:paraId="3EBDE46E" w14:textId="7C911F42" w:rsidR="006B3C85" w:rsidRPr="006B3C85" w:rsidRDefault="006B3C85" w:rsidP="00CA7AFA">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DP = número de Dias Úteis entre a Primeira Data de Integralização ou a Data de Pagamento de Juros Remuneratórios imediatamente anterior, conforme o caso e a data de atual, sendo “DP” um número inteiro.</w:t>
      </w:r>
      <w:bookmarkEnd w:id="3"/>
      <w:r w:rsidRPr="006B3C85">
        <w:rPr>
          <w:rFonts w:ascii="Calibri" w:eastAsia="MS Mincho" w:hAnsi="Calibri" w:cs="Calibri"/>
          <w:i/>
          <w:color w:val="000000"/>
          <w:sz w:val="22"/>
          <w:szCs w:val="22"/>
          <w:lang w:eastAsia="pt-BR"/>
        </w:rPr>
        <w:t xml:space="preserve"> </w:t>
      </w:r>
    </w:p>
    <w:p w14:paraId="2DC906EE" w14:textId="70F1F935" w:rsidR="00BF2104" w:rsidRPr="00944307" w:rsidRDefault="00FF2006" w:rsidP="00CA7AFA">
      <w:pPr>
        <w:pStyle w:val="PargrafodaLista"/>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t>DECLARAÇÕES DA EMISSORA</w:t>
      </w:r>
    </w:p>
    <w:p w14:paraId="30E45BEA" w14:textId="77777777" w:rsidR="00FF2006" w:rsidRPr="00944307" w:rsidRDefault="00FF2006" w:rsidP="00CA7AFA">
      <w:pPr>
        <w:pStyle w:val="PargrafodaLista"/>
        <w:ind w:left="0"/>
        <w:rPr>
          <w:rFonts w:asciiTheme="minorHAnsi" w:eastAsia="MS Mincho" w:hAnsiTheme="minorHAnsi" w:cstheme="minorHAnsi"/>
          <w:sz w:val="22"/>
          <w:szCs w:val="22"/>
          <w:lang w:eastAsia="pt-BR"/>
        </w:rPr>
      </w:pPr>
    </w:p>
    <w:bookmarkEnd w:id="2"/>
    <w:p w14:paraId="7141BFCD" w14:textId="4907E43C" w:rsidR="00FF2006" w:rsidRPr="00944307" w:rsidRDefault="00FF2006" w:rsidP="00CA7AFA">
      <w:pPr>
        <w:pStyle w:val="PargrafodaLista"/>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A Emissora, neste ato, reitera todas as obrigações assumidas e todas as declarações prestadas na Escritura de Emissão, que se aplicam a este Primeiro Aditamento, como se aqui estivessem transcritas.</w:t>
      </w:r>
    </w:p>
    <w:p w14:paraId="4ECB9BC0" w14:textId="77777777" w:rsidR="00CA7AFA" w:rsidRPr="00944307" w:rsidRDefault="00CA7AFA" w:rsidP="00CA7AFA">
      <w:pPr>
        <w:pStyle w:val="PargrafodaLista"/>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28761535" w14:textId="3A837E94" w:rsidR="00BF2104" w:rsidRPr="00944307" w:rsidRDefault="00FF2006" w:rsidP="00944307">
      <w:pPr>
        <w:pStyle w:val="PargrafodaLista"/>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15183C7" w14:textId="14F76B2B" w:rsidR="00FF2006" w:rsidRPr="00944307" w:rsidRDefault="00FF2006" w:rsidP="00944307">
      <w:pPr>
        <w:pStyle w:val="PargrafodaLista"/>
        <w:ind w:left="502"/>
        <w:rPr>
          <w:rFonts w:asciiTheme="minorHAnsi" w:eastAsia="MS Mincho" w:hAnsiTheme="minorHAnsi" w:cstheme="minorHAnsi"/>
          <w:color w:val="000000"/>
          <w:sz w:val="22"/>
          <w:szCs w:val="22"/>
          <w:lang w:eastAsia="pt-BR"/>
        </w:rPr>
      </w:pPr>
      <w:bookmarkStart w:id="6" w:name="_DV_M112"/>
      <w:bookmarkStart w:id="7" w:name="_DV_M126"/>
      <w:bookmarkStart w:id="8" w:name="_DV_M132"/>
      <w:bookmarkStart w:id="9" w:name="_DV_M138"/>
      <w:bookmarkStart w:id="10" w:name="_DV_M244"/>
      <w:bookmarkStart w:id="11" w:name="_DV_C268"/>
      <w:bookmarkStart w:id="12" w:name="_DV_X275"/>
      <w:bookmarkEnd w:id="6"/>
      <w:bookmarkEnd w:id="7"/>
      <w:bookmarkEnd w:id="8"/>
      <w:bookmarkEnd w:id="9"/>
      <w:bookmarkEnd w:id="10"/>
      <w:bookmarkEnd w:id="11"/>
      <w:bookmarkEnd w:id="12"/>
    </w:p>
    <w:p w14:paraId="7E653B01" w14:textId="457FCC9E" w:rsidR="0085433A" w:rsidRPr="00944307" w:rsidRDefault="0085433A"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PargrafodaLista"/>
        <w:tabs>
          <w:tab w:val="left" w:pos="3540"/>
        </w:tabs>
        <w:ind w:left="0"/>
        <w:jc w:val="both"/>
        <w:rPr>
          <w:rFonts w:asciiTheme="minorHAnsi" w:eastAsia="MS Mincho" w:hAnsiTheme="minorHAnsi" w:cstheme="minorHAnsi"/>
          <w:sz w:val="22"/>
          <w:szCs w:val="22"/>
          <w:lang w:eastAsia="pt-BR"/>
        </w:rPr>
      </w:pPr>
    </w:p>
    <w:p w14:paraId="0A5FEFFB" w14:textId="048B937D"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 xml:space="preserve">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w:t>
      </w:r>
      <w:r w:rsidRPr="00944307">
        <w:rPr>
          <w:rFonts w:asciiTheme="minorHAnsi" w:eastAsia="TimesNewRoman" w:hAnsiTheme="minorHAnsi" w:cstheme="minorHAnsi"/>
          <w:sz w:val="22"/>
          <w:szCs w:val="22"/>
          <w:lang w:eastAsia="pt-BR"/>
        </w:rPr>
        <w:lastRenderedPageBreak/>
        <w:t>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69A97B88"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Primeiro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437A1A2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Todos e quaisquer custos incorridos em razão do registro, nas autoridades competentes, deste Primeiro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55F6CEA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Este Primeiro Aditamento, 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reconhecendo as Partes desde já que, independentemente de quaisquer outras medidas cabíveis, as obrigações assumidas nos termos deste Primeiro Aditamento e da Escritura de Emissão comportam execução específica e se submetem às disposições dos artigos 815 e seguintes do Código de Processo Civil, sem prejuízo do direito de declarar o vencimento antecipado das Debêntures, nos termos deste Primeiro Aditamento.</w:t>
      </w:r>
    </w:p>
    <w:p w14:paraId="78624B35" w14:textId="77777777" w:rsidR="00944307" w:rsidRDefault="00944307" w:rsidP="00944307">
      <w:pPr>
        <w:rPr>
          <w:rFonts w:eastAsia="TimesNewRoman"/>
          <w:lang w:eastAsia="pt-BR"/>
        </w:rPr>
      </w:pPr>
    </w:p>
    <w:p w14:paraId="48C62EFF" w14:textId="571D9DDA" w:rsidR="00944307" w:rsidRDefault="00FF2006" w:rsidP="0056725D">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1921F0B6" w14:textId="20F5361F" w:rsidR="00FF2006" w:rsidRDefault="00FF2006" w:rsidP="00944307">
      <w:pPr>
        <w:pStyle w:val="PargrafodaLista"/>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Este Primeiro Aditamento será regido pelas leis da República Federativa do Brasil. Fica eleito o Foro da Comarca de São Paulo, Estado de São Paulo, com a exclusão de qualquer outro, por mais privilegiado que seja, para dirimir as questões porventura oriundas deste Primeiro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461C37D4"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t>6.2</w:t>
      </w:r>
      <w:r w:rsidRPr="00FF2006">
        <w:rPr>
          <w:rFonts w:ascii="Calibri" w:eastAsia="TimesNewRoman" w:hAnsi="Calibri" w:cs="Calibri"/>
          <w:bCs/>
          <w:color w:val="000000"/>
          <w:sz w:val="22"/>
          <w:szCs w:val="22"/>
          <w:lang w:eastAsia="pt-BR"/>
        </w:rPr>
        <w:tab/>
        <w:t>O presente Primeiro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5CF7CBBD"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3" w:name="_DV_M416"/>
      <w:bookmarkEnd w:id="13"/>
      <w:r w:rsidRPr="00BF2104">
        <w:rPr>
          <w:rFonts w:ascii="Calibri" w:eastAsia="Arial Unicode MS" w:hAnsi="Calibri" w:cs="Calibri"/>
          <w:sz w:val="22"/>
          <w:szCs w:val="22"/>
          <w:lang w:eastAsia="pt-BR"/>
        </w:rPr>
        <w:t xml:space="preserve">São Paulo, </w:t>
      </w:r>
      <w:r w:rsidR="00681C28">
        <w:rPr>
          <w:rFonts w:ascii="Calibri" w:eastAsia="Arial Unicode MS" w:hAnsi="Calibri" w:cs="Calibri"/>
          <w:sz w:val="22"/>
          <w:szCs w:val="22"/>
          <w:lang w:eastAsia="pt-BR"/>
        </w:rPr>
        <w:t>17</w:t>
      </w:r>
      <w:r w:rsidRPr="00BF2104">
        <w:rPr>
          <w:rFonts w:ascii="Calibri" w:eastAsia="Arial Unicode MS" w:hAnsi="Calibri" w:cs="Calibri"/>
          <w:sz w:val="22"/>
          <w:szCs w:val="22"/>
          <w:lang w:eastAsia="pt-BR"/>
        </w:rPr>
        <w:t xml:space="preserve"> de </w:t>
      </w:r>
      <w:r w:rsidR="00681C28">
        <w:rPr>
          <w:rFonts w:ascii="Calibri" w:eastAsia="Arial Unicode MS" w:hAnsi="Calibri" w:cs="Calibri"/>
          <w:sz w:val="22"/>
          <w:szCs w:val="22"/>
          <w:lang w:eastAsia="pt-BR"/>
        </w:rPr>
        <w:t>janeiro</w:t>
      </w:r>
      <w:r w:rsidRPr="00BF2104">
        <w:rPr>
          <w:rFonts w:ascii="Calibri" w:eastAsia="Arial Unicode MS" w:hAnsi="Calibri" w:cs="Calibri"/>
          <w:sz w:val="22"/>
          <w:szCs w:val="22"/>
          <w:lang w:eastAsia="pt-BR"/>
        </w:rPr>
        <w:t xml:space="preserve"> de 2022.</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24019D">
          <w:headerReference w:type="default" r:id="rId12"/>
          <w:footerReference w:type="even" r:id="rId13"/>
          <w:footerReference w:type="default" r:id="rId14"/>
          <w:headerReference w:type="first" r:id="rId15"/>
          <w:footerReference w:type="first" r:id="rId16"/>
          <w:pgSz w:w="12242" w:h="15842" w:code="1"/>
          <w:pgMar w:top="1531" w:right="1185" w:bottom="1531" w:left="1701" w:header="720" w:footer="720" w:gutter="0"/>
          <w:cols w:space="708"/>
          <w:titlePg/>
          <w:docGrid w:linePitch="360"/>
        </w:sectPr>
      </w:pPr>
      <w:bookmarkStart w:id="14" w:name="_DV_C693"/>
      <w:r w:rsidRPr="00BF2104">
        <w:rPr>
          <w:rFonts w:ascii="Calibri" w:eastAsia="Arial Unicode MS" w:hAnsi="Calibri" w:cs="Calibri"/>
          <w:i/>
          <w:w w:val="0"/>
          <w:sz w:val="22"/>
          <w:szCs w:val="22"/>
          <w:lang w:eastAsia="pt-BR"/>
        </w:rPr>
        <w:t>(As assinaturas seguem nas páginas seguintes.)</w:t>
      </w:r>
      <w:bookmarkEnd w:id="14"/>
    </w:p>
    <w:p w14:paraId="7833B1D5"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77777777" w:rsidR="00BF2104" w:rsidRPr="00BF2104" w:rsidRDefault="00BF2104" w:rsidP="00BF2104">
      <w:pPr>
        <w:spacing w:line="288" w:lineRule="auto"/>
        <w:jc w:val="both"/>
        <w:rPr>
          <w:rFonts w:ascii="Calibri" w:hAnsi="Calibri" w:cs="Calibri"/>
          <w:color w:val="000000"/>
          <w:sz w:val="22"/>
          <w:szCs w:val="22"/>
          <w:lang w:eastAsia="pt-BR"/>
        </w:rPr>
      </w:pPr>
      <w:bookmarkStart w:id="15" w:name="_DV_M446"/>
      <w:bookmarkEnd w:id="15"/>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2D79A06C" w14:textId="77777777" w:rsidR="00BF2104" w:rsidRPr="00BF2104" w:rsidRDefault="00BF2104" w:rsidP="00BF2104">
      <w:pPr>
        <w:keepNext/>
        <w:jc w:val="both"/>
        <w:rPr>
          <w:rFonts w:ascii="Calibri" w:hAnsi="Calibri" w:cs="Calibri"/>
          <w:sz w:val="22"/>
          <w:szCs w:val="22"/>
          <w:lang w:eastAsia="pt-BR"/>
        </w:rPr>
      </w:pPr>
      <w:bookmarkStart w:id="16" w:name="_DV_M2"/>
      <w:bookmarkStart w:id="17" w:name="_DV_M3"/>
      <w:bookmarkStart w:id="18" w:name="_DV_M4"/>
      <w:bookmarkStart w:id="19" w:name="_DV_M5"/>
      <w:bookmarkStart w:id="20" w:name="_DV_M6"/>
      <w:bookmarkStart w:id="21" w:name="_DV_M7"/>
      <w:bookmarkStart w:id="22" w:name="_Toc514579916"/>
      <w:bookmarkStart w:id="23" w:name="_Toc395889975"/>
      <w:bookmarkStart w:id="24" w:name="_DV_M117"/>
      <w:bookmarkStart w:id="25" w:name="_DV_M118"/>
      <w:bookmarkStart w:id="26" w:name="_DV_M119"/>
      <w:bookmarkStart w:id="27" w:name="_DV_M139"/>
      <w:bookmarkStart w:id="28" w:name="_DV_M143"/>
      <w:bookmarkStart w:id="29" w:name="_DV_M144"/>
      <w:bookmarkStart w:id="30" w:name="_DV_M149"/>
      <w:bookmarkStart w:id="31" w:name="_DV_M150"/>
      <w:bookmarkStart w:id="32" w:name="_DV_M154"/>
      <w:bookmarkStart w:id="33" w:name="_DV_M155"/>
      <w:bookmarkStart w:id="34" w:name="_DV_M159"/>
      <w:bookmarkStart w:id="35" w:name="_DV_M161"/>
      <w:bookmarkStart w:id="36" w:name="_DV_M163"/>
      <w:bookmarkStart w:id="37" w:name="_DV_M164"/>
      <w:bookmarkStart w:id="38" w:name="_DV_M184"/>
      <w:bookmarkStart w:id="39" w:name="_DV_M115"/>
      <w:bookmarkStart w:id="40" w:name="_DV_M186"/>
      <w:bookmarkStart w:id="41" w:name="_DV_M268"/>
      <w:bookmarkStart w:id="42" w:name="_DV_M301"/>
      <w:bookmarkStart w:id="43" w:name="_DV_M188"/>
      <w:bookmarkStart w:id="44" w:name="_DV_M189"/>
      <w:bookmarkStart w:id="45" w:name="_DV_M190"/>
      <w:bookmarkStart w:id="46" w:name="_DV_M191"/>
      <w:bookmarkStart w:id="47" w:name="_DV_M194"/>
      <w:bookmarkStart w:id="48" w:name="_DV_M76"/>
      <w:bookmarkStart w:id="49" w:name="_DV_M77"/>
      <w:bookmarkStart w:id="50" w:name="_DV_M78"/>
      <w:bookmarkStart w:id="51" w:name="_DV_M75"/>
      <w:bookmarkStart w:id="52" w:name="_DV_M79"/>
      <w:bookmarkStart w:id="53" w:name="_DV_M80"/>
      <w:bookmarkStart w:id="54" w:name="_DV_M223"/>
      <w:bookmarkStart w:id="55" w:name="_DV_M230"/>
      <w:bookmarkStart w:id="56" w:name="_DV_M231"/>
      <w:bookmarkStart w:id="57" w:name="_DV_M232"/>
      <w:bookmarkStart w:id="58" w:name="_DV_M240"/>
      <w:bookmarkStart w:id="59" w:name="_DV_M241"/>
      <w:bookmarkStart w:id="60" w:name="_DV_M246"/>
      <w:bookmarkStart w:id="61" w:name="_DV_M247"/>
      <w:bookmarkStart w:id="62" w:name="_DV_M248"/>
      <w:bookmarkStart w:id="63" w:name="_DV_M249"/>
      <w:bookmarkStart w:id="64" w:name="_DV_M250"/>
      <w:bookmarkStart w:id="65" w:name="_DV_M254"/>
      <w:bookmarkStart w:id="66" w:name="_DV_M256"/>
      <w:bookmarkStart w:id="67" w:name="_DV_M257"/>
      <w:bookmarkStart w:id="68" w:name="_DV_M263"/>
      <w:bookmarkStart w:id="69" w:name="_DV_M265"/>
      <w:bookmarkStart w:id="70" w:name="_DV_M266"/>
      <w:bookmarkStart w:id="71" w:name="_DV_M267"/>
      <w:bookmarkStart w:id="72" w:name="_DV_M269"/>
      <w:bookmarkStart w:id="73" w:name="_DV_M270"/>
      <w:bookmarkStart w:id="74" w:name="_DV_M272"/>
      <w:bookmarkStart w:id="75" w:name="_DV_M273"/>
      <w:bookmarkStart w:id="76" w:name="_DV_M274"/>
      <w:bookmarkStart w:id="77" w:name="_DV_M275"/>
      <w:bookmarkStart w:id="78" w:name="_DV_M276"/>
      <w:bookmarkStart w:id="79" w:name="_DV_M277"/>
      <w:bookmarkStart w:id="80" w:name="_DV_M278"/>
      <w:bookmarkStart w:id="81" w:name="_DV_M279"/>
      <w:bookmarkStart w:id="82" w:name="_DV_M280"/>
      <w:bookmarkStart w:id="83" w:name="_DV_M281"/>
      <w:bookmarkStart w:id="84" w:name="_DV_M282"/>
      <w:bookmarkStart w:id="85" w:name="_DV_M283"/>
      <w:bookmarkStart w:id="86" w:name="_DV_M285"/>
      <w:bookmarkStart w:id="87" w:name="_DV_M286"/>
      <w:bookmarkStart w:id="88" w:name="_DV_M287"/>
      <w:bookmarkStart w:id="89" w:name="_DV_M288"/>
      <w:bookmarkStart w:id="90" w:name="_DV_M289"/>
      <w:bookmarkStart w:id="91" w:name="_DV_M291"/>
      <w:bookmarkStart w:id="92" w:name="_DV_M293"/>
      <w:bookmarkStart w:id="93" w:name="_DV_M295"/>
      <w:bookmarkStart w:id="94" w:name="_DV_M296"/>
      <w:bookmarkStart w:id="95" w:name="_DV_M298"/>
      <w:bookmarkStart w:id="96" w:name="_DV_M300"/>
      <w:bookmarkStart w:id="97" w:name="_DV_M302"/>
      <w:bookmarkStart w:id="98" w:name="_DV_M304"/>
      <w:bookmarkStart w:id="99" w:name="_DV_M306"/>
      <w:bookmarkStart w:id="100" w:name="_DV_M308"/>
      <w:bookmarkStart w:id="101" w:name="_DV_M310"/>
      <w:bookmarkStart w:id="102" w:name="_DV_M313"/>
      <w:bookmarkStart w:id="103" w:name="_DV_M315"/>
      <w:bookmarkStart w:id="104" w:name="_DV_M317"/>
      <w:bookmarkStart w:id="105" w:name="_DV_M318"/>
      <w:bookmarkStart w:id="106" w:name="_DV_M319"/>
      <w:bookmarkStart w:id="107" w:name="_DV_M320"/>
      <w:bookmarkStart w:id="108" w:name="_DV_M324"/>
      <w:bookmarkStart w:id="109" w:name="_DV_M325"/>
      <w:bookmarkStart w:id="110" w:name="_DV_M326"/>
      <w:bookmarkStart w:id="111" w:name="_DV_M329"/>
      <w:bookmarkStart w:id="112" w:name="_DV_M330"/>
      <w:bookmarkStart w:id="113" w:name="_DV_M331"/>
      <w:bookmarkStart w:id="114" w:name="_DV_M338"/>
      <w:bookmarkStart w:id="115" w:name="_DV_M339"/>
      <w:bookmarkStart w:id="116" w:name="_DV_M343"/>
      <w:bookmarkStart w:id="117" w:name="_DV_M345"/>
      <w:bookmarkStart w:id="118" w:name="_DV_M346"/>
      <w:bookmarkStart w:id="119" w:name="_DV_M347"/>
      <w:bookmarkStart w:id="120" w:name="_DV_M348"/>
      <w:bookmarkStart w:id="121" w:name="_DV_M349"/>
      <w:bookmarkStart w:id="122" w:name="_DV_M353"/>
      <w:bookmarkStart w:id="123" w:name="_DV_M356"/>
      <w:bookmarkStart w:id="124" w:name="_DV_M369"/>
      <w:bookmarkStart w:id="125" w:name="_DV_M371"/>
      <w:bookmarkStart w:id="126" w:name="_DV_M373"/>
      <w:bookmarkStart w:id="127" w:name="_DV_M375"/>
      <w:bookmarkStart w:id="128" w:name="_DV_M382"/>
      <w:bookmarkStart w:id="129" w:name="_DV_M387"/>
      <w:bookmarkStart w:id="130" w:name="_DV_M389"/>
      <w:bookmarkStart w:id="131" w:name="_DV_M390"/>
      <w:bookmarkStart w:id="132" w:name="_DV_M391"/>
      <w:bookmarkStart w:id="133" w:name="_DV_M392"/>
      <w:bookmarkStart w:id="134" w:name="_DV_M393"/>
      <w:bookmarkStart w:id="135" w:name="_DV_M394"/>
      <w:bookmarkStart w:id="136" w:name="_DV_M398"/>
      <w:bookmarkStart w:id="137" w:name="_DV_M400"/>
      <w:bookmarkStart w:id="138" w:name="_DV_M401"/>
      <w:bookmarkStart w:id="139" w:name="_DV_M402"/>
      <w:bookmarkStart w:id="140" w:name="_DV_M403"/>
      <w:bookmarkStart w:id="141" w:name="_DV_M404"/>
      <w:bookmarkStart w:id="142" w:name="_DV_M405"/>
      <w:bookmarkStart w:id="143" w:name="_DV_M406"/>
      <w:bookmarkStart w:id="144" w:name="_DV_M407"/>
      <w:bookmarkStart w:id="145" w:name="_DV_M408"/>
      <w:bookmarkStart w:id="146" w:name="_DV_M410"/>
      <w:bookmarkStart w:id="147" w:name="_DV_M165"/>
      <w:bookmarkStart w:id="148" w:name="_DV_M166"/>
      <w:bookmarkStart w:id="149" w:name="_DV_M167"/>
      <w:bookmarkStart w:id="150" w:name="_DV_M168"/>
      <w:bookmarkStart w:id="151" w:name="_DV_M170"/>
      <w:bookmarkStart w:id="152" w:name="_DV_M171"/>
      <w:bookmarkStart w:id="153" w:name="_DV_M172"/>
      <w:bookmarkStart w:id="154" w:name="_DV_M173"/>
      <w:bookmarkStart w:id="155" w:name="_DV_M174"/>
      <w:bookmarkStart w:id="156" w:name="_DV_M182"/>
      <w:bookmarkStart w:id="157" w:name="_DV_M183"/>
      <w:bookmarkStart w:id="158" w:name="_DV_M412"/>
      <w:bookmarkStart w:id="159" w:name="_DV_M413"/>
      <w:bookmarkStart w:id="160" w:name="_DV_M4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E0C197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13AAA7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2AACA8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D28B6C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DF97F76"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579B930E"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6655AF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95FE8F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F78EB6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CEC882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92FBB4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73133D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59F9CA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37494D5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228F5E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86F271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B3C6F3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8831EC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9402F3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3DC77EC6"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r w:rsidR="00A7448E">
        <w:rPr>
          <w:rFonts w:ascii="Calibri" w:hAnsi="Calibri" w:cs="Calibri"/>
          <w:b/>
          <w:sz w:val="24"/>
        </w:rPr>
        <w:t>]</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7295C42E"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0DEB2909" w:rsidR="001B57F4" w:rsidRPr="00681C28" w:rsidRDefault="00681C28" w:rsidP="001B57F4">
      <w:pPr>
        <w:tabs>
          <w:tab w:val="left" w:pos="851"/>
        </w:tabs>
        <w:spacing w:line="320" w:lineRule="exact"/>
        <w:jc w:val="center"/>
        <w:rPr>
          <w:rFonts w:asciiTheme="minorHAnsi" w:hAnsiTheme="minorHAnsi" w:cstheme="minorHAnsi"/>
          <w:sz w:val="24"/>
        </w:rPr>
      </w:pPr>
      <w:r w:rsidRPr="00681C28">
        <w:rPr>
          <w:rFonts w:asciiTheme="minorHAnsi" w:hAnsiTheme="minorHAnsi" w:cstheme="minorHAnsi"/>
          <w:sz w:val="24"/>
        </w:rPr>
        <w:t>17</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 xml:space="preserve">de </w:t>
      </w:r>
      <w:r w:rsidRPr="00681C28">
        <w:rPr>
          <w:rFonts w:asciiTheme="minorHAnsi" w:hAnsiTheme="minorHAnsi" w:cstheme="minorHAnsi"/>
          <w:sz w:val="24"/>
        </w:rPr>
        <w:t>janeiro</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de 202</w:t>
      </w:r>
      <w:r>
        <w:rPr>
          <w:rFonts w:asciiTheme="minorHAnsi" w:hAnsiTheme="minorHAnsi" w:cstheme="minorHAnsi"/>
          <w:sz w:val="24"/>
        </w:rPr>
        <w:t>2</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76940940" w:rsidR="00AD621E" w:rsidRPr="00951478" w:rsidRDefault="009F415E" w:rsidP="004A58DC">
      <w:pPr>
        <w:pStyle w:val="Body"/>
        <w:rPr>
          <w:rFonts w:asciiTheme="minorHAnsi" w:hAnsiTheme="minorHAnsi"/>
          <w:b/>
          <w:sz w:val="24"/>
        </w:rPr>
      </w:pPr>
      <w:bookmarkStart w:id="161" w:name="_Hlk90021595"/>
      <w:bookmarkStart w:id="162" w:name="_Hlk90021568"/>
      <w:bookmarkStart w:id="163" w:name="_Hlk90021719"/>
      <w:bookmarkEnd w:id="0"/>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40F42038" w14:textId="2833D5DC"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64"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64"/>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65"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66" w:name="_Ref276509791"/>
      <w:bookmarkStart w:id="167" w:name="_Hlk90021610"/>
      <w:bookmarkEnd w:id="165"/>
      <w:bookmarkEnd w:id="161"/>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68" w:name="_Ref276509796"/>
      <w:bookmarkEnd w:id="166"/>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169" w:name="_Hlk89970093"/>
      <w:r w:rsidR="00091253">
        <w:rPr>
          <w:rFonts w:asciiTheme="minorHAnsi" w:hAnsiTheme="minorHAnsi"/>
          <w:sz w:val="24"/>
        </w:rPr>
        <w:t>Agente de Liquidação</w:t>
      </w:r>
      <w:bookmarkEnd w:id="169"/>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70" w:name="_Ref333863978"/>
      <w:bookmarkEnd w:id="168"/>
      <w:bookmarkEnd w:id="167"/>
      <w:r w:rsidRPr="00951478">
        <w:rPr>
          <w:rFonts w:asciiTheme="minorHAnsi" w:hAnsiTheme="minorHAnsi"/>
          <w:b/>
          <w:sz w:val="24"/>
        </w:rPr>
        <w:t>REQUISITOS</w:t>
      </w:r>
      <w:bookmarkEnd w:id="170"/>
    </w:p>
    <w:p w14:paraId="2CA12D21" w14:textId="663555A9" w:rsidR="00AD621E" w:rsidRPr="00951478" w:rsidRDefault="00EF1AA2" w:rsidP="004A58DC">
      <w:pPr>
        <w:pStyle w:val="Level2"/>
        <w:rPr>
          <w:rFonts w:asciiTheme="minorHAnsi" w:hAnsiTheme="minorHAnsi"/>
          <w:sz w:val="24"/>
        </w:rPr>
      </w:pPr>
      <w:bookmarkStart w:id="171"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71"/>
    </w:p>
    <w:p w14:paraId="2F7C76D8" w14:textId="06A8C173" w:rsidR="00864020" w:rsidRPr="00951478" w:rsidRDefault="00EF1AA2" w:rsidP="004A58DC">
      <w:pPr>
        <w:pStyle w:val="Level3"/>
        <w:tabs>
          <w:tab w:val="clear" w:pos="2041"/>
          <w:tab w:val="num" w:pos="1276"/>
        </w:tabs>
        <w:ind w:left="1276"/>
        <w:rPr>
          <w:rFonts w:asciiTheme="minorHAnsi" w:hAnsiTheme="minorHAnsi"/>
          <w:sz w:val="24"/>
        </w:rPr>
      </w:pPr>
      <w:bookmarkStart w:id="172"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72"/>
      <w:r w:rsidR="00FB461F" w:rsidRPr="00951478">
        <w:rPr>
          <w:rFonts w:asciiTheme="minorHAnsi" w:hAnsiTheme="minorHAnsi"/>
          <w:sz w:val="24"/>
        </w:rPr>
        <w:t>Nos termos do artigo 62, inciso I, e 289 da Lei das Sociedades por Ações</w:t>
      </w:r>
      <w:bookmarkStart w:id="173" w:name="_Ref276509904"/>
      <w:r w:rsidR="00FB461F">
        <w:rPr>
          <w:rFonts w:asciiTheme="minorHAnsi" w:hAnsiTheme="minorHAnsi"/>
          <w:sz w:val="24"/>
        </w:rPr>
        <w:t>,</w:t>
      </w:r>
      <w:r w:rsidR="00FB461F" w:rsidRPr="00951478">
        <w:rPr>
          <w:rFonts w:asciiTheme="minorHAnsi" w:hAnsiTheme="minorHAnsi"/>
          <w:sz w:val="24"/>
        </w:rPr>
        <w:t xml:space="preserve"> a ata da RCA da Emissora </w:t>
      </w:r>
      <w:r w:rsidR="00BC05E5">
        <w:rPr>
          <w:rFonts w:asciiTheme="minorHAnsi" w:hAnsiTheme="minorHAnsi"/>
          <w:sz w:val="24"/>
        </w:rPr>
        <w:t>foi</w:t>
      </w:r>
      <w:r w:rsidR="00FB461F" w:rsidRPr="00951478">
        <w:rPr>
          <w:rFonts w:asciiTheme="minorHAnsi" w:hAnsiTheme="minorHAnsi"/>
          <w:sz w:val="24"/>
        </w:rPr>
        <w:t xml:space="preserve"> arquivada na JUCESP e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73"/>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44575051" w14:textId="34599B5A" w:rsidR="0056725D" w:rsidRPr="009870D8" w:rsidRDefault="00EF1AA2" w:rsidP="0056725D">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077086FA"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0056725D">
        <w:rPr>
          <w:rFonts w:asciiTheme="minorHAnsi" w:hAnsiTheme="minorHAnsi"/>
          <w:sz w:val="24"/>
          <w:u w:val="single"/>
        </w:rPr>
        <w:t xml:space="preserve"> e seus eventuais aditamentos</w:t>
      </w:r>
      <w:r w:rsidRPr="00951478">
        <w:rPr>
          <w:rFonts w:asciiTheme="minorHAnsi" w:hAnsiTheme="minorHAnsi"/>
          <w:sz w:val="24"/>
        </w:rPr>
        <w:t xml:space="preserve">. Nos termos do artigo 62, inciso II e parágrafo 3º, da Lei das Sociedades por Ações, esta Escritura de Emissão </w:t>
      </w:r>
      <w:r w:rsidR="0056725D">
        <w:rPr>
          <w:rFonts w:asciiTheme="minorHAnsi" w:hAnsiTheme="minorHAnsi"/>
          <w:sz w:val="24"/>
        </w:rPr>
        <w:t xml:space="preserve">foi inscrita na JUCESP, em </w:t>
      </w:r>
      <w:r w:rsidR="00681C28">
        <w:rPr>
          <w:rFonts w:asciiTheme="minorHAnsi" w:hAnsiTheme="minorHAnsi"/>
          <w:sz w:val="24"/>
        </w:rPr>
        <w:t>20</w:t>
      </w:r>
      <w:r w:rsidR="0056725D">
        <w:rPr>
          <w:rFonts w:asciiTheme="minorHAnsi" w:hAnsiTheme="minorHAnsi"/>
          <w:sz w:val="24"/>
        </w:rPr>
        <w:t xml:space="preserve"> de dezembro de 2021, sob o nº </w:t>
      </w:r>
      <w:r w:rsidR="00681C28" w:rsidRPr="00681C28">
        <w:rPr>
          <w:rFonts w:asciiTheme="minorHAnsi" w:hAnsiTheme="minorHAnsi"/>
          <w:sz w:val="24"/>
        </w:rPr>
        <w:t>ED004311-1/000</w:t>
      </w:r>
      <w:r w:rsidR="00A7448E" w:rsidDel="00A7448E">
        <w:rPr>
          <w:rFonts w:asciiTheme="minorHAnsi" w:hAnsiTheme="minorHAnsi"/>
          <w:sz w:val="24"/>
        </w:rPr>
        <w:t xml:space="preserve"> </w:t>
      </w:r>
      <w:r w:rsidR="0056725D">
        <w:rPr>
          <w:rFonts w:asciiTheme="minorHAnsi" w:hAnsiTheme="minorHAnsi"/>
          <w:sz w:val="24"/>
        </w:rPr>
        <w:t>e seus eventuais aditamentos serão inscritos na JUCESP de acordo com o inciso II e o parágrafo 3º do artigo 62 da Lei das Sociedades por Ações</w:t>
      </w:r>
      <w:r w:rsidRPr="00951478">
        <w:rPr>
          <w:rFonts w:asciiTheme="minorHAnsi" w:hAnsiTheme="minorHAnsi"/>
          <w:sz w:val="24"/>
        </w:rPr>
        <w:t xml:space="preserve">. </w:t>
      </w:r>
    </w:p>
    <w:p w14:paraId="12E0201A" w14:textId="6722575C" w:rsidR="0064765E" w:rsidRPr="00951478" w:rsidRDefault="00EC0F6E" w:rsidP="004A58DC">
      <w:pPr>
        <w:pStyle w:val="Level4"/>
        <w:tabs>
          <w:tab w:val="num" w:pos="1985"/>
        </w:tabs>
        <w:ind w:left="1985"/>
        <w:rPr>
          <w:rFonts w:asciiTheme="minorHAnsi" w:hAnsiTheme="minorHAnsi"/>
          <w:sz w:val="24"/>
        </w:rPr>
      </w:pPr>
      <w:r w:rsidRPr="00EC0F6E">
        <w:rPr>
          <w:rFonts w:asciiTheme="minorHAnsi" w:hAnsiTheme="minorHAnsi"/>
          <w:sz w:val="24"/>
        </w:rPr>
        <w:t xml:space="preserve">Esta Escritura de Emissão foi objeto de aditamento para refletir o resultado do Procedimento de Bookbuilding, o qual definiu a </w:t>
      </w:r>
      <w:r w:rsidRPr="00EC0F6E">
        <w:rPr>
          <w:rFonts w:asciiTheme="minorHAnsi" w:hAnsiTheme="minorHAnsi"/>
          <w:sz w:val="24"/>
        </w:rPr>
        <w:lastRenderedPageBreak/>
        <w:t>taxa final das Remunerações e a quantidade de Debêntures efetivamente emitidas, em razão do exercício da Opção de Debêntures Adicionais, nos termos e condições aprovados na RCA, e, portanto, sem a necessidade de nova aprovação societária pela Emissora. O aditamento de que trata esta Cláusula será inscrito na JUCESP, nos termos da Cláusula 2.1.2 acima.</w:t>
      </w:r>
    </w:p>
    <w:p w14:paraId="13548566" w14:textId="6A4C07D9" w:rsidR="000A18DF" w:rsidRPr="00951478" w:rsidRDefault="00EC0F6E" w:rsidP="004A58DC">
      <w:pPr>
        <w:pStyle w:val="Level4"/>
        <w:tabs>
          <w:tab w:val="clear" w:pos="2722"/>
          <w:tab w:val="num" w:pos="1985"/>
        </w:tabs>
        <w:ind w:left="1985"/>
        <w:rPr>
          <w:rFonts w:asciiTheme="minorHAnsi" w:hAnsiTheme="minorHAnsi"/>
          <w:sz w:val="24"/>
        </w:rPr>
      </w:pPr>
      <w:bookmarkStart w:id="174" w:name="_Ref45610884"/>
      <w:bookmarkEnd w:id="174"/>
      <w:r w:rsidRPr="00EC0F6E">
        <w:rPr>
          <w:rFonts w:asciiTheme="minorHAnsi" w:hAnsiTheme="minorHAnsi"/>
          <w:sz w:val="24"/>
        </w:rPr>
        <w:t xml:space="preserve">A Emissora deverá entregar ao Agente Fiduciário 1 (uma) via eletrônica (formato </w:t>
      </w:r>
      <w:proofErr w:type="spellStart"/>
      <w:r w:rsidRPr="00EC0F6E">
        <w:rPr>
          <w:rFonts w:asciiTheme="minorHAnsi" w:hAnsiTheme="minorHAnsi"/>
          <w:sz w:val="24"/>
        </w:rPr>
        <w:t>pdf</w:t>
      </w:r>
      <w:proofErr w:type="spellEnd"/>
      <w:r w:rsidRPr="00EC0F6E">
        <w:rPr>
          <w:rFonts w:asciiTheme="minorHAnsi" w:hAnsiTheme="minorHAnsi"/>
          <w:sz w:val="24"/>
        </w:rPr>
        <w:t>), contendo a chancela digital da JUCESP, do respectivo documento e eventuais aditamentos inscritos na JUCESP, no prazo de até 5 (cinco) Dias Úteis contados da data do efetivo registro.</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75"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75"/>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24CAA3BC"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2640CF3A"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w:t>
      </w:r>
      <w:r w:rsidR="009012B5">
        <w:rPr>
          <w:rFonts w:asciiTheme="minorHAnsi" w:hAnsiTheme="minorHAnsi" w:cstheme="minorHAnsi"/>
          <w:sz w:val="24"/>
          <w:szCs w:val="24"/>
        </w:rPr>
        <w:t xml:space="preserve"> </w:t>
      </w:r>
      <w:r w:rsidRPr="00C204D3">
        <w:rPr>
          <w:rFonts w:asciiTheme="minorHAnsi" w:hAnsiTheme="minorHAnsi" w:cstheme="minorHAnsi"/>
          <w:sz w:val="24"/>
          <w:szCs w:val="24"/>
        </w:rPr>
        <w:t>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176"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176"/>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77"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16A778F"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w:t>
      </w:r>
      <w:r w:rsidR="0024019D" w:rsidRPr="0024019D">
        <w:rPr>
          <w:rFonts w:asciiTheme="minorHAnsi" w:hAnsiTheme="minorHAnsi" w:cstheme="minorHAnsi"/>
          <w:bCs/>
          <w:sz w:val="24"/>
        </w:rPr>
        <w:t>95.443.564,00 (noventa e cinco milhões e quatrocentos e quarenta e três mil e quinhentos e sessenta e quatro reais))</w:t>
      </w:r>
      <w:r w:rsidRPr="0085433A">
        <w:rPr>
          <w:rFonts w:asciiTheme="minorHAnsi" w:hAnsiTheme="minorHAnsi" w:cstheme="minorHAnsi"/>
          <w:bCs/>
          <w:sz w:val="24"/>
        </w:rPr>
        <w:t xml:space="preserve">; </w:t>
      </w:r>
    </w:p>
    <w:p w14:paraId="7A2A9ED5" w14:textId="4B3D949C"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2E4F2DB3"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r w:rsidR="0024019D" w:rsidRPr="0024019D">
        <w:rPr>
          <w:rFonts w:asciiTheme="minorHAnsi" w:hAnsiTheme="minorHAnsi" w:cstheme="minorHAnsi"/>
          <w:bCs/>
          <w:sz w:val="24"/>
        </w:rPr>
        <w:t>19,10% (dezenove inteiros e dez centésimos por cento)</w:t>
      </w:r>
      <w:r w:rsidRPr="0085433A">
        <w:rPr>
          <w:rFonts w:asciiTheme="minorHAnsi" w:hAnsiTheme="minorHAnsi" w:cstheme="minorHAnsi"/>
          <w:bCs/>
          <w:sz w:val="24"/>
        </w:rPr>
        <w:t xml:space="preserve">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78" w:name="_Hlk71619028"/>
      <w:bookmarkEnd w:id="177"/>
      <w:r w:rsidRPr="003F65CF">
        <w:rPr>
          <w:rFonts w:asciiTheme="minorHAnsi" w:hAnsiTheme="minorHAnsi" w:cstheme="minorHAnsi"/>
          <w:b/>
          <w:bCs/>
          <w:sz w:val="24"/>
        </w:rPr>
        <w:t>Portaria nº 35/SPG/MME, de 18 de outubro de 2021:</w:t>
      </w:r>
    </w:p>
    <w:p w14:paraId="5F3BC4A1" w14:textId="77777777" w:rsidR="0085433A" w:rsidRPr="0085433A" w:rsidRDefault="003F65CF" w:rsidP="0024019D">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4B54EE44" w14:textId="40B5D94B"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w:t>
      </w:r>
      <w:r w:rsidR="0024019D" w:rsidRPr="0024019D">
        <w:rPr>
          <w:rFonts w:asciiTheme="minorHAnsi" w:hAnsiTheme="minorHAnsi" w:cstheme="minorHAnsi"/>
          <w:sz w:val="24"/>
        </w:rPr>
        <w:t>Usinas: R$ 1.104.556.436,00 (um bilhão cento e quatro milhões e quinhentos e cinquenta e seis mil e quatrocentos e trinta e seis reais)</w:t>
      </w:r>
      <w:r w:rsidRPr="0085433A">
        <w:rPr>
          <w:rFonts w:asciiTheme="minorHAnsi" w:hAnsiTheme="minorHAnsi" w:cstheme="minorHAnsi"/>
          <w:sz w:val="24"/>
        </w:rPr>
        <w:t xml:space="preserve">; </w:t>
      </w:r>
    </w:p>
    <w:p w14:paraId="14457C33" w14:textId="1B5DE99E"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(g) Percentual decorrente dos recursos líquidos a serem captados pelas Debêntures, considerando a emissão das Debêntures Adicionais, que se estima alocar no </w:t>
      </w:r>
      <w:r w:rsidR="0024019D" w:rsidRPr="0024019D">
        <w:rPr>
          <w:rFonts w:asciiTheme="minorHAnsi" w:hAnsiTheme="minorHAnsi" w:cstheme="minorHAnsi"/>
          <w:sz w:val="24"/>
        </w:rPr>
        <w:t xml:space="preserve">Projeto </w:t>
      </w:r>
      <w:proofErr w:type="spellStart"/>
      <w:r w:rsidR="0024019D" w:rsidRPr="0024019D">
        <w:rPr>
          <w:rFonts w:asciiTheme="minorHAnsi" w:hAnsiTheme="minorHAnsi" w:cstheme="minorHAnsi"/>
          <w:sz w:val="24"/>
        </w:rPr>
        <w:t>Capex</w:t>
      </w:r>
      <w:proofErr w:type="spellEnd"/>
      <w:r w:rsidR="0024019D" w:rsidRPr="0024019D">
        <w:rPr>
          <w:rFonts w:asciiTheme="minorHAnsi" w:hAnsiTheme="minorHAnsi" w:cstheme="minorHAnsi"/>
          <w:sz w:val="24"/>
        </w:rPr>
        <w:t xml:space="preserve"> Usinas</w:t>
      </w:r>
      <w:r w:rsidRPr="0085433A">
        <w:rPr>
          <w:rFonts w:asciiTheme="minorHAnsi" w:hAnsiTheme="minorHAnsi" w:cstheme="minorHAnsi"/>
          <w:sz w:val="24"/>
        </w:rPr>
        <w:t>;</w:t>
      </w:r>
    </w:p>
    <w:p w14:paraId="48BA6DAB" w14:textId="7CD80964"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(h) </w:t>
      </w:r>
      <w:r w:rsidR="0024019D" w:rsidRPr="0024019D">
        <w:rPr>
          <w:rFonts w:asciiTheme="minorHAnsi" w:hAnsiTheme="minorHAnsi" w:cstheme="minorHAnsi"/>
          <w:sz w:val="24"/>
        </w:rPr>
        <w:t xml:space="preserve">Percentual que a Emissora estima captar para o Projeto </w:t>
      </w:r>
      <w:proofErr w:type="spellStart"/>
      <w:r w:rsidR="0024019D" w:rsidRPr="0024019D">
        <w:rPr>
          <w:rFonts w:asciiTheme="minorHAnsi" w:hAnsiTheme="minorHAnsi" w:cstheme="minorHAnsi"/>
          <w:sz w:val="24"/>
        </w:rPr>
        <w:t>Capex</w:t>
      </w:r>
      <w:proofErr w:type="spellEnd"/>
      <w:r w:rsidR="0024019D" w:rsidRPr="0024019D">
        <w:rPr>
          <w:rFonts w:asciiTheme="minorHAnsi" w:hAnsiTheme="minorHAnsi" w:cstheme="minorHAnsi"/>
          <w:sz w:val="24"/>
        </w:rPr>
        <w:t xml:space="preserve"> Usinas, nos termos da alínea (f) acima, frente às necessidades do Projeto </w:t>
      </w:r>
      <w:proofErr w:type="spellStart"/>
      <w:r w:rsidR="0024019D" w:rsidRPr="0024019D">
        <w:rPr>
          <w:rFonts w:asciiTheme="minorHAnsi" w:hAnsiTheme="minorHAnsi" w:cstheme="minorHAnsi"/>
          <w:sz w:val="24"/>
        </w:rPr>
        <w:t>Capex</w:t>
      </w:r>
      <w:proofErr w:type="spellEnd"/>
      <w:r w:rsidR="0024019D" w:rsidRPr="0024019D">
        <w:rPr>
          <w:rFonts w:asciiTheme="minorHAnsi" w:hAnsiTheme="minorHAnsi" w:cstheme="minorHAnsi"/>
          <w:sz w:val="24"/>
        </w:rPr>
        <w:t xml:space="preserve"> Usinas indicadas na alínea (e)</w:t>
      </w:r>
      <w:r w:rsidRPr="0085433A">
        <w:rPr>
          <w:rFonts w:asciiTheme="minorHAnsi" w:hAnsiTheme="minorHAnsi" w:cstheme="minorHAnsi"/>
          <w:sz w:val="24"/>
        </w:rPr>
        <w:t>;</w:t>
      </w:r>
    </w:p>
    <w:p w14:paraId="330E1B5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(i) Alocação dos recursos a serem captados por meio da Emissão: plantio de cana-de-açúcar, manutenção de entressafra, novos equipamentos, reposição de equipamentos tratos culturais, gatos ambientais e legais;</w:t>
      </w:r>
    </w:p>
    <w:p w14:paraId="3F3C2A8E" w14:textId="7DA1F25F"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(j)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w:t>
      </w:r>
      <w:r w:rsidR="0024019D" w:rsidRPr="0024019D">
        <w:rPr>
          <w:rFonts w:asciiTheme="minorHAnsi" w:hAnsiTheme="minorHAnsi" w:cstheme="minorHAnsi"/>
          <w:sz w:val="24"/>
        </w:rPr>
        <w:t>1.104.556.436,00 (um bilhão cento e quatro milhões e quinhentos e cinquenta e seis mil e quatrocentos e trinta e seis reais)</w:t>
      </w:r>
      <w:r w:rsidRPr="0085433A">
        <w:rPr>
          <w:rFonts w:asciiTheme="minorHAnsi" w:hAnsiTheme="minorHAnsi" w:cstheme="minorHAnsi"/>
          <w:sz w:val="24"/>
        </w:rPr>
        <w:t xml:space="preserve">; </w:t>
      </w:r>
    </w:p>
    <w:p w14:paraId="023961C8"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(k)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0E8499A0"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 xml:space="preserve">(l) Percentual dos recursos financeiros necessários ao Projeto </w:t>
      </w:r>
      <w:proofErr w:type="spellStart"/>
      <w:r w:rsidRPr="0085433A">
        <w:rPr>
          <w:rFonts w:asciiTheme="minorHAnsi" w:hAnsiTheme="minorHAnsi" w:cstheme="minorHAnsi"/>
          <w:sz w:val="24"/>
        </w:rPr>
        <w:t>Capex</w:t>
      </w:r>
      <w:proofErr w:type="spellEnd"/>
      <w:r w:rsidR="0024019D">
        <w:rPr>
          <w:rFonts w:asciiTheme="minorHAnsi" w:hAnsiTheme="minorHAnsi" w:cstheme="minorHAnsi"/>
          <w:sz w:val="24"/>
        </w:rPr>
        <w:t xml:space="preserve"> Usinas</w:t>
      </w:r>
      <w:r w:rsidRPr="0085433A">
        <w:rPr>
          <w:rFonts w:asciiTheme="minorHAnsi" w:hAnsiTheme="minorHAnsi" w:cstheme="minorHAnsi"/>
          <w:sz w:val="24"/>
        </w:rPr>
        <w:t xml:space="preserve"> provenientes da Emissão: os recursos provenientes da Emissão correspondem a aproximadamente </w:t>
      </w:r>
      <w:r w:rsidR="0024019D" w:rsidRPr="0024019D">
        <w:rPr>
          <w:rFonts w:asciiTheme="minorHAnsi" w:hAnsiTheme="minorHAnsi" w:cstheme="minorHAnsi"/>
          <w:sz w:val="24"/>
        </w:rPr>
        <w:t xml:space="preserve">100% (cem por </w:t>
      </w:r>
      <w:proofErr w:type="gramStart"/>
      <w:r w:rsidR="0024019D" w:rsidRPr="0024019D">
        <w:rPr>
          <w:rFonts w:asciiTheme="minorHAnsi" w:hAnsiTheme="minorHAnsi" w:cstheme="minorHAnsi"/>
          <w:sz w:val="24"/>
        </w:rPr>
        <w:t>cento</w:t>
      </w:r>
      <w:r w:rsidRPr="0085433A">
        <w:rPr>
          <w:rFonts w:asciiTheme="minorHAnsi" w:hAnsiTheme="minorHAnsi" w:cstheme="minorHAnsi"/>
          <w:sz w:val="24"/>
        </w:rPr>
        <w:t>)do</w:t>
      </w:r>
      <w:proofErr w:type="gramEnd"/>
      <w:r w:rsidRPr="0085433A">
        <w:rPr>
          <w:rFonts w:asciiTheme="minorHAnsi" w:hAnsiTheme="minorHAnsi" w:cstheme="minorHAnsi"/>
          <w:sz w:val="24"/>
        </w:rPr>
        <w:t xml:space="preserve">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178"/>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0F3DA415"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lastRenderedPageBreak/>
        <w:t xml:space="preserve">Considerando a emissão das Debêntures Adicionais, no valor de R$ </w:t>
      </w:r>
      <w:r w:rsidR="00551B8D">
        <w:rPr>
          <w:rFonts w:asciiTheme="minorHAnsi" w:hAnsiTheme="minorHAnsi"/>
          <w:sz w:val="24"/>
        </w:rPr>
        <w:t>200.000.000,00</w:t>
      </w:r>
      <w:r w:rsidR="00551B8D" w:rsidRPr="0085433A">
        <w:rPr>
          <w:rFonts w:asciiTheme="minorHAnsi" w:hAnsiTheme="minorHAnsi"/>
          <w:sz w:val="24"/>
        </w:rPr>
        <w:t xml:space="preserve"> (</w:t>
      </w:r>
      <w:r w:rsidR="00551B8D">
        <w:rPr>
          <w:rFonts w:asciiTheme="minorHAnsi" w:hAnsiTheme="minorHAnsi"/>
          <w:sz w:val="24"/>
        </w:rPr>
        <w:t>duzentos milhões de reais</w:t>
      </w:r>
      <w:r w:rsidR="00551B8D" w:rsidRPr="0085433A">
        <w:rPr>
          <w:rFonts w:asciiTheme="minorHAnsi" w:hAnsiTheme="minorHAnsi"/>
          <w:sz w:val="24"/>
        </w:rPr>
        <w:t xml:space="preserve">), </w:t>
      </w:r>
      <w:r w:rsidRPr="0085433A">
        <w:rPr>
          <w:rFonts w:asciiTheme="minorHAnsi" w:hAnsiTheme="minorHAnsi"/>
          <w:sz w:val="24"/>
        </w:rPr>
        <w:t>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5EC9F794"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O valor total da Emissão será de R$</w:t>
      </w:r>
      <w:r w:rsidR="004F35A2">
        <w:rPr>
          <w:rFonts w:asciiTheme="minorHAnsi" w:hAnsiTheme="minorHAnsi"/>
          <w:sz w:val="24"/>
        </w:rPr>
        <w:t xml:space="preserve"> 1.200.000.000,00</w:t>
      </w:r>
      <w:r w:rsidR="0085433A" w:rsidRPr="0085433A">
        <w:rPr>
          <w:rFonts w:asciiTheme="minorHAnsi" w:hAnsiTheme="minorHAnsi"/>
          <w:sz w:val="24"/>
        </w:rPr>
        <w:t xml:space="preserve"> </w:t>
      </w:r>
      <w:r w:rsidR="004F35A2" w:rsidRPr="0085433A">
        <w:rPr>
          <w:rFonts w:asciiTheme="minorHAnsi" w:hAnsiTheme="minorHAnsi"/>
          <w:sz w:val="24"/>
        </w:rPr>
        <w:t>(</w:t>
      </w:r>
      <w:r w:rsidR="004F35A2">
        <w:rPr>
          <w:rFonts w:asciiTheme="minorHAnsi" w:hAnsiTheme="minorHAnsi"/>
          <w:sz w:val="24"/>
        </w:rPr>
        <w:t>um bilhão e duzentos milhões</w:t>
      </w:r>
      <w:r w:rsidR="004F35A2" w:rsidRPr="0085433A">
        <w:rPr>
          <w:rFonts w:asciiTheme="minorHAnsi" w:hAnsiTheme="minorHAnsi"/>
          <w:sz w:val="24"/>
        </w:rPr>
        <w:t xml:space="preserve"> </w:t>
      </w:r>
      <w:r w:rsidR="0085433A" w:rsidRPr="0085433A">
        <w:rPr>
          <w:rFonts w:asciiTheme="minorHAnsi" w:hAnsiTheme="minorHAnsi"/>
          <w:sz w:val="24"/>
        </w:rPr>
        <w:t>de reais),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79" w:name="_Hlk89969792"/>
      <w:r>
        <w:rPr>
          <w:rFonts w:asciiTheme="minorHAnsi" w:hAnsiTheme="minorHAnsi"/>
          <w:sz w:val="24"/>
          <w:u w:val="single"/>
        </w:rPr>
        <w:t>Agente de Liquidação</w:t>
      </w:r>
      <w:bookmarkEnd w:id="179"/>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lastRenderedPageBreak/>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29CA1657"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47190908"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62"/>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lastRenderedPageBreak/>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lastRenderedPageBreak/>
        <w:t>Não será constituído fundo de manutenção de liquidez ou firmado contrato de garantia de liquidez ou estabilização de preço para as Debêntures. Não será constituído fundo de amortização para a presente Emissão.</w:t>
      </w:r>
    </w:p>
    <w:p w14:paraId="1711C050" w14:textId="4C63386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t xml:space="preserve">Coleta de Intenções de Investimento (Procedimento de </w:t>
      </w:r>
      <w:r w:rsidRPr="00CA7AFA">
        <w:rPr>
          <w:rFonts w:asciiTheme="minorHAnsi" w:hAnsiTheme="minorHAnsi" w:cstheme="minorHAnsi"/>
          <w:i/>
          <w:iCs/>
          <w:sz w:val="24"/>
          <w:szCs w:val="24"/>
          <w:u w:val="single"/>
        </w:rPr>
        <w:t>Bookbuilding</w:t>
      </w:r>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considerando as Debêntures Adicionais, e, sendo verificada tal demanda, definiu sobre a realização da Emissão em 2 (duas) séries; (ii) definiu sobre a emissão e a quantidade de Debêntures, observado o disposto na Cláusula 6.8 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das Debêntures Adicionais, bem como as respectivas Séries nas quai</w:t>
      </w:r>
      <w:r w:rsidR="004F35A2">
        <w:rPr>
          <w:rFonts w:asciiTheme="minorHAnsi" w:hAnsiTheme="minorHAnsi" w:cstheme="minorHAnsi"/>
          <w:sz w:val="24"/>
          <w:szCs w:val="24"/>
        </w:rPr>
        <w:t>s</w:t>
      </w:r>
      <w:r w:rsidRPr="00CA7AFA">
        <w:rPr>
          <w:rFonts w:asciiTheme="minorHAnsi" w:hAnsiTheme="minorHAnsi" w:cstheme="minorHAnsi"/>
          <w:sz w:val="24"/>
          <w:szCs w:val="24"/>
        </w:rPr>
        <w:t xml:space="preserve"> foram alocadas as Debêntures Adicionais e, consequentemente, a quantidade de Debêntures alocada em cada uma das Séries</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r>
        <w:rPr>
          <w:rFonts w:asciiTheme="minorHAnsi" w:hAnsiTheme="minorHAnsi" w:cstheme="minorHAnsi"/>
          <w:sz w:val="24"/>
          <w:szCs w:val="24"/>
        </w:rPr>
        <w:t>.</w:t>
      </w:r>
    </w:p>
    <w:p w14:paraId="713416B7" w14:textId="2E3D4BAA"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Nos termos do artigo 55 da Instrução CVM 400, foi</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 xml:space="preserve">aceita a participação de Investidores da Oferta que sejam Pessoas Vinculadas </w:t>
      </w:r>
      <w:r w:rsidRPr="00EA4083">
        <w:rPr>
          <w:rFonts w:asciiTheme="minorHAnsi" w:hAnsiTheme="minorHAnsi" w:cstheme="minorHAnsi"/>
          <w:sz w:val="24"/>
          <w:szCs w:val="24"/>
        </w:rPr>
        <w:lastRenderedPageBreak/>
        <w:t>(conforme abaixo definido). Caso fosse verificado excesso de demanda superior em 1/3 (um terço) à quantidade de Debêntures inicialmente ofertada (sem considerar as Debêntures Adicionais), não seria</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0445E765" w14:textId="5AEFE2A4" w:rsidR="00C13A97" w:rsidRPr="00CC7343" w:rsidRDefault="00C13A97" w:rsidP="00CA7AFA">
      <w:pPr>
        <w:pStyle w:val="Level3"/>
        <w:numPr>
          <w:ilvl w:val="0"/>
          <w:numId w:val="0"/>
        </w:numPr>
        <w:ind w:left="1247"/>
        <w:rPr>
          <w:rFonts w:asciiTheme="minorHAnsi" w:hAnsiTheme="minorHAnsi" w:cstheme="minorHAnsi"/>
          <w:sz w:val="24"/>
          <w:szCs w:val="24"/>
        </w:rPr>
      </w:pP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durante 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B7E093B" w:rsidR="00B923A3" w:rsidRPr="003853C1" w:rsidRDefault="00B923A3" w:rsidP="00B923A3">
      <w:pPr>
        <w:pStyle w:val="Level2"/>
        <w:rPr>
          <w:u w:val="single"/>
        </w:rPr>
      </w:pPr>
      <w:r w:rsidRPr="00B923A3">
        <w:rPr>
          <w:rFonts w:asciiTheme="minorHAnsi" w:hAnsiTheme="minorHAnsi" w:cstheme="minorHAnsi"/>
          <w:sz w:val="24"/>
          <w:szCs w:val="24"/>
          <w:u w:val="single"/>
        </w:rPr>
        <w:lastRenderedPageBreak/>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foi aumentada em </w:t>
      </w:r>
      <w:r w:rsidR="004F35A2">
        <w:rPr>
          <w:rFonts w:asciiTheme="minorHAnsi" w:hAnsiTheme="minorHAnsi" w:cstheme="minorHAnsi"/>
          <w:sz w:val="24"/>
          <w:szCs w:val="24"/>
        </w:rPr>
        <w:t>20</w:t>
      </w:r>
      <w:r w:rsidR="00EA4083" w:rsidRPr="00EA4083">
        <w:rPr>
          <w:rFonts w:asciiTheme="minorHAnsi" w:hAnsiTheme="minorHAnsi" w:cstheme="minorHAnsi"/>
          <w:sz w:val="24"/>
          <w:szCs w:val="24"/>
        </w:rPr>
        <w:t>% (</w:t>
      </w:r>
      <w:r w:rsidR="004F35A2">
        <w:rPr>
          <w:rFonts w:asciiTheme="minorHAnsi" w:hAnsiTheme="minorHAnsi" w:cstheme="minorHAnsi"/>
          <w:sz w:val="24"/>
          <w:szCs w:val="24"/>
        </w:rPr>
        <w:t>vinte por cento)</w:t>
      </w:r>
      <w:r w:rsidR="00EA4083" w:rsidRPr="00EA4083">
        <w:rPr>
          <w:rFonts w:asciiTheme="minorHAnsi" w:hAnsiTheme="minorHAnsi" w:cstheme="minorHAnsi"/>
          <w:sz w:val="24"/>
          <w:szCs w:val="24"/>
        </w:rPr>
        <w:t xml:space="preserve">, ou seja, em </w:t>
      </w:r>
      <w:r w:rsidR="004F35A2">
        <w:rPr>
          <w:rFonts w:asciiTheme="minorHAnsi" w:hAnsiTheme="minorHAnsi" w:cstheme="minorHAnsi"/>
          <w:sz w:val="24"/>
          <w:szCs w:val="24"/>
        </w:rPr>
        <w:t>200.000</w:t>
      </w:r>
      <w:r w:rsidR="004F35A2" w:rsidRPr="00EA4083">
        <w:rPr>
          <w:rFonts w:asciiTheme="minorHAnsi" w:hAnsiTheme="minorHAnsi" w:cstheme="minorHAnsi"/>
          <w:sz w:val="24"/>
          <w:szCs w:val="24"/>
        </w:rPr>
        <w:t xml:space="preserve"> (</w:t>
      </w:r>
      <w:r w:rsidR="004F35A2">
        <w:rPr>
          <w:rFonts w:asciiTheme="minorHAnsi" w:hAnsiTheme="minorHAnsi" w:cstheme="minorHAnsi"/>
          <w:sz w:val="24"/>
          <w:szCs w:val="24"/>
        </w:rPr>
        <w:t>duzentas mil)</w:t>
      </w:r>
      <w:r w:rsidR="004F35A2" w:rsidRPr="00EA4083">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adicionais, nas mesmas condições das Debêntures inicialmente ofertadas</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w:t>
      </w:r>
      <w:r w:rsidR="00EA4083" w:rsidRPr="00063142">
        <w:rPr>
          <w:rFonts w:asciiTheme="minorHAnsi" w:hAnsiTheme="minorHAnsi" w:cstheme="minorHAnsi"/>
          <w:sz w:val="24"/>
          <w:szCs w:val="24"/>
          <w:u w:val="single"/>
        </w:rPr>
        <w:t>Debêntures Adicionais</w:t>
      </w:r>
      <w:r w:rsidR="00EA4083" w:rsidRPr="00EA4083">
        <w:rPr>
          <w:rFonts w:asciiTheme="minorHAnsi" w:hAnsiTheme="minorHAnsi" w:cstheme="minorHAnsi"/>
          <w:sz w:val="24"/>
          <w:szCs w:val="24"/>
        </w:rPr>
        <w:t xml:space="preserve">”), que foram emitidas pela Emissora até a data da conclusão do Procedimento de Bookbuilding,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foram Debêntures da Primeira Série e</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da Segunda Série. As Debêntures Adicionais emitidas passarão a ter as mesmas características da</w:t>
      </w:r>
      <w:r w:rsidR="004F35A2">
        <w:rPr>
          <w:rFonts w:asciiTheme="minorHAnsi" w:hAnsiTheme="minorHAnsi" w:cstheme="minorHAnsi"/>
          <w:sz w:val="24"/>
          <w:szCs w:val="24"/>
        </w:rPr>
        <w:t>s</w:t>
      </w:r>
      <w:r w:rsidR="00EA4083" w:rsidRPr="00EA4083">
        <w:rPr>
          <w:rFonts w:asciiTheme="minorHAnsi" w:hAnsiTheme="minorHAnsi" w:cstheme="minorHAnsi"/>
          <w:sz w:val="24"/>
          <w:szCs w:val="24"/>
        </w:rPr>
        <w:t xml:space="preserve"> Debêntures inicialmente ofertadas e passarão a integrar o conceito de “Debêntures” e foram</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colocadas sob o regime de melhores esforços de colocação pelo Coordenador Líder</w:t>
      </w:r>
      <w:r w:rsidR="008F77DB">
        <w:rPr>
          <w:rFonts w:asciiTheme="minorHAnsi" w:hAnsiTheme="minorHAnsi" w:cstheme="minorHAnsi"/>
          <w:sz w:val="24"/>
          <w:szCs w:val="24"/>
        </w:rPr>
        <w:t>.</w:t>
      </w:r>
    </w:p>
    <w:p w14:paraId="6CE3C304" w14:textId="58A25B71"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3BBC1C3" w:rsidR="007059C1" w:rsidRPr="00951478" w:rsidRDefault="007059C1" w:rsidP="004A58DC">
      <w:pPr>
        <w:pStyle w:val="Level2"/>
        <w:rPr>
          <w:rFonts w:asciiTheme="minorHAnsi" w:hAnsiTheme="minorHAnsi"/>
          <w:sz w:val="24"/>
        </w:rPr>
      </w:pPr>
      <w:bookmarkStart w:id="180" w:name="_Ref264653840"/>
      <w:bookmarkStart w:id="181"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80"/>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3EEDCB88" w:rsidR="00971DBF" w:rsidRPr="00951478" w:rsidRDefault="00E4647A" w:rsidP="004A58DC">
      <w:pPr>
        <w:pStyle w:val="Level2"/>
        <w:rPr>
          <w:rFonts w:asciiTheme="minorHAnsi" w:hAnsiTheme="minorHAnsi"/>
          <w:sz w:val="24"/>
        </w:rPr>
      </w:pPr>
      <w:bookmarkStart w:id="182" w:name="_Ref272250319"/>
      <w:r w:rsidRPr="00951478">
        <w:rPr>
          <w:rFonts w:asciiTheme="minorHAnsi" w:hAnsiTheme="minorHAnsi"/>
          <w:sz w:val="24"/>
          <w:u w:val="single"/>
        </w:rPr>
        <w:lastRenderedPageBreak/>
        <w:t>Prazo e Data de Vencimento</w:t>
      </w:r>
      <w:r w:rsidRPr="00951478">
        <w:rPr>
          <w:rFonts w:asciiTheme="minorHAnsi" w:hAnsiTheme="minorHAnsi"/>
          <w:sz w:val="24"/>
        </w:rPr>
        <w:t xml:space="preserve">. </w:t>
      </w:r>
      <w:bookmarkEnd w:id="182"/>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7" o:title=""/>
          </v:shape>
          <o:OLEObject Type="Embed" ProgID="Equation.3" ShapeID="_x0000_i1025" DrawAspect="Content" ObjectID="_1703927895" r:id="rId18"/>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9" o:title=""/>
          </v:shape>
          <o:OLEObject Type="Embed" ProgID="Equation.3" ShapeID="_x0000_i1026" DrawAspect="Content" ObjectID="_1703927896" r:id="rId20"/>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1" o:title=""/>
          </v:shape>
          <o:OLEObject Type="Embed" ProgID="Equation.3" ShapeID="_x0000_i1027" DrawAspect="Content" ObjectID="_1703927897" r:id="rId22"/>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w:t>
      </w:r>
      <w:r w:rsidRPr="00951478">
        <w:rPr>
          <w:rFonts w:asciiTheme="minorHAnsi" w:hAnsiTheme="minorHAnsi"/>
          <w:sz w:val="24"/>
        </w:rPr>
        <w:lastRenderedPageBreak/>
        <w:t xml:space="preserve">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037F077F"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681C28">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Caso o IPCA venha a ser divulgado antes da realização da Assembleia Geral de Debenturistas, a referida Assembleia Geral de Debenturistas não será mais realizada, e o IPCA a partir de sua divulgação, voltará a ser utilizado </w:t>
      </w:r>
      <w:r w:rsidRPr="00951478">
        <w:rPr>
          <w:rFonts w:asciiTheme="minorHAnsi" w:hAnsiTheme="minorHAnsi"/>
          <w:kern w:val="0"/>
          <w:sz w:val="24"/>
        </w:rPr>
        <w:lastRenderedPageBreak/>
        <w:t>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143BBDE1"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w:t>
      </w:r>
      <w:r w:rsidR="004F35A2">
        <w:rPr>
          <w:rFonts w:asciiTheme="minorHAnsi" w:hAnsiTheme="minorHAnsi"/>
          <w:sz w:val="24"/>
        </w:rPr>
        <w:t>5,9741</w:t>
      </w:r>
      <w:r w:rsidR="00EA4083" w:rsidRPr="00EA4083">
        <w:rPr>
          <w:rFonts w:asciiTheme="minorHAnsi" w:hAnsiTheme="minorHAnsi"/>
          <w:sz w:val="24"/>
        </w:rPr>
        <w:t>% (</w:t>
      </w:r>
      <w:r w:rsidR="004F35A2" w:rsidRPr="004F35A2">
        <w:rPr>
          <w:rFonts w:asciiTheme="minorHAnsi" w:hAnsiTheme="minorHAnsi"/>
          <w:sz w:val="24"/>
        </w:rPr>
        <w:t xml:space="preserve">cinco inteiros </w:t>
      </w:r>
      <w:r w:rsidR="00740396">
        <w:rPr>
          <w:rFonts w:asciiTheme="minorHAnsi" w:hAnsiTheme="minorHAnsi"/>
          <w:sz w:val="24"/>
        </w:rPr>
        <w:t xml:space="preserve">e </w:t>
      </w:r>
      <w:r w:rsidR="004F35A2" w:rsidRPr="004F35A2">
        <w:rPr>
          <w:rFonts w:asciiTheme="minorHAnsi" w:hAnsiTheme="minorHAnsi"/>
          <w:sz w:val="24"/>
        </w:rPr>
        <w:t>nove</w:t>
      </w:r>
      <w:r w:rsidR="004F35A2">
        <w:rPr>
          <w:rFonts w:asciiTheme="minorHAnsi" w:hAnsiTheme="minorHAnsi"/>
          <w:sz w:val="24"/>
        </w:rPr>
        <w:t xml:space="preserve"> </w:t>
      </w:r>
      <w:r w:rsidR="004F35A2" w:rsidRPr="004F35A2">
        <w:rPr>
          <w:rFonts w:asciiTheme="minorHAnsi" w:hAnsiTheme="minorHAnsi"/>
          <w:sz w:val="24"/>
        </w:rPr>
        <w:t>mil</w:t>
      </w:r>
      <w:r w:rsidR="00740396">
        <w:rPr>
          <w:rFonts w:asciiTheme="minorHAnsi" w:hAnsiTheme="minorHAnsi"/>
          <w:sz w:val="24"/>
        </w:rPr>
        <w:t>,</w:t>
      </w:r>
      <w:r w:rsidR="004F35A2" w:rsidRPr="004F35A2">
        <w:rPr>
          <w:rFonts w:asciiTheme="minorHAnsi" w:hAnsiTheme="minorHAnsi"/>
          <w:sz w:val="24"/>
        </w:rPr>
        <w:t xml:space="preserve"> setecentos e quarenta e um décimos de milésimos por</w:t>
      </w:r>
      <w:r w:rsidR="004F35A2">
        <w:rPr>
          <w:rFonts w:asciiTheme="minorHAnsi" w:hAnsiTheme="minorHAnsi"/>
          <w:sz w:val="24"/>
        </w:rPr>
        <w:t xml:space="preserve"> cento</w:t>
      </w:r>
      <w:r w:rsidR="00EA4083" w:rsidRPr="00EA4083">
        <w:rPr>
          <w:rFonts w:asciiTheme="minorHAnsi" w:hAnsiTheme="minorHAnsi"/>
          <w:sz w:val="24"/>
        </w:rPr>
        <w:t xml:space="preserve">) ao ano, base 252 Dias Úteis, que foi definido de acordo com o Procedimento de </w:t>
      </w:r>
      <w:r w:rsidR="00EA4083" w:rsidRPr="00CA7AFA">
        <w:rPr>
          <w:rFonts w:asciiTheme="minorHAnsi" w:hAnsiTheme="minorHAnsi"/>
          <w:i/>
          <w:iCs/>
          <w:sz w:val="24"/>
        </w:rPr>
        <w:t>Bookbuilding</w:t>
      </w:r>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3DC49F5"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Sobre o Valor Nominal Atualizado das Debêntures da Segunda Série (ou o saldo do Valor Nominal Atualizado das Debêntures da Segunda Série, conforme aplicável), incidirão juros remuneratórios correspondentes a</w:t>
      </w:r>
      <w:r w:rsidR="004F35A2">
        <w:rPr>
          <w:rFonts w:asciiTheme="minorHAnsi" w:hAnsiTheme="minorHAnsi" w:cstheme="minorHAnsi"/>
          <w:sz w:val="24"/>
          <w:szCs w:val="24"/>
        </w:rPr>
        <w:t xml:space="preserve"> 6,1076</w:t>
      </w:r>
      <w:r w:rsidR="00EA4083" w:rsidRPr="00EA4083">
        <w:rPr>
          <w:rFonts w:asciiTheme="minorHAnsi" w:hAnsiTheme="minorHAnsi" w:cstheme="minorHAnsi"/>
          <w:sz w:val="24"/>
          <w:szCs w:val="24"/>
        </w:rPr>
        <w:t>% (</w:t>
      </w:r>
      <w:r w:rsidR="004F35A2" w:rsidRPr="004F35A2">
        <w:rPr>
          <w:rFonts w:asciiTheme="minorHAnsi" w:hAnsiTheme="minorHAnsi" w:cstheme="minorHAnsi"/>
          <w:sz w:val="24"/>
          <w:szCs w:val="24"/>
        </w:rPr>
        <w:t>seis inteiros</w:t>
      </w:r>
      <w:r w:rsidR="00740396">
        <w:rPr>
          <w:rFonts w:asciiTheme="minorHAnsi" w:hAnsiTheme="minorHAnsi" w:cstheme="minorHAnsi"/>
          <w:sz w:val="24"/>
          <w:szCs w:val="24"/>
        </w:rPr>
        <w:t xml:space="preserve"> e</w:t>
      </w:r>
      <w:r w:rsidR="004F35A2" w:rsidRPr="004F35A2">
        <w:rPr>
          <w:rFonts w:asciiTheme="minorHAnsi" w:hAnsiTheme="minorHAnsi" w:cstheme="minorHAnsi"/>
          <w:sz w:val="24"/>
          <w:szCs w:val="24"/>
        </w:rPr>
        <w:t xml:space="preserve"> mil e setenta e seis décimos de milésimos por cento</w:t>
      </w:r>
      <w:r w:rsidR="00EA4083" w:rsidRPr="00EA4083">
        <w:rPr>
          <w:rFonts w:asciiTheme="minorHAnsi" w:hAnsiTheme="minorHAnsi" w:cstheme="minorHAnsi"/>
          <w:sz w:val="24"/>
          <w:szCs w:val="24"/>
        </w:rPr>
        <w:t xml:space="preserve">) ao ano, base 252 Dias Úteis, </w:t>
      </w:r>
      <w:r w:rsidR="00EA4083" w:rsidRPr="00EA4083">
        <w:rPr>
          <w:rFonts w:asciiTheme="minorHAnsi" w:hAnsiTheme="minorHAnsi" w:cstheme="minorHAnsi"/>
          <w:sz w:val="24"/>
          <w:szCs w:val="24"/>
        </w:rPr>
        <w:lastRenderedPageBreak/>
        <w:t xml:space="preserve">que foi definido de acordo com o Procedimento de </w:t>
      </w:r>
      <w:r w:rsidR="00EA4083" w:rsidRPr="00CA7AFA">
        <w:rPr>
          <w:rFonts w:asciiTheme="minorHAnsi" w:hAnsiTheme="minorHAnsi" w:cstheme="minorHAnsi"/>
          <w:i/>
          <w:iCs/>
          <w:sz w:val="24"/>
          <w:szCs w:val="24"/>
        </w:rPr>
        <w:t>Bookbuilding</w:t>
      </w:r>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w:t>
      </w:r>
      <w:r w:rsidR="00EA4083" w:rsidRPr="00063142">
        <w:rPr>
          <w:rFonts w:asciiTheme="minorHAnsi" w:hAnsiTheme="minorHAnsi" w:cstheme="minorHAnsi"/>
          <w:sz w:val="24"/>
          <w:szCs w:val="24"/>
          <w:u w:val="single"/>
        </w:rPr>
        <w:t>Remuneração da Segunda Série</w:t>
      </w:r>
      <w:r w:rsidR="00EA4083" w:rsidRPr="00EA4083">
        <w:rPr>
          <w:rFonts w:asciiTheme="minorHAnsi" w:hAnsiTheme="minorHAnsi" w:cstheme="minorHAnsi"/>
          <w:sz w:val="24"/>
          <w:szCs w:val="24"/>
        </w:rPr>
        <w:t>”).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41EF818" w:rsidR="00B90658" w:rsidRPr="00CC7343" w:rsidRDefault="00740396" w:rsidP="00B90658">
      <w:pPr>
        <w:pStyle w:val="Level3"/>
        <w:rPr>
          <w:rFonts w:asciiTheme="minorHAnsi" w:hAnsiTheme="minorHAnsi" w:cstheme="minorHAnsi"/>
          <w:sz w:val="24"/>
          <w:szCs w:val="24"/>
        </w:rPr>
      </w:pPr>
      <w:r>
        <w:rPr>
          <w:rFonts w:asciiTheme="minorHAnsi" w:hAnsiTheme="minorHAnsi" w:cstheme="minorHAnsi"/>
          <w:sz w:val="24"/>
          <w:szCs w:val="24"/>
        </w:rPr>
        <w:t>A</w:t>
      </w:r>
      <w:r w:rsidR="00EA4083" w:rsidRPr="00EA4083">
        <w:rPr>
          <w:rFonts w:asciiTheme="minorHAnsi" w:hAnsiTheme="minorHAnsi" w:cstheme="minorHAnsi"/>
          <w:sz w:val="24"/>
          <w:szCs w:val="24"/>
        </w:rPr>
        <w:t>s respectiv</w:t>
      </w:r>
      <w:r>
        <w:rPr>
          <w:rFonts w:asciiTheme="minorHAnsi" w:hAnsiTheme="minorHAnsi" w:cstheme="minorHAnsi"/>
          <w:sz w:val="24"/>
          <w:szCs w:val="24"/>
        </w:rPr>
        <w:t>a</w:t>
      </w:r>
      <w:r w:rsidR="00EA4083" w:rsidRPr="00EA4083">
        <w:rPr>
          <w:rFonts w:asciiTheme="minorHAnsi" w:hAnsiTheme="minorHAnsi" w:cstheme="minorHAnsi"/>
          <w:sz w:val="24"/>
          <w:szCs w:val="24"/>
        </w:rPr>
        <w:t xml:space="preserve">s </w:t>
      </w:r>
      <w:r>
        <w:rPr>
          <w:rFonts w:asciiTheme="minorHAnsi" w:hAnsiTheme="minorHAnsi" w:cstheme="minorHAnsi"/>
          <w:sz w:val="24"/>
          <w:szCs w:val="24"/>
        </w:rPr>
        <w:t>Remunerações</w:t>
      </w:r>
      <w:r w:rsidR="00EA4083" w:rsidRPr="00EA4083">
        <w:rPr>
          <w:rFonts w:asciiTheme="minorHAnsi" w:hAnsiTheme="minorHAnsi" w:cstheme="minorHAnsi"/>
          <w:sz w:val="24"/>
          <w:szCs w:val="24"/>
        </w:rPr>
        <w:t xml:space="preserve"> serão </w:t>
      </w:r>
      <w:r w:rsidRPr="00EA4083">
        <w:rPr>
          <w:rFonts w:asciiTheme="minorHAnsi" w:hAnsiTheme="minorHAnsi" w:cstheme="minorHAnsi"/>
          <w:sz w:val="24"/>
          <w:szCs w:val="24"/>
        </w:rPr>
        <w:t>calculad</w:t>
      </w:r>
      <w:r>
        <w:rPr>
          <w:rFonts w:asciiTheme="minorHAnsi" w:hAnsiTheme="minorHAnsi" w:cstheme="minorHAnsi"/>
          <w:sz w:val="24"/>
          <w:szCs w:val="24"/>
        </w:rPr>
        <w:t>as</w:t>
      </w:r>
      <w:r w:rsidR="00EA4083" w:rsidRPr="00EA4083">
        <w:rPr>
          <w:rFonts w:asciiTheme="minorHAnsi" w:hAnsiTheme="minorHAnsi" w:cstheme="minorHAnsi"/>
          <w:sz w:val="24"/>
          <w:szCs w:val="24"/>
        </w:rPr>
        <w:t xml:space="preserve"> em regime de capitalização composta por forma </w:t>
      </w:r>
      <w:r w:rsidR="00EA4083" w:rsidRPr="00CA7AFA">
        <w:rPr>
          <w:rFonts w:asciiTheme="minorHAnsi" w:hAnsiTheme="minorHAnsi" w:cstheme="minorHAnsi"/>
          <w:i/>
          <w:iCs/>
          <w:sz w:val="24"/>
          <w:szCs w:val="24"/>
        </w:rPr>
        <w:t>pro rata temporis</w:t>
      </w:r>
      <w:r w:rsidR="00EA4083"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03207548" w:rsidR="008C5BBE" w:rsidRPr="00951478" w:rsidRDefault="008C5BBE" w:rsidP="004A58DC">
      <w:pPr>
        <w:pStyle w:val="Level3"/>
        <w:rPr>
          <w:rFonts w:asciiTheme="minorHAnsi" w:hAnsiTheme="minorHAnsi"/>
          <w:sz w:val="24"/>
        </w:rPr>
      </w:pPr>
      <w:r w:rsidRPr="00951478">
        <w:rPr>
          <w:rFonts w:asciiTheme="minorHAnsi" w:hAnsiTheme="minorHAnsi"/>
          <w:sz w:val="24"/>
        </w:rPr>
        <w:t>O cálculo d</w:t>
      </w:r>
      <w:r w:rsidR="00740396">
        <w:rPr>
          <w:rFonts w:asciiTheme="minorHAnsi" w:hAnsiTheme="minorHAnsi"/>
          <w:sz w:val="24"/>
        </w:rPr>
        <w:t>as Remunerações</w:t>
      </w:r>
      <w:r w:rsidRPr="00951478">
        <w:rPr>
          <w:rFonts w:asciiTheme="minorHAnsi" w:hAnsiTheme="minorHAnsi"/>
          <w:sz w:val="24"/>
        </w:rPr>
        <w:t xml:space="preserve">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3" w:name="_Toc375090256"/>
      <w:bookmarkStart w:id="184" w:name="_Toc375090257"/>
      <w:bookmarkStart w:id="185" w:name="_Toc375090258"/>
      <w:bookmarkEnd w:id="183"/>
      <w:bookmarkEnd w:id="184"/>
      <w:bookmarkEnd w:id="185"/>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6407135"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00563AFA">
        <w:rPr>
          <w:rFonts w:asciiTheme="minorHAnsi" w:hAnsiTheme="minorHAnsi"/>
          <w:sz w:val="24"/>
        </w:rPr>
        <w:t>das Remunerações</w:t>
      </w:r>
      <w:r w:rsidR="000F7A5D" w:rsidRPr="00951478">
        <w:rPr>
          <w:rFonts w:asciiTheme="minorHAnsi" w:hAnsiTheme="minorHAnsi"/>
          <w:sz w:val="24"/>
        </w:rPr>
        <w:t xml:space="preserve"> devid</w:t>
      </w:r>
      <w:r w:rsidR="00563AFA">
        <w:rPr>
          <w:rFonts w:asciiTheme="minorHAnsi" w:hAnsiTheme="minorHAnsi"/>
          <w:sz w:val="24"/>
        </w:rPr>
        <w:t>a</w:t>
      </w:r>
      <w:r w:rsidR="000F7A5D" w:rsidRPr="00951478">
        <w:rPr>
          <w:rFonts w:asciiTheme="minorHAnsi" w:hAnsiTheme="minorHAnsi"/>
          <w:sz w:val="24"/>
        </w:rPr>
        <w:t>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4AFCADD0"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4F35A2">
        <w:rPr>
          <w:rFonts w:asciiTheme="minorHAnsi" w:hAnsiTheme="minorHAnsi" w:cstheme="minorHAnsi"/>
          <w:iCs/>
          <w:sz w:val="24"/>
        </w:rPr>
        <w:t xml:space="preserve">5,9741% </w:t>
      </w:r>
      <w:r w:rsidR="00EC0F6E">
        <w:rPr>
          <w:rFonts w:asciiTheme="minorHAnsi" w:hAnsiTheme="minorHAnsi" w:cstheme="minorHAnsi"/>
          <w:iCs/>
          <w:sz w:val="24"/>
        </w:rPr>
        <w:t xml:space="preserve">para as Debêntures da Primeira Série, e </w:t>
      </w:r>
      <w:r w:rsidR="004F35A2">
        <w:rPr>
          <w:rFonts w:asciiTheme="minorHAnsi" w:hAnsiTheme="minorHAnsi" w:cstheme="minorHAnsi"/>
          <w:iCs/>
          <w:sz w:val="24"/>
        </w:rPr>
        <w:t>6,1076%</w:t>
      </w:r>
      <w:r w:rsidR="00EC0F6E">
        <w:rPr>
          <w:rFonts w:asciiTheme="minorHAnsi" w:hAnsiTheme="minorHAnsi" w:cstheme="minorHAnsi"/>
          <w:iCs/>
          <w:sz w:val="24"/>
        </w:rPr>
        <w:t xml:space="preserve"> para as Debêntures da Segunda Série</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0AC3E00" w:rsidR="00AE25E2" w:rsidRDefault="00351883" w:rsidP="004A58DC">
      <w:pPr>
        <w:pStyle w:val="Level2"/>
        <w:rPr>
          <w:rFonts w:asciiTheme="minorHAnsi" w:hAnsiTheme="minorHAnsi" w:cstheme="minorHAnsi"/>
          <w:sz w:val="24"/>
          <w:szCs w:val="24"/>
        </w:rPr>
      </w:pPr>
      <w:bookmarkStart w:id="186"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19167808"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711B2663"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486CE1B7"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105C621D"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187"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187"/>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188"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188"/>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189"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189"/>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190" w:name="_DV_M86"/>
      <w:bookmarkStart w:id="191" w:name="_Ref534176584"/>
      <w:bookmarkEnd w:id="186"/>
      <w:bookmarkEnd w:id="190"/>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192" w:name="_Ref534176672"/>
      <w:bookmarkStart w:id="193" w:name="_Ref338165196"/>
      <w:bookmarkStart w:id="194" w:name="_Ref54678169"/>
      <w:bookmarkStart w:id="195" w:name="_Ref45613728"/>
      <w:bookmarkEnd w:id="191"/>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 xml:space="preserve">nos termos da Lei 12.431, da Resolução CMN 4.751 e das demais disposições legais e regulamentares aplicáveis, a Emissora poderá, a seu exclusivo critério, a qualquer momento, desde que decorrido o prazo médio ponderado de 4 (quatro) anos a contar da Data de </w:t>
      </w:r>
      <w:r w:rsidR="002F1094" w:rsidRPr="001D0833">
        <w:rPr>
          <w:rFonts w:asciiTheme="minorHAnsi" w:hAnsiTheme="minorHAnsi" w:cstheme="minorHAnsi"/>
          <w:sz w:val="24"/>
          <w:szCs w:val="36"/>
        </w:rPr>
        <w:lastRenderedPageBreak/>
        <w:t>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lastRenderedPageBreak/>
        <w:t xml:space="preserve">O resgate antecipado </w:t>
      </w:r>
      <w:r w:rsidR="00A30A32">
        <w:rPr>
          <w:rFonts w:asciiTheme="minorHAnsi" w:hAnsiTheme="minorHAnsi"/>
          <w:sz w:val="24"/>
        </w:rPr>
        <w:t xml:space="preserve">total ou parcial </w:t>
      </w:r>
      <w:r w:rsidRPr="00D1351C">
        <w:rPr>
          <w:rFonts w:asciiTheme="minorHAnsi" w:hAnsiTheme="minorHAnsi"/>
          <w:sz w:val="24"/>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54D1B109"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681C28">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w:t>
      </w:r>
      <w:r w:rsidRPr="009C2A9D">
        <w:rPr>
          <w:rFonts w:asciiTheme="minorHAnsi" w:hAnsiTheme="minorHAnsi" w:cstheme="minorHAnsi"/>
          <w:sz w:val="24"/>
        </w:rPr>
        <w:lastRenderedPageBreak/>
        <w:t>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196"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196"/>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w:t>
      </w:r>
      <w:r w:rsidRPr="009C2A9D">
        <w:rPr>
          <w:rFonts w:asciiTheme="minorHAnsi" w:hAnsiTheme="minorHAnsi" w:cstheme="minorHAnsi"/>
          <w:sz w:val="24"/>
          <w:szCs w:val="24"/>
        </w:rPr>
        <w:lastRenderedPageBreak/>
        <w:t xml:space="preserve">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197" w:name="_Ref130283570"/>
      <w:bookmarkStart w:id="198" w:name="_Ref130301134"/>
      <w:bookmarkStart w:id="199" w:name="_Ref137104995"/>
      <w:bookmarkStart w:id="200" w:name="_Ref137475230"/>
      <w:bookmarkEnd w:id="192"/>
      <w:bookmarkEnd w:id="193"/>
      <w:r w:rsidR="007210CA" w:rsidRPr="00951478">
        <w:rPr>
          <w:rFonts w:asciiTheme="minorHAnsi" w:hAnsiTheme="minorHAnsi"/>
          <w:b/>
          <w:caps/>
          <w:sz w:val="24"/>
        </w:rPr>
        <w:t xml:space="preserve"> </w:t>
      </w:r>
    </w:p>
    <w:p w14:paraId="0426BED9" w14:textId="218F5F90"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w:t>
      </w:r>
      <w:r w:rsidRPr="00951478">
        <w:rPr>
          <w:rFonts w:asciiTheme="minorHAnsi" w:hAnsiTheme="minorHAnsi"/>
          <w:sz w:val="24"/>
        </w:rPr>
        <w:lastRenderedPageBreak/>
        <w:t>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194"/>
    </w:p>
    <w:p w14:paraId="4FF46975" w14:textId="6B40A79C" w:rsidR="00AE3DED" w:rsidRPr="00951478" w:rsidRDefault="00EF1AA2" w:rsidP="004A58DC">
      <w:pPr>
        <w:pStyle w:val="Level3"/>
        <w:ind w:left="1276"/>
        <w:rPr>
          <w:rFonts w:asciiTheme="minorHAnsi" w:hAnsiTheme="minorHAnsi"/>
          <w:sz w:val="24"/>
        </w:rPr>
      </w:pPr>
      <w:bookmarkStart w:id="201"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01"/>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prazo legal, ou decretação de falência da Emissora ou qualquer de </w:t>
      </w:r>
      <w:r w:rsidRPr="00951478">
        <w:rPr>
          <w:rFonts w:asciiTheme="minorHAnsi" w:hAnsiTheme="minorHAnsi"/>
          <w:sz w:val="24"/>
        </w:rPr>
        <w:lastRenderedPageBreak/>
        <w:t>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4D98B16B" w:rsidR="00AE3DED" w:rsidRPr="00951478" w:rsidRDefault="00EF1AA2" w:rsidP="004A58DC">
      <w:pPr>
        <w:pStyle w:val="Level3"/>
        <w:tabs>
          <w:tab w:val="clear" w:pos="2041"/>
          <w:tab w:val="num" w:pos="1276"/>
        </w:tabs>
        <w:ind w:left="1276"/>
        <w:rPr>
          <w:rFonts w:asciiTheme="minorHAnsi" w:hAnsiTheme="minorHAnsi"/>
          <w:sz w:val="24"/>
        </w:rPr>
      </w:pPr>
      <w:bookmarkStart w:id="202"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02"/>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03"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03"/>
      <w:r w:rsidRPr="00951478">
        <w:rPr>
          <w:rFonts w:asciiTheme="minorHAnsi" w:hAnsiTheme="minorHAnsi"/>
          <w:sz w:val="24"/>
        </w:rPr>
        <w:t xml:space="preserve"> decorrente do quociente da divisão da Dívida Financeira </w:t>
      </w:r>
      <w:r w:rsidRPr="00951478">
        <w:rPr>
          <w:rFonts w:asciiTheme="minorHAnsi" w:hAnsiTheme="minorHAnsi"/>
          <w:sz w:val="24"/>
        </w:rPr>
        <w:lastRenderedPageBreak/>
        <w:t xml:space="preserve">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04"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04"/>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w:t>
      </w:r>
      <w:r>
        <w:rPr>
          <w:rFonts w:asciiTheme="minorHAnsi" w:hAnsiTheme="minorHAnsi" w:cstheme="minorHAnsi"/>
          <w:sz w:val="24"/>
        </w:rPr>
        <w:lastRenderedPageBreak/>
        <w:t xml:space="preserve">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2466F052" w:rsidR="00AD621E" w:rsidRPr="00951478" w:rsidRDefault="00EF1AA2" w:rsidP="007F4A7B">
      <w:pPr>
        <w:pStyle w:val="Level3"/>
        <w:rPr>
          <w:rFonts w:asciiTheme="minorHAnsi" w:hAnsiTheme="minorHAnsi"/>
          <w:sz w:val="24"/>
        </w:rPr>
      </w:pPr>
      <w:bookmarkStart w:id="205" w:name="_Ref509502323"/>
      <w:bookmarkStart w:id="206" w:name="_Ref69337004"/>
      <w:bookmarkEnd w:id="181"/>
      <w:bookmarkEnd w:id="195"/>
      <w:bookmarkEnd w:id="197"/>
      <w:bookmarkEnd w:id="198"/>
      <w:bookmarkEnd w:id="199"/>
      <w:bookmarkEnd w:id="200"/>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05"/>
      <w:bookmarkEnd w:id="206"/>
      <w:r w:rsidR="006D426C" w:rsidRPr="00951478">
        <w:rPr>
          <w:rFonts w:asciiTheme="minorHAnsi" w:hAnsiTheme="minorHAnsi"/>
          <w:sz w:val="24"/>
        </w:rPr>
        <w:t xml:space="preserve"> </w:t>
      </w:r>
    </w:p>
    <w:p w14:paraId="3C9C82CF" w14:textId="74CA69C2" w:rsidR="00A7358D" w:rsidRPr="00951478" w:rsidRDefault="00EF1AA2" w:rsidP="007F4A7B">
      <w:pPr>
        <w:pStyle w:val="Level3"/>
        <w:rPr>
          <w:rStyle w:val="DeltaViewInsertion"/>
          <w:rFonts w:asciiTheme="minorHAnsi" w:hAnsiTheme="minorHAnsi"/>
          <w:color w:val="auto"/>
          <w:sz w:val="24"/>
          <w:u w:val="none"/>
        </w:rPr>
      </w:pPr>
      <w:bookmarkStart w:id="207"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681C2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w:t>
      </w:r>
      <w:r w:rsidR="00CC54F3" w:rsidRPr="00951478">
        <w:rPr>
          <w:rStyle w:val="DeltaViewInsertion"/>
          <w:rFonts w:asciiTheme="minorHAnsi" w:hAnsiTheme="minorHAnsi"/>
          <w:color w:val="auto"/>
          <w:sz w:val="24"/>
          <w:u w:val="none"/>
        </w:rPr>
        <w:lastRenderedPageBreak/>
        <w:t xml:space="preserve">(cinquenta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07"/>
    </w:p>
    <w:p w14:paraId="1F58D645" w14:textId="7AFB914A"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7D6AC191"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681C28">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08" w:name="_Ref61907769"/>
      <w:r w:rsidRPr="00951478">
        <w:rPr>
          <w:rFonts w:asciiTheme="minorHAnsi" w:hAnsiTheme="minorHAnsi"/>
          <w:b/>
          <w:sz w:val="24"/>
        </w:rPr>
        <w:t xml:space="preserve">OBRIGAÇÕES ADICIONAIS DA </w:t>
      </w:r>
      <w:bookmarkEnd w:id="208"/>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09" w:name="_Ref510003222"/>
      <w:bookmarkStart w:id="210" w:name="_Ref262552287"/>
      <w:bookmarkStart w:id="211" w:name="_Ref168844178"/>
      <w:r w:rsidRPr="00951478">
        <w:rPr>
          <w:rFonts w:asciiTheme="minorHAnsi" w:eastAsia="MS Mincho" w:hAnsiTheme="minorHAnsi"/>
          <w:sz w:val="24"/>
        </w:rPr>
        <w:t>Sem prejuízo das demais obrigações constantes desta Escritura de Emissão, a Emissora está adicionalmente obrigada a:</w:t>
      </w:r>
      <w:bookmarkStart w:id="212" w:name="_DV_M196"/>
      <w:bookmarkEnd w:id="209"/>
      <w:bookmarkEnd w:id="212"/>
    </w:p>
    <w:p w14:paraId="7986488D" w14:textId="46B53CF4" w:rsidR="00C80176" w:rsidRPr="00951478" w:rsidRDefault="00D21834" w:rsidP="007F4A7B">
      <w:pPr>
        <w:pStyle w:val="roman3"/>
        <w:rPr>
          <w:rFonts w:asciiTheme="minorHAnsi" w:hAnsiTheme="minorHAnsi"/>
          <w:sz w:val="24"/>
        </w:rPr>
      </w:pPr>
      <w:bookmarkStart w:id="213" w:name="_DV_M198"/>
      <w:bookmarkStart w:id="214" w:name="_DV_M199"/>
      <w:bookmarkStart w:id="215" w:name="_Ref510009055"/>
      <w:bookmarkEnd w:id="210"/>
      <w:bookmarkEnd w:id="211"/>
      <w:bookmarkEnd w:id="213"/>
      <w:bookmarkEnd w:id="214"/>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xml:space="preserve">”) relativas ao respectivo exercício </w:t>
      </w:r>
      <w:r w:rsidRPr="00951478">
        <w:rPr>
          <w:rFonts w:asciiTheme="minorHAnsi" w:hAnsiTheme="minorHAnsi"/>
          <w:sz w:val="24"/>
        </w:rPr>
        <w:lastRenderedPageBreak/>
        <w:t>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legal(is)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15"/>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16" w:name="_DV_M200"/>
      <w:bookmarkEnd w:id="216"/>
    </w:p>
    <w:p w14:paraId="2A97D5E8" w14:textId="77777777" w:rsidR="00A7358D" w:rsidRPr="00951478" w:rsidRDefault="00EF1AA2" w:rsidP="007F4A7B">
      <w:pPr>
        <w:pStyle w:val="roman3"/>
        <w:rPr>
          <w:rFonts w:asciiTheme="minorHAnsi" w:hAnsiTheme="minorHAnsi"/>
          <w:sz w:val="24"/>
        </w:rPr>
      </w:pPr>
      <w:bookmarkStart w:id="217" w:name="_DV_M201"/>
      <w:bookmarkStart w:id="218" w:name="_DV_M202"/>
      <w:bookmarkStart w:id="219" w:name="_DV_M203"/>
      <w:bookmarkStart w:id="220" w:name="_DV_M204"/>
      <w:bookmarkEnd w:id="217"/>
      <w:bookmarkEnd w:id="218"/>
      <w:bookmarkEnd w:id="219"/>
      <w:bookmarkEnd w:id="220"/>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21" w:name="_DV_M205"/>
      <w:bookmarkEnd w:id="221"/>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22" w:name="_DV_M206"/>
      <w:bookmarkEnd w:id="222"/>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determinações emanadas da CVM e B3, bem como de outros agentes reguladores e/ou autorreguladores, inclusive mediante envio de documentos, prestando, ainda, as informações que lhe forem solicitadas;</w:t>
      </w:r>
      <w:bookmarkStart w:id="223" w:name="_DV_M208"/>
      <w:bookmarkEnd w:id="223"/>
    </w:p>
    <w:p w14:paraId="171C454D" w14:textId="77777777" w:rsidR="001374F2" w:rsidRPr="00951478" w:rsidRDefault="001374F2" w:rsidP="001374F2">
      <w:pPr>
        <w:pStyle w:val="roman3"/>
        <w:rPr>
          <w:rFonts w:asciiTheme="minorHAnsi" w:hAnsiTheme="minorHAnsi"/>
          <w:sz w:val="24"/>
        </w:rPr>
      </w:pPr>
      <w:bookmarkStart w:id="224" w:name="_DV_M209"/>
      <w:bookmarkStart w:id="225" w:name="_DV_M210"/>
      <w:bookmarkEnd w:id="224"/>
      <w:bookmarkEnd w:id="225"/>
      <w:r w:rsidRPr="00951478">
        <w:rPr>
          <w:rFonts w:asciiTheme="minorHAnsi" w:hAnsiTheme="minorHAnsi"/>
          <w:sz w:val="24"/>
        </w:rPr>
        <w:t>notificar, em até 2 (dois) Dias Úteis, o Agente Fiduciário da convocação, pela Emissora, de qualquer Assembleia Geral de Debenturistas;</w:t>
      </w:r>
      <w:bookmarkStart w:id="226" w:name="_DV_M226"/>
      <w:bookmarkEnd w:id="226"/>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27" w:name="_DV_M227"/>
      <w:bookmarkEnd w:id="227"/>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28" w:name="_DV_M211"/>
      <w:bookmarkEnd w:id="228"/>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229" w:name="_DV_M212"/>
      <w:bookmarkEnd w:id="229"/>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30" w:name="_DV_M213"/>
      <w:bookmarkEnd w:id="230"/>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31" w:name="_DV_M214"/>
      <w:bookmarkEnd w:id="231"/>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32" w:name="_Hlk71558564"/>
      <w:r w:rsidRPr="00951478">
        <w:rPr>
          <w:rFonts w:asciiTheme="minorHAnsi" w:hAnsiTheme="minorHAnsi"/>
          <w:sz w:val="24"/>
        </w:rPr>
        <w:t xml:space="preserve">proteger os direitos e interesses dos Debenturistas </w:t>
      </w:r>
      <w:bookmarkEnd w:id="232"/>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33" w:name="_Hlk71558597"/>
      <w:r w:rsidRPr="00951478">
        <w:rPr>
          <w:rFonts w:asciiTheme="minorHAnsi" w:hAnsiTheme="minorHAnsi"/>
          <w:sz w:val="24"/>
        </w:rPr>
        <w:t xml:space="preserve">honorários advocatícios </w:t>
      </w:r>
      <w:bookmarkEnd w:id="233"/>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34" w:name="_DV_M215"/>
      <w:bookmarkStart w:id="235" w:name="_DV_M216"/>
      <w:bookmarkStart w:id="236" w:name="_DV_M217"/>
      <w:bookmarkEnd w:id="234"/>
      <w:bookmarkEnd w:id="235"/>
      <w:bookmarkEnd w:id="236"/>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 xml:space="preserve">inanceiras de </w:t>
      </w:r>
      <w:r w:rsidR="00EF1AA2" w:rsidRPr="00951478">
        <w:rPr>
          <w:rFonts w:asciiTheme="minorHAnsi" w:hAnsiTheme="minorHAnsi"/>
          <w:sz w:val="24"/>
        </w:rPr>
        <w:lastRenderedPageBreak/>
        <w:t>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37" w:name="_DV_M218"/>
      <w:bookmarkEnd w:id="237"/>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38" w:name="_DV_M219"/>
      <w:bookmarkEnd w:id="238"/>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39" w:name="_DV_M220"/>
      <w:bookmarkStart w:id="240" w:name="_DV_M221"/>
      <w:bookmarkEnd w:id="239"/>
      <w:bookmarkEnd w:id="240"/>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w:t>
      </w:r>
      <w:r w:rsidRPr="00C0150A">
        <w:rPr>
          <w:rFonts w:asciiTheme="minorHAnsi" w:hAnsiTheme="minorHAnsi" w:cstheme="minorHAnsi"/>
          <w:sz w:val="24"/>
          <w:szCs w:val="24"/>
        </w:rPr>
        <w:lastRenderedPageBreak/>
        <w:t xml:space="preserve">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41" w:name="_DV_M224"/>
      <w:bookmarkEnd w:id="241"/>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42"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242"/>
      <w:r w:rsidR="00C56EBD" w:rsidRPr="00951478">
        <w:rPr>
          <w:rFonts w:asciiTheme="minorHAnsi" w:hAnsiTheme="minorHAnsi"/>
          <w:sz w:val="24"/>
        </w:rPr>
        <w:t xml:space="preserve"> </w:t>
      </w:r>
    </w:p>
    <w:p w14:paraId="1F539B81" w14:textId="67DEB73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xxviii</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43" w:name="_DV_M225"/>
      <w:bookmarkEnd w:id="243"/>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44"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244"/>
    </w:p>
    <w:p w14:paraId="4E5D672E" w14:textId="5299661A"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xiii</w:t>
      </w:r>
      <w:proofErr w:type="spellEnd"/>
      <w:r w:rsidR="00681C2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81C2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xiii</w:t>
      </w:r>
      <w:proofErr w:type="spellEnd"/>
      <w:r w:rsidR="00681C2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81C2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45"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45"/>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46"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46"/>
    </w:p>
    <w:p w14:paraId="29176F2D" w14:textId="51BCB4B8" w:rsidR="00001FD8" w:rsidRPr="00951478" w:rsidRDefault="00EF1AA2" w:rsidP="007A78BC">
      <w:pPr>
        <w:pStyle w:val="Level2"/>
        <w:numPr>
          <w:ilvl w:val="1"/>
          <w:numId w:val="1"/>
        </w:numPr>
        <w:rPr>
          <w:rFonts w:asciiTheme="minorHAnsi" w:hAnsiTheme="minorHAnsi"/>
          <w:sz w:val="24"/>
        </w:rPr>
      </w:pPr>
      <w:bookmarkStart w:id="247"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48" w:name="_DV_M316"/>
      <w:bookmarkStart w:id="249" w:name="_DV_M323"/>
      <w:bookmarkEnd w:id="248"/>
      <w:bookmarkEnd w:id="249"/>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50"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50"/>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31F9C1FE"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iv</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iv</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51" w:name="_Ref164589409"/>
      <w:bookmarkEnd w:id="247"/>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w:t>
      </w:r>
      <w:bookmarkStart w:id="252" w:name="_GoBack"/>
      <w:r w:rsidRPr="00951478">
        <w:rPr>
          <w:rFonts w:asciiTheme="minorHAnsi" w:hAnsiTheme="minorHAnsi"/>
          <w:sz w:val="24"/>
        </w:rPr>
        <w:t>minuta</w:t>
      </w:r>
      <w:bookmarkEnd w:id="252"/>
      <w:r w:rsidRPr="00951478">
        <w:rPr>
          <w:rFonts w:asciiTheme="minorHAnsi" w:hAnsiTheme="minorHAnsi"/>
          <w:sz w:val="24"/>
        </w:rPr>
        <w:t xml:space="preserve">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53"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253"/>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54"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51"/>
      <w:bookmarkEnd w:id="254"/>
    </w:p>
    <w:p w14:paraId="3B10BF01" w14:textId="77777777" w:rsidR="00F571E3" w:rsidRPr="00951478" w:rsidRDefault="00EF1AA2" w:rsidP="007A78BC">
      <w:pPr>
        <w:pStyle w:val="roman3"/>
        <w:numPr>
          <w:ilvl w:val="0"/>
          <w:numId w:val="46"/>
        </w:numPr>
        <w:rPr>
          <w:rFonts w:asciiTheme="minorHAnsi" w:hAnsiTheme="minorHAnsi"/>
          <w:sz w:val="24"/>
        </w:rPr>
      </w:pPr>
      <w:bookmarkStart w:id="255" w:name="_Ref130283640"/>
      <w:bookmarkStart w:id="256"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1729E93E"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57"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7"/>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58"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58"/>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w:t>
      </w:r>
      <w:r w:rsidRPr="00951478">
        <w:rPr>
          <w:rFonts w:asciiTheme="minorHAnsi" w:hAnsiTheme="minorHAnsi"/>
          <w:sz w:val="24"/>
        </w:rPr>
        <w:lastRenderedPageBreak/>
        <w:t xml:space="preserve">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308527D3" w:rsidR="00AC5B1E" w:rsidRPr="00951478" w:rsidRDefault="00EF1AA2" w:rsidP="007A78BC">
      <w:pPr>
        <w:pStyle w:val="Level2"/>
        <w:numPr>
          <w:ilvl w:val="1"/>
          <w:numId w:val="1"/>
        </w:numPr>
        <w:rPr>
          <w:rFonts w:asciiTheme="minorHAnsi" w:hAnsiTheme="minorHAnsi"/>
          <w:sz w:val="24"/>
        </w:rPr>
      </w:pPr>
      <w:bookmarkStart w:id="259" w:name="_Ref336632692"/>
      <w:bookmarkEnd w:id="255"/>
      <w:bookmarkEnd w:id="256"/>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59"/>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60" w:name="_Ref272246430"/>
      <w:r w:rsidRPr="00951478">
        <w:rPr>
          <w:rFonts w:asciiTheme="minorHAnsi" w:hAnsiTheme="minorHAnsi"/>
          <w:b/>
          <w:sz w:val="24"/>
        </w:rPr>
        <w:t>ASSEMBLEIA GERAL DE DEBENTURISTAS</w:t>
      </w:r>
      <w:bookmarkEnd w:id="260"/>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61" w:name="_Ref54678329"/>
      <w:r w:rsidRPr="00951478">
        <w:rPr>
          <w:rFonts w:asciiTheme="minorHAnsi" w:hAnsiTheme="minorHAnsi"/>
          <w:sz w:val="24"/>
        </w:rPr>
        <w:lastRenderedPageBreak/>
        <w:t>A Assembleia Geral de Debenturistas poderá ser convocada pelo Agente Fiduciário, pela Emissora ou por titulares das Debêntures que representem, no mínimo, 10% (dez por cento) das Debêntures em Circulação ou pela CVM.</w:t>
      </w:r>
      <w:bookmarkEnd w:id="261"/>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4B39CAE5"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62" w:name="_Ref49202181"/>
      <w:r w:rsidRPr="00951478">
        <w:rPr>
          <w:rFonts w:asciiTheme="minorHAnsi" w:hAnsiTheme="minorHAnsi"/>
          <w:sz w:val="24"/>
        </w:rPr>
        <w:lastRenderedPageBreak/>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6A8D4F2A"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262"/>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681C2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w:t>
      </w:r>
      <w:r w:rsidRPr="00951478">
        <w:rPr>
          <w:rFonts w:asciiTheme="minorHAnsi" w:hAnsiTheme="minorHAnsi"/>
          <w:sz w:val="24"/>
        </w:rPr>
        <w:lastRenderedPageBreak/>
        <w:t>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63" w:name="_Ref147910921"/>
      <w:bookmarkStart w:id="264" w:name="_Ref534176609"/>
      <w:r w:rsidRPr="00951478">
        <w:rPr>
          <w:rFonts w:asciiTheme="minorHAnsi" w:hAnsiTheme="minorHAnsi"/>
          <w:b/>
          <w:sz w:val="24"/>
        </w:rPr>
        <w:t>DECLARAÇÕES DA COMPANHIA</w:t>
      </w:r>
      <w:bookmarkEnd w:id="263"/>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65"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64"/>
      <w:bookmarkEnd w:id="265"/>
    </w:p>
    <w:p w14:paraId="047A3A9C" w14:textId="07ADD6D5" w:rsidR="0027728B" w:rsidRPr="00951478" w:rsidRDefault="00EF1AA2" w:rsidP="007A78BC">
      <w:pPr>
        <w:pStyle w:val="roman3"/>
        <w:numPr>
          <w:ilvl w:val="0"/>
          <w:numId w:val="47"/>
        </w:numPr>
        <w:rPr>
          <w:rFonts w:asciiTheme="minorHAnsi" w:hAnsiTheme="minorHAnsi"/>
          <w:sz w:val="24"/>
        </w:rPr>
      </w:pPr>
      <w:bookmarkStart w:id="266"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tem plena ciência e concorda integralmente com a forma de divulgação e apuração da Taxa DI, divulgada pela B3 e que a forma de cálculo </w:t>
      </w:r>
      <w:r w:rsidRPr="00951478">
        <w:rPr>
          <w:rFonts w:asciiTheme="minorHAnsi" w:hAnsiTheme="minorHAnsi"/>
          <w:sz w:val="24"/>
        </w:rPr>
        <w:lastRenderedPageBreak/>
        <w:t>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lastRenderedPageBreak/>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67" w:name="OLE_LINK9"/>
      <w:bookmarkStart w:id="268" w:name="OLE_LINK10"/>
      <w:bookmarkStart w:id="269" w:name="_Ref264567062"/>
      <w:bookmarkEnd w:id="266"/>
      <w:bookmarkEnd w:id="267"/>
      <w:bookmarkEnd w:id="268"/>
      <w:r w:rsidRPr="00951478">
        <w:rPr>
          <w:rFonts w:asciiTheme="minorHAnsi" w:hAnsiTheme="minorHAnsi"/>
          <w:sz w:val="24"/>
        </w:rPr>
        <w:lastRenderedPageBreak/>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69"/>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70"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70"/>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4"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lastRenderedPageBreak/>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w:t>
      </w:r>
      <w:r w:rsidRPr="00951478">
        <w:rPr>
          <w:rFonts w:asciiTheme="minorHAnsi" w:hAnsiTheme="minorHAnsi"/>
          <w:sz w:val="24"/>
        </w:rPr>
        <w:lastRenderedPageBreak/>
        <w:t xml:space="preserve">declaram possuir total conhecimento. Para todos os fins e efeitos de direito, as Partes reconhecem, de forma irrevogável e irretratável, a autenticidade, validade e a plena eficácia da assinatura por certificado digital. </w:t>
      </w:r>
    </w:p>
    <w:p w14:paraId="07EFDBA6" w14:textId="77777777" w:rsidR="007A78BC" w:rsidRPr="00951478" w:rsidRDefault="007A78BC" w:rsidP="007A78BC">
      <w:pPr>
        <w:pStyle w:val="Body"/>
        <w:rPr>
          <w:rFonts w:asciiTheme="minorHAnsi" w:hAnsiTheme="minorHAnsi"/>
          <w:sz w:val="24"/>
        </w:rPr>
      </w:pPr>
    </w:p>
    <w:p w14:paraId="3D851DC5" w14:textId="7BBE6B5F" w:rsidR="007A1A47" w:rsidRPr="00951478" w:rsidRDefault="006B3C85" w:rsidP="00CA7AFA">
      <w:pPr>
        <w:pStyle w:val="Body"/>
        <w:keepNext/>
        <w:keepLines/>
        <w:rPr>
          <w:rFonts w:asciiTheme="minorHAnsi" w:hAnsiTheme="minorHAnsi"/>
          <w:sz w:val="24"/>
        </w:rPr>
      </w:pPr>
      <w:r w:rsidRPr="00951478" w:rsidDel="006B3C85">
        <w:rPr>
          <w:rFonts w:asciiTheme="minorHAnsi" w:hAnsiTheme="minorHAnsi"/>
          <w:i/>
          <w:sz w:val="24"/>
        </w:rPr>
        <w:t xml:space="preserve"> </w:t>
      </w:r>
      <w:bookmarkEnd w:id="1"/>
      <w:bookmarkEnd w:id="163"/>
    </w:p>
    <w:sectPr w:rsidR="007A1A47" w:rsidRPr="00951478" w:rsidSect="0024019D">
      <w:headerReference w:type="even" r:id="rId25"/>
      <w:headerReference w:type="default" r:id="rId26"/>
      <w:footerReference w:type="even" r:id="rId27"/>
      <w:footerReference w:type="default" r:id="rId28"/>
      <w:headerReference w:type="first" r:id="rId29"/>
      <w:footerReference w:type="first" r:id="rId30"/>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24019D" w:rsidRDefault="0024019D">
      <w:r>
        <w:separator/>
      </w:r>
    </w:p>
  </w:endnote>
  <w:endnote w:type="continuationSeparator" w:id="0">
    <w:p w14:paraId="2DBB9EEC" w14:textId="77777777" w:rsidR="0024019D" w:rsidRDefault="0024019D">
      <w:r>
        <w:continuationSeparator/>
      </w:r>
    </w:p>
  </w:endnote>
  <w:endnote w:type="continuationNotice" w:id="1">
    <w:p w14:paraId="6F9DFAE7" w14:textId="77777777" w:rsidR="0024019D" w:rsidRDefault="00240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A419" w14:textId="77777777" w:rsidR="0024019D" w:rsidRDefault="002401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52A00" w14:textId="77777777" w:rsidR="0024019D" w:rsidRDefault="002401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C70" w14:textId="77777777" w:rsidR="0024019D" w:rsidRPr="00564181" w:rsidRDefault="0024019D" w:rsidP="00BF2104">
    <w:pPr>
      <w:pStyle w:val="Rodap"/>
      <w:jc w:val="center"/>
      <w:rPr>
        <w:rFonts w:cs="Arial"/>
        <w:sz w:val="20"/>
        <w:szCs w:val="20"/>
        <w:lang w:val="en-US"/>
      </w:rPr>
    </w:pPr>
    <w:r w:rsidRPr="00924E9A">
      <w:rPr>
        <w:sz w:val="12"/>
        <w:szCs w:val="22"/>
        <w:lang w:val="en-US"/>
      </w:rPr>
      <w:tab/>
    </w:r>
    <w:r>
      <w:rPr>
        <w:sz w:val="12"/>
        <w:szCs w:val="22"/>
        <w:lang w:val="en-US"/>
      </w:rPr>
      <w:tab/>
    </w: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24019D" w:rsidRDefault="0024019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58C4" w14:textId="77777777" w:rsidR="0024019D" w:rsidRDefault="0024019D">
    <w:pPr>
      <w:pStyle w:val="Rodap"/>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7BC0FAEE" w:rsidR="0024019D" w:rsidRPr="000D71B7" w:rsidRDefault="0024019D" w:rsidP="00BF2104">
                          <w:pPr>
                            <w:spacing w:line="220" w:lineRule="auto"/>
                            <w:rPr>
                              <w:rFonts w:ascii="Calibri" w:hAnsi="Calibri" w:cs="Calibri"/>
                              <w:sz w:val="12"/>
                            </w:rPr>
                          </w:pPr>
                          <w:r>
                            <w:rPr>
                              <w:rFonts w:ascii="Calibri" w:hAnsi="Calibri" w:cs="Calibri"/>
                              <w:sz w:val="12"/>
                            </w:rPr>
                            <w:t>DA #11773097 v16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fhJQIAAEMEAAAOAAAAZHJzL2Uyb0RvYy54bWysU01v2zAMvQ/YfxB0X5x0WDo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f/4aUo/&#10;ziT5rud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0SXfhJQIAAEMEAAAOAAAAAAAAAAAAAAAAAC4CAABkcnMvZTJvRG9jLnhtbFBL&#10;AQItABQABgAIAAAAIQATx8CN2AAAAAUBAAAPAAAAAAAAAAAAAAAAAH8EAABkcnMvZG93bnJldi54&#10;bWxQSwUGAAAAAAQABADzAAAAhAUAAAAA&#10;" filled="f" stroked="f" strokeweight=".5pt">
              <v:textbox style="mso-fit-shape-to-text:t" inset="0,0,0,0">
                <w:txbxContent>
                  <w:p w14:paraId="37098BBD" w14:textId="7BC0FAEE" w:rsidR="0024019D" w:rsidRPr="000D71B7" w:rsidRDefault="0024019D" w:rsidP="00BF2104">
                    <w:pPr>
                      <w:spacing w:line="220" w:lineRule="auto"/>
                      <w:rPr>
                        <w:rFonts w:ascii="Calibri" w:hAnsi="Calibri" w:cs="Calibri"/>
                        <w:sz w:val="12"/>
                      </w:rPr>
                    </w:pPr>
                    <w:r>
                      <w:rPr>
                        <w:rFonts w:ascii="Calibri" w:hAnsi="Calibri" w:cs="Calibri"/>
                        <w:sz w:val="12"/>
                      </w:rPr>
                      <w:t>DA #11773097 v16</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24019D" w:rsidRDefault="002401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24019D" w:rsidRDefault="0024019D">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24019D" w:rsidRDefault="0024019D">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56773BF" w:rsidR="0024019D" w:rsidRPr="00AE1863" w:rsidRDefault="0024019D" w:rsidP="00AE1863">
                          <w:pPr>
                            <w:spacing w:line="220" w:lineRule="auto"/>
                            <w:rPr>
                              <w:rFonts w:ascii="Calibri" w:hAnsi="Calibri" w:cs="Calibri"/>
                              <w:sz w:val="12"/>
                            </w:rPr>
                          </w:pPr>
                          <w:r>
                            <w:rPr>
                              <w:rFonts w:ascii="Calibri" w:hAnsi="Calibri" w:cs="Calibri"/>
                              <w:sz w:val="12"/>
                            </w:rPr>
                            <w:t>DA #11773097 v16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AC2ZI7KAIAAEoEAAAOAAAAAAAAAAAAAAAAAC4CAABkcnMvZTJvRG9jLnht&#10;bFBLAQItABQABgAIAAAAIQATx8CN2AAAAAUBAAAPAAAAAAAAAAAAAAAAAIIEAABkcnMvZG93bnJl&#10;di54bWxQSwUGAAAAAAQABADzAAAAhwUAAAAA&#10;" filled="f" stroked="f" strokeweight=".5pt">
              <v:textbox style="mso-fit-shape-to-text:t" inset="0,0,0,0">
                <w:txbxContent>
                  <w:p w14:paraId="5DB886B3" w14:textId="356773BF" w:rsidR="0024019D" w:rsidRPr="00AE1863" w:rsidRDefault="0024019D" w:rsidP="00AE1863">
                    <w:pPr>
                      <w:spacing w:line="220" w:lineRule="auto"/>
                      <w:rPr>
                        <w:rFonts w:ascii="Calibri" w:hAnsi="Calibri" w:cs="Calibri"/>
                        <w:sz w:val="12"/>
                      </w:rPr>
                    </w:pPr>
                    <w:r>
                      <w:rPr>
                        <w:rFonts w:ascii="Calibri" w:hAnsi="Calibri" w:cs="Calibri"/>
                        <w:sz w:val="12"/>
                      </w:rPr>
                      <w:t>DA #11773097 v16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24019D" w:rsidRDefault="0024019D">
      <w:r>
        <w:separator/>
      </w:r>
    </w:p>
  </w:footnote>
  <w:footnote w:type="continuationSeparator" w:id="0">
    <w:p w14:paraId="105E0B15" w14:textId="77777777" w:rsidR="0024019D" w:rsidRDefault="0024019D">
      <w:r>
        <w:continuationSeparator/>
      </w:r>
    </w:p>
  </w:footnote>
  <w:footnote w:type="continuationNotice" w:id="1">
    <w:p w14:paraId="4803E9B6" w14:textId="77777777" w:rsidR="0024019D" w:rsidRDefault="00240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F85" w14:textId="77777777" w:rsidR="0024019D" w:rsidRDefault="0024019D" w:rsidP="00BF2104">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AA23" w14:textId="77777777" w:rsidR="0024019D" w:rsidRPr="00564181" w:rsidRDefault="0024019D" w:rsidP="00BF2104">
    <w:pPr>
      <w:pStyle w:val="Body"/>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24019D" w:rsidRDefault="0024019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24019D" w:rsidRDefault="0024019D">
    <w:pPr>
      <w:ind w:right="360"/>
    </w:pPr>
  </w:p>
  <w:p w14:paraId="70737F70" w14:textId="77777777" w:rsidR="0024019D" w:rsidRDefault="0024019D"/>
  <w:p w14:paraId="428CF75B" w14:textId="77777777" w:rsidR="0024019D" w:rsidRDefault="002401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Calibri" w:hAnsi="Calibri" w:cs="Calibri"/>
        <w:sz w:val="16"/>
        <w:szCs w:val="20"/>
      </w:rPr>
    </w:sdtEndPr>
    <w:sdtContent>
      <w:p w14:paraId="615D15B2" w14:textId="333FADA3" w:rsidR="0024019D" w:rsidRPr="00BF2104" w:rsidRDefault="0024019D">
        <w:pPr>
          <w:pStyle w:val="Cabealho"/>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104">
          <w:rPr>
            <w:rFonts w:ascii="Calibri" w:hAnsi="Calibri" w:cs="Calibri"/>
            <w:sz w:val="16"/>
            <w:szCs w:val="20"/>
          </w:rPr>
          <w:fldChar w:fldCharType="begin"/>
        </w:r>
        <w:r w:rsidRPr="00BF2104">
          <w:rPr>
            <w:rFonts w:ascii="Calibri" w:hAnsi="Calibri" w:cs="Calibri"/>
            <w:sz w:val="16"/>
            <w:szCs w:val="20"/>
          </w:rPr>
          <w:instrText>PAGE   \* MERGEFORMAT</w:instrText>
        </w:r>
        <w:r w:rsidRPr="00BF2104">
          <w:rPr>
            <w:rFonts w:ascii="Calibri" w:hAnsi="Calibri" w:cs="Calibri"/>
            <w:sz w:val="16"/>
            <w:szCs w:val="20"/>
          </w:rPr>
          <w:fldChar w:fldCharType="separate"/>
        </w:r>
        <w:r w:rsidRPr="00BF2104">
          <w:rPr>
            <w:rFonts w:ascii="Calibri" w:hAnsi="Calibri" w:cs="Calibri"/>
            <w:sz w:val="16"/>
            <w:szCs w:val="20"/>
          </w:rPr>
          <w:t>2</w:t>
        </w:r>
        <w:r w:rsidRPr="00BF2104">
          <w:rPr>
            <w:rFonts w:ascii="Calibri" w:hAnsi="Calibri" w:cs="Calibri"/>
            <w:sz w:val="16"/>
            <w:szCs w:val="20"/>
          </w:rPr>
          <w:fldChar w:fldCharType="end"/>
        </w:r>
        <w:r w:rsidRPr="00BF2104">
          <w:rPr>
            <w:rFonts w:ascii="Calibri" w:hAnsi="Calibri" w:cs="Calibri"/>
            <w:sz w:val="16"/>
            <w:szCs w:val="20"/>
          </w:rPr>
          <w:t>/71</w:t>
        </w:r>
      </w:p>
    </w:sdtContent>
  </w:sdt>
  <w:p w14:paraId="04FA0D40" w14:textId="77777777" w:rsidR="0024019D" w:rsidRDefault="0024019D" w:rsidP="00007E92">
    <w:pPr>
      <w:pStyle w:val="Cabealho"/>
    </w:pPr>
  </w:p>
  <w:p w14:paraId="3E485DB8" w14:textId="77777777" w:rsidR="0024019D" w:rsidRDefault="002401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4019D" w14:paraId="4ABB90EF" w14:textId="77777777" w:rsidTr="005B02AE">
      <w:tc>
        <w:tcPr>
          <w:tcW w:w="5000" w:type="pct"/>
        </w:tcPr>
        <w:p w14:paraId="1474CCC7" w14:textId="77777777" w:rsidR="0024019D" w:rsidRDefault="0024019D"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6389D125" w:rsidR="0024019D" w:rsidRPr="00007E92" w:rsidRDefault="0024019D" w:rsidP="001B57F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8"/>
    <w:lvlOverride w:ilvl="0">
      <w:startOverride w:val="1"/>
    </w:lvlOverride>
  </w:num>
  <w:num w:numId="3">
    <w:abstractNumId w:val="39"/>
  </w:num>
  <w:num w:numId="4">
    <w:abstractNumId w:val="56"/>
  </w:num>
  <w:num w:numId="5">
    <w:abstractNumId w:val="27"/>
  </w:num>
  <w:num w:numId="6">
    <w:abstractNumId w:val="17"/>
  </w:num>
  <w:num w:numId="7">
    <w:abstractNumId w:val="37"/>
  </w:num>
  <w:num w:numId="8">
    <w:abstractNumId w:val="29"/>
  </w:num>
  <w:num w:numId="9">
    <w:abstractNumId w:val="61"/>
  </w:num>
  <w:num w:numId="10">
    <w:abstractNumId w:val="59"/>
  </w:num>
  <w:num w:numId="11">
    <w:abstractNumId w:val="20"/>
  </w:num>
  <w:num w:numId="12">
    <w:abstractNumId w:val="36"/>
  </w:num>
  <w:num w:numId="13">
    <w:abstractNumId w:val="41"/>
  </w:num>
  <w:num w:numId="14">
    <w:abstractNumId w:val="38"/>
  </w:num>
  <w:num w:numId="15">
    <w:abstractNumId w:val="16"/>
  </w:num>
  <w:num w:numId="16">
    <w:abstractNumId w:val="58"/>
  </w:num>
  <w:num w:numId="17">
    <w:abstractNumId w:val="62"/>
  </w:num>
  <w:num w:numId="18">
    <w:abstractNumId w:val="45"/>
  </w:num>
  <w:num w:numId="19">
    <w:abstractNumId w:val="32"/>
  </w:num>
  <w:num w:numId="20">
    <w:abstractNumId w:val="63"/>
  </w:num>
  <w:num w:numId="21">
    <w:abstractNumId w:val="55"/>
  </w:num>
  <w:num w:numId="22">
    <w:abstractNumId w:val="52"/>
  </w:num>
  <w:num w:numId="23">
    <w:abstractNumId w:val="15"/>
  </w:num>
  <w:num w:numId="24">
    <w:abstractNumId w:val="12"/>
  </w:num>
  <w:num w:numId="25">
    <w:abstractNumId w:val="47"/>
  </w:num>
  <w:num w:numId="26">
    <w:abstractNumId w:val="44"/>
  </w:num>
  <w:num w:numId="27">
    <w:abstractNumId w:val="60"/>
  </w:num>
  <w:num w:numId="28">
    <w:abstractNumId w:val="48"/>
  </w:num>
  <w:num w:numId="29">
    <w:abstractNumId w:val="43"/>
  </w:num>
  <w:num w:numId="30">
    <w:abstractNumId w:val="57"/>
  </w:num>
  <w:num w:numId="31">
    <w:abstractNumId w:val="54"/>
  </w:num>
  <w:num w:numId="32">
    <w:abstractNumId w:val="14"/>
  </w:num>
  <w:num w:numId="33">
    <w:abstractNumId w:val="24"/>
  </w:num>
  <w:num w:numId="34">
    <w:abstractNumId w:val="46"/>
  </w:num>
  <w:num w:numId="35">
    <w:abstractNumId w:val="49"/>
  </w:num>
  <w:num w:numId="36">
    <w:abstractNumId w:val="10"/>
  </w:num>
  <w:num w:numId="37">
    <w:abstractNumId w:val="28"/>
  </w:num>
  <w:num w:numId="38">
    <w:abstractNumId w:val="51"/>
  </w:num>
  <w:num w:numId="39">
    <w:abstractNumId w:val="22"/>
  </w:num>
  <w:num w:numId="40">
    <w:abstractNumId w:val="31"/>
  </w:num>
  <w:num w:numId="41">
    <w:abstractNumId w:val="53"/>
  </w:num>
  <w:num w:numId="42">
    <w:abstractNumId w:val="21"/>
  </w:num>
  <w:num w:numId="43">
    <w:abstractNumId w:val="42"/>
  </w:num>
  <w:num w:numId="44">
    <w:abstractNumId w:val="17"/>
    <w:lvlOverride w:ilvl="0">
      <w:startOverride w:val="1"/>
    </w:lvlOverride>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43"/>
    <w:lvlOverride w:ilvl="0">
      <w:startOverride w:val="1"/>
    </w:lvlOverride>
  </w:num>
  <w:num w:numId="49">
    <w:abstractNumId w:val="43"/>
  </w:num>
  <w:num w:numId="50">
    <w:abstractNumId w:val="43"/>
    <w:lvlOverride w:ilvl="0">
      <w:startOverride w:val="1"/>
    </w:lvlOverride>
  </w:num>
  <w:num w:numId="51">
    <w:abstractNumId w:val="34"/>
  </w:num>
  <w:num w:numId="52">
    <w:abstractNumId w:val="23"/>
  </w:num>
  <w:num w:numId="53">
    <w:abstractNumId w:val="11"/>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8"/>
  </w:num>
  <w:num w:numId="63">
    <w:abstractNumId w:val="48"/>
  </w:num>
  <w:num w:numId="64">
    <w:abstractNumId w:val="15"/>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5"/>
  </w:num>
  <w:num w:numId="70">
    <w:abstractNumId w:val="7"/>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5"/>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5"/>
  </w:num>
  <w:num w:numId="79">
    <w:abstractNumId w:val="35"/>
  </w:num>
  <w:num w:numId="80">
    <w:abstractNumId w:val="26"/>
  </w:num>
  <w:num w:numId="81">
    <w:abstractNumId w:val="25"/>
  </w:num>
  <w:num w:numId="82">
    <w:abstractNumId w:val="50"/>
  </w:num>
  <w:num w:numId="83">
    <w:abstractNumId w:val="15"/>
  </w:num>
  <w:num w:numId="84">
    <w:abstractNumId w:val="19"/>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15"/>
  </w:num>
  <w:num w:numId="88">
    <w:abstractNumId w:val="15"/>
  </w:num>
  <w:num w:numId="89">
    <w:abstractNumId w:val="15"/>
  </w:num>
  <w:num w:numId="90">
    <w:abstractNumId w:val="18"/>
  </w:num>
  <w:num w:numId="91">
    <w:abstractNumId w:val="13"/>
  </w:num>
  <w:num w:numId="92">
    <w:abstractNumId w:val="64"/>
  </w:num>
  <w:num w:numId="93">
    <w:abstractNumId w:val="3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11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57F0"/>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142"/>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5DB"/>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4F0A"/>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B6E21"/>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63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019D"/>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292"/>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6FD2"/>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1DB7"/>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35A2"/>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1B8D"/>
    <w:rsid w:val="00553530"/>
    <w:rsid w:val="005535FE"/>
    <w:rsid w:val="005543CB"/>
    <w:rsid w:val="0055499E"/>
    <w:rsid w:val="00554B7D"/>
    <w:rsid w:val="00555B9A"/>
    <w:rsid w:val="00555FA7"/>
    <w:rsid w:val="00556695"/>
    <w:rsid w:val="00557C72"/>
    <w:rsid w:val="00560501"/>
    <w:rsid w:val="00561FF8"/>
    <w:rsid w:val="00563728"/>
    <w:rsid w:val="00563AFA"/>
    <w:rsid w:val="00563F90"/>
    <w:rsid w:val="0056638E"/>
    <w:rsid w:val="0056725D"/>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878F8"/>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36CD"/>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5A68"/>
    <w:rsid w:val="00656C0E"/>
    <w:rsid w:val="0065780E"/>
    <w:rsid w:val="00657BEC"/>
    <w:rsid w:val="00661710"/>
    <w:rsid w:val="00662225"/>
    <w:rsid w:val="00663FE7"/>
    <w:rsid w:val="00665460"/>
    <w:rsid w:val="006656E3"/>
    <w:rsid w:val="00665AF2"/>
    <w:rsid w:val="0066635B"/>
    <w:rsid w:val="00666AFF"/>
    <w:rsid w:val="0067068B"/>
    <w:rsid w:val="00670B7F"/>
    <w:rsid w:val="00671173"/>
    <w:rsid w:val="0067244D"/>
    <w:rsid w:val="006725CA"/>
    <w:rsid w:val="00673AD0"/>
    <w:rsid w:val="00675F98"/>
    <w:rsid w:val="0068006E"/>
    <w:rsid w:val="006804A9"/>
    <w:rsid w:val="00680A51"/>
    <w:rsid w:val="00681C28"/>
    <w:rsid w:val="0068598B"/>
    <w:rsid w:val="00685D47"/>
    <w:rsid w:val="006866F2"/>
    <w:rsid w:val="006871F2"/>
    <w:rsid w:val="00690147"/>
    <w:rsid w:val="00690287"/>
    <w:rsid w:val="00691BDF"/>
    <w:rsid w:val="00696809"/>
    <w:rsid w:val="00696F10"/>
    <w:rsid w:val="006972DB"/>
    <w:rsid w:val="006A10AA"/>
    <w:rsid w:val="006A1E3F"/>
    <w:rsid w:val="006A213E"/>
    <w:rsid w:val="006A3365"/>
    <w:rsid w:val="006A4460"/>
    <w:rsid w:val="006A55EE"/>
    <w:rsid w:val="006B1475"/>
    <w:rsid w:val="006B3C85"/>
    <w:rsid w:val="006B5E4D"/>
    <w:rsid w:val="006B76F5"/>
    <w:rsid w:val="006B7920"/>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E6128"/>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595C"/>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396"/>
    <w:rsid w:val="00740681"/>
    <w:rsid w:val="00740BDB"/>
    <w:rsid w:val="007425B1"/>
    <w:rsid w:val="00745157"/>
    <w:rsid w:val="00747B8D"/>
    <w:rsid w:val="00747D10"/>
    <w:rsid w:val="00752B71"/>
    <w:rsid w:val="0075384D"/>
    <w:rsid w:val="00753D01"/>
    <w:rsid w:val="00753FC7"/>
    <w:rsid w:val="0075411D"/>
    <w:rsid w:val="007559E8"/>
    <w:rsid w:val="00756536"/>
    <w:rsid w:val="0075778E"/>
    <w:rsid w:val="007578DC"/>
    <w:rsid w:val="00760F9F"/>
    <w:rsid w:val="00762DDC"/>
    <w:rsid w:val="00763835"/>
    <w:rsid w:val="007662B1"/>
    <w:rsid w:val="007664ED"/>
    <w:rsid w:val="00773919"/>
    <w:rsid w:val="00774325"/>
    <w:rsid w:val="00774A73"/>
    <w:rsid w:val="00774BD7"/>
    <w:rsid w:val="00774EE9"/>
    <w:rsid w:val="00776026"/>
    <w:rsid w:val="007813FD"/>
    <w:rsid w:val="00781445"/>
    <w:rsid w:val="00782960"/>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269E"/>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6EC4"/>
    <w:rsid w:val="008F77DB"/>
    <w:rsid w:val="008F7A77"/>
    <w:rsid w:val="009012B5"/>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24C4"/>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0D8"/>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48E"/>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001"/>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0A7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5531"/>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561F"/>
    <w:rsid w:val="00B97514"/>
    <w:rsid w:val="00B97D34"/>
    <w:rsid w:val="00BA0E16"/>
    <w:rsid w:val="00BA13A2"/>
    <w:rsid w:val="00BA2437"/>
    <w:rsid w:val="00BA5067"/>
    <w:rsid w:val="00BA54DC"/>
    <w:rsid w:val="00BA6D43"/>
    <w:rsid w:val="00BB1573"/>
    <w:rsid w:val="00BB185D"/>
    <w:rsid w:val="00BC016D"/>
    <w:rsid w:val="00BC05E5"/>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0E7"/>
    <w:rsid w:val="00C75D42"/>
    <w:rsid w:val="00C76EE1"/>
    <w:rsid w:val="00C7799C"/>
    <w:rsid w:val="00C80176"/>
    <w:rsid w:val="00C80A6E"/>
    <w:rsid w:val="00C81589"/>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2240"/>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0F6E"/>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ristiane.pigatto@saomartinho.com.b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1 6 " ? > < p r o p e r t i e s   x m l n s = " h t t p : / / w w w . i m a n a g e . c o m / w o r k / x m l s c h e m a " >  
     < d o c u m e n t i d > G E D ! 6 0 2 5 8 7 9 . 4 < / d o c u m e n t i d >  
     < s e n d e r i d > L A R A . M A G A L H A E S < / s e n d e r i d >  
     < s e n d e r e m a i l > L A R A . M A G A L H A E S @ L D R . C O M . B R < / s e n d e r e m a i l >  
     < l a s t m o d i f i e d > 2 0 2 2 - 0 1 - 1 4 T 2 0 : 5 5 : 0 0 . 0 0 0 0 0 0 0 - 0 3 : 0 0 < / l a s t m o d i f i e d >  
     < d a t a b a s e > G E D < / 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DD87C9CE-33F9-4CC1-8ABD-7F9AF956AD25}">
  <ds:schemaRefs>
    <ds:schemaRef ds:uri="http://www.imanage.com/work/xmlschema"/>
  </ds:schemaRefs>
</ds:datastoreItem>
</file>

<file path=customXml/itemProps4.xml><?xml version="1.0" encoding="utf-8"?>
<ds:datastoreItem xmlns:ds="http://schemas.openxmlformats.org/officeDocument/2006/customXml" ds:itemID="{0ECDC82A-0841-49DE-B46D-1BA0C67A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81</Pages>
  <Words>26005</Words>
  <Characters>148026</Characters>
  <Application>Microsoft Office Word</Application>
  <DocSecurity>0</DocSecurity>
  <Lines>1233</Lines>
  <Paragraphs>347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5</cp:revision>
  <cp:lastPrinted>2022-01-17T15:24:00Z</cp:lastPrinted>
  <dcterms:created xsi:type="dcterms:W3CDTF">2022-01-17T12:57:00Z</dcterms:created>
  <dcterms:modified xsi:type="dcterms:W3CDTF">2022-01-17T15:31:00Z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